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rPr>
          <w:snapToGrid w:val="0"/>
        </w:rPr>
        <w:t>Western Australian Marine Act 1982</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W.A. Marine (Surveys and Certificates of Survey) Regulations 1983</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W.A. Marine (Surveys and Certificates of Survey) Regulations 1983</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Citation</w:t>
      </w:r>
      <w:r>
        <w:tab/>
      </w:r>
      <w:r>
        <w:fldChar w:fldCharType="begin"/>
      </w:r>
      <w:r>
        <w:instrText xml:space="preserve"> PAGEREF _Toc293650189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_Toc293650190 \h </w:instrText>
      </w:r>
      <w:r>
        <w:fldChar w:fldCharType="separate"/>
      </w:r>
      <w:r>
        <w:t>1</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_Toc293650191 \h </w:instrText>
      </w:r>
      <w:r>
        <w:fldChar w:fldCharType="separate"/>
      </w:r>
      <w:r>
        <w:t>1</w:t>
      </w:r>
      <w:r>
        <w:fldChar w:fldCharType="end"/>
      </w:r>
    </w:p>
    <w:p>
      <w:pPr>
        <w:pStyle w:val="TOC8"/>
        <w:rPr>
          <w:sz w:val="24"/>
          <w:szCs w:val="24"/>
          <w:lang w:val="en-US"/>
        </w:rPr>
      </w:pPr>
      <w:r>
        <w:t>4</w:t>
      </w:r>
      <w:r>
        <w:rPr>
          <w:snapToGrid w:val="0"/>
        </w:rPr>
        <w:t>.</w:t>
      </w:r>
      <w:r>
        <w:rPr>
          <w:snapToGrid w:val="0"/>
        </w:rPr>
        <w:tab/>
        <w:t>Application</w:t>
      </w:r>
      <w:r>
        <w:tab/>
      </w:r>
      <w:r>
        <w:fldChar w:fldCharType="begin"/>
      </w:r>
      <w:r>
        <w:instrText xml:space="preserve"> PAGEREF _Toc293650192 \h </w:instrText>
      </w:r>
      <w:r>
        <w:fldChar w:fldCharType="separate"/>
      </w:r>
      <w:r>
        <w:t>2</w:t>
      </w:r>
      <w:r>
        <w:fldChar w:fldCharType="end"/>
      </w:r>
    </w:p>
    <w:p>
      <w:pPr>
        <w:pStyle w:val="TOC8"/>
        <w:rPr>
          <w:sz w:val="24"/>
          <w:szCs w:val="24"/>
          <w:lang w:val="en-US"/>
        </w:rPr>
      </w:pPr>
      <w:r>
        <w:t>4AA.</w:t>
      </w:r>
      <w:r>
        <w:rPr>
          <w:snapToGrid w:val="0"/>
        </w:rPr>
        <w:tab/>
        <w:t>Classification of vessels</w:t>
      </w:r>
      <w:r>
        <w:tab/>
      </w:r>
      <w:r>
        <w:fldChar w:fldCharType="begin"/>
      </w:r>
      <w:r>
        <w:instrText xml:space="preserve"> PAGEREF _Toc293650193 \h </w:instrText>
      </w:r>
      <w:r>
        <w:fldChar w:fldCharType="separate"/>
      </w:r>
      <w:r>
        <w:t>2</w:t>
      </w:r>
      <w:r>
        <w:fldChar w:fldCharType="end"/>
      </w:r>
    </w:p>
    <w:p>
      <w:pPr>
        <w:pStyle w:val="TOC8"/>
        <w:rPr>
          <w:sz w:val="24"/>
          <w:szCs w:val="24"/>
          <w:lang w:val="en-US"/>
        </w:rPr>
      </w:pPr>
      <w:r>
        <w:t>4A</w:t>
      </w:r>
      <w:r>
        <w:rPr>
          <w:snapToGrid w:val="0"/>
        </w:rPr>
        <w:t>.</w:t>
      </w:r>
      <w:r>
        <w:rPr>
          <w:snapToGrid w:val="0"/>
        </w:rPr>
        <w:tab/>
        <w:t>Fees and charges</w:t>
      </w:r>
      <w:r>
        <w:tab/>
      </w:r>
      <w:r>
        <w:fldChar w:fldCharType="begin"/>
      </w:r>
      <w:r>
        <w:instrText xml:space="preserve"> PAGEREF _Toc293650194 \h </w:instrText>
      </w:r>
      <w:r>
        <w:fldChar w:fldCharType="separate"/>
      </w:r>
      <w:r>
        <w:t>2</w:t>
      </w:r>
      <w:r>
        <w:fldChar w:fldCharType="end"/>
      </w:r>
    </w:p>
    <w:p>
      <w:pPr>
        <w:pStyle w:val="TOC2"/>
        <w:tabs>
          <w:tab w:val="right" w:leader="dot" w:pos="7086"/>
        </w:tabs>
        <w:rPr>
          <w:b w:val="0"/>
          <w:sz w:val="24"/>
          <w:szCs w:val="24"/>
          <w:lang w:val="en-US"/>
        </w:rPr>
      </w:pPr>
      <w:r>
        <w:t>Part II — Survey requirements</w:t>
      </w:r>
    </w:p>
    <w:p>
      <w:pPr>
        <w:pStyle w:val="TOC8"/>
        <w:rPr>
          <w:sz w:val="24"/>
          <w:szCs w:val="24"/>
          <w:lang w:val="en-US"/>
        </w:rPr>
      </w:pPr>
      <w:r>
        <w:t>5</w:t>
      </w:r>
      <w:r>
        <w:rPr>
          <w:snapToGrid w:val="0"/>
        </w:rPr>
        <w:t>.</w:t>
      </w:r>
      <w:r>
        <w:rPr>
          <w:snapToGrid w:val="0"/>
        </w:rPr>
        <w:tab/>
        <w:t>Initial survey</w:t>
      </w:r>
      <w:r>
        <w:tab/>
      </w:r>
      <w:r>
        <w:fldChar w:fldCharType="begin"/>
      </w:r>
      <w:r>
        <w:instrText xml:space="preserve"> PAGEREF _Toc293650196 \h </w:instrText>
      </w:r>
      <w:r>
        <w:fldChar w:fldCharType="separate"/>
      </w:r>
      <w:r>
        <w:t>3</w:t>
      </w:r>
      <w:r>
        <w:fldChar w:fldCharType="end"/>
      </w:r>
    </w:p>
    <w:p>
      <w:pPr>
        <w:pStyle w:val="TOC8"/>
        <w:rPr>
          <w:sz w:val="24"/>
          <w:szCs w:val="24"/>
          <w:lang w:val="en-US"/>
        </w:rPr>
      </w:pPr>
      <w:r>
        <w:t>6</w:t>
      </w:r>
      <w:r>
        <w:rPr>
          <w:snapToGrid w:val="0"/>
        </w:rPr>
        <w:t>.</w:t>
      </w:r>
      <w:r>
        <w:rPr>
          <w:snapToGrid w:val="0"/>
        </w:rPr>
        <w:tab/>
        <w:t>Periodic surveys and inspections</w:t>
      </w:r>
      <w:r>
        <w:tab/>
      </w:r>
      <w:r>
        <w:fldChar w:fldCharType="begin"/>
      </w:r>
      <w:r>
        <w:instrText xml:space="preserve"> PAGEREF _Toc293650197 \h </w:instrText>
      </w:r>
      <w:r>
        <w:fldChar w:fldCharType="separate"/>
      </w:r>
      <w:r>
        <w:t>4</w:t>
      </w:r>
      <w:r>
        <w:fldChar w:fldCharType="end"/>
      </w:r>
    </w:p>
    <w:p>
      <w:pPr>
        <w:pStyle w:val="TOC8"/>
        <w:rPr>
          <w:sz w:val="24"/>
          <w:szCs w:val="24"/>
          <w:lang w:val="en-US"/>
        </w:rPr>
      </w:pPr>
      <w:r>
        <w:t>6A</w:t>
      </w:r>
      <w:r>
        <w:rPr>
          <w:snapToGrid w:val="0"/>
        </w:rPr>
        <w:t>.</w:t>
      </w:r>
      <w:r>
        <w:rPr>
          <w:snapToGrid w:val="0"/>
        </w:rPr>
        <w:tab/>
        <w:t>Half of fee payable if vessel already classed</w:t>
      </w:r>
      <w:r>
        <w:tab/>
      </w:r>
      <w:r>
        <w:fldChar w:fldCharType="begin"/>
      </w:r>
      <w:r>
        <w:instrText xml:space="preserve"> PAGEREF _Toc293650198 \h </w:instrText>
      </w:r>
      <w:r>
        <w:fldChar w:fldCharType="separate"/>
      </w:r>
      <w:r>
        <w:t>7</w:t>
      </w:r>
      <w:r>
        <w:fldChar w:fldCharType="end"/>
      </w:r>
    </w:p>
    <w:p>
      <w:pPr>
        <w:pStyle w:val="TOC8"/>
        <w:rPr>
          <w:sz w:val="24"/>
          <w:szCs w:val="24"/>
          <w:lang w:val="en-US"/>
        </w:rPr>
      </w:pPr>
      <w:r>
        <w:t>7</w:t>
      </w:r>
      <w:r>
        <w:rPr>
          <w:snapToGrid w:val="0"/>
        </w:rPr>
        <w:t>.</w:t>
      </w:r>
      <w:r>
        <w:rPr>
          <w:snapToGrid w:val="0"/>
        </w:rPr>
        <w:tab/>
        <w:t>Random inspections</w:t>
      </w:r>
      <w:r>
        <w:tab/>
      </w:r>
      <w:r>
        <w:fldChar w:fldCharType="begin"/>
      </w:r>
      <w:r>
        <w:instrText xml:space="preserve"> PAGEREF _Toc293650199 \h </w:instrText>
      </w:r>
      <w:r>
        <w:fldChar w:fldCharType="separate"/>
      </w:r>
      <w:r>
        <w:t>7</w:t>
      </w:r>
      <w:r>
        <w:fldChar w:fldCharType="end"/>
      </w:r>
    </w:p>
    <w:p>
      <w:pPr>
        <w:pStyle w:val="TOC8"/>
        <w:rPr>
          <w:sz w:val="24"/>
          <w:szCs w:val="24"/>
          <w:lang w:val="en-US"/>
        </w:rPr>
      </w:pPr>
      <w:r>
        <w:t>8</w:t>
      </w:r>
      <w:r>
        <w:rPr>
          <w:snapToGrid w:val="0"/>
        </w:rPr>
        <w:t>.</w:t>
      </w:r>
      <w:r>
        <w:rPr>
          <w:snapToGrid w:val="0"/>
        </w:rPr>
        <w:tab/>
        <w:t>Owner to report special factors</w:t>
      </w:r>
      <w:r>
        <w:tab/>
      </w:r>
      <w:r>
        <w:fldChar w:fldCharType="begin"/>
      </w:r>
      <w:r>
        <w:instrText xml:space="preserve"> PAGEREF _Toc293650200 \h </w:instrText>
      </w:r>
      <w:r>
        <w:fldChar w:fldCharType="separate"/>
      </w:r>
      <w:r>
        <w:t>8</w:t>
      </w:r>
      <w:r>
        <w:fldChar w:fldCharType="end"/>
      </w:r>
    </w:p>
    <w:p>
      <w:pPr>
        <w:pStyle w:val="TOC8"/>
        <w:rPr>
          <w:sz w:val="24"/>
          <w:szCs w:val="24"/>
          <w:lang w:val="en-US"/>
        </w:rPr>
      </w:pPr>
      <w:r>
        <w:t>9</w:t>
      </w:r>
      <w:r>
        <w:rPr>
          <w:snapToGrid w:val="0"/>
        </w:rPr>
        <w:t>.</w:t>
      </w:r>
      <w:r>
        <w:rPr>
          <w:snapToGrid w:val="0"/>
        </w:rPr>
        <w:tab/>
        <w:t>Owner to report accidents, injuries etc.</w:t>
      </w:r>
      <w:r>
        <w:tab/>
      </w:r>
      <w:r>
        <w:fldChar w:fldCharType="begin"/>
      </w:r>
      <w:r>
        <w:instrText xml:space="preserve"> PAGEREF _Toc293650201 \h </w:instrText>
      </w:r>
      <w:r>
        <w:fldChar w:fldCharType="separate"/>
      </w:r>
      <w:r>
        <w:t>8</w:t>
      </w:r>
      <w:r>
        <w:fldChar w:fldCharType="end"/>
      </w:r>
    </w:p>
    <w:p>
      <w:pPr>
        <w:pStyle w:val="TOC8"/>
        <w:rPr>
          <w:sz w:val="24"/>
          <w:szCs w:val="24"/>
          <w:lang w:val="en-US"/>
        </w:rPr>
      </w:pPr>
      <w:r>
        <w:t>10</w:t>
      </w:r>
      <w:r>
        <w:rPr>
          <w:snapToGrid w:val="0"/>
        </w:rPr>
        <w:t>.</w:t>
      </w:r>
      <w:r>
        <w:rPr>
          <w:snapToGrid w:val="0"/>
        </w:rPr>
        <w:tab/>
        <w:t>Power to exempt certain vessels</w:t>
      </w:r>
      <w:r>
        <w:tab/>
      </w:r>
      <w:r>
        <w:fldChar w:fldCharType="begin"/>
      </w:r>
      <w:r>
        <w:instrText xml:space="preserve"> PAGEREF _Toc293650202 \h </w:instrText>
      </w:r>
      <w:r>
        <w:fldChar w:fldCharType="separate"/>
      </w:r>
      <w:r>
        <w:t>8</w:t>
      </w:r>
      <w:r>
        <w:fldChar w:fldCharType="end"/>
      </w:r>
    </w:p>
    <w:p>
      <w:pPr>
        <w:pStyle w:val="TOC8"/>
        <w:rPr>
          <w:sz w:val="24"/>
          <w:szCs w:val="24"/>
          <w:lang w:val="en-US"/>
        </w:rPr>
      </w:pPr>
      <w:r>
        <w:t>10A</w:t>
      </w:r>
      <w:r>
        <w:rPr>
          <w:snapToGrid w:val="0"/>
        </w:rPr>
        <w:t>.</w:t>
      </w:r>
      <w:r>
        <w:rPr>
          <w:snapToGrid w:val="0"/>
        </w:rPr>
        <w:tab/>
        <w:t>Exemption of certain fishing vessels and non</w:t>
      </w:r>
      <w:r>
        <w:rPr>
          <w:snapToGrid w:val="0"/>
        </w:rPr>
        <w:noBreakHyphen/>
        <w:t>passenger vessels</w:t>
      </w:r>
      <w:r>
        <w:tab/>
      </w:r>
      <w:r>
        <w:fldChar w:fldCharType="begin"/>
      </w:r>
      <w:r>
        <w:instrText xml:space="preserve"> PAGEREF _Toc293650203 \h </w:instrText>
      </w:r>
      <w:r>
        <w:fldChar w:fldCharType="separate"/>
      </w:r>
      <w:r>
        <w:t>10</w:t>
      </w:r>
      <w:r>
        <w:fldChar w:fldCharType="end"/>
      </w:r>
    </w:p>
    <w:p>
      <w:pPr>
        <w:pStyle w:val="TOC2"/>
        <w:tabs>
          <w:tab w:val="right" w:leader="dot" w:pos="7086"/>
        </w:tabs>
        <w:rPr>
          <w:b w:val="0"/>
          <w:sz w:val="24"/>
          <w:szCs w:val="24"/>
          <w:lang w:val="en-US"/>
        </w:rPr>
      </w:pPr>
      <w:r>
        <w:t>Part III — Certificates</w:t>
      </w:r>
    </w:p>
    <w:p>
      <w:pPr>
        <w:pStyle w:val="TOC8"/>
        <w:rPr>
          <w:sz w:val="24"/>
          <w:szCs w:val="24"/>
          <w:lang w:val="en-US"/>
        </w:rPr>
      </w:pPr>
      <w:r>
        <w:t>11</w:t>
      </w:r>
      <w:r>
        <w:rPr>
          <w:snapToGrid w:val="0"/>
        </w:rPr>
        <w:t>.</w:t>
      </w:r>
      <w:r>
        <w:rPr>
          <w:snapToGrid w:val="0"/>
        </w:rPr>
        <w:tab/>
        <w:t>Issue of Certificate of Survey</w:t>
      </w:r>
      <w:r>
        <w:tab/>
      </w:r>
      <w:r>
        <w:fldChar w:fldCharType="begin"/>
      </w:r>
      <w:r>
        <w:instrText xml:space="preserve"> PAGEREF _Toc293650205 \h </w:instrText>
      </w:r>
      <w:r>
        <w:fldChar w:fldCharType="separate"/>
      </w:r>
      <w:r>
        <w:t>12</w:t>
      </w:r>
      <w:r>
        <w:fldChar w:fldCharType="end"/>
      </w:r>
    </w:p>
    <w:p>
      <w:pPr>
        <w:pStyle w:val="TOC8"/>
        <w:rPr>
          <w:sz w:val="24"/>
          <w:szCs w:val="24"/>
          <w:lang w:val="en-US"/>
        </w:rPr>
      </w:pPr>
      <w:r>
        <w:t>12</w:t>
      </w:r>
      <w:r>
        <w:rPr>
          <w:snapToGrid w:val="0"/>
        </w:rPr>
        <w:t>.</w:t>
      </w:r>
      <w:r>
        <w:rPr>
          <w:snapToGrid w:val="0"/>
        </w:rPr>
        <w:tab/>
        <w:t>Evidence of compliance with survey requirements</w:t>
      </w:r>
      <w:r>
        <w:tab/>
      </w:r>
      <w:r>
        <w:fldChar w:fldCharType="begin"/>
      </w:r>
      <w:r>
        <w:instrText xml:space="preserve"> PAGEREF _Toc293650206 \h </w:instrText>
      </w:r>
      <w:r>
        <w:fldChar w:fldCharType="separate"/>
      </w:r>
      <w:r>
        <w:t>12</w:t>
      </w:r>
      <w:r>
        <w:fldChar w:fldCharType="end"/>
      </w:r>
    </w:p>
    <w:p>
      <w:pPr>
        <w:pStyle w:val="TOC8"/>
        <w:rPr>
          <w:sz w:val="24"/>
          <w:szCs w:val="24"/>
          <w:lang w:val="en-US"/>
        </w:rPr>
      </w:pPr>
      <w:r>
        <w:t>13</w:t>
      </w:r>
      <w:r>
        <w:rPr>
          <w:snapToGrid w:val="0"/>
        </w:rPr>
        <w:t>.</w:t>
      </w:r>
      <w:r>
        <w:rPr>
          <w:snapToGrid w:val="0"/>
        </w:rPr>
        <w:tab/>
        <w:t>Revalidation or renewal of certificate of survey</w:t>
      </w:r>
      <w:r>
        <w:tab/>
      </w:r>
      <w:r>
        <w:fldChar w:fldCharType="begin"/>
      </w:r>
      <w:r>
        <w:instrText xml:space="preserve"> PAGEREF _Toc293650207 \h </w:instrText>
      </w:r>
      <w:r>
        <w:fldChar w:fldCharType="separate"/>
      </w:r>
      <w:r>
        <w:t>13</w:t>
      </w:r>
      <w:r>
        <w:fldChar w:fldCharType="end"/>
      </w:r>
    </w:p>
    <w:p>
      <w:pPr>
        <w:pStyle w:val="TOC8"/>
        <w:rPr>
          <w:sz w:val="24"/>
          <w:szCs w:val="24"/>
          <w:lang w:val="en-US"/>
        </w:rPr>
      </w:pPr>
      <w:r>
        <w:t>14</w:t>
      </w:r>
      <w:r>
        <w:rPr>
          <w:snapToGrid w:val="0"/>
        </w:rPr>
        <w:t>.</w:t>
      </w:r>
      <w:r>
        <w:rPr>
          <w:snapToGrid w:val="0"/>
        </w:rPr>
        <w:tab/>
        <w:t>Extension of certificate of survey</w:t>
      </w:r>
      <w:r>
        <w:tab/>
      </w:r>
      <w:r>
        <w:fldChar w:fldCharType="begin"/>
      </w:r>
      <w:r>
        <w:instrText xml:space="preserve"> PAGEREF _Toc293650208 \h </w:instrText>
      </w:r>
      <w:r>
        <w:fldChar w:fldCharType="separate"/>
      </w:r>
      <w:r>
        <w:t>14</w:t>
      </w:r>
      <w:r>
        <w:fldChar w:fldCharType="end"/>
      </w:r>
    </w:p>
    <w:p>
      <w:pPr>
        <w:pStyle w:val="TOC8"/>
        <w:rPr>
          <w:sz w:val="24"/>
          <w:szCs w:val="24"/>
          <w:lang w:val="en-US"/>
        </w:rPr>
      </w:pPr>
      <w:r>
        <w:t>15</w:t>
      </w:r>
      <w:r>
        <w:rPr>
          <w:snapToGrid w:val="0"/>
        </w:rPr>
        <w:t>.</w:t>
      </w:r>
      <w:r>
        <w:rPr>
          <w:snapToGrid w:val="0"/>
        </w:rPr>
        <w:tab/>
        <w:t>Suspension or cancellation of certificate of survey</w:t>
      </w:r>
      <w:r>
        <w:tab/>
      </w:r>
      <w:r>
        <w:fldChar w:fldCharType="begin"/>
      </w:r>
      <w:r>
        <w:instrText xml:space="preserve"> PAGEREF _Toc293650209 \h </w:instrText>
      </w:r>
      <w:r>
        <w:fldChar w:fldCharType="separate"/>
      </w:r>
      <w:r>
        <w:t>15</w:t>
      </w:r>
      <w:r>
        <w:fldChar w:fldCharType="end"/>
      </w:r>
    </w:p>
    <w:p>
      <w:pPr>
        <w:pStyle w:val="TOC8"/>
        <w:rPr>
          <w:sz w:val="24"/>
          <w:szCs w:val="24"/>
          <w:lang w:val="en-US"/>
        </w:rPr>
      </w:pPr>
      <w:r>
        <w:lastRenderedPageBreak/>
        <w:t>16</w:t>
      </w:r>
      <w:r>
        <w:rPr>
          <w:snapToGrid w:val="0"/>
        </w:rPr>
        <w:t>.</w:t>
      </w:r>
      <w:r>
        <w:rPr>
          <w:snapToGrid w:val="0"/>
        </w:rPr>
        <w:tab/>
        <w:t>Owners to notify Chief Executive Officer of various occurrences</w:t>
      </w:r>
      <w:r>
        <w:tab/>
      </w:r>
      <w:r>
        <w:fldChar w:fldCharType="begin"/>
      </w:r>
      <w:r>
        <w:instrText xml:space="preserve"> PAGEREF _Toc293650210 \h </w:instrText>
      </w:r>
      <w:r>
        <w:fldChar w:fldCharType="separate"/>
      </w:r>
      <w:r>
        <w:t>15</w:t>
      </w:r>
      <w:r>
        <w:fldChar w:fldCharType="end"/>
      </w:r>
    </w:p>
    <w:p>
      <w:pPr>
        <w:pStyle w:val="TOC8"/>
        <w:rPr>
          <w:sz w:val="24"/>
          <w:szCs w:val="24"/>
          <w:lang w:val="en-US"/>
        </w:rPr>
      </w:pPr>
      <w:r>
        <w:t>17</w:t>
      </w:r>
      <w:r>
        <w:rPr>
          <w:snapToGrid w:val="0"/>
        </w:rPr>
        <w:t>.</w:t>
      </w:r>
      <w:r>
        <w:rPr>
          <w:snapToGrid w:val="0"/>
        </w:rPr>
        <w:tab/>
        <w:t>Acceptance of other certificates of survey</w:t>
      </w:r>
      <w:r>
        <w:tab/>
      </w:r>
      <w:r>
        <w:fldChar w:fldCharType="begin"/>
      </w:r>
      <w:r>
        <w:instrText xml:space="preserve"> PAGEREF _Toc293650211 \h </w:instrText>
      </w:r>
      <w:r>
        <w:fldChar w:fldCharType="separate"/>
      </w:r>
      <w:r>
        <w:t>16</w:t>
      </w:r>
      <w:r>
        <w:fldChar w:fldCharType="end"/>
      </w:r>
    </w:p>
    <w:p>
      <w:pPr>
        <w:pStyle w:val="TOC8"/>
        <w:rPr>
          <w:sz w:val="24"/>
          <w:szCs w:val="24"/>
          <w:lang w:val="en-US"/>
        </w:rPr>
      </w:pPr>
      <w:r>
        <w:t>18</w:t>
      </w:r>
      <w:r>
        <w:rPr>
          <w:snapToGrid w:val="0"/>
        </w:rPr>
        <w:t>.</w:t>
      </w:r>
      <w:r>
        <w:rPr>
          <w:snapToGrid w:val="0"/>
        </w:rPr>
        <w:tab/>
        <w:t>Continuation of approved survey programme</w:t>
      </w:r>
      <w:r>
        <w:tab/>
      </w:r>
      <w:r>
        <w:fldChar w:fldCharType="begin"/>
      </w:r>
      <w:r>
        <w:instrText xml:space="preserve"> PAGEREF _Toc293650212 \h </w:instrText>
      </w:r>
      <w:r>
        <w:fldChar w:fldCharType="separate"/>
      </w:r>
      <w:r>
        <w:t>16</w:t>
      </w:r>
      <w:r>
        <w:fldChar w:fldCharType="end"/>
      </w:r>
    </w:p>
    <w:p>
      <w:pPr>
        <w:pStyle w:val="TOC2"/>
        <w:tabs>
          <w:tab w:val="right" w:leader="dot" w:pos="7086"/>
        </w:tabs>
        <w:rPr>
          <w:b w:val="0"/>
          <w:sz w:val="24"/>
          <w:szCs w:val="24"/>
          <w:lang w:val="en-US"/>
        </w:rPr>
      </w:pPr>
      <w:r>
        <w:t>Part IV — Single voyage towage permits</w:t>
      </w:r>
    </w:p>
    <w:p>
      <w:pPr>
        <w:pStyle w:val="TOC8"/>
        <w:rPr>
          <w:sz w:val="24"/>
          <w:szCs w:val="24"/>
          <w:lang w:val="en-US"/>
        </w:rPr>
      </w:pPr>
      <w:r>
        <w:t>19</w:t>
      </w:r>
      <w:r>
        <w:rPr>
          <w:snapToGrid w:val="0"/>
        </w:rPr>
        <w:t>.</w:t>
      </w:r>
      <w:r>
        <w:rPr>
          <w:snapToGrid w:val="0"/>
        </w:rPr>
        <w:tab/>
        <w:t>Application of Part IV</w:t>
      </w:r>
      <w:r>
        <w:tab/>
      </w:r>
      <w:r>
        <w:fldChar w:fldCharType="begin"/>
      </w:r>
      <w:r>
        <w:instrText xml:space="preserve"> PAGEREF _Toc293650214 \h </w:instrText>
      </w:r>
      <w:r>
        <w:fldChar w:fldCharType="separate"/>
      </w:r>
      <w:r>
        <w:t>17</w:t>
      </w:r>
      <w:r>
        <w:fldChar w:fldCharType="end"/>
      </w:r>
    </w:p>
    <w:p>
      <w:pPr>
        <w:pStyle w:val="TOC8"/>
        <w:rPr>
          <w:sz w:val="24"/>
          <w:szCs w:val="24"/>
          <w:lang w:val="en-US"/>
        </w:rPr>
      </w:pPr>
      <w:r>
        <w:t>20</w:t>
      </w:r>
      <w:r>
        <w:rPr>
          <w:snapToGrid w:val="0"/>
        </w:rPr>
        <w:t>.</w:t>
      </w:r>
      <w:r>
        <w:rPr>
          <w:snapToGrid w:val="0"/>
        </w:rPr>
        <w:tab/>
        <w:t>Application for towage permit</w:t>
      </w:r>
      <w:r>
        <w:tab/>
      </w:r>
      <w:r>
        <w:fldChar w:fldCharType="begin"/>
      </w:r>
      <w:r>
        <w:instrText xml:space="preserve"> PAGEREF _Toc293650215 \h </w:instrText>
      </w:r>
      <w:r>
        <w:fldChar w:fldCharType="separate"/>
      </w:r>
      <w:r>
        <w:t>17</w:t>
      </w:r>
      <w:r>
        <w:fldChar w:fldCharType="end"/>
      </w:r>
    </w:p>
    <w:p>
      <w:pPr>
        <w:pStyle w:val="TOC8"/>
        <w:rPr>
          <w:sz w:val="24"/>
          <w:szCs w:val="24"/>
          <w:lang w:val="en-US"/>
        </w:rPr>
      </w:pPr>
      <w:r>
        <w:t>21</w:t>
      </w:r>
      <w:r>
        <w:rPr>
          <w:snapToGrid w:val="0"/>
        </w:rPr>
        <w:t>.</w:t>
      </w:r>
      <w:r>
        <w:rPr>
          <w:snapToGrid w:val="0"/>
        </w:rPr>
        <w:tab/>
        <w:t>Issue of towage permit</w:t>
      </w:r>
      <w:r>
        <w:tab/>
      </w:r>
      <w:r>
        <w:fldChar w:fldCharType="begin"/>
      </w:r>
      <w:r>
        <w:instrText xml:space="preserve"> PAGEREF _Toc293650216 \h </w:instrText>
      </w:r>
      <w:r>
        <w:fldChar w:fldCharType="separate"/>
      </w:r>
      <w:r>
        <w:t>18</w:t>
      </w:r>
      <w:r>
        <w:fldChar w:fldCharType="end"/>
      </w:r>
    </w:p>
    <w:p>
      <w:pPr>
        <w:pStyle w:val="TOC8"/>
        <w:rPr>
          <w:sz w:val="24"/>
          <w:szCs w:val="24"/>
          <w:lang w:val="en-US"/>
        </w:rPr>
      </w:pPr>
      <w:r>
        <w:t>22</w:t>
      </w:r>
      <w:r>
        <w:rPr>
          <w:snapToGrid w:val="0"/>
        </w:rPr>
        <w:t>.</w:t>
      </w:r>
      <w:r>
        <w:rPr>
          <w:snapToGrid w:val="0"/>
        </w:rPr>
        <w:tab/>
        <w:t>Offence for vessel to be towed without towage permit</w:t>
      </w:r>
      <w:r>
        <w:tab/>
      </w:r>
      <w:r>
        <w:fldChar w:fldCharType="begin"/>
      </w:r>
      <w:r>
        <w:instrText xml:space="preserve"> PAGEREF _Toc293650217 \h </w:instrText>
      </w:r>
      <w:r>
        <w:fldChar w:fldCharType="separate"/>
      </w:r>
      <w:r>
        <w:t>19</w:t>
      </w:r>
      <w:r>
        <w:fldChar w:fldCharType="end"/>
      </w:r>
    </w:p>
    <w:p>
      <w:pPr>
        <w:pStyle w:val="TOC2"/>
        <w:tabs>
          <w:tab w:val="right" w:leader="dot" w:pos="7086"/>
        </w:tabs>
        <w:rPr>
          <w:b w:val="0"/>
          <w:sz w:val="24"/>
          <w:szCs w:val="24"/>
          <w:lang w:val="en-US"/>
        </w:rPr>
      </w:pPr>
      <w:r>
        <w:t>Schedule 1 — Fees</w:t>
      </w:r>
    </w:p>
    <w:p>
      <w:pPr>
        <w:pStyle w:val="TOC8"/>
        <w:rPr>
          <w:sz w:val="24"/>
          <w:szCs w:val="24"/>
          <w:lang w:val="en-US"/>
        </w:rPr>
      </w:pPr>
      <w:r>
        <w:t>1.</w:t>
      </w:r>
      <w:r>
        <w:tab/>
        <w:t>Survey fees</w:t>
      </w:r>
      <w:r>
        <w:tab/>
      </w:r>
      <w:r>
        <w:fldChar w:fldCharType="begin"/>
      </w:r>
      <w:r>
        <w:instrText xml:space="preserve"> PAGEREF _Toc293650219 \h </w:instrText>
      </w:r>
      <w:r>
        <w:fldChar w:fldCharType="separate"/>
      </w:r>
      <w:r>
        <w:t>20</w:t>
      </w:r>
      <w:r>
        <w:fldChar w:fldCharType="end"/>
      </w:r>
    </w:p>
    <w:p>
      <w:pPr>
        <w:pStyle w:val="TOC8"/>
        <w:rPr>
          <w:sz w:val="24"/>
          <w:szCs w:val="24"/>
          <w:lang w:val="en-US"/>
        </w:rPr>
      </w:pPr>
      <w:r>
        <w:t>2.</w:t>
      </w:r>
      <w:r>
        <w:tab/>
        <w:t>Other fees and charges</w:t>
      </w:r>
      <w:r>
        <w:tab/>
      </w:r>
      <w:r>
        <w:fldChar w:fldCharType="begin"/>
      </w:r>
      <w:r>
        <w:instrText xml:space="preserve"> PAGEREF _Toc293650220 \h </w:instrText>
      </w:r>
      <w:r>
        <w:fldChar w:fldCharType="separate"/>
      </w:r>
      <w:r>
        <w:t>30</w:t>
      </w:r>
      <w:r>
        <w:fldChar w:fldCharType="end"/>
      </w:r>
    </w:p>
    <w:p>
      <w:pPr>
        <w:pStyle w:val="TOC8"/>
        <w:rPr>
          <w:sz w:val="24"/>
          <w:szCs w:val="24"/>
          <w:lang w:val="en-US"/>
        </w:rPr>
      </w:pPr>
      <w:r>
        <w:t>3.</w:t>
      </w:r>
      <w:r>
        <w:tab/>
        <w:t>Fees for Hire and Drive Vessels</w:t>
      </w:r>
      <w:r>
        <w:tab/>
      </w:r>
      <w:r>
        <w:fldChar w:fldCharType="begin"/>
      </w:r>
      <w:r>
        <w:instrText xml:space="preserve"> PAGEREF _Toc293650221 \h </w:instrText>
      </w:r>
      <w:r>
        <w:fldChar w:fldCharType="separate"/>
      </w:r>
      <w:r>
        <w:t>35</w:t>
      </w:r>
      <w:r>
        <w:fldChar w:fldCharType="end"/>
      </w:r>
    </w:p>
    <w:p>
      <w:pPr>
        <w:pStyle w:val="TOC8"/>
        <w:rPr>
          <w:sz w:val="24"/>
          <w:szCs w:val="24"/>
          <w:lang w:val="en-US"/>
        </w:rPr>
      </w:pPr>
      <w:r>
        <w:t>4.</w:t>
      </w:r>
      <w:r>
        <w:tab/>
        <w:t>Annual exemption fee</w:t>
      </w:r>
      <w:r>
        <w:tab/>
      </w:r>
      <w:r>
        <w:fldChar w:fldCharType="begin"/>
      </w:r>
      <w:r>
        <w:instrText xml:space="preserve"> PAGEREF _Toc293650222 \h </w:instrText>
      </w:r>
      <w:r>
        <w:fldChar w:fldCharType="separate"/>
      </w:r>
      <w:r>
        <w:t>35</w:t>
      </w:r>
      <w:r>
        <w:fldChar w:fldCharType="end"/>
      </w:r>
    </w:p>
    <w:p>
      <w:pPr>
        <w:pStyle w:val="TOC2"/>
        <w:tabs>
          <w:tab w:val="right" w:leader="dot" w:pos="7086"/>
        </w:tabs>
        <w:rPr>
          <w:b w:val="0"/>
          <w:sz w:val="24"/>
          <w:szCs w:val="24"/>
          <w:lang w:val="en-US"/>
        </w:rPr>
      </w:pPr>
      <w:r>
        <w:t>Schedule 2</w:t>
      </w:r>
    </w:p>
    <w:p>
      <w:pPr>
        <w:pStyle w:val="TOC2"/>
        <w:tabs>
          <w:tab w:val="right" w:leader="dot" w:pos="7086"/>
        </w:tabs>
        <w:rPr>
          <w:b w:val="0"/>
          <w:sz w:val="24"/>
          <w:szCs w:val="24"/>
          <w:lang w:val="en-US"/>
        </w:rPr>
      </w:pPr>
      <w:r>
        <w:t>Survey requirements and intervals</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_Toc293650226 \h </w:instrText>
      </w:r>
      <w:r>
        <w:fldChar w:fldCharType="separate"/>
      </w:r>
      <w:r>
        <w:t>44</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PrincipalActReg"/>
        <w:spacing w:before="120"/>
        <w:rPr>
          <w:snapToGrid w:val="0"/>
        </w:rPr>
      </w:pPr>
      <w:r>
        <w:rPr>
          <w:snapToGrid w:val="0"/>
        </w:rPr>
        <w:t>Western Australian Marine Act 1982</w:t>
      </w:r>
    </w:p>
    <w:p>
      <w:pPr>
        <w:pStyle w:val="NameofActReg"/>
        <w:spacing w:after="720"/>
      </w:pPr>
      <w:r>
        <w:t>W.A. Marine (Surveys and Certificates of Survey) Regulations 1983</w:t>
      </w:r>
    </w:p>
    <w:p>
      <w:pPr>
        <w:pStyle w:val="Heading2"/>
        <w:pageBreakBefore w:val="0"/>
      </w:pPr>
      <w:bookmarkStart w:id="1" w:name="_Toc107747002"/>
      <w:bookmarkStart w:id="2" w:name="_Toc139183076"/>
      <w:bookmarkStart w:id="3" w:name="_Toc139347611"/>
      <w:bookmarkStart w:id="4" w:name="_Toc150239297"/>
      <w:bookmarkStart w:id="5" w:name="_Toc150239520"/>
      <w:bookmarkStart w:id="6" w:name="_Toc152381831"/>
      <w:bookmarkStart w:id="7" w:name="_Toc152486304"/>
      <w:bookmarkStart w:id="8" w:name="_Toc152728273"/>
      <w:bookmarkStart w:id="9" w:name="_Toc154212582"/>
      <w:bookmarkStart w:id="10" w:name="_Toc170633532"/>
      <w:bookmarkStart w:id="11" w:name="_Toc170814730"/>
      <w:bookmarkStart w:id="12" w:name="_Toc170814768"/>
      <w:bookmarkStart w:id="13" w:name="_Toc202506517"/>
      <w:bookmarkStart w:id="14" w:name="_Toc212609778"/>
      <w:bookmarkStart w:id="15" w:name="_Toc232588251"/>
      <w:bookmarkStart w:id="16" w:name="_Toc233615409"/>
      <w:bookmarkStart w:id="17" w:name="_Toc235955702"/>
      <w:bookmarkStart w:id="18" w:name="_Toc236543192"/>
      <w:bookmarkStart w:id="19" w:name="_Toc236543379"/>
      <w:bookmarkStart w:id="20" w:name="_Toc238457721"/>
      <w:bookmarkStart w:id="21" w:name="_Toc238959710"/>
      <w:bookmarkStart w:id="22" w:name="_Toc248306472"/>
      <w:bookmarkStart w:id="23" w:name="_Toc248307524"/>
      <w:bookmarkStart w:id="24" w:name="_Toc248308126"/>
      <w:bookmarkStart w:id="25" w:name="_Toc265675057"/>
      <w:bookmarkStart w:id="26" w:name="_Toc265675241"/>
      <w:bookmarkStart w:id="27" w:name="_Toc293650090"/>
      <w:bookmarkStart w:id="28" w:name="_Toc293650188"/>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r>
        <w:rPr>
          <w:rStyle w:val="CharPartText"/>
        </w:rPr>
        <w:t xml:space="preserve"> </w:t>
      </w:r>
    </w:p>
    <w:p>
      <w:pPr>
        <w:pStyle w:val="Heading5"/>
        <w:rPr>
          <w:snapToGrid w:val="0"/>
        </w:rPr>
      </w:pPr>
      <w:bookmarkStart w:id="29" w:name="_Toc6384641"/>
      <w:bookmarkStart w:id="30" w:name="_Toc13031660"/>
      <w:bookmarkStart w:id="31" w:name="_Toc14593287"/>
      <w:bookmarkStart w:id="32" w:name="_Toc18137682"/>
      <w:bookmarkStart w:id="33" w:name="_Toc107747003"/>
      <w:bookmarkStart w:id="34" w:name="_Toc293650189"/>
      <w:r>
        <w:rPr>
          <w:rStyle w:val="CharSectno"/>
        </w:rPr>
        <w:t>1</w:t>
      </w:r>
      <w:r>
        <w:rPr>
          <w:snapToGrid w:val="0"/>
        </w:rPr>
        <w:t>.</w:t>
      </w:r>
      <w:r>
        <w:rPr>
          <w:snapToGrid w:val="0"/>
        </w:rPr>
        <w:tab/>
        <w:t>Citation</w:t>
      </w:r>
      <w:bookmarkEnd w:id="29"/>
      <w:bookmarkEnd w:id="30"/>
      <w:bookmarkEnd w:id="31"/>
      <w:bookmarkEnd w:id="32"/>
      <w:bookmarkEnd w:id="33"/>
      <w:bookmarkEnd w:id="3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W.A. Marine (Surveys and Certificates of Survey) Regulations 1983</w:t>
      </w:r>
      <w:r>
        <w:rPr>
          <w:i/>
          <w:snapToGrid w:val="0"/>
          <w:vertAlign w:val="superscript"/>
        </w:rPr>
        <w:t xml:space="preserve"> </w:t>
      </w:r>
      <w:r>
        <w:rPr>
          <w:snapToGrid w:val="0"/>
          <w:vertAlign w:val="superscript"/>
        </w:rPr>
        <w:t>1</w:t>
      </w:r>
      <w:r>
        <w:rPr>
          <w:snapToGrid w:val="0"/>
        </w:rPr>
        <w:t>.</w:t>
      </w:r>
    </w:p>
    <w:p>
      <w:pPr>
        <w:pStyle w:val="Heading5"/>
        <w:rPr>
          <w:snapToGrid w:val="0"/>
        </w:rPr>
      </w:pPr>
      <w:bookmarkStart w:id="35" w:name="_Toc6384642"/>
      <w:bookmarkStart w:id="36" w:name="_Toc13031661"/>
      <w:bookmarkStart w:id="37" w:name="_Toc14593288"/>
      <w:bookmarkStart w:id="38" w:name="_Toc18137683"/>
      <w:bookmarkStart w:id="39" w:name="_Toc107747004"/>
      <w:bookmarkStart w:id="40" w:name="_Toc293650190"/>
      <w:r>
        <w:rPr>
          <w:rStyle w:val="CharSectno"/>
        </w:rPr>
        <w:t>2</w:t>
      </w:r>
      <w:r>
        <w:rPr>
          <w:snapToGrid w:val="0"/>
        </w:rPr>
        <w:t>.</w:t>
      </w:r>
      <w:r>
        <w:rPr>
          <w:snapToGrid w:val="0"/>
        </w:rPr>
        <w:tab/>
        <w:t>Commencement</w:t>
      </w:r>
      <w:bookmarkEnd w:id="35"/>
      <w:bookmarkEnd w:id="36"/>
      <w:bookmarkEnd w:id="37"/>
      <w:bookmarkEnd w:id="38"/>
      <w:bookmarkEnd w:id="39"/>
      <w:bookmarkEnd w:id="40"/>
      <w:r>
        <w:rPr>
          <w:snapToGrid w:val="0"/>
        </w:rPr>
        <w:t xml:space="preserve"> </w:t>
      </w:r>
    </w:p>
    <w:p>
      <w:pPr>
        <w:pStyle w:val="Subsection"/>
        <w:rPr>
          <w:snapToGrid w:val="0"/>
        </w:rPr>
      </w:pPr>
      <w:r>
        <w:rPr>
          <w:snapToGrid w:val="0"/>
        </w:rPr>
        <w:tab/>
      </w:r>
      <w:r>
        <w:rPr>
          <w:snapToGrid w:val="0"/>
        </w:rPr>
        <w:tab/>
        <w:t>These regulations shall come into operation on 1 July 1983.</w:t>
      </w:r>
    </w:p>
    <w:p>
      <w:pPr>
        <w:pStyle w:val="Heading5"/>
        <w:rPr>
          <w:snapToGrid w:val="0"/>
        </w:rPr>
      </w:pPr>
      <w:bookmarkStart w:id="41" w:name="_Toc6384643"/>
      <w:bookmarkStart w:id="42" w:name="_Toc13031662"/>
      <w:bookmarkStart w:id="43" w:name="_Toc14593289"/>
      <w:bookmarkStart w:id="44" w:name="_Toc18137684"/>
      <w:bookmarkStart w:id="45" w:name="_Toc107747005"/>
      <w:bookmarkStart w:id="46" w:name="_Toc293650191"/>
      <w:r>
        <w:rPr>
          <w:rStyle w:val="CharSectno"/>
        </w:rPr>
        <w:t>3</w:t>
      </w:r>
      <w:r>
        <w:rPr>
          <w:snapToGrid w:val="0"/>
        </w:rPr>
        <w:t>.</w:t>
      </w:r>
      <w:r>
        <w:rPr>
          <w:snapToGrid w:val="0"/>
        </w:rPr>
        <w:tab/>
      </w:r>
      <w:bookmarkEnd w:id="41"/>
      <w:bookmarkEnd w:id="42"/>
      <w:bookmarkEnd w:id="43"/>
      <w:bookmarkEnd w:id="44"/>
      <w:bookmarkEnd w:id="45"/>
      <w:r>
        <w:rPr>
          <w:snapToGrid w:val="0"/>
        </w:rPr>
        <w:t>Terms used</w:t>
      </w:r>
      <w:bookmarkEnd w:id="46"/>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class</w:t>
      </w:r>
      <w:r>
        <w:t xml:space="preserve"> means a class or service category of a vessel determined in the manner provided in the Code;</w:t>
      </w:r>
    </w:p>
    <w:p>
      <w:pPr>
        <w:pStyle w:val="Defstart"/>
      </w:pPr>
      <w:r>
        <w:tab/>
      </w:r>
      <w:r>
        <w:rPr>
          <w:rStyle w:val="CharDefText"/>
        </w:rPr>
        <w:t>Code</w:t>
      </w:r>
      <w:r>
        <w:t xml:space="preserve"> means the Uniform Shipping Laws Code, referred to in section 115 of the Act, as in existence on 1 October 2009;</w:t>
      </w:r>
    </w:p>
    <w:p>
      <w:pPr>
        <w:pStyle w:val="Defstart"/>
        <w:keepNext/>
      </w:pPr>
      <w:r>
        <w:rPr>
          <w:b/>
        </w:rPr>
        <w:tab/>
      </w:r>
      <w:r>
        <w:rPr>
          <w:rStyle w:val="CharDefText"/>
        </w:rPr>
        <w:t>inspection</w:t>
      </w:r>
      <w:r>
        <w:t xml:space="preserve"> means a visual inspection performed by a person approved for the purpose by the Chief Executive Officer;</w:t>
      </w:r>
    </w:p>
    <w:p>
      <w:pPr>
        <w:pStyle w:val="Defstart"/>
      </w:pPr>
      <w:r>
        <w:tab/>
      </w:r>
      <w:r>
        <w:rPr>
          <w:rStyle w:val="CharDefText"/>
        </w:rPr>
        <w:t>List 7 vessel</w:t>
      </w:r>
      <w:r>
        <w:t xml:space="preserve"> means a new vessel as defined in clause 2 of Amendment List 7 to the Code as adopted on 7 November 2008;</w:t>
      </w:r>
    </w:p>
    <w:p>
      <w:pPr>
        <w:pStyle w:val="Defstart"/>
      </w:pPr>
      <w:r>
        <w:rPr>
          <w:b/>
        </w:rPr>
        <w:tab/>
      </w:r>
      <w:r>
        <w:rPr>
          <w:rStyle w:val="CharDefText"/>
        </w:rPr>
        <w:t>marine authority</w:t>
      </w:r>
      <w:r>
        <w:t xml:space="preserve"> means the statutory marine authority of the Commonwealth or of a State or Territory of the Commonwealth;</w:t>
      </w:r>
    </w:p>
    <w:p>
      <w:pPr>
        <w:pStyle w:val="Defstart"/>
      </w:pPr>
      <w:r>
        <w:tab/>
      </w:r>
      <w:r>
        <w:rPr>
          <w:rStyle w:val="CharDefText"/>
        </w:rPr>
        <w:t>measured length</w:t>
      </w:r>
      <w:r>
        <w:t xml:space="preserve"> has the meaning given in the Code;</w:t>
      </w:r>
    </w:p>
    <w:p>
      <w:pPr>
        <w:pStyle w:val="Defstart"/>
      </w:pPr>
      <w:r>
        <w:tab/>
      </w:r>
      <w:r>
        <w:rPr>
          <w:rStyle w:val="CharDefText"/>
        </w:rPr>
        <w:t>NSCV Part C Section 6A</w:t>
      </w:r>
      <w:r>
        <w:t xml:space="preserve"> means Part C Section 6A of the NSCV, as defined in the </w:t>
      </w:r>
      <w:r>
        <w:rPr>
          <w:i/>
          <w:iCs/>
        </w:rPr>
        <w:t xml:space="preserve">Navigation Act 1912 </w:t>
      </w:r>
      <w:r>
        <w:t>(Commonwealth) section 427, as in existence on 1 October 2009;</w:t>
      </w:r>
    </w:p>
    <w:p>
      <w:pPr>
        <w:pStyle w:val="Defstart"/>
      </w:pPr>
      <w:r>
        <w:rPr>
          <w:b/>
        </w:rPr>
        <w:tab/>
      </w:r>
      <w:r>
        <w:rPr>
          <w:rStyle w:val="CharDefText"/>
        </w:rPr>
        <w:t>specified form</w:t>
      </w:r>
      <w:r>
        <w:t xml:space="preserve"> means a form specified for the purpose by the Minister;</w:t>
      </w:r>
    </w:p>
    <w:p>
      <w:pPr>
        <w:pStyle w:val="Defstart"/>
      </w:pPr>
      <w:r>
        <w:rPr>
          <w:b/>
        </w:rPr>
        <w:tab/>
      </w:r>
      <w:r>
        <w:rPr>
          <w:rStyle w:val="CharDefText"/>
        </w:rPr>
        <w:t>survey</w:t>
      </w:r>
      <w:r>
        <w:t xml:space="preserve"> means a thorough examination performed by or in the presence of a surveyor or survey authority;</w:t>
      </w:r>
    </w:p>
    <w:p>
      <w:pPr>
        <w:pStyle w:val="Defstart"/>
        <w:keepNext/>
      </w:pPr>
      <w:r>
        <w:rPr>
          <w:b/>
        </w:rPr>
        <w:tab/>
      </w:r>
      <w:r>
        <w:rPr>
          <w:rStyle w:val="CharDefText"/>
        </w:rPr>
        <w:t>survey authority</w:t>
      </w:r>
      <w:r>
        <w:t xml:space="preserve"> means an authority appointed by the Governor under section 24 of the Act.</w:t>
      </w:r>
    </w:p>
    <w:p>
      <w:pPr>
        <w:pStyle w:val="Ednotesubsection"/>
      </w:pPr>
      <w:r>
        <w:tab/>
        <w:t>[(2)</w:t>
      </w:r>
      <w:r>
        <w:tab/>
        <w:t>deleted]</w:t>
      </w:r>
    </w:p>
    <w:p>
      <w:pPr>
        <w:pStyle w:val="Footnotesection"/>
      </w:pPr>
      <w:r>
        <w:tab/>
        <w:t>[Regulation 3 amended in Gazette 11 Aug 1992 p. 3980; 24 Oct 2008 p. 4679</w:t>
      </w:r>
      <w:r>
        <w:noBreakHyphen/>
        <w:t>80; 11 Dec 2009 p. 5107</w:t>
      </w:r>
      <w:r>
        <w:noBreakHyphen/>
        <w:t xml:space="preserve">8.] </w:t>
      </w:r>
    </w:p>
    <w:p>
      <w:pPr>
        <w:pStyle w:val="Heading5"/>
        <w:rPr>
          <w:snapToGrid w:val="0"/>
        </w:rPr>
      </w:pPr>
      <w:bookmarkStart w:id="47" w:name="_Toc6384644"/>
      <w:bookmarkStart w:id="48" w:name="_Toc13031663"/>
      <w:bookmarkStart w:id="49" w:name="_Toc14593290"/>
      <w:bookmarkStart w:id="50" w:name="_Toc18137685"/>
      <w:bookmarkStart w:id="51" w:name="_Toc107747006"/>
      <w:bookmarkStart w:id="52" w:name="_Toc293650192"/>
      <w:r>
        <w:rPr>
          <w:rStyle w:val="CharSectno"/>
        </w:rPr>
        <w:t>4</w:t>
      </w:r>
      <w:r>
        <w:rPr>
          <w:snapToGrid w:val="0"/>
        </w:rPr>
        <w:t>.</w:t>
      </w:r>
      <w:r>
        <w:rPr>
          <w:snapToGrid w:val="0"/>
        </w:rPr>
        <w:tab/>
        <w:t>Application</w:t>
      </w:r>
      <w:bookmarkEnd w:id="47"/>
      <w:bookmarkEnd w:id="48"/>
      <w:bookmarkEnd w:id="49"/>
      <w:bookmarkEnd w:id="50"/>
      <w:bookmarkEnd w:id="51"/>
      <w:bookmarkEnd w:id="52"/>
      <w:r>
        <w:rPr>
          <w:snapToGrid w:val="0"/>
        </w:rPr>
        <w:t xml:space="preserve"> </w:t>
      </w:r>
    </w:p>
    <w:p>
      <w:pPr>
        <w:pStyle w:val="Subsection"/>
        <w:rPr>
          <w:snapToGrid w:val="0"/>
        </w:rPr>
      </w:pPr>
      <w:r>
        <w:rPr>
          <w:snapToGrid w:val="0"/>
        </w:rPr>
        <w:tab/>
      </w:r>
      <w:r>
        <w:rPr>
          <w:snapToGrid w:val="0"/>
        </w:rPr>
        <w:tab/>
        <w:t>These regulations apply to all commercial vessels to which the Act applies.</w:t>
      </w:r>
    </w:p>
    <w:p>
      <w:pPr>
        <w:pStyle w:val="Heading5"/>
        <w:rPr>
          <w:snapToGrid w:val="0"/>
        </w:rPr>
      </w:pPr>
      <w:bookmarkStart w:id="53" w:name="_Toc293650193"/>
      <w:bookmarkStart w:id="54" w:name="_Toc6384645"/>
      <w:bookmarkStart w:id="55" w:name="_Toc13031664"/>
      <w:bookmarkStart w:id="56" w:name="_Toc14593291"/>
      <w:bookmarkStart w:id="57" w:name="_Toc18137686"/>
      <w:bookmarkStart w:id="58" w:name="_Toc107747007"/>
      <w:r>
        <w:rPr>
          <w:rStyle w:val="CharSectno"/>
        </w:rPr>
        <w:t>4AA</w:t>
      </w:r>
      <w:r>
        <w:t>.</w:t>
      </w:r>
      <w:r>
        <w:rPr>
          <w:snapToGrid w:val="0"/>
        </w:rPr>
        <w:tab/>
        <w:t>Classification of vessels</w:t>
      </w:r>
      <w:bookmarkEnd w:id="53"/>
    </w:p>
    <w:p>
      <w:pPr>
        <w:pStyle w:val="Subsection"/>
        <w:rPr>
          <w:snapToGrid w:val="0"/>
        </w:rPr>
      </w:pPr>
      <w:r>
        <w:rPr>
          <w:snapToGrid w:val="0"/>
        </w:rPr>
        <w:tab/>
      </w:r>
      <w:r>
        <w:rPr>
          <w:snapToGrid w:val="0"/>
        </w:rPr>
        <w:tab/>
        <w:t>For the purposes of these regulations, vessels are to be classified in the manner provided by clause 6 of Section 1 of the Code.</w:t>
      </w:r>
    </w:p>
    <w:p>
      <w:pPr>
        <w:pStyle w:val="Footnotesection"/>
      </w:pPr>
      <w:r>
        <w:tab/>
        <w:t>[Regulation 4AA inserted in Gazette 11 Dec 2009 p. 5108.]</w:t>
      </w:r>
    </w:p>
    <w:p>
      <w:pPr>
        <w:pStyle w:val="Heading5"/>
        <w:rPr>
          <w:snapToGrid w:val="0"/>
        </w:rPr>
      </w:pPr>
      <w:bookmarkStart w:id="59" w:name="_Toc293650194"/>
      <w:r>
        <w:rPr>
          <w:rStyle w:val="CharSectno"/>
        </w:rPr>
        <w:t>4A</w:t>
      </w:r>
      <w:r>
        <w:rPr>
          <w:snapToGrid w:val="0"/>
        </w:rPr>
        <w:t>.</w:t>
      </w:r>
      <w:r>
        <w:rPr>
          <w:snapToGrid w:val="0"/>
        </w:rPr>
        <w:tab/>
        <w:t>Fees and charges</w:t>
      </w:r>
      <w:bookmarkEnd w:id="54"/>
      <w:bookmarkEnd w:id="55"/>
      <w:bookmarkEnd w:id="56"/>
      <w:bookmarkEnd w:id="57"/>
      <w:bookmarkEnd w:id="58"/>
      <w:bookmarkEnd w:id="59"/>
      <w:r>
        <w:rPr>
          <w:snapToGrid w:val="0"/>
        </w:rPr>
        <w:t xml:space="preserve"> </w:t>
      </w:r>
    </w:p>
    <w:p>
      <w:pPr>
        <w:pStyle w:val="Subsection"/>
        <w:rPr>
          <w:snapToGrid w:val="0"/>
        </w:rPr>
      </w:pPr>
      <w:r>
        <w:rPr>
          <w:snapToGrid w:val="0"/>
        </w:rPr>
        <w:tab/>
      </w:r>
      <w:r>
        <w:rPr>
          <w:snapToGrid w:val="0"/>
        </w:rPr>
        <w:tab/>
        <w:t>Unless otherwise set out in these regulations, the fees and charges in Schedule 1 are payable in relation to the matters associated with the fee or charge in that Schedule.</w:t>
      </w:r>
    </w:p>
    <w:p>
      <w:pPr>
        <w:pStyle w:val="Footnotesection"/>
      </w:pPr>
      <w:r>
        <w:tab/>
        <w:t xml:space="preserve">[Regulation 4A inserted in Gazette 11 Jul 1995 p. 2948.] </w:t>
      </w:r>
    </w:p>
    <w:p>
      <w:pPr>
        <w:pStyle w:val="Heading2"/>
      </w:pPr>
      <w:bookmarkStart w:id="60" w:name="_Toc107747008"/>
      <w:bookmarkStart w:id="61" w:name="_Toc139183082"/>
      <w:bookmarkStart w:id="62" w:name="_Toc139347617"/>
      <w:bookmarkStart w:id="63" w:name="_Toc150239303"/>
      <w:bookmarkStart w:id="64" w:name="_Toc150239526"/>
      <w:bookmarkStart w:id="65" w:name="_Toc152381837"/>
      <w:bookmarkStart w:id="66" w:name="_Toc152486310"/>
      <w:bookmarkStart w:id="67" w:name="_Toc152728279"/>
      <w:bookmarkStart w:id="68" w:name="_Toc154212588"/>
      <w:bookmarkStart w:id="69" w:name="_Toc170633538"/>
      <w:bookmarkStart w:id="70" w:name="_Toc170814736"/>
      <w:bookmarkStart w:id="71" w:name="_Toc170814774"/>
      <w:bookmarkStart w:id="72" w:name="_Toc202506523"/>
      <w:bookmarkStart w:id="73" w:name="_Toc212609784"/>
      <w:bookmarkStart w:id="74" w:name="_Toc232588257"/>
      <w:bookmarkStart w:id="75" w:name="_Toc233615415"/>
      <w:bookmarkStart w:id="76" w:name="_Toc235955708"/>
      <w:bookmarkStart w:id="77" w:name="_Toc236543198"/>
      <w:bookmarkStart w:id="78" w:name="_Toc236543385"/>
      <w:bookmarkStart w:id="79" w:name="_Toc238457727"/>
      <w:bookmarkStart w:id="80" w:name="_Toc238959716"/>
      <w:bookmarkStart w:id="81" w:name="_Toc248306479"/>
      <w:bookmarkStart w:id="82" w:name="_Toc248307531"/>
      <w:bookmarkStart w:id="83" w:name="_Toc248308133"/>
      <w:bookmarkStart w:id="84" w:name="_Toc265675064"/>
      <w:bookmarkStart w:id="85" w:name="_Toc265675248"/>
      <w:bookmarkStart w:id="86" w:name="_Toc293650097"/>
      <w:bookmarkStart w:id="87" w:name="_Toc293650195"/>
      <w:r>
        <w:rPr>
          <w:rStyle w:val="CharPartNo"/>
        </w:rPr>
        <w:t>Part II</w:t>
      </w:r>
      <w:r>
        <w:rPr>
          <w:rStyle w:val="CharDivNo"/>
        </w:rPr>
        <w:t> </w:t>
      </w:r>
      <w:r>
        <w:t>—</w:t>
      </w:r>
      <w:r>
        <w:rPr>
          <w:rStyle w:val="CharDivText"/>
        </w:rPr>
        <w:t> </w:t>
      </w:r>
      <w:r>
        <w:rPr>
          <w:rStyle w:val="CharPartText"/>
        </w:rPr>
        <w:t>Survey requirements</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r>
        <w:rPr>
          <w:rStyle w:val="CharPartText"/>
        </w:rPr>
        <w:t xml:space="preserve"> </w:t>
      </w:r>
    </w:p>
    <w:p>
      <w:pPr>
        <w:pStyle w:val="Heading5"/>
        <w:rPr>
          <w:snapToGrid w:val="0"/>
        </w:rPr>
      </w:pPr>
      <w:bookmarkStart w:id="88" w:name="_Toc6384646"/>
      <w:bookmarkStart w:id="89" w:name="_Toc13031665"/>
      <w:bookmarkStart w:id="90" w:name="_Toc14593292"/>
      <w:bookmarkStart w:id="91" w:name="_Toc18137687"/>
      <w:bookmarkStart w:id="92" w:name="_Toc107747009"/>
      <w:bookmarkStart w:id="93" w:name="_Toc293650196"/>
      <w:r>
        <w:rPr>
          <w:rStyle w:val="CharSectno"/>
        </w:rPr>
        <w:t>5</w:t>
      </w:r>
      <w:r>
        <w:rPr>
          <w:snapToGrid w:val="0"/>
        </w:rPr>
        <w:t>.</w:t>
      </w:r>
      <w:r>
        <w:rPr>
          <w:snapToGrid w:val="0"/>
        </w:rPr>
        <w:tab/>
        <w:t>Initial survey</w:t>
      </w:r>
      <w:bookmarkEnd w:id="88"/>
      <w:bookmarkEnd w:id="89"/>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Every new vessel constructed under the jurisdiction of the State and every existing vessel being brought under survey for the first time is required to undergo an initial survey for the purpose of satisfying the Chief Executive Officer that the vessel complies with the laws of the State.</w:t>
      </w:r>
    </w:p>
    <w:p>
      <w:pPr>
        <w:pStyle w:val="Subsection"/>
        <w:rPr>
          <w:snapToGrid w:val="0"/>
          <w:spacing w:val="-4"/>
        </w:rPr>
      </w:pPr>
      <w:r>
        <w:rPr>
          <w:snapToGrid w:val="0"/>
          <w:spacing w:val="-4"/>
        </w:rPr>
        <w:tab/>
        <w:t>(2)</w:t>
      </w:r>
      <w:r>
        <w:rPr>
          <w:snapToGrid w:val="0"/>
          <w:spacing w:val="-4"/>
        </w:rPr>
        <w:tab/>
        <w:t>An application for initial survey shall be made to the Chief Executive Officer in the specified form and shall be accompanied by the appropriate survey fee set out in Schedule 1.</w:t>
      </w:r>
    </w:p>
    <w:p>
      <w:pPr>
        <w:pStyle w:val="Subsection"/>
        <w:rPr>
          <w:snapToGrid w:val="0"/>
        </w:rPr>
      </w:pPr>
      <w:r>
        <w:rPr>
          <w:snapToGrid w:val="0"/>
        </w:rPr>
        <w:tab/>
        <w:t>(3)</w:t>
      </w:r>
      <w:r>
        <w:rPr>
          <w:snapToGrid w:val="0"/>
        </w:rPr>
        <w:tab/>
        <w:t>An application for initial survey shall be accompanied by the following information — </w:t>
      </w:r>
    </w:p>
    <w:p>
      <w:pPr>
        <w:pStyle w:val="Indenta"/>
        <w:rPr>
          <w:snapToGrid w:val="0"/>
        </w:rPr>
      </w:pPr>
      <w:r>
        <w:rPr>
          <w:snapToGrid w:val="0"/>
        </w:rPr>
        <w:tab/>
        <w:t>(a)</w:t>
      </w:r>
      <w:r>
        <w:rPr>
          <w:snapToGrid w:val="0"/>
        </w:rPr>
        <w:tab/>
        <w:t>type and purpose of vessel;</w:t>
      </w:r>
    </w:p>
    <w:p>
      <w:pPr>
        <w:pStyle w:val="Indenta"/>
        <w:rPr>
          <w:snapToGrid w:val="0"/>
        </w:rPr>
      </w:pPr>
      <w:r>
        <w:rPr>
          <w:snapToGrid w:val="0"/>
        </w:rPr>
        <w:tab/>
        <w:t>(b)</w:t>
      </w:r>
      <w:r>
        <w:rPr>
          <w:snapToGrid w:val="0"/>
        </w:rPr>
        <w:tab/>
        <w:t>intended area of operations;</w:t>
      </w:r>
    </w:p>
    <w:p>
      <w:pPr>
        <w:pStyle w:val="Indenta"/>
        <w:rPr>
          <w:snapToGrid w:val="0"/>
        </w:rPr>
      </w:pPr>
      <w:r>
        <w:rPr>
          <w:snapToGrid w:val="0"/>
        </w:rPr>
        <w:tab/>
        <w:t>(c)</w:t>
      </w:r>
      <w:r>
        <w:rPr>
          <w:snapToGrid w:val="0"/>
        </w:rPr>
        <w:tab/>
        <w:t>whether vessel is to be classed and if so, name of the Classification Society (for existing vessel the details of any Classification);</w:t>
      </w:r>
    </w:p>
    <w:p>
      <w:pPr>
        <w:pStyle w:val="Indenta"/>
        <w:rPr>
          <w:snapToGrid w:val="0"/>
        </w:rPr>
      </w:pPr>
      <w:r>
        <w:rPr>
          <w:snapToGrid w:val="0"/>
        </w:rPr>
        <w:tab/>
        <w:t>(d)</w:t>
      </w:r>
      <w:r>
        <w:rPr>
          <w:snapToGrid w:val="0"/>
        </w:rPr>
        <w:tab/>
        <w:t>plans and details of hull, boilers and machinery, and equipment;</w:t>
      </w:r>
    </w:p>
    <w:p>
      <w:pPr>
        <w:pStyle w:val="Indenta"/>
        <w:rPr>
          <w:snapToGrid w:val="0"/>
        </w:rPr>
      </w:pPr>
      <w:r>
        <w:rPr>
          <w:snapToGrid w:val="0"/>
        </w:rPr>
        <w:tab/>
        <w:t>(e)</w:t>
      </w:r>
      <w:r>
        <w:rPr>
          <w:snapToGrid w:val="0"/>
        </w:rPr>
        <w:tab/>
        <w:t>such other information as the Chief Executive Officer may require; and</w:t>
      </w:r>
    </w:p>
    <w:p>
      <w:pPr>
        <w:pStyle w:val="Indenta"/>
        <w:rPr>
          <w:snapToGrid w:val="0"/>
        </w:rPr>
      </w:pPr>
      <w:r>
        <w:rPr>
          <w:snapToGrid w:val="0"/>
        </w:rPr>
        <w:tab/>
        <w:t>(f)</w:t>
      </w:r>
      <w:r>
        <w:rPr>
          <w:snapToGrid w:val="0"/>
        </w:rPr>
        <w:tab/>
        <w:t>where a vessel is, or is to be, classed, the owner shall forward to the Chief Executive Officer only such plans and details as are relevant to the Chief Executive Officer’s own survey and the other plans and details shall be forwarded to the Classification Society.</w:t>
      </w:r>
    </w:p>
    <w:p>
      <w:pPr>
        <w:pStyle w:val="Subsection"/>
        <w:rPr>
          <w:snapToGrid w:val="0"/>
        </w:rPr>
      </w:pPr>
      <w:r>
        <w:rPr>
          <w:snapToGrid w:val="0"/>
        </w:rPr>
        <w:tab/>
        <w:t>(4)</w:t>
      </w:r>
      <w:r>
        <w:rPr>
          <w:snapToGrid w:val="0"/>
        </w:rPr>
        <w:tab/>
        <w:t>The information required to be provided to the Authority under subregulation (3) shall be submitted — </w:t>
      </w:r>
    </w:p>
    <w:p>
      <w:pPr>
        <w:pStyle w:val="Indenta"/>
        <w:rPr>
          <w:snapToGrid w:val="0"/>
        </w:rPr>
      </w:pPr>
      <w:r>
        <w:rPr>
          <w:snapToGrid w:val="0"/>
        </w:rPr>
        <w:tab/>
        <w:t>(a)</w:t>
      </w:r>
      <w:r>
        <w:rPr>
          <w:snapToGrid w:val="0"/>
        </w:rPr>
        <w:tab/>
        <w:t>in the case of a new vessel, prior to the commencement of construction (and construction shall not begin until the Chief Executive Officer has given his approval); and</w:t>
      </w:r>
    </w:p>
    <w:p>
      <w:pPr>
        <w:pStyle w:val="Indenta"/>
        <w:rPr>
          <w:snapToGrid w:val="0"/>
        </w:rPr>
      </w:pPr>
      <w:r>
        <w:rPr>
          <w:snapToGrid w:val="0"/>
        </w:rPr>
        <w:tab/>
        <w:t>(b)</w:t>
      </w:r>
      <w:r>
        <w:rPr>
          <w:snapToGrid w:val="0"/>
        </w:rPr>
        <w:tab/>
        <w:t>in the case of an existing vessel, in such time as is provided by regulation 6(7) with respect to applications for periodic survey.</w:t>
      </w:r>
    </w:p>
    <w:p>
      <w:pPr>
        <w:pStyle w:val="Subsection"/>
        <w:rPr>
          <w:snapToGrid w:val="0"/>
        </w:rPr>
      </w:pPr>
      <w:r>
        <w:rPr>
          <w:snapToGrid w:val="0"/>
        </w:rPr>
        <w:tab/>
        <w:t>(5)</w:t>
      </w:r>
      <w:r>
        <w:rPr>
          <w:snapToGrid w:val="0"/>
        </w:rPr>
        <w:tab/>
        <w:t>Subject to subregulation (6), an initial survey shall be carried out in full by the Department’s surveyors who shall forward to the Chief Executive Officer in writing, and in a form approved by the Chief Executive Officer, a report of the condition of the hull and the boilers and machinery and equipment of the vessel.</w:t>
      </w:r>
    </w:p>
    <w:p>
      <w:pPr>
        <w:pStyle w:val="Subsection"/>
        <w:rPr>
          <w:snapToGrid w:val="0"/>
        </w:rPr>
      </w:pPr>
      <w:r>
        <w:rPr>
          <w:snapToGrid w:val="0"/>
        </w:rPr>
        <w:tab/>
        <w:t>(6)</w:t>
      </w:r>
      <w:r>
        <w:rPr>
          <w:snapToGrid w:val="0"/>
        </w:rPr>
        <w:tab/>
        <w:t>The Chief Executive Officer may accept the performance of all or part of an initial survey by a survey authority.</w:t>
      </w:r>
    </w:p>
    <w:p>
      <w:pPr>
        <w:pStyle w:val="Footnotesection"/>
      </w:pPr>
      <w:r>
        <w:tab/>
        <w:t xml:space="preserve">[Regulation 5 amended in Gazette 11 Aug 1992 p. 3980.] </w:t>
      </w:r>
    </w:p>
    <w:p>
      <w:pPr>
        <w:pStyle w:val="Heading5"/>
        <w:rPr>
          <w:snapToGrid w:val="0"/>
        </w:rPr>
      </w:pPr>
      <w:bookmarkStart w:id="94" w:name="_Toc6384647"/>
      <w:bookmarkStart w:id="95" w:name="_Toc13031666"/>
      <w:bookmarkStart w:id="96" w:name="_Toc14593293"/>
      <w:bookmarkStart w:id="97" w:name="_Toc18137688"/>
      <w:bookmarkStart w:id="98" w:name="_Toc107747010"/>
      <w:bookmarkStart w:id="99" w:name="_Toc293650197"/>
      <w:r>
        <w:rPr>
          <w:rStyle w:val="CharSectno"/>
        </w:rPr>
        <w:t>6</w:t>
      </w:r>
      <w:r>
        <w:rPr>
          <w:snapToGrid w:val="0"/>
        </w:rPr>
        <w:t>.</w:t>
      </w:r>
      <w:r>
        <w:rPr>
          <w:snapToGrid w:val="0"/>
        </w:rPr>
        <w:tab/>
        <w:t>Periodic surveys and inspections</w:t>
      </w:r>
      <w:bookmarkEnd w:id="94"/>
      <w:bookmarkEnd w:id="95"/>
      <w:bookmarkEnd w:id="96"/>
      <w:bookmarkEnd w:id="97"/>
      <w:bookmarkEnd w:id="98"/>
      <w:bookmarkEnd w:id="99"/>
      <w:r>
        <w:rPr>
          <w:snapToGrid w:val="0"/>
        </w:rPr>
        <w:t xml:space="preserve"> </w:t>
      </w:r>
    </w:p>
    <w:p>
      <w:pPr>
        <w:pStyle w:val="Subsection"/>
        <w:rPr>
          <w:snapToGrid w:val="0"/>
        </w:rPr>
      </w:pPr>
      <w:r>
        <w:rPr>
          <w:snapToGrid w:val="0"/>
        </w:rPr>
        <w:tab/>
        <w:t>(1)</w:t>
      </w:r>
      <w:r>
        <w:rPr>
          <w:snapToGrid w:val="0"/>
        </w:rPr>
        <w:tab/>
        <w:t>Subsequent to the initial survey, every vessel is required to undergo periodic surveys and inspections for the purpose of satisfying the Chief Executive Officer that the vessel continues to comply with the laws of the State.</w:t>
      </w:r>
    </w:p>
    <w:p>
      <w:pPr>
        <w:pStyle w:val="Subsection"/>
        <w:rPr>
          <w:snapToGrid w:val="0"/>
        </w:rPr>
      </w:pPr>
      <w:r>
        <w:rPr>
          <w:snapToGrid w:val="0"/>
        </w:rPr>
        <w:tab/>
        <w:t>(2)</w:t>
      </w:r>
      <w:r>
        <w:rPr>
          <w:snapToGrid w:val="0"/>
        </w:rPr>
        <w:tab/>
        <w:t>The Chief Executive Officer may accept the performance of all or part of a periodic survey or inspection by a survey authority.</w:t>
      </w:r>
    </w:p>
    <w:p>
      <w:pPr>
        <w:pStyle w:val="Subsection"/>
        <w:rPr>
          <w:snapToGrid w:val="0"/>
        </w:rPr>
      </w:pPr>
      <w:r>
        <w:rPr>
          <w:snapToGrid w:val="0"/>
        </w:rPr>
        <w:tab/>
        <w:t>(3)</w:t>
      </w:r>
      <w:r>
        <w:rPr>
          <w:snapToGrid w:val="0"/>
        </w:rPr>
        <w:tab/>
        <w:t>Subject to subregulation (3a), the intervals between surveys shall be as follows — </w:t>
      </w:r>
    </w:p>
    <w:p>
      <w:pPr>
        <w:pStyle w:val="Indenta"/>
        <w:rPr>
          <w:snapToGrid w:val="0"/>
        </w:rPr>
      </w:pPr>
      <w:r>
        <w:rPr>
          <w:snapToGrid w:val="0"/>
        </w:rPr>
        <w:tab/>
        <w:t>(a)</w:t>
      </w:r>
      <w:r>
        <w:rPr>
          <w:snapToGrid w:val="0"/>
        </w:rPr>
        <w:tab/>
        <w:t>a vessel’s equipment shall be surveyed at intervals not exceeding 1 year;</w:t>
      </w:r>
    </w:p>
    <w:p>
      <w:pPr>
        <w:pStyle w:val="Indenta"/>
        <w:rPr>
          <w:snapToGrid w:val="0"/>
        </w:rPr>
      </w:pPr>
      <w:r>
        <w:rPr>
          <w:snapToGrid w:val="0"/>
        </w:rPr>
        <w:tab/>
        <w:t>(b)</w:t>
      </w:r>
      <w:r>
        <w:rPr>
          <w:snapToGrid w:val="0"/>
        </w:rPr>
        <w:tab/>
        <w:t>a vessel’s hull, structure, boilers and machinery, and fittings shall be surveyed at the intervals specified in a survey programme approved by the Chief Executive Officer or alternatively in accordance with the requirements of Schedule 2, except that the Chief Executive Officer may in a particular case require lesser intervals than those in Schedule 2 if considered desirable because of — </w:t>
      </w:r>
    </w:p>
    <w:p>
      <w:pPr>
        <w:pStyle w:val="Indenti"/>
        <w:rPr>
          <w:snapToGrid w:val="0"/>
        </w:rPr>
      </w:pPr>
      <w:r>
        <w:rPr>
          <w:snapToGrid w:val="0"/>
        </w:rPr>
        <w:tab/>
        <w:t>(i)</w:t>
      </w:r>
      <w:r>
        <w:rPr>
          <w:snapToGrid w:val="0"/>
        </w:rPr>
        <w:tab/>
        <w:t>the age of the vessel;</w:t>
      </w:r>
    </w:p>
    <w:p>
      <w:pPr>
        <w:pStyle w:val="Indenti"/>
        <w:rPr>
          <w:snapToGrid w:val="0"/>
        </w:rPr>
      </w:pPr>
      <w:r>
        <w:rPr>
          <w:snapToGrid w:val="0"/>
        </w:rPr>
        <w:tab/>
        <w:t>(ii)</w:t>
      </w:r>
      <w:r>
        <w:rPr>
          <w:snapToGrid w:val="0"/>
        </w:rPr>
        <w:tab/>
        <w:t>the service of the vessel (passenger, cargo or fishing);</w:t>
      </w:r>
    </w:p>
    <w:p>
      <w:pPr>
        <w:pStyle w:val="Indenti"/>
        <w:rPr>
          <w:snapToGrid w:val="0"/>
        </w:rPr>
      </w:pPr>
      <w:r>
        <w:rPr>
          <w:snapToGrid w:val="0"/>
        </w:rPr>
        <w:tab/>
        <w:t>(iii)</w:t>
      </w:r>
      <w:r>
        <w:rPr>
          <w:snapToGrid w:val="0"/>
        </w:rPr>
        <w:tab/>
        <w:t>the area or proposed area of operation of the vessel;</w:t>
      </w:r>
    </w:p>
    <w:p>
      <w:pPr>
        <w:pStyle w:val="Indenti"/>
        <w:rPr>
          <w:snapToGrid w:val="0"/>
        </w:rPr>
      </w:pPr>
      <w:r>
        <w:rPr>
          <w:snapToGrid w:val="0"/>
        </w:rPr>
        <w:tab/>
        <w:t>(iv)</w:t>
      </w:r>
      <w:r>
        <w:rPr>
          <w:snapToGrid w:val="0"/>
        </w:rPr>
        <w:tab/>
        <w:t>the materials used in and the method of construction of the vessel;</w:t>
      </w:r>
    </w:p>
    <w:p>
      <w:pPr>
        <w:pStyle w:val="Indenti"/>
        <w:rPr>
          <w:snapToGrid w:val="0"/>
        </w:rPr>
      </w:pPr>
      <w:r>
        <w:rPr>
          <w:snapToGrid w:val="0"/>
        </w:rPr>
        <w:tab/>
        <w:t>(v)</w:t>
      </w:r>
      <w:r>
        <w:rPr>
          <w:snapToGrid w:val="0"/>
        </w:rPr>
        <w:tab/>
        <w:t>the type of underwater fittings of the vessel;</w:t>
      </w:r>
    </w:p>
    <w:p>
      <w:pPr>
        <w:pStyle w:val="Indenti"/>
        <w:rPr>
          <w:snapToGrid w:val="0"/>
        </w:rPr>
      </w:pPr>
      <w:r>
        <w:rPr>
          <w:snapToGrid w:val="0"/>
        </w:rPr>
        <w:tab/>
        <w:t>(vi)</w:t>
      </w:r>
      <w:r>
        <w:rPr>
          <w:snapToGrid w:val="0"/>
        </w:rPr>
        <w:tab/>
        <w:t>the size of the vessel; or</w:t>
      </w:r>
    </w:p>
    <w:p>
      <w:pPr>
        <w:pStyle w:val="Indenti"/>
        <w:rPr>
          <w:snapToGrid w:val="0"/>
        </w:rPr>
      </w:pPr>
      <w:r>
        <w:rPr>
          <w:snapToGrid w:val="0"/>
        </w:rPr>
        <w:tab/>
        <w:t>(vii)</w:t>
      </w:r>
      <w:r>
        <w:rPr>
          <w:snapToGrid w:val="0"/>
        </w:rPr>
        <w:tab/>
        <w:t>any other reason.</w:t>
      </w:r>
    </w:p>
    <w:p>
      <w:pPr>
        <w:pStyle w:val="Subsection"/>
        <w:rPr>
          <w:snapToGrid w:val="0"/>
        </w:rPr>
      </w:pPr>
      <w:r>
        <w:rPr>
          <w:snapToGrid w:val="0"/>
        </w:rPr>
        <w:tab/>
        <w:t>(3a)</w:t>
      </w:r>
      <w:r>
        <w:rPr>
          <w:snapToGrid w:val="0"/>
        </w:rPr>
        <w:tab/>
        <w:t>Where a fishing vessel has been launched for less than 10 years — </w:t>
      </w:r>
    </w:p>
    <w:p>
      <w:pPr>
        <w:pStyle w:val="Indenta"/>
        <w:rPr>
          <w:snapToGrid w:val="0"/>
        </w:rPr>
      </w:pPr>
      <w:r>
        <w:rPr>
          <w:snapToGrid w:val="0"/>
        </w:rPr>
        <w:tab/>
        <w:t>(a)</w:t>
      </w:r>
      <w:r>
        <w:rPr>
          <w:snapToGrid w:val="0"/>
        </w:rPr>
        <w:tab/>
        <w:t>the intervals between surveys shall not exceed 2 years; and</w:t>
      </w:r>
    </w:p>
    <w:p>
      <w:pPr>
        <w:pStyle w:val="Indenta"/>
        <w:rPr>
          <w:snapToGrid w:val="0"/>
        </w:rPr>
      </w:pPr>
      <w:r>
        <w:rPr>
          <w:snapToGrid w:val="0"/>
        </w:rPr>
        <w:tab/>
        <w:t>(b)</w:t>
      </w:r>
      <w:r>
        <w:rPr>
          <w:snapToGrid w:val="0"/>
        </w:rPr>
        <w:tab/>
        <w:t>the survey intervals specified in Schedule 2 as “Annual” shall be read as “2</w:t>
      </w:r>
      <w:r>
        <w:rPr>
          <w:snapToGrid w:val="0"/>
        </w:rPr>
        <w:noBreakHyphen/>
        <w:t>Yearly” for the purposes of this subregulation.</w:t>
      </w:r>
    </w:p>
    <w:p>
      <w:pPr>
        <w:pStyle w:val="Subsection"/>
        <w:rPr>
          <w:snapToGrid w:val="0"/>
        </w:rPr>
      </w:pPr>
      <w:r>
        <w:rPr>
          <w:snapToGrid w:val="0"/>
        </w:rPr>
        <w:tab/>
        <w:t>(4)</w:t>
      </w:r>
      <w:r>
        <w:rPr>
          <w:snapToGrid w:val="0"/>
        </w:rPr>
        <w:tab/>
        <w:t>The owner may submit a survey programme for a vessel to the Chief Executive Officer for his approval. In drawing up such a programme, consideration shall be given to — </w:t>
      </w:r>
    </w:p>
    <w:p>
      <w:pPr>
        <w:pStyle w:val="Indenta"/>
        <w:rPr>
          <w:snapToGrid w:val="0"/>
        </w:rPr>
      </w:pPr>
      <w:r>
        <w:rPr>
          <w:snapToGrid w:val="0"/>
        </w:rPr>
        <w:tab/>
        <w:t>(a)</w:t>
      </w:r>
      <w:r>
        <w:rPr>
          <w:snapToGrid w:val="0"/>
        </w:rPr>
        <w:tab/>
        <w:t>the survey requirements and intervals in Schedule 2; and</w:t>
      </w:r>
    </w:p>
    <w:p>
      <w:pPr>
        <w:pStyle w:val="Indenta"/>
        <w:rPr>
          <w:snapToGrid w:val="0"/>
        </w:rPr>
      </w:pPr>
      <w:r>
        <w:rPr>
          <w:snapToGrid w:val="0"/>
        </w:rPr>
        <w:tab/>
        <w:t>(b)</w:t>
      </w:r>
      <w:r>
        <w:rPr>
          <w:snapToGrid w:val="0"/>
        </w:rPr>
        <w:tab/>
        <w:t>the specific requirements of the Chief Executive Officer.</w:t>
      </w:r>
    </w:p>
    <w:p>
      <w:pPr>
        <w:pStyle w:val="Subsection"/>
        <w:rPr>
          <w:snapToGrid w:val="0"/>
        </w:rPr>
      </w:pPr>
      <w:r>
        <w:rPr>
          <w:snapToGrid w:val="0"/>
        </w:rPr>
        <w:tab/>
        <w:t>(5)</w:t>
      </w:r>
      <w:r>
        <w:rPr>
          <w:snapToGrid w:val="0"/>
        </w:rPr>
        <w:tab/>
        <w:t>Where a survey programme has been approved by the Chief Executive Officer under this regulation, the survey of particular items shall be carried out in accordance with that programme, except where the Chief Executive Officer directs otherwise or agrees to modify, defer, or cancel the programme.</w:t>
      </w:r>
    </w:p>
    <w:p>
      <w:pPr>
        <w:pStyle w:val="Subsection"/>
        <w:rPr>
          <w:snapToGrid w:val="0"/>
        </w:rPr>
      </w:pPr>
      <w:r>
        <w:rPr>
          <w:snapToGrid w:val="0"/>
        </w:rPr>
        <w:tab/>
        <w:t>(6)</w:t>
      </w:r>
      <w:r>
        <w:rPr>
          <w:snapToGrid w:val="0"/>
        </w:rPr>
        <w:tab/>
        <w:t>An application for periodic survey shall be made to the Chief Executive Officer in the specified form and shall be accompanied by the appropriate survey fee set out in Schedule 1.</w:t>
      </w:r>
    </w:p>
    <w:p>
      <w:pPr>
        <w:pStyle w:val="Subsection"/>
        <w:keepNext/>
        <w:rPr>
          <w:snapToGrid w:val="0"/>
        </w:rPr>
      </w:pPr>
      <w:r>
        <w:rPr>
          <w:snapToGrid w:val="0"/>
        </w:rPr>
        <w:tab/>
        <w:t>(7)</w:t>
      </w:r>
      <w:r>
        <w:rPr>
          <w:snapToGrid w:val="0"/>
        </w:rPr>
        <w:tab/>
        <w:t>An application for survey shall be made by the owner of a vessel — </w:t>
      </w:r>
    </w:p>
    <w:p>
      <w:pPr>
        <w:pStyle w:val="Indenta"/>
        <w:rPr>
          <w:snapToGrid w:val="0"/>
        </w:rPr>
      </w:pPr>
      <w:r>
        <w:rPr>
          <w:snapToGrid w:val="0"/>
        </w:rPr>
        <w:tab/>
        <w:t>(a)</w:t>
      </w:r>
      <w:r>
        <w:rPr>
          <w:snapToGrid w:val="0"/>
        </w:rPr>
        <w:tab/>
        <w:t>in the case of the survey of a vessel out of the water, not less than 7 days before the date on which the survey is to be performed;</w:t>
      </w:r>
    </w:p>
    <w:p>
      <w:pPr>
        <w:pStyle w:val="Indenta"/>
        <w:rPr>
          <w:snapToGrid w:val="0"/>
        </w:rPr>
      </w:pPr>
      <w:r>
        <w:rPr>
          <w:snapToGrid w:val="0"/>
        </w:rPr>
        <w:tab/>
        <w:t>(b)</w:t>
      </w:r>
      <w:r>
        <w:rPr>
          <w:snapToGrid w:val="0"/>
        </w:rPr>
        <w:tab/>
        <w:t>in respect of a survey of boilers and machinery or equipment or both — </w:t>
      </w:r>
    </w:p>
    <w:p>
      <w:pPr>
        <w:pStyle w:val="Indenti"/>
        <w:rPr>
          <w:snapToGrid w:val="0"/>
        </w:rPr>
      </w:pPr>
      <w:r>
        <w:rPr>
          <w:snapToGrid w:val="0"/>
        </w:rPr>
        <w:tab/>
        <w:t>(i)</w:t>
      </w:r>
      <w:r>
        <w:rPr>
          <w:snapToGrid w:val="0"/>
        </w:rPr>
        <w:tab/>
        <w:t xml:space="preserve">where the survey is to be made within the metropolitan area of </w:t>
      </w:r>
      <w:smartTag w:uri="urn:schemas-microsoft-com:office:smarttags" w:element="City">
        <w:smartTag w:uri="urn:schemas-microsoft-com:office:smarttags" w:element="place">
          <w:r>
            <w:rPr>
              <w:snapToGrid w:val="0"/>
            </w:rPr>
            <w:t>Perth</w:t>
          </w:r>
        </w:smartTag>
      </w:smartTag>
      <w:r>
        <w:rPr>
          <w:snapToGrid w:val="0"/>
        </w:rPr>
        <w:t xml:space="preserve"> or at Geraldton, not less than 14 days before the date on which the survey is to be performed;</w:t>
      </w:r>
    </w:p>
    <w:p>
      <w:pPr>
        <w:pStyle w:val="Indenti"/>
        <w:rPr>
          <w:snapToGrid w:val="0"/>
        </w:rPr>
      </w:pPr>
      <w:r>
        <w:rPr>
          <w:snapToGrid w:val="0"/>
        </w:rPr>
        <w:tab/>
        <w:t>(ii)</w:t>
      </w:r>
      <w:r>
        <w:rPr>
          <w:snapToGrid w:val="0"/>
        </w:rPr>
        <w:tab/>
        <w:t>where the survey is to be made elsewhere than in the metropolitan area of Perth or at Geraldton, not less than 14 days before the date specified for surveys in that port or place in a programme of surveys issued by the Department and available at offices of the Department from 30 January in each year,</w:t>
      </w:r>
    </w:p>
    <w:p>
      <w:pPr>
        <w:pStyle w:val="Subsection"/>
        <w:rPr>
          <w:snapToGrid w:val="0"/>
        </w:rPr>
      </w:pPr>
      <w:r>
        <w:rPr>
          <w:snapToGrid w:val="0"/>
        </w:rPr>
        <w:tab/>
      </w:r>
      <w:r>
        <w:rPr>
          <w:snapToGrid w:val="0"/>
        </w:rPr>
        <w:tab/>
        <w:t>and the owner shall cause the vessel to be presented for survey at the port or place stated in the application at the time and date notified to him by the Department.</w:t>
      </w:r>
    </w:p>
    <w:p>
      <w:pPr>
        <w:pStyle w:val="Subsection"/>
        <w:rPr>
          <w:snapToGrid w:val="0"/>
        </w:rPr>
      </w:pPr>
      <w:r>
        <w:rPr>
          <w:snapToGrid w:val="0"/>
        </w:rPr>
        <w:tab/>
        <w:t>(8)</w:t>
      </w:r>
      <w:r>
        <w:rPr>
          <w:snapToGrid w:val="0"/>
        </w:rPr>
        <w:tab/>
        <w:t>Where a survey or inspection of a vessel’s hull is to be carried out, the owner shall cause the vessel to be withdrawn from the water and placed in a satisfactory manner to enable the surveyor to make an external examination of the hull, underwater fittings, shafting, propeller, rudder and any other appurtenances. Prior to such examination the hull shall have been washed and cleaned, but shall not have been painted.</w:t>
      </w:r>
    </w:p>
    <w:p>
      <w:pPr>
        <w:pStyle w:val="Subsection"/>
        <w:rPr>
          <w:snapToGrid w:val="0"/>
        </w:rPr>
      </w:pPr>
      <w:r>
        <w:rPr>
          <w:snapToGrid w:val="0"/>
        </w:rPr>
        <w:tab/>
        <w:t>(9)</w:t>
      </w:r>
      <w:r>
        <w:rPr>
          <w:snapToGrid w:val="0"/>
        </w:rPr>
        <w:tab/>
        <w:t>During the course of a survey or inspection the surveyor shall have discretion to require the opening up for examination of any other part or parts of the vessel including removal of linings and permanent ballast where applicable.</w:t>
      </w:r>
    </w:p>
    <w:p>
      <w:pPr>
        <w:pStyle w:val="Subsection"/>
        <w:keepLines/>
        <w:rPr>
          <w:snapToGrid w:val="0"/>
        </w:rPr>
      </w:pPr>
      <w:r>
        <w:rPr>
          <w:snapToGrid w:val="0"/>
        </w:rPr>
        <w:tab/>
        <w:t>(10)</w:t>
      </w:r>
      <w:r>
        <w:rPr>
          <w:snapToGrid w:val="0"/>
        </w:rPr>
        <w:tab/>
        <w:t>After a survey or inspection the surveyor shall make in the manner or form required by the Chief Executive Officer a duplicate List of Repairs and Deficiencies which shall be counter signed by the owner who shall retain one copy. The survey will not be completed until such repairs and deficiencies have been made good to the satisfaction of the surveyor.</w:t>
      </w:r>
    </w:p>
    <w:p>
      <w:pPr>
        <w:pStyle w:val="Subsection"/>
        <w:rPr>
          <w:snapToGrid w:val="0"/>
        </w:rPr>
      </w:pPr>
      <w:r>
        <w:rPr>
          <w:snapToGrid w:val="0"/>
        </w:rPr>
        <w:tab/>
        <w:t>(11)</w:t>
      </w:r>
      <w:r>
        <w:rPr>
          <w:snapToGrid w:val="0"/>
        </w:rPr>
        <w:tab/>
        <w:t>On completion of a survey or inspection, the surveyor shall make his report to the Chief Executive Officer in writing and in a form approved by the Chief Executive Officer.</w:t>
      </w:r>
    </w:p>
    <w:p>
      <w:pPr>
        <w:pStyle w:val="Subsection"/>
        <w:rPr>
          <w:snapToGrid w:val="0"/>
        </w:rPr>
      </w:pPr>
      <w:r>
        <w:rPr>
          <w:snapToGrid w:val="0"/>
        </w:rPr>
        <w:tab/>
        <w:t>(12)</w:t>
      </w:r>
      <w:r>
        <w:rPr>
          <w:snapToGrid w:val="0"/>
        </w:rPr>
        <w:tab/>
        <w:t>On completion of an item or stage of an approved survey programme, the surveyor shall sign the owner’s copy, the vessel’s copy and the Chief Executive Officer’s copy of the programme documents and shall also make a report to the Chief Executive Officer concerning the item or stage surveyed.</w:t>
      </w:r>
    </w:p>
    <w:p>
      <w:pPr>
        <w:pStyle w:val="Subsection"/>
        <w:rPr>
          <w:snapToGrid w:val="0"/>
        </w:rPr>
      </w:pPr>
      <w:r>
        <w:rPr>
          <w:snapToGrid w:val="0"/>
        </w:rPr>
        <w:tab/>
        <w:t>(13)</w:t>
      </w:r>
      <w:r>
        <w:rPr>
          <w:snapToGrid w:val="0"/>
        </w:rPr>
        <w:tab/>
        <w:t>When making a survey or inspection of a vessel, a surveyor shall be accompanied by the owner.</w:t>
      </w:r>
    </w:p>
    <w:p>
      <w:pPr>
        <w:pStyle w:val="Footnotesection"/>
      </w:pPr>
      <w:r>
        <w:tab/>
        <w:t>[Regulation 6 amended in Gazette 3 Nov 1989 p. 3964</w:t>
      </w:r>
      <w:r>
        <w:noBreakHyphen/>
        <w:t xml:space="preserve">5; 11 Aug 1992 p. 3980.] </w:t>
      </w:r>
    </w:p>
    <w:p>
      <w:pPr>
        <w:pStyle w:val="Heading5"/>
        <w:rPr>
          <w:snapToGrid w:val="0"/>
        </w:rPr>
      </w:pPr>
      <w:bookmarkStart w:id="100" w:name="_Toc6384648"/>
      <w:bookmarkStart w:id="101" w:name="_Toc13031667"/>
      <w:bookmarkStart w:id="102" w:name="_Toc14593294"/>
      <w:bookmarkStart w:id="103" w:name="_Toc18137689"/>
      <w:bookmarkStart w:id="104" w:name="_Toc107747011"/>
      <w:bookmarkStart w:id="105" w:name="_Toc293650198"/>
      <w:r>
        <w:rPr>
          <w:rStyle w:val="CharSectno"/>
        </w:rPr>
        <w:t>6A</w:t>
      </w:r>
      <w:r>
        <w:rPr>
          <w:snapToGrid w:val="0"/>
        </w:rPr>
        <w:t>.</w:t>
      </w:r>
      <w:r>
        <w:rPr>
          <w:snapToGrid w:val="0"/>
        </w:rPr>
        <w:tab/>
        <w:t>Half of fee payable if vessel already classed</w:t>
      </w:r>
      <w:bookmarkEnd w:id="100"/>
      <w:bookmarkEnd w:id="101"/>
      <w:bookmarkEnd w:id="102"/>
      <w:bookmarkEnd w:id="103"/>
      <w:bookmarkEnd w:id="104"/>
      <w:bookmarkEnd w:id="105"/>
      <w:r>
        <w:rPr>
          <w:snapToGrid w:val="0"/>
        </w:rPr>
        <w:t xml:space="preserve"> </w:t>
      </w:r>
    </w:p>
    <w:p>
      <w:pPr>
        <w:pStyle w:val="Subsection"/>
        <w:rPr>
          <w:snapToGrid w:val="0"/>
        </w:rPr>
      </w:pPr>
      <w:r>
        <w:rPr>
          <w:snapToGrid w:val="0"/>
        </w:rPr>
        <w:tab/>
      </w:r>
      <w:r>
        <w:rPr>
          <w:snapToGrid w:val="0"/>
        </w:rPr>
        <w:tab/>
        <w:t xml:space="preserve">Notwithstanding regulations 5(2) </w:t>
      </w:r>
      <w:r>
        <w:t xml:space="preserve">and 6(6), </w:t>
      </w:r>
      <w:r>
        <w:rPr>
          <w:snapToGrid w:val="0"/>
        </w:rPr>
        <w:t>an application for survey shall be accompanied by only one</w:t>
      </w:r>
      <w:r>
        <w:rPr>
          <w:snapToGrid w:val="0"/>
        </w:rPr>
        <w:noBreakHyphen/>
        <w:t>half of the appropriate survey fee set out in Schedule 1 where the vessel to be surveyed has been classed by a classification society appointed as an authority for the survey of vessels under section 24 of the Act.</w:t>
      </w:r>
    </w:p>
    <w:p>
      <w:pPr>
        <w:pStyle w:val="Footnotesection"/>
      </w:pPr>
      <w:r>
        <w:tab/>
        <w:t xml:space="preserve">[Regulation 6A inserted in Gazette 30 Jun 1989 p. 1924; amended in Gazette 11 Dec 2009 p. 5108.] </w:t>
      </w:r>
    </w:p>
    <w:p>
      <w:pPr>
        <w:pStyle w:val="Heading5"/>
        <w:rPr>
          <w:snapToGrid w:val="0"/>
        </w:rPr>
      </w:pPr>
      <w:bookmarkStart w:id="106" w:name="_Toc6384649"/>
      <w:bookmarkStart w:id="107" w:name="_Toc13031668"/>
      <w:bookmarkStart w:id="108" w:name="_Toc14593295"/>
      <w:bookmarkStart w:id="109" w:name="_Toc18137690"/>
      <w:bookmarkStart w:id="110" w:name="_Toc107747012"/>
      <w:bookmarkStart w:id="111" w:name="_Toc293650199"/>
      <w:r>
        <w:rPr>
          <w:rStyle w:val="CharSectno"/>
        </w:rPr>
        <w:t>7</w:t>
      </w:r>
      <w:r>
        <w:rPr>
          <w:snapToGrid w:val="0"/>
        </w:rPr>
        <w:t>.</w:t>
      </w:r>
      <w:r>
        <w:rPr>
          <w:snapToGrid w:val="0"/>
        </w:rPr>
        <w:tab/>
        <w:t>Random inspections</w:t>
      </w:r>
      <w:bookmarkEnd w:id="106"/>
      <w:bookmarkEnd w:id="107"/>
      <w:bookmarkEnd w:id="108"/>
      <w:bookmarkEnd w:id="109"/>
      <w:bookmarkEnd w:id="110"/>
      <w:bookmarkEnd w:id="111"/>
      <w:r>
        <w:rPr>
          <w:snapToGrid w:val="0"/>
        </w:rPr>
        <w:t xml:space="preserve"> </w:t>
      </w:r>
    </w:p>
    <w:p>
      <w:pPr>
        <w:pStyle w:val="Subsection"/>
        <w:rPr>
          <w:snapToGrid w:val="0"/>
        </w:rPr>
      </w:pPr>
      <w:r>
        <w:rPr>
          <w:snapToGrid w:val="0"/>
        </w:rPr>
        <w:tab/>
      </w:r>
      <w:r>
        <w:rPr>
          <w:snapToGrid w:val="0"/>
        </w:rPr>
        <w:tab/>
        <w:t>A surveyor or an authorised officer may, in the execution of his duty, board a vessel at any reasonable time to make an occasional or random inspection.</w:t>
      </w:r>
    </w:p>
    <w:p>
      <w:pPr>
        <w:pStyle w:val="Heading5"/>
        <w:rPr>
          <w:snapToGrid w:val="0"/>
        </w:rPr>
      </w:pPr>
      <w:bookmarkStart w:id="112" w:name="_Toc6384650"/>
      <w:bookmarkStart w:id="113" w:name="_Toc13031669"/>
      <w:bookmarkStart w:id="114" w:name="_Toc14593296"/>
      <w:bookmarkStart w:id="115" w:name="_Toc18137691"/>
      <w:bookmarkStart w:id="116" w:name="_Toc107747013"/>
      <w:bookmarkStart w:id="117" w:name="_Toc293650200"/>
      <w:r>
        <w:rPr>
          <w:rStyle w:val="CharSectno"/>
        </w:rPr>
        <w:t>8</w:t>
      </w:r>
      <w:r>
        <w:rPr>
          <w:snapToGrid w:val="0"/>
        </w:rPr>
        <w:t>.</w:t>
      </w:r>
      <w:r>
        <w:rPr>
          <w:snapToGrid w:val="0"/>
        </w:rPr>
        <w:tab/>
        <w:t>Owner to report special factors</w:t>
      </w:r>
      <w:bookmarkEnd w:id="112"/>
      <w:bookmarkEnd w:id="113"/>
      <w:bookmarkEnd w:id="114"/>
      <w:bookmarkEnd w:id="115"/>
      <w:bookmarkEnd w:id="116"/>
      <w:bookmarkEnd w:id="117"/>
      <w:r>
        <w:rPr>
          <w:snapToGrid w:val="0"/>
        </w:rPr>
        <w:t xml:space="preserve"> </w:t>
      </w:r>
    </w:p>
    <w:p>
      <w:pPr>
        <w:pStyle w:val="Subsection"/>
        <w:spacing w:before="180"/>
        <w:rPr>
          <w:snapToGrid w:val="0"/>
        </w:rPr>
      </w:pPr>
      <w:r>
        <w:rPr>
          <w:snapToGrid w:val="0"/>
        </w:rPr>
        <w:tab/>
      </w:r>
      <w:r>
        <w:rPr>
          <w:snapToGrid w:val="0"/>
        </w:rPr>
        <w:tab/>
        <w:t>The owner of a vessel shall report to the Chief Executive Officer any special factors that may influence the Chief Executive Officer’s survey requirements for the vessel, including any change of trade, operations, alteration to structure or machinery that have occurred since the previous survey.</w:t>
      </w:r>
    </w:p>
    <w:p>
      <w:pPr>
        <w:pStyle w:val="Footnotesection"/>
      </w:pPr>
      <w:r>
        <w:tab/>
        <w:t xml:space="preserve">[Regulation 8 amended in Gazette 11 Aug 1992 p. 3980.] </w:t>
      </w:r>
    </w:p>
    <w:p>
      <w:pPr>
        <w:pStyle w:val="Heading5"/>
        <w:rPr>
          <w:snapToGrid w:val="0"/>
        </w:rPr>
      </w:pPr>
      <w:bookmarkStart w:id="118" w:name="_Toc6384651"/>
      <w:bookmarkStart w:id="119" w:name="_Toc13031670"/>
      <w:bookmarkStart w:id="120" w:name="_Toc14593297"/>
      <w:bookmarkStart w:id="121" w:name="_Toc18137692"/>
      <w:bookmarkStart w:id="122" w:name="_Toc107747014"/>
      <w:bookmarkStart w:id="123" w:name="_Toc293650201"/>
      <w:r>
        <w:rPr>
          <w:rStyle w:val="CharSectno"/>
        </w:rPr>
        <w:t>9</w:t>
      </w:r>
      <w:r>
        <w:rPr>
          <w:snapToGrid w:val="0"/>
        </w:rPr>
        <w:t>.</w:t>
      </w:r>
      <w:r>
        <w:rPr>
          <w:snapToGrid w:val="0"/>
        </w:rPr>
        <w:tab/>
        <w:t>Owner to report accidents, injuries etc.</w:t>
      </w:r>
      <w:bookmarkEnd w:id="118"/>
      <w:bookmarkEnd w:id="119"/>
      <w:bookmarkEnd w:id="120"/>
      <w:bookmarkEnd w:id="121"/>
      <w:bookmarkEnd w:id="122"/>
      <w:bookmarkEnd w:id="123"/>
      <w:r>
        <w:rPr>
          <w:snapToGrid w:val="0"/>
        </w:rPr>
        <w:t xml:space="preserve"> </w:t>
      </w:r>
    </w:p>
    <w:p>
      <w:pPr>
        <w:pStyle w:val="Subsection"/>
        <w:spacing w:before="180"/>
        <w:rPr>
          <w:snapToGrid w:val="0"/>
        </w:rPr>
      </w:pPr>
      <w:r>
        <w:rPr>
          <w:snapToGrid w:val="0"/>
        </w:rPr>
        <w:tab/>
        <w:t>(1)</w:t>
      </w:r>
      <w:r>
        <w:rPr>
          <w:snapToGrid w:val="0"/>
        </w:rPr>
        <w:tab/>
        <w:t>The owner of a vessel shall in the specified form make a report to the Chief Executive Officer concerning any accident or damage to the vessel or any death or injury to a person occurring on the vessel.</w:t>
      </w:r>
    </w:p>
    <w:p>
      <w:pPr>
        <w:pStyle w:val="Subsection"/>
        <w:spacing w:before="180"/>
        <w:rPr>
          <w:snapToGrid w:val="0"/>
        </w:rPr>
      </w:pPr>
      <w:r>
        <w:rPr>
          <w:snapToGrid w:val="0"/>
        </w:rPr>
        <w:tab/>
        <w:t>(2)</w:t>
      </w:r>
      <w:r>
        <w:rPr>
          <w:snapToGrid w:val="0"/>
        </w:rPr>
        <w:tab/>
        <w:t>A report under subregulation (1) shall be forwarded to the Chief Executive Officer — </w:t>
      </w:r>
    </w:p>
    <w:p>
      <w:pPr>
        <w:pStyle w:val="Indenta"/>
        <w:rPr>
          <w:snapToGrid w:val="0"/>
        </w:rPr>
      </w:pPr>
      <w:r>
        <w:rPr>
          <w:snapToGrid w:val="0"/>
        </w:rPr>
        <w:tab/>
        <w:t>(a)</w:t>
      </w:r>
      <w:r>
        <w:rPr>
          <w:snapToGrid w:val="0"/>
        </w:rPr>
        <w:tab/>
        <w:t>in the case of a vessel in port, within 48 hours of the occurrence; and</w:t>
      </w:r>
    </w:p>
    <w:p>
      <w:pPr>
        <w:pStyle w:val="Indenta"/>
        <w:rPr>
          <w:snapToGrid w:val="0"/>
        </w:rPr>
      </w:pPr>
      <w:r>
        <w:rPr>
          <w:snapToGrid w:val="0"/>
        </w:rPr>
        <w:tab/>
        <w:t>(b)</w:t>
      </w:r>
      <w:r>
        <w:rPr>
          <w:snapToGrid w:val="0"/>
        </w:rPr>
        <w:tab/>
        <w:t>in the case of a vessel at sea, within 48 hours of the first arrival of the vessel at a port.</w:t>
      </w:r>
    </w:p>
    <w:p>
      <w:pPr>
        <w:pStyle w:val="Subsection"/>
        <w:spacing w:before="180"/>
        <w:rPr>
          <w:snapToGrid w:val="0"/>
        </w:rPr>
      </w:pPr>
      <w:r>
        <w:rPr>
          <w:snapToGrid w:val="0"/>
        </w:rPr>
        <w:tab/>
        <w:t>(3)</w:t>
      </w:r>
      <w:r>
        <w:rPr>
          <w:snapToGrid w:val="0"/>
        </w:rPr>
        <w:tab/>
        <w:t>Where any part of a vessel’s hull, structure, machinery, fittings or equipment is open for routine maintenance or substantial repair, the owner shall inform the Chief Executive Officer so that a survey may take place.</w:t>
      </w:r>
    </w:p>
    <w:p>
      <w:pPr>
        <w:pStyle w:val="Footnotesection"/>
      </w:pPr>
      <w:r>
        <w:tab/>
        <w:t xml:space="preserve">[Regulation 9 amended in Gazette 11 Aug 1992 p. 3980.] </w:t>
      </w:r>
    </w:p>
    <w:p>
      <w:pPr>
        <w:pStyle w:val="Heading5"/>
        <w:rPr>
          <w:snapToGrid w:val="0"/>
        </w:rPr>
      </w:pPr>
      <w:bookmarkStart w:id="124" w:name="_Toc6384652"/>
      <w:bookmarkStart w:id="125" w:name="_Toc13031671"/>
      <w:bookmarkStart w:id="126" w:name="_Toc14593298"/>
      <w:bookmarkStart w:id="127" w:name="_Toc18137693"/>
      <w:bookmarkStart w:id="128" w:name="_Toc107747015"/>
      <w:bookmarkStart w:id="129" w:name="_Toc293650202"/>
      <w:r>
        <w:rPr>
          <w:rStyle w:val="CharSectno"/>
        </w:rPr>
        <w:t>10</w:t>
      </w:r>
      <w:r>
        <w:rPr>
          <w:snapToGrid w:val="0"/>
        </w:rPr>
        <w:t>.</w:t>
      </w:r>
      <w:r>
        <w:rPr>
          <w:snapToGrid w:val="0"/>
        </w:rPr>
        <w:tab/>
        <w:t>Power to exempt certain vessels</w:t>
      </w:r>
      <w:bookmarkEnd w:id="124"/>
      <w:bookmarkEnd w:id="125"/>
      <w:bookmarkEnd w:id="126"/>
      <w:bookmarkEnd w:id="127"/>
      <w:bookmarkEnd w:id="128"/>
      <w:bookmarkEnd w:id="129"/>
      <w:r>
        <w:rPr>
          <w:snapToGrid w:val="0"/>
        </w:rPr>
        <w:t xml:space="preserve"> </w:t>
      </w:r>
    </w:p>
    <w:p>
      <w:pPr>
        <w:pStyle w:val="Subsection"/>
        <w:spacing w:before="180"/>
        <w:rPr>
          <w:snapToGrid w:val="0"/>
        </w:rPr>
      </w:pPr>
      <w:r>
        <w:rPr>
          <w:snapToGrid w:val="0"/>
        </w:rPr>
        <w:tab/>
        <w:t>(1)</w:t>
      </w:r>
      <w:r>
        <w:rPr>
          <w:snapToGrid w:val="0"/>
        </w:rPr>
        <w:tab/>
        <w:t>Upon application made to the Chief Executive Officer in the specified form, the Chief Executive Officer may exempt a vessel of Class 2E or Class 3E from the survey requirements of these regulations.</w:t>
      </w:r>
    </w:p>
    <w:p>
      <w:pPr>
        <w:pStyle w:val="Subsection"/>
        <w:rPr>
          <w:snapToGrid w:val="0"/>
        </w:rPr>
      </w:pPr>
      <w:r>
        <w:rPr>
          <w:snapToGrid w:val="0"/>
        </w:rPr>
        <w:tab/>
        <w:t>(2)</w:t>
      </w:r>
      <w:r>
        <w:rPr>
          <w:snapToGrid w:val="0"/>
        </w:rPr>
        <w:tab/>
        <w:t>An exemption granted under subregulation (1) shall be effective during such time as the following conditions are complied with — </w:t>
      </w:r>
    </w:p>
    <w:p>
      <w:pPr>
        <w:pStyle w:val="Indenta"/>
        <w:rPr>
          <w:snapToGrid w:val="0"/>
        </w:rPr>
      </w:pPr>
      <w:r>
        <w:rPr>
          <w:snapToGrid w:val="0"/>
        </w:rPr>
        <w:tab/>
        <w:t>(a)</w:t>
      </w:r>
      <w:r>
        <w:rPr>
          <w:snapToGrid w:val="0"/>
        </w:rPr>
        <w:tab/>
        <w:t>payment of the annual exemption fee set out in Schedule 1;</w:t>
      </w:r>
    </w:p>
    <w:p>
      <w:pPr>
        <w:pStyle w:val="Indenta"/>
        <w:rPr>
          <w:snapToGrid w:val="0"/>
        </w:rPr>
      </w:pPr>
      <w:r>
        <w:rPr>
          <w:snapToGrid w:val="0"/>
        </w:rPr>
        <w:tab/>
        <w:t>(b)</w:t>
      </w:r>
      <w:r>
        <w:rPr>
          <w:snapToGrid w:val="0"/>
        </w:rPr>
        <w:tab/>
        <w:t>the vessel shall be equipped with a fire extinguisher that bears the stamp of the Standards Association of Australia</w:t>
      </w:r>
      <w:r>
        <w:rPr>
          <w:snapToGrid w:val="0"/>
          <w:vertAlign w:val="superscript"/>
        </w:rPr>
        <w:t> 2</w:t>
      </w:r>
      <w:r>
        <w:rPr>
          <w:snapToGrid w:val="0"/>
        </w:rPr>
        <w:t xml:space="preserve"> and conforms to one of the following standards issued by that body — </w:t>
      </w:r>
    </w:p>
    <w:p>
      <w:pPr>
        <w:pStyle w:val="Indenti"/>
        <w:rPr>
          <w:snapToGrid w:val="0"/>
        </w:rPr>
      </w:pPr>
      <w:r>
        <w:rPr>
          <w:snapToGrid w:val="0"/>
        </w:rPr>
        <w:tab/>
        <w:t>(i)</w:t>
      </w:r>
      <w:r>
        <w:rPr>
          <w:snapToGrid w:val="0"/>
        </w:rPr>
        <w:tab/>
        <w:t>AS A 32, AS 1843, AS 1844 or AS 1845 (foam);</w:t>
      </w:r>
    </w:p>
    <w:p>
      <w:pPr>
        <w:pStyle w:val="Indenti"/>
        <w:rPr>
          <w:snapToGrid w:val="0"/>
        </w:rPr>
      </w:pPr>
      <w:r>
        <w:rPr>
          <w:snapToGrid w:val="0"/>
        </w:rPr>
        <w:tab/>
        <w:t>(ii)</w:t>
      </w:r>
      <w:r>
        <w:rPr>
          <w:snapToGrid w:val="0"/>
        </w:rPr>
        <w:tab/>
        <w:t>AS A 137, or AS 1846 (dry chemical);</w:t>
      </w:r>
    </w:p>
    <w:p>
      <w:pPr>
        <w:pStyle w:val="Indenti"/>
        <w:rPr>
          <w:snapToGrid w:val="0"/>
        </w:rPr>
      </w:pPr>
      <w:r>
        <w:rPr>
          <w:snapToGrid w:val="0"/>
        </w:rPr>
        <w:tab/>
        <w:t>(iii)</w:t>
      </w:r>
      <w:r>
        <w:rPr>
          <w:snapToGrid w:val="0"/>
        </w:rPr>
        <w:tab/>
        <w:t>AS A 138 or AS 1847 (carbon dioxide);</w:t>
      </w:r>
    </w:p>
    <w:p>
      <w:pPr>
        <w:pStyle w:val="Indenti"/>
        <w:rPr>
          <w:snapToGrid w:val="0"/>
        </w:rPr>
      </w:pPr>
      <w:r>
        <w:rPr>
          <w:snapToGrid w:val="0"/>
        </w:rPr>
        <w:tab/>
        <w:t>(iv)</w:t>
      </w:r>
      <w:r>
        <w:rPr>
          <w:snapToGrid w:val="0"/>
        </w:rPr>
        <w:tab/>
        <w:t>AS A 163 or AS 1848 (halogenated hydrocarbon);</w:t>
      </w:r>
    </w:p>
    <w:p>
      <w:pPr>
        <w:pStyle w:val="Indenta"/>
        <w:rPr>
          <w:snapToGrid w:val="0"/>
        </w:rPr>
      </w:pPr>
      <w:r>
        <w:rPr>
          <w:snapToGrid w:val="0"/>
        </w:rPr>
        <w:tab/>
        <w:t>(c)</w:t>
      </w:r>
      <w:r>
        <w:rPr>
          <w:snapToGrid w:val="0"/>
        </w:rPr>
        <w:tab/>
        <w:t>the following conditions apply to the storage and use of fuel — </w:t>
      </w:r>
    </w:p>
    <w:p>
      <w:pPr>
        <w:pStyle w:val="Indenti"/>
        <w:rPr>
          <w:snapToGrid w:val="0"/>
        </w:rPr>
      </w:pPr>
      <w:r>
        <w:rPr>
          <w:snapToGrid w:val="0"/>
        </w:rPr>
        <w:tab/>
        <w:t>(i)</w:t>
      </w:r>
      <w:r>
        <w:rPr>
          <w:snapToGrid w:val="0"/>
        </w:rPr>
        <w:tab/>
        <w:t>fuel shall be carried in containers soundly constructed of metal or any other approved materials and shall not, in any event, be carried in plastic containers;</w:t>
      </w:r>
    </w:p>
    <w:p>
      <w:pPr>
        <w:pStyle w:val="Indenti"/>
        <w:rPr>
          <w:snapToGrid w:val="0"/>
        </w:rPr>
      </w:pPr>
      <w:r>
        <w:rPr>
          <w:snapToGrid w:val="0"/>
        </w:rPr>
        <w:tab/>
        <w:t>(ii)</w:t>
      </w:r>
      <w:r>
        <w:rPr>
          <w:snapToGrid w:val="0"/>
        </w:rPr>
        <w:tab/>
        <w:t>subject to subparagraph (iii), the pipes leading from the fuel tank to the engine shall be of steel or copper, having all joints brazed and union faces ground and made of metal;</w:t>
      </w:r>
    </w:p>
    <w:p>
      <w:pPr>
        <w:pStyle w:val="Indenti"/>
        <w:rPr>
          <w:snapToGrid w:val="0"/>
        </w:rPr>
      </w:pPr>
      <w:r>
        <w:rPr>
          <w:snapToGrid w:val="0"/>
        </w:rPr>
        <w:tab/>
        <w:t>(iii)</w:t>
      </w:r>
      <w:r>
        <w:rPr>
          <w:snapToGrid w:val="0"/>
        </w:rPr>
        <w:tab/>
        <w:t>a short length of flexible piping of some other material may be used with the approval of the department; and</w:t>
      </w:r>
    </w:p>
    <w:p>
      <w:pPr>
        <w:pStyle w:val="Indenti"/>
        <w:rPr>
          <w:snapToGrid w:val="0"/>
        </w:rPr>
      </w:pPr>
      <w:r>
        <w:rPr>
          <w:snapToGrid w:val="0"/>
        </w:rPr>
        <w:tab/>
        <w:t>(iv)</w:t>
      </w:r>
      <w:r>
        <w:rPr>
          <w:snapToGrid w:val="0"/>
        </w:rPr>
        <w:tab/>
        <w:t>an efficient valve shall be fitted against the fuel tank outlet;</w:t>
      </w:r>
    </w:p>
    <w:p>
      <w:pPr>
        <w:pStyle w:val="Indenta"/>
        <w:rPr>
          <w:snapToGrid w:val="0"/>
        </w:rPr>
      </w:pPr>
      <w:r>
        <w:rPr>
          <w:snapToGrid w:val="0"/>
        </w:rPr>
        <w:tab/>
        <w:t>(d)</w:t>
      </w:r>
      <w:r>
        <w:rPr>
          <w:snapToGrid w:val="0"/>
        </w:rPr>
        <w:tab/>
        <w:t>the engine compartment of a motor vessel shall be adequately ventilated.</w:t>
      </w:r>
    </w:p>
    <w:p>
      <w:pPr>
        <w:pStyle w:val="Footnotesection"/>
      </w:pPr>
      <w:r>
        <w:tab/>
        <w:t xml:space="preserve">[Regulation 10 amended in Gazette 11 Aug 1992 p. 3980.] </w:t>
      </w:r>
    </w:p>
    <w:p>
      <w:pPr>
        <w:pStyle w:val="Heading5"/>
        <w:rPr>
          <w:snapToGrid w:val="0"/>
        </w:rPr>
      </w:pPr>
      <w:bookmarkStart w:id="130" w:name="_Toc6384653"/>
      <w:bookmarkStart w:id="131" w:name="_Toc13031672"/>
      <w:bookmarkStart w:id="132" w:name="_Toc14593299"/>
      <w:bookmarkStart w:id="133" w:name="_Toc18137694"/>
      <w:bookmarkStart w:id="134" w:name="_Toc107747016"/>
      <w:bookmarkStart w:id="135" w:name="_Toc293650203"/>
      <w:r>
        <w:rPr>
          <w:rStyle w:val="CharSectno"/>
        </w:rPr>
        <w:t>10A</w:t>
      </w:r>
      <w:r>
        <w:rPr>
          <w:snapToGrid w:val="0"/>
        </w:rPr>
        <w:t>.</w:t>
      </w:r>
      <w:r>
        <w:rPr>
          <w:snapToGrid w:val="0"/>
        </w:rPr>
        <w:tab/>
        <w:t>Exemption of certain fishing vessels and non</w:t>
      </w:r>
      <w:r>
        <w:rPr>
          <w:snapToGrid w:val="0"/>
        </w:rPr>
        <w:noBreakHyphen/>
        <w:t>passenger vessels</w:t>
      </w:r>
      <w:bookmarkEnd w:id="130"/>
      <w:bookmarkEnd w:id="131"/>
      <w:bookmarkEnd w:id="132"/>
      <w:bookmarkEnd w:id="133"/>
      <w:bookmarkEnd w:id="134"/>
      <w:bookmarkEnd w:id="135"/>
      <w:r>
        <w:rPr>
          <w:snapToGrid w:val="0"/>
        </w:rPr>
        <w:t xml:space="preserve"> </w:t>
      </w:r>
    </w:p>
    <w:p>
      <w:pPr>
        <w:pStyle w:val="Subsection"/>
        <w:rPr>
          <w:snapToGrid w:val="0"/>
        </w:rPr>
      </w:pPr>
      <w:r>
        <w:rPr>
          <w:snapToGrid w:val="0"/>
        </w:rPr>
        <w:tab/>
        <w:t>(1)</w:t>
      </w:r>
      <w:r>
        <w:rPr>
          <w:snapToGrid w:val="0"/>
        </w:rPr>
        <w:tab/>
        <w:t>Notwithstanding anything in these regulations — </w:t>
      </w:r>
    </w:p>
    <w:p>
      <w:pPr>
        <w:pStyle w:val="Indenta"/>
        <w:rPr>
          <w:snapToGrid w:val="0"/>
        </w:rPr>
      </w:pPr>
      <w:r>
        <w:rPr>
          <w:snapToGrid w:val="0"/>
        </w:rPr>
        <w:tab/>
        <w:t>(a)</w:t>
      </w:r>
      <w:r>
        <w:rPr>
          <w:snapToGrid w:val="0"/>
        </w:rPr>
        <w:tab/>
        <w:t>a fishing vessel — </w:t>
      </w:r>
    </w:p>
    <w:p>
      <w:pPr>
        <w:pStyle w:val="Indenti"/>
        <w:rPr>
          <w:snapToGrid w:val="0"/>
        </w:rPr>
      </w:pPr>
      <w:r>
        <w:rPr>
          <w:snapToGrid w:val="0"/>
        </w:rPr>
        <w:tab/>
        <w:t>(i)</w:t>
      </w:r>
      <w:r>
        <w:rPr>
          <w:snapToGrid w:val="0"/>
        </w:rPr>
        <w:tab/>
        <w:t>having a measured length not exceeding 8 metres; and</w:t>
      </w:r>
    </w:p>
    <w:p>
      <w:pPr>
        <w:pStyle w:val="Indenti"/>
        <w:rPr>
          <w:snapToGrid w:val="0"/>
        </w:rPr>
      </w:pPr>
      <w:r>
        <w:rPr>
          <w:snapToGrid w:val="0"/>
        </w:rPr>
        <w:tab/>
        <w:t>(ii)</w:t>
      </w:r>
      <w:r>
        <w:rPr>
          <w:snapToGrid w:val="0"/>
        </w:rPr>
        <w:tab/>
        <w:t>that is intended to be operated within 5 nautical miles</w:t>
      </w:r>
      <w:r>
        <w:t xml:space="preserve"> off the mainland of the State</w:t>
      </w:r>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class 2 vessel — </w:t>
      </w:r>
    </w:p>
    <w:p>
      <w:pPr>
        <w:pStyle w:val="Indenti"/>
        <w:rPr>
          <w:snapToGrid w:val="0"/>
        </w:rPr>
      </w:pPr>
      <w:r>
        <w:rPr>
          <w:snapToGrid w:val="0"/>
        </w:rPr>
        <w:tab/>
        <w:t>(i)</w:t>
      </w:r>
      <w:r>
        <w:rPr>
          <w:snapToGrid w:val="0"/>
        </w:rPr>
        <w:tab/>
        <w:t>having a measured length not exceeding 8 metres;</w:t>
      </w:r>
    </w:p>
    <w:p>
      <w:pPr>
        <w:pStyle w:val="Indenti"/>
        <w:rPr>
          <w:snapToGrid w:val="0"/>
        </w:rPr>
      </w:pPr>
      <w:r>
        <w:rPr>
          <w:snapToGrid w:val="0"/>
        </w:rPr>
        <w:tab/>
        <w:t>(ii)</w:t>
      </w:r>
      <w:r>
        <w:rPr>
          <w:snapToGrid w:val="0"/>
        </w:rPr>
        <w:tab/>
        <w:t>that is not intended to carry passengers; and</w:t>
      </w:r>
    </w:p>
    <w:p>
      <w:pPr>
        <w:pStyle w:val="Indenti"/>
        <w:rPr>
          <w:snapToGrid w:val="0"/>
        </w:rPr>
      </w:pPr>
      <w:r>
        <w:rPr>
          <w:snapToGrid w:val="0"/>
        </w:rPr>
        <w:tab/>
        <w:t>(iii)</w:t>
      </w:r>
      <w:r>
        <w:rPr>
          <w:snapToGrid w:val="0"/>
        </w:rPr>
        <w:tab/>
        <w:t>that is intended to be operated within 5 nautical miles</w:t>
      </w:r>
      <w:r>
        <w:t xml:space="preserve"> off the mainland of the State</w:t>
      </w:r>
      <w:r>
        <w:rPr>
          <w:snapToGrid w:val="0"/>
        </w:rPr>
        <w:t>,</w:t>
      </w:r>
    </w:p>
    <w:p>
      <w:pPr>
        <w:pStyle w:val="Subsection"/>
        <w:rPr>
          <w:snapToGrid w:val="0"/>
        </w:rPr>
      </w:pPr>
      <w:r>
        <w:rPr>
          <w:snapToGrid w:val="0"/>
        </w:rPr>
        <w:tab/>
      </w:r>
      <w:r>
        <w:rPr>
          <w:snapToGrid w:val="0"/>
        </w:rPr>
        <w:tab/>
        <w:t>is exempted from regulations 5 and 6 subject to the following conditions, namely — </w:t>
      </w:r>
    </w:p>
    <w:p>
      <w:pPr>
        <w:pStyle w:val="Indenta"/>
        <w:rPr>
          <w:snapToGrid w:val="0"/>
        </w:rPr>
      </w:pPr>
      <w:r>
        <w:rPr>
          <w:snapToGrid w:val="0"/>
        </w:rPr>
        <w:tab/>
        <w:t>(c)</w:t>
      </w:r>
      <w:r>
        <w:rPr>
          <w:snapToGrid w:val="0"/>
        </w:rPr>
        <w:tab/>
        <w:t>the owner shall apply for and obtain from the Department on the form approved by the Chief Executive Officer a registration certificate and an identification plate in respect of the vessel;</w:t>
      </w:r>
    </w:p>
    <w:p>
      <w:pPr>
        <w:pStyle w:val="Indenta"/>
        <w:rPr>
          <w:snapToGrid w:val="0"/>
        </w:rPr>
      </w:pPr>
      <w:r>
        <w:rPr>
          <w:snapToGrid w:val="0"/>
        </w:rPr>
        <w:tab/>
        <w:t>(d)</w:t>
      </w:r>
      <w:r>
        <w:rPr>
          <w:snapToGrid w:val="0"/>
        </w:rPr>
        <w:tab/>
        <w:t>the registration of the vessel under this regulation is renewed before each anniversary of the registration of the vessel;</w:t>
      </w:r>
    </w:p>
    <w:p>
      <w:pPr>
        <w:pStyle w:val="Indenta"/>
        <w:rPr>
          <w:snapToGrid w:val="0"/>
        </w:rPr>
      </w:pPr>
      <w:r>
        <w:rPr>
          <w:snapToGrid w:val="0"/>
        </w:rPr>
        <w:tab/>
        <w:t>(e)</w:t>
      </w:r>
      <w:r>
        <w:rPr>
          <w:snapToGrid w:val="0"/>
        </w:rPr>
        <w:tab/>
        <w:t>the vessel shall not be operated outside 5 nautical miles</w:t>
      </w:r>
      <w:r>
        <w:t xml:space="preserve"> off the mainland of the State</w:t>
      </w:r>
      <w:r>
        <w:rPr>
          <w:snapToGrid w:val="0"/>
        </w:rPr>
        <w:t>;</w:t>
      </w:r>
    </w:p>
    <w:p>
      <w:pPr>
        <w:pStyle w:val="Indenta"/>
        <w:rPr>
          <w:snapToGrid w:val="0"/>
        </w:rPr>
      </w:pPr>
      <w:r>
        <w:rPr>
          <w:snapToGrid w:val="0"/>
        </w:rPr>
        <w:tab/>
        <w:t>(f)</w:t>
      </w:r>
      <w:r>
        <w:rPr>
          <w:snapToGrid w:val="0"/>
        </w:rPr>
        <w:tab/>
        <w:t>the vessel shall not be operated unless the registration number allotted to the vessel — </w:t>
      </w:r>
    </w:p>
    <w:p>
      <w:pPr>
        <w:pStyle w:val="Indenti"/>
        <w:rPr>
          <w:snapToGrid w:val="0"/>
        </w:rPr>
      </w:pPr>
      <w:r>
        <w:rPr>
          <w:snapToGrid w:val="0"/>
        </w:rPr>
        <w:tab/>
        <w:t>(i)</w:t>
      </w:r>
      <w:r>
        <w:rPr>
          <w:snapToGrid w:val="0"/>
        </w:rPr>
        <w:tab/>
        <w:t>is legibly marked on each side of the hull;</w:t>
      </w:r>
    </w:p>
    <w:p>
      <w:pPr>
        <w:pStyle w:val="Indenti"/>
        <w:rPr>
          <w:snapToGrid w:val="0"/>
        </w:rPr>
      </w:pPr>
      <w:r>
        <w:rPr>
          <w:snapToGrid w:val="0"/>
        </w:rPr>
        <w:tab/>
        <w:t>(ii)</w:t>
      </w:r>
      <w:r>
        <w:rPr>
          <w:snapToGrid w:val="0"/>
        </w:rPr>
        <w:tab/>
        <w:t>is positioned immediately forward of the transom;</w:t>
      </w:r>
    </w:p>
    <w:p>
      <w:pPr>
        <w:pStyle w:val="Indenti"/>
        <w:rPr>
          <w:snapToGrid w:val="0"/>
        </w:rPr>
      </w:pPr>
      <w:r>
        <w:rPr>
          <w:snapToGrid w:val="0"/>
        </w:rPr>
        <w:tab/>
        <w:t>(iii)</w:t>
      </w:r>
      <w:r>
        <w:rPr>
          <w:snapToGrid w:val="0"/>
        </w:rPr>
        <w:tab/>
        <w:t>is not less than 150 millimetres in height and 25 millimetres in width;</w:t>
      </w:r>
    </w:p>
    <w:p>
      <w:pPr>
        <w:pStyle w:val="Indenti"/>
        <w:rPr>
          <w:snapToGrid w:val="0"/>
        </w:rPr>
      </w:pPr>
      <w:r>
        <w:rPr>
          <w:snapToGrid w:val="0"/>
        </w:rPr>
        <w:tab/>
        <w:t>(iv)</w:t>
      </w:r>
      <w:r>
        <w:rPr>
          <w:snapToGrid w:val="0"/>
        </w:rPr>
        <w:tab/>
        <w:t>is positioned so that the highest part of each numeral commences at a point that is not lower than 75 millimetres below the gunwale;</w:t>
      </w:r>
    </w:p>
    <w:p>
      <w:pPr>
        <w:pStyle w:val="Indenti"/>
        <w:rPr>
          <w:snapToGrid w:val="0"/>
        </w:rPr>
      </w:pPr>
      <w:r>
        <w:rPr>
          <w:snapToGrid w:val="0"/>
        </w:rPr>
        <w:tab/>
        <w:t>(v)</w:t>
      </w:r>
      <w:r>
        <w:rPr>
          <w:snapToGrid w:val="0"/>
        </w:rPr>
        <w:tab/>
        <w:t>is displayed on the vessel in plain block design in vertical and not slanting numerals;</w:t>
      </w:r>
    </w:p>
    <w:p>
      <w:pPr>
        <w:pStyle w:val="Indenta"/>
        <w:rPr>
          <w:snapToGrid w:val="0"/>
        </w:rPr>
      </w:pPr>
      <w:r>
        <w:rPr>
          <w:snapToGrid w:val="0"/>
        </w:rPr>
        <w:tab/>
        <w:t>(g)</w:t>
      </w:r>
      <w:r>
        <w:rPr>
          <w:snapToGrid w:val="0"/>
        </w:rPr>
        <w:tab/>
        <w:t>the vessel shall not carry any passengers;</w:t>
      </w:r>
    </w:p>
    <w:p>
      <w:pPr>
        <w:pStyle w:val="Indenta"/>
        <w:rPr>
          <w:snapToGrid w:val="0"/>
        </w:rPr>
      </w:pPr>
      <w:r>
        <w:rPr>
          <w:snapToGrid w:val="0"/>
        </w:rPr>
        <w:tab/>
        <w:t>(h)</w:t>
      </w:r>
      <w:r>
        <w:rPr>
          <w:snapToGrid w:val="0"/>
        </w:rPr>
        <w:tab/>
        <w:t xml:space="preserve">the vessel is furnished with such safety equipment as is required under the </w:t>
      </w:r>
      <w:r>
        <w:rPr>
          <w:i/>
          <w:snapToGrid w:val="0"/>
        </w:rPr>
        <w:t>W.A. Marine (Life Saving Appliances, Fire Appliances and Miscellaneous Equipment) Regulations 1983</w:t>
      </w:r>
      <w:r>
        <w:rPr>
          <w:snapToGrid w:val="0"/>
        </w:rPr>
        <w:t xml:space="preserve"> in relation to a vessel of that kind;</w:t>
      </w:r>
    </w:p>
    <w:p>
      <w:pPr>
        <w:pStyle w:val="Indenta"/>
        <w:rPr>
          <w:snapToGrid w:val="0"/>
        </w:rPr>
      </w:pPr>
      <w:r>
        <w:rPr>
          <w:snapToGrid w:val="0"/>
        </w:rPr>
        <w:tab/>
        <w:t>(i)</w:t>
      </w:r>
      <w:r>
        <w:rPr>
          <w:snapToGrid w:val="0"/>
        </w:rPr>
        <w:tab/>
        <w:t>any change of the address of the owner is notified to the Chief Executive Officer; and</w:t>
      </w:r>
    </w:p>
    <w:p>
      <w:pPr>
        <w:pStyle w:val="Indenta"/>
        <w:rPr>
          <w:snapToGrid w:val="0"/>
        </w:rPr>
      </w:pPr>
      <w:r>
        <w:rPr>
          <w:snapToGrid w:val="0"/>
        </w:rPr>
        <w:tab/>
        <w:t>(j)</w:t>
      </w:r>
      <w:r>
        <w:rPr>
          <w:snapToGrid w:val="0"/>
        </w:rPr>
        <w:tab/>
        <w:t>if the vessel is transferred — </w:t>
      </w:r>
    </w:p>
    <w:p>
      <w:pPr>
        <w:pStyle w:val="Indenti"/>
        <w:rPr>
          <w:snapToGrid w:val="0"/>
        </w:rPr>
      </w:pPr>
      <w:r>
        <w:rPr>
          <w:snapToGrid w:val="0"/>
        </w:rPr>
        <w:tab/>
        <w:t>(i)</w:t>
      </w:r>
      <w:r>
        <w:rPr>
          <w:snapToGrid w:val="0"/>
        </w:rPr>
        <w:tab/>
        <w:t>the owner shall furnish to the person to whom the vessel is sold the certificate of registration and the identification plates issued in relation to the vessel;</w:t>
      </w:r>
    </w:p>
    <w:p>
      <w:pPr>
        <w:pStyle w:val="Indenti"/>
        <w:rPr>
          <w:snapToGrid w:val="0"/>
        </w:rPr>
      </w:pPr>
      <w:r>
        <w:rPr>
          <w:snapToGrid w:val="0"/>
        </w:rPr>
        <w:tab/>
        <w:t>(ii)</w:t>
      </w:r>
      <w:r>
        <w:rPr>
          <w:snapToGrid w:val="0"/>
        </w:rPr>
        <w:tab/>
        <w:t>notify the department within 7 days of the fact of the transfer and the name and address of the person to whom the vessel is transferred;</w:t>
      </w:r>
    </w:p>
    <w:p>
      <w:pPr>
        <w:pStyle w:val="Indenti"/>
        <w:rPr>
          <w:snapToGrid w:val="0"/>
        </w:rPr>
      </w:pPr>
      <w:r>
        <w:rPr>
          <w:snapToGrid w:val="0"/>
        </w:rPr>
        <w:tab/>
        <w:t>(iii)</w:t>
      </w:r>
      <w:r>
        <w:rPr>
          <w:snapToGrid w:val="0"/>
        </w:rPr>
        <w:tab/>
        <w:t>the transferee shall apply to the department for the transfer of the vessel and forward with the application the prescribed fee; and</w:t>
      </w:r>
    </w:p>
    <w:p>
      <w:pPr>
        <w:pStyle w:val="Indenti"/>
        <w:rPr>
          <w:snapToGrid w:val="0"/>
        </w:rPr>
      </w:pPr>
      <w:r>
        <w:rPr>
          <w:snapToGrid w:val="0"/>
        </w:rPr>
        <w:tab/>
        <w:t>(iv)</w:t>
      </w:r>
      <w:r>
        <w:rPr>
          <w:snapToGrid w:val="0"/>
        </w:rPr>
        <w:tab/>
        <w:t>the transferee shall produce to the department the previous certificate issued by the department in respect of the vessel.</w:t>
      </w:r>
    </w:p>
    <w:p>
      <w:pPr>
        <w:pStyle w:val="Ednotesubsection"/>
      </w:pPr>
      <w:r>
        <w:tab/>
        <w:t>[(2)</w:t>
      </w:r>
      <w:r>
        <w:tab/>
        <w:t xml:space="preserve">deleted] </w:t>
      </w:r>
    </w:p>
    <w:p>
      <w:pPr>
        <w:pStyle w:val="Footnotesection"/>
      </w:pPr>
      <w:r>
        <w:tab/>
        <w:t>[Regulation 10A inserted in Gazette 23 Jun 1989 p. 1812</w:t>
      </w:r>
      <w:r>
        <w:noBreakHyphen/>
        <w:t>13; amended in Gazette 1 Aug 1990 p. 3645; 13 Dec 1991 p. 6235; 30 Jun 1992 p. 2907; 11 Aug 1992 p. 3980; 22 Mar 2002</w:t>
      </w:r>
      <w:r>
        <w:rPr>
          <w:i w:val="0"/>
          <w:vertAlign w:val="superscript"/>
        </w:rPr>
        <w:t> 3</w:t>
      </w:r>
      <w:r>
        <w:t xml:space="preserve"> p. 1656.] </w:t>
      </w:r>
    </w:p>
    <w:p>
      <w:pPr>
        <w:pStyle w:val="Heading2"/>
      </w:pPr>
      <w:bookmarkStart w:id="136" w:name="_Toc107747017"/>
      <w:bookmarkStart w:id="137" w:name="_Toc139183091"/>
      <w:bookmarkStart w:id="138" w:name="_Toc139347626"/>
      <w:bookmarkStart w:id="139" w:name="_Toc150239312"/>
      <w:bookmarkStart w:id="140" w:name="_Toc150239535"/>
      <w:bookmarkStart w:id="141" w:name="_Toc152381846"/>
      <w:bookmarkStart w:id="142" w:name="_Toc152486319"/>
      <w:bookmarkStart w:id="143" w:name="_Toc152728288"/>
      <w:bookmarkStart w:id="144" w:name="_Toc154212597"/>
      <w:bookmarkStart w:id="145" w:name="_Toc170633547"/>
      <w:bookmarkStart w:id="146" w:name="_Toc170814745"/>
      <w:bookmarkStart w:id="147" w:name="_Toc170814783"/>
      <w:bookmarkStart w:id="148" w:name="_Toc202506532"/>
      <w:bookmarkStart w:id="149" w:name="_Toc212609793"/>
      <w:bookmarkStart w:id="150" w:name="_Toc232588266"/>
      <w:bookmarkStart w:id="151" w:name="_Toc233615424"/>
      <w:bookmarkStart w:id="152" w:name="_Toc235955717"/>
      <w:bookmarkStart w:id="153" w:name="_Toc236543207"/>
      <w:bookmarkStart w:id="154" w:name="_Toc236543394"/>
      <w:bookmarkStart w:id="155" w:name="_Toc238457736"/>
      <w:bookmarkStart w:id="156" w:name="_Toc238959725"/>
      <w:bookmarkStart w:id="157" w:name="_Toc248306488"/>
      <w:bookmarkStart w:id="158" w:name="_Toc248307540"/>
      <w:bookmarkStart w:id="159" w:name="_Toc248308142"/>
      <w:bookmarkStart w:id="160" w:name="_Toc265675073"/>
      <w:bookmarkStart w:id="161" w:name="_Toc265675257"/>
      <w:bookmarkStart w:id="162" w:name="_Toc293650106"/>
      <w:bookmarkStart w:id="163" w:name="_Toc293650204"/>
      <w:r>
        <w:rPr>
          <w:rStyle w:val="CharPartNo"/>
        </w:rPr>
        <w:t>Part III</w:t>
      </w:r>
      <w:r>
        <w:rPr>
          <w:rStyle w:val="CharDivNo"/>
        </w:rPr>
        <w:t> </w:t>
      </w:r>
      <w:r>
        <w:t>—</w:t>
      </w:r>
      <w:r>
        <w:rPr>
          <w:rStyle w:val="CharDivText"/>
        </w:rPr>
        <w:t> </w:t>
      </w:r>
      <w:r>
        <w:rPr>
          <w:rStyle w:val="CharPartText"/>
        </w:rPr>
        <w:t>Certificates</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r>
        <w:rPr>
          <w:rStyle w:val="CharPartText"/>
        </w:rPr>
        <w:t xml:space="preserve"> </w:t>
      </w:r>
    </w:p>
    <w:p>
      <w:pPr>
        <w:pStyle w:val="Heading5"/>
        <w:rPr>
          <w:snapToGrid w:val="0"/>
        </w:rPr>
      </w:pPr>
      <w:bookmarkStart w:id="164" w:name="_Toc6384654"/>
      <w:bookmarkStart w:id="165" w:name="_Toc13031673"/>
      <w:bookmarkStart w:id="166" w:name="_Toc14593300"/>
      <w:bookmarkStart w:id="167" w:name="_Toc18137695"/>
      <w:bookmarkStart w:id="168" w:name="_Toc107747018"/>
      <w:bookmarkStart w:id="169" w:name="_Toc293650205"/>
      <w:r>
        <w:rPr>
          <w:rStyle w:val="CharSectno"/>
        </w:rPr>
        <w:t>11</w:t>
      </w:r>
      <w:r>
        <w:rPr>
          <w:snapToGrid w:val="0"/>
        </w:rPr>
        <w:t>.</w:t>
      </w:r>
      <w:r>
        <w:rPr>
          <w:snapToGrid w:val="0"/>
        </w:rPr>
        <w:tab/>
        <w:t>Issue of Certificate of Survey</w:t>
      </w:r>
      <w:bookmarkEnd w:id="164"/>
      <w:bookmarkEnd w:id="165"/>
      <w:bookmarkEnd w:id="166"/>
      <w:bookmarkEnd w:id="167"/>
      <w:bookmarkEnd w:id="168"/>
      <w:bookmarkEnd w:id="169"/>
      <w:r>
        <w:rPr>
          <w:snapToGrid w:val="0"/>
        </w:rPr>
        <w:t xml:space="preserve"> </w:t>
      </w:r>
    </w:p>
    <w:p>
      <w:pPr>
        <w:pStyle w:val="Subsection"/>
        <w:rPr>
          <w:snapToGrid w:val="0"/>
        </w:rPr>
      </w:pPr>
      <w:r>
        <w:rPr>
          <w:snapToGrid w:val="0"/>
        </w:rPr>
        <w:tab/>
        <w:t>(1)</w:t>
      </w:r>
      <w:r>
        <w:rPr>
          <w:snapToGrid w:val="0"/>
        </w:rPr>
        <w:tab/>
        <w:t>Upon receiving a satisfactory report from each surveyor performing the initial survey of a vessel, the Chief Executive Officer shall prepare a Certificate of Survey in the specified form and a Record of Survey describing the hull, boilers and machinery, and equipment of the vessel.</w:t>
      </w:r>
    </w:p>
    <w:p>
      <w:pPr>
        <w:pStyle w:val="Subsection"/>
        <w:rPr>
          <w:snapToGrid w:val="0"/>
        </w:rPr>
      </w:pPr>
      <w:r>
        <w:rPr>
          <w:snapToGrid w:val="0"/>
        </w:rPr>
        <w:tab/>
        <w:t>(2)</w:t>
      </w:r>
      <w:r>
        <w:rPr>
          <w:snapToGrid w:val="0"/>
        </w:rPr>
        <w:tab/>
        <w:t>The Certificate of Survey shall contain the following items — </w:t>
      </w:r>
    </w:p>
    <w:p>
      <w:pPr>
        <w:pStyle w:val="Indenta"/>
        <w:rPr>
          <w:snapToGrid w:val="0"/>
        </w:rPr>
      </w:pPr>
      <w:r>
        <w:rPr>
          <w:snapToGrid w:val="0"/>
        </w:rPr>
        <w:tab/>
      </w:r>
      <w:r>
        <w:rPr>
          <w:snapToGrid w:val="0"/>
        </w:rPr>
        <w:tab/>
        <w:t>Name of Vessel;</w:t>
      </w:r>
    </w:p>
    <w:p>
      <w:pPr>
        <w:pStyle w:val="Indenta"/>
        <w:rPr>
          <w:snapToGrid w:val="0"/>
        </w:rPr>
      </w:pPr>
      <w:r>
        <w:rPr>
          <w:snapToGrid w:val="0"/>
        </w:rPr>
        <w:tab/>
      </w:r>
      <w:r>
        <w:rPr>
          <w:snapToGrid w:val="0"/>
        </w:rPr>
        <w:tab/>
        <w:t>Identifying Number of Vessel;</w:t>
      </w:r>
    </w:p>
    <w:p>
      <w:pPr>
        <w:pStyle w:val="Indenta"/>
        <w:rPr>
          <w:snapToGrid w:val="0"/>
        </w:rPr>
      </w:pPr>
      <w:r>
        <w:rPr>
          <w:snapToGrid w:val="0"/>
        </w:rPr>
        <w:tab/>
      </w:r>
      <w:r>
        <w:rPr>
          <w:snapToGrid w:val="0"/>
        </w:rPr>
        <w:tab/>
        <w:t>Official Number (if registered vessel);</w:t>
      </w:r>
    </w:p>
    <w:p>
      <w:pPr>
        <w:pStyle w:val="Indenta"/>
        <w:rPr>
          <w:snapToGrid w:val="0"/>
        </w:rPr>
      </w:pPr>
      <w:r>
        <w:rPr>
          <w:snapToGrid w:val="0"/>
        </w:rPr>
        <w:tab/>
      </w:r>
      <w:r>
        <w:rPr>
          <w:snapToGrid w:val="0"/>
        </w:rPr>
        <w:tab/>
        <w:t>Number of Passengers;</w:t>
      </w:r>
    </w:p>
    <w:p>
      <w:pPr>
        <w:pStyle w:val="Indenta"/>
        <w:rPr>
          <w:snapToGrid w:val="0"/>
        </w:rPr>
      </w:pPr>
      <w:r>
        <w:rPr>
          <w:snapToGrid w:val="0"/>
        </w:rPr>
        <w:tab/>
      </w:r>
      <w:r>
        <w:rPr>
          <w:snapToGrid w:val="0"/>
        </w:rPr>
        <w:tab/>
        <w:t>Number of Crew;</w:t>
      </w:r>
    </w:p>
    <w:p>
      <w:pPr>
        <w:pStyle w:val="Indenta"/>
        <w:rPr>
          <w:snapToGrid w:val="0"/>
        </w:rPr>
      </w:pPr>
      <w:r>
        <w:rPr>
          <w:snapToGrid w:val="0"/>
        </w:rPr>
        <w:tab/>
      </w:r>
      <w:r>
        <w:rPr>
          <w:snapToGrid w:val="0"/>
        </w:rPr>
        <w:tab/>
        <w:t>Class of Vessel;</w:t>
      </w:r>
    </w:p>
    <w:p>
      <w:pPr>
        <w:pStyle w:val="Indenta"/>
        <w:rPr>
          <w:snapToGrid w:val="0"/>
        </w:rPr>
      </w:pPr>
      <w:r>
        <w:rPr>
          <w:snapToGrid w:val="0"/>
        </w:rPr>
        <w:tab/>
      </w:r>
      <w:r>
        <w:rPr>
          <w:snapToGrid w:val="0"/>
        </w:rPr>
        <w:tab/>
        <w:t>Limits of Operation(s);</w:t>
      </w:r>
    </w:p>
    <w:p>
      <w:pPr>
        <w:pStyle w:val="Indenta"/>
        <w:rPr>
          <w:snapToGrid w:val="0"/>
        </w:rPr>
      </w:pPr>
      <w:r>
        <w:rPr>
          <w:snapToGrid w:val="0"/>
        </w:rPr>
        <w:tab/>
      </w:r>
      <w:r>
        <w:rPr>
          <w:snapToGrid w:val="0"/>
        </w:rPr>
        <w:tab/>
        <w:t>Measured Length and/or Gross Tonnage;</w:t>
      </w:r>
    </w:p>
    <w:p>
      <w:pPr>
        <w:pStyle w:val="Indenta"/>
        <w:rPr>
          <w:snapToGrid w:val="0"/>
        </w:rPr>
      </w:pPr>
      <w:r>
        <w:rPr>
          <w:snapToGrid w:val="0"/>
        </w:rPr>
        <w:tab/>
      </w:r>
      <w:r>
        <w:rPr>
          <w:snapToGrid w:val="0"/>
        </w:rPr>
        <w:tab/>
        <w:t>Title of Issuing Authority;</w:t>
      </w:r>
    </w:p>
    <w:p>
      <w:pPr>
        <w:pStyle w:val="Indenta"/>
        <w:rPr>
          <w:snapToGrid w:val="0"/>
        </w:rPr>
      </w:pPr>
      <w:r>
        <w:rPr>
          <w:snapToGrid w:val="0"/>
        </w:rPr>
        <w:tab/>
      </w:r>
      <w:r>
        <w:rPr>
          <w:snapToGrid w:val="0"/>
        </w:rPr>
        <w:tab/>
        <w:t>Signature of authorised officer(s);</w:t>
      </w:r>
    </w:p>
    <w:p>
      <w:pPr>
        <w:pStyle w:val="Indenta"/>
        <w:rPr>
          <w:snapToGrid w:val="0"/>
        </w:rPr>
      </w:pPr>
      <w:r>
        <w:rPr>
          <w:snapToGrid w:val="0"/>
        </w:rPr>
        <w:tab/>
      </w:r>
      <w:r>
        <w:rPr>
          <w:snapToGrid w:val="0"/>
        </w:rPr>
        <w:tab/>
        <w:t>Period of validity from ...................... to ......................;</w:t>
      </w:r>
    </w:p>
    <w:p>
      <w:pPr>
        <w:pStyle w:val="Indenta"/>
        <w:rPr>
          <w:snapToGrid w:val="0"/>
        </w:rPr>
      </w:pPr>
      <w:r>
        <w:rPr>
          <w:snapToGrid w:val="0"/>
        </w:rPr>
        <w:tab/>
      </w:r>
      <w:r>
        <w:rPr>
          <w:snapToGrid w:val="0"/>
        </w:rPr>
        <w:tab/>
        <w:t>Statement that vessel complies with the survey requirements of the                                   Authority.</w:t>
      </w:r>
    </w:p>
    <w:p>
      <w:pPr>
        <w:pStyle w:val="Subsection"/>
        <w:rPr>
          <w:snapToGrid w:val="0"/>
        </w:rPr>
      </w:pPr>
      <w:r>
        <w:rPr>
          <w:snapToGrid w:val="0"/>
        </w:rPr>
        <w:tab/>
        <w:t>(3)</w:t>
      </w:r>
      <w:r>
        <w:rPr>
          <w:snapToGrid w:val="0"/>
        </w:rPr>
        <w:tab/>
        <w:t>The original of the Certificate of Survey shall be issued to the owner or his agent.</w:t>
      </w:r>
    </w:p>
    <w:p>
      <w:pPr>
        <w:pStyle w:val="Footnotesection"/>
      </w:pPr>
      <w:r>
        <w:tab/>
        <w:t xml:space="preserve">[Regulation 11 amended in Gazette 11 Aug 1992 p. 3980.] </w:t>
      </w:r>
    </w:p>
    <w:p>
      <w:pPr>
        <w:pStyle w:val="Heading5"/>
        <w:rPr>
          <w:snapToGrid w:val="0"/>
        </w:rPr>
      </w:pPr>
      <w:bookmarkStart w:id="170" w:name="_Toc6384655"/>
      <w:bookmarkStart w:id="171" w:name="_Toc13031674"/>
      <w:bookmarkStart w:id="172" w:name="_Toc14593301"/>
      <w:bookmarkStart w:id="173" w:name="_Toc18137696"/>
      <w:bookmarkStart w:id="174" w:name="_Toc107747019"/>
      <w:bookmarkStart w:id="175" w:name="_Toc293650206"/>
      <w:r>
        <w:rPr>
          <w:rStyle w:val="CharSectno"/>
        </w:rPr>
        <w:t>12</w:t>
      </w:r>
      <w:r>
        <w:rPr>
          <w:snapToGrid w:val="0"/>
        </w:rPr>
        <w:t>.</w:t>
      </w:r>
      <w:r>
        <w:rPr>
          <w:snapToGrid w:val="0"/>
        </w:rPr>
        <w:tab/>
        <w:t>Evidence of compliance with survey requirements</w:t>
      </w:r>
      <w:bookmarkEnd w:id="170"/>
      <w:bookmarkEnd w:id="171"/>
      <w:bookmarkEnd w:id="172"/>
      <w:bookmarkEnd w:id="173"/>
      <w:bookmarkEnd w:id="174"/>
      <w:bookmarkEnd w:id="175"/>
      <w:r>
        <w:rPr>
          <w:snapToGrid w:val="0"/>
        </w:rPr>
        <w:t xml:space="preserve"> </w:t>
      </w:r>
    </w:p>
    <w:p>
      <w:pPr>
        <w:pStyle w:val="Subsection"/>
        <w:rPr>
          <w:snapToGrid w:val="0"/>
        </w:rPr>
      </w:pPr>
      <w:r>
        <w:rPr>
          <w:snapToGrid w:val="0"/>
        </w:rPr>
        <w:tab/>
        <w:t>(1)</w:t>
      </w:r>
      <w:r>
        <w:rPr>
          <w:snapToGrid w:val="0"/>
        </w:rPr>
        <w:tab/>
        <w:t>Evidence of compliance with the appropriate survey requirements shall consist of the display of the original, or a copy of the Certificate of Survey, or a plasticised document or a sticker or a metal plate referring to the Certificate of Survey, as may be approved by the Chief Executive Officer.</w:t>
      </w:r>
    </w:p>
    <w:p>
      <w:pPr>
        <w:pStyle w:val="Subsection"/>
        <w:rPr>
          <w:snapToGrid w:val="0"/>
        </w:rPr>
      </w:pPr>
      <w:r>
        <w:rPr>
          <w:snapToGrid w:val="0"/>
        </w:rPr>
        <w:tab/>
        <w:t>(2)</w:t>
      </w:r>
      <w:r>
        <w:rPr>
          <w:snapToGrid w:val="0"/>
        </w:rPr>
        <w:tab/>
        <w:t>The evidence of compliance, if not the original or a copy of the Certificate of Survey, shall contain the following details — </w:t>
      </w:r>
    </w:p>
    <w:p>
      <w:pPr>
        <w:pStyle w:val="Indenta"/>
        <w:rPr>
          <w:snapToGrid w:val="0"/>
        </w:rPr>
      </w:pPr>
      <w:r>
        <w:rPr>
          <w:snapToGrid w:val="0"/>
        </w:rPr>
        <w:tab/>
      </w:r>
      <w:r>
        <w:rPr>
          <w:snapToGrid w:val="0"/>
        </w:rPr>
        <w:tab/>
        <w:t>Name of vessel;</w:t>
      </w:r>
    </w:p>
    <w:p>
      <w:pPr>
        <w:pStyle w:val="Indenta"/>
        <w:rPr>
          <w:snapToGrid w:val="0"/>
        </w:rPr>
      </w:pPr>
      <w:r>
        <w:rPr>
          <w:snapToGrid w:val="0"/>
        </w:rPr>
        <w:tab/>
      </w:r>
      <w:r>
        <w:rPr>
          <w:snapToGrid w:val="0"/>
        </w:rPr>
        <w:tab/>
        <w:t>Identifying number of vessel;</w:t>
      </w:r>
    </w:p>
    <w:p>
      <w:pPr>
        <w:pStyle w:val="Indenta"/>
        <w:rPr>
          <w:snapToGrid w:val="0"/>
        </w:rPr>
      </w:pPr>
      <w:r>
        <w:rPr>
          <w:snapToGrid w:val="0"/>
        </w:rPr>
        <w:tab/>
      </w:r>
      <w:r>
        <w:rPr>
          <w:snapToGrid w:val="0"/>
        </w:rPr>
        <w:tab/>
        <w:t>Class of vessel;</w:t>
      </w:r>
    </w:p>
    <w:p>
      <w:pPr>
        <w:pStyle w:val="Indenta"/>
        <w:rPr>
          <w:snapToGrid w:val="0"/>
        </w:rPr>
      </w:pPr>
      <w:r>
        <w:rPr>
          <w:snapToGrid w:val="0"/>
        </w:rPr>
        <w:tab/>
      </w:r>
      <w:r>
        <w:rPr>
          <w:snapToGrid w:val="0"/>
        </w:rPr>
        <w:tab/>
        <w:t>Measured length and/or gross tonnage;</w:t>
      </w:r>
    </w:p>
    <w:p>
      <w:pPr>
        <w:pStyle w:val="Indenta"/>
        <w:rPr>
          <w:snapToGrid w:val="0"/>
        </w:rPr>
      </w:pPr>
      <w:r>
        <w:rPr>
          <w:snapToGrid w:val="0"/>
        </w:rPr>
        <w:tab/>
      </w:r>
      <w:r>
        <w:rPr>
          <w:snapToGrid w:val="0"/>
        </w:rPr>
        <w:tab/>
        <w:t>Maximum number of persons carried;</w:t>
      </w:r>
    </w:p>
    <w:p>
      <w:pPr>
        <w:pStyle w:val="Indenta"/>
        <w:rPr>
          <w:snapToGrid w:val="0"/>
        </w:rPr>
      </w:pPr>
      <w:r>
        <w:rPr>
          <w:snapToGrid w:val="0"/>
        </w:rPr>
        <w:tab/>
      </w:r>
      <w:r>
        <w:rPr>
          <w:snapToGrid w:val="0"/>
        </w:rPr>
        <w:tab/>
        <w:t>Limits of operation;</w:t>
      </w:r>
    </w:p>
    <w:p>
      <w:pPr>
        <w:pStyle w:val="Indenta"/>
        <w:rPr>
          <w:snapToGrid w:val="0"/>
        </w:rPr>
      </w:pPr>
      <w:r>
        <w:rPr>
          <w:snapToGrid w:val="0"/>
        </w:rPr>
        <w:tab/>
      </w:r>
      <w:r>
        <w:rPr>
          <w:snapToGrid w:val="0"/>
        </w:rPr>
        <w:tab/>
        <w:t>Issuing authority and signature of issuing officer;</w:t>
      </w:r>
    </w:p>
    <w:p>
      <w:pPr>
        <w:pStyle w:val="Indenta"/>
        <w:rPr>
          <w:snapToGrid w:val="0"/>
        </w:rPr>
      </w:pPr>
      <w:r>
        <w:rPr>
          <w:snapToGrid w:val="0"/>
        </w:rPr>
        <w:tab/>
      </w:r>
      <w:r>
        <w:rPr>
          <w:snapToGrid w:val="0"/>
        </w:rPr>
        <w:tab/>
        <w:t>Date of expiry.</w:t>
      </w:r>
    </w:p>
    <w:p>
      <w:pPr>
        <w:pStyle w:val="Subsection"/>
        <w:rPr>
          <w:snapToGrid w:val="0"/>
        </w:rPr>
      </w:pPr>
      <w:r>
        <w:rPr>
          <w:snapToGrid w:val="0"/>
        </w:rPr>
        <w:tab/>
        <w:t>(3)</w:t>
      </w:r>
      <w:r>
        <w:rPr>
          <w:snapToGrid w:val="0"/>
        </w:rPr>
        <w:tab/>
        <w:t>Subject to subregulation (4), evidence of compliance shall be displayed near the steering position of the vessel, except that in the case of passenger vessels, the evidence shall be displayed in such a position that it is readily visible to passengers.</w:t>
      </w:r>
    </w:p>
    <w:p>
      <w:pPr>
        <w:pStyle w:val="Subsection"/>
        <w:rPr>
          <w:snapToGrid w:val="0"/>
        </w:rPr>
      </w:pPr>
      <w:r>
        <w:rPr>
          <w:snapToGrid w:val="0"/>
        </w:rPr>
        <w:tab/>
        <w:t>(4)</w:t>
      </w:r>
      <w:r>
        <w:rPr>
          <w:snapToGrid w:val="0"/>
        </w:rPr>
        <w:tab/>
        <w:t>If the Chief Executive Officer so directs, the evidence of compliance carried on board a vessel shall be placed in such a position on board the vessel that it is visible from outside the vessel.</w:t>
      </w:r>
    </w:p>
    <w:p>
      <w:pPr>
        <w:pStyle w:val="Footnotesection"/>
      </w:pPr>
      <w:r>
        <w:tab/>
        <w:t xml:space="preserve">[Regulation 12 amended in Gazette 11 Aug 1992 p. 3980.] </w:t>
      </w:r>
    </w:p>
    <w:p>
      <w:pPr>
        <w:pStyle w:val="Heading5"/>
        <w:rPr>
          <w:snapToGrid w:val="0"/>
        </w:rPr>
      </w:pPr>
      <w:bookmarkStart w:id="176" w:name="_Toc6384656"/>
      <w:bookmarkStart w:id="177" w:name="_Toc13031675"/>
      <w:bookmarkStart w:id="178" w:name="_Toc14593302"/>
      <w:bookmarkStart w:id="179" w:name="_Toc18137697"/>
      <w:bookmarkStart w:id="180" w:name="_Toc107747020"/>
      <w:bookmarkStart w:id="181" w:name="_Toc293650207"/>
      <w:r>
        <w:rPr>
          <w:rStyle w:val="CharSectno"/>
        </w:rPr>
        <w:t>13</w:t>
      </w:r>
      <w:r>
        <w:rPr>
          <w:snapToGrid w:val="0"/>
        </w:rPr>
        <w:t>.</w:t>
      </w:r>
      <w:r>
        <w:rPr>
          <w:snapToGrid w:val="0"/>
        </w:rPr>
        <w:tab/>
        <w:t>Revalidation or renewal of certificate of survey</w:t>
      </w:r>
      <w:bookmarkEnd w:id="176"/>
      <w:bookmarkEnd w:id="177"/>
      <w:bookmarkEnd w:id="178"/>
      <w:bookmarkEnd w:id="179"/>
      <w:bookmarkEnd w:id="180"/>
      <w:bookmarkEnd w:id="181"/>
      <w:r>
        <w:rPr>
          <w:snapToGrid w:val="0"/>
        </w:rPr>
        <w:t xml:space="preserve"> </w:t>
      </w:r>
    </w:p>
    <w:p>
      <w:pPr>
        <w:pStyle w:val="Subsection"/>
        <w:rPr>
          <w:snapToGrid w:val="0"/>
        </w:rPr>
      </w:pPr>
      <w:r>
        <w:rPr>
          <w:snapToGrid w:val="0"/>
        </w:rPr>
        <w:tab/>
        <w:t>(1)</w:t>
      </w:r>
      <w:r>
        <w:rPr>
          <w:snapToGrid w:val="0"/>
        </w:rPr>
        <w:tab/>
        <w:t>Upon the satisfactory completion of any subsequent survey of a vessel and the receipt of the Report of each surveyor, the Chief Executive Officer may then issue for display on the vessel either — </w:t>
      </w:r>
    </w:p>
    <w:p>
      <w:pPr>
        <w:pStyle w:val="Indenta"/>
        <w:rPr>
          <w:snapToGrid w:val="0"/>
        </w:rPr>
      </w:pPr>
      <w:r>
        <w:rPr>
          <w:snapToGrid w:val="0"/>
        </w:rPr>
        <w:tab/>
        <w:t>(a)</w:t>
      </w:r>
      <w:r>
        <w:rPr>
          <w:snapToGrid w:val="0"/>
        </w:rPr>
        <w:tab/>
        <w:t>a new copy of the evidence required to be carried on board under section 27 of the Act; or</w:t>
      </w:r>
    </w:p>
    <w:p>
      <w:pPr>
        <w:pStyle w:val="Indenta"/>
        <w:rPr>
          <w:snapToGrid w:val="0"/>
        </w:rPr>
      </w:pPr>
      <w:r>
        <w:rPr>
          <w:snapToGrid w:val="0"/>
        </w:rPr>
        <w:tab/>
        <w:t>(b)</w:t>
      </w:r>
      <w:r>
        <w:rPr>
          <w:snapToGrid w:val="0"/>
        </w:rPr>
        <w:tab/>
        <w:t>a statement of revalidation, in a suitable form, that the evidence carried on the vessel under section 27 of the Act shall remain valid until the new expiry date indicated (which date shall usually be the due date of the next survey).</w:t>
      </w:r>
    </w:p>
    <w:p>
      <w:pPr>
        <w:pStyle w:val="Subsection"/>
        <w:rPr>
          <w:snapToGrid w:val="0"/>
        </w:rPr>
      </w:pPr>
      <w:r>
        <w:rPr>
          <w:snapToGrid w:val="0"/>
        </w:rPr>
        <w:tab/>
        <w:t>(2)</w:t>
      </w:r>
      <w:r>
        <w:rPr>
          <w:snapToGrid w:val="0"/>
        </w:rPr>
        <w:tab/>
        <w:t>The Chief Executive Officer, on satisfactory completion of a subsequent survey, may then issue to the owner the copies referred to in subregulation (1).</w:t>
      </w:r>
    </w:p>
    <w:p>
      <w:pPr>
        <w:pStyle w:val="Subsection"/>
        <w:rPr>
          <w:snapToGrid w:val="0"/>
        </w:rPr>
      </w:pPr>
      <w:r>
        <w:rPr>
          <w:snapToGrid w:val="0"/>
        </w:rPr>
        <w:tab/>
        <w:t>(3)</w:t>
      </w:r>
      <w:r>
        <w:rPr>
          <w:snapToGrid w:val="0"/>
        </w:rPr>
        <w:tab/>
        <w:t>If the Chief Executive Officer so requires upon the satisfactory completion of a cycle of an approved survey programme for a vessel and the receipt of the Report of each surveyor, the Chief Executive Officer may then issue for display on the vessel either — </w:t>
      </w:r>
    </w:p>
    <w:p>
      <w:pPr>
        <w:pStyle w:val="Indenta"/>
        <w:rPr>
          <w:snapToGrid w:val="0"/>
        </w:rPr>
      </w:pPr>
      <w:r>
        <w:rPr>
          <w:snapToGrid w:val="0"/>
        </w:rPr>
        <w:tab/>
        <w:t>(a)</w:t>
      </w:r>
      <w:r>
        <w:rPr>
          <w:snapToGrid w:val="0"/>
        </w:rPr>
        <w:tab/>
        <w:t>a new copy of the evidence required to be carried on board under section 27 of the Act; or</w:t>
      </w:r>
    </w:p>
    <w:p>
      <w:pPr>
        <w:pStyle w:val="Indenta"/>
        <w:rPr>
          <w:snapToGrid w:val="0"/>
        </w:rPr>
      </w:pPr>
      <w:r>
        <w:rPr>
          <w:snapToGrid w:val="0"/>
        </w:rPr>
        <w:tab/>
        <w:t>(b)</w:t>
      </w:r>
      <w:r>
        <w:rPr>
          <w:snapToGrid w:val="0"/>
        </w:rPr>
        <w:tab/>
        <w:t>a statement of revalidation in a suitable form, that the evidence carried on the vessel under section 27 of the Act shall remain valid until the new expiry date indicated (which date shall usually be the due date of the completion of the following cycle of the approved survey programme).</w:t>
      </w:r>
    </w:p>
    <w:p>
      <w:pPr>
        <w:pStyle w:val="Subsection"/>
        <w:rPr>
          <w:snapToGrid w:val="0"/>
        </w:rPr>
      </w:pPr>
      <w:r>
        <w:rPr>
          <w:snapToGrid w:val="0"/>
        </w:rPr>
        <w:tab/>
        <w:t>(4)</w:t>
      </w:r>
      <w:r>
        <w:rPr>
          <w:snapToGrid w:val="0"/>
        </w:rPr>
        <w:tab/>
        <w:t>The Chief Executive Officer on satisfactory completion of a cycle of a survey programme may then issue to the owner the copies referred to in subregulation (3).</w:t>
      </w:r>
    </w:p>
    <w:p>
      <w:pPr>
        <w:pStyle w:val="Footnotesection"/>
      </w:pPr>
      <w:r>
        <w:tab/>
        <w:t xml:space="preserve">[Regulation 13 amended in Gazette 11 Aug 1992 p. 3980.] </w:t>
      </w:r>
    </w:p>
    <w:p>
      <w:pPr>
        <w:pStyle w:val="Heading5"/>
        <w:rPr>
          <w:snapToGrid w:val="0"/>
        </w:rPr>
      </w:pPr>
      <w:bookmarkStart w:id="182" w:name="_Toc6384657"/>
      <w:bookmarkStart w:id="183" w:name="_Toc13031676"/>
      <w:bookmarkStart w:id="184" w:name="_Toc14593303"/>
      <w:bookmarkStart w:id="185" w:name="_Toc18137698"/>
      <w:bookmarkStart w:id="186" w:name="_Toc107747021"/>
      <w:bookmarkStart w:id="187" w:name="_Toc293650208"/>
      <w:r>
        <w:rPr>
          <w:rStyle w:val="CharSectno"/>
        </w:rPr>
        <w:t>14</w:t>
      </w:r>
      <w:r>
        <w:rPr>
          <w:snapToGrid w:val="0"/>
        </w:rPr>
        <w:t>.</w:t>
      </w:r>
      <w:r>
        <w:rPr>
          <w:snapToGrid w:val="0"/>
        </w:rPr>
        <w:tab/>
        <w:t>Extension of certificate of survey</w:t>
      </w:r>
      <w:bookmarkEnd w:id="182"/>
      <w:bookmarkEnd w:id="183"/>
      <w:bookmarkEnd w:id="184"/>
      <w:bookmarkEnd w:id="185"/>
      <w:bookmarkEnd w:id="186"/>
      <w:bookmarkEnd w:id="187"/>
      <w:r>
        <w:rPr>
          <w:snapToGrid w:val="0"/>
        </w:rPr>
        <w:t xml:space="preserve"> </w:t>
      </w:r>
    </w:p>
    <w:p>
      <w:pPr>
        <w:pStyle w:val="Subsection"/>
        <w:rPr>
          <w:snapToGrid w:val="0"/>
        </w:rPr>
      </w:pPr>
      <w:r>
        <w:rPr>
          <w:snapToGrid w:val="0"/>
        </w:rPr>
        <w:tab/>
        <w:t>(1)</w:t>
      </w:r>
      <w:r>
        <w:rPr>
          <w:snapToGrid w:val="0"/>
        </w:rPr>
        <w:tab/>
        <w:t>The owner of a vessel to which these regulations apply may apply in writing to the Chief Executive Officer for an extension of the certificate of survey issued to the vessel under these regulations.</w:t>
      </w:r>
    </w:p>
    <w:p>
      <w:pPr>
        <w:pStyle w:val="Subsection"/>
        <w:rPr>
          <w:snapToGrid w:val="0"/>
        </w:rPr>
      </w:pPr>
      <w:r>
        <w:rPr>
          <w:snapToGrid w:val="0"/>
        </w:rPr>
        <w:tab/>
        <w:t>(2)</w:t>
      </w:r>
      <w:r>
        <w:rPr>
          <w:snapToGrid w:val="0"/>
        </w:rPr>
        <w:tab/>
        <w:t>An application under subregulation (1) shall be accompanied by the appropriate fee set out in Schedule 1.</w:t>
      </w:r>
    </w:p>
    <w:p>
      <w:pPr>
        <w:pStyle w:val="Subsection"/>
        <w:rPr>
          <w:snapToGrid w:val="0"/>
          <w:spacing w:val="-4"/>
        </w:rPr>
      </w:pPr>
      <w:r>
        <w:rPr>
          <w:snapToGrid w:val="0"/>
        </w:rPr>
        <w:tab/>
        <w:t>(3)</w:t>
      </w:r>
      <w:r>
        <w:rPr>
          <w:snapToGrid w:val="0"/>
        </w:rPr>
        <w:tab/>
        <w:t>In any case in which the Chief Executive Officer is satisfied that the immediate survey of a vessel is impracticable or would occasion unreasonable or unnecessary expense or inconvenience,</w:t>
      </w:r>
      <w:r>
        <w:rPr>
          <w:snapToGrid w:val="0"/>
          <w:spacing w:val="-4"/>
        </w:rPr>
        <w:t xml:space="preserve"> the Chief Executive Officer may extend the time for re</w:t>
      </w:r>
      <w:r>
        <w:rPr>
          <w:snapToGrid w:val="0"/>
          <w:spacing w:val="-4"/>
        </w:rPr>
        <w:noBreakHyphen/>
        <w:t>survey for any period not exceeding 3 months. An extension may be granted notwithstanding that the certificate of survey has expired.</w:t>
      </w:r>
    </w:p>
    <w:p>
      <w:pPr>
        <w:pStyle w:val="Subsection"/>
        <w:rPr>
          <w:snapToGrid w:val="0"/>
        </w:rPr>
      </w:pPr>
      <w:r>
        <w:rPr>
          <w:snapToGrid w:val="0"/>
        </w:rPr>
        <w:tab/>
        <w:t>(4)</w:t>
      </w:r>
      <w:r>
        <w:rPr>
          <w:snapToGrid w:val="0"/>
        </w:rPr>
        <w:tab/>
        <w:t>The Chief Executive Officer may require an inspection and report on the condition of a vessel to be made before granting the extension of a certificate of survey.</w:t>
      </w:r>
    </w:p>
    <w:p>
      <w:pPr>
        <w:pStyle w:val="Subsection"/>
        <w:rPr>
          <w:snapToGrid w:val="0"/>
        </w:rPr>
      </w:pPr>
      <w:r>
        <w:rPr>
          <w:snapToGrid w:val="0"/>
        </w:rPr>
        <w:tab/>
        <w:t>(5)</w:t>
      </w:r>
      <w:r>
        <w:rPr>
          <w:snapToGrid w:val="0"/>
        </w:rPr>
        <w:tab/>
        <w:t>Where the Chief Executive Officer grants an extension of a certificate of survey he shall issue to the owner of the vessel a notice of extension.</w:t>
      </w:r>
    </w:p>
    <w:p>
      <w:pPr>
        <w:pStyle w:val="Footnotesection"/>
      </w:pPr>
      <w:r>
        <w:tab/>
        <w:t xml:space="preserve">[Regulation 14 amended in Gazette 11 Aug 1992 p. 3980.] </w:t>
      </w:r>
    </w:p>
    <w:p>
      <w:pPr>
        <w:pStyle w:val="Heading5"/>
        <w:rPr>
          <w:snapToGrid w:val="0"/>
        </w:rPr>
      </w:pPr>
      <w:bookmarkStart w:id="188" w:name="_Toc6384658"/>
      <w:bookmarkStart w:id="189" w:name="_Toc13031677"/>
      <w:bookmarkStart w:id="190" w:name="_Toc14593304"/>
      <w:bookmarkStart w:id="191" w:name="_Toc18137699"/>
      <w:bookmarkStart w:id="192" w:name="_Toc107747022"/>
      <w:bookmarkStart w:id="193" w:name="_Toc293650209"/>
      <w:r>
        <w:rPr>
          <w:rStyle w:val="CharSectno"/>
        </w:rPr>
        <w:t>15</w:t>
      </w:r>
      <w:r>
        <w:rPr>
          <w:snapToGrid w:val="0"/>
        </w:rPr>
        <w:t>.</w:t>
      </w:r>
      <w:r>
        <w:rPr>
          <w:snapToGrid w:val="0"/>
        </w:rPr>
        <w:tab/>
        <w:t>Suspension or cancellation of certificate of survey</w:t>
      </w:r>
      <w:bookmarkEnd w:id="188"/>
      <w:bookmarkEnd w:id="189"/>
      <w:bookmarkEnd w:id="190"/>
      <w:bookmarkEnd w:id="191"/>
      <w:bookmarkEnd w:id="192"/>
      <w:bookmarkEnd w:id="193"/>
      <w:r>
        <w:rPr>
          <w:snapToGrid w:val="0"/>
        </w:rPr>
        <w:t xml:space="preserve"> </w:t>
      </w:r>
    </w:p>
    <w:p>
      <w:pPr>
        <w:pStyle w:val="Subsection"/>
        <w:rPr>
          <w:snapToGrid w:val="0"/>
        </w:rPr>
      </w:pPr>
      <w:r>
        <w:rPr>
          <w:snapToGrid w:val="0"/>
        </w:rPr>
        <w:tab/>
        <w:t>(1)</w:t>
      </w:r>
      <w:r>
        <w:rPr>
          <w:snapToGrid w:val="0"/>
        </w:rPr>
        <w:tab/>
        <w:t>Where the Chief Executive Officer is satisfied, by reason of a report, that a vessel under his survey fails to comply, for any reason, with the appropriate survey requirements, the Chief Executive Officer may suspend or cancel the certificate of survey and the owner shall be advised accordingly.</w:t>
      </w:r>
    </w:p>
    <w:p>
      <w:pPr>
        <w:pStyle w:val="Subsection"/>
        <w:rPr>
          <w:snapToGrid w:val="0"/>
        </w:rPr>
      </w:pPr>
      <w:r>
        <w:rPr>
          <w:snapToGrid w:val="0"/>
        </w:rPr>
        <w:tab/>
        <w:t>(2)</w:t>
      </w:r>
      <w:r>
        <w:rPr>
          <w:snapToGrid w:val="0"/>
        </w:rPr>
        <w:tab/>
        <w:t>Where the certificate of survey has been suspended or cancelled under subregulation (1) the Chief Executive Officer may require it and the evidence of survey to be delivered up as directed.</w:t>
      </w:r>
    </w:p>
    <w:p>
      <w:pPr>
        <w:pStyle w:val="Footnotesection"/>
      </w:pPr>
      <w:r>
        <w:tab/>
        <w:t xml:space="preserve">[Regulation 15 amended in Gazette 11 Aug 1992 p. 3980.] </w:t>
      </w:r>
    </w:p>
    <w:p>
      <w:pPr>
        <w:pStyle w:val="Heading5"/>
        <w:rPr>
          <w:snapToGrid w:val="0"/>
        </w:rPr>
      </w:pPr>
      <w:bookmarkStart w:id="194" w:name="_Toc6384659"/>
      <w:bookmarkStart w:id="195" w:name="_Toc13031678"/>
      <w:bookmarkStart w:id="196" w:name="_Toc14593305"/>
      <w:bookmarkStart w:id="197" w:name="_Toc18137700"/>
      <w:bookmarkStart w:id="198" w:name="_Toc107747023"/>
      <w:bookmarkStart w:id="199" w:name="_Toc293650210"/>
      <w:r>
        <w:rPr>
          <w:rStyle w:val="CharSectno"/>
        </w:rPr>
        <w:t>16</w:t>
      </w:r>
      <w:r>
        <w:rPr>
          <w:snapToGrid w:val="0"/>
        </w:rPr>
        <w:t>.</w:t>
      </w:r>
      <w:r>
        <w:rPr>
          <w:snapToGrid w:val="0"/>
        </w:rPr>
        <w:tab/>
        <w:t>Owners to notify Chief Executive Officer of various occurrences</w:t>
      </w:r>
      <w:bookmarkEnd w:id="194"/>
      <w:bookmarkEnd w:id="195"/>
      <w:bookmarkEnd w:id="196"/>
      <w:bookmarkEnd w:id="197"/>
      <w:bookmarkEnd w:id="198"/>
      <w:bookmarkEnd w:id="199"/>
      <w:r>
        <w:rPr>
          <w:snapToGrid w:val="0"/>
        </w:rPr>
        <w:t xml:space="preserve"> </w:t>
      </w:r>
    </w:p>
    <w:p>
      <w:pPr>
        <w:pStyle w:val="Subsection"/>
        <w:rPr>
          <w:snapToGrid w:val="0"/>
        </w:rPr>
      </w:pPr>
      <w:r>
        <w:rPr>
          <w:snapToGrid w:val="0"/>
        </w:rPr>
        <w:tab/>
      </w:r>
      <w:r>
        <w:rPr>
          <w:snapToGrid w:val="0"/>
        </w:rPr>
        <w:tab/>
        <w:t>The owner of a vessel in respect of which a certificate of survey has been issued and is in force under these regulations shall, not later than 14 days after the relevant occurrence, inform the Chief Executive Officer in writing of — </w:t>
      </w:r>
    </w:p>
    <w:p>
      <w:pPr>
        <w:pStyle w:val="Indenta"/>
        <w:rPr>
          <w:snapToGrid w:val="0"/>
        </w:rPr>
      </w:pPr>
      <w:r>
        <w:rPr>
          <w:snapToGrid w:val="0"/>
        </w:rPr>
        <w:tab/>
        <w:t>(a)</w:t>
      </w:r>
      <w:r>
        <w:rPr>
          <w:snapToGrid w:val="0"/>
        </w:rPr>
        <w:tab/>
        <w:t>the sale of the vessel and the name and address of the new owner;</w:t>
      </w:r>
    </w:p>
    <w:p>
      <w:pPr>
        <w:pStyle w:val="Indenta"/>
        <w:rPr>
          <w:snapToGrid w:val="0"/>
        </w:rPr>
      </w:pPr>
      <w:r>
        <w:rPr>
          <w:snapToGrid w:val="0"/>
        </w:rPr>
        <w:tab/>
        <w:t>(b)</w:t>
      </w:r>
      <w:r>
        <w:rPr>
          <w:snapToGrid w:val="0"/>
        </w:rPr>
        <w:tab/>
        <w:t>a decision to withdraw the vessel from commercial operations;</w:t>
      </w:r>
    </w:p>
    <w:p>
      <w:pPr>
        <w:pStyle w:val="Indenta"/>
        <w:rPr>
          <w:snapToGrid w:val="0"/>
        </w:rPr>
      </w:pPr>
      <w:r>
        <w:rPr>
          <w:snapToGrid w:val="0"/>
        </w:rPr>
        <w:tab/>
        <w:t>(c)</w:t>
      </w:r>
      <w:r>
        <w:rPr>
          <w:snapToGrid w:val="0"/>
        </w:rPr>
        <w:tab/>
        <w:t>the transfer of the vessel into the jurisdiction of another marine authority for an extended period; or</w:t>
      </w:r>
    </w:p>
    <w:p>
      <w:pPr>
        <w:pStyle w:val="Indenta"/>
        <w:rPr>
          <w:snapToGrid w:val="0"/>
        </w:rPr>
      </w:pPr>
      <w:r>
        <w:rPr>
          <w:snapToGrid w:val="0"/>
        </w:rPr>
        <w:tab/>
        <w:t>(d)</w:t>
      </w:r>
      <w:r>
        <w:rPr>
          <w:snapToGrid w:val="0"/>
        </w:rPr>
        <w:tab/>
        <w:t>any significant alteration of the vessel or its manner of operation.</w:t>
      </w:r>
    </w:p>
    <w:p>
      <w:pPr>
        <w:pStyle w:val="Penstart"/>
        <w:rPr>
          <w:snapToGrid w:val="0"/>
        </w:rPr>
      </w:pPr>
      <w:r>
        <w:rPr>
          <w:snapToGrid w:val="0"/>
        </w:rPr>
        <w:tab/>
        <w:t>Penalty: $250.</w:t>
      </w:r>
    </w:p>
    <w:p>
      <w:pPr>
        <w:pStyle w:val="Footnotesection"/>
      </w:pPr>
      <w:r>
        <w:tab/>
        <w:t xml:space="preserve">[Regulation 16 amended in Gazette 11 Aug 1992 p. 3980.] </w:t>
      </w:r>
    </w:p>
    <w:p>
      <w:pPr>
        <w:pStyle w:val="Heading5"/>
        <w:rPr>
          <w:snapToGrid w:val="0"/>
        </w:rPr>
      </w:pPr>
      <w:bookmarkStart w:id="200" w:name="_Toc6384660"/>
      <w:bookmarkStart w:id="201" w:name="_Toc13031679"/>
      <w:bookmarkStart w:id="202" w:name="_Toc14593306"/>
      <w:bookmarkStart w:id="203" w:name="_Toc18137701"/>
      <w:bookmarkStart w:id="204" w:name="_Toc107747024"/>
      <w:bookmarkStart w:id="205" w:name="_Toc293650211"/>
      <w:r>
        <w:rPr>
          <w:rStyle w:val="CharSectno"/>
        </w:rPr>
        <w:t>17</w:t>
      </w:r>
      <w:r>
        <w:rPr>
          <w:snapToGrid w:val="0"/>
        </w:rPr>
        <w:t>.</w:t>
      </w:r>
      <w:r>
        <w:rPr>
          <w:snapToGrid w:val="0"/>
        </w:rPr>
        <w:tab/>
        <w:t>Acceptance of other certificates of survey</w:t>
      </w:r>
      <w:bookmarkEnd w:id="200"/>
      <w:bookmarkEnd w:id="201"/>
      <w:bookmarkEnd w:id="202"/>
      <w:bookmarkEnd w:id="203"/>
      <w:bookmarkEnd w:id="204"/>
      <w:bookmarkEnd w:id="205"/>
      <w:r>
        <w:rPr>
          <w:snapToGrid w:val="0"/>
        </w:rPr>
        <w:t xml:space="preserve"> </w:t>
      </w:r>
    </w:p>
    <w:p>
      <w:pPr>
        <w:pStyle w:val="Subsection"/>
        <w:rPr>
          <w:snapToGrid w:val="0"/>
        </w:rPr>
      </w:pPr>
      <w:r>
        <w:rPr>
          <w:snapToGrid w:val="0"/>
        </w:rPr>
        <w:tab/>
      </w:r>
      <w:r>
        <w:rPr>
          <w:snapToGrid w:val="0"/>
        </w:rPr>
        <w:tab/>
        <w:t>The Chief Executive Officer may accept a certificate of survey issued by another marine authority and dispense with the survey of that vessel during the validity of that certificate.</w:t>
      </w:r>
    </w:p>
    <w:p>
      <w:pPr>
        <w:pStyle w:val="Footnotesection"/>
      </w:pPr>
      <w:r>
        <w:tab/>
        <w:t xml:space="preserve">[Regulation 17 amended in Gazette 11 Aug 1992 p. 3980.] </w:t>
      </w:r>
    </w:p>
    <w:p>
      <w:pPr>
        <w:pStyle w:val="Heading5"/>
        <w:rPr>
          <w:snapToGrid w:val="0"/>
        </w:rPr>
      </w:pPr>
      <w:bookmarkStart w:id="206" w:name="_Toc6384661"/>
      <w:bookmarkStart w:id="207" w:name="_Toc13031680"/>
      <w:bookmarkStart w:id="208" w:name="_Toc14593307"/>
      <w:bookmarkStart w:id="209" w:name="_Toc18137702"/>
      <w:bookmarkStart w:id="210" w:name="_Toc107747025"/>
      <w:bookmarkStart w:id="211" w:name="_Toc293650212"/>
      <w:r>
        <w:rPr>
          <w:rStyle w:val="CharSectno"/>
        </w:rPr>
        <w:t>18</w:t>
      </w:r>
      <w:r>
        <w:rPr>
          <w:snapToGrid w:val="0"/>
        </w:rPr>
        <w:t>.</w:t>
      </w:r>
      <w:r>
        <w:rPr>
          <w:snapToGrid w:val="0"/>
        </w:rPr>
        <w:tab/>
        <w:t>Continuation of approved survey programme</w:t>
      </w:r>
      <w:bookmarkEnd w:id="206"/>
      <w:bookmarkEnd w:id="207"/>
      <w:bookmarkEnd w:id="208"/>
      <w:bookmarkEnd w:id="209"/>
      <w:bookmarkEnd w:id="210"/>
      <w:bookmarkEnd w:id="211"/>
      <w:r>
        <w:rPr>
          <w:snapToGrid w:val="0"/>
        </w:rPr>
        <w:t xml:space="preserve"> </w:t>
      </w:r>
    </w:p>
    <w:p>
      <w:pPr>
        <w:pStyle w:val="Subsection"/>
        <w:rPr>
          <w:snapToGrid w:val="0"/>
        </w:rPr>
      </w:pPr>
      <w:r>
        <w:rPr>
          <w:snapToGrid w:val="0"/>
        </w:rPr>
        <w:tab/>
      </w:r>
      <w:r>
        <w:rPr>
          <w:snapToGrid w:val="0"/>
        </w:rPr>
        <w:tab/>
        <w:t>Where a vessel which is carrying out a survey programme approved by another marine authority proceeds to the jurisdiction of the State, that survey programme may be continued in the State subject to the approval of the Chief Executive Officer.</w:t>
      </w:r>
    </w:p>
    <w:p>
      <w:pPr>
        <w:pStyle w:val="Footnotesection"/>
      </w:pPr>
      <w:r>
        <w:tab/>
        <w:t xml:space="preserve">[Regulation 18 amended in Gazette 11 Aug 1992 p. 3980.] </w:t>
      </w:r>
    </w:p>
    <w:p>
      <w:pPr>
        <w:pStyle w:val="Heading2"/>
      </w:pPr>
      <w:bookmarkStart w:id="212" w:name="_Toc107747026"/>
      <w:bookmarkStart w:id="213" w:name="_Toc139183100"/>
      <w:bookmarkStart w:id="214" w:name="_Toc139347635"/>
      <w:bookmarkStart w:id="215" w:name="_Toc150239321"/>
      <w:bookmarkStart w:id="216" w:name="_Toc150239544"/>
      <w:bookmarkStart w:id="217" w:name="_Toc152381855"/>
      <w:bookmarkStart w:id="218" w:name="_Toc152486328"/>
      <w:bookmarkStart w:id="219" w:name="_Toc152728297"/>
      <w:bookmarkStart w:id="220" w:name="_Toc154212606"/>
      <w:bookmarkStart w:id="221" w:name="_Toc170633556"/>
      <w:bookmarkStart w:id="222" w:name="_Toc170814754"/>
      <w:bookmarkStart w:id="223" w:name="_Toc170814792"/>
      <w:bookmarkStart w:id="224" w:name="_Toc202506541"/>
      <w:bookmarkStart w:id="225" w:name="_Toc212609802"/>
      <w:bookmarkStart w:id="226" w:name="_Toc232588275"/>
      <w:bookmarkStart w:id="227" w:name="_Toc233615433"/>
      <w:bookmarkStart w:id="228" w:name="_Toc235955726"/>
      <w:bookmarkStart w:id="229" w:name="_Toc236543216"/>
      <w:bookmarkStart w:id="230" w:name="_Toc236543403"/>
      <w:bookmarkStart w:id="231" w:name="_Toc238457745"/>
      <w:bookmarkStart w:id="232" w:name="_Toc238959734"/>
      <w:bookmarkStart w:id="233" w:name="_Toc248306497"/>
      <w:bookmarkStart w:id="234" w:name="_Toc248307549"/>
      <w:bookmarkStart w:id="235" w:name="_Toc248308151"/>
      <w:bookmarkStart w:id="236" w:name="_Toc265675082"/>
      <w:bookmarkStart w:id="237" w:name="_Toc265675266"/>
      <w:bookmarkStart w:id="238" w:name="_Toc293650115"/>
      <w:bookmarkStart w:id="239" w:name="_Toc293650213"/>
      <w:r>
        <w:rPr>
          <w:rStyle w:val="CharPartNo"/>
        </w:rPr>
        <w:t>Part IV</w:t>
      </w:r>
      <w:r>
        <w:rPr>
          <w:rStyle w:val="CharDivNo"/>
        </w:rPr>
        <w:t> </w:t>
      </w:r>
      <w:r>
        <w:t>—</w:t>
      </w:r>
      <w:r>
        <w:rPr>
          <w:rStyle w:val="CharDivText"/>
        </w:rPr>
        <w:t> </w:t>
      </w:r>
      <w:r>
        <w:rPr>
          <w:rStyle w:val="CharPartText"/>
        </w:rPr>
        <w:t>Single voyage towage permits</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r>
        <w:rPr>
          <w:rStyle w:val="CharPartText"/>
        </w:rPr>
        <w:t xml:space="preserve"> </w:t>
      </w:r>
    </w:p>
    <w:p>
      <w:pPr>
        <w:pStyle w:val="Heading5"/>
        <w:spacing w:before="180"/>
        <w:rPr>
          <w:snapToGrid w:val="0"/>
        </w:rPr>
      </w:pPr>
      <w:bookmarkStart w:id="240" w:name="_Toc6384662"/>
      <w:bookmarkStart w:id="241" w:name="_Toc13031681"/>
      <w:bookmarkStart w:id="242" w:name="_Toc14593308"/>
      <w:bookmarkStart w:id="243" w:name="_Toc18137703"/>
      <w:bookmarkStart w:id="244" w:name="_Toc107747027"/>
      <w:bookmarkStart w:id="245" w:name="_Toc293650214"/>
      <w:r>
        <w:rPr>
          <w:rStyle w:val="CharSectno"/>
        </w:rPr>
        <w:t>19</w:t>
      </w:r>
      <w:r>
        <w:rPr>
          <w:snapToGrid w:val="0"/>
        </w:rPr>
        <w:t>.</w:t>
      </w:r>
      <w:r>
        <w:rPr>
          <w:snapToGrid w:val="0"/>
        </w:rPr>
        <w:tab/>
        <w:t>Application of Part IV</w:t>
      </w:r>
      <w:bookmarkEnd w:id="240"/>
      <w:bookmarkEnd w:id="241"/>
      <w:bookmarkEnd w:id="242"/>
      <w:bookmarkEnd w:id="243"/>
      <w:bookmarkEnd w:id="244"/>
      <w:bookmarkEnd w:id="245"/>
      <w:r>
        <w:rPr>
          <w:snapToGrid w:val="0"/>
        </w:rPr>
        <w:t xml:space="preserve"> </w:t>
      </w:r>
    </w:p>
    <w:p>
      <w:pPr>
        <w:pStyle w:val="Subsection"/>
        <w:rPr>
          <w:snapToGrid w:val="0"/>
        </w:rPr>
      </w:pPr>
      <w:r>
        <w:rPr>
          <w:snapToGrid w:val="0"/>
        </w:rPr>
        <w:tab/>
      </w:r>
      <w:r>
        <w:rPr>
          <w:snapToGrid w:val="0"/>
        </w:rPr>
        <w:tab/>
        <w:t>This Part applies to all vessels that are engaged in towing or being towed on a seagoing voyage, but this Part does not apply to — </w:t>
      </w:r>
    </w:p>
    <w:p>
      <w:pPr>
        <w:pStyle w:val="Indenta"/>
        <w:rPr>
          <w:snapToGrid w:val="0"/>
        </w:rPr>
      </w:pPr>
      <w:r>
        <w:rPr>
          <w:snapToGrid w:val="0"/>
        </w:rPr>
        <w:tab/>
        <w:t>(a)</w:t>
      </w:r>
      <w:r>
        <w:rPr>
          <w:snapToGrid w:val="0"/>
        </w:rPr>
        <w:tab/>
        <w:t>regular towage of cargo on a commercial basis;</w:t>
      </w:r>
    </w:p>
    <w:p>
      <w:pPr>
        <w:pStyle w:val="Indenta"/>
        <w:rPr>
          <w:snapToGrid w:val="0"/>
        </w:rPr>
      </w:pPr>
      <w:r>
        <w:rPr>
          <w:snapToGrid w:val="0"/>
        </w:rPr>
        <w:tab/>
        <w:t>(b)</w:t>
      </w:r>
      <w:r>
        <w:rPr>
          <w:snapToGrid w:val="0"/>
        </w:rPr>
        <w:tab/>
        <w:t>the harbour towage of vessels;</w:t>
      </w:r>
    </w:p>
    <w:p>
      <w:pPr>
        <w:pStyle w:val="Indenta"/>
        <w:rPr>
          <w:snapToGrid w:val="0"/>
        </w:rPr>
      </w:pPr>
      <w:r>
        <w:rPr>
          <w:snapToGrid w:val="0"/>
        </w:rPr>
        <w:tab/>
        <w:t>(c)</w:t>
      </w:r>
      <w:r>
        <w:rPr>
          <w:snapToGrid w:val="0"/>
        </w:rPr>
        <w:tab/>
        <w:t>the towage or assistance of oil</w:t>
      </w:r>
      <w:r>
        <w:rPr>
          <w:snapToGrid w:val="0"/>
        </w:rPr>
        <w:noBreakHyphen/>
        <w:t>exploration structures, semi</w:t>
      </w:r>
      <w:r>
        <w:rPr>
          <w:snapToGrid w:val="0"/>
        </w:rPr>
        <w:noBreakHyphen/>
        <w:t>submersible oil platforms, and the like, which are self</w:t>
      </w:r>
      <w:r>
        <w:rPr>
          <w:snapToGrid w:val="0"/>
        </w:rPr>
        <w:noBreakHyphen/>
        <w:t>propelled; and</w:t>
      </w:r>
    </w:p>
    <w:p>
      <w:pPr>
        <w:pStyle w:val="Indenta"/>
        <w:rPr>
          <w:snapToGrid w:val="0"/>
        </w:rPr>
      </w:pPr>
      <w:r>
        <w:rPr>
          <w:snapToGrid w:val="0"/>
        </w:rPr>
        <w:tab/>
        <w:t>(d)</w:t>
      </w:r>
      <w:r>
        <w:rPr>
          <w:snapToGrid w:val="0"/>
        </w:rPr>
        <w:tab/>
        <w:t>a vessel in distress at sea or stranded in a position where immediate action by the towing vessel is vital to the saving of life or property.</w:t>
      </w:r>
    </w:p>
    <w:p>
      <w:pPr>
        <w:pStyle w:val="Heading5"/>
        <w:spacing w:before="180"/>
        <w:rPr>
          <w:snapToGrid w:val="0"/>
        </w:rPr>
      </w:pPr>
      <w:bookmarkStart w:id="246" w:name="_Toc6384663"/>
      <w:bookmarkStart w:id="247" w:name="_Toc13031682"/>
      <w:bookmarkStart w:id="248" w:name="_Toc14593309"/>
      <w:bookmarkStart w:id="249" w:name="_Toc18137704"/>
      <w:bookmarkStart w:id="250" w:name="_Toc107747028"/>
      <w:bookmarkStart w:id="251" w:name="_Toc293650215"/>
      <w:r>
        <w:rPr>
          <w:rStyle w:val="CharSectno"/>
        </w:rPr>
        <w:t>20</w:t>
      </w:r>
      <w:r>
        <w:rPr>
          <w:snapToGrid w:val="0"/>
        </w:rPr>
        <w:t>.</w:t>
      </w:r>
      <w:r>
        <w:rPr>
          <w:snapToGrid w:val="0"/>
        </w:rPr>
        <w:tab/>
        <w:t>Application for towage permit</w:t>
      </w:r>
      <w:bookmarkEnd w:id="246"/>
      <w:bookmarkEnd w:id="247"/>
      <w:bookmarkEnd w:id="248"/>
      <w:bookmarkEnd w:id="249"/>
      <w:bookmarkEnd w:id="250"/>
      <w:bookmarkEnd w:id="251"/>
      <w:r>
        <w:rPr>
          <w:snapToGrid w:val="0"/>
        </w:rPr>
        <w:t xml:space="preserve"> </w:t>
      </w:r>
    </w:p>
    <w:p>
      <w:pPr>
        <w:pStyle w:val="Subsection"/>
        <w:spacing w:before="120"/>
        <w:rPr>
          <w:snapToGrid w:val="0"/>
        </w:rPr>
      </w:pPr>
      <w:r>
        <w:rPr>
          <w:snapToGrid w:val="0"/>
        </w:rPr>
        <w:tab/>
        <w:t>(1)</w:t>
      </w:r>
      <w:r>
        <w:rPr>
          <w:snapToGrid w:val="0"/>
        </w:rPr>
        <w:tab/>
        <w:t>The owner of a vessel intended to be towed shall forward to the Chief Executive Officer an application in the specified form for a towage permit together with the appropriate fee for the inspection of the vessel intended to be towed and for the permit set out in Schedule 1.</w:t>
      </w:r>
    </w:p>
    <w:p>
      <w:pPr>
        <w:pStyle w:val="Subsection"/>
        <w:spacing w:before="120"/>
        <w:rPr>
          <w:snapToGrid w:val="0"/>
        </w:rPr>
      </w:pPr>
      <w:r>
        <w:rPr>
          <w:snapToGrid w:val="0"/>
        </w:rPr>
        <w:tab/>
        <w:t>(2)</w:t>
      </w:r>
      <w:r>
        <w:rPr>
          <w:snapToGrid w:val="0"/>
        </w:rPr>
        <w:tab/>
        <w:t>An “Application for Towage Permit” shall be accompanied by the following information regarding the vessel to be towed — </w:t>
      </w:r>
    </w:p>
    <w:p>
      <w:pPr>
        <w:pStyle w:val="Indenta"/>
        <w:rPr>
          <w:snapToGrid w:val="0"/>
        </w:rPr>
      </w:pPr>
      <w:r>
        <w:rPr>
          <w:snapToGrid w:val="0"/>
        </w:rPr>
        <w:tab/>
        <w:t>(a)</w:t>
      </w:r>
      <w:r>
        <w:rPr>
          <w:snapToGrid w:val="0"/>
        </w:rPr>
        <w:tab/>
        <w:t>nature of tow (e.g. ferry, cargo ship, unloaded barge, etc.);</w:t>
      </w:r>
    </w:p>
    <w:p>
      <w:pPr>
        <w:pStyle w:val="Indenta"/>
        <w:rPr>
          <w:snapToGrid w:val="0"/>
        </w:rPr>
      </w:pPr>
      <w:r>
        <w:rPr>
          <w:snapToGrid w:val="0"/>
        </w:rPr>
        <w:tab/>
        <w:t>(b)</w:t>
      </w:r>
      <w:r>
        <w:rPr>
          <w:snapToGrid w:val="0"/>
        </w:rPr>
        <w:tab/>
        <w:t>name, official number and port of registry;</w:t>
      </w:r>
    </w:p>
    <w:p>
      <w:pPr>
        <w:pStyle w:val="Indenta"/>
        <w:rPr>
          <w:snapToGrid w:val="0"/>
        </w:rPr>
      </w:pPr>
      <w:r>
        <w:rPr>
          <w:snapToGrid w:val="0"/>
        </w:rPr>
        <w:tab/>
        <w:t>(c)</w:t>
      </w:r>
      <w:r>
        <w:rPr>
          <w:snapToGrid w:val="0"/>
        </w:rPr>
        <w:tab/>
        <w:t>details of any current certificates relating to the tow;</w:t>
      </w:r>
    </w:p>
    <w:p>
      <w:pPr>
        <w:pStyle w:val="Indenta"/>
        <w:rPr>
          <w:snapToGrid w:val="0"/>
        </w:rPr>
      </w:pPr>
      <w:r>
        <w:rPr>
          <w:snapToGrid w:val="0"/>
        </w:rPr>
        <w:tab/>
        <w:t>(d)</w:t>
      </w:r>
      <w:r>
        <w:rPr>
          <w:snapToGrid w:val="0"/>
        </w:rPr>
        <w:tab/>
        <w:t>point of departure and destination of tow;</w:t>
      </w:r>
    </w:p>
    <w:p>
      <w:pPr>
        <w:pStyle w:val="Indenta"/>
        <w:rPr>
          <w:snapToGrid w:val="0"/>
        </w:rPr>
      </w:pPr>
      <w:r>
        <w:rPr>
          <w:snapToGrid w:val="0"/>
        </w:rPr>
        <w:tab/>
        <w:t>(e)</w:t>
      </w:r>
      <w:r>
        <w:rPr>
          <w:snapToGrid w:val="0"/>
        </w:rPr>
        <w:tab/>
        <w:t>details of towing operation i.e. manning (if any) estimated departure date, estimated towing speed, duration of operation, estimated arrival date,</w:t>
      </w:r>
    </w:p>
    <w:p>
      <w:pPr>
        <w:pStyle w:val="Subsection"/>
        <w:spacing w:before="120"/>
        <w:rPr>
          <w:snapToGrid w:val="0"/>
        </w:rPr>
      </w:pPr>
      <w:r>
        <w:rPr>
          <w:snapToGrid w:val="0"/>
        </w:rPr>
        <w:tab/>
      </w:r>
      <w:r>
        <w:rPr>
          <w:snapToGrid w:val="0"/>
        </w:rPr>
        <w:tab/>
        <w:t>and such other information as the Chief Executive Officer may require.</w:t>
      </w:r>
    </w:p>
    <w:p>
      <w:pPr>
        <w:pStyle w:val="Subsection"/>
        <w:rPr>
          <w:snapToGrid w:val="0"/>
        </w:rPr>
      </w:pPr>
      <w:r>
        <w:rPr>
          <w:snapToGrid w:val="0"/>
        </w:rPr>
        <w:tab/>
        <w:t>(3)</w:t>
      </w:r>
      <w:r>
        <w:rPr>
          <w:snapToGrid w:val="0"/>
        </w:rPr>
        <w:tab/>
        <w:t>The owner of the vessel to be towed, or the owner, master or agent of the towing vessel shall be required to forward the following information to the Chief Executive Officer regarding the towing vessel — </w:t>
      </w:r>
    </w:p>
    <w:p>
      <w:pPr>
        <w:pStyle w:val="Indenta"/>
        <w:rPr>
          <w:snapToGrid w:val="0"/>
        </w:rPr>
      </w:pPr>
      <w:r>
        <w:rPr>
          <w:snapToGrid w:val="0"/>
        </w:rPr>
        <w:tab/>
        <w:t>(a)</w:t>
      </w:r>
      <w:r>
        <w:rPr>
          <w:snapToGrid w:val="0"/>
        </w:rPr>
        <w:tab/>
        <w:t>name, official number and port of registry;</w:t>
      </w:r>
    </w:p>
    <w:p>
      <w:pPr>
        <w:pStyle w:val="Indenta"/>
        <w:rPr>
          <w:snapToGrid w:val="0"/>
        </w:rPr>
      </w:pPr>
      <w:r>
        <w:rPr>
          <w:snapToGrid w:val="0"/>
        </w:rPr>
        <w:tab/>
        <w:t>(b)</w:t>
      </w:r>
      <w:r>
        <w:rPr>
          <w:snapToGrid w:val="0"/>
        </w:rPr>
        <w:tab/>
        <w:t>type of vessel;</w:t>
      </w:r>
    </w:p>
    <w:p>
      <w:pPr>
        <w:pStyle w:val="Indenta"/>
        <w:rPr>
          <w:snapToGrid w:val="0"/>
        </w:rPr>
      </w:pPr>
      <w:r>
        <w:rPr>
          <w:snapToGrid w:val="0"/>
        </w:rPr>
        <w:tab/>
        <w:t>(c)</w:t>
      </w:r>
      <w:r>
        <w:rPr>
          <w:snapToGrid w:val="0"/>
        </w:rPr>
        <w:tab/>
        <w:t>details of any current certificates relating to the towing vessel;</w:t>
      </w:r>
    </w:p>
    <w:p>
      <w:pPr>
        <w:pStyle w:val="Indenta"/>
        <w:rPr>
          <w:snapToGrid w:val="0"/>
        </w:rPr>
      </w:pPr>
      <w:r>
        <w:rPr>
          <w:snapToGrid w:val="0"/>
        </w:rPr>
        <w:tab/>
        <w:t>(d)</w:t>
      </w:r>
      <w:r>
        <w:rPr>
          <w:snapToGrid w:val="0"/>
        </w:rPr>
        <w:tab/>
        <w:t>propulsion power and or bollard pull; and</w:t>
      </w:r>
    </w:p>
    <w:p>
      <w:pPr>
        <w:pStyle w:val="Indenta"/>
        <w:rPr>
          <w:snapToGrid w:val="0"/>
        </w:rPr>
      </w:pPr>
      <w:r>
        <w:rPr>
          <w:snapToGrid w:val="0"/>
        </w:rPr>
        <w:tab/>
        <w:t>(e)</w:t>
      </w:r>
      <w:r>
        <w:rPr>
          <w:snapToGrid w:val="0"/>
        </w:rPr>
        <w:tab/>
        <w:t>any such other information as the Chief Executive Officer may require.</w:t>
      </w:r>
    </w:p>
    <w:p>
      <w:pPr>
        <w:pStyle w:val="Footnotesection"/>
      </w:pPr>
      <w:r>
        <w:tab/>
        <w:t xml:space="preserve">[Regulation 20 amended in Gazette 30 Jun 1989 p. 1924; 11 Aug 1992 p. 3980.] </w:t>
      </w:r>
    </w:p>
    <w:p>
      <w:pPr>
        <w:pStyle w:val="Heading5"/>
        <w:rPr>
          <w:snapToGrid w:val="0"/>
        </w:rPr>
      </w:pPr>
      <w:bookmarkStart w:id="252" w:name="_Toc6384664"/>
      <w:bookmarkStart w:id="253" w:name="_Toc13031683"/>
      <w:bookmarkStart w:id="254" w:name="_Toc14593310"/>
      <w:bookmarkStart w:id="255" w:name="_Toc18137705"/>
      <w:bookmarkStart w:id="256" w:name="_Toc107747029"/>
      <w:bookmarkStart w:id="257" w:name="_Toc293650216"/>
      <w:r>
        <w:rPr>
          <w:rStyle w:val="CharSectno"/>
        </w:rPr>
        <w:t>21</w:t>
      </w:r>
      <w:r>
        <w:rPr>
          <w:snapToGrid w:val="0"/>
        </w:rPr>
        <w:t>.</w:t>
      </w:r>
      <w:r>
        <w:rPr>
          <w:snapToGrid w:val="0"/>
        </w:rPr>
        <w:tab/>
        <w:t>Issue of towage permit</w:t>
      </w:r>
      <w:bookmarkEnd w:id="252"/>
      <w:bookmarkEnd w:id="253"/>
      <w:bookmarkEnd w:id="254"/>
      <w:bookmarkEnd w:id="255"/>
      <w:bookmarkEnd w:id="256"/>
      <w:bookmarkEnd w:id="257"/>
      <w:r>
        <w:rPr>
          <w:snapToGrid w:val="0"/>
        </w:rPr>
        <w:t xml:space="preserve"> </w:t>
      </w:r>
    </w:p>
    <w:p>
      <w:pPr>
        <w:pStyle w:val="Subsection"/>
        <w:rPr>
          <w:snapToGrid w:val="0"/>
        </w:rPr>
      </w:pPr>
      <w:r>
        <w:rPr>
          <w:snapToGrid w:val="0"/>
        </w:rPr>
        <w:tab/>
        <w:t>(1)</w:t>
      </w:r>
      <w:r>
        <w:rPr>
          <w:snapToGrid w:val="0"/>
        </w:rPr>
        <w:tab/>
        <w:t>Upon receiving an application for a towage permit, the Chief Executive Officer shall arrange for the vessel that is intended to be towed to be inspected to determine whether it is fit to be towed on the proposed voyage.</w:t>
      </w:r>
    </w:p>
    <w:p>
      <w:pPr>
        <w:pStyle w:val="Subsection"/>
        <w:rPr>
          <w:snapToGrid w:val="0"/>
        </w:rPr>
      </w:pPr>
      <w:r>
        <w:rPr>
          <w:snapToGrid w:val="0"/>
        </w:rPr>
        <w:tab/>
        <w:t>(2)</w:t>
      </w:r>
      <w:r>
        <w:rPr>
          <w:snapToGrid w:val="0"/>
        </w:rPr>
        <w:tab/>
        <w:t>The inspection of a vessel under subregulation (1) shall have regard to — </w:t>
      </w:r>
    </w:p>
    <w:p>
      <w:pPr>
        <w:pStyle w:val="Indenta"/>
        <w:rPr>
          <w:snapToGrid w:val="0"/>
        </w:rPr>
      </w:pPr>
      <w:r>
        <w:rPr>
          <w:snapToGrid w:val="0"/>
        </w:rPr>
        <w:tab/>
        <w:t>(a)</w:t>
      </w:r>
      <w:r>
        <w:rPr>
          <w:snapToGrid w:val="0"/>
        </w:rPr>
        <w:tab/>
        <w:t>the structural condition of the hull, taking into account the intended voyage;</w:t>
      </w:r>
    </w:p>
    <w:p>
      <w:pPr>
        <w:pStyle w:val="Indenta"/>
        <w:rPr>
          <w:snapToGrid w:val="0"/>
        </w:rPr>
      </w:pPr>
      <w:r>
        <w:rPr>
          <w:snapToGrid w:val="0"/>
        </w:rPr>
        <w:tab/>
        <w:t>(b)</w:t>
      </w:r>
      <w:r>
        <w:rPr>
          <w:snapToGrid w:val="0"/>
        </w:rPr>
        <w:tab/>
        <w:t>the prevention of water entering the hull by the provision of adequate means of closing all openings;</w:t>
      </w:r>
    </w:p>
    <w:p>
      <w:pPr>
        <w:pStyle w:val="Indenta"/>
        <w:rPr>
          <w:snapToGrid w:val="0"/>
        </w:rPr>
      </w:pPr>
      <w:r>
        <w:rPr>
          <w:snapToGrid w:val="0"/>
        </w:rPr>
        <w:tab/>
        <w:t>(c)</w:t>
      </w:r>
      <w:r>
        <w:rPr>
          <w:snapToGrid w:val="0"/>
        </w:rPr>
        <w:tab/>
        <w:t>the stability of the vessel in the towed condition;</w:t>
      </w:r>
    </w:p>
    <w:p>
      <w:pPr>
        <w:pStyle w:val="Indenta"/>
        <w:rPr>
          <w:snapToGrid w:val="0"/>
        </w:rPr>
      </w:pPr>
      <w:r>
        <w:rPr>
          <w:snapToGrid w:val="0"/>
        </w:rPr>
        <w:tab/>
        <w:t>(d)</w:t>
      </w:r>
      <w:r>
        <w:rPr>
          <w:snapToGrid w:val="0"/>
        </w:rPr>
        <w:tab/>
        <w:t>the proposed towing arrangements; and</w:t>
      </w:r>
    </w:p>
    <w:p>
      <w:pPr>
        <w:pStyle w:val="Indenta"/>
        <w:rPr>
          <w:snapToGrid w:val="0"/>
        </w:rPr>
      </w:pPr>
      <w:r>
        <w:rPr>
          <w:snapToGrid w:val="0"/>
        </w:rPr>
        <w:tab/>
        <w:t>(e)</w:t>
      </w:r>
      <w:r>
        <w:rPr>
          <w:snapToGrid w:val="0"/>
        </w:rPr>
        <w:tab/>
        <w:t>the necessity to ensure compliance with the regulations as to collisions.</w:t>
      </w:r>
    </w:p>
    <w:p>
      <w:pPr>
        <w:pStyle w:val="Subsection"/>
        <w:rPr>
          <w:snapToGrid w:val="0"/>
        </w:rPr>
      </w:pPr>
      <w:r>
        <w:rPr>
          <w:snapToGrid w:val="0"/>
        </w:rPr>
        <w:tab/>
        <w:t>(3)</w:t>
      </w:r>
      <w:r>
        <w:rPr>
          <w:snapToGrid w:val="0"/>
        </w:rPr>
        <w:tab/>
        <w:t>Subject to a satisfactory inspection under this regulation, the Chief Executive Officer may issue a towage permit in the specified form and a towage permit may be issued subject to such conditions as are set out in the permit.</w:t>
      </w:r>
    </w:p>
    <w:p>
      <w:pPr>
        <w:pStyle w:val="Footnotesection"/>
      </w:pPr>
      <w:r>
        <w:tab/>
        <w:t xml:space="preserve">[Regulation 21 amended in Gazette 11 Aug 1992 p. 3980.] </w:t>
      </w:r>
    </w:p>
    <w:p>
      <w:pPr>
        <w:pStyle w:val="Heading5"/>
        <w:rPr>
          <w:snapToGrid w:val="0"/>
        </w:rPr>
      </w:pPr>
      <w:bookmarkStart w:id="258" w:name="_Toc6384665"/>
      <w:bookmarkStart w:id="259" w:name="_Toc13031684"/>
      <w:bookmarkStart w:id="260" w:name="_Toc14593311"/>
      <w:bookmarkStart w:id="261" w:name="_Toc18137706"/>
      <w:bookmarkStart w:id="262" w:name="_Toc107747030"/>
      <w:bookmarkStart w:id="263" w:name="_Toc293650217"/>
      <w:r>
        <w:rPr>
          <w:rStyle w:val="CharSectno"/>
        </w:rPr>
        <w:t>22</w:t>
      </w:r>
      <w:r>
        <w:rPr>
          <w:snapToGrid w:val="0"/>
        </w:rPr>
        <w:t>.</w:t>
      </w:r>
      <w:r>
        <w:rPr>
          <w:snapToGrid w:val="0"/>
        </w:rPr>
        <w:tab/>
        <w:t>Offence for vessel to be towed without towage permit</w:t>
      </w:r>
      <w:bookmarkEnd w:id="258"/>
      <w:bookmarkEnd w:id="259"/>
      <w:bookmarkEnd w:id="260"/>
      <w:bookmarkEnd w:id="261"/>
      <w:bookmarkEnd w:id="262"/>
      <w:bookmarkEnd w:id="263"/>
      <w:r>
        <w:rPr>
          <w:snapToGrid w:val="0"/>
        </w:rPr>
        <w:t xml:space="preserve"> </w:t>
      </w:r>
    </w:p>
    <w:p>
      <w:pPr>
        <w:pStyle w:val="Subsection"/>
        <w:rPr>
          <w:snapToGrid w:val="0"/>
        </w:rPr>
      </w:pPr>
      <w:r>
        <w:rPr>
          <w:snapToGrid w:val="0"/>
        </w:rPr>
        <w:tab/>
        <w:t>(1)</w:t>
      </w:r>
      <w:r>
        <w:rPr>
          <w:snapToGrid w:val="0"/>
        </w:rPr>
        <w:tab/>
        <w:t>Subject to regulation 19, no vessel to which this Part applies shall be towed on a seagoing voyage unless a valid towage permit, appropriate to the circumstances, has been issued under regulation 21 and is in force in respect of the vessel on that voyage.</w:t>
      </w:r>
    </w:p>
    <w:p>
      <w:pPr>
        <w:pStyle w:val="Subsection"/>
        <w:rPr>
          <w:snapToGrid w:val="0"/>
        </w:rPr>
      </w:pPr>
      <w:r>
        <w:rPr>
          <w:snapToGrid w:val="0"/>
        </w:rPr>
        <w:tab/>
        <w:t>(2)</w:t>
      </w:r>
      <w:r>
        <w:rPr>
          <w:snapToGrid w:val="0"/>
        </w:rPr>
        <w:tab/>
        <w:t>If a vessel is being towed on a seagoing voyage contrary to this regulation or contrary to the terms of a towage permit issued under regulation 21, the owner and the master of the towing vessel and the owner of the vessel being towed shall each be guilty of an offence.</w:t>
      </w:r>
    </w:p>
    <w:p>
      <w:pPr>
        <w:pStyle w:val="Penstart"/>
        <w:rPr>
          <w:snapToGrid w:val="0"/>
        </w:rPr>
      </w:pPr>
      <w:r>
        <w:rPr>
          <w:snapToGrid w:val="0"/>
        </w:rPr>
        <w:tab/>
        <w:t>Penalty: $500.</w:t>
      </w:r>
    </w:p>
    <w:p>
      <w:pPr>
        <w:pStyle w:val="Subsection"/>
        <w:rPr>
          <w:snapToGrid w:val="0"/>
        </w:rPr>
      </w:pPr>
      <w:r>
        <w:rPr>
          <w:snapToGrid w:val="0"/>
        </w:rPr>
        <w:tab/>
        <w:t>(3)</w:t>
      </w:r>
      <w:r>
        <w:rPr>
          <w:snapToGrid w:val="0"/>
        </w:rPr>
        <w:tab/>
        <w:t>It shall not be a defence to a prosecution under this regulation to show want of knowledge on the part of the person prosecuted.</w:t>
      </w:r>
    </w:p>
    <w:p>
      <w:pPr>
        <w:pStyle w:val="Ednotesection"/>
      </w:pPr>
      <w:bookmarkStart w:id="264" w:name="_Toc6384666"/>
      <w:bookmarkStart w:id="265" w:name="_Toc13031685"/>
      <w:bookmarkStart w:id="266" w:name="_Toc14593312"/>
      <w:r>
        <w:rPr>
          <w:rStyle w:val="CharSectno"/>
        </w:rPr>
        <w:t>[</w:t>
      </w:r>
      <w:r>
        <w:rPr>
          <w:rStyle w:val="CharSectno"/>
          <w:b/>
        </w:rPr>
        <w:t>23</w:t>
      </w:r>
      <w:r>
        <w:rPr>
          <w:b/>
        </w:rPr>
        <w:t>.</w:t>
      </w:r>
      <w:r>
        <w:tab/>
      </w:r>
      <w:bookmarkEnd w:id="264"/>
      <w:bookmarkEnd w:id="265"/>
      <w:bookmarkEnd w:id="266"/>
      <w:r>
        <w:t>Omitted under the Reprints Act 1984 s. 7(4)(f).]</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bookmarkStart w:id="267" w:name="_Toc13031686"/>
      <w:bookmarkStart w:id="268" w:name="_Toc17685236"/>
      <w:bookmarkStart w:id="269" w:name="_Toc18137707"/>
    </w:p>
    <w:p>
      <w:pPr>
        <w:pStyle w:val="yScheduleHeading"/>
      </w:pPr>
      <w:bookmarkStart w:id="270" w:name="_Toc107747031"/>
      <w:bookmarkStart w:id="271" w:name="_Toc139183105"/>
      <w:bookmarkStart w:id="272" w:name="_Toc139347640"/>
      <w:bookmarkStart w:id="273" w:name="_Toc150239326"/>
      <w:bookmarkStart w:id="274" w:name="_Toc150239549"/>
      <w:bookmarkStart w:id="275" w:name="_Toc152381860"/>
      <w:bookmarkStart w:id="276" w:name="_Toc152486333"/>
      <w:bookmarkStart w:id="277" w:name="_Toc152728302"/>
      <w:bookmarkStart w:id="278" w:name="_Toc154212611"/>
      <w:bookmarkStart w:id="279" w:name="_Toc170633561"/>
      <w:bookmarkStart w:id="280" w:name="_Toc170814759"/>
      <w:bookmarkStart w:id="281" w:name="_Toc170814797"/>
      <w:bookmarkStart w:id="282" w:name="_Toc202506546"/>
      <w:bookmarkStart w:id="283" w:name="_Toc212609807"/>
      <w:bookmarkStart w:id="284" w:name="_Toc232588280"/>
      <w:bookmarkStart w:id="285" w:name="_Toc233615438"/>
      <w:bookmarkStart w:id="286" w:name="_Toc235955731"/>
      <w:bookmarkStart w:id="287" w:name="_Toc236543221"/>
      <w:bookmarkStart w:id="288" w:name="_Toc236543408"/>
      <w:bookmarkStart w:id="289" w:name="_Toc238457750"/>
      <w:bookmarkStart w:id="290" w:name="_Toc238959739"/>
      <w:bookmarkStart w:id="291" w:name="_Toc248306502"/>
      <w:bookmarkStart w:id="292" w:name="_Toc248307554"/>
      <w:bookmarkStart w:id="293" w:name="_Toc248308156"/>
      <w:bookmarkStart w:id="294" w:name="_Toc265675087"/>
      <w:bookmarkStart w:id="295" w:name="_Toc265675271"/>
      <w:bookmarkStart w:id="296" w:name="_Toc293650120"/>
      <w:bookmarkStart w:id="297" w:name="_Toc293650218"/>
      <w:bookmarkStart w:id="298" w:name="_Toc17685241"/>
      <w:bookmarkStart w:id="299" w:name="_Toc18137712"/>
      <w:bookmarkEnd w:id="267"/>
      <w:bookmarkEnd w:id="268"/>
      <w:bookmarkEnd w:id="269"/>
      <w:r>
        <w:rPr>
          <w:rStyle w:val="CharSchNo"/>
        </w:rPr>
        <w:t>Schedule 1 </w:t>
      </w:r>
      <w:r>
        <w:t>— </w:t>
      </w:r>
      <w:r>
        <w:rPr>
          <w:rStyle w:val="CharSchText"/>
        </w:rPr>
        <w:t>Fees</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p>
    <w:p>
      <w:pPr>
        <w:pStyle w:val="yShoulderClause"/>
      </w:pPr>
      <w:r>
        <w:t>[r. 4A]</w:t>
      </w:r>
    </w:p>
    <w:p>
      <w:pPr>
        <w:pStyle w:val="yFootnoteheading"/>
        <w:spacing w:after="120"/>
      </w:pPr>
      <w:r>
        <w:tab/>
        <w:t>[Heading inserted in Gazette 25 Jun 2004 p. 2251.]</w:t>
      </w:r>
    </w:p>
    <w:p>
      <w:pPr>
        <w:pStyle w:val="yHeading5"/>
      </w:pPr>
      <w:bookmarkStart w:id="300" w:name="_Toc107747032"/>
      <w:bookmarkStart w:id="301" w:name="_Toc293650219"/>
      <w:r>
        <w:rPr>
          <w:rStyle w:val="CharSClsNo"/>
        </w:rPr>
        <w:t>1</w:t>
      </w:r>
      <w:r>
        <w:t>.</w:t>
      </w:r>
      <w:r>
        <w:tab/>
        <w:t>Survey fees</w:t>
      </w:r>
      <w:bookmarkEnd w:id="300"/>
      <w:bookmarkEnd w:id="301"/>
    </w:p>
    <w:p>
      <w:pPr>
        <w:pStyle w:val="ySubsection"/>
      </w:pPr>
      <w:r>
        <w:tab/>
        <w:t>(a)</w:t>
      </w:r>
      <w:r>
        <w:tab/>
        <w:t>Subject to paragraph (b), the standard fees for examination of plans of a vessel, initial surveys and subsequent surveys are set out in the Table to this paragraph.</w:t>
      </w:r>
    </w:p>
    <w:p>
      <w:pPr>
        <w:pStyle w:val="yTHeadingNAm"/>
      </w:pPr>
      <w:r>
        <w:t>Table</w:t>
      </w:r>
    </w:p>
    <w:tbl>
      <w:tblPr>
        <w:tblW w:w="6379"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10"/>
        <w:gridCol w:w="1559"/>
        <w:gridCol w:w="992"/>
        <w:gridCol w:w="1418"/>
      </w:tblGrid>
      <w:tr>
        <w:trPr>
          <w:cantSplit/>
          <w:tblHeader/>
        </w:trPr>
        <w:tc>
          <w:tcPr>
            <w:tcW w:w="2410" w:type="dxa"/>
          </w:tcPr>
          <w:p>
            <w:pPr>
              <w:pStyle w:val="yTableNAm"/>
              <w:rPr>
                <w:b/>
                <w:bCs/>
              </w:rPr>
            </w:pPr>
            <w:r>
              <w:rPr>
                <w:b/>
                <w:bCs/>
              </w:rPr>
              <w:t>Length of vessel (metres)</w:t>
            </w:r>
          </w:p>
        </w:tc>
        <w:tc>
          <w:tcPr>
            <w:tcW w:w="1559" w:type="dxa"/>
          </w:tcPr>
          <w:p>
            <w:pPr>
              <w:pStyle w:val="yTableNAm"/>
              <w:jc w:val="center"/>
              <w:rPr>
                <w:b/>
                <w:bCs/>
              </w:rPr>
            </w:pPr>
            <w:r>
              <w:rPr>
                <w:b/>
                <w:bCs/>
              </w:rPr>
              <w:t>Examination of plans</w:t>
            </w:r>
            <w:r>
              <w:rPr>
                <w:b/>
                <w:bCs/>
              </w:rPr>
              <w:br/>
              <w:t>($)</w:t>
            </w:r>
          </w:p>
        </w:tc>
        <w:tc>
          <w:tcPr>
            <w:tcW w:w="992" w:type="dxa"/>
          </w:tcPr>
          <w:p>
            <w:pPr>
              <w:pStyle w:val="yTableNAm"/>
              <w:jc w:val="center"/>
              <w:rPr>
                <w:b/>
                <w:bCs/>
              </w:rPr>
            </w:pPr>
            <w:r>
              <w:rPr>
                <w:b/>
                <w:bCs/>
              </w:rPr>
              <w:t>Initial survey ($)</w:t>
            </w:r>
          </w:p>
        </w:tc>
        <w:tc>
          <w:tcPr>
            <w:tcW w:w="1418" w:type="dxa"/>
          </w:tcPr>
          <w:p>
            <w:pPr>
              <w:pStyle w:val="yTableNAm"/>
              <w:jc w:val="center"/>
              <w:rPr>
                <w:b/>
                <w:bCs/>
              </w:rPr>
            </w:pPr>
            <w:r>
              <w:rPr>
                <w:b/>
                <w:bCs/>
              </w:rPr>
              <w:t>Subsequent surveys</w:t>
            </w:r>
            <w:r>
              <w:rPr>
                <w:b/>
                <w:bCs/>
              </w:rPr>
              <w:br/>
              <w:t>($)</w:t>
            </w:r>
          </w:p>
        </w:tc>
      </w:tr>
      <w:tr>
        <w:trPr>
          <w:cantSplit/>
        </w:trPr>
        <w:tc>
          <w:tcPr>
            <w:tcW w:w="2410" w:type="dxa"/>
          </w:tcPr>
          <w:p>
            <w:pPr>
              <w:pStyle w:val="yTableNAm"/>
            </w:pPr>
            <w:r>
              <w:t>Not over 5</w:t>
            </w:r>
          </w:p>
        </w:tc>
        <w:tc>
          <w:tcPr>
            <w:tcW w:w="1559" w:type="dxa"/>
          </w:tcPr>
          <w:p>
            <w:pPr>
              <w:pStyle w:val="yTableNAm"/>
              <w:jc w:val="center"/>
            </w:pPr>
            <w:r>
              <w:t>611</w:t>
            </w:r>
          </w:p>
        </w:tc>
        <w:tc>
          <w:tcPr>
            <w:tcW w:w="992" w:type="dxa"/>
          </w:tcPr>
          <w:p>
            <w:pPr>
              <w:pStyle w:val="yTableNAm"/>
              <w:jc w:val="center"/>
            </w:pPr>
            <w:r>
              <w:t>860</w:t>
            </w:r>
          </w:p>
        </w:tc>
        <w:tc>
          <w:tcPr>
            <w:tcW w:w="1418" w:type="dxa"/>
          </w:tcPr>
          <w:p>
            <w:pPr>
              <w:pStyle w:val="yTableNAm"/>
              <w:jc w:val="center"/>
            </w:pPr>
            <w:r>
              <w:t>251</w:t>
            </w:r>
          </w:p>
        </w:tc>
      </w:tr>
      <w:tr>
        <w:trPr>
          <w:cantSplit/>
        </w:trPr>
        <w:tc>
          <w:tcPr>
            <w:tcW w:w="2410" w:type="dxa"/>
          </w:tcPr>
          <w:p>
            <w:pPr>
              <w:pStyle w:val="yTableNAm"/>
            </w:pPr>
            <w:r>
              <w:t>Over 5 but not over 6</w:t>
            </w:r>
          </w:p>
        </w:tc>
        <w:tc>
          <w:tcPr>
            <w:tcW w:w="1559" w:type="dxa"/>
          </w:tcPr>
          <w:p>
            <w:pPr>
              <w:pStyle w:val="yTableNAm"/>
              <w:jc w:val="center"/>
            </w:pPr>
            <w:r>
              <w:t>709</w:t>
            </w:r>
          </w:p>
        </w:tc>
        <w:tc>
          <w:tcPr>
            <w:tcW w:w="992" w:type="dxa"/>
          </w:tcPr>
          <w:p>
            <w:pPr>
              <w:pStyle w:val="yTableNAm"/>
              <w:jc w:val="center"/>
            </w:pPr>
            <w:r>
              <w:t>1 185</w:t>
            </w:r>
          </w:p>
        </w:tc>
        <w:tc>
          <w:tcPr>
            <w:tcW w:w="1418" w:type="dxa"/>
          </w:tcPr>
          <w:p>
            <w:pPr>
              <w:pStyle w:val="yTableNAm"/>
              <w:jc w:val="center"/>
            </w:pPr>
            <w:r>
              <w:t>300</w:t>
            </w:r>
          </w:p>
        </w:tc>
      </w:tr>
      <w:tr>
        <w:trPr>
          <w:cantSplit/>
        </w:trPr>
        <w:tc>
          <w:tcPr>
            <w:tcW w:w="2410" w:type="dxa"/>
          </w:tcPr>
          <w:p>
            <w:pPr>
              <w:pStyle w:val="yTableNAm"/>
            </w:pPr>
            <w:r>
              <w:t>Over 6 but not over 7</w:t>
            </w:r>
          </w:p>
        </w:tc>
        <w:tc>
          <w:tcPr>
            <w:tcW w:w="1559" w:type="dxa"/>
          </w:tcPr>
          <w:p>
            <w:pPr>
              <w:pStyle w:val="yTableNAm"/>
              <w:jc w:val="center"/>
            </w:pPr>
            <w:r>
              <w:t>771</w:t>
            </w:r>
          </w:p>
        </w:tc>
        <w:tc>
          <w:tcPr>
            <w:tcW w:w="992" w:type="dxa"/>
          </w:tcPr>
          <w:p>
            <w:pPr>
              <w:pStyle w:val="yTableNAm"/>
              <w:jc w:val="center"/>
            </w:pPr>
            <w:r>
              <w:t>1 669</w:t>
            </w:r>
          </w:p>
        </w:tc>
        <w:tc>
          <w:tcPr>
            <w:tcW w:w="1418" w:type="dxa"/>
          </w:tcPr>
          <w:p>
            <w:pPr>
              <w:pStyle w:val="yTableNAm"/>
              <w:jc w:val="center"/>
            </w:pPr>
            <w:r>
              <w:t>366</w:t>
            </w:r>
          </w:p>
        </w:tc>
      </w:tr>
      <w:tr>
        <w:trPr>
          <w:cantSplit/>
        </w:trPr>
        <w:tc>
          <w:tcPr>
            <w:tcW w:w="2410" w:type="dxa"/>
          </w:tcPr>
          <w:p>
            <w:pPr>
              <w:pStyle w:val="yTableNAm"/>
            </w:pPr>
            <w:r>
              <w:t>Over 7 but not over 8</w:t>
            </w:r>
          </w:p>
        </w:tc>
        <w:tc>
          <w:tcPr>
            <w:tcW w:w="1559" w:type="dxa"/>
          </w:tcPr>
          <w:p>
            <w:pPr>
              <w:pStyle w:val="yTableNAm"/>
              <w:jc w:val="center"/>
            </w:pPr>
            <w:r>
              <w:t>996</w:t>
            </w:r>
          </w:p>
        </w:tc>
        <w:tc>
          <w:tcPr>
            <w:tcW w:w="992" w:type="dxa"/>
          </w:tcPr>
          <w:p>
            <w:pPr>
              <w:pStyle w:val="yTableNAm"/>
              <w:jc w:val="center"/>
            </w:pPr>
            <w:r>
              <w:t>2 216</w:t>
            </w:r>
          </w:p>
        </w:tc>
        <w:tc>
          <w:tcPr>
            <w:tcW w:w="1418" w:type="dxa"/>
          </w:tcPr>
          <w:p>
            <w:pPr>
              <w:pStyle w:val="yTableNAm"/>
              <w:jc w:val="center"/>
            </w:pPr>
            <w:r>
              <w:t>396</w:t>
            </w:r>
          </w:p>
        </w:tc>
      </w:tr>
      <w:tr>
        <w:trPr>
          <w:cantSplit/>
        </w:trPr>
        <w:tc>
          <w:tcPr>
            <w:tcW w:w="2410" w:type="dxa"/>
          </w:tcPr>
          <w:p>
            <w:pPr>
              <w:pStyle w:val="yTableNAm"/>
            </w:pPr>
            <w:r>
              <w:t>Over 8 but not over 9</w:t>
            </w:r>
          </w:p>
        </w:tc>
        <w:tc>
          <w:tcPr>
            <w:tcW w:w="1559" w:type="dxa"/>
          </w:tcPr>
          <w:p>
            <w:pPr>
              <w:pStyle w:val="yTableNAm"/>
              <w:jc w:val="center"/>
            </w:pPr>
            <w:r>
              <w:t>1 230</w:t>
            </w:r>
          </w:p>
        </w:tc>
        <w:tc>
          <w:tcPr>
            <w:tcW w:w="992" w:type="dxa"/>
          </w:tcPr>
          <w:p>
            <w:pPr>
              <w:pStyle w:val="yTableNAm"/>
              <w:jc w:val="center"/>
            </w:pPr>
            <w:r>
              <w:t>2 888</w:t>
            </w:r>
          </w:p>
        </w:tc>
        <w:tc>
          <w:tcPr>
            <w:tcW w:w="1418" w:type="dxa"/>
          </w:tcPr>
          <w:p>
            <w:pPr>
              <w:pStyle w:val="yTableNAm"/>
              <w:jc w:val="center"/>
            </w:pPr>
            <w:r>
              <w:t>426</w:t>
            </w:r>
          </w:p>
        </w:tc>
      </w:tr>
      <w:tr>
        <w:trPr>
          <w:cantSplit/>
        </w:trPr>
        <w:tc>
          <w:tcPr>
            <w:tcW w:w="2410" w:type="dxa"/>
          </w:tcPr>
          <w:p>
            <w:pPr>
              <w:pStyle w:val="yTableNAm"/>
            </w:pPr>
            <w:r>
              <w:t>Over 9 but not over 10</w:t>
            </w:r>
          </w:p>
        </w:tc>
        <w:tc>
          <w:tcPr>
            <w:tcW w:w="1559" w:type="dxa"/>
          </w:tcPr>
          <w:p>
            <w:pPr>
              <w:pStyle w:val="yTableNAm"/>
              <w:jc w:val="center"/>
            </w:pPr>
            <w:r>
              <w:t>1 439</w:t>
            </w:r>
          </w:p>
        </w:tc>
        <w:tc>
          <w:tcPr>
            <w:tcW w:w="992" w:type="dxa"/>
          </w:tcPr>
          <w:p>
            <w:pPr>
              <w:pStyle w:val="yTableNAm"/>
              <w:jc w:val="center"/>
            </w:pPr>
            <w:r>
              <w:t>3 551</w:t>
            </w:r>
          </w:p>
        </w:tc>
        <w:tc>
          <w:tcPr>
            <w:tcW w:w="1418" w:type="dxa"/>
          </w:tcPr>
          <w:p>
            <w:pPr>
              <w:pStyle w:val="yTableNAm"/>
              <w:jc w:val="center"/>
            </w:pPr>
            <w:r>
              <w:t>450</w:t>
            </w:r>
          </w:p>
        </w:tc>
      </w:tr>
      <w:tr>
        <w:trPr>
          <w:cantSplit/>
        </w:trPr>
        <w:tc>
          <w:tcPr>
            <w:tcW w:w="2410" w:type="dxa"/>
          </w:tcPr>
          <w:p>
            <w:pPr>
              <w:pStyle w:val="yTableNAm"/>
            </w:pPr>
            <w:r>
              <w:t>Over 10 but not over 11</w:t>
            </w:r>
          </w:p>
        </w:tc>
        <w:tc>
          <w:tcPr>
            <w:tcW w:w="1559" w:type="dxa"/>
          </w:tcPr>
          <w:p>
            <w:pPr>
              <w:pStyle w:val="yTableNAm"/>
              <w:jc w:val="center"/>
            </w:pPr>
            <w:r>
              <w:t>1 775</w:t>
            </w:r>
          </w:p>
        </w:tc>
        <w:tc>
          <w:tcPr>
            <w:tcW w:w="992" w:type="dxa"/>
          </w:tcPr>
          <w:p>
            <w:pPr>
              <w:pStyle w:val="yTableNAm"/>
              <w:jc w:val="center"/>
            </w:pPr>
            <w:r>
              <w:t>4 268</w:t>
            </w:r>
          </w:p>
        </w:tc>
        <w:tc>
          <w:tcPr>
            <w:tcW w:w="1418" w:type="dxa"/>
          </w:tcPr>
          <w:p>
            <w:pPr>
              <w:pStyle w:val="yTableNAm"/>
              <w:jc w:val="center"/>
            </w:pPr>
            <w:r>
              <w:t>496</w:t>
            </w:r>
          </w:p>
        </w:tc>
      </w:tr>
      <w:tr>
        <w:trPr>
          <w:cantSplit/>
        </w:trPr>
        <w:tc>
          <w:tcPr>
            <w:tcW w:w="2410" w:type="dxa"/>
          </w:tcPr>
          <w:p>
            <w:pPr>
              <w:pStyle w:val="yTableNAm"/>
            </w:pPr>
            <w:r>
              <w:t>Over 11 but not over 12</w:t>
            </w:r>
          </w:p>
        </w:tc>
        <w:tc>
          <w:tcPr>
            <w:tcW w:w="1559" w:type="dxa"/>
          </w:tcPr>
          <w:p>
            <w:pPr>
              <w:pStyle w:val="yTableNAm"/>
              <w:jc w:val="center"/>
            </w:pPr>
            <w:r>
              <w:t>2 107</w:t>
            </w:r>
          </w:p>
        </w:tc>
        <w:tc>
          <w:tcPr>
            <w:tcW w:w="992" w:type="dxa"/>
          </w:tcPr>
          <w:p>
            <w:pPr>
              <w:pStyle w:val="yTableNAm"/>
              <w:jc w:val="center"/>
            </w:pPr>
            <w:r>
              <w:t>4 996</w:t>
            </w:r>
          </w:p>
        </w:tc>
        <w:tc>
          <w:tcPr>
            <w:tcW w:w="1418" w:type="dxa"/>
          </w:tcPr>
          <w:p>
            <w:pPr>
              <w:pStyle w:val="yTableNAm"/>
              <w:jc w:val="center"/>
            </w:pPr>
            <w:r>
              <w:t>545</w:t>
            </w:r>
          </w:p>
        </w:tc>
      </w:tr>
      <w:tr>
        <w:trPr>
          <w:cantSplit/>
        </w:trPr>
        <w:tc>
          <w:tcPr>
            <w:tcW w:w="2410" w:type="dxa"/>
          </w:tcPr>
          <w:p>
            <w:pPr>
              <w:pStyle w:val="yTableNAm"/>
            </w:pPr>
            <w:r>
              <w:t>Over 12 but not over 13</w:t>
            </w:r>
          </w:p>
        </w:tc>
        <w:tc>
          <w:tcPr>
            <w:tcW w:w="1559" w:type="dxa"/>
          </w:tcPr>
          <w:p>
            <w:pPr>
              <w:pStyle w:val="yTableNAm"/>
              <w:jc w:val="center"/>
            </w:pPr>
            <w:r>
              <w:t>2 435</w:t>
            </w:r>
          </w:p>
        </w:tc>
        <w:tc>
          <w:tcPr>
            <w:tcW w:w="992" w:type="dxa"/>
          </w:tcPr>
          <w:p>
            <w:pPr>
              <w:pStyle w:val="yTableNAm"/>
              <w:jc w:val="center"/>
            </w:pPr>
            <w:r>
              <w:t>5 718</w:t>
            </w:r>
          </w:p>
        </w:tc>
        <w:tc>
          <w:tcPr>
            <w:tcW w:w="1418" w:type="dxa"/>
          </w:tcPr>
          <w:p>
            <w:pPr>
              <w:pStyle w:val="yTableNAm"/>
              <w:jc w:val="center"/>
            </w:pPr>
            <w:r>
              <w:t>596</w:t>
            </w:r>
          </w:p>
        </w:tc>
      </w:tr>
      <w:tr>
        <w:trPr>
          <w:cantSplit/>
        </w:trPr>
        <w:tc>
          <w:tcPr>
            <w:tcW w:w="2410" w:type="dxa"/>
          </w:tcPr>
          <w:p>
            <w:pPr>
              <w:pStyle w:val="yTableNAm"/>
            </w:pPr>
            <w:r>
              <w:t>Over 13 but not over 14</w:t>
            </w:r>
          </w:p>
        </w:tc>
        <w:tc>
          <w:tcPr>
            <w:tcW w:w="1559" w:type="dxa"/>
          </w:tcPr>
          <w:p>
            <w:pPr>
              <w:pStyle w:val="yTableNAm"/>
              <w:jc w:val="center"/>
            </w:pPr>
            <w:r>
              <w:t>2 779</w:t>
            </w:r>
          </w:p>
        </w:tc>
        <w:tc>
          <w:tcPr>
            <w:tcW w:w="992" w:type="dxa"/>
          </w:tcPr>
          <w:p>
            <w:pPr>
              <w:pStyle w:val="yTableNAm"/>
              <w:jc w:val="center"/>
            </w:pPr>
            <w:r>
              <w:t>6 437</w:t>
            </w:r>
          </w:p>
        </w:tc>
        <w:tc>
          <w:tcPr>
            <w:tcW w:w="1418" w:type="dxa"/>
          </w:tcPr>
          <w:p>
            <w:pPr>
              <w:pStyle w:val="yTableNAm"/>
              <w:jc w:val="center"/>
            </w:pPr>
            <w:r>
              <w:t>642</w:t>
            </w:r>
          </w:p>
        </w:tc>
      </w:tr>
      <w:tr>
        <w:trPr>
          <w:cantSplit/>
        </w:trPr>
        <w:tc>
          <w:tcPr>
            <w:tcW w:w="2410" w:type="dxa"/>
          </w:tcPr>
          <w:p>
            <w:pPr>
              <w:pStyle w:val="yTableNAm"/>
            </w:pPr>
            <w:r>
              <w:t>Over 14 but not over 15</w:t>
            </w:r>
          </w:p>
        </w:tc>
        <w:tc>
          <w:tcPr>
            <w:tcW w:w="1559" w:type="dxa"/>
          </w:tcPr>
          <w:p>
            <w:pPr>
              <w:pStyle w:val="yTableNAm"/>
              <w:jc w:val="center"/>
            </w:pPr>
            <w:r>
              <w:t>3 115</w:t>
            </w:r>
          </w:p>
        </w:tc>
        <w:tc>
          <w:tcPr>
            <w:tcW w:w="992" w:type="dxa"/>
          </w:tcPr>
          <w:p>
            <w:pPr>
              <w:pStyle w:val="yTableNAm"/>
              <w:jc w:val="center"/>
            </w:pPr>
            <w:r>
              <w:t>7 157</w:t>
            </w:r>
          </w:p>
        </w:tc>
        <w:tc>
          <w:tcPr>
            <w:tcW w:w="1418" w:type="dxa"/>
          </w:tcPr>
          <w:p>
            <w:pPr>
              <w:pStyle w:val="yTableNAm"/>
              <w:jc w:val="center"/>
            </w:pPr>
            <w:r>
              <w:t>691</w:t>
            </w:r>
          </w:p>
        </w:tc>
      </w:tr>
      <w:tr>
        <w:trPr>
          <w:cantSplit/>
        </w:trPr>
        <w:tc>
          <w:tcPr>
            <w:tcW w:w="2410" w:type="dxa"/>
          </w:tcPr>
          <w:p>
            <w:pPr>
              <w:pStyle w:val="yTableNAm"/>
            </w:pPr>
            <w:r>
              <w:t>Over 15 but not over 16</w:t>
            </w:r>
          </w:p>
        </w:tc>
        <w:tc>
          <w:tcPr>
            <w:tcW w:w="1559" w:type="dxa"/>
          </w:tcPr>
          <w:p>
            <w:pPr>
              <w:pStyle w:val="yTableNAm"/>
              <w:jc w:val="center"/>
            </w:pPr>
            <w:r>
              <w:t>3 433</w:t>
            </w:r>
          </w:p>
        </w:tc>
        <w:tc>
          <w:tcPr>
            <w:tcW w:w="992" w:type="dxa"/>
          </w:tcPr>
          <w:p>
            <w:pPr>
              <w:pStyle w:val="yTableNAm"/>
              <w:jc w:val="center"/>
            </w:pPr>
            <w:r>
              <w:t>7 883</w:t>
            </w:r>
          </w:p>
        </w:tc>
        <w:tc>
          <w:tcPr>
            <w:tcW w:w="1418" w:type="dxa"/>
          </w:tcPr>
          <w:p>
            <w:pPr>
              <w:pStyle w:val="yTableNAm"/>
              <w:jc w:val="center"/>
            </w:pPr>
            <w:r>
              <w:t>736</w:t>
            </w:r>
          </w:p>
        </w:tc>
      </w:tr>
      <w:tr>
        <w:trPr>
          <w:cantSplit/>
        </w:trPr>
        <w:tc>
          <w:tcPr>
            <w:tcW w:w="2410" w:type="dxa"/>
          </w:tcPr>
          <w:p>
            <w:pPr>
              <w:pStyle w:val="yTableNAm"/>
            </w:pPr>
            <w:r>
              <w:t>Over 16 but not over 17</w:t>
            </w:r>
          </w:p>
        </w:tc>
        <w:tc>
          <w:tcPr>
            <w:tcW w:w="1559" w:type="dxa"/>
          </w:tcPr>
          <w:p>
            <w:pPr>
              <w:pStyle w:val="yTableNAm"/>
              <w:jc w:val="center"/>
            </w:pPr>
            <w:r>
              <w:t>3 767</w:t>
            </w:r>
          </w:p>
        </w:tc>
        <w:tc>
          <w:tcPr>
            <w:tcW w:w="992" w:type="dxa"/>
          </w:tcPr>
          <w:p>
            <w:pPr>
              <w:pStyle w:val="yTableNAm"/>
              <w:jc w:val="center"/>
            </w:pPr>
            <w:r>
              <w:t>8 603</w:t>
            </w:r>
          </w:p>
        </w:tc>
        <w:tc>
          <w:tcPr>
            <w:tcW w:w="1418" w:type="dxa"/>
          </w:tcPr>
          <w:p>
            <w:pPr>
              <w:pStyle w:val="yTableNAm"/>
              <w:jc w:val="center"/>
            </w:pPr>
            <w:r>
              <w:t>787</w:t>
            </w:r>
          </w:p>
        </w:tc>
      </w:tr>
      <w:tr>
        <w:trPr>
          <w:cantSplit/>
        </w:trPr>
        <w:tc>
          <w:tcPr>
            <w:tcW w:w="2410" w:type="dxa"/>
          </w:tcPr>
          <w:p>
            <w:pPr>
              <w:pStyle w:val="yTableNAm"/>
            </w:pPr>
            <w:r>
              <w:t>Over 17 but not over 18</w:t>
            </w:r>
          </w:p>
        </w:tc>
        <w:tc>
          <w:tcPr>
            <w:tcW w:w="1559" w:type="dxa"/>
          </w:tcPr>
          <w:p>
            <w:pPr>
              <w:pStyle w:val="yTableNAm"/>
              <w:jc w:val="center"/>
            </w:pPr>
            <w:r>
              <w:t>4 112</w:t>
            </w:r>
          </w:p>
        </w:tc>
        <w:tc>
          <w:tcPr>
            <w:tcW w:w="992" w:type="dxa"/>
          </w:tcPr>
          <w:p>
            <w:pPr>
              <w:pStyle w:val="yTableNAm"/>
              <w:jc w:val="center"/>
            </w:pPr>
            <w:r>
              <w:t>9 324</w:t>
            </w:r>
          </w:p>
        </w:tc>
        <w:tc>
          <w:tcPr>
            <w:tcW w:w="1418" w:type="dxa"/>
          </w:tcPr>
          <w:p>
            <w:pPr>
              <w:pStyle w:val="yTableNAm"/>
              <w:jc w:val="center"/>
            </w:pPr>
            <w:r>
              <w:t>834</w:t>
            </w:r>
          </w:p>
        </w:tc>
      </w:tr>
      <w:tr>
        <w:trPr>
          <w:cantSplit/>
        </w:trPr>
        <w:tc>
          <w:tcPr>
            <w:tcW w:w="2410" w:type="dxa"/>
          </w:tcPr>
          <w:p>
            <w:pPr>
              <w:pStyle w:val="yTableNAm"/>
            </w:pPr>
            <w:r>
              <w:t>Over 18 but not over 19</w:t>
            </w:r>
          </w:p>
        </w:tc>
        <w:tc>
          <w:tcPr>
            <w:tcW w:w="1559" w:type="dxa"/>
          </w:tcPr>
          <w:p>
            <w:pPr>
              <w:pStyle w:val="yTableNAm"/>
              <w:jc w:val="center"/>
            </w:pPr>
            <w:r>
              <w:t>4 430</w:t>
            </w:r>
          </w:p>
        </w:tc>
        <w:tc>
          <w:tcPr>
            <w:tcW w:w="992" w:type="dxa"/>
          </w:tcPr>
          <w:p>
            <w:pPr>
              <w:pStyle w:val="yTableNAm"/>
              <w:jc w:val="center"/>
            </w:pPr>
            <w:r>
              <w:t>10 045</w:t>
            </w:r>
          </w:p>
        </w:tc>
        <w:tc>
          <w:tcPr>
            <w:tcW w:w="1418" w:type="dxa"/>
          </w:tcPr>
          <w:p>
            <w:pPr>
              <w:pStyle w:val="yTableNAm"/>
              <w:jc w:val="center"/>
            </w:pPr>
            <w:r>
              <w:t>881</w:t>
            </w:r>
          </w:p>
        </w:tc>
      </w:tr>
      <w:tr>
        <w:trPr>
          <w:cantSplit/>
        </w:trPr>
        <w:tc>
          <w:tcPr>
            <w:tcW w:w="2410" w:type="dxa"/>
          </w:tcPr>
          <w:p>
            <w:pPr>
              <w:pStyle w:val="yTableNAm"/>
            </w:pPr>
            <w:r>
              <w:t>Over 19 but not over 20</w:t>
            </w:r>
          </w:p>
        </w:tc>
        <w:tc>
          <w:tcPr>
            <w:tcW w:w="1559" w:type="dxa"/>
          </w:tcPr>
          <w:p>
            <w:pPr>
              <w:pStyle w:val="yTableNAm"/>
              <w:jc w:val="center"/>
            </w:pPr>
            <w:r>
              <w:t>4 768</w:t>
            </w:r>
          </w:p>
        </w:tc>
        <w:tc>
          <w:tcPr>
            <w:tcW w:w="992" w:type="dxa"/>
          </w:tcPr>
          <w:p>
            <w:pPr>
              <w:pStyle w:val="yTableNAm"/>
              <w:jc w:val="center"/>
            </w:pPr>
            <w:r>
              <w:t>10 770</w:t>
            </w:r>
          </w:p>
        </w:tc>
        <w:tc>
          <w:tcPr>
            <w:tcW w:w="1418" w:type="dxa"/>
          </w:tcPr>
          <w:p>
            <w:pPr>
              <w:pStyle w:val="yTableNAm"/>
              <w:jc w:val="center"/>
            </w:pPr>
            <w:r>
              <w:t>933</w:t>
            </w:r>
          </w:p>
        </w:tc>
      </w:tr>
      <w:tr>
        <w:trPr>
          <w:cantSplit/>
        </w:trPr>
        <w:tc>
          <w:tcPr>
            <w:tcW w:w="2410" w:type="dxa"/>
          </w:tcPr>
          <w:p>
            <w:pPr>
              <w:pStyle w:val="yTableNAm"/>
            </w:pPr>
            <w:r>
              <w:t>Over 20 but not over 21</w:t>
            </w:r>
          </w:p>
        </w:tc>
        <w:tc>
          <w:tcPr>
            <w:tcW w:w="1559" w:type="dxa"/>
          </w:tcPr>
          <w:p>
            <w:pPr>
              <w:pStyle w:val="yTableNAm"/>
              <w:jc w:val="center"/>
            </w:pPr>
            <w:r>
              <w:t>5 152</w:t>
            </w:r>
          </w:p>
        </w:tc>
        <w:tc>
          <w:tcPr>
            <w:tcW w:w="992" w:type="dxa"/>
          </w:tcPr>
          <w:p>
            <w:pPr>
              <w:pStyle w:val="yTableNAm"/>
              <w:jc w:val="center"/>
            </w:pPr>
            <w:r>
              <w:t>11 543</w:t>
            </w:r>
          </w:p>
        </w:tc>
        <w:tc>
          <w:tcPr>
            <w:tcW w:w="1418" w:type="dxa"/>
          </w:tcPr>
          <w:p>
            <w:pPr>
              <w:pStyle w:val="yTableNAm"/>
              <w:jc w:val="center"/>
            </w:pPr>
            <w:r>
              <w:t>1 004</w:t>
            </w:r>
          </w:p>
        </w:tc>
      </w:tr>
      <w:tr>
        <w:trPr>
          <w:cantSplit/>
        </w:trPr>
        <w:tc>
          <w:tcPr>
            <w:tcW w:w="2410" w:type="dxa"/>
          </w:tcPr>
          <w:p>
            <w:pPr>
              <w:pStyle w:val="yTableNAm"/>
            </w:pPr>
            <w:r>
              <w:t>Over 21 but not over 22</w:t>
            </w:r>
          </w:p>
        </w:tc>
        <w:tc>
          <w:tcPr>
            <w:tcW w:w="1559" w:type="dxa"/>
          </w:tcPr>
          <w:p>
            <w:pPr>
              <w:pStyle w:val="yTableNAm"/>
              <w:jc w:val="center"/>
            </w:pPr>
            <w:r>
              <w:t>5 540</w:t>
            </w:r>
          </w:p>
        </w:tc>
        <w:tc>
          <w:tcPr>
            <w:tcW w:w="992" w:type="dxa"/>
          </w:tcPr>
          <w:p>
            <w:pPr>
              <w:pStyle w:val="yTableNAm"/>
              <w:jc w:val="center"/>
            </w:pPr>
            <w:r>
              <w:t>12 318</w:t>
            </w:r>
          </w:p>
        </w:tc>
        <w:tc>
          <w:tcPr>
            <w:tcW w:w="1418" w:type="dxa"/>
          </w:tcPr>
          <w:p>
            <w:pPr>
              <w:pStyle w:val="yTableNAm"/>
              <w:jc w:val="center"/>
            </w:pPr>
            <w:r>
              <w:t>1 084</w:t>
            </w:r>
          </w:p>
        </w:tc>
      </w:tr>
      <w:tr>
        <w:trPr>
          <w:cantSplit/>
        </w:trPr>
        <w:tc>
          <w:tcPr>
            <w:tcW w:w="2410" w:type="dxa"/>
          </w:tcPr>
          <w:p>
            <w:pPr>
              <w:pStyle w:val="yTableNAm"/>
            </w:pPr>
            <w:r>
              <w:t>Over 22 but not over 23</w:t>
            </w:r>
          </w:p>
        </w:tc>
        <w:tc>
          <w:tcPr>
            <w:tcW w:w="1559" w:type="dxa"/>
          </w:tcPr>
          <w:p>
            <w:pPr>
              <w:pStyle w:val="yTableNAm"/>
              <w:jc w:val="center"/>
            </w:pPr>
            <w:r>
              <w:t>5 927</w:t>
            </w:r>
          </w:p>
        </w:tc>
        <w:tc>
          <w:tcPr>
            <w:tcW w:w="992" w:type="dxa"/>
          </w:tcPr>
          <w:p>
            <w:pPr>
              <w:pStyle w:val="yTableNAm"/>
              <w:jc w:val="center"/>
            </w:pPr>
            <w:r>
              <w:t>13 091</w:t>
            </w:r>
          </w:p>
        </w:tc>
        <w:tc>
          <w:tcPr>
            <w:tcW w:w="1418" w:type="dxa"/>
          </w:tcPr>
          <w:p>
            <w:pPr>
              <w:pStyle w:val="yTableNAm"/>
              <w:jc w:val="center"/>
            </w:pPr>
            <w:r>
              <w:t>1 157</w:t>
            </w:r>
          </w:p>
        </w:tc>
      </w:tr>
      <w:tr>
        <w:trPr>
          <w:cantSplit/>
        </w:trPr>
        <w:tc>
          <w:tcPr>
            <w:tcW w:w="2410" w:type="dxa"/>
          </w:tcPr>
          <w:p>
            <w:pPr>
              <w:pStyle w:val="yTableNAm"/>
            </w:pPr>
            <w:r>
              <w:t>Over 23 but not over 24</w:t>
            </w:r>
          </w:p>
        </w:tc>
        <w:tc>
          <w:tcPr>
            <w:tcW w:w="1559" w:type="dxa"/>
          </w:tcPr>
          <w:p>
            <w:pPr>
              <w:pStyle w:val="yTableNAm"/>
              <w:jc w:val="center"/>
            </w:pPr>
            <w:r>
              <w:t>6 326</w:t>
            </w:r>
          </w:p>
        </w:tc>
        <w:tc>
          <w:tcPr>
            <w:tcW w:w="992" w:type="dxa"/>
          </w:tcPr>
          <w:p>
            <w:pPr>
              <w:pStyle w:val="yTableNAm"/>
              <w:jc w:val="center"/>
            </w:pPr>
            <w:r>
              <w:t>13 878</w:t>
            </w:r>
          </w:p>
        </w:tc>
        <w:tc>
          <w:tcPr>
            <w:tcW w:w="1418" w:type="dxa"/>
          </w:tcPr>
          <w:p>
            <w:pPr>
              <w:pStyle w:val="yTableNAm"/>
              <w:jc w:val="center"/>
            </w:pPr>
            <w:r>
              <w:t>1 229</w:t>
            </w:r>
          </w:p>
        </w:tc>
      </w:tr>
      <w:tr>
        <w:trPr>
          <w:cantSplit/>
        </w:trPr>
        <w:tc>
          <w:tcPr>
            <w:tcW w:w="2410" w:type="dxa"/>
          </w:tcPr>
          <w:p>
            <w:pPr>
              <w:pStyle w:val="yTableNAm"/>
            </w:pPr>
            <w:r>
              <w:t>Over 24 but not over 25</w:t>
            </w:r>
          </w:p>
        </w:tc>
        <w:tc>
          <w:tcPr>
            <w:tcW w:w="1559" w:type="dxa"/>
          </w:tcPr>
          <w:p>
            <w:pPr>
              <w:pStyle w:val="yTableNAm"/>
              <w:jc w:val="center"/>
            </w:pPr>
            <w:r>
              <w:t>6 706</w:t>
            </w:r>
          </w:p>
        </w:tc>
        <w:tc>
          <w:tcPr>
            <w:tcW w:w="992" w:type="dxa"/>
          </w:tcPr>
          <w:p>
            <w:pPr>
              <w:pStyle w:val="yTableNAm"/>
              <w:jc w:val="center"/>
            </w:pPr>
            <w:r>
              <w:t>14 646</w:t>
            </w:r>
          </w:p>
        </w:tc>
        <w:tc>
          <w:tcPr>
            <w:tcW w:w="1418" w:type="dxa"/>
          </w:tcPr>
          <w:p>
            <w:pPr>
              <w:pStyle w:val="yTableNAm"/>
              <w:jc w:val="center"/>
            </w:pPr>
            <w:r>
              <w:t>1 297</w:t>
            </w:r>
          </w:p>
        </w:tc>
      </w:tr>
      <w:tr>
        <w:trPr>
          <w:cantSplit/>
        </w:trPr>
        <w:tc>
          <w:tcPr>
            <w:tcW w:w="2410" w:type="dxa"/>
          </w:tcPr>
          <w:p>
            <w:pPr>
              <w:pStyle w:val="yTableNAm"/>
            </w:pPr>
            <w:r>
              <w:t>Over 25 but not over 26</w:t>
            </w:r>
          </w:p>
        </w:tc>
        <w:tc>
          <w:tcPr>
            <w:tcW w:w="1559" w:type="dxa"/>
          </w:tcPr>
          <w:p>
            <w:pPr>
              <w:pStyle w:val="yTableNAm"/>
              <w:jc w:val="center"/>
            </w:pPr>
            <w:r>
              <w:t>7 106</w:t>
            </w:r>
          </w:p>
        </w:tc>
        <w:tc>
          <w:tcPr>
            <w:tcW w:w="992" w:type="dxa"/>
          </w:tcPr>
          <w:p>
            <w:pPr>
              <w:pStyle w:val="yTableNAm"/>
              <w:jc w:val="center"/>
            </w:pPr>
            <w:r>
              <w:t>15 419</w:t>
            </w:r>
          </w:p>
        </w:tc>
        <w:tc>
          <w:tcPr>
            <w:tcW w:w="1418" w:type="dxa"/>
          </w:tcPr>
          <w:p>
            <w:pPr>
              <w:pStyle w:val="yTableNAm"/>
              <w:jc w:val="center"/>
            </w:pPr>
            <w:r>
              <w:t>1 370</w:t>
            </w:r>
          </w:p>
        </w:tc>
      </w:tr>
      <w:tr>
        <w:trPr>
          <w:cantSplit/>
        </w:trPr>
        <w:tc>
          <w:tcPr>
            <w:tcW w:w="2410" w:type="dxa"/>
          </w:tcPr>
          <w:p>
            <w:pPr>
              <w:pStyle w:val="yTableNAm"/>
            </w:pPr>
            <w:r>
              <w:t>Over 26 but not over 27</w:t>
            </w:r>
          </w:p>
        </w:tc>
        <w:tc>
          <w:tcPr>
            <w:tcW w:w="1559" w:type="dxa"/>
          </w:tcPr>
          <w:p>
            <w:pPr>
              <w:pStyle w:val="yTableNAm"/>
              <w:jc w:val="center"/>
            </w:pPr>
            <w:r>
              <w:t>7 482</w:t>
            </w:r>
          </w:p>
        </w:tc>
        <w:tc>
          <w:tcPr>
            <w:tcW w:w="992" w:type="dxa"/>
          </w:tcPr>
          <w:p>
            <w:pPr>
              <w:pStyle w:val="yTableNAm"/>
              <w:jc w:val="center"/>
            </w:pPr>
            <w:r>
              <w:t>16 195</w:t>
            </w:r>
          </w:p>
        </w:tc>
        <w:tc>
          <w:tcPr>
            <w:tcW w:w="1418" w:type="dxa"/>
          </w:tcPr>
          <w:p>
            <w:pPr>
              <w:pStyle w:val="yTableNAm"/>
              <w:jc w:val="center"/>
            </w:pPr>
            <w:r>
              <w:t>1 438</w:t>
            </w:r>
          </w:p>
        </w:tc>
      </w:tr>
      <w:tr>
        <w:trPr>
          <w:cantSplit/>
        </w:trPr>
        <w:tc>
          <w:tcPr>
            <w:tcW w:w="2410" w:type="dxa"/>
          </w:tcPr>
          <w:p>
            <w:pPr>
              <w:pStyle w:val="yTableNAm"/>
            </w:pPr>
            <w:r>
              <w:t>Over 27 but not over 28</w:t>
            </w:r>
          </w:p>
        </w:tc>
        <w:tc>
          <w:tcPr>
            <w:tcW w:w="1559" w:type="dxa"/>
          </w:tcPr>
          <w:p>
            <w:pPr>
              <w:pStyle w:val="yTableNAm"/>
              <w:jc w:val="center"/>
            </w:pPr>
            <w:r>
              <w:t>7 883</w:t>
            </w:r>
          </w:p>
        </w:tc>
        <w:tc>
          <w:tcPr>
            <w:tcW w:w="992" w:type="dxa"/>
          </w:tcPr>
          <w:p>
            <w:pPr>
              <w:pStyle w:val="yTableNAm"/>
              <w:jc w:val="center"/>
            </w:pPr>
            <w:r>
              <w:t>16 984</w:t>
            </w:r>
          </w:p>
        </w:tc>
        <w:tc>
          <w:tcPr>
            <w:tcW w:w="1418" w:type="dxa"/>
          </w:tcPr>
          <w:p>
            <w:pPr>
              <w:pStyle w:val="yTableNAm"/>
              <w:jc w:val="center"/>
            </w:pPr>
            <w:r>
              <w:t>1 519</w:t>
            </w:r>
          </w:p>
        </w:tc>
      </w:tr>
      <w:tr>
        <w:trPr>
          <w:cantSplit/>
        </w:trPr>
        <w:tc>
          <w:tcPr>
            <w:tcW w:w="2410" w:type="dxa"/>
          </w:tcPr>
          <w:p>
            <w:pPr>
              <w:pStyle w:val="yTableNAm"/>
            </w:pPr>
            <w:r>
              <w:t>Over 28 but not over 29</w:t>
            </w:r>
          </w:p>
        </w:tc>
        <w:tc>
          <w:tcPr>
            <w:tcW w:w="1559" w:type="dxa"/>
          </w:tcPr>
          <w:p>
            <w:pPr>
              <w:pStyle w:val="yTableNAm"/>
              <w:jc w:val="center"/>
            </w:pPr>
            <w:r>
              <w:t>8 262</w:t>
            </w:r>
          </w:p>
        </w:tc>
        <w:tc>
          <w:tcPr>
            <w:tcW w:w="992" w:type="dxa"/>
          </w:tcPr>
          <w:p>
            <w:pPr>
              <w:pStyle w:val="yTableNAm"/>
              <w:jc w:val="center"/>
            </w:pPr>
            <w:r>
              <w:t>17 756</w:t>
            </w:r>
          </w:p>
        </w:tc>
        <w:tc>
          <w:tcPr>
            <w:tcW w:w="1418" w:type="dxa"/>
          </w:tcPr>
          <w:p>
            <w:pPr>
              <w:pStyle w:val="yTableNAm"/>
              <w:jc w:val="center"/>
            </w:pPr>
            <w:r>
              <w:t>1 588</w:t>
            </w:r>
          </w:p>
        </w:tc>
      </w:tr>
      <w:tr>
        <w:trPr>
          <w:cantSplit/>
        </w:trPr>
        <w:tc>
          <w:tcPr>
            <w:tcW w:w="2410" w:type="dxa"/>
          </w:tcPr>
          <w:p>
            <w:pPr>
              <w:pStyle w:val="yTableNAm"/>
            </w:pPr>
            <w:r>
              <w:t>Over 29 but not over 30</w:t>
            </w:r>
          </w:p>
        </w:tc>
        <w:tc>
          <w:tcPr>
            <w:tcW w:w="1559" w:type="dxa"/>
          </w:tcPr>
          <w:p>
            <w:pPr>
              <w:pStyle w:val="yTableNAm"/>
              <w:jc w:val="center"/>
            </w:pPr>
            <w:r>
              <w:t>8 650</w:t>
            </w:r>
          </w:p>
        </w:tc>
        <w:tc>
          <w:tcPr>
            <w:tcW w:w="992" w:type="dxa"/>
          </w:tcPr>
          <w:p>
            <w:pPr>
              <w:pStyle w:val="yTableNAm"/>
              <w:jc w:val="center"/>
            </w:pPr>
            <w:r>
              <w:t>18 526</w:t>
            </w:r>
          </w:p>
        </w:tc>
        <w:tc>
          <w:tcPr>
            <w:tcW w:w="1418" w:type="dxa"/>
          </w:tcPr>
          <w:p>
            <w:pPr>
              <w:pStyle w:val="yTableNAm"/>
              <w:jc w:val="center"/>
            </w:pPr>
            <w:r>
              <w:t>1 662</w:t>
            </w:r>
          </w:p>
        </w:tc>
      </w:tr>
      <w:tr>
        <w:trPr>
          <w:cantSplit/>
        </w:trPr>
        <w:tc>
          <w:tcPr>
            <w:tcW w:w="2410" w:type="dxa"/>
          </w:tcPr>
          <w:p>
            <w:pPr>
              <w:pStyle w:val="yTableNAm"/>
            </w:pPr>
            <w:r>
              <w:t>Over 30 but not over 31</w:t>
            </w:r>
          </w:p>
        </w:tc>
        <w:tc>
          <w:tcPr>
            <w:tcW w:w="1559" w:type="dxa"/>
          </w:tcPr>
          <w:p>
            <w:pPr>
              <w:pStyle w:val="yTableNAm"/>
              <w:jc w:val="center"/>
            </w:pPr>
            <w:r>
              <w:t>9 091</w:t>
            </w:r>
          </w:p>
        </w:tc>
        <w:tc>
          <w:tcPr>
            <w:tcW w:w="992" w:type="dxa"/>
          </w:tcPr>
          <w:p>
            <w:pPr>
              <w:pStyle w:val="yTableNAm"/>
              <w:jc w:val="center"/>
            </w:pPr>
            <w:r>
              <w:t>19 360</w:t>
            </w:r>
          </w:p>
        </w:tc>
        <w:tc>
          <w:tcPr>
            <w:tcW w:w="1418" w:type="dxa"/>
          </w:tcPr>
          <w:p>
            <w:pPr>
              <w:pStyle w:val="yTableNAm"/>
              <w:jc w:val="center"/>
            </w:pPr>
            <w:r>
              <w:t>1 760</w:t>
            </w:r>
          </w:p>
        </w:tc>
      </w:tr>
      <w:tr>
        <w:trPr>
          <w:cantSplit/>
        </w:trPr>
        <w:tc>
          <w:tcPr>
            <w:tcW w:w="2410" w:type="dxa"/>
          </w:tcPr>
          <w:p>
            <w:pPr>
              <w:pStyle w:val="yTableNAm"/>
            </w:pPr>
            <w:r>
              <w:t>Over 31 but not over 32</w:t>
            </w:r>
          </w:p>
        </w:tc>
        <w:tc>
          <w:tcPr>
            <w:tcW w:w="1559" w:type="dxa"/>
          </w:tcPr>
          <w:p>
            <w:pPr>
              <w:pStyle w:val="yTableNAm"/>
              <w:jc w:val="center"/>
            </w:pPr>
            <w:r>
              <w:t>9 542</w:t>
            </w:r>
          </w:p>
        </w:tc>
        <w:tc>
          <w:tcPr>
            <w:tcW w:w="992" w:type="dxa"/>
          </w:tcPr>
          <w:p>
            <w:pPr>
              <w:pStyle w:val="yTableNAm"/>
              <w:jc w:val="center"/>
            </w:pPr>
            <w:r>
              <w:t>20 204</w:t>
            </w:r>
          </w:p>
        </w:tc>
        <w:tc>
          <w:tcPr>
            <w:tcW w:w="1418" w:type="dxa"/>
          </w:tcPr>
          <w:p>
            <w:pPr>
              <w:pStyle w:val="yTableNAm"/>
              <w:jc w:val="center"/>
            </w:pPr>
            <w:r>
              <w:t>1 860</w:t>
            </w:r>
          </w:p>
        </w:tc>
      </w:tr>
      <w:tr>
        <w:trPr>
          <w:cantSplit/>
        </w:trPr>
        <w:tc>
          <w:tcPr>
            <w:tcW w:w="2410" w:type="dxa"/>
          </w:tcPr>
          <w:p>
            <w:pPr>
              <w:pStyle w:val="yTableNAm"/>
            </w:pPr>
            <w:r>
              <w:t>Over 32 but not over 33</w:t>
            </w:r>
          </w:p>
        </w:tc>
        <w:tc>
          <w:tcPr>
            <w:tcW w:w="1559" w:type="dxa"/>
          </w:tcPr>
          <w:p>
            <w:pPr>
              <w:pStyle w:val="yTableNAm"/>
              <w:jc w:val="center"/>
            </w:pPr>
            <w:r>
              <w:t>9 974</w:t>
            </w:r>
          </w:p>
        </w:tc>
        <w:tc>
          <w:tcPr>
            <w:tcW w:w="992" w:type="dxa"/>
          </w:tcPr>
          <w:p>
            <w:pPr>
              <w:pStyle w:val="yTableNAm"/>
              <w:jc w:val="center"/>
            </w:pPr>
            <w:r>
              <w:t>21 030</w:t>
            </w:r>
          </w:p>
        </w:tc>
        <w:tc>
          <w:tcPr>
            <w:tcW w:w="1418" w:type="dxa"/>
          </w:tcPr>
          <w:p>
            <w:pPr>
              <w:pStyle w:val="yTableNAm"/>
              <w:jc w:val="center"/>
            </w:pPr>
            <w:r>
              <w:t>1 954</w:t>
            </w:r>
          </w:p>
        </w:tc>
      </w:tr>
      <w:tr>
        <w:trPr>
          <w:cantSplit/>
        </w:trPr>
        <w:tc>
          <w:tcPr>
            <w:tcW w:w="2410" w:type="dxa"/>
          </w:tcPr>
          <w:p>
            <w:pPr>
              <w:pStyle w:val="yTableNAm"/>
            </w:pPr>
            <w:r>
              <w:t>Over 33 but not over 34</w:t>
            </w:r>
          </w:p>
        </w:tc>
        <w:tc>
          <w:tcPr>
            <w:tcW w:w="1559" w:type="dxa"/>
          </w:tcPr>
          <w:p>
            <w:pPr>
              <w:pStyle w:val="yTableNAm"/>
              <w:jc w:val="center"/>
            </w:pPr>
            <w:r>
              <w:t>10 427</w:t>
            </w:r>
          </w:p>
        </w:tc>
        <w:tc>
          <w:tcPr>
            <w:tcW w:w="992" w:type="dxa"/>
          </w:tcPr>
          <w:p>
            <w:pPr>
              <w:pStyle w:val="yTableNAm"/>
              <w:jc w:val="center"/>
            </w:pPr>
            <w:r>
              <w:t>21 865</w:t>
            </w:r>
          </w:p>
        </w:tc>
        <w:tc>
          <w:tcPr>
            <w:tcW w:w="1418" w:type="dxa"/>
          </w:tcPr>
          <w:p>
            <w:pPr>
              <w:pStyle w:val="yTableNAm"/>
              <w:jc w:val="center"/>
            </w:pPr>
            <w:r>
              <w:t>2 053</w:t>
            </w:r>
          </w:p>
        </w:tc>
      </w:tr>
      <w:tr>
        <w:trPr>
          <w:cantSplit/>
        </w:trPr>
        <w:tc>
          <w:tcPr>
            <w:tcW w:w="2410" w:type="dxa"/>
          </w:tcPr>
          <w:p>
            <w:pPr>
              <w:pStyle w:val="yTableNAm"/>
            </w:pPr>
            <w:r>
              <w:t>Over 34 but not over 35</w:t>
            </w:r>
          </w:p>
        </w:tc>
        <w:tc>
          <w:tcPr>
            <w:tcW w:w="1559" w:type="dxa"/>
          </w:tcPr>
          <w:p>
            <w:pPr>
              <w:pStyle w:val="yTableNAm"/>
              <w:jc w:val="center"/>
            </w:pPr>
            <w:r>
              <w:t>10 866</w:t>
            </w:r>
          </w:p>
        </w:tc>
        <w:tc>
          <w:tcPr>
            <w:tcW w:w="992" w:type="dxa"/>
          </w:tcPr>
          <w:p>
            <w:pPr>
              <w:pStyle w:val="yTableNAm"/>
              <w:jc w:val="center"/>
            </w:pPr>
            <w:r>
              <w:t>22 693</w:t>
            </w:r>
          </w:p>
        </w:tc>
        <w:tc>
          <w:tcPr>
            <w:tcW w:w="1418" w:type="dxa"/>
          </w:tcPr>
          <w:p>
            <w:pPr>
              <w:pStyle w:val="yTableNAm"/>
              <w:jc w:val="center"/>
            </w:pPr>
            <w:r>
              <w:t>2 150</w:t>
            </w:r>
          </w:p>
        </w:tc>
      </w:tr>
      <w:tr>
        <w:trPr>
          <w:cantSplit/>
        </w:trPr>
        <w:tc>
          <w:tcPr>
            <w:tcW w:w="2410" w:type="dxa"/>
          </w:tcPr>
          <w:p>
            <w:pPr>
              <w:pStyle w:val="yTableNAm"/>
            </w:pPr>
            <w:r>
              <w:t>Over 35 but not over 36</w:t>
            </w:r>
          </w:p>
        </w:tc>
        <w:tc>
          <w:tcPr>
            <w:tcW w:w="1559" w:type="dxa"/>
          </w:tcPr>
          <w:p>
            <w:pPr>
              <w:pStyle w:val="yTableNAm"/>
              <w:jc w:val="center"/>
            </w:pPr>
            <w:r>
              <w:t>11 318</w:t>
            </w:r>
          </w:p>
        </w:tc>
        <w:tc>
          <w:tcPr>
            <w:tcW w:w="992" w:type="dxa"/>
          </w:tcPr>
          <w:p>
            <w:pPr>
              <w:pStyle w:val="yTableNAm"/>
              <w:jc w:val="center"/>
            </w:pPr>
            <w:r>
              <w:t>23 522</w:t>
            </w:r>
          </w:p>
        </w:tc>
        <w:tc>
          <w:tcPr>
            <w:tcW w:w="1418" w:type="dxa"/>
          </w:tcPr>
          <w:p>
            <w:pPr>
              <w:pStyle w:val="yTableNAm"/>
              <w:jc w:val="center"/>
            </w:pPr>
            <w:r>
              <w:t>2 247</w:t>
            </w:r>
          </w:p>
        </w:tc>
      </w:tr>
      <w:tr>
        <w:trPr>
          <w:cantSplit/>
        </w:trPr>
        <w:tc>
          <w:tcPr>
            <w:tcW w:w="2410" w:type="dxa"/>
          </w:tcPr>
          <w:p>
            <w:pPr>
              <w:pStyle w:val="yTableNAm"/>
            </w:pPr>
            <w:r>
              <w:t>Over 36 but not over 37</w:t>
            </w:r>
          </w:p>
        </w:tc>
        <w:tc>
          <w:tcPr>
            <w:tcW w:w="1559" w:type="dxa"/>
          </w:tcPr>
          <w:p>
            <w:pPr>
              <w:pStyle w:val="yTableNAm"/>
              <w:jc w:val="center"/>
            </w:pPr>
            <w:r>
              <w:t>11 770</w:t>
            </w:r>
          </w:p>
        </w:tc>
        <w:tc>
          <w:tcPr>
            <w:tcW w:w="992" w:type="dxa"/>
          </w:tcPr>
          <w:p>
            <w:pPr>
              <w:pStyle w:val="yTableNAm"/>
              <w:jc w:val="center"/>
            </w:pPr>
            <w:r>
              <w:t>24 353</w:t>
            </w:r>
          </w:p>
        </w:tc>
        <w:tc>
          <w:tcPr>
            <w:tcW w:w="1418" w:type="dxa"/>
          </w:tcPr>
          <w:p>
            <w:pPr>
              <w:pStyle w:val="yTableNAm"/>
              <w:jc w:val="center"/>
            </w:pPr>
            <w:r>
              <w:t>2 348</w:t>
            </w:r>
          </w:p>
        </w:tc>
      </w:tr>
      <w:tr>
        <w:trPr>
          <w:cantSplit/>
        </w:trPr>
        <w:tc>
          <w:tcPr>
            <w:tcW w:w="2410" w:type="dxa"/>
          </w:tcPr>
          <w:p>
            <w:pPr>
              <w:pStyle w:val="yTableNAm"/>
            </w:pPr>
            <w:r>
              <w:t>Over 37 but not over 38</w:t>
            </w:r>
          </w:p>
        </w:tc>
        <w:tc>
          <w:tcPr>
            <w:tcW w:w="1559" w:type="dxa"/>
          </w:tcPr>
          <w:p>
            <w:pPr>
              <w:pStyle w:val="yTableNAm"/>
              <w:jc w:val="center"/>
            </w:pPr>
            <w:r>
              <w:t>12 199</w:t>
            </w:r>
          </w:p>
        </w:tc>
        <w:tc>
          <w:tcPr>
            <w:tcW w:w="992" w:type="dxa"/>
          </w:tcPr>
          <w:p>
            <w:pPr>
              <w:pStyle w:val="yTableNAm"/>
              <w:jc w:val="center"/>
            </w:pPr>
            <w:r>
              <w:t>25 199</w:t>
            </w:r>
          </w:p>
        </w:tc>
        <w:tc>
          <w:tcPr>
            <w:tcW w:w="1418" w:type="dxa"/>
          </w:tcPr>
          <w:p>
            <w:pPr>
              <w:pStyle w:val="yTableNAm"/>
              <w:jc w:val="center"/>
            </w:pPr>
            <w:r>
              <w:t>2 436</w:t>
            </w:r>
          </w:p>
        </w:tc>
      </w:tr>
      <w:tr>
        <w:trPr>
          <w:cantSplit/>
        </w:trPr>
        <w:tc>
          <w:tcPr>
            <w:tcW w:w="2410" w:type="dxa"/>
          </w:tcPr>
          <w:p>
            <w:pPr>
              <w:pStyle w:val="yTableNAm"/>
            </w:pPr>
            <w:r>
              <w:t>Over 38 but not over 39</w:t>
            </w:r>
          </w:p>
        </w:tc>
        <w:tc>
          <w:tcPr>
            <w:tcW w:w="1559" w:type="dxa"/>
          </w:tcPr>
          <w:p>
            <w:pPr>
              <w:pStyle w:val="yTableNAm"/>
              <w:jc w:val="center"/>
            </w:pPr>
            <w:r>
              <w:t>12 649</w:t>
            </w:r>
          </w:p>
        </w:tc>
        <w:tc>
          <w:tcPr>
            <w:tcW w:w="992" w:type="dxa"/>
          </w:tcPr>
          <w:p>
            <w:pPr>
              <w:pStyle w:val="yTableNAm"/>
              <w:jc w:val="center"/>
            </w:pPr>
            <w:r>
              <w:t>26 023</w:t>
            </w:r>
          </w:p>
        </w:tc>
        <w:tc>
          <w:tcPr>
            <w:tcW w:w="1418" w:type="dxa"/>
          </w:tcPr>
          <w:p>
            <w:pPr>
              <w:pStyle w:val="yTableNAm"/>
              <w:jc w:val="center"/>
            </w:pPr>
            <w:r>
              <w:t>2 534</w:t>
            </w:r>
          </w:p>
        </w:tc>
      </w:tr>
      <w:tr>
        <w:trPr>
          <w:cantSplit/>
        </w:trPr>
        <w:tc>
          <w:tcPr>
            <w:tcW w:w="2410" w:type="dxa"/>
          </w:tcPr>
          <w:p>
            <w:pPr>
              <w:pStyle w:val="yTableNAm"/>
            </w:pPr>
            <w:r>
              <w:t>Over 39 but not over 40</w:t>
            </w:r>
          </w:p>
        </w:tc>
        <w:tc>
          <w:tcPr>
            <w:tcW w:w="1559" w:type="dxa"/>
          </w:tcPr>
          <w:p>
            <w:pPr>
              <w:pStyle w:val="yTableNAm"/>
              <w:jc w:val="center"/>
            </w:pPr>
            <w:r>
              <w:t>13 091</w:t>
            </w:r>
          </w:p>
        </w:tc>
        <w:tc>
          <w:tcPr>
            <w:tcW w:w="992" w:type="dxa"/>
          </w:tcPr>
          <w:p>
            <w:pPr>
              <w:pStyle w:val="yTableNAm"/>
              <w:jc w:val="center"/>
            </w:pPr>
            <w:r>
              <w:t>26 855</w:t>
            </w:r>
          </w:p>
        </w:tc>
        <w:tc>
          <w:tcPr>
            <w:tcW w:w="1418" w:type="dxa"/>
          </w:tcPr>
          <w:p>
            <w:pPr>
              <w:pStyle w:val="yTableNAm"/>
              <w:jc w:val="center"/>
            </w:pPr>
            <w:r>
              <w:t>2 632</w:t>
            </w:r>
          </w:p>
        </w:tc>
      </w:tr>
      <w:tr>
        <w:trPr>
          <w:cantSplit/>
        </w:trPr>
        <w:tc>
          <w:tcPr>
            <w:tcW w:w="2410" w:type="dxa"/>
          </w:tcPr>
          <w:p>
            <w:pPr>
              <w:pStyle w:val="yTableNAm"/>
            </w:pPr>
            <w:r>
              <w:t>Over 40 but not over 41</w:t>
            </w:r>
          </w:p>
        </w:tc>
        <w:tc>
          <w:tcPr>
            <w:tcW w:w="1559" w:type="dxa"/>
          </w:tcPr>
          <w:p>
            <w:pPr>
              <w:pStyle w:val="yTableNAm"/>
              <w:jc w:val="center"/>
            </w:pPr>
            <w:r>
              <w:t>13 597</w:t>
            </w:r>
          </w:p>
        </w:tc>
        <w:tc>
          <w:tcPr>
            <w:tcW w:w="992" w:type="dxa"/>
          </w:tcPr>
          <w:p>
            <w:pPr>
              <w:pStyle w:val="yTableNAm"/>
              <w:jc w:val="center"/>
            </w:pPr>
            <w:r>
              <w:t>27 736</w:t>
            </w:r>
          </w:p>
        </w:tc>
        <w:tc>
          <w:tcPr>
            <w:tcW w:w="1418" w:type="dxa"/>
          </w:tcPr>
          <w:p>
            <w:pPr>
              <w:pStyle w:val="yTableNAm"/>
              <w:jc w:val="center"/>
            </w:pPr>
            <w:r>
              <w:t>2 762</w:t>
            </w:r>
          </w:p>
        </w:tc>
      </w:tr>
      <w:tr>
        <w:trPr>
          <w:cantSplit/>
        </w:trPr>
        <w:tc>
          <w:tcPr>
            <w:tcW w:w="2410" w:type="dxa"/>
          </w:tcPr>
          <w:p>
            <w:pPr>
              <w:pStyle w:val="yTableNAm"/>
            </w:pPr>
            <w:r>
              <w:t>Over 41 but not over 42</w:t>
            </w:r>
          </w:p>
        </w:tc>
        <w:tc>
          <w:tcPr>
            <w:tcW w:w="1559" w:type="dxa"/>
          </w:tcPr>
          <w:p>
            <w:pPr>
              <w:pStyle w:val="yTableNAm"/>
              <w:jc w:val="center"/>
            </w:pPr>
            <w:r>
              <w:t>14 090</w:t>
            </w:r>
          </w:p>
        </w:tc>
        <w:tc>
          <w:tcPr>
            <w:tcW w:w="992" w:type="dxa"/>
          </w:tcPr>
          <w:p>
            <w:pPr>
              <w:pStyle w:val="yTableNAm"/>
              <w:jc w:val="center"/>
            </w:pPr>
            <w:r>
              <w:t>28 629</w:t>
            </w:r>
          </w:p>
        </w:tc>
        <w:tc>
          <w:tcPr>
            <w:tcW w:w="1418" w:type="dxa"/>
          </w:tcPr>
          <w:p>
            <w:pPr>
              <w:pStyle w:val="yTableNAm"/>
              <w:jc w:val="center"/>
            </w:pPr>
            <w:r>
              <w:t>2 882</w:t>
            </w:r>
          </w:p>
        </w:tc>
      </w:tr>
      <w:tr>
        <w:trPr>
          <w:cantSplit/>
        </w:trPr>
        <w:tc>
          <w:tcPr>
            <w:tcW w:w="2410" w:type="dxa"/>
          </w:tcPr>
          <w:p>
            <w:pPr>
              <w:pStyle w:val="yTableNAm"/>
            </w:pPr>
            <w:r>
              <w:t>Over 42 but not over 43</w:t>
            </w:r>
          </w:p>
        </w:tc>
        <w:tc>
          <w:tcPr>
            <w:tcW w:w="1559" w:type="dxa"/>
          </w:tcPr>
          <w:p>
            <w:pPr>
              <w:pStyle w:val="yTableNAm"/>
              <w:jc w:val="center"/>
            </w:pPr>
            <w:r>
              <w:t>14 589</w:t>
            </w:r>
          </w:p>
        </w:tc>
        <w:tc>
          <w:tcPr>
            <w:tcW w:w="992" w:type="dxa"/>
          </w:tcPr>
          <w:p>
            <w:pPr>
              <w:pStyle w:val="yTableNAm"/>
              <w:jc w:val="center"/>
            </w:pPr>
            <w:r>
              <w:t>29 527</w:t>
            </w:r>
          </w:p>
        </w:tc>
        <w:tc>
          <w:tcPr>
            <w:tcW w:w="1418" w:type="dxa"/>
          </w:tcPr>
          <w:p>
            <w:pPr>
              <w:pStyle w:val="yTableNAm"/>
              <w:jc w:val="center"/>
            </w:pPr>
            <w:r>
              <w:t>2 999</w:t>
            </w:r>
          </w:p>
        </w:tc>
      </w:tr>
      <w:tr>
        <w:trPr>
          <w:cantSplit/>
        </w:trPr>
        <w:tc>
          <w:tcPr>
            <w:tcW w:w="2410" w:type="dxa"/>
          </w:tcPr>
          <w:p>
            <w:pPr>
              <w:pStyle w:val="yTableNAm"/>
            </w:pPr>
            <w:r>
              <w:t>Over 43 but not over 44</w:t>
            </w:r>
          </w:p>
        </w:tc>
        <w:tc>
          <w:tcPr>
            <w:tcW w:w="1559" w:type="dxa"/>
          </w:tcPr>
          <w:p>
            <w:pPr>
              <w:pStyle w:val="yTableNAm"/>
              <w:jc w:val="center"/>
            </w:pPr>
            <w:r>
              <w:t>15 091</w:t>
            </w:r>
          </w:p>
        </w:tc>
        <w:tc>
          <w:tcPr>
            <w:tcW w:w="992" w:type="dxa"/>
          </w:tcPr>
          <w:p>
            <w:pPr>
              <w:pStyle w:val="yTableNAm"/>
              <w:jc w:val="center"/>
            </w:pPr>
            <w:r>
              <w:t>30 399</w:t>
            </w:r>
          </w:p>
        </w:tc>
        <w:tc>
          <w:tcPr>
            <w:tcW w:w="1418" w:type="dxa"/>
          </w:tcPr>
          <w:p>
            <w:pPr>
              <w:pStyle w:val="yTableNAm"/>
              <w:jc w:val="center"/>
            </w:pPr>
            <w:r>
              <w:t>3 126</w:t>
            </w:r>
          </w:p>
        </w:tc>
      </w:tr>
      <w:tr>
        <w:trPr>
          <w:cantSplit/>
        </w:trPr>
        <w:tc>
          <w:tcPr>
            <w:tcW w:w="2410" w:type="dxa"/>
          </w:tcPr>
          <w:p>
            <w:pPr>
              <w:pStyle w:val="yTableNAm"/>
            </w:pPr>
            <w:r>
              <w:t>Over 44 but not over 45</w:t>
            </w:r>
          </w:p>
        </w:tc>
        <w:tc>
          <w:tcPr>
            <w:tcW w:w="1559" w:type="dxa"/>
          </w:tcPr>
          <w:p>
            <w:pPr>
              <w:pStyle w:val="yTableNAm"/>
              <w:jc w:val="center"/>
            </w:pPr>
            <w:r>
              <w:t>15 588</w:t>
            </w:r>
          </w:p>
        </w:tc>
        <w:tc>
          <w:tcPr>
            <w:tcW w:w="992" w:type="dxa"/>
          </w:tcPr>
          <w:p>
            <w:pPr>
              <w:pStyle w:val="yTableNAm"/>
              <w:jc w:val="center"/>
            </w:pPr>
            <w:r>
              <w:t>31 303</w:t>
            </w:r>
          </w:p>
        </w:tc>
        <w:tc>
          <w:tcPr>
            <w:tcW w:w="1418" w:type="dxa"/>
          </w:tcPr>
          <w:p>
            <w:pPr>
              <w:pStyle w:val="yTableNAm"/>
              <w:jc w:val="center"/>
            </w:pPr>
            <w:r>
              <w:t>3 245</w:t>
            </w:r>
          </w:p>
        </w:tc>
      </w:tr>
      <w:tr>
        <w:trPr>
          <w:cantSplit/>
        </w:trPr>
        <w:tc>
          <w:tcPr>
            <w:tcW w:w="2410" w:type="dxa"/>
          </w:tcPr>
          <w:p>
            <w:pPr>
              <w:pStyle w:val="yTableNAm"/>
            </w:pPr>
            <w:r>
              <w:t>Over 45 but not over 46</w:t>
            </w:r>
          </w:p>
        </w:tc>
        <w:tc>
          <w:tcPr>
            <w:tcW w:w="1559" w:type="dxa"/>
          </w:tcPr>
          <w:p>
            <w:pPr>
              <w:pStyle w:val="yTableNAm"/>
              <w:jc w:val="center"/>
            </w:pPr>
            <w:r>
              <w:t>16 088</w:t>
            </w:r>
          </w:p>
        </w:tc>
        <w:tc>
          <w:tcPr>
            <w:tcW w:w="992" w:type="dxa"/>
          </w:tcPr>
          <w:p>
            <w:pPr>
              <w:pStyle w:val="yTableNAm"/>
              <w:jc w:val="center"/>
            </w:pPr>
            <w:r>
              <w:t>32 177</w:t>
            </w:r>
          </w:p>
        </w:tc>
        <w:tc>
          <w:tcPr>
            <w:tcW w:w="1418" w:type="dxa"/>
          </w:tcPr>
          <w:p>
            <w:pPr>
              <w:pStyle w:val="yTableNAm"/>
              <w:jc w:val="center"/>
            </w:pPr>
            <w:r>
              <w:t>3 361</w:t>
            </w:r>
          </w:p>
        </w:tc>
      </w:tr>
      <w:tr>
        <w:trPr>
          <w:cantSplit/>
        </w:trPr>
        <w:tc>
          <w:tcPr>
            <w:tcW w:w="2410" w:type="dxa"/>
          </w:tcPr>
          <w:p>
            <w:pPr>
              <w:pStyle w:val="yTableNAm"/>
            </w:pPr>
            <w:r>
              <w:t>Over 46 but not over 47</w:t>
            </w:r>
          </w:p>
        </w:tc>
        <w:tc>
          <w:tcPr>
            <w:tcW w:w="1559" w:type="dxa"/>
          </w:tcPr>
          <w:p>
            <w:pPr>
              <w:pStyle w:val="yTableNAm"/>
              <w:jc w:val="center"/>
            </w:pPr>
            <w:r>
              <w:t>16 587</w:t>
            </w:r>
          </w:p>
        </w:tc>
        <w:tc>
          <w:tcPr>
            <w:tcW w:w="992" w:type="dxa"/>
          </w:tcPr>
          <w:p>
            <w:pPr>
              <w:pStyle w:val="yTableNAm"/>
              <w:jc w:val="center"/>
            </w:pPr>
            <w:r>
              <w:t>33 064</w:t>
            </w:r>
          </w:p>
        </w:tc>
        <w:tc>
          <w:tcPr>
            <w:tcW w:w="1418" w:type="dxa"/>
          </w:tcPr>
          <w:p>
            <w:pPr>
              <w:pStyle w:val="yTableNAm"/>
              <w:jc w:val="center"/>
            </w:pPr>
            <w:r>
              <w:t>3 484</w:t>
            </w:r>
          </w:p>
        </w:tc>
      </w:tr>
      <w:tr>
        <w:trPr>
          <w:cantSplit/>
        </w:trPr>
        <w:tc>
          <w:tcPr>
            <w:tcW w:w="2410" w:type="dxa"/>
          </w:tcPr>
          <w:p>
            <w:pPr>
              <w:pStyle w:val="yTableNAm"/>
            </w:pPr>
            <w:r>
              <w:t>Over 47 but not over 48</w:t>
            </w:r>
          </w:p>
        </w:tc>
        <w:tc>
          <w:tcPr>
            <w:tcW w:w="1559" w:type="dxa"/>
          </w:tcPr>
          <w:p>
            <w:pPr>
              <w:pStyle w:val="yTableNAm"/>
              <w:jc w:val="center"/>
            </w:pPr>
            <w:r>
              <w:t>17 083</w:t>
            </w:r>
          </w:p>
        </w:tc>
        <w:tc>
          <w:tcPr>
            <w:tcW w:w="992" w:type="dxa"/>
          </w:tcPr>
          <w:p>
            <w:pPr>
              <w:pStyle w:val="yTableNAm"/>
              <w:jc w:val="center"/>
            </w:pPr>
            <w:r>
              <w:t>33 959</w:t>
            </w:r>
          </w:p>
        </w:tc>
        <w:tc>
          <w:tcPr>
            <w:tcW w:w="1418" w:type="dxa"/>
          </w:tcPr>
          <w:p>
            <w:pPr>
              <w:pStyle w:val="yTableNAm"/>
              <w:jc w:val="center"/>
            </w:pPr>
            <w:r>
              <w:t>3 605</w:t>
            </w:r>
          </w:p>
        </w:tc>
      </w:tr>
      <w:tr>
        <w:trPr>
          <w:cantSplit/>
        </w:trPr>
        <w:tc>
          <w:tcPr>
            <w:tcW w:w="2410" w:type="dxa"/>
          </w:tcPr>
          <w:p>
            <w:pPr>
              <w:pStyle w:val="yTableNAm"/>
            </w:pPr>
            <w:r>
              <w:t>Over 48 but not over 49</w:t>
            </w:r>
          </w:p>
        </w:tc>
        <w:tc>
          <w:tcPr>
            <w:tcW w:w="1559" w:type="dxa"/>
          </w:tcPr>
          <w:p>
            <w:pPr>
              <w:pStyle w:val="yTableNAm"/>
              <w:jc w:val="center"/>
            </w:pPr>
            <w:r>
              <w:t>17 593</w:t>
            </w:r>
          </w:p>
        </w:tc>
        <w:tc>
          <w:tcPr>
            <w:tcW w:w="992" w:type="dxa"/>
          </w:tcPr>
          <w:p>
            <w:pPr>
              <w:pStyle w:val="yTableNAm"/>
              <w:jc w:val="center"/>
            </w:pPr>
            <w:r>
              <w:t>34 840</w:t>
            </w:r>
          </w:p>
        </w:tc>
        <w:tc>
          <w:tcPr>
            <w:tcW w:w="1418" w:type="dxa"/>
          </w:tcPr>
          <w:p>
            <w:pPr>
              <w:pStyle w:val="yTableNAm"/>
              <w:jc w:val="center"/>
            </w:pPr>
            <w:r>
              <w:t>3 723</w:t>
            </w:r>
          </w:p>
        </w:tc>
      </w:tr>
      <w:tr>
        <w:trPr>
          <w:cantSplit/>
        </w:trPr>
        <w:tc>
          <w:tcPr>
            <w:tcW w:w="2410" w:type="dxa"/>
          </w:tcPr>
          <w:p>
            <w:pPr>
              <w:pStyle w:val="yTableNAm"/>
            </w:pPr>
            <w:r>
              <w:t>Over 49 but not over 50</w:t>
            </w:r>
          </w:p>
        </w:tc>
        <w:tc>
          <w:tcPr>
            <w:tcW w:w="1559" w:type="dxa"/>
          </w:tcPr>
          <w:p>
            <w:pPr>
              <w:pStyle w:val="yTableNAm"/>
              <w:jc w:val="center"/>
            </w:pPr>
            <w:r>
              <w:t>18 084</w:t>
            </w:r>
          </w:p>
        </w:tc>
        <w:tc>
          <w:tcPr>
            <w:tcW w:w="992" w:type="dxa"/>
          </w:tcPr>
          <w:p>
            <w:pPr>
              <w:pStyle w:val="yTableNAm"/>
              <w:jc w:val="center"/>
            </w:pPr>
            <w:r>
              <w:t>35 725</w:t>
            </w:r>
          </w:p>
        </w:tc>
        <w:tc>
          <w:tcPr>
            <w:tcW w:w="1418" w:type="dxa"/>
          </w:tcPr>
          <w:p>
            <w:pPr>
              <w:pStyle w:val="yTableNAm"/>
              <w:jc w:val="center"/>
            </w:pPr>
            <w:r>
              <w:t>3 852</w:t>
            </w:r>
          </w:p>
        </w:tc>
      </w:tr>
      <w:tr>
        <w:trPr>
          <w:cantSplit/>
        </w:trPr>
        <w:tc>
          <w:tcPr>
            <w:tcW w:w="2410" w:type="dxa"/>
          </w:tcPr>
          <w:p>
            <w:pPr>
              <w:pStyle w:val="yTableNAm"/>
            </w:pPr>
            <w:r>
              <w:t>Over 50</w:t>
            </w:r>
          </w:p>
        </w:tc>
        <w:tc>
          <w:tcPr>
            <w:tcW w:w="1559" w:type="dxa"/>
          </w:tcPr>
          <w:p>
            <w:pPr>
              <w:pStyle w:val="yTableNAm"/>
              <w:jc w:val="center"/>
            </w:pPr>
            <w:r>
              <w:t>18 580</w:t>
            </w:r>
          </w:p>
        </w:tc>
        <w:tc>
          <w:tcPr>
            <w:tcW w:w="992" w:type="dxa"/>
          </w:tcPr>
          <w:p>
            <w:pPr>
              <w:pStyle w:val="yTableNAm"/>
              <w:jc w:val="center"/>
            </w:pPr>
            <w:r>
              <w:t>36 616</w:t>
            </w:r>
          </w:p>
        </w:tc>
        <w:tc>
          <w:tcPr>
            <w:tcW w:w="1418" w:type="dxa"/>
          </w:tcPr>
          <w:p>
            <w:pPr>
              <w:pStyle w:val="yTableNAm"/>
              <w:jc w:val="center"/>
            </w:pPr>
            <w:r>
              <w:t>3 968</w:t>
            </w:r>
          </w:p>
        </w:tc>
      </w:tr>
    </w:tbl>
    <w:p>
      <w:pPr>
        <w:pStyle w:val="ySubsection"/>
        <w:keepNext/>
        <w:keepLines/>
        <w:spacing w:before="300" w:after="120"/>
      </w:pPr>
      <w:r>
        <w:tab/>
        <w:t>(b)</w:t>
      </w:r>
      <w:r>
        <w:tab/>
        <w:t>The fees set out in paragraph (a) are subject to the following variations —</w:t>
      </w:r>
    </w:p>
    <w:p>
      <w:pPr>
        <w:pStyle w:val="yIndenta"/>
        <w:keepNext/>
        <w:keepLines/>
      </w:pPr>
      <w:r>
        <w:tab/>
        <w:t>(i)</w:t>
      </w:r>
      <w:r>
        <w:tab/>
        <w:t>for vessels under construction —</w:t>
      </w:r>
    </w:p>
    <w:tbl>
      <w:tblPr>
        <w:tblW w:w="0" w:type="auto"/>
        <w:tblInd w:w="1673" w:type="dxa"/>
        <w:tblLayout w:type="fixed"/>
        <w:tblCellMar>
          <w:left w:w="113" w:type="dxa"/>
          <w:right w:w="113" w:type="dxa"/>
        </w:tblCellMar>
        <w:tblLook w:val="0000" w:firstRow="0" w:lastRow="0" w:firstColumn="0" w:lastColumn="0" w:noHBand="0" w:noVBand="0"/>
      </w:tblPr>
      <w:tblGrid>
        <w:gridCol w:w="708"/>
        <w:gridCol w:w="2412"/>
        <w:gridCol w:w="2160"/>
      </w:tblGrid>
      <w:tr>
        <w:trPr>
          <w:cantSplit/>
        </w:trPr>
        <w:tc>
          <w:tcPr>
            <w:tcW w:w="708" w:type="dxa"/>
          </w:tcPr>
          <w:p>
            <w:pPr>
              <w:pStyle w:val="yTableNAm"/>
            </w:pPr>
            <w:r>
              <w:t>(A)</w:t>
            </w:r>
          </w:p>
        </w:tc>
        <w:tc>
          <w:tcPr>
            <w:tcW w:w="2412" w:type="dxa"/>
          </w:tcPr>
          <w:p>
            <w:pPr>
              <w:pStyle w:val="yTableNAm"/>
            </w:pPr>
            <w:r>
              <w:t xml:space="preserve">The fee for examination of plans provides for the examination of the initial plans and one amendment.  Fee for a second and each further amendment to plans: </w:t>
            </w:r>
          </w:p>
        </w:tc>
        <w:tc>
          <w:tcPr>
            <w:tcW w:w="2160" w:type="dxa"/>
          </w:tcPr>
          <w:p>
            <w:pPr>
              <w:pStyle w:val="yTableNAm"/>
            </w:pPr>
            <w:r>
              <w:br/>
            </w:r>
            <w:r>
              <w:br/>
            </w:r>
            <w:r>
              <w:br/>
            </w:r>
            <w:r>
              <w:br/>
            </w:r>
            <w:r>
              <w:br/>
            </w:r>
            <w:r>
              <w:br/>
              <w:t xml:space="preserve">$190/hour </w:t>
            </w:r>
          </w:p>
        </w:tc>
      </w:tr>
      <w:tr>
        <w:trPr>
          <w:cantSplit/>
        </w:trPr>
        <w:tc>
          <w:tcPr>
            <w:tcW w:w="708" w:type="dxa"/>
          </w:tcPr>
          <w:p>
            <w:pPr>
              <w:pStyle w:val="yTableNAm"/>
            </w:pPr>
            <w:r>
              <w:t>(B)</w:t>
            </w:r>
          </w:p>
        </w:tc>
        <w:tc>
          <w:tcPr>
            <w:tcW w:w="2412" w:type="dxa"/>
          </w:tcPr>
          <w:p>
            <w:pPr>
              <w:pStyle w:val="yTableNAm"/>
            </w:pPr>
            <w:r>
              <w:t>If vessel is to be issued with an additional class or plans are changed to change class of the vessel or to add a class, fee for examination of plans:</w:t>
            </w:r>
          </w:p>
        </w:tc>
        <w:tc>
          <w:tcPr>
            <w:tcW w:w="2160" w:type="dxa"/>
          </w:tcPr>
          <w:p>
            <w:pPr>
              <w:pStyle w:val="yTableNAm"/>
              <w:tabs>
                <w:tab w:val="clear" w:pos="567"/>
                <w:tab w:val="left" w:pos="367"/>
              </w:tabs>
              <w:ind w:left="367" w:hanging="367"/>
              <w:rPr>
                <w:shd w:val="clear" w:color="auto" w:fill="FFFF00"/>
              </w:rPr>
            </w:pPr>
            <w:r>
              <w:t>(a)</w:t>
            </w:r>
            <w:r>
              <w:tab/>
              <w:t>$190/hour; or</w:t>
            </w:r>
          </w:p>
          <w:p>
            <w:pPr>
              <w:pStyle w:val="yTableNAm"/>
              <w:tabs>
                <w:tab w:val="clear" w:pos="567"/>
                <w:tab w:val="left" w:pos="367"/>
              </w:tabs>
              <w:ind w:left="367" w:hanging="367"/>
              <w:rPr>
                <w:spacing w:val="-4"/>
              </w:rPr>
            </w:pPr>
            <w:r>
              <w:t>(b)</w:t>
            </w:r>
            <w:r>
              <w:tab/>
            </w:r>
            <w:r>
              <w:rPr>
                <w:spacing w:val="-4"/>
              </w:rPr>
              <w:t>the sum of the amounts set out in item 1(b)(ii)(H)(I) and (II),</w:t>
            </w:r>
          </w:p>
          <w:p>
            <w:pPr>
              <w:pStyle w:val="yTableNAm"/>
            </w:pPr>
            <w:r>
              <w:rPr>
                <w:spacing w:val="-4"/>
              </w:rPr>
              <w:t>whichever is greater</w:t>
            </w:r>
          </w:p>
        </w:tc>
      </w:tr>
      <w:tr>
        <w:trPr>
          <w:cantSplit/>
        </w:trPr>
        <w:tc>
          <w:tcPr>
            <w:tcW w:w="708" w:type="dxa"/>
          </w:tcPr>
          <w:p>
            <w:pPr>
              <w:pStyle w:val="yTableNAm"/>
              <w:keepLines/>
            </w:pPr>
            <w:r>
              <w:t>(C)</w:t>
            </w:r>
          </w:p>
        </w:tc>
        <w:tc>
          <w:tcPr>
            <w:tcW w:w="2412" w:type="dxa"/>
          </w:tcPr>
          <w:p>
            <w:pPr>
              <w:pStyle w:val="yTableNAm"/>
              <w:keepLines/>
            </w:pPr>
            <w:r>
              <w:t xml:space="preserve">If vessel is to be issued with a Classification Certificate in respect of its hull and machinery by a recognised Classification Society —  </w:t>
            </w:r>
          </w:p>
        </w:tc>
        <w:tc>
          <w:tcPr>
            <w:tcW w:w="2160" w:type="dxa"/>
          </w:tcPr>
          <w:p>
            <w:pPr>
              <w:pStyle w:val="yTableNAm"/>
              <w:keepLines/>
            </w:pPr>
          </w:p>
        </w:tc>
      </w:tr>
      <w:tr>
        <w:trPr>
          <w:cantSplit/>
        </w:trPr>
        <w:tc>
          <w:tcPr>
            <w:tcW w:w="708" w:type="dxa"/>
          </w:tcPr>
          <w:p>
            <w:pPr>
              <w:pStyle w:val="yTableNAm"/>
              <w:keepLines/>
            </w:pPr>
          </w:p>
        </w:tc>
        <w:tc>
          <w:tcPr>
            <w:tcW w:w="2412" w:type="dxa"/>
          </w:tcPr>
          <w:p>
            <w:pPr>
              <w:pStyle w:val="yTableNAm"/>
              <w:tabs>
                <w:tab w:val="clear" w:pos="567"/>
                <w:tab w:val="left" w:pos="499"/>
              </w:tabs>
              <w:ind w:left="499" w:hanging="499"/>
            </w:pPr>
            <w:r>
              <w:t>(I)</w:t>
            </w:r>
            <w:r>
              <w:tab/>
              <w:t>fee for examination of plans:</w:t>
            </w:r>
          </w:p>
        </w:tc>
        <w:tc>
          <w:tcPr>
            <w:tcW w:w="2160" w:type="dxa"/>
          </w:tcPr>
          <w:p>
            <w:pPr>
              <w:pStyle w:val="yTableNAm"/>
              <w:keepLines/>
            </w:pPr>
            <w:r>
              <w:t>50% of fee for examination of plans set out in item 1(a)</w:t>
            </w:r>
          </w:p>
        </w:tc>
      </w:tr>
      <w:tr>
        <w:trPr>
          <w:cantSplit/>
        </w:trPr>
        <w:tc>
          <w:tcPr>
            <w:tcW w:w="708" w:type="dxa"/>
          </w:tcPr>
          <w:p>
            <w:pPr>
              <w:pStyle w:val="yTableNAm"/>
            </w:pPr>
          </w:p>
        </w:tc>
        <w:tc>
          <w:tcPr>
            <w:tcW w:w="2412" w:type="dxa"/>
          </w:tcPr>
          <w:p>
            <w:pPr>
              <w:pStyle w:val="yTableNAm"/>
              <w:tabs>
                <w:tab w:val="clear" w:pos="567"/>
                <w:tab w:val="left" w:pos="499"/>
              </w:tabs>
              <w:ind w:left="499" w:hanging="499"/>
            </w:pPr>
            <w:r>
              <w:t>(II)</w:t>
            </w:r>
            <w:r>
              <w:tab/>
              <w:t>fee for initial survey:</w:t>
            </w:r>
          </w:p>
        </w:tc>
        <w:tc>
          <w:tcPr>
            <w:tcW w:w="2160" w:type="dxa"/>
          </w:tcPr>
          <w:p>
            <w:pPr>
              <w:pStyle w:val="yTableNAm"/>
            </w:pPr>
            <w:r>
              <w:t>50% of fee for initial survey set out in item 1(a)</w:t>
            </w:r>
          </w:p>
        </w:tc>
      </w:tr>
      <w:tr>
        <w:trPr>
          <w:cantSplit/>
        </w:trPr>
        <w:tc>
          <w:tcPr>
            <w:tcW w:w="708" w:type="dxa"/>
          </w:tcPr>
          <w:p>
            <w:pPr>
              <w:pStyle w:val="yTableNAm"/>
            </w:pPr>
            <w:r>
              <w:t>(D)</w:t>
            </w:r>
          </w:p>
        </w:tc>
        <w:tc>
          <w:tcPr>
            <w:tcW w:w="2412" w:type="dxa"/>
          </w:tcPr>
          <w:p>
            <w:pPr>
              <w:pStyle w:val="yTableNAm"/>
            </w:pPr>
            <w:r>
              <w:t>If vessel is to be issued with a Classification Certificate in respect of its hull only, or machinery only, by a recognised Classification Society — </w:t>
            </w:r>
          </w:p>
        </w:tc>
        <w:tc>
          <w:tcPr>
            <w:tcW w:w="2160" w:type="dxa"/>
          </w:tcPr>
          <w:p>
            <w:pPr>
              <w:pStyle w:val="yTableNAm"/>
            </w:pPr>
          </w:p>
        </w:tc>
      </w:tr>
      <w:tr>
        <w:trPr>
          <w:cantSplit/>
        </w:trPr>
        <w:tc>
          <w:tcPr>
            <w:tcW w:w="708" w:type="dxa"/>
          </w:tcPr>
          <w:p>
            <w:pPr>
              <w:pStyle w:val="yTableNAm"/>
            </w:pPr>
          </w:p>
        </w:tc>
        <w:tc>
          <w:tcPr>
            <w:tcW w:w="2412" w:type="dxa"/>
          </w:tcPr>
          <w:p>
            <w:pPr>
              <w:pStyle w:val="yTableNAm"/>
              <w:tabs>
                <w:tab w:val="clear" w:pos="567"/>
                <w:tab w:val="left" w:pos="499"/>
              </w:tabs>
              <w:ind w:left="499" w:hanging="499"/>
            </w:pPr>
            <w:r>
              <w:t>(I)</w:t>
            </w:r>
            <w:r>
              <w:tab/>
              <w:t>fee for examination of plans:</w:t>
            </w:r>
          </w:p>
        </w:tc>
        <w:tc>
          <w:tcPr>
            <w:tcW w:w="2160" w:type="dxa"/>
          </w:tcPr>
          <w:p>
            <w:pPr>
              <w:pStyle w:val="yTableNAm"/>
            </w:pPr>
            <w:r>
              <w:t>75% of fee for examination of plans set out in item 1(a)</w:t>
            </w:r>
          </w:p>
        </w:tc>
      </w:tr>
      <w:tr>
        <w:trPr>
          <w:cantSplit/>
        </w:trPr>
        <w:tc>
          <w:tcPr>
            <w:tcW w:w="708" w:type="dxa"/>
          </w:tcPr>
          <w:p>
            <w:pPr>
              <w:pStyle w:val="yTableNAm"/>
            </w:pPr>
          </w:p>
        </w:tc>
        <w:tc>
          <w:tcPr>
            <w:tcW w:w="2412" w:type="dxa"/>
          </w:tcPr>
          <w:p>
            <w:pPr>
              <w:pStyle w:val="yTableNAm"/>
              <w:tabs>
                <w:tab w:val="clear" w:pos="567"/>
                <w:tab w:val="left" w:pos="499"/>
              </w:tabs>
              <w:ind w:left="499" w:hanging="499"/>
            </w:pPr>
            <w:r>
              <w:t>(II)</w:t>
            </w:r>
            <w:r>
              <w:tab/>
              <w:t>fee for initial survey:</w:t>
            </w:r>
          </w:p>
        </w:tc>
        <w:tc>
          <w:tcPr>
            <w:tcW w:w="2160" w:type="dxa"/>
          </w:tcPr>
          <w:p>
            <w:pPr>
              <w:pStyle w:val="yTableNAm"/>
            </w:pPr>
            <w:r>
              <w:t>75% of fee for initial survey set out in item 1(a)</w:t>
            </w:r>
          </w:p>
        </w:tc>
      </w:tr>
      <w:tr>
        <w:trPr>
          <w:cantSplit/>
        </w:trPr>
        <w:tc>
          <w:tcPr>
            <w:tcW w:w="708" w:type="dxa"/>
          </w:tcPr>
          <w:p>
            <w:pPr>
              <w:pStyle w:val="yTableNAm"/>
            </w:pPr>
            <w:r>
              <w:t>(E)</w:t>
            </w:r>
          </w:p>
        </w:tc>
        <w:tc>
          <w:tcPr>
            <w:tcW w:w="2412" w:type="dxa"/>
          </w:tcPr>
          <w:p>
            <w:pPr>
              <w:pStyle w:val="yTableNAm"/>
            </w:pPr>
            <w:r>
              <w:t>Where a vessel is to be built and surveyed during construction to the Code, for hull structure only, the fee to be paid is —</w:t>
            </w:r>
          </w:p>
        </w:tc>
        <w:tc>
          <w:tcPr>
            <w:tcW w:w="2160" w:type="dxa"/>
          </w:tcPr>
          <w:p>
            <w:pPr>
              <w:pStyle w:val="yTableNAm"/>
            </w:pPr>
          </w:p>
        </w:tc>
      </w:tr>
      <w:tr>
        <w:trPr>
          <w:cantSplit/>
        </w:trPr>
        <w:tc>
          <w:tcPr>
            <w:tcW w:w="708" w:type="dxa"/>
          </w:tcPr>
          <w:p>
            <w:pPr>
              <w:pStyle w:val="yTableNAm"/>
            </w:pPr>
          </w:p>
        </w:tc>
        <w:tc>
          <w:tcPr>
            <w:tcW w:w="2412" w:type="dxa"/>
          </w:tcPr>
          <w:p>
            <w:pPr>
              <w:pStyle w:val="yTableNAm"/>
              <w:tabs>
                <w:tab w:val="clear" w:pos="567"/>
                <w:tab w:val="left" w:pos="499"/>
              </w:tabs>
              <w:ind w:left="499" w:hanging="499"/>
            </w:pPr>
            <w:r>
              <w:t>(I)</w:t>
            </w:r>
            <w:r>
              <w:tab/>
              <w:t>fee for examination of plans:</w:t>
            </w:r>
          </w:p>
        </w:tc>
        <w:tc>
          <w:tcPr>
            <w:tcW w:w="2160" w:type="dxa"/>
          </w:tcPr>
          <w:p>
            <w:pPr>
              <w:pStyle w:val="yTableNAm"/>
            </w:pPr>
            <w:r>
              <w:t>50% of fee for examination of plans set out in item 1(a)</w:t>
            </w:r>
          </w:p>
        </w:tc>
      </w:tr>
      <w:tr>
        <w:trPr>
          <w:cantSplit/>
        </w:trPr>
        <w:tc>
          <w:tcPr>
            <w:tcW w:w="708" w:type="dxa"/>
          </w:tcPr>
          <w:p>
            <w:pPr>
              <w:pStyle w:val="yTableNAm"/>
            </w:pPr>
          </w:p>
        </w:tc>
        <w:tc>
          <w:tcPr>
            <w:tcW w:w="2412" w:type="dxa"/>
          </w:tcPr>
          <w:p>
            <w:pPr>
              <w:pStyle w:val="yTableNAm"/>
              <w:tabs>
                <w:tab w:val="clear" w:pos="567"/>
                <w:tab w:val="left" w:pos="499"/>
              </w:tabs>
              <w:ind w:left="499" w:hanging="499"/>
            </w:pPr>
            <w:r>
              <w:t>(II)</w:t>
            </w:r>
            <w:r>
              <w:tab/>
              <w:t>fee for initial survey:</w:t>
            </w:r>
          </w:p>
        </w:tc>
        <w:tc>
          <w:tcPr>
            <w:tcW w:w="2160" w:type="dxa"/>
          </w:tcPr>
          <w:p>
            <w:pPr>
              <w:pStyle w:val="yTableNAm"/>
            </w:pPr>
            <w:r>
              <w:t>50% of fee for initial survey set out in item 1(a)</w:t>
            </w:r>
          </w:p>
        </w:tc>
      </w:tr>
      <w:tr>
        <w:trPr>
          <w:cantSplit/>
        </w:trPr>
        <w:tc>
          <w:tcPr>
            <w:tcW w:w="708" w:type="dxa"/>
          </w:tcPr>
          <w:p>
            <w:pPr>
              <w:pStyle w:val="yTableNAm"/>
            </w:pPr>
            <w:r>
              <w:t>(F)</w:t>
            </w:r>
          </w:p>
        </w:tc>
        <w:tc>
          <w:tcPr>
            <w:tcW w:w="2412" w:type="dxa"/>
          </w:tcPr>
          <w:p>
            <w:pPr>
              <w:pStyle w:val="yTableNAm"/>
            </w:pPr>
            <w:r>
              <w:t>Where a vessel is to be built and surveyed during construction to the Code, for hull structure and machinery only, the fee to be paid is —</w:t>
            </w:r>
          </w:p>
        </w:tc>
        <w:tc>
          <w:tcPr>
            <w:tcW w:w="2160" w:type="dxa"/>
          </w:tcPr>
          <w:p>
            <w:pPr>
              <w:pStyle w:val="yTableNAm"/>
            </w:pPr>
          </w:p>
        </w:tc>
      </w:tr>
      <w:tr>
        <w:trPr>
          <w:cantSplit/>
        </w:trPr>
        <w:tc>
          <w:tcPr>
            <w:tcW w:w="708" w:type="dxa"/>
          </w:tcPr>
          <w:p>
            <w:pPr>
              <w:pStyle w:val="yTableNAm"/>
            </w:pPr>
          </w:p>
        </w:tc>
        <w:tc>
          <w:tcPr>
            <w:tcW w:w="2412" w:type="dxa"/>
          </w:tcPr>
          <w:p>
            <w:pPr>
              <w:pStyle w:val="yTableNAm"/>
              <w:tabs>
                <w:tab w:val="clear" w:pos="567"/>
                <w:tab w:val="left" w:pos="499"/>
              </w:tabs>
              <w:ind w:left="499" w:hanging="499"/>
            </w:pPr>
            <w:r>
              <w:t>(I)</w:t>
            </w:r>
            <w:r>
              <w:tab/>
              <w:t>fee for examination of plans:</w:t>
            </w:r>
          </w:p>
        </w:tc>
        <w:tc>
          <w:tcPr>
            <w:tcW w:w="2160" w:type="dxa"/>
          </w:tcPr>
          <w:p>
            <w:pPr>
              <w:pStyle w:val="yTableNAm"/>
            </w:pPr>
            <w:r>
              <w:t>75% of fee for examination of plans set out in item 1(a)</w:t>
            </w:r>
          </w:p>
        </w:tc>
      </w:tr>
      <w:tr>
        <w:trPr>
          <w:cantSplit/>
        </w:trPr>
        <w:tc>
          <w:tcPr>
            <w:tcW w:w="708" w:type="dxa"/>
          </w:tcPr>
          <w:p>
            <w:pPr>
              <w:pStyle w:val="yTableNAm"/>
            </w:pPr>
          </w:p>
        </w:tc>
        <w:tc>
          <w:tcPr>
            <w:tcW w:w="2412" w:type="dxa"/>
          </w:tcPr>
          <w:p>
            <w:pPr>
              <w:pStyle w:val="yTableNAm"/>
              <w:tabs>
                <w:tab w:val="clear" w:pos="567"/>
                <w:tab w:val="left" w:pos="499"/>
              </w:tabs>
              <w:ind w:left="499" w:hanging="499"/>
            </w:pPr>
            <w:r>
              <w:t>(II)</w:t>
            </w:r>
            <w:r>
              <w:tab/>
              <w:t>fee for initial survey:</w:t>
            </w:r>
          </w:p>
        </w:tc>
        <w:tc>
          <w:tcPr>
            <w:tcW w:w="2160" w:type="dxa"/>
          </w:tcPr>
          <w:p>
            <w:pPr>
              <w:pStyle w:val="yTableNAm"/>
            </w:pPr>
            <w:r>
              <w:t>75% of fee for initial survey set out in item 1(a)</w:t>
            </w:r>
          </w:p>
        </w:tc>
      </w:tr>
      <w:tr>
        <w:trPr>
          <w:cantSplit/>
        </w:trPr>
        <w:tc>
          <w:tcPr>
            <w:tcW w:w="708" w:type="dxa"/>
          </w:tcPr>
          <w:p>
            <w:pPr>
              <w:pStyle w:val="yTableNAm"/>
            </w:pPr>
            <w:r>
              <w:t>(G)</w:t>
            </w:r>
          </w:p>
        </w:tc>
        <w:tc>
          <w:tcPr>
            <w:tcW w:w="2412" w:type="dxa"/>
            <w:tcBorders>
              <w:bottom w:val="nil"/>
            </w:tcBorders>
          </w:tcPr>
          <w:p>
            <w:pPr>
              <w:pStyle w:val="yTableNAm"/>
            </w:pPr>
            <w:r>
              <w:t>Where a vessel that has been built and surveyed during construction to the Code, for hull structure and machinery only, and is now surveyed for fire, safety and miscellaneous equipment, the fee to be paid is —</w:t>
            </w:r>
          </w:p>
        </w:tc>
        <w:tc>
          <w:tcPr>
            <w:tcW w:w="2160" w:type="dxa"/>
          </w:tcPr>
          <w:p>
            <w:pPr>
              <w:pStyle w:val="yTableNAm"/>
            </w:pPr>
          </w:p>
        </w:tc>
      </w:tr>
      <w:tr>
        <w:trPr>
          <w:cantSplit/>
        </w:trPr>
        <w:tc>
          <w:tcPr>
            <w:tcW w:w="708" w:type="dxa"/>
          </w:tcPr>
          <w:p>
            <w:pPr>
              <w:pStyle w:val="yTableNAm"/>
            </w:pPr>
          </w:p>
        </w:tc>
        <w:tc>
          <w:tcPr>
            <w:tcW w:w="2412" w:type="dxa"/>
          </w:tcPr>
          <w:p>
            <w:pPr>
              <w:pStyle w:val="yTableNAm"/>
              <w:tabs>
                <w:tab w:val="clear" w:pos="567"/>
                <w:tab w:val="left" w:pos="499"/>
              </w:tabs>
              <w:ind w:left="499" w:hanging="499"/>
            </w:pPr>
            <w:r>
              <w:t>(I)</w:t>
            </w:r>
            <w:r>
              <w:tab/>
              <w:t>fee for examination of plans:</w:t>
            </w:r>
          </w:p>
        </w:tc>
        <w:tc>
          <w:tcPr>
            <w:tcW w:w="2160" w:type="dxa"/>
          </w:tcPr>
          <w:p>
            <w:pPr>
              <w:pStyle w:val="yTableNAm"/>
            </w:pPr>
            <w:r>
              <w:t>25% of fee for examination of plans set out in item 1(a)</w:t>
            </w:r>
          </w:p>
        </w:tc>
      </w:tr>
      <w:tr>
        <w:trPr>
          <w:cantSplit/>
        </w:trPr>
        <w:tc>
          <w:tcPr>
            <w:tcW w:w="708" w:type="dxa"/>
          </w:tcPr>
          <w:p>
            <w:pPr>
              <w:pStyle w:val="yTableNAm"/>
            </w:pPr>
          </w:p>
        </w:tc>
        <w:tc>
          <w:tcPr>
            <w:tcW w:w="2412" w:type="dxa"/>
          </w:tcPr>
          <w:p>
            <w:pPr>
              <w:pStyle w:val="yTableNAm"/>
              <w:tabs>
                <w:tab w:val="clear" w:pos="567"/>
                <w:tab w:val="left" w:pos="499"/>
              </w:tabs>
              <w:ind w:left="499" w:hanging="499"/>
            </w:pPr>
            <w:r>
              <w:t>(II)</w:t>
            </w:r>
            <w:r>
              <w:tab/>
              <w:t>fee for initial survey:</w:t>
            </w:r>
          </w:p>
        </w:tc>
        <w:tc>
          <w:tcPr>
            <w:tcW w:w="2160" w:type="dxa"/>
          </w:tcPr>
          <w:p>
            <w:pPr>
              <w:pStyle w:val="yTableNAm"/>
            </w:pPr>
            <w:r>
              <w:t>25% of fee for initial survey set out in item 1(a)</w:t>
            </w:r>
          </w:p>
        </w:tc>
      </w:tr>
      <w:tr>
        <w:trPr>
          <w:cantSplit/>
        </w:trPr>
        <w:tc>
          <w:tcPr>
            <w:tcW w:w="708" w:type="dxa"/>
          </w:tcPr>
          <w:p>
            <w:pPr>
              <w:pStyle w:val="yTableNAm"/>
              <w:keepNext/>
            </w:pPr>
            <w:r>
              <w:t>(H)</w:t>
            </w:r>
          </w:p>
        </w:tc>
        <w:tc>
          <w:tcPr>
            <w:tcW w:w="2412" w:type="dxa"/>
          </w:tcPr>
          <w:p>
            <w:pPr>
              <w:pStyle w:val="yTableNAm"/>
              <w:keepNext/>
            </w:pPr>
            <w:r>
              <w:t xml:space="preserve">If vessel is a commercial ski boat — </w:t>
            </w:r>
          </w:p>
        </w:tc>
        <w:tc>
          <w:tcPr>
            <w:tcW w:w="2160" w:type="dxa"/>
          </w:tcPr>
          <w:p>
            <w:pPr>
              <w:pStyle w:val="yTableNAm"/>
              <w:keepNext/>
            </w:pPr>
          </w:p>
        </w:tc>
      </w:tr>
      <w:tr>
        <w:trPr>
          <w:cantSplit/>
        </w:trPr>
        <w:tc>
          <w:tcPr>
            <w:tcW w:w="708" w:type="dxa"/>
          </w:tcPr>
          <w:p>
            <w:pPr>
              <w:pStyle w:val="yTableNAm"/>
            </w:pPr>
          </w:p>
        </w:tc>
        <w:tc>
          <w:tcPr>
            <w:tcW w:w="2412" w:type="dxa"/>
          </w:tcPr>
          <w:p>
            <w:pPr>
              <w:pStyle w:val="yTableNAm"/>
              <w:tabs>
                <w:tab w:val="clear" w:pos="567"/>
                <w:tab w:val="left" w:pos="499"/>
              </w:tabs>
              <w:ind w:left="499" w:hanging="499"/>
            </w:pPr>
            <w:r>
              <w:t>(I)</w:t>
            </w:r>
            <w:r>
              <w:tab/>
              <w:t>fee for examination of plans:</w:t>
            </w:r>
          </w:p>
        </w:tc>
        <w:tc>
          <w:tcPr>
            <w:tcW w:w="2160" w:type="dxa"/>
          </w:tcPr>
          <w:p>
            <w:pPr>
              <w:pStyle w:val="yTableNAm"/>
            </w:pPr>
            <w:r>
              <w:t>50% of fee for examination of plans set out in item 1(a)</w:t>
            </w:r>
          </w:p>
        </w:tc>
      </w:tr>
      <w:tr>
        <w:trPr>
          <w:cantSplit/>
        </w:trPr>
        <w:tc>
          <w:tcPr>
            <w:tcW w:w="708" w:type="dxa"/>
          </w:tcPr>
          <w:p>
            <w:pPr>
              <w:pStyle w:val="yTableNAm"/>
            </w:pPr>
          </w:p>
        </w:tc>
        <w:tc>
          <w:tcPr>
            <w:tcW w:w="2412" w:type="dxa"/>
          </w:tcPr>
          <w:p>
            <w:pPr>
              <w:pStyle w:val="yTableNAm"/>
              <w:tabs>
                <w:tab w:val="clear" w:pos="567"/>
                <w:tab w:val="left" w:pos="499"/>
              </w:tabs>
              <w:ind w:left="499" w:hanging="499"/>
            </w:pPr>
            <w:r>
              <w:t>(II)</w:t>
            </w:r>
            <w:r>
              <w:tab/>
              <w:t>fee for initial survey:</w:t>
            </w:r>
          </w:p>
        </w:tc>
        <w:tc>
          <w:tcPr>
            <w:tcW w:w="2160" w:type="dxa"/>
          </w:tcPr>
          <w:p>
            <w:pPr>
              <w:pStyle w:val="yTableNAm"/>
            </w:pPr>
            <w:r>
              <w:t>100% of fee for subsequent survey set out in item 1(a)</w:t>
            </w:r>
          </w:p>
        </w:tc>
      </w:tr>
      <w:tr>
        <w:trPr>
          <w:cantSplit/>
        </w:trPr>
        <w:tc>
          <w:tcPr>
            <w:tcW w:w="708" w:type="dxa"/>
          </w:tcPr>
          <w:p>
            <w:pPr>
              <w:pStyle w:val="yTableNAm"/>
            </w:pPr>
            <w:r>
              <w:t>(I)</w:t>
            </w:r>
          </w:p>
        </w:tc>
        <w:tc>
          <w:tcPr>
            <w:tcW w:w="2412" w:type="dxa"/>
          </w:tcPr>
          <w:p>
            <w:pPr>
              <w:pStyle w:val="yTableNAm"/>
              <w:rPr>
                <w:spacing w:val="-4"/>
              </w:rPr>
            </w:pPr>
            <w:r>
              <w:rPr>
                <w:spacing w:val="-4"/>
              </w:rPr>
              <w:t xml:space="preserve">If an application for a new vessel claims that it is to be built in accordance with plans, or in accordance with the structure or machinery plans, of an existing vessel, or one under construction, the examination of plans fee is as follows — </w:t>
            </w:r>
          </w:p>
        </w:tc>
        <w:tc>
          <w:tcPr>
            <w:tcW w:w="2160" w:type="dxa"/>
          </w:tcPr>
          <w:p>
            <w:pPr>
              <w:pStyle w:val="yTableNAm"/>
            </w:pPr>
          </w:p>
        </w:tc>
      </w:tr>
      <w:tr>
        <w:trPr>
          <w:cantSplit/>
        </w:trPr>
        <w:tc>
          <w:tcPr>
            <w:tcW w:w="708" w:type="dxa"/>
          </w:tcPr>
          <w:p>
            <w:pPr>
              <w:pStyle w:val="yTableNAm"/>
            </w:pPr>
          </w:p>
        </w:tc>
        <w:tc>
          <w:tcPr>
            <w:tcW w:w="2412" w:type="dxa"/>
          </w:tcPr>
          <w:p>
            <w:pPr>
              <w:pStyle w:val="yTableNAm"/>
              <w:tabs>
                <w:tab w:val="clear" w:pos="567"/>
                <w:tab w:val="left" w:pos="499"/>
              </w:tabs>
              <w:ind w:left="499" w:hanging="499"/>
            </w:pPr>
            <w:r>
              <w:t>(I)</w:t>
            </w:r>
            <w:r>
              <w:tab/>
              <w:t>where there are common structure plans:</w:t>
            </w:r>
          </w:p>
        </w:tc>
        <w:tc>
          <w:tcPr>
            <w:tcW w:w="2160" w:type="dxa"/>
          </w:tcPr>
          <w:p>
            <w:pPr>
              <w:pStyle w:val="yTableNAm"/>
            </w:pPr>
            <w:r>
              <w:t>75% of fee for examination of plans set out in item 1(a)</w:t>
            </w:r>
          </w:p>
        </w:tc>
      </w:tr>
      <w:tr>
        <w:trPr>
          <w:cantSplit/>
        </w:trPr>
        <w:tc>
          <w:tcPr>
            <w:tcW w:w="708" w:type="dxa"/>
          </w:tcPr>
          <w:p>
            <w:pPr>
              <w:pStyle w:val="yTableNAm"/>
            </w:pPr>
          </w:p>
        </w:tc>
        <w:tc>
          <w:tcPr>
            <w:tcW w:w="2412" w:type="dxa"/>
          </w:tcPr>
          <w:p>
            <w:pPr>
              <w:pStyle w:val="yTableNAm"/>
              <w:tabs>
                <w:tab w:val="clear" w:pos="567"/>
                <w:tab w:val="left" w:pos="499"/>
              </w:tabs>
              <w:ind w:left="499" w:hanging="499"/>
            </w:pPr>
            <w:r>
              <w:t>(II)</w:t>
            </w:r>
            <w:r>
              <w:tab/>
              <w:t>where there are common structure and machinery plans:</w:t>
            </w:r>
          </w:p>
        </w:tc>
        <w:tc>
          <w:tcPr>
            <w:tcW w:w="2160" w:type="dxa"/>
          </w:tcPr>
          <w:p>
            <w:pPr>
              <w:pStyle w:val="yTableNAm"/>
            </w:pPr>
            <w:r>
              <w:t>50% of fee for subsequent survey set out in item 1(a)</w:t>
            </w:r>
          </w:p>
        </w:tc>
      </w:tr>
      <w:tr>
        <w:trPr>
          <w:cantSplit/>
        </w:trPr>
        <w:tc>
          <w:tcPr>
            <w:tcW w:w="708" w:type="dxa"/>
          </w:tcPr>
          <w:p>
            <w:pPr>
              <w:pStyle w:val="yTableNAm"/>
            </w:pPr>
          </w:p>
        </w:tc>
        <w:tc>
          <w:tcPr>
            <w:tcW w:w="2412" w:type="dxa"/>
          </w:tcPr>
          <w:p>
            <w:pPr>
              <w:pStyle w:val="yTableNAm"/>
              <w:tabs>
                <w:tab w:val="clear" w:pos="567"/>
                <w:tab w:val="left" w:pos="499"/>
              </w:tabs>
              <w:ind w:left="499" w:hanging="499"/>
            </w:pPr>
            <w:r>
              <w:t>(III)</w:t>
            </w:r>
            <w:r>
              <w:tab/>
              <w:t>where there are fully common plans:</w:t>
            </w:r>
          </w:p>
        </w:tc>
        <w:tc>
          <w:tcPr>
            <w:tcW w:w="2160" w:type="dxa"/>
          </w:tcPr>
          <w:p>
            <w:pPr>
              <w:pStyle w:val="yTableNAm"/>
            </w:pPr>
            <w:r>
              <w:t>no plan approval fee is payable</w:t>
            </w:r>
          </w:p>
        </w:tc>
      </w:tr>
    </w:tbl>
    <w:p>
      <w:pPr>
        <w:pStyle w:val="yIndenta"/>
        <w:keepNext/>
        <w:spacing w:before="240" w:after="120"/>
      </w:pPr>
      <w:r>
        <w:tab/>
        <w:t>(ii)</w:t>
      </w:r>
      <w:r>
        <w:tab/>
        <w:t>for existing vessels —</w:t>
      </w:r>
    </w:p>
    <w:tbl>
      <w:tblPr>
        <w:tblW w:w="0" w:type="auto"/>
        <w:tblInd w:w="1673" w:type="dxa"/>
        <w:tblLayout w:type="fixed"/>
        <w:tblCellMar>
          <w:left w:w="113" w:type="dxa"/>
          <w:right w:w="113" w:type="dxa"/>
        </w:tblCellMar>
        <w:tblLook w:val="0000" w:firstRow="0" w:lastRow="0" w:firstColumn="0" w:lastColumn="0" w:noHBand="0" w:noVBand="0"/>
      </w:tblPr>
      <w:tblGrid>
        <w:gridCol w:w="708"/>
        <w:gridCol w:w="2127"/>
        <w:gridCol w:w="2445"/>
      </w:tblGrid>
      <w:tr>
        <w:trPr>
          <w:cantSplit/>
        </w:trPr>
        <w:tc>
          <w:tcPr>
            <w:tcW w:w="708" w:type="dxa"/>
          </w:tcPr>
          <w:p>
            <w:pPr>
              <w:pStyle w:val="yTableNAm"/>
            </w:pPr>
            <w:r>
              <w:t>(A)</w:t>
            </w:r>
          </w:p>
        </w:tc>
        <w:tc>
          <w:tcPr>
            <w:tcW w:w="2127" w:type="dxa"/>
          </w:tcPr>
          <w:p>
            <w:pPr>
              <w:pStyle w:val="yTableNAm"/>
            </w:pPr>
            <w:r>
              <w:t>The fee for annual or subsequent survey provides for the initial survey and one further inspection to clear a deficiency notice. Fee for a second and each further inspection to complete a survey:</w:t>
            </w:r>
          </w:p>
        </w:tc>
        <w:tc>
          <w:tcPr>
            <w:tcW w:w="2445" w:type="dxa"/>
          </w:tcPr>
          <w:p>
            <w:pPr>
              <w:pStyle w:val="yTableNAm"/>
            </w:pPr>
            <w:r>
              <w:br/>
            </w:r>
            <w:r>
              <w:br/>
            </w:r>
            <w:r>
              <w:br/>
            </w:r>
            <w:r>
              <w:br/>
            </w:r>
            <w:r>
              <w:br/>
            </w:r>
            <w:r>
              <w:br/>
            </w:r>
            <w:r>
              <w:br/>
            </w:r>
            <w:r>
              <w:br/>
              <w:t xml:space="preserve">$190/hour plus </w:t>
            </w:r>
            <w:r>
              <w:rPr>
                <w:szCs w:val="22"/>
              </w:rPr>
              <w:t>reasonable travel and accommodation costs and expenses incurred</w:t>
            </w:r>
          </w:p>
        </w:tc>
      </w:tr>
      <w:tr>
        <w:trPr>
          <w:cantSplit/>
        </w:trPr>
        <w:tc>
          <w:tcPr>
            <w:tcW w:w="708" w:type="dxa"/>
          </w:tcPr>
          <w:p>
            <w:pPr>
              <w:pStyle w:val="yTableNAm"/>
              <w:rPr>
                <w:sz w:val="18"/>
              </w:rPr>
            </w:pPr>
            <w:r>
              <w:t>(B)</w:t>
            </w:r>
          </w:p>
        </w:tc>
        <w:tc>
          <w:tcPr>
            <w:tcW w:w="2127" w:type="dxa"/>
          </w:tcPr>
          <w:p>
            <w:pPr>
              <w:pStyle w:val="yTableNAm"/>
            </w:pPr>
            <w:r>
              <w:t>If vessel is in more than one class, fee for subsequent surveys:</w:t>
            </w:r>
          </w:p>
        </w:tc>
        <w:tc>
          <w:tcPr>
            <w:tcW w:w="2445" w:type="dxa"/>
          </w:tcPr>
          <w:p>
            <w:pPr>
              <w:pStyle w:val="yTableNAm"/>
            </w:pPr>
            <w:r>
              <w:t>Fee for subsequent surveys set out in item 1(a) plus 50% of that fee for each additional class</w:t>
            </w:r>
          </w:p>
        </w:tc>
      </w:tr>
      <w:tr>
        <w:trPr>
          <w:cantSplit/>
        </w:trPr>
        <w:tc>
          <w:tcPr>
            <w:tcW w:w="708" w:type="dxa"/>
          </w:tcPr>
          <w:p>
            <w:pPr>
              <w:pStyle w:val="yTableNAm"/>
              <w:rPr>
                <w:sz w:val="18"/>
              </w:rPr>
            </w:pPr>
            <w:r>
              <w:t>(C)</w:t>
            </w:r>
          </w:p>
        </w:tc>
        <w:tc>
          <w:tcPr>
            <w:tcW w:w="2127" w:type="dxa"/>
          </w:tcPr>
          <w:p>
            <w:pPr>
              <w:pStyle w:val="yTableNAm"/>
            </w:pPr>
            <w:r>
              <w:t>If class of vessel to be changed or a class is to be added — </w:t>
            </w:r>
          </w:p>
        </w:tc>
        <w:tc>
          <w:tcPr>
            <w:tcW w:w="2445" w:type="dxa"/>
          </w:tcPr>
          <w:p>
            <w:pPr>
              <w:pStyle w:val="yTableNAm"/>
            </w:pPr>
          </w:p>
        </w:tc>
      </w:tr>
      <w:tr>
        <w:trPr>
          <w:cantSplit/>
        </w:trPr>
        <w:tc>
          <w:tcPr>
            <w:tcW w:w="708" w:type="dxa"/>
          </w:tcPr>
          <w:p>
            <w:pPr>
              <w:pStyle w:val="yTableNAm"/>
              <w:rPr>
                <w:sz w:val="18"/>
              </w:rPr>
            </w:pPr>
          </w:p>
        </w:tc>
        <w:tc>
          <w:tcPr>
            <w:tcW w:w="2127" w:type="dxa"/>
          </w:tcPr>
          <w:p>
            <w:pPr>
              <w:pStyle w:val="yTableNAm"/>
              <w:tabs>
                <w:tab w:val="clear" w:pos="567"/>
                <w:tab w:val="left" w:pos="499"/>
              </w:tabs>
              <w:ind w:left="499" w:hanging="499"/>
            </w:pPr>
            <w:r>
              <w:t>(I)</w:t>
            </w:r>
            <w:r>
              <w:tab/>
              <w:t>examination of plans:</w:t>
            </w:r>
          </w:p>
        </w:tc>
        <w:tc>
          <w:tcPr>
            <w:tcW w:w="2445" w:type="dxa"/>
          </w:tcPr>
          <w:p>
            <w:pPr>
              <w:pStyle w:val="yTableNAm"/>
              <w:tabs>
                <w:tab w:val="clear" w:pos="567"/>
                <w:tab w:val="left" w:pos="412"/>
              </w:tabs>
              <w:ind w:left="412" w:hanging="412"/>
            </w:pPr>
            <w:r>
              <w:t>(a)</w:t>
            </w:r>
            <w:r>
              <w:tab/>
              <w:t>$190/hour plus fee for issue of new certificate of survey; or</w:t>
            </w:r>
          </w:p>
        </w:tc>
      </w:tr>
      <w:tr>
        <w:trPr>
          <w:cantSplit/>
        </w:trPr>
        <w:tc>
          <w:tcPr>
            <w:tcW w:w="708" w:type="dxa"/>
          </w:tcPr>
          <w:p>
            <w:pPr>
              <w:pStyle w:val="yTableNAm"/>
              <w:rPr>
                <w:sz w:val="18"/>
              </w:rPr>
            </w:pPr>
          </w:p>
        </w:tc>
        <w:tc>
          <w:tcPr>
            <w:tcW w:w="2127" w:type="dxa"/>
          </w:tcPr>
          <w:p>
            <w:pPr>
              <w:pStyle w:val="yTableNAm"/>
            </w:pPr>
          </w:p>
        </w:tc>
        <w:tc>
          <w:tcPr>
            <w:tcW w:w="2445" w:type="dxa"/>
          </w:tcPr>
          <w:p>
            <w:pPr>
              <w:pStyle w:val="yTableNAm"/>
              <w:tabs>
                <w:tab w:val="clear" w:pos="567"/>
                <w:tab w:val="left" w:pos="412"/>
              </w:tabs>
              <w:ind w:left="412" w:hanging="412"/>
            </w:pPr>
            <w:r>
              <w:t>(b)</w:t>
            </w:r>
            <w:r>
              <w:tab/>
              <w:t>the sum of the amounts set out in item 1(b)(ii)(H)(I) and (II),</w:t>
            </w:r>
          </w:p>
          <w:p>
            <w:pPr>
              <w:pStyle w:val="yTableNAm"/>
            </w:pPr>
            <w:r>
              <w:t>whichever is greater</w:t>
            </w:r>
          </w:p>
        </w:tc>
      </w:tr>
      <w:tr>
        <w:trPr>
          <w:cantSplit/>
        </w:trPr>
        <w:tc>
          <w:tcPr>
            <w:tcW w:w="708" w:type="dxa"/>
          </w:tcPr>
          <w:p>
            <w:pPr>
              <w:pStyle w:val="yTableNAm"/>
              <w:rPr>
                <w:sz w:val="18"/>
              </w:rPr>
            </w:pPr>
          </w:p>
        </w:tc>
        <w:tc>
          <w:tcPr>
            <w:tcW w:w="2127" w:type="dxa"/>
          </w:tcPr>
          <w:p>
            <w:pPr>
              <w:pStyle w:val="yTableNAm"/>
              <w:tabs>
                <w:tab w:val="clear" w:pos="567"/>
                <w:tab w:val="left" w:pos="499"/>
              </w:tabs>
              <w:ind w:left="499" w:hanging="499"/>
            </w:pPr>
            <w:r>
              <w:t>(II)</w:t>
            </w:r>
            <w:r>
              <w:tab/>
              <w:t>conducting survey:</w:t>
            </w:r>
          </w:p>
        </w:tc>
        <w:tc>
          <w:tcPr>
            <w:tcW w:w="2445" w:type="dxa"/>
          </w:tcPr>
          <w:p>
            <w:pPr>
              <w:pStyle w:val="yTableNAm"/>
              <w:tabs>
                <w:tab w:val="clear" w:pos="567"/>
                <w:tab w:val="left" w:pos="412"/>
              </w:tabs>
              <w:ind w:left="412" w:hanging="412"/>
              <w:rPr>
                <w:shd w:val="clear" w:color="auto" w:fill="FFFF00"/>
              </w:rPr>
            </w:pPr>
            <w:r>
              <w:t>(a)</w:t>
            </w:r>
            <w:r>
              <w:tab/>
              <w:t>$190/hour; or</w:t>
            </w:r>
          </w:p>
          <w:p>
            <w:pPr>
              <w:pStyle w:val="yTableNAm"/>
              <w:tabs>
                <w:tab w:val="clear" w:pos="567"/>
                <w:tab w:val="left" w:pos="412"/>
              </w:tabs>
              <w:ind w:left="412" w:hanging="412"/>
            </w:pPr>
            <w:r>
              <w:t>(b)</w:t>
            </w:r>
            <w:r>
              <w:tab/>
              <w:t>the sum of the amounts set out in item 1(b)(ii)(H)(I) and (II),</w:t>
            </w:r>
          </w:p>
          <w:p>
            <w:pPr>
              <w:pStyle w:val="yTableNAm"/>
            </w:pPr>
            <w:r>
              <w:t>whichever is greater</w:t>
            </w:r>
          </w:p>
        </w:tc>
      </w:tr>
      <w:tr>
        <w:trPr>
          <w:cantSplit/>
        </w:trPr>
        <w:tc>
          <w:tcPr>
            <w:tcW w:w="708" w:type="dxa"/>
          </w:tcPr>
          <w:p>
            <w:pPr>
              <w:pStyle w:val="yTableNAm"/>
              <w:rPr>
                <w:sz w:val="18"/>
              </w:rPr>
            </w:pPr>
            <w:r>
              <w:t>(D)</w:t>
            </w:r>
          </w:p>
        </w:tc>
        <w:tc>
          <w:tcPr>
            <w:tcW w:w="2127" w:type="dxa"/>
          </w:tcPr>
          <w:p>
            <w:pPr>
              <w:pStyle w:val="yTableNAm"/>
            </w:pPr>
            <w:r>
              <w:t xml:space="preserve">If vessel is to be surveyed for the first time in WA and has a current Classification Certificate in respect of its hull and machinery issued by a recognised Classification Society —  </w:t>
            </w:r>
          </w:p>
        </w:tc>
        <w:tc>
          <w:tcPr>
            <w:tcW w:w="2445" w:type="dxa"/>
          </w:tcPr>
          <w:p>
            <w:pPr>
              <w:pStyle w:val="yTableNAm"/>
            </w:pPr>
          </w:p>
        </w:tc>
      </w:tr>
      <w:tr>
        <w:trPr>
          <w:cantSplit/>
        </w:trPr>
        <w:tc>
          <w:tcPr>
            <w:tcW w:w="708" w:type="dxa"/>
          </w:tcPr>
          <w:p>
            <w:pPr>
              <w:pStyle w:val="yTableNAm"/>
              <w:rPr>
                <w:sz w:val="18"/>
              </w:rPr>
            </w:pPr>
          </w:p>
        </w:tc>
        <w:tc>
          <w:tcPr>
            <w:tcW w:w="2127" w:type="dxa"/>
          </w:tcPr>
          <w:p>
            <w:pPr>
              <w:pStyle w:val="yTableNAm"/>
              <w:tabs>
                <w:tab w:val="clear" w:pos="567"/>
                <w:tab w:val="left" w:pos="499"/>
              </w:tabs>
              <w:ind w:left="499" w:hanging="499"/>
            </w:pPr>
            <w:r>
              <w:t>(I)</w:t>
            </w:r>
            <w:r>
              <w:tab/>
              <w:t>fee for examination of plans:</w:t>
            </w:r>
          </w:p>
        </w:tc>
        <w:tc>
          <w:tcPr>
            <w:tcW w:w="2445" w:type="dxa"/>
          </w:tcPr>
          <w:p>
            <w:pPr>
              <w:pStyle w:val="yTableNAm"/>
            </w:pPr>
            <w:r>
              <w:t>50% of fee for examination of plans set out in item 1(a)</w:t>
            </w:r>
          </w:p>
        </w:tc>
      </w:tr>
      <w:tr>
        <w:trPr>
          <w:cantSplit/>
        </w:trPr>
        <w:tc>
          <w:tcPr>
            <w:tcW w:w="708" w:type="dxa"/>
          </w:tcPr>
          <w:p>
            <w:pPr>
              <w:pStyle w:val="yTableNAm"/>
              <w:rPr>
                <w:sz w:val="18"/>
              </w:rPr>
            </w:pPr>
          </w:p>
        </w:tc>
        <w:tc>
          <w:tcPr>
            <w:tcW w:w="2127" w:type="dxa"/>
          </w:tcPr>
          <w:p>
            <w:pPr>
              <w:pStyle w:val="yTableNAm"/>
              <w:tabs>
                <w:tab w:val="clear" w:pos="567"/>
                <w:tab w:val="left" w:pos="499"/>
              </w:tabs>
              <w:ind w:left="499" w:hanging="499"/>
            </w:pPr>
            <w:r>
              <w:t>(II)</w:t>
            </w:r>
            <w:r>
              <w:tab/>
              <w:t>fee for initial survey:</w:t>
            </w:r>
          </w:p>
        </w:tc>
        <w:tc>
          <w:tcPr>
            <w:tcW w:w="2445" w:type="dxa"/>
          </w:tcPr>
          <w:p>
            <w:pPr>
              <w:pStyle w:val="yTableNAm"/>
            </w:pPr>
            <w:r>
              <w:t>50% of fee for initial survey set out in item 1(a)</w:t>
            </w:r>
          </w:p>
        </w:tc>
      </w:tr>
      <w:tr>
        <w:trPr>
          <w:cantSplit/>
        </w:trPr>
        <w:tc>
          <w:tcPr>
            <w:tcW w:w="708" w:type="dxa"/>
          </w:tcPr>
          <w:p>
            <w:pPr>
              <w:pStyle w:val="yTableNAm"/>
            </w:pPr>
            <w:r>
              <w:t>(E)</w:t>
            </w:r>
          </w:p>
        </w:tc>
        <w:tc>
          <w:tcPr>
            <w:tcW w:w="2127" w:type="dxa"/>
          </w:tcPr>
          <w:p>
            <w:pPr>
              <w:pStyle w:val="yTableNAm"/>
            </w:pPr>
            <w:r>
              <w:t xml:space="preserve">If vessel is to be surveyed for the first time in WA and has a current Classification Certificate in respect of its hull only, or machinery only, issued by a recognised Classification Society —  </w:t>
            </w:r>
          </w:p>
        </w:tc>
        <w:tc>
          <w:tcPr>
            <w:tcW w:w="2445" w:type="dxa"/>
          </w:tcPr>
          <w:p>
            <w:pPr>
              <w:pStyle w:val="yTableNAm"/>
            </w:pPr>
          </w:p>
        </w:tc>
      </w:tr>
      <w:tr>
        <w:trPr>
          <w:cantSplit/>
        </w:trPr>
        <w:tc>
          <w:tcPr>
            <w:tcW w:w="708" w:type="dxa"/>
          </w:tcPr>
          <w:p>
            <w:pPr>
              <w:pStyle w:val="yTableNAm"/>
              <w:rPr>
                <w:sz w:val="18"/>
              </w:rPr>
            </w:pPr>
          </w:p>
        </w:tc>
        <w:tc>
          <w:tcPr>
            <w:tcW w:w="2127" w:type="dxa"/>
          </w:tcPr>
          <w:p>
            <w:pPr>
              <w:pStyle w:val="yTableNAm"/>
              <w:tabs>
                <w:tab w:val="clear" w:pos="567"/>
                <w:tab w:val="left" w:pos="499"/>
              </w:tabs>
              <w:ind w:left="499" w:hanging="499"/>
            </w:pPr>
            <w:r>
              <w:t>(I)</w:t>
            </w:r>
            <w:r>
              <w:tab/>
              <w:t>fee for examination of plans:</w:t>
            </w:r>
          </w:p>
        </w:tc>
        <w:tc>
          <w:tcPr>
            <w:tcW w:w="2445" w:type="dxa"/>
          </w:tcPr>
          <w:p>
            <w:pPr>
              <w:pStyle w:val="yTableNAm"/>
            </w:pPr>
            <w:r>
              <w:t>75% of fee for examination of plans set out in item 1(a)</w:t>
            </w:r>
          </w:p>
        </w:tc>
      </w:tr>
      <w:tr>
        <w:trPr>
          <w:cantSplit/>
        </w:trPr>
        <w:tc>
          <w:tcPr>
            <w:tcW w:w="708" w:type="dxa"/>
          </w:tcPr>
          <w:p>
            <w:pPr>
              <w:pStyle w:val="yTableNAm"/>
              <w:rPr>
                <w:sz w:val="18"/>
              </w:rPr>
            </w:pPr>
          </w:p>
        </w:tc>
        <w:tc>
          <w:tcPr>
            <w:tcW w:w="2127" w:type="dxa"/>
          </w:tcPr>
          <w:p>
            <w:pPr>
              <w:pStyle w:val="yTableNAm"/>
              <w:tabs>
                <w:tab w:val="clear" w:pos="567"/>
                <w:tab w:val="left" w:pos="499"/>
              </w:tabs>
              <w:ind w:left="499" w:hanging="499"/>
            </w:pPr>
            <w:r>
              <w:t>(II)</w:t>
            </w:r>
            <w:r>
              <w:tab/>
              <w:t>fee for initial survey:</w:t>
            </w:r>
          </w:p>
        </w:tc>
        <w:tc>
          <w:tcPr>
            <w:tcW w:w="2445" w:type="dxa"/>
          </w:tcPr>
          <w:p>
            <w:pPr>
              <w:pStyle w:val="yTableNAm"/>
            </w:pPr>
            <w:r>
              <w:t>75% of fee for initial survey set out in item 1(a)</w:t>
            </w:r>
          </w:p>
        </w:tc>
      </w:tr>
      <w:tr>
        <w:trPr>
          <w:cantSplit/>
        </w:trPr>
        <w:tc>
          <w:tcPr>
            <w:tcW w:w="708" w:type="dxa"/>
          </w:tcPr>
          <w:p>
            <w:pPr>
              <w:pStyle w:val="yTableNAm"/>
              <w:rPr>
                <w:sz w:val="18"/>
              </w:rPr>
            </w:pPr>
            <w:r>
              <w:t>(F</w:t>
            </w:r>
            <w:r>
              <w:rPr>
                <w:sz w:val="18"/>
              </w:rPr>
              <w:t>)</w:t>
            </w:r>
          </w:p>
        </w:tc>
        <w:tc>
          <w:tcPr>
            <w:tcW w:w="2127" w:type="dxa"/>
          </w:tcPr>
          <w:p>
            <w:pPr>
              <w:pStyle w:val="yTableNAm"/>
            </w:pPr>
            <w:r>
              <w:t>If vessel has a current Classification Certificate in respect of its hull and machinery issued by a recognised Classification Society, fee for subsequent surveys:</w:t>
            </w:r>
          </w:p>
        </w:tc>
        <w:tc>
          <w:tcPr>
            <w:tcW w:w="2445" w:type="dxa"/>
          </w:tcPr>
          <w:p>
            <w:pPr>
              <w:pStyle w:val="yTableNAm"/>
            </w:pPr>
            <w:r>
              <w:br/>
            </w:r>
            <w:r>
              <w:br/>
            </w:r>
            <w:r>
              <w:br/>
            </w:r>
            <w:r>
              <w:br/>
            </w:r>
            <w:r>
              <w:br/>
            </w:r>
            <w:r>
              <w:br/>
              <w:t>50% of fee for subsequent surveys set out in item 1(a)</w:t>
            </w:r>
          </w:p>
        </w:tc>
      </w:tr>
      <w:tr>
        <w:trPr>
          <w:cantSplit/>
        </w:trPr>
        <w:tc>
          <w:tcPr>
            <w:tcW w:w="708" w:type="dxa"/>
          </w:tcPr>
          <w:p>
            <w:pPr>
              <w:pStyle w:val="yTableNAm"/>
            </w:pPr>
            <w:r>
              <w:t>(G)</w:t>
            </w:r>
          </w:p>
        </w:tc>
        <w:tc>
          <w:tcPr>
            <w:tcW w:w="2127" w:type="dxa"/>
          </w:tcPr>
          <w:p>
            <w:pPr>
              <w:pStyle w:val="yTableNAm"/>
            </w:pPr>
            <w:r>
              <w:t>If vessel has a current Classification Certificate in respect of its hull only, or machinery only, issued by a recognised Classification Society, fee for subsequent surveys:</w:t>
            </w:r>
          </w:p>
        </w:tc>
        <w:tc>
          <w:tcPr>
            <w:tcW w:w="2445" w:type="dxa"/>
          </w:tcPr>
          <w:p>
            <w:pPr>
              <w:pStyle w:val="yTableNAm"/>
            </w:pPr>
            <w:r>
              <w:br/>
            </w:r>
            <w:r>
              <w:br/>
            </w:r>
            <w:r>
              <w:br/>
            </w:r>
            <w:r>
              <w:br/>
            </w:r>
            <w:r>
              <w:br/>
            </w:r>
            <w:r>
              <w:br/>
            </w:r>
            <w:r>
              <w:br/>
              <w:t>75% of fee for subsequent surveys set out in item 1(a)</w:t>
            </w:r>
          </w:p>
        </w:tc>
      </w:tr>
      <w:tr>
        <w:trPr>
          <w:cantSplit/>
        </w:trPr>
        <w:tc>
          <w:tcPr>
            <w:tcW w:w="708" w:type="dxa"/>
          </w:tcPr>
          <w:p>
            <w:pPr>
              <w:pStyle w:val="yTableNAm"/>
              <w:rPr>
                <w:sz w:val="18"/>
              </w:rPr>
            </w:pPr>
            <w:r>
              <w:t>(H)</w:t>
            </w:r>
          </w:p>
        </w:tc>
        <w:tc>
          <w:tcPr>
            <w:tcW w:w="2127" w:type="dxa"/>
          </w:tcPr>
          <w:p>
            <w:pPr>
              <w:pStyle w:val="yTableNAm"/>
            </w:pPr>
            <w:r>
              <w:t>If significant alterations are to be made to vessel —</w:t>
            </w:r>
          </w:p>
        </w:tc>
        <w:tc>
          <w:tcPr>
            <w:tcW w:w="2445" w:type="dxa"/>
          </w:tcPr>
          <w:p>
            <w:pPr>
              <w:pStyle w:val="yTableNAm"/>
            </w:pPr>
          </w:p>
        </w:tc>
      </w:tr>
      <w:tr>
        <w:trPr>
          <w:cantSplit/>
        </w:trPr>
        <w:tc>
          <w:tcPr>
            <w:tcW w:w="708" w:type="dxa"/>
          </w:tcPr>
          <w:p>
            <w:pPr>
              <w:pStyle w:val="yTableNAm"/>
            </w:pPr>
          </w:p>
        </w:tc>
        <w:tc>
          <w:tcPr>
            <w:tcW w:w="2127" w:type="dxa"/>
          </w:tcPr>
          <w:p>
            <w:pPr>
              <w:pStyle w:val="yTableNAm"/>
              <w:tabs>
                <w:tab w:val="clear" w:pos="567"/>
                <w:tab w:val="left" w:pos="499"/>
              </w:tabs>
              <w:ind w:left="499" w:hanging="499"/>
            </w:pPr>
            <w:r>
              <w:t>(I)</w:t>
            </w:r>
            <w:r>
              <w:tab/>
              <w:t>fee for examination of plans:</w:t>
            </w:r>
          </w:p>
        </w:tc>
        <w:tc>
          <w:tcPr>
            <w:tcW w:w="2445" w:type="dxa"/>
          </w:tcPr>
          <w:p>
            <w:pPr>
              <w:pStyle w:val="yTableNAm"/>
            </w:pPr>
            <w:r>
              <w:t>10% of fee for examination of plans set out in item 1(a) if structure requires assessment plus a further 10% of that fee for each of the following that require reassessment —</w:t>
            </w:r>
          </w:p>
        </w:tc>
      </w:tr>
      <w:tr>
        <w:trPr>
          <w:cantSplit/>
        </w:trPr>
        <w:tc>
          <w:tcPr>
            <w:tcW w:w="708" w:type="dxa"/>
          </w:tcPr>
          <w:p>
            <w:pPr>
              <w:pStyle w:val="yTableNAm"/>
            </w:pPr>
          </w:p>
        </w:tc>
        <w:tc>
          <w:tcPr>
            <w:tcW w:w="2127" w:type="dxa"/>
          </w:tcPr>
          <w:p>
            <w:pPr>
              <w:pStyle w:val="yTableNAm"/>
            </w:pPr>
          </w:p>
        </w:tc>
        <w:tc>
          <w:tcPr>
            <w:tcW w:w="2445" w:type="dxa"/>
          </w:tcPr>
          <w:p>
            <w:pPr>
              <w:pStyle w:val="yTableNAm"/>
            </w:pPr>
            <w:r>
              <w:sym w:font="Symbol" w:char="F0B7"/>
            </w:r>
            <w:r>
              <w:t xml:space="preserve"> machinery</w:t>
            </w:r>
          </w:p>
          <w:p>
            <w:pPr>
              <w:pStyle w:val="yTableNAm"/>
            </w:pPr>
            <w:r>
              <w:sym w:font="Symbol" w:char="F0B7"/>
            </w:r>
            <w:r>
              <w:t xml:space="preserve"> accommodation, water tight arrangements, or structural fire protection;</w:t>
            </w:r>
          </w:p>
          <w:p>
            <w:pPr>
              <w:pStyle w:val="yTableNAm"/>
            </w:pPr>
            <w:r>
              <w:sym w:font="Symbol" w:char="F0B7"/>
            </w:r>
            <w:r>
              <w:t xml:space="preserve"> equipment</w:t>
            </w:r>
          </w:p>
        </w:tc>
      </w:tr>
      <w:tr>
        <w:trPr>
          <w:cantSplit/>
        </w:trPr>
        <w:tc>
          <w:tcPr>
            <w:tcW w:w="708" w:type="dxa"/>
            <w:tcBorders>
              <w:bottom w:val="nil"/>
            </w:tcBorders>
          </w:tcPr>
          <w:p>
            <w:pPr>
              <w:pStyle w:val="yTableNAm"/>
            </w:pPr>
          </w:p>
        </w:tc>
        <w:tc>
          <w:tcPr>
            <w:tcW w:w="2127" w:type="dxa"/>
          </w:tcPr>
          <w:p>
            <w:pPr>
              <w:pStyle w:val="yTableNAm"/>
              <w:tabs>
                <w:tab w:val="clear" w:pos="567"/>
                <w:tab w:val="left" w:pos="499"/>
              </w:tabs>
              <w:ind w:left="499" w:hanging="499"/>
            </w:pPr>
            <w:r>
              <w:t>(II)</w:t>
            </w:r>
            <w:r>
              <w:tab/>
              <w:t>fee for initial survey:</w:t>
            </w:r>
          </w:p>
        </w:tc>
        <w:tc>
          <w:tcPr>
            <w:tcW w:w="2445" w:type="dxa"/>
          </w:tcPr>
          <w:p>
            <w:pPr>
              <w:pStyle w:val="yTableNAm"/>
            </w:pPr>
            <w:r>
              <w:t>10% of fee for initial survey set out in item 1(a) if structure requires assessment plus a further 10% of that fee for each of the following that require reassessment —</w:t>
            </w:r>
          </w:p>
        </w:tc>
      </w:tr>
      <w:tr>
        <w:trPr>
          <w:cantSplit/>
        </w:trPr>
        <w:tc>
          <w:tcPr>
            <w:tcW w:w="708" w:type="dxa"/>
          </w:tcPr>
          <w:p>
            <w:pPr>
              <w:pStyle w:val="yTableNAm"/>
              <w:rPr>
                <w:sz w:val="18"/>
              </w:rPr>
            </w:pPr>
          </w:p>
        </w:tc>
        <w:tc>
          <w:tcPr>
            <w:tcW w:w="2127" w:type="dxa"/>
            <w:vMerge w:val="restart"/>
          </w:tcPr>
          <w:p>
            <w:pPr>
              <w:pStyle w:val="yTableNAm"/>
            </w:pPr>
          </w:p>
        </w:tc>
        <w:tc>
          <w:tcPr>
            <w:tcW w:w="2445" w:type="dxa"/>
            <w:vMerge w:val="restart"/>
          </w:tcPr>
          <w:p>
            <w:pPr>
              <w:pStyle w:val="yTableNAm"/>
            </w:pPr>
            <w:r>
              <w:sym w:font="Symbol" w:char="F0B7"/>
            </w:r>
            <w:r>
              <w:t xml:space="preserve"> machinery</w:t>
            </w:r>
          </w:p>
          <w:p>
            <w:pPr>
              <w:pStyle w:val="yTableNAm"/>
            </w:pPr>
            <w:r>
              <w:sym w:font="Symbol" w:char="F0B7"/>
            </w:r>
            <w:r>
              <w:t xml:space="preserve"> accommodation, water tight arrangements, or structural fire protection;</w:t>
            </w:r>
          </w:p>
          <w:p>
            <w:pPr>
              <w:pStyle w:val="yTableNAm"/>
            </w:pPr>
            <w:r>
              <w:sym w:font="Symbol" w:char="F0B7"/>
            </w:r>
            <w:r>
              <w:t xml:space="preserve"> equipment</w:t>
            </w:r>
          </w:p>
        </w:tc>
      </w:tr>
      <w:tr>
        <w:trPr>
          <w:cantSplit/>
        </w:trPr>
        <w:tc>
          <w:tcPr>
            <w:tcW w:w="708" w:type="dxa"/>
          </w:tcPr>
          <w:p>
            <w:pPr>
              <w:pStyle w:val="yTableNAm"/>
              <w:rPr>
                <w:sz w:val="18"/>
              </w:rPr>
            </w:pPr>
          </w:p>
        </w:tc>
        <w:tc>
          <w:tcPr>
            <w:tcW w:w="2127" w:type="dxa"/>
            <w:vMerge/>
          </w:tcPr>
          <w:p>
            <w:pPr>
              <w:pStyle w:val="yTableNAm"/>
            </w:pPr>
          </w:p>
        </w:tc>
        <w:tc>
          <w:tcPr>
            <w:tcW w:w="2445" w:type="dxa"/>
            <w:vMerge/>
          </w:tcPr>
          <w:p>
            <w:pPr>
              <w:pStyle w:val="yTableNAm"/>
            </w:pPr>
          </w:p>
        </w:tc>
      </w:tr>
      <w:tr>
        <w:trPr>
          <w:cantSplit/>
        </w:trPr>
        <w:tc>
          <w:tcPr>
            <w:tcW w:w="708" w:type="dxa"/>
          </w:tcPr>
          <w:p>
            <w:pPr>
              <w:pStyle w:val="yTableNAm"/>
            </w:pPr>
            <w:r>
              <w:t>(I)</w:t>
            </w:r>
          </w:p>
        </w:tc>
        <w:tc>
          <w:tcPr>
            <w:tcW w:w="2127" w:type="dxa"/>
          </w:tcPr>
          <w:p>
            <w:pPr>
              <w:pStyle w:val="yTableNAm"/>
            </w:pPr>
            <w:r>
              <w:t>If Certificate of Survey previously issued in respect of vessel but not currently valid for the purposes of the Australian Marine Authority, the fee for reissue is —</w:t>
            </w:r>
          </w:p>
        </w:tc>
        <w:tc>
          <w:tcPr>
            <w:tcW w:w="2445" w:type="dxa"/>
          </w:tcPr>
          <w:p>
            <w:pPr>
              <w:pStyle w:val="yTableNAm"/>
            </w:pPr>
          </w:p>
        </w:tc>
      </w:tr>
      <w:tr>
        <w:trPr>
          <w:cantSplit/>
        </w:trPr>
        <w:tc>
          <w:tcPr>
            <w:tcW w:w="708" w:type="dxa"/>
          </w:tcPr>
          <w:p>
            <w:pPr>
              <w:pStyle w:val="yTableNAm"/>
            </w:pPr>
          </w:p>
        </w:tc>
        <w:tc>
          <w:tcPr>
            <w:tcW w:w="2127" w:type="dxa"/>
          </w:tcPr>
          <w:p>
            <w:pPr>
              <w:pStyle w:val="yTableNAm"/>
              <w:tabs>
                <w:tab w:val="clear" w:pos="567"/>
                <w:tab w:val="left" w:pos="499"/>
              </w:tabs>
              <w:ind w:left="499" w:hanging="499"/>
            </w:pPr>
            <w:r>
              <w:t>(I)</w:t>
            </w:r>
            <w:r>
              <w:tab/>
              <w:t>fee for examination of plans:</w:t>
            </w:r>
          </w:p>
        </w:tc>
        <w:tc>
          <w:tcPr>
            <w:tcW w:w="2445" w:type="dxa"/>
          </w:tcPr>
          <w:p>
            <w:pPr>
              <w:pStyle w:val="yTableNAm"/>
            </w:pPr>
            <w:r>
              <w:t>50% of fee for examination of plans set out in item 1(a)</w:t>
            </w:r>
          </w:p>
        </w:tc>
      </w:tr>
      <w:tr>
        <w:trPr>
          <w:cantSplit/>
        </w:trPr>
        <w:tc>
          <w:tcPr>
            <w:tcW w:w="708" w:type="dxa"/>
          </w:tcPr>
          <w:p>
            <w:pPr>
              <w:pStyle w:val="yTableNAm"/>
            </w:pPr>
          </w:p>
        </w:tc>
        <w:tc>
          <w:tcPr>
            <w:tcW w:w="2127" w:type="dxa"/>
          </w:tcPr>
          <w:p>
            <w:pPr>
              <w:pStyle w:val="yTableNAm"/>
              <w:tabs>
                <w:tab w:val="clear" w:pos="567"/>
                <w:tab w:val="left" w:pos="499"/>
              </w:tabs>
              <w:ind w:left="499" w:hanging="499"/>
            </w:pPr>
            <w:r>
              <w:t>(II)</w:t>
            </w:r>
            <w:r>
              <w:tab/>
              <w:t>fee for initial survey:</w:t>
            </w:r>
          </w:p>
        </w:tc>
        <w:tc>
          <w:tcPr>
            <w:tcW w:w="2445" w:type="dxa"/>
          </w:tcPr>
          <w:p>
            <w:pPr>
              <w:pStyle w:val="yTableNAm"/>
            </w:pPr>
            <w:r>
              <w:t>150% of fee for subsequent survey set out in item 1(a)</w:t>
            </w:r>
          </w:p>
        </w:tc>
      </w:tr>
      <w:tr>
        <w:trPr>
          <w:cantSplit/>
        </w:trPr>
        <w:tc>
          <w:tcPr>
            <w:tcW w:w="708" w:type="dxa"/>
          </w:tcPr>
          <w:p>
            <w:pPr>
              <w:pStyle w:val="yTableNAm"/>
            </w:pPr>
            <w:r>
              <w:t>(J)</w:t>
            </w:r>
          </w:p>
        </w:tc>
        <w:tc>
          <w:tcPr>
            <w:tcW w:w="2127" w:type="dxa"/>
          </w:tcPr>
          <w:p>
            <w:pPr>
              <w:pStyle w:val="yTableNAm"/>
            </w:pPr>
            <w:r>
              <w:t>If vessel not fitted with deck structure or machinery:</w:t>
            </w:r>
          </w:p>
        </w:tc>
        <w:tc>
          <w:tcPr>
            <w:tcW w:w="2445" w:type="dxa"/>
          </w:tcPr>
          <w:p>
            <w:pPr>
              <w:pStyle w:val="yTableNAm"/>
            </w:pPr>
            <w:r>
              <w:t>50% of fees set out in item 1(a) may apply</w:t>
            </w:r>
          </w:p>
        </w:tc>
      </w:tr>
    </w:tbl>
    <w:p>
      <w:pPr>
        <w:pStyle w:val="NotesPerm"/>
      </w:pPr>
      <w:r>
        <w:t>Note:   Hourly fees are charged per hour or part thereof.</w:t>
      </w:r>
    </w:p>
    <w:p>
      <w:pPr>
        <w:pStyle w:val="yFootnotesection"/>
      </w:pPr>
      <w:r>
        <w:tab/>
        <w:t>[Clause 1 inserted in Gazette 25 Jun 2004 p. 2251; amended in Gazette 24 Jun 2005 p. 2785</w:t>
      </w:r>
      <w:r>
        <w:noBreakHyphen/>
        <w:t>6; 23 Jun 2006 p. 2215</w:t>
      </w:r>
      <w:r>
        <w:noBreakHyphen/>
        <w:t>16; 22 Jun 2007 p. 2853</w:t>
      </w:r>
      <w:r>
        <w:noBreakHyphen/>
        <w:t>5; 24 Jun 2008 p. 2899</w:t>
      </w:r>
      <w:r>
        <w:noBreakHyphen/>
        <w:t>900; 24 Oct 2008 p. 4680; 12 Jun 2009 p. 2122</w:t>
      </w:r>
      <w:r>
        <w:noBreakHyphen/>
        <w:t>3; 18 Jun 2010 p. 2685-6; 20 May 2011 p. 1853.]</w:t>
      </w:r>
    </w:p>
    <w:p>
      <w:pPr>
        <w:pStyle w:val="yHeading5"/>
      </w:pPr>
      <w:bookmarkStart w:id="302" w:name="_Toc293650220"/>
      <w:bookmarkStart w:id="303" w:name="_Toc107747037"/>
      <w:r>
        <w:rPr>
          <w:rStyle w:val="CharSClsNo"/>
        </w:rPr>
        <w:t>2</w:t>
      </w:r>
      <w:r>
        <w:t>.</w:t>
      </w:r>
      <w:r>
        <w:rPr>
          <w:b w:val="0"/>
        </w:rPr>
        <w:tab/>
      </w:r>
      <w:r>
        <w:t>Other fees and charges</w:t>
      </w:r>
      <w:bookmarkEnd w:id="302"/>
    </w:p>
    <w:p>
      <w:pPr>
        <w:pStyle w:val="ySubsection"/>
      </w:pPr>
      <w:r>
        <w:tab/>
      </w:r>
      <w:r>
        <w:tab/>
        <w:t>The fees set out in the Table are payable in relation to the matters set out in the Table.</w:t>
      </w:r>
    </w:p>
    <w:p>
      <w:pPr>
        <w:pStyle w:val="yTHeadingNAm"/>
      </w:pPr>
      <w:r>
        <w:t>Table of fees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553"/>
        <w:gridCol w:w="1651"/>
      </w:tblGrid>
      <w:tr>
        <w:tc>
          <w:tcPr>
            <w:tcW w:w="709" w:type="dxa"/>
          </w:tcPr>
          <w:p>
            <w:pPr>
              <w:pStyle w:val="yTableNAm"/>
            </w:pPr>
            <w:r>
              <w:t>1.</w:t>
            </w:r>
          </w:p>
        </w:tc>
        <w:tc>
          <w:tcPr>
            <w:tcW w:w="4553" w:type="dxa"/>
          </w:tcPr>
          <w:p>
            <w:pPr>
              <w:pStyle w:val="yTableNAm"/>
              <w:tabs>
                <w:tab w:val="left" w:leader="dot" w:pos="4536"/>
                <w:tab w:val="left" w:leader="dot" w:pos="4820"/>
              </w:tabs>
            </w:pPr>
            <w:r>
              <w:t xml:space="preserve">Issue of certificate of survey where Department accepts a certificate of survey issued by another marine authority </w:t>
            </w:r>
            <w:r>
              <w:tab/>
            </w:r>
          </w:p>
        </w:tc>
        <w:tc>
          <w:tcPr>
            <w:tcW w:w="1651" w:type="dxa"/>
          </w:tcPr>
          <w:p>
            <w:pPr>
              <w:pStyle w:val="yTableNAm"/>
            </w:pPr>
            <w:r>
              <w:br/>
            </w:r>
            <w:r>
              <w:br/>
              <w:t>$138.70</w:t>
            </w:r>
          </w:p>
        </w:tc>
      </w:tr>
      <w:tr>
        <w:tc>
          <w:tcPr>
            <w:tcW w:w="709" w:type="dxa"/>
          </w:tcPr>
          <w:p>
            <w:pPr>
              <w:pStyle w:val="yTableNAm"/>
            </w:pPr>
            <w:r>
              <w:t>2.</w:t>
            </w:r>
          </w:p>
        </w:tc>
        <w:tc>
          <w:tcPr>
            <w:tcW w:w="4553" w:type="dxa"/>
          </w:tcPr>
          <w:p>
            <w:pPr>
              <w:pStyle w:val="yTableNAm"/>
              <w:tabs>
                <w:tab w:val="left" w:leader="dot" w:pos="4536"/>
                <w:tab w:val="left" w:leader="dot" w:pos="4820"/>
              </w:tabs>
            </w:pPr>
            <w:r>
              <w:t xml:space="preserve">Extension of period of validity of certificate of survey </w:t>
            </w:r>
            <w:r>
              <w:tab/>
            </w:r>
          </w:p>
        </w:tc>
        <w:tc>
          <w:tcPr>
            <w:tcW w:w="1651" w:type="dxa"/>
          </w:tcPr>
          <w:p>
            <w:pPr>
              <w:pStyle w:val="yTableNAm"/>
            </w:pPr>
            <w:r>
              <w:br/>
              <w:t>$138.70</w:t>
            </w:r>
          </w:p>
        </w:tc>
      </w:tr>
      <w:tr>
        <w:tc>
          <w:tcPr>
            <w:tcW w:w="709" w:type="dxa"/>
          </w:tcPr>
          <w:p>
            <w:pPr>
              <w:pStyle w:val="yTableNAm"/>
            </w:pPr>
            <w:r>
              <w:t>3.</w:t>
            </w:r>
          </w:p>
        </w:tc>
        <w:tc>
          <w:tcPr>
            <w:tcW w:w="4553" w:type="dxa"/>
            <w:tcBorders>
              <w:bottom w:val="single" w:sz="4" w:space="0" w:color="auto"/>
            </w:tcBorders>
          </w:tcPr>
          <w:p>
            <w:pPr>
              <w:pStyle w:val="yTableNAm"/>
              <w:tabs>
                <w:tab w:val="left" w:leader="dot" w:pos="4536"/>
                <w:tab w:val="left" w:leader="dot" w:pos="4820"/>
              </w:tabs>
            </w:pPr>
            <w:r>
              <w:t xml:space="preserve">Issue of replacement or copy of certificate of survey </w:t>
            </w:r>
            <w:r>
              <w:tab/>
            </w:r>
          </w:p>
        </w:tc>
        <w:tc>
          <w:tcPr>
            <w:tcW w:w="1651" w:type="dxa"/>
            <w:tcBorders>
              <w:bottom w:val="single" w:sz="4" w:space="0" w:color="auto"/>
            </w:tcBorders>
          </w:tcPr>
          <w:p>
            <w:pPr>
              <w:pStyle w:val="yTableNAm"/>
            </w:pPr>
            <w:r>
              <w:br/>
              <w:t>$138.70</w:t>
            </w:r>
          </w:p>
        </w:tc>
      </w:tr>
      <w:tr>
        <w:trPr>
          <w:cantSplit/>
        </w:trPr>
        <w:tc>
          <w:tcPr>
            <w:tcW w:w="709" w:type="dxa"/>
            <w:vMerge w:val="restart"/>
          </w:tcPr>
          <w:p>
            <w:pPr>
              <w:pStyle w:val="yTableNAm"/>
            </w:pPr>
            <w:r>
              <w:t>4.</w:t>
            </w:r>
          </w:p>
        </w:tc>
        <w:tc>
          <w:tcPr>
            <w:tcW w:w="4553" w:type="dxa"/>
            <w:tcBorders>
              <w:bottom w:val="nil"/>
            </w:tcBorders>
          </w:tcPr>
          <w:p>
            <w:pPr>
              <w:pStyle w:val="yTableNAm"/>
            </w:pPr>
            <w:r>
              <w:t>Pressure vessel</w:t>
            </w:r>
          </w:p>
        </w:tc>
        <w:tc>
          <w:tcPr>
            <w:tcW w:w="1651" w:type="dxa"/>
            <w:tcBorders>
              <w:bottom w:val="nil"/>
            </w:tcBorders>
          </w:tcPr>
          <w:p>
            <w:pPr>
              <w:pStyle w:val="yTableNAm"/>
            </w:pPr>
          </w:p>
        </w:tc>
      </w:tr>
      <w:tr>
        <w:trPr>
          <w:cantSplit/>
        </w:trPr>
        <w:tc>
          <w:tcPr>
            <w:tcW w:w="709" w:type="dxa"/>
            <w:vMerge/>
          </w:tcPr>
          <w:p>
            <w:pPr>
              <w:pStyle w:val="yTableNAm"/>
            </w:pPr>
          </w:p>
        </w:tc>
        <w:tc>
          <w:tcPr>
            <w:tcW w:w="4553" w:type="dxa"/>
            <w:tcBorders>
              <w:top w:val="nil"/>
              <w:bottom w:val="nil"/>
            </w:tcBorders>
          </w:tcPr>
          <w:p>
            <w:pPr>
              <w:pStyle w:val="yTableNAm"/>
              <w:tabs>
                <w:tab w:val="left" w:leader="dot" w:pos="4536"/>
                <w:tab w:val="left" w:leader="dot" w:pos="4820"/>
              </w:tabs>
            </w:pPr>
            <w:r>
              <w:t>(a)</w:t>
            </w:r>
            <w:r>
              <w:tab/>
              <w:t>examination of plans *</w:t>
            </w:r>
            <w:r>
              <w:rPr>
                <w:rFonts w:ascii="Arial" w:hAnsi="Arial"/>
                <w:sz w:val="18"/>
              </w:rPr>
              <w:t>[see note 1]</w:t>
            </w:r>
            <w:r>
              <w:t xml:space="preserve"> </w:t>
            </w:r>
            <w:r>
              <w:tab/>
            </w:r>
          </w:p>
        </w:tc>
        <w:tc>
          <w:tcPr>
            <w:tcW w:w="1651" w:type="dxa"/>
            <w:tcBorders>
              <w:top w:val="nil"/>
              <w:bottom w:val="nil"/>
            </w:tcBorders>
          </w:tcPr>
          <w:p>
            <w:pPr>
              <w:pStyle w:val="yTableNAm"/>
            </w:pPr>
            <w:r>
              <w:t>$190.00/hour</w:t>
            </w:r>
          </w:p>
        </w:tc>
      </w:tr>
      <w:tr>
        <w:trPr>
          <w:cantSplit/>
        </w:trPr>
        <w:tc>
          <w:tcPr>
            <w:tcW w:w="709" w:type="dxa"/>
            <w:vMerge/>
          </w:tcPr>
          <w:p>
            <w:pPr>
              <w:pStyle w:val="yTableNAm"/>
            </w:pPr>
          </w:p>
        </w:tc>
        <w:tc>
          <w:tcPr>
            <w:tcW w:w="4553" w:type="dxa"/>
            <w:tcBorders>
              <w:top w:val="nil"/>
              <w:bottom w:val="single" w:sz="4" w:space="0" w:color="auto"/>
            </w:tcBorders>
          </w:tcPr>
          <w:p>
            <w:pPr>
              <w:pStyle w:val="yTableNAm"/>
              <w:tabs>
                <w:tab w:val="left" w:leader="dot" w:pos="4536"/>
                <w:tab w:val="left" w:leader="dot" w:pos="4820"/>
              </w:tabs>
            </w:pPr>
            <w:r>
              <w:t>(b)</w:t>
            </w:r>
            <w:r>
              <w:tab/>
              <w:t xml:space="preserve">initial survey and test </w:t>
            </w:r>
            <w:r>
              <w:tab/>
            </w:r>
          </w:p>
        </w:tc>
        <w:tc>
          <w:tcPr>
            <w:tcW w:w="1651" w:type="dxa"/>
            <w:tcBorders>
              <w:top w:val="nil"/>
              <w:bottom w:val="single" w:sz="4" w:space="0" w:color="auto"/>
            </w:tcBorders>
          </w:tcPr>
          <w:p>
            <w:pPr>
              <w:pStyle w:val="yTableNAm"/>
            </w:pPr>
            <w:r>
              <w:t>$190.00/hour</w:t>
            </w:r>
          </w:p>
        </w:tc>
      </w:tr>
      <w:tr>
        <w:trPr>
          <w:cantSplit/>
        </w:trPr>
        <w:tc>
          <w:tcPr>
            <w:tcW w:w="709" w:type="dxa"/>
            <w:vMerge w:val="restart"/>
          </w:tcPr>
          <w:p>
            <w:pPr>
              <w:pStyle w:val="yTableNAm"/>
            </w:pPr>
            <w:r>
              <w:t>5.</w:t>
            </w:r>
          </w:p>
        </w:tc>
        <w:tc>
          <w:tcPr>
            <w:tcW w:w="4553" w:type="dxa"/>
            <w:tcBorders>
              <w:bottom w:val="nil"/>
            </w:tcBorders>
          </w:tcPr>
          <w:p>
            <w:pPr>
              <w:pStyle w:val="yTableNAm"/>
            </w:pPr>
            <w:r>
              <w:t>Crane installation on a vessel</w:t>
            </w:r>
          </w:p>
        </w:tc>
        <w:tc>
          <w:tcPr>
            <w:tcW w:w="1651" w:type="dxa"/>
            <w:tcBorders>
              <w:bottom w:val="nil"/>
            </w:tcBorders>
          </w:tcPr>
          <w:p>
            <w:pPr>
              <w:pStyle w:val="yTableNAm"/>
            </w:pPr>
          </w:p>
        </w:tc>
      </w:tr>
      <w:tr>
        <w:trPr>
          <w:cantSplit/>
        </w:trPr>
        <w:tc>
          <w:tcPr>
            <w:tcW w:w="709" w:type="dxa"/>
            <w:vMerge/>
          </w:tcPr>
          <w:p>
            <w:pPr>
              <w:pStyle w:val="yTableNAm"/>
            </w:pPr>
          </w:p>
        </w:tc>
        <w:tc>
          <w:tcPr>
            <w:tcW w:w="4553" w:type="dxa"/>
            <w:tcBorders>
              <w:top w:val="nil"/>
              <w:bottom w:val="nil"/>
            </w:tcBorders>
          </w:tcPr>
          <w:p>
            <w:pPr>
              <w:pStyle w:val="yTableNAm"/>
              <w:tabs>
                <w:tab w:val="left" w:leader="dot" w:pos="4536"/>
                <w:tab w:val="left" w:leader="dot" w:pos="4820"/>
              </w:tabs>
            </w:pPr>
            <w:r>
              <w:t>(a)</w:t>
            </w:r>
            <w:r>
              <w:tab/>
              <w:t>examination of plans *</w:t>
            </w:r>
            <w:r>
              <w:rPr>
                <w:rFonts w:ascii="Arial" w:hAnsi="Arial"/>
                <w:sz w:val="18"/>
              </w:rPr>
              <w:t xml:space="preserve">[see note 1] </w:t>
            </w:r>
            <w:r>
              <w:tab/>
            </w:r>
          </w:p>
        </w:tc>
        <w:tc>
          <w:tcPr>
            <w:tcW w:w="1651" w:type="dxa"/>
            <w:tcBorders>
              <w:top w:val="nil"/>
              <w:bottom w:val="nil"/>
            </w:tcBorders>
          </w:tcPr>
          <w:p>
            <w:pPr>
              <w:pStyle w:val="yTableNAm"/>
            </w:pPr>
            <w:r>
              <w:t>$190.00/hour</w:t>
            </w:r>
          </w:p>
        </w:tc>
      </w:tr>
      <w:tr>
        <w:trPr>
          <w:cantSplit/>
        </w:trPr>
        <w:tc>
          <w:tcPr>
            <w:tcW w:w="709" w:type="dxa"/>
            <w:vMerge/>
          </w:tcPr>
          <w:p>
            <w:pPr>
              <w:pStyle w:val="yTableNAm"/>
            </w:pPr>
          </w:p>
        </w:tc>
        <w:tc>
          <w:tcPr>
            <w:tcW w:w="4553" w:type="dxa"/>
            <w:tcBorders>
              <w:top w:val="nil"/>
              <w:bottom w:val="single" w:sz="4" w:space="0" w:color="auto"/>
            </w:tcBorders>
          </w:tcPr>
          <w:p>
            <w:pPr>
              <w:pStyle w:val="yTableNAm"/>
              <w:tabs>
                <w:tab w:val="left" w:leader="dot" w:pos="4536"/>
                <w:tab w:val="left" w:leader="dot" w:pos="4820"/>
              </w:tabs>
            </w:pPr>
            <w:r>
              <w:t>(b)</w:t>
            </w:r>
            <w:r>
              <w:tab/>
              <w:t xml:space="preserve">survey and test </w:t>
            </w:r>
            <w:r>
              <w:tab/>
            </w:r>
          </w:p>
        </w:tc>
        <w:tc>
          <w:tcPr>
            <w:tcW w:w="1651" w:type="dxa"/>
            <w:tcBorders>
              <w:top w:val="nil"/>
              <w:bottom w:val="single" w:sz="4" w:space="0" w:color="auto"/>
            </w:tcBorders>
          </w:tcPr>
          <w:p>
            <w:pPr>
              <w:pStyle w:val="yTableNAm"/>
            </w:pPr>
            <w:r>
              <w:t>$190.00/hour</w:t>
            </w:r>
          </w:p>
        </w:tc>
      </w:tr>
      <w:tr>
        <w:trPr>
          <w:cantSplit/>
        </w:trPr>
        <w:tc>
          <w:tcPr>
            <w:tcW w:w="709" w:type="dxa"/>
            <w:vMerge w:val="restart"/>
          </w:tcPr>
          <w:p>
            <w:pPr>
              <w:pStyle w:val="yTableNAm"/>
            </w:pPr>
            <w:r>
              <w:t>6.</w:t>
            </w:r>
          </w:p>
        </w:tc>
        <w:tc>
          <w:tcPr>
            <w:tcW w:w="4553" w:type="dxa"/>
            <w:tcBorders>
              <w:bottom w:val="nil"/>
            </w:tcBorders>
          </w:tcPr>
          <w:p>
            <w:pPr>
              <w:pStyle w:val="yTableNAm"/>
            </w:pPr>
            <w:r>
              <w:t>Towage permit</w:t>
            </w:r>
          </w:p>
        </w:tc>
        <w:tc>
          <w:tcPr>
            <w:tcW w:w="1651" w:type="dxa"/>
            <w:tcBorders>
              <w:bottom w:val="nil"/>
            </w:tcBorders>
          </w:tcPr>
          <w:p>
            <w:pPr>
              <w:pStyle w:val="yTableNAm"/>
            </w:pPr>
          </w:p>
        </w:tc>
      </w:tr>
      <w:tr>
        <w:trPr>
          <w:cantSplit/>
        </w:trPr>
        <w:tc>
          <w:tcPr>
            <w:tcW w:w="709" w:type="dxa"/>
            <w:vMerge/>
          </w:tcPr>
          <w:p>
            <w:pPr>
              <w:pStyle w:val="yTableNAm"/>
            </w:pPr>
          </w:p>
        </w:tc>
        <w:tc>
          <w:tcPr>
            <w:tcW w:w="4553" w:type="dxa"/>
            <w:tcBorders>
              <w:top w:val="nil"/>
              <w:bottom w:val="nil"/>
            </w:tcBorders>
          </w:tcPr>
          <w:p>
            <w:pPr>
              <w:pStyle w:val="yTableNAm"/>
              <w:tabs>
                <w:tab w:val="left" w:leader="dot" w:pos="4536"/>
                <w:tab w:val="left" w:leader="dot" w:pos="4820"/>
              </w:tabs>
              <w:ind w:left="567" w:hanging="567"/>
            </w:pPr>
            <w:r>
              <w:t>(a)</w:t>
            </w:r>
            <w:r>
              <w:tab/>
              <w:t xml:space="preserve">inspection of towage arrangement before issue of permit </w:t>
            </w:r>
            <w:r>
              <w:tab/>
            </w:r>
          </w:p>
        </w:tc>
        <w:tc>
          <w:tcPr>
            <w:tcW w:w="1651" w:type="dxa"/>
            <w:tcBorders>
              <w:top w:val="nil"/>
              <w:bottom w:val="nil"/>
            </w:tcBorders>
          </w:tcPr>
          <w:p>
            <w:pPr>
              <w:pStyle w:val="yTableNAm"/>
            </w:pPr>
            <w:r>
              <w:br/>
              <w:t>$116.10/hour plus</w:t>
            </w:r>
            <w:r>
              <w:rPr>
                <w:szCs w:val="22"/>
              </w:rPr>
              <w:t xml:space="preserve"> reasonable travel and accommodation costs and expenses incurred</w:t>
            </w:r>
          </w:p>
        </w:tc>
      </w:tr>
      <w:tr>
        <w:trPr>
          <w:cantSplit/>
        </w:trPr>
        <w:tc>
          <w:tcPr>
            <w:tcW w:w="709" w:type="dxa"/>
            <w:vMerge/>
          </w:tcPr>
          <w:p>
            <w:pPr>
              <w:pStyle w:val="yTableNAm"/>
            </w:pPr>
          </w:p>
        </w:tc>
        <w:tc>
          <w:tcPr>
            <w:tcW w:w="4553" w:type="dxa"/>
            <w:tcBorders>
              <w:top w:val="nil"/>
              <w:bottom w:val="single" w:sz="4" w:space="0" w:color="auto"/>
            </w:tcBorders>
          </w:tcPr>
          <w:p>
            <w:pPr>
              <w:pStyle w:val="yTableNAm"/>
              <w:tabs>
                <w:tab w:val="left" w:leader="dot" w:pos="4536"/>
                <w:tab w:val="left" w:leader="dot" w:pos="4820"/>
              </w:tabs>
            </w:pPr>
            <w:r>
              <w:t>(b)</w:t>
            </w:r>
            <w:r>
              <w:tab/>
              <w:t xml:space="preserve">issue of permit </w:t>
            </w:r>
            <w:r>
              <w:tab/>
            </w:r>
          </w:p>
        </w:tc>
        <w:tc>
          <w:tcPr>
            <w:tcW w:w="1651" w:type="dxa"/>
            <w:tcBorders>
              <w:top w:val="nil"/>
              <w:bottom w:val="single" w:sz="4" w:space="0" w:color="auto"/>
            </w:tcBorders>
          </w:tcPr>
          <w:p>
            <w:pPr>
              <w:pStyle w:val="yTableNAm"/>
            </w:pPr>
            <w:r>
              <w:t>$138.70</w:t>
            </w:r>
          </w:p>
        </w:tc>
      </w:tr>
      <w:tr>
        <w:trPr>
          <w:cantSplit/>
        </w:trPr>
        <w:tc>
          <w:tcPr>
            <w:tcW w:w="709" w:type="dxa"/>
            <w:vMerge w:val="restart"/>
          </w:tcPr>
          <w:p>
            <w:pPr>
              <w:pStyle w:val="yTableNAm"/>
            </w:pPr>
            <w:r>
              <w:t>7.</w:t>
            </w:r>
          </w:p>
        </w:tc>
        <w:tc>
          <w:tcPr>
            <w:tcW w:w="4553" w:type="dxa"/>
            <w:tcBorders>
              <w:bottom w:val="nil"/>
            </w:tcBorders>
          </w:tcPr>
          <w:p>
            <w:pPr>
              <w:pStyle w:val="yTableNAm"/>
            </w:pPr>
            <w:r>
              <w:t>Permit to operate</w:t>
            </w:r>
          </w:p>
        </w:tc>
        <w:tc>
          <w:tcPr>
            <w:tcW w:w="1651" w:type="dxa"/>
            <w:tcBorders>
              <w:bottom w:val="nil"/>
            </w:tcBorders>
          </w:tcPr>
          <w:p>
            <w:pPr>
              <w:pStyle w:val="yTableNAm"/>
            </w:pPr>
          </w:p>
        </w:tc>
      </w:tr>
      <w:tr>
        <w:trPr>
          <w:cantSplit/>
        </w:trPr>
        <w:tc>
          <w:tcPr>
            <w:tcW w:w="709" w:type="dxa"/>
            <w:vMerge/>
          </w:tcPr>
          <w:p>
            <w:pPr>
              <w:pStyle w:val="yTableNAm"/>
            </w:pPr>
          </w:p>
        </w:tc>
        <w:tc>
          <w:tcPr>
            <w:tcW w:w="4553" w:type="dxa"/>
            <w:tcBorders>
              <w:top w:val="nil"/>
              <w:bottom w:val="nil"/>
            </w:tcBorders>
          </w:tcPr>
          <w:p>
            <w:pPr>
              <w:pStyle w:val="yTableNAm"/>
              <w:tabs>
                <w:tab w:val="left" w:leader="dot" w:pos="4536"/>
                <w:tab w:val="left" w:leader="dot" w:pos="4820"/>
              </w:tabs>
            </w:pPr>
            <w:r>
              <w:t>(a)</w:t>
            </w:r>
            <w:r>
              <w:tab/>
              <w:t xml:space="preserve">inspection before issue of permit </w:t>
            </w:r>
            <w:r>
              <w:tab/>
            </w:r>
          </w:p>
        </w:tc>
        <w:tc>
          <w:tcPr>
            <w:tcW w:w="1651" w:type="dxa"/>
            <w:tcBorders>
              <w:top w:val="nil"/>
              <w:bottom w:val="nil"/>
            </w:tcBorders>
          </w:tcPr>
          <w:p>
            <w:pPr>
              <w:pStyle w:val="yTableNAm"/>
            </w:pPr>
            <w:r>
              <w:t>$116.10/hour plus</w:t>
            </w:r>
            <w:r>
              <w:rPr>
                <w:szCs w:val="22"/>
              </w:rPr>
              <w:t xml:space="preserve"> reasonable travel and accommodation costs and expenses incurred</w:t>
            </w:r>
          </w:p>
        </w:tc>
      </w:tr>
      <w:tr>
        <w:trPr>
          <w:cantSplit/>
        </w:trPr>
        <w:tc>
          <w:tcPr>
            <w:tcW w:w="709" w:type="dxa"/>
            <w:vMerge/>
          </w:tcPr>
          <w:p>
            <w:pPr>
              <w:pStyle w:val="yTableNAm"/>
            </w:pPr>
          </w:p>
        </w:tc>
        <w:tc>
          <w:tcPr>
            <w:tcW w:w="4553" w:type="dxa"/>
            <w:tcBorders>
              <w:top w:val="nil"/>
              <w:bottom w:val="single" w:sz="4" w:space="0" w:color="auto"/>
            </w:tcBorders>
          </w:tcPr>
          <w:p>
            <w:pPr>
              <w:pStyle w:val="yTableNAm"/>
              <w:tabs>
                <w:tab w:val="left" w:leader="dot" w:pos="4536"/>
                <w:tab w:val="left" w:leader="dot" w:pos="4820"/>
              </w:tabs>
            </w:pPr>
            <w:r>
              <w:t>(b)</w:t>
            </w:r>
            <w:r>
              <w:tab/>
              <w:t xml:space="preserve">issue of permit </w:t>
            </w:r>
            <w:r>
              <w:tab/>
            </w:r>
          </w:p>
        </w:tc>
        <w:tc>
          <w:tcPr>
            <w:tcW w:w="1651" w:type="dxa"/>
            <w:tcBorders>
              <w:top w:val="nil"/>
              <w:bottom w:val="single" w:sz="4" w:space="0" w:color="auto"/>
            </w:tcBorders>
          </w:tcPr>
          <w:p>
            <w:pPr>
              <w:pStyle w:val="yTableNAm"/>
            </w:pPr>
            <w:r>
              <w:t>$138.70</w:t>
            </w:r>
          </w:p>
        </w:tc>
      </w:tr>
      <w:tr>
        <w:trPr>
          <w:cantSplit/>
        </w:trPr>
        <w:tc>
          <w:tcPr>
            <w:tcW w:w="709" w:type="dxa"/>
            <w:vMerge w:val="restart"/>
          </w:tcPr>
          <w:p>
            <w:pPr>
              <w:pStyle w:val="yTableNAm"/>
            </w:pPr>
            <w:r>
              <w:t>8.</w:t>
            </w:r>
          </w:p>
        </w:tc>
        <w:tc>
          <w:tcPr>
            <w:tcW w:w="4553" w:type="dxa"/>
            <w:tcBorders>
              <w:bottom w:val="nil"/>
            </w:tcBorders>
          </w:tcPr>
          <w:p>
            <w:pPr>
              <w:pStyle w:val="yTableNAm"/>
            </w:pPr>
            <w:r>
              <w:t>Permit to trial</w:t>
            </w:r>
          </w:p>
        </w:tc>
        <w:tc>
          <w:tcPr>
            <w:tcW w:w="1651" w:type="dxa"/>
            <w:tcBorders>
              <w:bottom w:val="nil"/>
            </w:tcBorders>
          </w:tcPr>
          <w:p>
            <w:pPr>
              <w:pStyle w:val="yTableNAm"/>
            </w:pPr>
          </w:p>
        </w:tc>
      </w:tr>
      <w:tr>
        <w:trPr>
          <w:cantSplit/>
        </w:trPr>
        <w:tc>
          <w:tcPr>
            <w:tcW w:w="709" w:type="dxa"/>
            <w:vMerge/>
          </w:tcPr>
          <w:p>
            <w:pPr>
              <w:pStyle w:val="yTableNAm"/>
            </w:pPr>
          </w:p>
        </w:tc>
        <w:tc>
          <w:tcPr>
            <w:tcW w:w="4553" w:type="dxa"/>
            <w:tcBorders>
              <w:top w:val="nil"/>
              <w:bottom w:val="nil"/>
            </w:tcBorders>
          </w:tcPr>
          <w:p>
            <w:pPr>
              <w:pStyle w:val="yTableNAm"/>
              <w:tabs>
                <w:tab w:val="left" w:leader="dot" w:pos="4536"/>
                <w:tab w:val="left" w:leader="dot" w:pos="4820"/>
              </w:tabs>
            </w:pPr>
            <w:r>
              <w:t>(a)</w:t>
            </w:r>
            <w:r>
              <w:tab/>
              <w:t xml:space="preserve">inspection before issue of permit </w:t>
            </w:r>
            <w:r>
              <w:tab/>
            </w:r>
          </w:p>
        </w:tc>
        <w:tc>
          <w:tcPr>
            <w:tcW w:w="1651" w:type="dxa"/>
            <w:tcBorders>
              <w:top w:val="nil"/>
              <w:bottom w:val="nil"/>
            </w:tcBorders>
          </w:tcPr>
          <w:p>
            <w:pPr>
              <w:pStyle w:val="yTableNAm"/>
            </w:pPr>
            <w:r>
              <w:t>$116.10/hour plus</w:t>
            </w:r>
            <w:r>
              <w:rPr>
                <w:szCs w:val="22"/>
              </w:rPr>
              <w:t xml:space="preserve"> reasonable travel and accommodation costs and expenses incurred</w:t>
            </w:r>
          </w:p>
        </w:tc>
      </w:tr>
      <w:tr>
        <w:trPr>
          <w:cantSplit/>
        </w:trPr>
        <w:tc>
          <w:tcPr>
            <w:tcW w:w="709" w:type="dxa"/>
            <w:vMerge/>
            <w:tcBorders>
              <w:bottom w:val="single" w:sz="4" w:space="0" w:color="auto"/>
            </w:tcBorders>
          </w:tcPr>
          <w:p>
            <w:pPr>
              <w:pStyle w:val="yTableNAm"/>
            </w:pPr>
          </w:p>
        </w:tc>
        <w:tc>
          <w:tcPr>
            <w:tcW w:w="4553" w:type="dxa"/>
            <w:tcBorders>
              <w:top w:val="nil"/>
              <w:bottom w:val="single" w:sz="4" w:space="0" w:color="auto"/>
            </w:tcBorders>
          </w:tcPr>
          <w:p>
            <w:pPr>
              <w:pStyle w:val="yTableNAm"/>
              <w:tabs>
                <w:tab w:val="left" w:leader="dot" w:pos="4536"/>
                <w:tab w:val="left" w:leader="dot" w:pos="4820"/>
              </w:tabs>
            </w:pPr>
            <w:r>
              <w:t>(b)</w:t>
            </w:r>
            <w:r>
              <w:tab/>
              <w:t xml:space="preserve">issue of permit </w:t>
            </w:r>
            <w:r>
              <w:tab/>
            </w:r>
          </w:p>
        </w:tc>
        <w:tc>
          <w:tcPr>
            <w:tcW w:w="1651" w:type="dxa"/>
            <w:tcBorders>
              <w:top w:val="nil"/>
              <w:bottom w:val="single" w:sz="4" w:space="0" w:color="auto"/>
            </w:tcBorders>
          </w:tcPr>
          <w:p>
            <w:pPr>
              <w:pStyle w:val="yTableNAm"/>
            </w:pPr>
            <w:r>
              <w:t>$138.70</w:t>
            </w:r>
          </w:p>
        </w:tc>
      </w:tr>
      <w:tr>
        <w:trPr>
          <w:cantSplit/>
        </w:trPr>
        <w:tc>
          <w:tcPr>
            <w:tcW w:w="709" w:type="dxa"/>
            <w:vMerge w:val="restart"/>
          </w:tcPr>
          <w:p>
            <w:pPr>
              <w:pStyle w:val="yTableNAm"/>
            </w:pPr>
            <w:r>
              <w:t>9.</w:t>
            </w:r>
          </w:p>
        </w:tc>
        <w:tc>
          <w:tcPr>
            <w:tcW w:w="4553" w:type="dxa"/>
            <w:tcBorders>
              <w:bottom w:val="nil"/>
            </w:tcBorders>
          </w:tcPr>
          <w:p>
            <w:pPr>
              <w:pStyle w:val="yTableNAm"/>
            </w:pPr>
            <w:r>
              <w:t>Data checking for vessel that is not a List 7 vessel</w:t>
            </w:r>
          </w:p>
        </w:tc>
        <w:tc>
          <w:tcPr>
            <w:tcW w:w="1651" w:type="dxa"/>
            <w:tcBorders>
              <w:bottom w:val="nil"/>
            </w:tcBorders>
          </w:tcPr>
          <w:p>
            <w:pPr>
              <w:pStyle w:val="yTableNAm"/>
            </w:pPr>
          </w:p>
        </w:tc>
      </w:tr>
      <w:tr>
        <w:trPr>
          <w:cantSplit/>
        </w:trPr>
        <w:tc>
          <w:tcPr>
            <w:tcW w:w="709" w:type="dxa"/>
            <w:vMerge/>
          </w:tcPr>
          <w:p>
            <w:pPr>
              <w:pStyle w:val="yTableNAm"/>
            </w:pPr>
          </w:p>
        </w:tc>
        <w:tc>
          <w:tcPr>
            <w:tcW w:w="4553" w:type="dxa"/>
            <w:tcBorders>
              <w:top w:val="nil"/>
              <w:bottom w:val="nil"/>
            </w:tcBorders>
          </w:tcPr>
          <w:p>
            <w:pPr>
              <w:pStyle w:val="yTableNAm"/>
              <w:ind w:left="601" w:hanging="601"/>
            </w:pPr>
            <w:r>
              <w:t>(a)</w:t>
            </w:r>
            <w:r>
              <w:tab/>
              <w:t xml:space="preserve">check of Vessel Stability Data categories S, T, C.4, M, C.11, C.12.7.1, C.14.1 </w:t>
            </w:r>
            <w:r>
              <w:br/>
              <w:t>*</w:t>
            </w:r>
            <w:r>
              <w:rPr>
                <w:rFonts w:ascii="Arial" w:hAnsi="Arial"/>
                <w:sz w:val="18"/>
              </w:rPr>
              <w:t>[see notes 1 and 2]</w:t>
            </w:r>
          </w:p>
        </w:tc>
        <w:tc>
          <w:tcPr>
            <w:tcW w:w="1651" w:type="dxa"/>
            <w:tcBorders>
              <w:top w:val="nil"/>
              <w:bottom w:val="nil"/>
            </w:tcBorders>
          </w:tcPr>
          <w:p>
            <w:pPr>
              <w:pStyle w:val="yTableNAm"/>
            </w:pPr>
          </w:p>
        </w:tc>
      </w:tr>
      <w:tr>
        <w:trPr>
          <w:cantSplit/>
        </w:trPr>
        <w:tc>
          <w:tcPr>
            <w:tcW w:w="709" w:type="dxa"/>
            <w:vMerge/>
          </w:tcPr>
          <w:p>
            <w:pPr>
              <w:pStyle w:val="yTableNAm"/>
            </w:pPr>
          </w:p>
        </w:tc>
        <w:tc>
          <w:tcPr>
            <w:tcW w:w="4553" w:type="dxa"/>
            <w:tcBorders>
              <w:top w:val="nil"/>
              <w:bottom w:val="nil"/>
            </w:tcBorders>
          </w:tcPr>
          <w:p>
            <w:pPr>
              <w:pStyle w:val="yTableNAm"/>
              <w:tabs>
                <w:tab w:val="left" w:leader="dot" w:pos="4536"/>
                <w:tab w:val="left" w:leader="dot" w:pos="4820"/>
              </w:tabs>
            </w:pPr>
            <w:r>
              <w:tab/>
              <w:t>(i) for first category or class</w:t>
            </w:r>
            <w:r>
              <w:tab/>
            </w:r>
            <w:r>
              <w:tab/>
              <w:t xml:space="preserve">for first category or class </w:t>
            </w:r>
            <w:r>
              <w:tab/>
            </w:r>
          </w:p>
        </w:tc>
        <w:tc>
          <w:tcPr>
            <w:tcW w:w="1651" w:type="dxa"/>
            <w:tcBorders>
              <w:top w:val="nil"/>
              <w:bottom w:val="nil"/>
            </w:tcBorders>
          </w:tcPr>
          <w:p>
            <w:pPr>
              <w:pStyle w:val="yTableNAm"/>
            </w:pPr>
            <w:r>
              <w:t>$949.30</w:t>
            </w:r>
          </w:p>
        </w:tc>
      </w:tr>
      <w:tr>
        <w:trPr>
          <w:cantSplit/>
        </w:trPr>
        <w:tc>
          <w:tcPr>
            <w:tcW w:w="709" w:type="dxa"/>
            <w:vMerge/>
          </w:tcPr>
          <w:p>
            <w:pPr>
              <w:pStyle w:val="yTableNAm"/>
            </w:pPr>
          </w:p>
        </w:tc>
        <w:tc>
          <w:tcPr>
            <w:tcW w:w="4553" w:type="dxa"/>
            <w:tcBorders>
              <w:top w:val="nil"/>
              <w:bottom w:val="nil"/>
            </w:tcBorders>
          </w:tcPr>
          <w:p>
            <w:pPr>
              <w:pStyle w:val="yTableNAm"/>
              <w:tabs>
                <w:tab w:val="left" w:leader="dot" w:pos="4536"/>
              </w:tabs>
              <w:ind w:left="961" w:hanging="961"/>
            </w:pPr>
            <w:r>
              <w:tab/>
              <w:t>(ii)</w:t>
            </w:r>
            <w:r>
              <w:tab/>
              <w:t>for each additional category or class ....</w:t>
            </w:r>
          </w:p>
        </w:tc>
        <w:tc>
          <w:tcPr>
            <w:tcW w:w="1651" w:type="dxa"/>
            <w:tcBorders>
              <w:top w:val="nil"/>
              <w:bottom w:val="nil"/>
            </w:tcBorders>
          </w:tcPr>
          <w:p>
            <w:pPr>
              <w:pStyle w:val="yTableNAm"/>
            </w:pPr>
            <w:r>
              <w:t>$475.30</w:t>
            </w:r>
          </w:p>
        </w:tc>
      </w:tr>
      <w:tr>
        <w:trPr>
          <w:cantSplit/>
        </w:trPr>
        <w:tc>
          <w:tcPr>
            <w:tcW w:w="709" w:type="dxa"/>
            <w:vMerge/>
          </w:tcPr>
          <w:p>
            <w:pPr>
              <w:pStyle w:val="yTableNAm"/>
            </w:pPr>
          </w:p>
        </w:tc>
        <w:tc>
          <w:tcPr>
            <w:tcW w:w="4553" w:type="dxa"/>
            <w:tcBorders>
              <w:top w:val="nil"/>
              <w:bottom w:val="nil"/>
            </w:tcBorders>
          </w:tcPr>
          <w:p>
            <w:pPr>
              <w:pStyle w:val="yTableNAm"/>
              <w:ind w:left="601" w:hanging="601"/>
            </w:pPr>
            <w:r>
              <w:t>(b)</w:t>
            </w:r>
            <w:r>
              <w:tab/>
              <w:t>check of Vessel Stability Data for remaining categories *</w:t>
            </w:r>
            <w:r>
              <w:rPr>
                <w:rFonts w:ascii="Arial" w:hAnsi="Arial"/>
                <w:sz w:val="18"/>
              </w:rPr>
              <w:t>[see notes 1 and 2]</w:t>
            </w:r>
          </w:p>
        </w:tc>
        <w:tc>
          <w:tcPr>
            <w:tcW w:w="1651" w:type="dxa"/>
            <w:tcBorders>
              <w:top w:val="nil"/>
              <w:bottom w:val="nil"/>
            </w:tcBorders>
          </w:tcPr>
          <w:p>
            <w:pPr>
              <w:pStyle w:val="yTableNAm"/>
            </w:pPr>
          </w:p>
        </w:tc>
      </w:tr>
      <w:tr>
        <w:trPr>
          <w:cantSplit/>
        </w:trPr>
        <w:tc>
          <w:tcPr>
            <w:tcW w:w="709" w:type="dxa"/>
            <w:vMerge/>
          </w:tcPr>
          <w:p>
            <w:pPr>
              <w:pStyle w:val="yTableNAm"/>
            </w:pPr>
          </w:p>
        </w:tc>
        <w:tc>
          <w:tcPr>
            <w:tcW w:w="4553" w:type="dxa"/>
            <w:tcBorders>
              <w:top w:val="nil"/>
              <w:bottom w:val="nil"/>
            </w:tcBorders>
          </w:tcPr>
          <w:p>
            <w:pPr>
              <w:pStyle w:val="yTableNAm"/>
              <w:ind w:left="961" w:hanging="961"/>
            </w:pPr>
            <w:r>
              <w:tab/>
              <w:t>(i)</w:t>
            </w:r>
            <w:r>
              <w:tab/>
              <w:t xml:space="preserve">for first category or class </w:t>
            </w:r>
            <w:r>
              <w:br/>
              <w:t>*</w:t>
            </w:r>
            <w:r>
              <w:rPr>
                <w:rFonts w:ascii="Arial" w:hAnsi="Arial"/>
                <w:sz w:val="18"/>
              </w:rPr>
              <w:t xml:space="preserve">[see note 2] </w:t>
            </w:r>
            <w:r>
              <w:rPr>
                <w:rFonts w:ascii="Arial" w:hAnsi="Arial"/>
                <w:sz w:val="18"/>
              </w:rPr>
              <w:tab/>
              <w:t>..............................................</w:t>
            </w:r>
          </w:p>
        </w:tc>
        <w:tc>
          <w:tcPr>
            <w:tcW w:w="1651" w:type="dxa"/>
            <w:tcBorders>
              <w:top w:val="nil"/>
              <w:bottom w:val="nil"/>
            </w:tcBorders>
          </w:tcPr>
          <w:p>
            <w:pPr>
              <w:pStyle w:val="yTableNAm"/>
            </w:pPr>
            <w:r>
              <w:br/>
              <w:t>$2 850.20</w:t>
            </w:r>
          </w:p>
        </w:tc>
      </w:tr>
      <w:tr>
        <w:trPr>
          <w:cantSplit/>
        </w:trPr>
        <w:tc>
          <w:tcPr>
            <w:tcW w:w="709" w:type="dxa"/>
            <w:vMerge/>
          </w:tcPr>
          <w:p>
            <w:pPr>
              <w:pStyle w:val="yTableNAm"/>
            </w:pPr>
          </w:p>
        </w:tc>
        <w:tc>
          <w:tcPr>
            <w:tcW w:w="4553" w:type="dxa"/>
            <w:tcBorders>
              <w:top w:val="nil"/>
              <w:bottom w:val="nil"/>
            </w:tcBorders>
          </w:tcPr>
          <w:p>
            <w:pPr>
              <w:pStyle w:val="yTableNAm"/>
              <w:ind w:left="961" w:hanging="961"/>
            </w:pPr>
            <w:r>
              <w:tab/>
              <w:t>(ii)</w:t>
            </w:r>
            <w:r>
              <w:tab/>
              <w:t xml:space="preserve">for each additional category or class </w:t>
            </w:r>
            <w:r>
              <w:tab/>
              <w:t>..</w:t>
            </w:r>
          </w:p>
        </w:tc>
        <w:tc>
          <w:tcPr>
            <w:tcW w:w="1651" w:type="dxa"/>
            <w:tcBorders>
              <w:top w:val="nil"/>
              <w:bottom w:val="nil"/>
            </w:tcBorders>
          </w:tcPr>
          <w:p>
            <w:pPr>
              <w:pStyle w:val="yTableNAm"/>
            </w:pPr>
            <w:r>
              <w:t>$949.30</w:t>
            </w:r>
          </w:p>
        </w:tc>
      </w:tr>
      <w:tr>
        <w:trPr>
          <w:cantSplit/>
        </w:trPr>
        <w:tc>
          <w:tcPr>
            <w:tcW w:w="709" w:type="dxa"/>
            <w:vMerge/>
          </w:tcPr>
          <w:p>
            <w:pPr>
              <w:pStyle w:val="yTableNAm"/>
            </w:pPr>
          </w:p>
        </w:tc>
        <w:tc>
          <w:tcPr>
            <w:tcW w:w="4553" w:type="dxa"/>
            <w:tcBorders>
              <w:top w:val="nil"/>
              <w:bottom w:val="nil"/>
            </w:tcBorders>
          </w:tcPr>
          <w:p>
            <w:pPr>
              <w:pStyle w:val="yTableNAm"/>
              <w:tabs>
                <w:tab w:val="left" w:leader="dot" w:pos="4536"/>
              </w:tabs>
              <w:ind w:left="961" w:hanging="961"/>
            </w:pPr>
            <w:r>
              <w:tab/>
              <w:t>(iii)</w:t>
            </w:r>
            <w:r>
              <w:tab/>
              <w:t xml:space="preserve">for each additional category S, T, C.4, M, C.11, C.12.7.1, C.14.1 </w:t>
            </w:r>
            <w:r>
              <w:tab/>
            </w:r>
          </w:p>
        </w:tc>
        <w:tc>
          <w:tcPr>
            <w:tcW w:w="1651" w:type="dxa"/>
            <w:tcBorders>
              <w:top w:val="nil"/>
              <w:bottom w:val="nil"/>
            </w:tcBorders>
          </w:tcPr>
          <w:p>
            <w:pPr>
              <w:pStyle w:val="yTableNAm"/>
            </w:pPr>
            <w:r>
              <w:br/>
              <w:t>$475.30</w:t>
            </w:r>
          </w:p>
        </w:tc>
      </w:tr>
      <w:tr>
        <w:trPr>
          <w:cantSplit/>
        </w:trPr>
        <w:tc>
          <w:tcPr>
            <w:tcW w:w="709" w:type="dxa"/>
            <w:vMerge/>
          </w:tcPr>
          <w:p>
            <w:pPr>
              <w:pStyle w:val="yTableNAm"/>
            </w:pPr>
          </w:p>
        </w:tc>
        <w:tc>
          <w:tcPr>
            <w:tcW w:w="4553" w:type="dxa"/>
            <w:tcBorders>
              <w:top w:val="nil"/>
            </w:tcBorders>
          </w:tcPr>
          <w:p>
            <w:pPr>
              <w:pStyle w:val="yTableNAm"/>
              <w:tabs>
                <w:tab w:val="left" w:leader="dot" w:pos="4536"/>
                <w:tab w:val="left" w:leader="dot" w:pos="4820"/>
              </w:tabs>
            </w:pPr>
            <w:r>
              <w:t>(c)</w:t>
            </w:r>
            <w:r>
              <w:tab/>
              <w:t xml:space="preserve">check of lightship data </w:t>
            </w:r>
            <w:r>
              <w:tab/>
            </w:r>
          </w:p>
        </w:tc>
        <w:tc>
          <w:tcPr>
            <w:tcW w:w="1651" w:type="dxa"/>
            <w:tcBorders>
              <w:top w:val="nil"/>
            </w:tcBorders>
          </w:tcPr>
          <w:p>
            <w:pPr>
              <w:pStyle w:val="yTableNAm"/>
            </w:pPr>
            <w:r>
              <w:t>$949.30</w:t>
            </w:r>
          </w:p>
        </w:tc>
      </w:tr>
      <w:tr>
        <w:trPr>
          <w:cantSplit/>
        </w:trPr>
        <w:tc>
          <w:tcPr>
            <w:tcW w:w="709" w:type="dxa"/>
          </w:tcPr>
          <w:p>
            <w:pPr>
              <w:pStyle w:val="yTableNAm"/>
            </w:pPr>
            <w:r>
              <w:t>10A.</w:t>
            </w:r>
          </w:p>
        </w:tc>
        <w:tc>
          <w:tcPr>
            <w:tcW w:w="4553" w:type="dxa"/>
            <w:tcBorders>
              <w:top w:val="nil"/>
            </w:tcBorders>
          </w:tcPr>
          <w:p>
            <w:pPr>
              <w:pStyle w:val="yTableNAm"/>
            </w:pPr>
            <w:r>
              <w:t>Data checking for List 7 vessel</w:t>
            </w:r>
          </w:p>
        </w:tc>
        <w:tc>
          <w:tcPr>
            <w:tcW w:w="1651" w:type="dxa"/>
            <w:tcBorders>
              <w:top w:val="nil"/>
            </w:tcBorders>
          </w:tcPr>
          <w:p>
            <w:pPr>
              <w:pStyle w:val="yTableNAm"/>
            </w:pPr>
          </w:p>
        </w:tc>
      </w:tr>
      <w:tr>
        <w:trPr>
          <w:cantSplit/>
        </w:trPr>
        <w:tc>
          <w:tcPr>
            <w:tcW w:w="709" w:type="dxa"/>
          </w:tcPr>
          <w:p>
            <w:pPr>
              <w:pStyle w:val="yTableNAm"/>
            </w:pPr>
          </w:p>
        </w:tc>
        <w:tc>
          <w:tcPr>
            <w:tcW w:w="4553" w:type="dxa"/>
            <w:tcBorders>
              <w:top w:val="nil"/>
            </w:tcBorders>
          </w:tcPr>
          <w:p>
            <w:pPr>
              <w:pStyle w:val="yTableNAm"/>
              <w:ind w:left="601" w:hanging="601"/>
            </w:pPr>
            <w:r>
              <w:t>(a)</w:t>
            </w:r>
            <w:r>
              <w:tab/>
              <w:t>check of Vessel Stability Data for vessel to which the Chapter 7A, 7B, 7C, 7D, 7E, 7F, 8A, 8B, 8C or 8D criteria (within the meaning of the NSCV Part C Section 6A) apply *</w:t>
            </w:r>
            <w:r>
              <w:rPr>
                <w:rFonts w:ascii="Arial" w:hAnsi="Arial"/>
                <w:sz w:val="18"/>
              </w:rPr>
              <w:t>[see notes 1 and 2]</w:t>
            </w:r>
          </w:p>
        </w:tc>
        <w:tc>
          <w:tcPr>
            <w:tcW w:w="1651" w:type="dxa"/>
            <w:tcBorders>
              <w:top w:val="nil"/>
            </w:tcBorders>
          </w:tcPr>
          <w:p>
            <w:pPr>
              <w:pStyle w:val="yTableNAm"/>
            </w:pPr>
          </w:p>
        </w:tc>
      </w:tr>
      <w:tr>
        <w:trPr>
          <w:cantSplit/>
        </w:trPr>
        <w:tc>
          <w:tcPr>
            <w:tcW w:w="709" w:type="dxa"/>
          </w:tcPr>
          <w:p>
            <w:pPr>
              <w:pStyle w:val="yTableNAm"/>
            </w:pPr>
          </w:p>
        </w:tc>
        <w:tc>
          <w:tcPr>
            <w:tcW w:w="4553" w:type="dxa"/>
            <w:tcBorders>
              <w:top w:val="nil"/>
            </w:tcBorders>
          </w:tcPr>
          <w:p>
            <w:pPr>
              <w:pStyle w:val="yTableNAm"/>
              <w:tabs>
                <w:tab w:val="left" w:leader="dot" w:pos="4536"/>
              </w:tabs>
              <w:ind w:left="961" w:hanging="961"/>
            </w:pPr>
            <w:r>
              <w:tab/>
              <w:t>(i)</w:t>
            </w:r>
            <w:r>
              <w:tab/>
              <w:t xml:space="preserve">for first applicable criteria </w:t>
            </w:r>
            <w:r>
              <w:tab/>
            </w:r>
          </w:p>
        </w:tc>
        <w:tc>
          <w:tcPr>
            <w:tcW w:w="1651" w:type="dxa"/>
            <w:tcBorders>
              <w:top w:val="nil"/>
            </w:tcBorders>
          </w:tcPr>
          <w:p>
            <w:pPr>
              <w:pStyle w:val="yTableNAm"/>
            </w:pPr>
            <w:r>
              <w:t>$949.30</w:t>
            </w:r>
          </w:p>
        </w:tc>
      </w:tr>
      <w:tr>
        <w:trPr>
          <w:cantSplit/>
        </w:trPr>
        <w:tc>
          <w:tcPr>
            <w:tcW w:w="709" w:type="dxa"/>
          </w:tcPr>
          <w:p>
            <w:pPr>
              <w:pStyle w:val="yTableNAm"/>
            </w:pPr>
          </w:p>
        </w:tc>
        <w:tc>
          <w:tcPr>
            <w:tcW w:w="4553" w:type="dxa"/>
            <w:tcBorders>
              <w:top w:val="nil"/>
            </w:tcBorders>
          </w:tcPr>
          <w:p>
            <w:pPr>
              <w:pStyle w:val="yTableNAm"/>
              <w:ind w:left="961" w:hanging="961"/>
            </w:pPr>
            <w:r>
              <w:tab/>
              <w:t>(ii)</w:t>
            </w:r>
            <w:r>
              <w:tab/>
              <w:t>for each additional applicable criteria ..</w:t>
            </w:r>
          </w:p>
        </w:tc>
        <w:tc>
          <w:tcPr>
            <w:tcW w:w="1651" w:type="dxa"/>
            <w:tcBorders>
              <w:top w:val="nil"/>
            </w:tcBorders>
          </w:tcPr>
          <w:p>
            <w:pPr>
              <w:pStyle w:val="yTableNAm"/>
            </w:pPr>
            <w:r>
              <w:t>$475.30</w:t>
            </w:r>
          </w:p>
        </w:tc>
      </w:tr>
      <w:tr>
        <w:trPr>
          <w:cantSplit/>
        </w:trPr>
        <w:tc>
          <w:tcPr>
            <w:tcW w:w="709" w:type="dxa"/>
          </w:tcPr>
          <w:p>
            <w:pPr>
              <w:pStyle w:val="yTableNAm"/>
            </w:pPr>
          </w:p>
        </w:tc>
        <w:tc>
          <w:tcPr>
            <w:tcW w:w="4553" w:type="dxa"/>
            <w:tcBorders>
              <w:top w:val="nil"/>
            </w:tcBorders>
          </w:tcPr>
          <w:p>
            <w:pPr>
              <w:pStyle w:val="yTableNAm"/>
              <w:ind w:left="601" w:hanging="601"/>
            </w:pPr>
            <w:r>
              <w:t>(b)</w:t>
            </w:r>
            <w:r>
              <w:tab/>
              <w:t>check of Vessel Stability Data for any other vessel *</w:t>
            </w:r>
            <w:r>
              <w:rPr>
                <w:rFonts w:ascii="Arial" w:hAnsi="Arial"/>
                <w:sz w:val="18"/>
              </w:rPr>
              <w:t>[see notes 1 and 2]</w:t>
            </w:r>
          </w:p>
        </w:tc>
        <w:tc>
          <w:tcPr>
            <w:tcW w:w="1651" w:type="dxa"/>
            <w:tcBorders>
              <w:top w:val="nil"/>
            </w:tcBorders>
          </w:tcPr>
          <w:p>
            <w:pPr>
              <w:pStyle w:val="yTableNAm"/>
            </w:pPr>
          </w:p>
        </w:tc>
      </w:tr>
      <w:tr>
        <w:trPr>
          <w:cantSplit/>
        </w:trPr>
        <w:tc>
          <w:tcPr>
            <w:tcW w:w="709" w:type="dxa"/>
          </w:tcPr>
          <w:p>
            <w:pPr>
              <w:pStyle w:val="yTableNAm"/>
            </w:pPr>
          </w:p>
        </w:tc>
        <w:tc>
          <w:tcPr>
            <w:tcW w:w="4553" w:type="dxa"/>
            <w:tcBorders>
              <w:top w:val="nil"/>
            </w:tcBorders>
          </w:tcPr>
          <w:p>
            <w:pPr>
              <w:pStyle w:val="yTableNAm"/>
              <w:tabs>
                <w:tab w:val="left" w:leader="dot" w:pos="4536"/>
              </w:tabs>
              <w:ind w:left="961" w:hanging="961"/>
            </w:pPr>
            <w:r>
              <w:tab/>
              <w:t>(i)</w:t>
            </w:r>
            <w:r>
              <w:tab/>
              <w:t xml:space="preserve">for first applicable criteria </w:t>
            </w:r>
            <w:r>
              <w:tab/>
            </w:r>
          </w:p>
        </w:tc>
        <w:tc>
          <w:tcPr>
            <w:tcW w:w="1651" w:type="dxa"/>
            <w:tcBorders>
              <w:top w:val="nil"/>
            </w:tcBorders>
          </w:tcPr>
          <w:p>
            <w:pPr>
              <w:pStyle w:val="yTableNAm"/>
            </w:pPr>
            <w:r>
              <w:t>$2 850.20</w:t>
            </w:r>
          </w:p>
        </w:tc>
      </w:tr>
      <w:tr>
        <w:trPr>
          <w:cantSplit/>
        </w:trPr>
        <w:tc>
          <w:tcPr>
            <w:tcW w:w="709" w:type="dxa"/>
          </w:tcPr>
          <w:p>
            <w:pPr>
              <w:pStyle w:val="yTableNAm"/>
            </w:pPr>
          </w:p>
        </w:tc>
        <w:tc>
          <w:tcPr>
            <w:tcW w:w="4553" w:type="dxa"/>
            <w:tcBorders>
              <w:top w:val="nil"/>
            </w:tcBorders>
          </w:tcPr>
          <w:p>
            <w:pPr>
              <w:pStyle w:val="yTableNAm"/>
              <w:ind w:left="961" w:hanging="961"/>
            </w:pPr>
            <w:r>
              <w:tab/>
              <w:t>(ii)</w:t>
            </w:r>
            <w:r>
              <w:tab/>
              <w:t>for each additional applicable criteria ..</w:t>
            </w:r>
          </w:p>
        </w:tc>
        <w:tc>
          <w:tcPr>
            <w:tcW w:w="1651" w:type="dxa"/>
            <w:tcBorders>
              <w:top w:val="nil"/>
            </w:tcBorders>
          </w:tcPr>
          <w:p>
            <w:pPr>
              <w:pStyle w:val="yTableNAm"/>
            </w:pPr>
            <w:r>
              <w:t>$949.30</w:t>
            </w:r>
          </w:p>
        </w:tc>
      </w:tr>
      <w:tr>
        <w:trPr>
          <w:cantSplit/>
        </w:trPr>
        <w:tc>
          <w:tcPr>
            <w:tcW w:w="709" w:type="dxa"/>
          </w:tcPr>
          <w:p>
            <w:pPr>
              <w:pStyle w:val="yTableNAm"/>
            </w:pPr>
          </w:p>
        </w:tc>
        <w:tc>
          <w:tcPr>
            <w:tcW w:w="4553" w:type="dxa"/>
            <w:tcBorders>
              <w:top w:val="nil"/>
            </w:tcBorders>
          </w:tcPr>
          <w:p>
            <w:pPr>
              <w:pStyle w:val="yTableNAm"/>
              <w:tabs>
                <w:tab w:val="left" w:leader="dot" w:pos="4536"/>
              </w:tabs>
              <w:ind w:left="961" w:hanging="961"/>
            </w:pPr>
            <w:r>
              <w:t>(c)</w:t>
            </w:r>
            <w:r>
              <w:tab/>
              <w:t xml:space="preserve">check of lightship data </w:t>
            </w:r>
            <w:r>
              <w:tab/>
            </w:r>
          </w:p>
        </w:tc>
        <w:tc>
          <w:tcPr>
            <w:tcW w:w="1651" w:type="dxa"/>
            <w:tcBorders>
              <w:top w:val="nil"/>
            </w:tcBorders>
          </w:tcPr>
          <w:p>
            <w:pPr>
              <w:pStyle w:val="yTableNAm"/>
            </w:pPr>
            <w:r>
              <w:t>$949.30</w:t>
            </w:r>
          </w:p>
        </w:tc>
      </w:tr>
      <w:tr>
        <w:tc>
          <w:tcPr>
            <w:tcW w:w="709" w:type="dxa"/>
          </w:tcPr>
          <w:p>
            <w:pPr>
              <w:pStyle w:val="yTableNAm"/>
            </w:pPr>
            <w:r>
              <w:t>10.</w:t>
            </w:r>
          </w:p>
        </w:tc>
        <w:tc>
          <w:tcPr>
            <w:tcW w:w="4553" w:type="dxa"/>
          </w:tcPr>
          <w:p>
            <w:pPr>
              <w:pStyle w:val="yTableNAm"/>
              <w:tabs>
                <w:tab w:val="left" w:leader="dot" w:pos="4536"/>
              </w:tabs>
            </w:pPr>
            <w:r>
              <w:t xml:space="preserve">Attendance at inclining experiment, roll period test, authorised practical stability test or lightship test </w:t>
            </w:r>
            <w:r>
              <w:tab/>
            </w:r>
            <w:r>
              <w:tab/>
            </w:r>
          </w:p>
        </w:tc>
        <w:tc>
          <w:tcPr>
            <w:tcW w:w="1651" w:type="dxa"/>
          </w:tcPr>
          <w:p>
            <w:pPr>
              <w:pStyle w:val="yTableNAm"/>
            </w:pPr>
            <w:r>
              <w:br/>
            </w:r>
            <w:r>
              <w:br/>
              <w:t>$949.30</w:t>
            </w:r>
          </w:p>
        </w:tc>
      </w:tr>
      <w:tr>
        <w:tc>
          <w:tcPr>
            <w:tcW w:w="709" w:type="dxa"/>
          </w:tcPr>
          <w:p>
            <w:pPr>
              <w:pStyle w:val="yTableNAm"/>
              <w:rPr>
                <w:i/>
              </w:rPr>
            </w:pPr>
            <w:r>
              <w:rPr>
                <w:i/>
              </w:rPr>
              <w:t>[11.</w:t>
            </w:r>
          </w:p>
        </w:tc>
        <w:tc>
          <w:tcPr>
            <w:tcW w:w="4553" w:type="dxa"/>
          </w:tcPr>
          <w:p>
            <w:pPr>
              <w:pStyle w:val="yTableNAm"/>
              <w:tabs>
                <w:tab w:val="left" w:leader="dot" w:pos="4536"/>
              </w:tabs>
              <w:rPr>
                <w:i/>
              </w:rPr>
            </w:pPr>
            <w:r>
              <w:rPr>
                <w:i/>
              </w:rPr>
              <w:t>Deleted]</w:t>
            </w:r>
          </w:p>
        </w:tc>
        <w:tc>
          <w:tcPr>
            <w:tcW w:w="1651" w:type="dxa"/>
          </w:tcPr>
          <w:p>
            <w:pPr>
              <w:pStyle w:val="yTableNAm"/>
            </w:pPr>
          </w:p>
        </w:tc>
      </w:tr>
      <w:tr>
        <w:trPr>
          <w:cantSplit/>
        </w:trPr>
        <w:tc>
          <w:tcPr>
            <w:tcW w:w="709" w:type="dxa"/>
          </w:tcPr>
          <w:p>
            <w:pPr>
              <w:pStyle w:val="yTableNAm"/>
            </w:pPr>
            <w:r>
              <w:t>12.</w:t>
            </w:r>
          </w:p>
        </w:tc>
        <w:tc>
          <w:tcPr>
            <w:tcW w:w="4553" w:type="dxa"/>
          </w:tcPr>
          <w:p>
            <w:pPr>
              <w:pStyle w:val="yTableNAm"/>
            </w:pPr>
            <w:r>
              <w:t xml:space="preserve">Attendance by surveyor at vessel, site or meeting </w:t>
            </w:r>
          </w:p>
        </w:tc>
        <w:tc>
          <w:tcPr>
            <w:tcW w:w="1651" w:type="dxa"/>
          </w:tcPr>
          <w:p>
            <w:pPr>
              <w:pStyle w:val="yTableNAm"/>
            </w:pPr>
            <w:r>
              <w:t>$186.10/hour plus</w:t>
            </w:r>
            <w:r>
              <w:rPr>
                <w:szCs w:val="22"/>
              </w:rPr>
              <w:t xml:space="preserve"> reasonable travel and accommodation costs and expenses incurred</w:t>
            </w:r>
          </w:p>
        </w:tc>
      </w:tr>
      <w:tr>
        <w:tc>
          <w:tcPr>
            <w:tcW w:w="709" w:type="dxa"/>
          </w:tcPr>
          <w:p>
            <w:pPr>
              <w:pStyle w:val="yTableNAm"/>
            </w:pPr>
            <w:r>
              <w:t>13.</w:t>
            </w:r>
          </w:p>
        </w:tc>
        <w:tc>
          <w:tcPr>
            <w:tcW w:w="4553" w:type="dxa"/>
            <w:tcBorders>
              <w:bottom w:val="single" w:sz="4" w:space="0" w:color="auto"/>
            </w:tcBorders>
          </w:tcPr>
          <w:p>
            <w:pPr>
              <w:pStyle w:val="yTableNAm"/>
              <w:tabs>
                <w:tab w:val="left" w:leader="dot" w:pos="4536"/>
              </w:tabs>
            </w:pPr>
            <w:r>
              <w:t xml:space="preserve">Performance of survey or service during overtime hours, weekends or public holidays (in addition to other applicable fees, and in lieu of hourly fees applicable if performance were during normal working hours) </w:t>
            </w:r>
            <w:r>
              <w:tab/>
            </w:r>
          </w:p>
        </w:tc>
        <w:tc>
          <w:tcPr>
            <w:tcW w:w="1651" w:type="dxa"/>
            <w:tcBorders>
              <w:bottom w:val="single" w:sz="4" w:space="0" w:color="auto"/>
            </w:tcBorders>
          </w:tcPr>
          <w:p>
            <w:pPr>
              <w:pStyle w:val="yTableNAm"/>
            </w:pPr>
            <w:r>
              <w:br/>
            </w:r>
            <w:r>
              <w:br/>
            </w:r>
            <w:r>
              <w:br/>
            </w:r>
            <w:r>
              <w:br/>
              <w:t xml:space="preserve">$222.00/hour </w:t>
            </w:r>
          </w:p>
        </w:tc>
      </w:tr>
      <w:tr>
        <w:tc>
          <w:tcPr>
            <w:tcW w:w="709" w:type="dxa"/>
          </w:tcPr>
          <w:p>
            <w:pPr>
              <w:pStyle w:val="yTableNAm"/>
            </w:pPr>
            <w:r>
              <w:t>14.</w:t>
            </w:r>
          </w:p>
        </w:tc>
        <w:tc>
          <w:tcPr>
            <w:tcW w:w="4553" w:type="dxa"/>
          </w:tcPr>
          <w:p>
            <w:pPr>
              <w:pStyle w:val="yTableNAm"/>
              <w:tabs>
                <w:tab w:val="left" w:leader="dot" w:pos="4536"/>
              </w:tabs>
            </w:pPr>
            <w:r>
              <w:t xml:space="preserve">Request for information requiring search of records (printed or computer) </w:t>
            </w:r>
            <w:r>
              <w:tab/>
            </w:r>
          </w:p>
        </w:tc>
        <w:tc>
          <w:tcPr>
            <w:tcW w:w="1651" w:type="dxa"/>
          </w:tcPr>
          <w:p>
            <w:pPr>
              <w:pStyle w:val="yTableNAm"/>
            </w:pPr>
            <w:r>
              <w:br/>
              <w:t>$168.36/hour</w:t>
            </w:r>
            <w:r>
              <w:br/>
              <w:t>min. charge $168.36</w:t>
            </w:r>
          </w:p>
        </w:tc>
      </w:tr>
      <w:tr>
        <w:tc>
          <w:tcPr>
            <w:tcW w:w="709" w:type="dxa"/>
          </w:tcPr>
          <w:p>
            <w:pPr>
              <w:pStyle w:val="yTableNAm"/>
            </w:pPr>
            <w:r>
              <w:t>15.</w:t>
            </w:r>
          </w:p>
        </w:tc>
        <w:tc>
          <w:tcPr>
            <w:tcW w:w="4553" w:type="dxa"/>
          </w:tcPr>
          <w:p>
            <w:pPr>
              <w:pStyle w:val="yTableNAm"/>
              <w:tabs>
                <w:tab w:val="left" w:leader="dot" w:pos="4536"/>
              </w:tabs>
            </w:pPr>
            <w:r>
              <w:t xml:space="preserve">Photocopying </w:t>
            </w:r>
            <w:r>
              <w:tab/>
            </w:r>
          </w:p>
        </w:tc>
        <w:tc>
          <w:tcPr>
            <w:tcW w:w="1651" w:type="dxa"/>
          </w:tcPr>
          <w:p>
            <w:pPr>
              <w:pStyle w:val="yTableNAm"/>
            </w:pPr>
            <w:r>
              <w:t>90c/page</w:t>
            </w:r>
          </w:p>
        </w:tc>
      </w:tr>
    </w:tbl>
    <w:p>
      <w:pPr>
        <w:pStyle w:val="BlankClose"/>
      </w:pPr>
    </w:p>
    <w:p>
      <w:pPr>
        <w:pStyle w:val="NotesPerm"/>
        <w:tabs>
          <w:tab w:val="clear" w:pos="879"/>
          <w:tab w:val="left" w:pos="567"/>
        </w:tabs>
        <w:ind w:left="993" w:right="140" w:hanging="993"/>
      </w:pPr>
      <w:r>
        <w:tab/>
        <w:t>Notes:</w:t>
      </w:r>
    </w:p>
    <w:p>
      <w:pPr>
        <w:pStyle w:val="NotesPerm"/>
        <w:tabs>
          <w:tab w:val="clear" w:pos="879"/>
          <w:tab w:val="left" w:pos="567"/>
        </w:tabs>
        <w:ind w:left="993" w:right="140" w:hanging="851"/>
      </w:pPr>
      <w:r>
        <w:tab/>
        <w:t>1.</w:t>
      </w:r>
      <w:r>
        <w:tab/>
        <w:t xml:space="preserve">The fees for examination of plans and for checking stability data [items marked </w:t>
      </w:r>
      <w:r>
        <w:rPr>
          <w:rFonts w:ascii="Times New Roman" w:hAnsi="Times New Roman"/>
        </w:rPr>
        <w:t>*</w:t>
      </w:r>
      <w:r>
        <w:t>] allow for returning plans/data to the applicant for one amendment. If further amendment or checking is required, the fee for the surveyor’s time for checking, examining and approving plans or data is $190.00/hour.</w:t>
      </w:r>
    </w:p>
    <w:p>
      <w:pPr>
        <w:pStyle w:val="NotesPerm"/>
        <w:tabs>
          <w:tab w:val="clear" w:pos="879"/>
          <w:tab w:val="left" w:pos="567"/>
        </w:tabs>
        <w:ind w:left="993" w:right="140" w:hanging="993"/>
      </w:pPr>
      <w:r>
        <w:tab/>
        <w:t>2.</w:t>
      </w:r>
      <w:r>
        <w:tab/>
        <w:t xml:space="preserve">The fees for data checking in </w:t>
      </w:r>
      <w:r>
        <w:rPr>
          <w:rFonts w:cs="Arial"/>
        </w:rPr>
        <w:t xml:space="preserve">items 9(a) and (b) and 10A(a) and (b) </w:t>
      </w:r>
      <w:r>
        <w:t xml:space="preserve">are subject to a 50% reduction if complete technical information is supplied in an electronic form compatible with the software held at the Department.  </w:t>
      </w:r>
      <w:r>
        <w:br/>
        <w:t>(Software submission format: HYDROMAX, WOLFSON, MAST.)</w:t>
      </w:r>
    </w:p>
    <w:p>
      <w:pPr>
        <w:pStyle w:val="NotesPerm"/>
        <w:tabs>
          <w:tab w:val="clear" w:pos="879"/>
          <w:tab w:val="left" w:pos="567"/>
        </w:tabs>
        <w:ind w:left="993" w:right="140" w:hanging="993"/>
      </w:pPr>
      <w:r>
        <w:tab/>
        <w:t>3.</w:t>
      </w:r>
      <w:r>
        <w:tab/>
        <w:t>Hourly fees are charged per hour or part of an hour.</w:t>
      </w:r>
    </w:p>
    <w:p>
      <w:pPr>
        <w:pStyle w:val="NotesPerm"/>
        <w:tabs>
          <w:tab w:val="clear" w:pos="879"/>
          <w:tab w:val="left" w:pos="567"/>
          <w:tab w:val="left" w:pos="993"/>
        </w:tabs>
        <w:ind w:left="993" w:right="140" w:hanging="993"/>
      </w:pPr>
      <w:r>
        <w:tab/>
        <w:t>4.</w:t>
      </w:r>
      <w:r>
        <w:tab/>
        <w:t>Fees provided for in this item may be waived if, in the opinion of the chief executive officer —</w:t>
      </w:r>
    </w:p>
    <w:p>
      <w:pPr>
        <w:pStyle w:val="NotesPerm"/>
        <w:tabs>
          <w:tab w:val="clear" w:pos="879"/>
          <w:tab w:val="left" w:pos="993"/>
          <w:tab w:val="left" w:pos="1418"/>
        </w:tabs>
        <w:spacing w:before="60"/>
        <w:ind w:left="1418" w:right="140" w:hanging="1418"/>
      </w:pPr>
      <w:r>
        <w:tab/>
        <w:t>(a)</w:t>
      </w:r>
      <w:r>
        <w:tab/>
        <w:t>the service is delivered in the interest of the Commercial Safety section (e.g. extension of survey where surveyor unavailable); or</w:t>
      </w:r>
    </w:p>
    <w:p>
      <w:pPr>
        <w:pStyle w:val="NotesPerm"/>
        <w:tabs>
          <w:tab w:val="clear" w:pos="879"/>
          <w:tab w:val="left" w:pos="993"/>
          <w:tab w:val="left" w:pos="1418"/>
        </w:tabs>
        <w:spacing w:before="60"/>
        <w:ind w:left="1418" w:right="140" w:hanging="1418"/>
      </w:pPr>
      <w:r>
        <w:tab/>
        <w:t>(b)</w:t>
      </w:r>
      <w:r>
        <w:tab/>
        <w:t>the service is a remedy to an oversight or delay for which the regulations have not allowed (e.g. permit to operate issued if Certificate of Survey is authorised, but cannot be printed).</w:t>
      </w:r>
    </w:p>
    <w:p>
      <w:pPr>
        <w:pStyle w:val="yFootnotesection"/>
      </w:pPr>
      <w:r>
        <w:tab/>
        <w:t>[Clause 2 inserted in Gazette 12 Jun 2009 p. 2124</w:t>
      </w:r>
      <w:r>
        <w:noBreakHyphen/>
        <w:t>6; amended in Gazette 11 Dec 2009 p. 5109; 18 Jun 2010 p. 2687-8; 20 May 2011 p. 1853.]</w:t>
      </w:r>
    </w:p>
    <w:p>
      <w:pPr>
        <w:pStyle w:val="yHeading5"/>
        <w:pageBreakBefore/>
      </w:pPr>
      <w:bookmarkStart w:id="304" w:name="_Toc293650221"/>
      <w:r>
        <w:rPr>
          <w:rStyle w:val="CharSClsNo"/>
        </w:rPr>
        <w:t>3</w:t>
      </w:r>
      <w:r>
        <w:t>.</w:t>
      </w:r>
      <w:r>
        <w:tab/>
        <w:t>Fees for Hire and Drive Vessels</w:t>
      </w:r>
      <w:bookmarkEnd w:id="303"/>
      <w:bookmarkEnd w:id="304"/>
    </w:p>
    <w:p>
      <w:pPr>
        <w:pStyle w:val="ySubsection"/>
      </w:pPr>
      <w:r>
        <w:tab/>
      </w:r>
      <w:r>
        <w:tab/>
        <w:t xml:space="preserve">The survey fees for vessels licensed under the </w:t>
      </w:r>
      <w:r>
        <w:rPr>
          <w:i/>
          <w:iCs/>
        </w:rPr>
        <w:t>W.A. Marine (Hire and Drive Vessels) Regulations 1983</w:t>
      </w:r>
      <w:r>
        <w:t xml:space="preserve"> are as follows —</w:t>
      </w:r>
    </w:p>
    <w:tbl>
      <w:tblPr>
        <w:tblW w:w="6290" w:type="dxa"/>
        <w:tblInd w:w="918" w:type="dxa"/>
        <w:tblLayout w:type="fixed"/>
        <w:tblCellMar>
          <w:left w:w="0" w:type="dxa"/>
          <w:right w:w="0" w:type="dxa"/>
        </w:tblCellMar>
        <w:tblLook w:val="0000" w:firstRow="0" w:lastRow="0" w:firstColumn="0" w:lastColumn="0" w:noHBand="0" w:noVBand="0"/>
      </w:tblPr>
      <w:tblGrid>
        <w:gridCol w:w="5090"/>
        <w:gridCol w:w="1200"/>
      </w:tblGrid>
      <w:tr>
        <w:tc>
          <w:tcPr>
            <w:tcW w:w="5090" w:type="dxa"/>
          </w:tcPr>
          <w:p>
            <w:pPr>
              <w:pStyle w:val="yTableNAm"/>
              <w:ind w:left="598" w:hanging="598"/>
            </w:pPr>
            <w:r>
              <w:t>(a)</w:t>
            </w:r>
            <w:r>
              <w:tab/>
              <w:t>power boats not exceeding 5 m in length</w:t>
            </w:r>
          </w:p>
        </w:tc>
        <w:tc>
          <w:tcPr>
            <w:tcW w:w="1200" w:type="dxa"/>
          </w:tcPr>
          <w:p>
            <w:pPr>
              <w:pStyle w:val="yTableNAm"/>
              <w:tabs>
                <w:tab w:val="clear" w:pos="567"/>
              </w:tabs>
              <w:ind w:right="360"/>
              <w:jc w:val="right"/>
            </w:pPr>
            <w:r>
              <w:t>$116.60</w:t>
            </w:r>
          </w:p>
        </w:tc>
      </w:tr>
      <w:tr>
        <w:tc>
          <w:tcPr>
            <w:tcW w:w="5090" w:type="dxa"/>
          </w:tcPr>
          <w:p>
            <w:pPr>
              <w:pStyle w:val="yTableNAm"/>
              <w:ind w:left="598" w:hanging="598"/>
            </w:pPr>
            <w:r>
              <w:t>(b)</w:t>
            </w:r>
            <w:r>
              <w:tab/>
              <w:t>sailing boats other than sailboards</w:t>
            </w:r>
          </w:p>
        </w:tc>
        <w:tc>
          <w:tcPr>
            <w:tcW w:w="1200" w:type="dxa"/>
          </w:tcPr>
          <w:p>
            <w:pPr>
              <w:pStyle w:val="yTableNAm"/>
              <w:tabs>
                <w:tab w:val="clear" w:pos="567"/>
              </w:tabs>
              <w:ind w:right="360"/>
              <w:jc w:val="right"/>
            </w:pPr>
            <w:r>
              <w:t>$116.60</w:t>
            </w:r>
          </w:p>
        </w:tc>
      </w:tr>
      <w:tr>
        <w:tc>
          <w:tcPr>
            <w:tcW w:w="5090" w:type="dxa"/>
          </w:tcPr>
          <w:p>
            <w:pPr>
              <w:pStyle w:val="yTableNAm"/>
              <w:keepNext/>
              <w:ind w:left="598" w:hanging="598"/>
            </w:pPr>
            <w:r>
              <w:t>(c)</w:t>
            </w:r>
            <w:r>
              <w:tab/>
              <w:t>boats propelled exclusively by oars or paddles, and sailboards</w:t>
            </w:r>
          </w:p>
        </w:tc>
        <w:tc>
          <w:tcPr>
            <w:tcW w:w="1200" w:type="dxa"/>
          </w:tcPr>
          <w:p>
            <w:pPr>
              <w:pStyle w:val="yTableNAm"/>
              <w:keepNext/>
              <w:tabs>
                <w:tab w:val="clear" w:pos="567"/>
              </w:tabs>
              <w:ind w:right="360"/>
              <w:jc w:val="right"/>
            </w:pPr>
            <w:r>
              <w:br/>
              <w:t>$75.00</w:t>
            </w:r>
          </w:p>
        </w:tc>
      </w:tr>
      <w:tr>
        <w:tc>
          <w:tcPr>
            <w:tcW w:w="5090" w:type="dxa"/>
          </w:tcPr>
          <w:p>
            <w:pPr>
              <w:pStyle w:val="yTableNAm"/>
              <w:ind w:left="598" w:hanging="598"/>
            </w:pPr>
            <w:r>
              <w:t>(d)</w:t>
            </w:r>
            <w:r>
              <w:tab/>
              <w:t>all other boats exceeding 5 m in length (including houseboats)</w:t>
            </w:r>
          </w:p>
        </w:tc>
        <w:tc>
          <w:tcPr>
            <w:tcW w:w="1200" w:type="dxa"/>
          </w:tcPr>
          <w:p>
            <w:pPr>
              <w:pStyle w:val="yTableNAm"/>
              <w:ind w:left="120"/>
            </w:pPr>
            <w:r>
              <w:br/>
              <w:t>fees set out in item 1</w:t>
            </w:r>
          </w:p>
        </w:tc>
      </w:tr>
    </w:tbl>
    <w:p>
      <w:pPr>
        <w:pStyle w:val="yFootnotesection"/>
      </w:pPr>
      <w:r>
        <w:tab/>
        <w:t>[Clause 3 inserted in Gazette 24 Jun 2005 p. 2789; amended in Gazette 23 Jun 2006 p. 2218; 22 Jun 2007 p. 2856; 24 Jun 2008 p. 2902; 12 Jun 2009 p. 2126.]</w:t>
      </w:r>
    </w:p>
    <w:p>
      <w:pPr>
        <w:pStyle w:val="yHeading5"/>
      </w:pPr>
      <w:bookmarkStart w:id="305" w:name="_Toc293650222"/>
      <w:r>
        <w:rPr>
          <w:rStyle w:val="CharSClsNo"/>
        </w:rPr>
        <w:t>4</w:t>
      </w:r>
      <w:r>
        <w:t>.</w:t>
      </w:r>
      <w:r>
        <w:tab/>
        <w:t>Annual exemption fee</w:t>
      </w:r>
      <w:bookmarkEnd w:id="305"/>
    </w:p>
    <w:p>
      <w:pPr>
        <w:pStyle w:val="ySubsection"/>
      </w:pPr>
      <w:r>
        <w:tab/>
        <w:t>(1)</w:t>
      </w:r>
      <w:r>
        <w:tab/>
        <w:t>The annual exemption fee for a vessel is as set out in the Table according to the length of the vessel.</w:t>
      </w:r>
    </w:p>
    <w:p>
      <w:pPr>
        <w:pStyle w:val="yTHeadingNAm"/>
      </w:pPr>
      <w:r>
        <w:t>Table</w:t>
      </w:r>
    </w:p>
    <w:tbl>
      <w:tblPr>
        <w:tblW w:w="5953"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
        <w:gridCol w:w="4536"/>
        <w:gridCol w:w="992"/>
      </w:tblGrid>
      <w:tr>
        <w:trPr>
          <w:tblHeader/>
        </w:trPr>
        <w:tc>
          <w:tcPr>
            <w:tcW w:w="425" w:type="dxa"/>
          </w:tcPr>
          <w:p>
            <w:pPr>
              <w:pStyle w:val="yTableNAm"/>
            </w:pPr>
            <w:r>
              <w:t>1.</w:t>
            </w:r>
          </w:p>
        </w:tc>
        <w:tc>
          <w:tcPr>
            <w:tcW w:w="4536" w:type="dxa"/>
          </w:tcPr>
          <w:p>
            <w:pPr>
              <w:pStyle w:val="yTableNAm"/>
            </w:pPr>
            <w:r>
              <w:t>Vessel does not exceed 5 m</w:t>
            </w:r>
          </w:p>
        </w:tc>
        <w:tc>
          <w:tcPr>
            <w:tcW w:w="992" w:type="dxa"/>
          </w:tcPr>
          <w:p>
            <w:pPr>
              <w:pStyle w:val="yTableNAm"/>
            </w:pPr>
            <w:r>
              <w:t>$102.40</w:t>
            </w:r>
          </w:p>
        </w:tc>
      </w:tr>
      <w:tr>
        <w:tc>
          <w:tcPr>
            <w:tcW w:w="425" w:type="dxa"/>
          </w:tcPr>
          <w:p>
            <w:pPr>
              <w:pStyle w:val="yTableNAm"/>
            </w:pPr>
            <w:r>
              <w:t>2.</w:t>
            </w:r>
          </w:p>
        </w:tc>
        <w:tc>
          <w:tcPr>
            <w:tcW w:w="4536" w:type="dxa"/>
          </w:tcPr>
          <w:p>
            <w:pPr>
              <w:pStyle w:val="yTableNAm"/>
            </w:pPr>
            <w:r>
              <w:t>Vessel exceeds 5 m but does not exceed 10 m</w:t>
            </w:r>
          </w:p>
        </w:tc>
        <w:tc>
          <w:tcPr>
            <w:tcW w:w="992" w:type="dxa"/>
          </w:tcPr>
          <w:p>
            <w:pPr>
              <w:pStyle w:val="yTableNAm"/>
            </w:pPr>
            <w:r>
              <w:t>$204.80</w:t>
            </w:r>
          </w:p>
        </w:tc>
      </w:tr>
      <w:tr>
        <w:tc>
          <w:tcPr>
            <w:tcW w:w="425" w:type="dxa"/>
          </w:tcPr>
          <w:p>
            <w:pPr>
              <w:pStyle w:val="yTableNAm"/>
            </w:pPr>
            <w:r>
              <w:t>3.</w:t>
            </w:r>
          </w:p>
        </w:tc>
        <w:tc>
          <w:tcPr>
            <w:tcW w:w="4536" w:type="dxa"/>
          </w:tcPr>
          <w:p>
            <w:pPr>
              <w:pStyle w:val="yTableNAm"/>
            </w:pPr>
            <w:r>
              <w:t>Vessel exceeds 10 m but does not exceed 20 m</w:t>
            </w:r>
          </w:p>
        </w:tc>
        <w:tc>
          <w:tcPr>
            <w:tcW w:w="992" w:type="dxa"/>
          </w:tcPr>
          <w:p>
            <w:pPr>
              <w:pStyle w:val="yTableNAm"/>
            </w:pPr>
            <w:r>
              <w:t>$378.40</w:t>
            </w:r>
          </w:p>
        </w:tc>
      </w:tr>
      <w:tr>
        <w:tc>
          <w:tcPr>
            <w:tcW w:w="425" w:type="dxa"/>
          </w:tcPr>
          <w:p>
            <w:pPr>
              <w:pStyle w:val="yTableNAm"/>
            </w:pPr>
            <w:r>
              <w:t>4.</w:t>
            </w:r>
          </w:p>
        </w:tc>
        <w:tc>
          <w:tcPr>
            <w:tcW w:w="4536" w:type="dxa"/>
          </w:tcPr>
          <w:p>
            <w:pPr>
              <w:pStyle w:val="yTableNAm"/>
            </w:pPr>
            <w:r>
              <w:t>Vessel exceeds 20 m but does not exceed 30 m</w:t>
            </w:r>
          </w:p>
        </w:tc>
        <w:tc>
          <w:tcPr>
            <w:tcW w:w="992" w:type="dxa"/>
          </w:tcPr>
          <w:p>
            <w:pPr>
              <w:pStyle w:val="yTableNAm"/>
            </w:pPr>
            <w:r>
              <w:t>$515.70</w:t>
            </w:r>
          </w:p>
        </w:tc>
      </w:tr>
    </w:tbl>
    <w:p>
      <w:pPr>
        <w:pStyle w:val="ySubsection"/>
      </w:pPr>
      <w:r>
        <w:tab/>
        <w:t>(2)</w:t>
      </w:r>
      <w:r>
        <w:tab/>
        <w:t>The fee payable for recording the transfer of an exempt vessel is $51.10.</w:t>
      </w:r>
    </w:p>
    <w:p>
      <w:pPr>
        <w:pStyle w:val="yFootnotesection"/>
      </w:pPr>
      <w:r>
        <w:tab/>
        <w:t>[Clause 4 inserted in Gazette 12 Jun 2009 p. 2126; amended in Gazette 18 Jun 2010 p. 2689.]</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yScheduleHeading"/>
      </w:pPr>
      <w:bookmarkStart w:id="306" w:name="_Toc107747039"/>
      <w:bookmarkStart w:id="307" w:name="_Toc139183110"/>
      <w:bookmarkStart w:id="308" w:name="_Toc139347645"/>
      <w:bookmarkStart w:id="309" w:name="_Toc150239331"/>
      <w:bookmarkStart w:id="310" w:name="_Toc150239554"/>
      <w:bookmarkStart w:id="311" w:name="_Toc152381865"/>
      <w:bookmarkStart w:id="312" w:name="_Toc152486338"/>
      <w:bookmarkStart w:id="313" w:name="_Toc152728307"/>
      <w:bookmarkStart w:id="314" w:name="_Toc154212616"/>
      <w:bookmarkStart w:id="315" w:name="_Toc170633566"/>
      <w:bookmarkStart w:id="316" w:name="_Toc170814764"/>
      <w:bookmarkStart w:id="317" w:name="_Toc170814802"/>
      <w:bookmarkStart w:id="318" w:name="_Toc202506551"/>
      <w:bookmarkStart w:id="319" w:name="_Toc212609812"/>
      <w:bookmarkStart w:id="320" w:name="_Toc232588285"/>
      <w:bookmarkStart w:id="321" w:name="_Toc233615443"/>
      <w:bookmarkStart w:id="322" w:name="_Toc235955736"/>
      <w:bookmarkStart w:id="323" w:name="_Toc236543226"/>
      <w:bookmarkStart w:id="324" w:name="_Toc236543413"/>
      <w:bookmarkStart w:id="325" w:name="_Toc238457755"/>
      <w:bookmarkStart w:id="326" w:name="_Toc238959744"/>
      <w:bookmarkStart w:id="327" w:name="_Toc248306507"/>
      <w:bookmarkStart w:id="328" w:name="_Toc248307559"/>
      <w:bookmarkStart w:id="329" w:name="_Toc248308161"/>
      <w:bookmarkStart w:id="330" w:name="_Toc265675092"/>
      <w:bookmarkStart w:id="331" w:name="_Toc265675276"/>
      <w:bookmarkStart w:id="332" w:name="_Toc293650125"/>
      <w:bookmarkStart w:id="333" w:name="_Toc293650223"/>
      <w:r>
        <w:rPr>
          <w:rStyle w:val="CharSchNo"/>
        </w:rPr>
        <w:t>Schedule 2</w:t>
      </w:r>
      <w:bookmarkEnd w:id="298"/>
      <w:bookmarkEnd w:id="299"/>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p>
    <w:p>
      <w:pPr>
        <w:pStyle w:val="yHeading2"/>
      </w:pPr>
      <w:bookmarkStart w:id="334" w:name="_Toc18137713"/>
      <w:bookmarkStart w:id="335" w:name="_Toc107747040"/>
      <w:bookmarkStart w:id="336" w:name="_Toc139183111"/>
      <w:bookmarkStart w:id="337" w:name="_Toc139347646"/>
      <w:bookmarkStart w:id="338" w:name="_Toc150239332"/>
      <w:bookmarkStart w:id="339" w:name="_Toc150239555"/>
      <w:bookmarkStart w:id="340" w:name="_Toc152381866"/>
      <w:bookmarkStart w:id="341" w:name="_Toc152486339"/>
      <w:bookmarkStart w:id="342" w:name="_Toc152728308"/>
      <w:bookmarkStart w:id="343" w:name="_Toc154212617"/>
      <w:bookmarkStart w:id="344" w:name="_Toc170633567"/>
      <w:bookmarkStart w:id="345" w:name="_Toc170814765"/>
      <w:bookmarkStart w:id="346" w:name="_Toc170814803"/>
      <w:bookmarkStart w:id="347" w:name="_Toc202506552"/>
      <w:bookmarkStart w:id="348" w:name="_Toc212609813"/>
      <w:bookmarkStart w:id="349" w:name="_Toc232588286"/>
      <w:bookmarkStart w:id="350" w:name="_Toc233615444"/>
      <w:bookmarkStart w:id="351" w:name="_Toc235955737"/>
      <w:bookmarkStart w:id="352" w:name="_Toc236543227"/>
      <w:bookmarkStart w:id="353" w:name="_Toc236543414"/>
      <w:bookmarkStart w:id="354" w:name="_Toc238457756"/>
      <w:bookmarkStart w:id="355" w:name="_Toc238959745"/>
      <w:bookmarkStart w:id="356" w:name="_Toc248306508"/>
      <w:bookmarkStart w:id="357" w:name="_Toc248307560"/>
      <w:bookmarkStart w:id="358" w:name="_Toc248308162"/>
      <w:bookmarkStart w:id="359" w:name="_Toc265675093"/>
      <w:bookmarkStart w:id="360" w:name="_Toc265675277"/>
      <w:bookmarkStart w:id="361" w:name="_Toc293650126"/>
      <w:bookmarkStart w:id="362" w:name="_Toc293650224"/>
      <w:r>
        <w:rPr>
          <w:rStyle w:val="CharSchText"/>
        </w:rPr>
        <w:t>Survey requirements and intervals</w:t>
      </w:r>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p>
    <w:p>
      <w:pPr>
        <w:pStyle w:val="yTable"/>
        <w:jc w:val="right"/>
      </w:pPr>
      <w:r>
        <w:t>[r.6]</w:t>
      </w:r>
    </w:p>
    <w:p>
      <w:pPr>
        <w:pStyle w:val="yMiscellaneousHeading"/>
        <w:rPr>
          <w:b/>
          <w:bCs/>
        </w:rPr>
      </w:pPr>
      <w:r>
        <w:rPr>
          <w:b/>
          <w:bCs/>
        </w:rPr>
        <w:t>Appendix II</w:t>
      </w:r>
    </w:p>
    <w:p>
      <w:pPr>
        <w:pStyle w:val="yMiscellaneousBody"/>
      </w:pPr>
      <w:r>
        <w:t>In this Appendix items listed shall be subjected to a survey unless otherwise indicated.</w:t>
      </w:r>
    </w:p>
    <w:p>
      <w:pPr>
        <w:pStyle w:val="yMiscellaneousHeading"/>
        <w:rPr>
          <w:b/>
          <w:bCs/>
        </w:rPr>
      </w:pPr>
      <w:r>
        <w:rPr>
          <w:b/>
          <w:bCs/>
        </w:rPr>
        <w:t>Part I — Vessels less than 35 metres in length</w:t>
      </w:r>
    </w:p>
    <w:p>
      <w:pPr>
        <w:pStyle w:val="yMiscellaneousBody"/>
        <w:tabs>
          <w:tab w:val="left" w:pos="600"/>
        </w:tabs>
        <w:ind w:left="600" w:hanging="600"/>
        <w:rPr>
          <w:b/>
          <w:bCs/>
        </w:rPr>
      </w:pPr>
      <w:r>
        <w:rPr>
          <w:b/>
          <w:bCs/>
        </w:rPr>
        <w:t>Annual surveys</w:t>
      </w:r>
    </w:p>
    <w:p>
      <w:pPr>
        <w:pStyle w:val="yMiscellaneousBody"/>
        <w:tabs>
          <w:tab w:val="left" w:pos="600"/>
        </w:tabs>
        <w:ind w:left="600" w:hanging="600"/>
      </w:pPr>
      <w:r>
        <w:t>1.</w:t>
      </w:r>
      <w:r>
        <w:tab/>
        <w:t>Equipment.</w:t>
      </w:r>
    </w:p>
    <w:p>
      <w:pPr>
        <w:pStyle w:val="yMiscellaneousBody"/>
        <w:tabs>
          <w:tab w:val="left" w:pos="600"/>
        </w:tabs>
        <w:ind w:left="600" w:hanging="600"/>
      </w:pPr>
      <w:r>
        <w:t>2.</w:t>
      </w:r>
      <w:r>
        <w:tab/>
        <w:t>Running trial of each main engine and associated gear box.</w:t>
      </w:r>
    </w:p>
    <w:p>
      <w:pPr>
        <w:pStyle w:val="yMiscellaneousBody"/>
        <w:tabs>
          <w:tab w:val="left" w:pos="600"/>
        </w:tabs>
        <w:ind w:left="600" w:hanging="600"/>
      </w:pPr>
      <w:r>
        <w:t>3.</w:t>
      </w:r>
      <w:r>
        <w:tab/>
        <w:t>Operational test of bilge pumps, bilge alarms and bilge valves.</w:t>
      </w:r>
    </w:p>
    <w:p>
      <w:pPr>
        <w:pStyle w:val="yMiscellaneousBody"/>
        <w:tabs>
          <w:tab w:val="left" w:pos="600"/>
        </w:tabs>
        <w:ind w:left="600" w:hanging="600"/>
      </w:pPr>
      <w:r>
        <w:t>4.</w:t>
      </w:r>
      <w:r>
        <w:tab/>
        <w:t>Operational test of all valves in the fire main systems.</w:t>
      </w:r>
    </w:p>
    <w:p>
      <w:pPr>
        <w:pStyle w:val="yMiscellaneousBody"/>
        <w:tabs>
          <w:tab w:val="left" w:pos="600"/>
        </w:tabs>
        <w:ind w:left="600" w:hanging="600"/>
      </w:pPr>
      <w:r>
        <w:t>5.</w:t>
      </w:r>
      <w:r>
        <w:tab/>
        <w:t>Operational test of all sea injections and overboard discharge valves and cocks.</w:t>
      </w:r>
    </w:p>
    <w:p>
      <w:pPr>
        <w:pStyle w:val="yMiscellaneousBody"/>
        <w:tabs>
          <w:tab w:val="left" w:pos="600"/>
        </w:tabs>
        <w:ind w:left="600" w:hanging="600"/>
      </w:pPr>
      <w:r>
        <w:t>6.</w:t>
      </w:r>
      <w:r>
        <w:tab/>
        <w:t>Operational test of main and emergency means of steering.</w:t>
      </w:r>
    </w:p>
    <w:p>
      <w:pPr>
        <w:pStyle w:val="yMiscellaneousBody"/>
        <w:tabs>
          <w:tab w:val="left" w:pos="600"/>
        </w:tabs>
        <w:ind w:left="600" w:hanging="600"/>
      </w:pPr>
      <w:r>
        <w:t>7.</w:t>
      </w:r>
      <w:r>
        <w:tab/>
        <w:t>Running trial of all machinery essential to the safe operation of the vessel.</w:t>
      </w:r>
    </w:p>
    <w:p>
      <w:pPr>
        <w:pStyle w:val="yMiscellaneousBody"/>
        <w:tabs>
          <w:tab w:val="left" w:pos="600"/>
        </w:tabs>
        <w:ind w:left="600" w:hanging="600"/>
      </w:pPr>
      <w:r>
        <w:t>8.</w:t>
      </w:r>
      <w:r>
        <w:tab/>
        <w:t>Inspection of all pipe arrangements.</w:t>
      </w:r>
    </w:p>
    <w:p>
      <w:pPr>
        <w:pStyle w:val="yMiscellaneousBody"/>
        <w:tabs>
          <w:tab w:val="left" w:pos="600"/>
        </w:tabs>
        <w:ind w:left="600" w:hanging="600"/>
      </w:pPr>
      <w:r>
        <w:t>9.</w:t>
      </w:r>
      <w:r>
        <w:tab/>
        <w:t>General examination of machinery installation and electrical installation.</w:t>
      </w:r>
    </w:p>
    <w:p>
      <w:pPr>
        <w:pStyle w:val="yMiscellaneousBody"/>
        <w:tabs>
          <w:tab w:val="left" w:pos="600"/>
        </w:tabs>
        <w:ind w:left="600" w:hanging="600"/>
      </w:pPr>
      <w:r>
        <w:t>10.</w:t>
      </w:r>
      <w:r>
        <w:tab/>
        <w:t>All safety and relief valves associated with the safe operation of the vessel to be set at the required working pressure.</w:t>
      </w:r>
    </w:p>
    <w:p>
      <w:pPr>
        <w:pStyle w:val="yMiscellaneousBody"/>
        <w:tabs>
          <w:tab w:val="left" w:pos="600"/>
        </w:tabs>
        <w:ind w:left="600" w:hanging="600"/>
      </w:pPr>
      <w:r>
        <w:t>11.</w:t>
      </w:r>
      <w:r>
        <w:tab/>
        <w:t>Pressure vessels, and associated mountings used for the generation of steam under pressure or the heating of water to a temperature exceeding 99</w:t>
      </w:r>
      <w:r>
        <w:rPr>
          <w:vertAlign w:val="superscript"/>
        </w:rPr>
        <w:t>o</w:t>
      </w:r>
      <w:r>
        <w:t>C.</w:t>
      </w:r>
    </w:p>
    <w:p>
      <w:pPr>
        <w:pStyle w:val="yMiscellaneousBody"/>
        <w:tabs>
          <w:tab w:val="left" w:pos="600"/>
        </w:tabs>
        <w:ind w:left="600" w:hanging="600"/>
      </w:pPr>
      <w:r>
        <w:t>12.</w:t>
      </w:r>
      <w:r>
        <w:tab/>
        <w:t>Inspection of the liquefied petroleum gas installation.</w:t>
      </w:r>
    </w:p>
    <w:p>
      <w:pPr>
        <w:pStyle w:val="yMiscellaneousBody"/>
        <w:tabs>
          <w:tab w:val="left" w:pos="600"/>
        </w:tabs>
        <w:ind w:left="600" w:hanging="600"/>
      </w:pPr>
      <w:r>
        <w:t>13.</w:t>
      </w:r>
      <w:r>
        <w:tab/>
        <w:t>Inspection of cargo handling, fishing and trawling gear.</w:t>
      </w:r>
    </w:p>
    <w:p>
      <w:pPr>
        <w:pStyle w:val="yMiscellaneousBody"/>
        <w:tabs>
          <w:tab w:val="left" w:pos="600"/>
        </w:tabs>
        <w:ind w:left="600" w:hanging="600"/>
      </w:pPr>
      <w:r>
        <w:t>14.</w:t>
      </w:r>
      <w:r>
        <w:tab/>
        <w:t>Inspection of escapes from engine room and accommodation spaces.</w:t>
      </w:r>
    </w:p>
    <w:p>
      <w:pPr>
        <w:pStyle w:val="yMiscellaneousBody"/>
        <w:tabs>
          <w:tab w:val="left" w:pos="600"/>
        </w:tabs>
        <w:ind w:left="600" w:hanging="600"/>
      </w:pPr>
      <w:r>
        <w:t>15.</w:t>
      </w:r>
      <w:r>
        <w:tab/>
        <w:t>Inspection of personnel protection arrangements in machinery spaces.</w:t>
      </w:r>
    </w:p>
    <w:p>
      <w:pPr>
        <w:pStyle w:val="yMiscellaneousBody"/>
        <w:tabs>
          <w:tab w:val="left" w:pos="600"/>
        </w:tabs>
        <w:ind w:left="600" w:hanging="600"/>
      </w:pPr>
      <w:r>
        <w:t>16.</w:t>
      </w:r>
      <w:r>
        <w:tab/>
        <w:t>Inspection of casings, superstructures, skylights, hatchways, companionways, bulwarks and guard rails, ventilators and air pipes, together with all closing devices.</w:t>
      </w:r>
    </w:p>
    <w:p>
      <w:pPr>
        <w:pStyle w:val="yMiscellaneousBody"/>
        <w:tabs>
          <w:tab w:val="left" w:pos="600"/>
        </w:tabs>
        <w:ind w:left="600" w:hanging="600"/>
      </w:pPr>
      <w:r>
        <w:t>17.</w:t>
      </w:r>
      <w:r>
        <w:tab/>
        <w:t>Inspection of ground tackle.</w:t>
      </w:r>
    </w:p>
    <w:p>
      <w:pPr>
        <w:pStyle w:val="yMiscellaneousBody"/>
        <w:tabs>
          <w:tab w:val="left" w:pos="600"/>
        </w:tabs>
        <w:ind w:left="600" w:hanging="600"/>
        <w:rPr>
          <w:b/>
          <w:bCs/>
        </w:rPr>
      </w:pPr>
      <w:r>
        <w:rPr>
          <w:b/>
          <w:bCs/>
        </w:rPr>
        <w:t>2</w:t>
      </w:r>
      <w:r>
        <w:rPr>
          <w:b/>
          <w:bCs/>
        </w:rPr>
        <w:noBreakHyphen/>
        <w:t>Yearly surveys</w:t>
      </w:r>
    </w:p>
    <w:p>
      <w:pPr>
        <w:pStyle w:val="yMiscellaneousBody"/>
        <w:tabs>
          <w:tab w:val="left" w:pos="600"/>
        </w:tabs>
        <w:ind w:left="600" w:hanging="600"/>
      </w:pPr>
      <w:r>
        <w:t>18.</w:t>
      </w:r>
      <w:r>
        <w:tab/>
      </w:r>
      <w:smartTag w:uri="urn:schemas-microsoft-com:office:smarttags" w:element="City">
        <w:smartTag w:uri="urn:schemas-microsoft-com:office:smarttags" w:element="place">
          <w:r>
            <w:t>Hull</w:t>
          </w:r>
        </w:smartTag>
      </w:smartTag>
      <w:r>
        <w:t xml:space="preserve"> externally and internally except in way of tanks forming part of the structure.</w:t>
      </w:r>
    </w:p>
    <w:p>
      <w:pPr>
        <w:pStyle w:val="yMiscellaneousBody"/>
        <w:tabs>
          <w:tab w:val="left" w:pos="600"/>
        </w:tabs>
        <w:ind w:left="600" w:hanging="600"/>
      </w:pPr>
      <w:r>
        <w:t>19.</w:t>
      </w:r>
      <w:r>
        <w:tab/>
        <w:t>Sea injection and overboard discharge valves and cocks.</w:t>
      </w:r>
    </w:p>
    <w:p>
      <w:pPr>
        <w:pStyle w:val="yMiscellaneousBody"/>
        <w:tabs>
          <w:tab w:val="left" w:pos="600"/>
        </w:tabs>
        <w:ind w:left="600" w:hanging="600"/>
      </w:pPr>
      <w:r>
        <w:t>20.</w:t>
      </w:r>
      <w:r>
        <w:tab/>
        <w:t>Inspection of propellers, rudders and underwater fittings.</w:t>
      </w:r>
    </w:p>
    <w:p>
      <w:pPr>
        <w:pStyle w:val="yMiscellaneousBody"/>
        <w:tabs>
          <w:tab w:val="left" w:pos="600"/>
        </w:tabs>
        <w:ind w:left="600" w:hanging="600"/>
      </w:pPr>
      <w:r>
        <w:t>21.</w:t>
      </w:r>
      <w:r>
        <w:tab/>
        <w:t>Pressure vessel and associated mountings, of an air pressure/salt water system having a working pressure of more than 275 kPa.</w:t>
      </w:r>
    </w:p>
    <w:p>
      <w:pPr>
        <w:pStyle w:val="yMiscellaneousBody"/>
        <w:tabs>
          <w:tab w:val="left" w:pos="600"/>
        </w:tabs>
        <w:ind w:left="600" w:hanging="600"/>
        <w:rPr>
          <w:b/>
          <w:bCs/>
        </w:rPr>
      </w:pPr>
      <w:r>
        <w:rPr>
          <w:b/>
          <w:bCs/>
        </w:rPr>
        <w:t>4</w:t>
      </w:r>
      <w:r>
        <w:rPr>
          <w:b/>
          <w:bCs/>
        </w:rPr>
        <w:noBreakHyphen/>
        <w:t>Yearly surveys</w:t>
      </w:r>
    </w:p>
    <w:p>
      <w:pPr>
        <w:pStyle w:val="yMiscellaneousBody"/>
        <w:tabs>
          <w:tab w:val="left" w:pos="600"/>
        </w:tabs>
        <w:ind w:left="600" w:hanging="600"/>
      </w:pPr>
      <w:r>
        <w:t>22.</w:t>
      </w:r>
      <w:r>
        <w:tab/>
        <w:t>Each screw and tube shaft.</w:t>
      </w:r>
    </w:p>
    <w:p>
      <w:pPr>
        <w:pStyle w:val="yMiscellaneousBody"/>
        <w:tabs>
          <w:tab w:val="left" w:pos="600"/>
        </w:tabs>
        <w:ind w:left="600" w:hanging="600"/>
      </w:pPr>
      <w:r>
        <w:t>23.</w:t>
      </w:r>
      <w:r>
        <w:tab/>
        <w:t>Anchors and cables to range.</w:t>
      </w:r>
    </w:p>
    <w:p>
      <w:pPr>
        <w:pStyle w:val="yMiscellaneousBody"/>
        <w:tabs>
          <w:tab w:val="left" w:pos="600"/>
        </w:tabs>
        <w:ind w:left="600" w:hanging="600"/>
      </w:pPr>
      <w:r>
        <w:t>24.</w:t>
      </w:r>
      <w:r>
        <w:tab/>
        <w:t>Chain locker internally.</w:t>
      </w:r>
    </w:p>
    <w:p>
      <w:pPr>
        <w:pStyle w:val="yMiscellaneousBody"/>
        <w:tabs>
          <w:tab w:val="left" w:pos="600"/>
        </w:tabs>
        <w:ind w:left="600" w:hanging="600"/>
      </w:pPr>
      <w:r>
        <w:t>25.</w:t>
      </w:r>
      <w:r>
        <w:tab/>
        <w:t>Tanks forming part of the hull, other than oil tanks, internally.</w:t>
      </w:r>
    </w:p>
    <w:p>
      <w:pPr>
        <w:pStyle w:val="yMiscellaneousBody"/>
        <w:tabs>
          <w:tab w:val="left" w:pos="600"/>
        </w:tabs>
        <w:ind w:left="600" w:hanging="600"/>
      </w:pPr>
      <w:r>
        <w:t>26.</w:t>
      </w:r>
      <w:r>
        <w:tab/>
        <w:t>Void spaces internally.</w:t>
      </w:r>
    </w:p>
    <w:p>
      <w:pPr>
        <w:pStyle w:val="yMiscellaneousBody"/>
        <w:tabs>
          <w:tab w:val="left" w:pos="600"/>
        </w:tabs>
        <w:ind w:left="600" w:hanging="600"/>
      </w:pPr>
      <w:r>
        <w:t>27.</w:t>
      </w:r>
      <w:r>
        <w:tab/>
        <w:t>Compressed air pressure vessels having a working pressure of more than 275 kPa and associated mountings.</w:t>
      </w:r>
    </w:p>
    <w:p>
      <w:pPr>
        <w:pStyle w:val="yMiscellaneousBody"/>
        <w:tabs>
          <w:tab w:val="left" w:pos="600"/>
        </w:tabs>
        <w:ind w:left="600" w:hanging="600"/>
      </w:pPr>
      <w:r>
        <w:t>28.</w:t>
      </w:r>
      <w:r>
        <w:tab/>
        <w:t>Pressure vessel and associated mountings of an air pressure/fresh water system having a working pressure of more than 275 kPa.</w:t>
      </w:r>
    </w:p>
    <w:p>
      <w:pPr>
        <w:pStyle w:val="yMiscellaneousBody"/>
        <w:tabs>
          <w:tab w:val="left" w:pos="600"/>
        </w:tabs>
        <w:ind w:left="600" w:hanging="600"/>
      </w:pPr>
      <w:r>
        <w:t>29.</w:t>
      </w:r>
      <w:r>
        <w:tab/>
        <w:t>Cargo handling, fishing and trawling gear.</w:t>
      </w:r>
    </w:p>
    <w:p>
      <w:pPr>
        <w:pStyle w:val="yMiscellaneousBody"/>
        <w:tabs>
          <w:tab w:val="left" w:pos="600"/>
        </w:tabs>
        <w:ind w:left="600" w:hanging="600"/>
      </w:pPr>
      <w:r>
        <w:t>30.</w:t>
      </w:r>
      <w:r>
        <w:tab/>
        <w:t>Insulation tests of all electrical installations above 32V A.C. or D.C.</w:t>
      </w:r>
    </w:p>
    <w:p>
      <w:pPr>
        <w:pStyle w:val="yMiscellaneousBody"/>
        <w:tabs>
          <w:tab w:val="left" w:pos="600"/>
        </w:tabs>
        <w:ind w:left="600" w:hanging="600"/>
        <w:rPr>
          <w:b/>
          <w:bCs/>
        </w:rPr>
      </w:pPr>
      <w:r>
        <w:rPr>
          <w:b/>
          <w:bCs/>
        </w:rPr>
        <w:t>8</w:t>
      </w:r>
      <w:r>
        <w:rPr>
          <w:b/>
          <w:bCs/>
        </w:rPr>
        <w:noBreakHyphen/>
        <w:t>Yearly surveys</w:t>
      </w:r>
    </w:p>
    <w:p>
      <w:pPr>
        <w:pStyle w:val="yMiscellaneousBody"/>
        <w:tabs>
          <w:tab w:val="left" w:pos="600"/>
        </w:tabs>
        <w:ind w:left="600" w:hanging="600"/>
      </w:pPr>
      <w:r>
        <w:t>31.</w:t>
      </w:r>
      <w:r>
        <w:tab/>
        <w:t>Each rudder stock and rudder stock bearing.</w:t>
      </w:r>
    </w:p>
    <w:p>
      <w:pPr>
        <w:pStyle w:val="yMiscellaneousBody"/>
        <w:tabs>
          <w:tab w:val="left" w:pos="600"/>
        </w:tabs>
        <w:ind w:left="600" w:hanging="600"/>
      </w:pPr>
      <w:r>
        <w:t>32.</w:t>
      </w:r>
      <w:r>
        <w:tab/>
        <w:t>Steering gear.</w:t>
      </w:r>
    </w:p>
    <w:p>
      <w:pPr>
        <w:pStyle w:val="yMiscellaneousBody"/>
        <w:tabs>
          <w:tab w:val="left" w:pos="600"/>
        </w:tabs>
        <w:ind w:left="600" w:hanging="600"/>
      </w:pPr>
      <w:r>
        <w:t>33.</w:t>
      </w:r>
      <w:r>
        <w:tab/>
        <w:t>Hull in way of removable ballast.</w:t>
      </w:r>
    </w:p>
    <w:p>
      <w:pPr>
        <w:pStyle w:val="yMiscellaneousBody"/>
        <w:tabs>
          <w:tab w:val="left" w:pos="600"/>
        </w:tabs>
        <w:ind w:left="600" w:hanging="600"/>
      </w:pPr>
      <w:r>
        <w:t>34.</w:t>
      </w:r>
      <w:r>
        <w:tab/>
        <w:t>Selected sections of internal structure in way of refrigerated space.</w:t>
      </w:r>
    </w:p>
    <w:p>
      <w:pPr>
        <w:pStyle w:val="yMiscellaneousBody"/>
        <w:keepNext/>
        <w:tabs>
          <w:tab w:val="left" w:pos="480"/>
        </w:tabs>
        <w:ind w:left="480" w:hanging="480"/>
      </w:pPr>
      <w:r>
        <w:rPr>
          <w:b/>
          <w:bCs/>
        </w:rPr>
        <w:t>12</w:t>
      </w:r>
      <w:r>
        <w:rPr>
          <w:b/>
          <w:bCs/>
        </w:rPr>
        <w:noBreakHyphen/>
        <w:t>Yearly surveys</w:t>
      </w:r>
    </w:p>
    <w:p>
      <w:pPr>
        <w:pStyle w:val="yMiscellaneousBody"/>
        <w:tabs>
          <w:tab w:val="left" w:pos="600"/>
        </w:tabs>
        <w:ind w:left="600" w:hanging="600"/>
      </w:pPr>
      <w:r>
        <w:t>35.</w:t>
      </w:r>
      <w:r>
        <w:tab/>
        <w:t>Fuel oil tanks internally.</w:t>
      </w:r>
    </w:p>
    <w:p>
      <w:pPr>
        <w:pStyle w:val="yMiscellaneousBody"/>
        <w:tabs>
          <w:tab w:val="left" w:pos="600"/>
        </w:tabs>
        <w:ind w:left="600" w:hanging="600"/>
        <w:rPr>
          <w:b/>
          <w:bCs/>
        </w:rPr>
      </w:pPr>
      <w:r>
        <w:rPr>
          <w:b/>
          <w:bCs/>
        </w:rPr>
        <w:t>Other survey periods</w:t>
      </w:r>
    </w:p>
    <w:p>
      <w:pPr>
        <w:pStyle w:val="yMiscellaneousBody"/>
        <w:tabs>
          <w:tab w:val="left" w:pos="600"/>
        </w:tabs>
        <w:ind w:left="600" w:hanging="600"/>
      </w:pPr>
      <w:r>
        <w:t>36.</w:t>
      </w:r>
      <w:r>
        <w:tab/>
        <w:t>The survey period for an item not specified in this Part shall be that period determined by the Authority.</w:t>
      </w:r>
    </w:p>
    <w:p>
      <w:pPr>
        <w:pStyle w:val="yMiscellaneousHeading"/>
        <w:rPr>
          <w:b/>
          <w:bCs/>
        </w:rPr>
      </w:pPr>
      <w:r>
        <w:rPr>
          <w:b/>
          <w:bCs/>
        </w:rPr>
        <w:t>Part II — Vessels of 35 metres in length and over</w:t>
      </w:r>
    </w:p>
    <w:p>
      <w:pPr>
        <w:pStyle w:val="yMiscellaneousBody"/>
        <w:tabs>
          <w:tab w:val="left" w:pos="480"/>
        </w:tabs>
        <w:ind w:left="480" w:hanging="480"/>
        <w:rPr>
          <w:b/>
          <w:bCs/>
        </w:rPr>
      </w:pPr>
      <w:r>
        <w:rPr>
          <w:b/>
          <w:bCs/>
        </w:rPr>
        <w:t>Annual surveys</w:t>
      </w:r>
    </w:p>
    <w:p>
      <w:pPr>
        <w:pStyle w:val="yMiscellaneousBody"/>
        <w:tabs>
          <w:tab w:val="left" w:pos="480"/>
        </w:tabs>
        <w:ind w:left="480" w:hanging="480"/>
      </w:pPr>
      <w:r>
        <w:t>1.</w:t>
      </w:r>
      <w:r>
        <w:tab/>
        <w:t>Equipment.</w:t>
      </w:r>
    </w:p>
    <w:p>
      <w:pPr>
        <w:pStyle w:val="yMiscellaneousBody"/>
        <w:tabs>
          <w:tab w:val="left" w:pos="480"/>
        </w:tabs>
        <w:ind w:left="480" w:hanging="480"/>
      </w:pPr>
      <w:r>
        <w:t>2.</w:t>
      </w:r>
      <w:r>
        <w:tab/>
        <w:t>Running trial of each main engine and associated gear box.</w:t>
      </w:r>
    </w:p>
    <w:p>
      <w:pPr>
        <w:pStyle w:val="yMiscellaneousBody"/>
        <w:tabs>
          <w:tab w:val="left" w:pos="480"/>
        </w:tabs>
        <w:ind w:left="480" w:hanging="480"/>
      </w:pPr>
      <w:r>
        <w:t>3.</w:t>
      </w:r>
      <w:r>
        <w:tab/>
        <w:t>Operation test of all valves in the fire main system.</w:t>
      </w:r>
    </w:p>
    <w:p>
      <w:pPr>
        <w:pStyle w:val="yMiscellaneousBody"/>
        <w:tabs>
          <w:tab w:val="left" w:pos="480"/>
        </w:tabs>
        <w:ind w:left="480" w:hanging="480"/>
      </w:pPr>
      <w:r>
        <w:t>4.</w:t>
      </w:r>
      <w:r>
        <w:tab/>
        <w:t>Operational test of all sea injection and overboard discharge valves and cocks.</w:t>
      </w:r>
    </w:p>
    <w:p>
      <w:pPr>
        <w:pStyle w:val="yMiscellaneousBody"/>
        <w:tabs>
          <w:tab w:val="left" w:pos="480"/>
        </w:tabs>
        <w:ind w:left="480" w:hanging="480"/>
      </w:pPr>
      <w:r>
        <w:t>5.</w:t>
      </w:r>
      <w:r>
        <w:tab/>
        <w:t>Operational test of main and emergency means of steering.</w:t>
      </w:r>
    </w:p>
    <w:p>
      <w:pPr>
        <w:pStyle w:val="yMiscellaneousBody"/>
        <w:tabs>
          <w:tab w:val="left" w:pos="480"/>
        </w:tabs>
        <w:ind w:left="480" w:hanging="480"/>
      </w:pPr>
      <w:r>
        <w:t>6.</w:t>
      </w:r>
      <w:r>
        <w:tab/>
        <w:t>Running trial of all machinery essential to the safe operation of the vessel.</w:t>
      </w:r>
    </w:p>
    <w:p>
      <w:pPr>
        <w:pStyle w:val="yMiscellaneousBody"/>
        <w:tabs>
          <w:tab w:val="left" w:pos="480"/>
        </w:tabs>
        <w:ind w:left="480" w:hanging="480"/>
      </w:pPr>
      <w:r>
        <w:t>7.</w:t>
      </w:r>
      <w:r>
        <w:tab/>
        <w:t>Inspection of all pipe arrangements.</w:t>
      </w:r>
    </w:p>
    <w:p>
      <w:pPr>
        <w:pStyle w:val="yMiscellaneousBody"/>
        <w:tabs>
          <w:tab w:val="left" w:pos="480"/>
        </w:tabs>
        <w:ind w:left="480" w:hanging="480"/>
      </w:pPr>
      <w:r>
        <w:t>8.</w:t>
      </w:r>
      <w:r>
        <w:tab/>
        <w:t>General inspection of machinery installation and electrical installation.</w:t>
      </w:r>
    </w:p>
    <w:p>
      <w:pPr>
        <w:pStyle w:val="yMiscellaneousBody"/>
        <w:tabs>
          <w:tab w:val="left" w:pos="480"/>
        </w:tabs>
        <w:ind w:left="480" w:hanging="480"/>
      </w:pPr>
      <w:r>
        <w:t>9.</w:t>
      </w:r>
      <w:r>
        <w:tab/>
        <w:t>All safety and relief valves associated with the safe operation of the vessel to be set at the required working pressure.</w:t>
      </w:r>
    </w:p>
    <w:p>
      <w:pPr>
        <w:pStyle w:val="yMiscellaneousBody"/>
        <w:tabs>
          <w:tab w:val="left" w:pos="480"/>
        </w:tabs>
        <w:ind w:left="480" w:hanging="480"/>
      </w:pPr>
      <w:r>
        <w:t>10.</w:t>
      </w:r>
      <w:r>
        <w:tab/>
        <w:t>Pressure vessels used for the generation of steam at a pressure not exceeding 345 kPa or for heating water to a temperature exceeding 99</w:t>
      </w:r>
      <w:r>
        <w:rPr>
          <w:vertAlign w:val="superscript"/>
        </w:rPr>
        <w:t>o</w:t>
      </w:r>
      <w:r>
        <w:t>C together with their associated mountings (not being a boiler referred to in items 16 and 23).</w:t>
      </w:r>
    </w:p>
    <w:p>
      <w:pPr>
        <w:pStyle w:val="yMiscellaneousBody"/>
        <w:tabs>
          <w:tab w:val="left" w:pos="480"/>
        </w:tabs>
        <w:ind w:left="480" w:hanging="480"/>
      </w:pPr>
      <w:r>
        <w:t>11.</w:t>
      </w:r>
      <w:r>
        <w:tab/>
        <w:t>Inspection of the liquefied petroleum gas installation.</w:t>
      </w:r>
    </w:p>
    <w:p>
      <w:pPr>
        <w:pStyle w:val="yMiscellaneousBody"/>
        <w:tabs>
          <w:tab w:val="left" w:pos="480"/>
        </w:tabs>
        <w:ind w:left="480" w:hanging="480"/>
      </w:pPr>
      <w:r>
        <w:t>12.</w:t>
      </w:r>
      <w:r>
        <w:tab/>
        <w:t>Inspection of cargo handling, fishing and trawling gear.</w:t>
      </w:r>
    </w:p>
    <w:p>
      <w:pPr>
        <w:pStyle w:val="yMiscellaneousBody"/>
        <w:tabs>
          <w:tab w:val="left" w:pos="480"/>
        </w:tabs>
        <w:ind w:left="480" w:hanging="480"/>
      </w:pPr>
      <w:r>
        <w:t>13.</w:t>
      </w:r>
      <w:r>
        <w:tab/>
        <w:t>Inspection of escapes from engine room and accommodation spaces.</w:t>
      </w:r>
    </w:p>
    <w:p>
      <w:pPr>
        <w:pStyle w:val="yMiscellaneousBody"/>
        <w:tabs>
          <w:tab w:val="left" w:pos="480"/>
        </w:tabs>
        <w:ind w:left="480" w:hanging="480"/>
      </w:pPr>
      <w:r>
        <w:t>14.</w:t>
      </w:r>
      <w:r>
        <w:tab/>
        <w:t>Inspection of personnel protection arrangements in machinery spaces.</w:t>
      </w:r>
    </w:p>
    <w:p>
      <w:pPr>
        <w:pStyle w:val="yMiscellaneousBody"/>
        <w:tabs>
          <w:tab w:val="left" w:pos="480"/>
        </w:tabs>
        <w:ind w:left="480" w:hanging="480"/>
      </w:pPr>
      <w:r>
        <w:t>15.</w:t>
      </w:r>
      <w:r>
        <w:tab/>
        <w:t>Inspection of casings, superstructures, skylights, hatchways, companionways, bulwarks and guard rails, ventilators and air pipes, together with all closing devices.</w:t>
      </w:r>
    </w:p>
    <w:p>
      <w:pPr>
        <w:pStyle w:val="yMiscellaneousBody"/>
        <w:tabs>
          <w:tab w:val="left" w:pos="480"/>
        </w:tabs>
        <w:ind w:left="480" w:hanging="480"/>
      </w:pPr>
      <w:r>
        <w:t>16.</w:t>
      </w:r>
      <w:r>
        <w:tab/>
        <w:t>A boiler and its mountings where the boiler has been in service for more than 8 years (not being a pressure vessel referred to in item 10).</w:t>
      </w:r>
    </w:p>
    <w:p>
      <w:pPr>
        <w:pStyle w:val="yMiscellaneousBody"/>
        <w:tabs>
          <w:tab w:val="left" w:pos="480"/>
        </w:tabs>
        <w:ind w:left="480" w:hanging="480"/>
      </w:pPr>
      <w:r>
        <w:t>17.</w:t>
      </w:r>
      <w:r>
        <w:tab/>
        <w:t>An evaporator and its mountings which has been in service for more than 8 years, and in which the operating pressure is above atmospheric.</w:t>
      </w:r>
    </w:p>
    <w:p>
      <w:pPr>
        <w:pStyle w:val="yMiscellaneousBody"/>
        <w:tabs>
          <w:tab w:val="left" w:pos="480"/>
        </w:tabs>
        <w:ind w:left="480" w:hanging="480"/>
        <w:rPr>
          <w:b/>
          <w:bCs/>
        </w:rPr>
      </w:pPr>
      <w:r>
        <w:rPr>
          <w:b/>
          <w:bCs/>
        </w:rPr>
        <w:t>2</w:t>
      </w:r>
      <w:r>
        <w:rPr>
          <w:b/>
          <w:bCs/>
        </w:rPr>
        <w:noBreakHyphen/>
        <w:t>Yearly surveys</w:t>
      </w:r>
    </w:p>
    <w:p>
      <w:pPr>
        <w:pStyle w:val="yMiscellaneousBody"/>
        <w:tabs>
          <w:tab w:val="left" w:pos="480"/>
        </w:tabs>
        <w:ind w:left="480" w:hanging="480"/>
      </w:pPr>
      <w:r>
        <w:t>18.</w:t>
      </w:r>
      <w:r>
        <w:tab/>
      </w:r>
      <w:smartTag w:uri="urn:schemas-microsoft-com:office:smarttags" w:element="City">
        <w:smartTag w:uri="urn:schemas-microsoft-com:office:smarttags" w:element="place">
          <w:r>
            <w:t>Hull</w:t>
          </w:r>
        </w:smartTag>
      </w:smartTag>
      <w:r>
        <w:t xml:space="preserve"> externally and internally except in way of tanks forming part of the structure.</w:t>
      </w:r>
    </w:p>
    <w:p>
      <w:pPr>
        <w:pStyle w:val="yMiscellaneousBody"/>
        <w:tabs>
          <w:tab w:val="left" w:pos="480"/>
        </w:tabs>
        <w:ind w:left="480" w:hanging="480"/>
      </w:pPr>
      <w:r>
        <w:t>19.</w:t>
      </w:r>
      <w:r>
        <w:tab/>
        <w:t>Sea cocks and valves, bilge injection valves and overboard discharge valves, of ferrous construction.</w:t>
      </w:r>
    </w:p>
    <w:p>
      <w:pPr>
        <w:pStyle w:val="yMiscellaneousBody"/>
        <w:tabs>
          <w:tab w:val="left" w:pos="480"/>
        </w:tabs>
        <w:ind w:left="480" w:hanging="480"/>
      </w:pPr>
      <w:r>
        <w:t>20.</w:t>
      </w:r>
      <w:r>
        <w:tab/>
        <w:t>Inspection of propellers, rudders, and under water fittings.</w:t>
      </w:r>
    </w:p>
    <w:p>
      <w:pPr>
        <w:pStyle w:val="yMiscellaneousBody"/>
        <w:tabs>
          <w:tab w:val="left" w:pos="480"/>
        </w:tabs>
        <w:ind w:left="480" w:hanging="480"/>
      </w:pPr>
      <w:r>
        <w:t>21.</w:t>
      </w:r>
      <w:r>
        <w:tab/>
        <w:t>Operational test of bilge pumps, bilge valves and bilge alarms.</w:t>
      </w:r>
    </w:p>
    <w:p>
      <w:pPr>
        <w:pStyle w:val="yMiscellaneousBody"/>
        <w:tabs>
          <w:tab w:val="left" w:pos="480"/>
        </w:tabs>
        <w:ind w:left="480" w:hanging="480"/>
      </w:pPr>
      <w:r>
        <w:t>22.</w:t>
      </w:r>
      <w:r>
        <w:tab/>
        <w:t>Pressure vessel and associate mountings of an air pressure/salt system having a working pressure of more than 275 kPa.</w:t>
      </w:r>
    </w:p>
    <w:p>
      <w:pPr>
        <w:pStyle w:val="yMiscellaneousBody"/>
        <w:tabs>
          <w:tab w:val="left" w:pos="480"/>
        </w:tabs>
        <w:ind w:left="480" w:hanging="480"/>
      </w:pPr>
      <w:r>
        <w:t>23.</w:t>
      </w:r>
      <w:r>
        <w:tab/>
        <w:t>A boiler and its mountings where the boiler has been in service for less than 8 years (not being a pressure vessel referred to in item 10).</w:t>
      </w:r>
    </w:p>
    <w:p>
      <w:pPr>
        <w:pStyle w:val="yMiscellaneousBody"/>
        <w:tabs>
          <w:tab w:val="left" w:pos="480"/>
        </w:tabs>
        <w:ind w:left="480" w:hanging="480"/>
      </w:pPr>
      <w:r>
        <w:t>24.</w:t>
      </w:r>
      <w:r>
        <w:tab/>
        <w:t>An evaporator and its mountings, which has been in service for less than 8 years, and in which the operating pressure is above atmospheric.</w:t>
      </w:r>
    </w:p>
    <w:p>
      <w:pPr>
        <w:pStyle w:val="yMiscellaneousBody"/>
        <w:tabs>
          <w:tab w:val="left" w:pos="480"/>
        </w:tabs>
        <w:ind w:left="480" w:hanging="480"/>
        <w:rPr>
          <w:b/>
          <w:bCs/>
        </w:rPr>
      </w:pPr>
      <w:r>
        <w:rPr>
          <w:b/>
          <w:bCs/>
        </w:rPr>
        <w:t>4</w:t>
      </w:r>
      <w:r>
        <w:rPr>
          <w:b/>
          <w:bCs/>
        </w:rPr>
        <w:noBreakHyphen/>
        <w:t>Yearly surveys</w:t>
      </w:r>
    </w:p>
    <w:p>
      <w:pPr>
        <w:pStyle w:val="yMiscellaneousBody"/>
        <w:tabs>
          <w:tab w:val="left" w:pos="480"/>
        </w:tabs>
        <w:ind w:left="480" w:hanging="480"/>
      </w:pPr>
      <w:r>
        <w:t>25.</w:t>
      </w:r>
      <w:r>
        <w:tab/>
        <w:t>Sea cocks and valves, bilge injection valves and overboard discharge valves, of non</w:t>
      </w:r>
      <w:r>
        <w:noBreakHyphen/>
        <w:t>ferrous construction.</w:t>
      </w:r>
    </w:p>
    <w:p>
      <w:pPr>
        <w:pStyle w:val="yMiscellaneousBody"/>
        <w:tabs>
          <w:tab w:val="left" w:pos="480"/>
        </w:tabs>
        <w:ind w:left="480" w:hanging="480"/>
      </w:pPr>
      <w:r>
        <w:t>26.</w:t>
      </w:r>
      <w:r>
        <w:tab/>
        <w:t>Bilge pumps.</w:t>
      </w:r>
    </w:p>
    <w:p>
      <w:pPr>
        <w:pStyle w:val="yMiscellaneousBody"/>
        <w:tabs>
          <w:tab w:val="left" w:pos="480"/>
        </w:tabs>
        <w:ind w:left="480" w:hanging="480"/>
      </w:pPr>
      <w:r>
        <w:t>27.</w:t>
      </w:r>
      <w:r>
        <w:tab/>
        <w:t>Independent pumps used for pumping sea water, fresh water, fuel oil, condensate and boiler feed.</w:t>
      </w:r>
    </w:p>
    <w:p>
      <w:pPr>
        <w:pStyle w:val="yMiscellaneousBody"/>
        <w:tabs>
          <w:tab w:val="left" w:pos="480"/>
        </w:tabs>
        <w:ind w:left="480" w:hanging="480"/>
      </w:pPr>
      <w:r>
        <w:t>28.</w:t>
      </w:r>
      <w:r>
        <w:tab/>
        <w:t>Air receivers and mountings, selected sections of air piping and explosion protection devices.</w:t>
      </w:r>
    </w:p>
    <w:p>
      <w:pPr>
        <w:pStyle w:val="yMiscellaneousBody"/>
        <w:tabs>
          <w:tab w:val="left" w:pos="480"/>
        </w:tabs>
        <w:ind w:left="480" w:hanging="480"/>
      </w:pPr>
      <w:r>
        <w:t>29.</w:t>
      </w:r>
      <w:r>
        <w:tab/>
        <w:t>Main propulsion intermediate shafting.</w:t>
      </w:r>
    </w:p>
    <w:p>
      <w:pPr>
        <w:pStyle w:val="yMiscellaneousBody"/>
        <w:tabs>
          <w:tab w:val="left" w:pos="480"/>
        </w:tabs>
        <w:ind w:left="480" w:hanging="480"/>
      </w:pPr>
      <w:r>
        <w:t>30.</w:t>
      </w:r>
      <w:r>
        <w:tab/>
        <w:t>Evaporators and mountings in which the operating pressure is at or below atmospheric pressure.</w:t>
      </w:r>
    </w:p>
    <w:p>
      <w:pPr>
        <w:pStyle w:val="yMiscellaneousBody"/>
        <w:tabs>
          <w:tab w:val="left" w:pos="480"/>
        </w:tabs>
        <w:ind w:left="480" w:hanging="480"/>
      </w:pPr>
      <w:r>
        <w:t>31.</w:t>
      </w:r>
      <w:r>
        <w:tab/>
        <w:t>Anchors and cables and all links and joining shackles.</w:t>
      </w:r>
    </w:p>
    <w:p>
      <w:pPr>
        <w:pStyle w:val="yMiscellaneousBody"/>
        <w:tabs>
          <w:tab w:val="left" w:pos="480"/>
        </w:tabs>
        <w:ind w:left="480" w:hanging="480"/>
      </w:pPr>
      <w:r>
        <w:t>32.</w:t>
      </w:r>
      <w:r>
        <w:tab/>
        <w:t>Windlass.</w:t>
      </w:r>
    </w:p>
    <w:p>
      <w:pPr>
        <w:pStyle w:val="yMiscellaneousBody"/>
        <w:tabs>
          <w:tab w:val="left" w:pos="480"/>
        </w:tabs>
        <w:ind w:left="480" w:hanging="480"/>
      </w:pPr>
      <w:r>
        <w:t>33.</w:t>
      </w:r>
      <w:r>
        <w:tab/>
        <w:t>Condensers, lubricating oil coolers, jacket water coolers, drain coolers, distillers and air ejectors.</w:t>
      </w:r>
    </w:p>
    <w:p>
      <w:pPr>
        <w:pStyle w:val="yMiscellaneousBody"/>
        <w:tabs>
          <w:tab w:val="left" w:pos="480"/>
        </w:tabs>
        <w:ind w:left="480" w:hanging="480"/>
      </w:pPr>
      <w:r>
        <w:t>34.</w:t>
      </w:r>
      <w:r>
        <w:tab/>
        <w:t>Boiler feed water heaters.</w:t>
      </w:r>
    </w:p>
    <w:p>
      <w:pPr>
        <w:pStyle w:val="yMiscellaneousBody"/>
        <w:tabs>
          <w:tab w:val="left" w:pos="480"/>
        </w:tabs>
        <w:ind w:left="480" w:hanging="480"/>
      </w:pPr>
      <w:r>
        <w:t>35.</w:t>
      </w:r>
      <w:r>
        <w:tab/>
        <w:t>Oil fuel heaters.</w:t>
      </w:r>
    </w:p>
    <w:p>
      <w:pPr>
        <w:pStyle w:val="yMiscellaneousBody"/>
        <w:tabs>
          <w:tab w:val="left" w:pos="480"/>
        </w:tabs>
        <w:ind w:left="480" w:hanging="480"/>
      </w:pPr>
      <w:r>
        <w:t>36.</w:t>
      </w:r>
      <w:r>
        <w:tab/>
        <w:t>Gear boxes to such extent necessary to ensure satisfactory condition.</w:t>
      </w:r>
    </w:p>
    <w:p>
      <w:pPr>
        <w:pStyle w:val="yMiscellaneousBody"/>
        <w:tabs>
          <w:tab w:val="left" w:pos="480"/>
        </w:tabs>
        <w:ind w:left="480" w:hanging="480"/>
      </w:pPr>
      <w:r>
        <w:t>37.</w:t>
      </w:r>
      <w:r>
        <w:tab/>
        <w:t>Screw and tube shafts.</w:t>
      </w:r>
    </w:p>
    <w:p>
      <w:pPr>
        <w:pStyle w:val="yMiscellaneousBody"/>
        <w:tabs>
          <w:tab w:val="left" w:pos="480"/>
        </w:tabs>
        <w:ind w:left="480" w:hanging="480"/>
      </w:pPr>
      <w:r>
        <w:t>38.</w:t>
      </w:r>
      <w:r>
        <w:tab/>
        <w:t>Internal combustion engined auxiliary generators other than emergency generators.</w:t>
      </w:r>
    </w:p>
    <w:p>
      <w:pPr>
        <w:pStyle w:val="yMiscellaneousBody"/>
        <w:tabs>
          <w:tab w:val="left" w:pos="480"/>
        </w:tabs>
        <w:ind w:left="480" w:hanging="480"/>
      </w:pPr>
      <w:r>
        <w:t>39.</w:t>
      </w:r>
      <w:r>
        <w:tab/>
        <w:t>Turbo</w:t>
      </w:r>
      <w:r>
        <w:noBreakHyphen/>
        <w:t>generators.</w:t>
      </w:r>
    </w:p>
    <w:p>
      <w:pPr>
        <w:pStyle w:val="yMiscellaneousBody"/>
        <w:tabs>
          <w:tab w:val="left" w:pos="480"/>
        </w:tabs>
        <w:ind w:left="480" w:hanging="480"/>
      </w:pPr>
      <w:r>
        <w:t>40.</w:t>
      </w:r>
      <w:r>
        <w:tab/>
        <w:t>Main engine, steam turbines.</w:t>
      </w:r>
    </w:p>
    <w:p>
      <w:pPr>
        <w:pStyle w:val="yMiscellaneousBody"/>
        <w:tabs>
          <w:tab w:val="left" w:pos="480"/>
        </w:tabs>
        <w:ind w:left="480" w:hanging="480"/>
      </w:pPr>
      <w:r>
        <w:t>41.</w:t>
      </w:r>
      <w:r>
        <w:tab/>
        <w:t>Main engine, internal combustion engines.</w:t>
      </w:r>
    </w:p>
    <w:p>
      <w:pPr>
        <w:pStyle w:val="yMiscellaneousBody"/>
        <w:tabs>
          <w:tab w:val="left" w:pos="480"/>
        </w:tabs>
        <w:ind w:left="480" w:hanging="480"/>
      </w:pPr>
      <w:r>
        <w:t>42.</w:t>
      </w:r>
      <w:r>
        <w:tab/>
        <w:t>Selected lengths of steel steam pipes having bolted joints and carrying steam at a temperature exceeding 455</w:t>
      </w:r>
      <w:r>
        <w:rPr>
          <w:vertAlign w:val="superscript"/>
        </w:rPr>
        <w:t>o</w:t>
      </w:r>
      <w:r>
        <w:t>C.  Also hydraulic test of those lengths.</w:t>
      </w:r>
    </w:p>
    <w:p>
      <w:pPr>
        <w:pStyle w:val="yMiscellaneousBody"/>
        <w:tabs>
          <w:tab w:val="left" w:pos="480"/>
        </w:tabs>
        <w:ind w:left="480" w:hanging="480"/>
      </w:pPr>
      <w:r>
        <w:t>43.</w:t>
      </w:r>
      <w:r>
        <w:tab/>
        <w:t>Steel pipes having welded joints carrying steam at a temperature exceeding 455</w:t>
      </w:r>
      <w:r>
        <w:rPr>
          <w:vertAlign w:val="superscript"/>
        </w:rPr>
        <w:t>o</w:t>
      </w:r>
      <w:r>
        <w:t>C.  Also hydraulic test of those lengths.</w:t>
      </w:r>
    </w:p>
    <w:p>
      <w:pPr>
        <w:pStyle w:val="yMiscellaneousBody"/>
        <w:tabs>
          <w:tab w:val="left" w:pos="480"/>
        </w:tabs>
        <w:ind w:left="480" w:hanging="480"/>
      </w:pPr>
      <w:r>
        <w:t>44.</w:t>
      </w:r>
      <w:r>
        <w:tab/>
        <w:t>Pressure vessel and associated mountings of an air pressure/fresh water system having a working pressure of more than 275 kPa.</w:t>
      </w:r>
    </w:p>
    <w:p>
      <w:pPr>
        <w:pStyle w:val="yMiscellaneousBody"/>
        <w:tabs>
          <w:tab w:val="left" w:pos="480"/>
        </w:tabs>
        <w:ind w:left="480" w:hanging="480"/>
      </w:pPr>
      <w:r>
        <w:t>45.</w:t>
      </w:r>
      <w:r>
        <w:tab/>
        <w:t>After the twelfth year in service all solid drawn copper steam pipes having an internal diameter exceeding 75 mm are to be annealed and hydraulically tested.</w:t>
      </w:r>
    </w:p>
    <w:p>
      <w:pPr>
        <w:pStyle w:val="yMiscellaneousBody"/>
        <w:tabs>
          <w:tab w:val="left" w:pos="480"/>
        </w:tabs>
        <w:ind w:left="480" w:hanging="480"/>
      </w:pPr>
      <w:r>
        <w:t>46.</w:t>
      </w:r>
      <w:r>
        <w:tab/>
        <w:t>After the twelfth year in service selected lengths of steel steam pipes having an internal diameter exceeding 75 mm and carrying steam not exceeding 455</w:t>
      </w:r>
      <w:r>
        <w:rPr>
          <w:vertAlign w:val="superscript"/>
        </w:rPr>
        <w:t>o</w:t>
      </w:r>
      <w:r>
        <w:t>C are to be hydraulically tested.</w:t>
      </w:r>
    </w:p>
    <w:p>
      <w:pPr>
        <w:pStyle w:val="yMiscellaneousBody"/>
        <w:keepNext/>
        <w:tabs>
          <w:tab w:val="left" w:pos="480"/>
        </w:tabs>
        <w:ind w:left="480" w:hanging="480"/>
        <w:rPr>
          <w:b/>
          <w:bCs/>
        </w:rPr>
      </w:pPr>
      <w:r>
        <w:rPr>
          <w:b/>
          <w:bCs/>
        </w:rPr>
        <w:t>5</w:t>
      </w:r>
      <w:r>
        <w:rPr>
          <w:b/>
          <w:bCs/>
        </w:rPr>
        <w:noBreakHyphen/>
        <w:t>Yearly surveys</w:t>
      </w:r>
    </w:p>
    <w:p>
      <w:pPr>
        <w:pStyle w:val="yMiscellaneousBody"/>
        <w:tabs>
          <w:tab w:val="left" w:pos="480"/>
        </w:tabs>
        <w:ind w:left="480" w:hanging="480"/>
      </w:pPr>
      <w:r>
        <w:t>47.</w:t>
      </w:r>
      <w:r>
        <w:tab/>
        <w:t>Peak tanks internally.  Peak tanks are to be tested to a head sufficient to give the maximum pressure than can be experienced in service.</w:t>
      </w:r>
    </w:p>
    <w:p>
      <w:pPr>
        <w:pStyle w:val="yMiscellaneousBody"/>
        <w:tabs>
          <w:tab w:val="left" w:pos="480"/>
        </w:tabs>
        <w:ind w:left="480" w:hanging="480"/>
      </w:pPr>
      <w:r>
        <w:t>48.</w:t>
      </w:r>
      <w:r>
        <w:tab/>
        <w:t>Deep tanks (except those tanks used exclusively for oil fuel) internally.  All deep tanks are to be tested to a head sufficient to give the maximum pressure that can be experienced in service.  Deep tanks used exclusively for oil fuel need not be examined internally subject to satisfactory external survey and hydraulic test.</w:t>
      </w:r>
    </w:p>
    <w:p>
      <w:pPr>
        <w:pStyle w:val="yMiscellaneousBody"/>
        <w:tabs>
          <w:tab w:val="left" w:pos="480"/>
        </w:tabs>
        <w:ind w:left="480" w:hanging="480"/>
      </w:pPr>
      <w:r>
        <w:t>49.</w:t>
      </w:r>
      <w:r>
        <w:tab/>
        <w:t>Double bottom tanks (except those tanks used exclusively for oil fuel) internally.  All double bottom tanks are to be tested to a head sufficient to give the maximum pressure that can be experienced in service.  Double bottom tanks used exclusively for oil fuel need not be examined internally subject to satisfactory external survey and hydraulic test.</w:t>
      </w:r>
    </w:p>
    <w:p>
      <w:pPr>
        <w:pStyle w:val="yMiscellaneousBody"/>
        <w:tabs>
          <w:tab w:val="left" w:pos="480"/>
        </w:tabs>
        <w:ind w:left="480" w:hanging="480"/>
      </w:pPr>
      <w:r>
        <w:t>50.</w:t>
      </w:r>
      <w:r>
        <w:tab/>
        <w:t>Ballast tanks and tanks forming part of the ship’s main structure internally.  Ballast tanks and tanks forming part of the ship’s structure are to be hydraulically tested to a head sufficient to give the maximum pressure that can be experienced in service.</w:t>
      </w:r>
    </w:p>
    <w:p>
      <w:pPr>
        <w:pStyle w:val="yMiscellaneousBody"/>
        <w:tabs>
          <w:tab w:val="left" w:pos="480"/>
        </w:tabs>
        <w:ind w:left="480" w:hanging="480"/>
        <w:rPr>
          <w:b/>
          <w:bCs/>
        </w:rPr>
      </w:pPr>
      <w:r>
        <w:rPr>
          <w:b/>
          <w:bCs/>
        </w:rPr>
        <w:t>6</w:t>
      </w:r>
      <w:r>
        <w:rPr>
          <w:b/>
          <w:bCs/>
        </w:rPr>
        <w:noBreakHyphen/>
        <w:t>Yearly survey</w:t>
      </w:r>
    </w:p>
    <w:p>
      <w:pPr>
        <w:pStyle w:val="yMiscellaneousBody"/>
        <w:tabs>
          <w:tab w:val="left" w:pos="480"/>
        </w:tabs>
        <w:ind w:left="480" w:hanging="480"/>
      </w:pPr>
      <w:r>
        <w:t>51.</w:t>
      </w:r>
      <w:r>
        <w:tab/>
        <w:t>Independent pumps used solely for pumping lubricating oil (except those pumps used for the supply of oil under pressure to hydraulically operated machinery).</w:t>
      </w:r>
    </w:p>
    <w:p>
      <w:pPr>
        <w:pStyle w:val="yMiscellaneousBody"/>
        <w:tabs>
          <w:tab w:val="left" w:pos="480"/>
        </w:tabs>
        <w:ind w:left="480" w:hanging="480"/>
        <w:rPr>
          <w:b/>
          <w:bCs/>
        </w:rPr>
      </w:pPr>
      <w:r>
        <w:rPr>
          <w:b/>
          <w:bCs/>
        </w:rPr>
        <w:t>8</w:t>
      </w:r>
      <w:r>
        <w:rPr>
          <w:b/>
          <w:bCs/>
        </w:rPr>
        <w:noBreakHyphen/>
        <w:t>Yearly surveys</w:t>
      </w:r>
    </w:p>
    <w:p>
      <w:pPr>
        <w:pStyle w:val="yMiscellaneousBody"/>
        <w:tabs>
          <w:tab w:val="left" w:pos="480"/>
        </w:tabs>
        <w:ind w:left="480" w:hanging="480"/>
      </w:pPr>
      <w:r>
        <w:t>52.</w:t>
      </w:r>
      <w:r>
        <w:tab/>
        <w:t>Independent pumps used for the supply of lubricating oil under pressure to  hydraulically operated machinery.</w:t>
      </w:r>
    </w:p>
    <w:p>
      <w:pPr>
        <w:pStyle w:val="yMiscellaneousBody"/>
        <w:tabs>
          <w:tab w:val="left" w:pos="480"/>
        </w:tabs>
        <w:ind w:left="480" w:hanging="480"/>
      </w:pPr>
      <w:r>
        <w:t>53.</w:t>
      </w:r>
      <w:r>
        <w:tab/>
        <w:t>Electrically operated or hydraulically operated steering gear.</w:t>
      </w:r>
    </w:p>
    <w:p>
      <w:pPr>
        <w:pStyle w:val="yMiscellaneousBody"/>
        <w:tabs>
          <w:tab w:val="left" w:pos="480"/>
        </w:tabs>
        <w:ind w:left="480" w:hanging="480"/>
      </w:pPr>
      <w:r>
        <w:t>54.</w:t>
      </w:r>
      <w:r>
        <w:tab/>
        <w:t>All solid drawn copper steam pipes having an internal diameter exceeding 75 mm are to be annealed and hydraulically tested.</w:t>
      </w:r>
    </w:p>
    <w:p>
      <w:pPr>
        <w:pStyle w:val="yMiscellaneousBody"/>
        <w:tabs>
          <w:tab w:val="left" w:pos="480"/>
        </w:tabs>
        <w:ind w:left="480" w:hanging="480"/>
      </w:pPr>
      <w:r>
        <w:t>55.</w:t>
      </w:r>
      <w:r>
        <w:tab/>
        <w:t>Selected lengths of steel steam pipes having an internal diameter exceeding 75 mm and carrying steam at a temperature not exceeding 455</w:t>
      </w:r>
      <w:r>
        <w:rPr>
          <w:vertAlign w:val="superscript"/>
        </w:rPr>
        <w:t>o</w:t>
      </w:r>
      <w:r>
        <w:t>C are to be hydraulically tested.</w:t>
      </w:r>
    </w:p>
    <w:p>
      <w:pPr>
        <w:pStyle w:val="yMiscellaneousBody"/>
        <w:keepNext/>
        <w:tabs>
          <w:tab w:val="left" w:pos="480"/>
        </w:tabs>
        <w:ind w:left="480" w:hanging="480"/>
        <w:rPr>
          <w:b/>
          <w:bCs/>
        </w:rPr>
      </w:pPr>
      <w:r>
        <w:rPr>
          <w:b/>
          <w:bCs/>
        </w:rPr>
        <w:t>Other survey periods</w:t>
      </w:r>
    </w:p>
    <w:p>
      <w:pPr>
        <w:pStyle w:val="yMiscellaneousBody"/>
        <w:tabs>
          <w:tab w:val="left" w:pos="480"/>
        </w:tabs>
        <w:ind w:left="480" w:hanging="480"/>
      </w:pPr>
      <w:r>
        <w:t>56.</w:t>
      </w:r>
      <w:r>
        <w:tab/>
        <w:t>Emergency generator i.e. generator used normally for emergency purposes shall be surveyed once in the first 12 years and thereafter once in every subsequent period of 8 years.</w:t>
      </w:r>
    </w:p>
    <w:p>
      <w:pPr>
        <w:pStyle w:val="yMiscellaneousBody"/>
        <w:tabs>
          <w:tab w:val="left" w:pos="480"/>
        </w:tabs>
        <w:ind w:left="480" w:hanging="480"/>
      </w:pPr>
      <w:r>
        <w:t>57.</w:t>
      </w:r>
      <w:r>
        <w:tab/>
        <w:t>One deep tank that is used exclusively for fuel oil to be surveyed internally every 5 years starting when the ship is 10 years old and all such deep tanks to be surveyed by the time the ship is 25 years old.</w:t>
      </w:r>
    </w:p>
    <w:p>
      <w:pPr>
        <w:pStyle w:val="yMiscellaneousBody"/>
        <w:tabs>
          <w:tab w:val="left" w:pos="480"/>
        </w:tabs>
        <w:ind w:left="480" w:hanging="480"/>
      </w:pPr>
      <w:r>
        <w:t>58.</w:t>
      </w:r>
      <w:r>
        <w:tab/>
        <w:t>At least one double bottom tank that is used exclusively for fuel oil to be surveyed internally every 5 years starting when the ship is 10 years old and all such double bottom tanks to be surveyed by the time the ship is 25 years old.</w:t>
      </w:r>
    </w:p>
    <w:p>
      <w:pPr>
        <w:pStyle w:val="yMiscellaneousBody"/>
        <w:tabs>
          <w:tab w:val="left" w:pos="480"/>
        </w:tabs>
        <w:ind w:left="480" w:hanging="480"/>
      </w:pPr>
      <w:r>
        <w:t>59.</w:t>
      </w:r>
      <w:r>
        <w:tab/>
        <w:t>The survey period for an item not specified in this Part shall be that period determined by the Authority.</w:t>
      </w:r>
    </w:p>
    <w:p>
      <w:pPr>
        <w:sectPr>
          <w:headerReference w:type="even" r:id="rId29"/>
          <w:headerReference w:type="default" r:id="rId30"/>
          <w:pgSz w:w="11906" w:h="16838" w:code="9"/>
          <w:pgMar w:top="2376" w:right="2405" w:bottom="3542" w:left="2405" w:header="706" w:footer="3380" w:gutter="0"/>
          <w:cols w:space="720"/>
          <w:noEndnote/>
          <w:docGrid w:linePitch="326"/>
        </w:sectPr>
      </w:pPr>
      <w:bookmarkStart w:id="363" w:name="_Toc212609814"/>
      <w:bookmarkStart w:id="364" w:name="_Toc232588287"/>
      <w:bookmarkStart w:id="365" w:name="_Toc233615445"/>
      <w:bookmarkStart w:id="366" w:name="_Toc235955738"/>
      <w:bookmarkStart w:id="367" w:name="_Toc236543228"/>
      <w:bookmarkStart w:id="368" w:name="_Toc236543415"/>
    </w:p>
    <w:bookmarkEnd w:id="363"/>
    <w:bookmarkEnd w:id="364"/>
    <w:bookmarkEnd w:id="365"/>
    <w:bookmarkEnd w:id="366"/>
    <w:bookmarkEnd w:id="367"/>
    <w:bookmarkEnd w:id="368"/>
    <w:p>
      <w:pPr>
        <w:pStyle w:val="yEdnoteschedule"/>
      </w:pPr>
      <w:r>
        <w:t>[Schedule 3 deleted in Gazette 11 Dec 2009 p. 5109.]</w:t>
      </w:r>
    </w:p>
    <w:p>
      <w:pPr>
        <w:pStyle w:val="yFootnotesection"/>
      </w:pPr>
    </w:p>
    <w:p>
      <w:pPr>
        <w:sectPr>
          <w:headerReference w:type="even" r:id="rId31"/>
          <w:headerReference w:type="default" r:id="rId32"/>
          <w:pgSz w:w="11906" w:h="16838" w:code="9"/>
          <w:pgMar w:top="2376" w:right="2405" w:bottom="3542" w:left="2405" w:header="706" w:footer="3380" w:gutter="0"/>
          <w:cols w:space="720"/>
          <w:noEndnote/>
          <w:docGrid w:linePitch="326"/>
        </w:sectPr>
      </w:pPr>
    </w:p>
    <w:p>
      <w:pPr>
        <w:pStyle w:val="nHeading2"/>
      </w:pPr>
      <w:bookmarkStart w:id="369" w:name="_Toc107747041"/>
      <w:bookmarkStart w:id="370" w:name="_Toc139183112"/>
      <w:bookmarkStart w:id="371" w:name="_Toc139347647"/>
      <w:bookmarkStart w:id="372" w:name="_Toc150239333"/>
      <w:bookmarkStart w:id="373" w:name="_Toc150239556"/>
      <w:bookmarkStart w:id="374" w:name="_Toc152381867"/>
      <w:bookmarkStart w:id="375" w:name="_Toc152486340"/>
      <w:bookmarkStart w:id="376" w:name="_Toc152728309"/>
      <w:bookmarkStart w:id="377" w:name="_Toc154212618"/>
      <w:bookmarkStart w:id="378" w:name="_Toc170633568"/>
      <w:bookmarkStart w:id="379" w:name="_Toc170814766"/>
      <w:bookmarkStart w:id="380" w:name="_Toc170814804"/>
      <w:bookmarkStart w:id="381" w:name="_Toc202506553"/>
      <w:bookmarkStart w:id="382" w:name="_Toc212609818"/>
      <w:bookmarkStart w:id="383" w:name="_Toc232588291"/>
      <w:bookmarkStart w:id="384" w:name="_Toc233615449"/>
      <w:bookmarkStart w:id="385" w:name="_Toc235955742"/>
      <w:bookmarkStart w:id="386" w:name="_Toc236543232"/>
      <w:bookmarkStart w:id="387" w:name="_Toc236543419"/>
      <w:bookmarkStart w:id="388" w:name="_Toc238457761"/>
      <w:bookmarkStart w:id="389" w:name="_Toc238959750"/>
      <w:bookmarkStart w:id="390" w:name="_Toc248306513"/>
      <w:bookmarkStart w:id="391" w:name="_Toc248307561"/>
      <w:bookmarkStart w:id="392" w:name="_Toc248308163"/>
      <w:bookmarkStart w:id="393" w:name="_Toc265675094"/>
      <w:bookmarkStart w:id="394" w:name="_Toc265675278"/>
      <w:bookmarkStart w:id="395" w:name="_Toc293650127"/>
      <w:bookmarkStart w:id="396" w:name="_Toc293650225"/>
      <w:r>
        <w:t>Notes</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p>
    <w:p>
      <w:pPr>
        <w:pStyle w:val="nSubsection"/>
        <w:rPr>
          <w:snapToGrid w:val="0"/>
        </w:rPr>
      </w:pPr>
      <w:r>
        <w:rPr>
          <w:snapToGrid w:val="0"/>
          <w:vertAlign w:val="superscript"/>
        </w:rPr>
        <w:t>1</w:t>
      </w:r>
      <w:r>
        <w:rPr>
          <w:snapToGrid w:val="0"/>
        </w:rPr>
        <w:tab/>
        <w:t xml:space="preserve">This is a compilation of the </w:t>
      </w:r>
      <w:r>
        <w:rPr>
          <w:i/>
          <w:noProof/>
          <w:snapToGrid w:val="0"/>
        </w:rPr>
        <w:t>W.A. Marine (Surveys and Certificates of Survey) Regulations 1983</w:t>
      </w:r>
      <w:r>
        <w:rPr>
          <w:snapToGrid w:val="0"/>
        </w:rPr>
        <w:t xml:space="preserve"> and includes the amendments made by the other written laws referred to in the following table.  The table also contains information about any reprint.</w:t>
      </w:r>
    </w:p>
    <w:p>
      <w:pPr>
        <w:pStyle w:val="nHeading3"/>
      </w:pPr>
      <w:bookmarkStart w:id="397" w:name="_Toc293650226"/>
      <w:r>
        <w:t>Compilation table</w:t>
      </w:r>
      <w:bookmarkEnd w:id="397"/>
    </w:p>
    <w:tbl>
      <w:tblPr>
        <w:tblW w:w="0" w:type="auto"/>
        <w:tblInd w:w="28" w:type="dxa"/>
        <w:tblLayout w:type="fixed"/>
        <w:tblCellMar>
          <w:left w:w="56" w:type="dxa"/>
          <w:right w:w="56" w:type="dxa"/>
        </w:tblCellMar>
        <w:tblLook w:val="0000" w:firstRow="0" w:lastRow="0" w:firstColumn="0" w:lastColumn="0" w:noHBand="0" w:noVBand="0"/>
      </w:tblPr>
      <w:tblGrid>
        <w:gridCol w:w="3094"/>
        <w:gridCol w:w="25"/>
        <w:gridCol w:w="1263"/>
        <w:gridCol w:w="13"/>
        <w:gridCol w:w="2688"/>
        <w:gridCol w:w="9"/>
      </w:tblGrid>
      <w:tr>
        <w:trPr>
          <w:tblHeader/>
        </w:trPr>
        <w:tc>
          <w:tcPr>
            <w:tcW w:w="3119" w:type="dxa"/>
            <w:gridSpan w:val="2"/>
            <w:tcBorders>
              <w:top w:val="single" w:sz="8" w:space="0" w:color="auto"/>
              <w:bottom w:val="single" w:sz="8" w:space="0" w:color="auto"/>
            </w:tcBorders>
          </w:tcPr>
          <w:p>
            <w:pPr>
              <w:pStyle w:val="nTable"/>
              <w:spacing w:after="40"/>
              <w:rPr>
                <w:b/>
                <w:sz w:val="19"/>
              </w:rPr>
            </w:pPr>
            <w:r>
              <w:rPr>
                <w:b/>
                <w:sz w:val="19"/>
              </w:rPr>
              <w:t>Citation</w:t>
            </w:r>
          </w:p>
        </w:tc>
        <w:tc>
          <w:tcPr>
            <w:tcW w:w="1276" w:type="dxa"/>
            <w:gridSpan w:val="2"/>
            <w:tcBorders>
              <w:top w:val="single" w:sz="8" w:space="0" w:color="auto"/>
              <w:bottom w:val="single" w:sz="8" w:space="0" w:color="auto"/>
            </w:tcBorders>
          </w:tcPr>
          <w:p>
            <w:pPr>
              <w:pStyle w:val="nTable"/>
              <w:spacing w:after="40"/>
              <w:rPr>
                <w:b/>
                <w:sz w:val="19"/>
              </w:rPr>
            </w:pPr>
            <w:r>
              <w:rPr>
                <w:b/>
                <w:sz w:val="19"/>
              </w:rPr>
              <w:t>Gazettal</w:t>
            </w:r>
          </w:p>
        </w:tc>
        <w:tc>
          <w:tcPr>
            <w:tcW w:w="2697"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gridSpan w:val="2"/>
            <w:tcBorders>
              <w:top w:val="single" w:sz="8" w:space="0" w:color="auto"/>
            </w:tcBorders>
          </w:tcPr>
          <w:p>
            <w:pPr>
              <w:pStyle w:val="nTable"/>
              <w:spacing w:after="40"/>
              <w:rPr>
                <w:sz w:val="19"/>
              </w:rPr>
            </w:pPr>
            <w:r>
              <w:rPr>
                <w:i/>
                <w:sz w:val="19"/>
              </w:rPr>
              <w:t>W.A. Marine (Surveys and Certificates of Survey) Regulations 1983</w:t>
            </w:r>
          </w:p>
        </w:tc>
        <w:tc>
          <w:tcPr>
            <w:tcW w:w="1276" w:type="dxa"/>
            <w:gridSpan w:val="2"/>
            <w:tcBorders>
              <w:top w:val="single" w:sz="8" w:space="0" w:color="auto"/>
            </w:tcBorders>
          </w:tcPr>
          <w:p>
            <w:pPr>
              <w:pStyle w:val="nTable"/>
              <w:spacing w:after="40"/>
              <w:rPr>
                <w:sz w:val="19"/>
              </w:rPr>
            </w:pPr>
            <w:r>
              <w:rPr>
                <w:sz w:val="19"/>
              </w:rPr>
              <w:t>1 Jul 1983 p. 2195</w:t>
            </w:r>
            <w:r>
              <w:rPr>
                <w:sz w:val="19"/>
              </w:rPr>
              <w:noBreakHyphen/>
              <w:t>208</w:t>
            </w:r>
          </w:p>
        </w:tc>
        <w:tc>
          <w:tcPr>
            <w:tcW w:w="2697" w:type="dxa"/>
            <w:gridSpan w:val="2"/>
            <w:tcBorders>
              <w:top w:val="single" w:sz="8" w:space="0" w:color="auto"/>
            </w:tcBorders>
          </w:tcPr>
          <w:p>
            <w:pPr>
              <w:pStyle w:val="nTable"/>
              <w:spacing w:after="40"/>
              <w:rPr>
                <w:sz w:val="19"/>
              </w:rPr>
            </w:pPr>
            <w:r>
              <w:rPr>
                <w:sz w:val="19"/>
              </w:rPr>
              <w:t>1 Jul 1983 (see r. 2)</w:t>
            </w:r>
          </w:p>
        </w:tc>
      </w:tr>
      <w:tr>
        <w:tc>
          <w:tcPr>
            <w:tcW w:w="3119" w:type="dxa"/>
            <w:gridSpan w:val="2"/>
          </w:tcPr>
          <w:p>
            <w:pPr>
              <w:pStyle w:val="nTable"/>
              <w:spacing w:after="40"/>
              <w:rPr>
                <w:sz w:val="19"/>
              </w:rPr>
            </w:pPr>
            <w:r>
              <w:rPr>
                <w:i/>
                <w:sz w:val="19"/>
              </w:rPr>
              <w:t>W.A. Marine (Surveys and Certificates of Survey) Amendment Regulations 1983</w:t>
            </w:r>
          </w:p>
        </w:tc>
        <w:tc>
          <w:tcPr>
            <w:tcW w:w="1276" w:type="dxa"/>
            <w:gridSpan w:val="2"/>
          </w:tcPr>
          <w:p>
            <w:pPr>
              <w:pStyle w:val="nTable"/>
              <w:spacing w:after="40"/>
              <w:rPr>
                <w:sz w:val="19"/>
              </w:rPr>
            </w:pPr>
            <w:r>
              <w:rPr>
                <w:sz w:val="19"/>
              </w:rPr>
              <w:t>5 Aug 1983 p. 2839</w:t>
            </w:r>
            <w:r>
              <w:rPr>
                <w:sz w:val="19"/>
              </w:rPr>
              <w:noBreakHyphen/>
              <w:t>40</w:t>
            </w:r>
          </w:p>
        </w:tc>
        <w:tc>
          <w:tcPr>
            <w:tcW w:w="2697" w:type="dxa"/>
            <w:gridSpan w:val="2"/>
          </w:tcPr>
          <w:p>
            <w:pPr>
              <w:pStyle w:val="nTable"/>
              <w:spacing w:after="40"/>
              <w:rPr>
                <w:sz w:val="19"/>
              </w:rPr>
            </w:pPr>
            <w:r>
              <w:rPr>
                <w:sz w:val="19"/>
              </w:rPr>
              <w:t>5 Aug 1983</w:t>
            </w:r>
          </w:p>
        </w:tc>
      </w:tr>
      <w:tr>
        <w:tc>
          <w:tcPr>
            <w:tcW w:w="3119" w:type="dxa"/>
            <w:gridSpan w:val="2"/>
          </w:tcPr>
          <w:p>
            <w:pPr>
              <w:pStyle w:val="nTable"/>
              <w:spacing w:after="40"/>
              <w:rPr>
                <w:sz w:val="19"/>
              </w:rPr>
            </w:pPr>
            <w:r>
              <w:rPr>
                <w:i/>
                <w:sz w:val="19"/>
              </w:rPr>
              <w:t>W.A. Marine (Surveys and Certificates of Survey) Amendment Regulations 1985</w:t>
            </w:r>
          </w:p>
        </w:tc>
        <w:tc>
          <w:tcPr>
            <w:tcW w:w="1276" w:type="dxa"/>
            <w:gridSpan w:val="2"/>
          </w:tcPr>
          <w:p>
            <w:pPr>
              <w:pStyle w:val="nTable"/>
              <w:spacing w:after="40"/>
              <w:rPr>
                <w:sz w:val="19"/>
              </w:rPr>
            </w:pPr>
            <w:r>
              <w:rPr>
                <w:sz w:val="19"/>
              </w:rPr>
              <w:t>30 Aug 1985 p. 3081</w:t>
            </w:r>
            <w:r>
              <w:rPr>
                <w:sz w:val="19"/>
              </w:rPr>
              <w:noBreakHyphen/>
              <w:t>2</w:t>
            </w:r>
          </w:p>
        </w:tc>
        <w:tc>
          <w:tcPr>
            <w:tcW w:w="2697" w:type="dxa"/>
            <w:gridSpan w:val="2"/>
          </w:tcPr>
          <w:p>
            <w:pPr>
              <w:pStyle w:val="nTable"/>
              <w:spacing w:after="40"/>
              <w:rPr>
                <w:sz w:val="19"/>
              </w:rPr>
            </w:pPr>
            <w:r>
              <w:rPr>
                <w:sz w:val="19"/>
              </w:rPr>
              <w:t>2 Sep 1985 (see r. 2)</w:t>
            </w:r>
          </w:p>
        </w:tc>
      </w:tr>
      <w:tr>
        <w:tc>
          <w:tcPr>
            <w:tcW w:w="3119" w:type="dxa"/>
            <w:gridSpan w:val="2"/>
          </w:tcPr>
          <w:p>
            <w:pPr>
              <w:pStyle w:val="nTable"/>
              <w:spacing w:after="40"/>
              <w:rPr>
                <w:sz w:val="19"/>
              </w:rPr>
            </w:pPr>
            <w:r>
              <w:rPr>
                <w:i/>
                <w:sz w:val="19"/>
              </w:rPr>
              <w:t>W.A. Marine (Surveys and Certificates of Survey) Amendment Regulations 1986</w:t>
            </w:r>
          </w:p>
        </w:tc>
        <w:tc>
          <w:tcPr>
            <w:tcW w:w="1276" w:type="dxa"/>
            <w:gridSpan w:val="2"/>
          </w:tcPr>
          <w:p>
            <w:pPr>
              <w:pStyle w:val="nTable"/>
              <w:spacing w:after="40"/>
              <w:rPr>
                <w:sz w:val="19"/>
              </w:rPr>
            </w:pPr>
            <w:r>
              <w:rPr>
                <w:sz w:val="19"/>
              </w:rPr>
              <w:t>8 Aug 1986 p. 2834</w:t>
            </w:r>
            <w:r>
              <w:rPr>
                <w:sz w:val="19"/>
              </w:rPr>
              <w:noBreakHyphen/>
              <w:t>6</w:t>
            </w:r>
          </w:p>
        </w:tc>
        <w:tc>
          <w:tcPr>
            <w:tcW w:w="2697" w:type="dxa"/>
            <w:gridSpan w:val="2"/>
          </w:tcPr>
          <w:p>
            <w:pPr>
              <w:pStyle w:val="nTable"/>
              <w:spacing w:after="40"/>
              <w:rPr>
                <w:sz w:val="19"/>
              </w:rPr>
            </w:pPr>
            <w:r>
              <w:rPr>
                <w:sz w:val="19"/>
              </w:rPr>
              <w:t>8 Aug 1986</w:t>
            </w:r>
          </w:p>
        </w:tc>
      </w:tr>
      <w:tr>
        <w:tc>
          <w:tcPr>
            <w:tcW w:w="3119" w:type="dxa"/>
            <w:gridSpan w:val="2"/>
          </w:tcPr>
          <w:p>
            <w:pPr>
              <w:pStyle w:val="nTable"/>
              <w:spacing w:after="40"/>
              <w:rPr>
                <w:sz w:val="19"/>
              </w:rPr>
            </w:pPr>
            <w:r>
              <w:rPr>
                <w:i/>
                <w:sz w:val="19"/>
              </w:rPr>
              <w:t>W.A. Marine (Surveys and Certificates of Survey) Amendment Regulations 1987</w:t>
            </w:r>
          </w:p>
        </w:tc>
        <w:tc>
          <w:tcPr>
            <w:tcW w:w="1276" w:type="dxa"/>
            <w:gridSpan w:val="2"/>
          </w:tcPr>
          <w:p>
            <w:pPr>
              <w:pStyle w:val="nTable"/>
              <w:spacing w:after="40"/>
              <w:rPr>
                <w:sz w:val="19"/>
              </w:rPr>
            </w:pPr>
            <w:r>
              <w:rPr>
                <w:sz w:val="19"/>
              </w:rPr>
              <w:t>16 Oct 1987 p. 3898</w:t>
            </w:r>
            <w:r>
              <w:rPr>
                <w:sz w:val="19"/>
              </w:rPr>
              <w:noBreakHyphen/>
              <w:t>9</w:t>
            </w:r>
          </w:p>
        </w:tc>
        <w:tc>
          <w:tcPr>
            <w:tcW w:w="2697" w:type="dxa"/>
            <w:gridSpan w:val="2"/>
          </w:tcPr>
          <w:p>
            <w:pPr>
              <w:pStyle w:val="nTable"/>
              <w:spacing w:after="40"/>
              <w:rPr>
                <w:sz w:val="19"/>
              </w:rPr>
            </w:pPr>
            <w:r>
              <w:rPr>
                <w:sz w:val="19"/>
              </w:rPr>
              <w:t>16 Oct 1987</w:t>
            </w:r>
          </w:p>
        </w:tc>
      </w:tr>
      <w:tr>
        <w:tc>
          <w:tcPr>
            <w:tcW w:w="3119" w:type="dxa"/>
            <w:gridSpan w:val="2"/>
          </w:tcPr>
          <w:p>
            <w:pPr>
              <w:pStyle w:val="nTable"/>
              <w:spacing w:after="40"/>
              <w:rPr>
                <w:sz w:val="19"/>
              </w:rPr>
            </w:pPr>
            <w:r>
              <w:rPr>
                <w:i/>
                <w:sz w:val="19"/>
              </w:rPr>
              <w:t>W.A. Marine (Surveys and Certificates of Survey) Amendment Regulations 1988</w:t>
            </w:r>
          </w:p>
        </w:tc>
        <w:tc>
          <w:tcPr>
            <w:tcW w:w="1276" w:type="dxa"/>
            <w:gridSpan w:val="2"/>
          </w:tcPr>
          <w:p>
            <w:pPr>
              <w:pStyle w:val="nTable"/>
              <w:spacing w:after="40"/>
              <w:rPr>
                <w:sz w:val="19"/>
              </w:rPr>
            </w:pPr>
            <w:r>
              <w:rPr>
                <w:sz w:val="19"/>
              </w:rPr>
              <w:t>12 Aug 1988 p. 2713</w:t>
            </w:r>
            <w:r>
              <w:rPr>
                <w:sz w:val="19"/>
              </w:rPr>
              <w:noBreakHyphen/>
              <w:t>14</w:t>
            </w:r>
          </w:p>
        </w:tc>
        <w:tc>
          <w:tcPr>
            <w:tcW w:w="2697" w:type="dxa"/>
            <w:gridSpan w:val="2"/>
          </w:tcPr>
          <w:p>
            <w:pPr>
              <w:pStyle w:val="nTable"/>
              <w:spacing w:after="40"/>
              <w:rPr>
                <w:sz w:val="19"/>
              </w:rPr>
            </w:pPr>
            <w:r>
              <w:rPr>
                <w:sz w:val="19"/>
              </w:rPr>
              <w:t>12 Aug 1988</w:t>
            </w:r>
          </w:p>
        </w:tc>
      </w:tr>
      <w:tr>
        <w:tc>
          <w:tcPr>
            <w:tcW w:w="3119" w:type="dxa"/>
            <w:gridSpan w:val="2"/>
          </w:tcPr>
          <w:p>
            <w:pPr>
              <w:pStyle w:val="nTable"/>
              <w:spacing w:after="40"/>
              <w:rPr>
                <w:sz w:val="19"/>
              </w:rPr>
            </w:pPr>
            <w:r>
              <w:rPr>
                <w:i/>
                <w:sz w:val="19"/>
              </w:rPr>
              <w:t>W.A. Marine (Surveys and Certificates of Survey) Amendment Regulations 1989</w:t>
            </w:r>
          </w:p>
        </w:tc>
        <w:tc>
          <w:tcPr>
            <w:tcW w:w="1276" w:type="dxa"/>
            <w:gridSpan w:val="2"/>
          </w:tcPr>
          <w:p>
            <w:pPr>
              <w:pStyle w:val="nTable"/>
              <w:spacing w:after="40"/>
              <w:rPr>
                <w:sz w:val="19"/>
              </w:rPr>
            </w:pPr>
            <w:r>
              <w:rPr>
                <w:sz w:val="19"/>
              </w:rPr>
              <w:t>23 Jun 1989 p. 1812</w:t>
            </w:r>
            <w:r>
              <w:rPr>
                <w:sz w:val="19"/>
              </w:rPr>
              <w:noBreakHyphen/>
              <w:t>13</w:t>
            </w:r>
          </w:p>
        </w:tc>
        <w:tc>
          <w:tcPr>
            <w:tcW w:w="2697" w:type="dxa"/>
            <w:gridSpan w:val="2"/>
          </w:tcPr>
          <w:p>
            <w:pPr>
              <w:pStyle w:val="nTable"/>
              <w:spacing w:after="40"/>
              <w:rPr>
                <w:sz w:val="19"/>
              </w:rPr>
            </w:pPr>
            <w:r>
              <w:rPr>
                <w:sz w:val="19"/>
              </w:rPr>
              <w:t>23 Jun 1989</w:t>
            </w:r>
          </w:p>
        </w:tc>
      </w:tr>
      <w:tr>
        <w:tc>
          <w:tcPr>
            <w:tcW w:w="3119" w:type="dxa"/>
            <w:gridSpan w:val="2"/>
          </w:tcPr>
          <w:p>
            <w:pPr>
              <w:pStyle w:val="nTable"/>
              <w:spacing w:after="40"/>
              <w:rPr>
                <w:sz w:val="19"/>
              </w:rPr>
            </w:pPr>
            <w:r>
              <w:rPr>
                <w:i/>
                <w:sz w:val="19"/>
              </w:rPr>
              <w:t>W.A. Marine (Surveys and Certificates of Survey) Amendment Regulations (No. 2) 1989</w:t>
            </w:r>
          </w:p>
        </w:tc>
        <w:tc>
          <w:tcPr>
            <w:tcW w:w="1276" w:type="dxa"/>
            <w:gridSpan w:val="2"/>
          </w:tcPr>
          <w:p>
            <w:pPr>
              <w:pStyle w:val="nTable"/>
              <w:spacing w:after="40"/>
              <w:rPr>
                <w:sz w:val="19"/>
              </w:rPr>
            </w:pPr>
            <w:r>
              <w:rPr>
                <w:sz w:val="19"/>
              </w:rPr>
              <w:t>30 Jun 1989 p. 1924</w:t>
            </w:r>
            <w:r>
              <w:rPr>
                <w:sz w:val="19"/>
              </w:rPr>
              <w:noBreakHyphen/>
              <w:t>6</w:t>
            </w:r>
          </w:p>
        </w:tc>
        <w:tc>
          <w:tcPr>
            <w:tcW w:w="2697" w:type="dxa"/>
            <w:gridSpan w:val="2"/>
          </w:tcPr>
          <w:p>
            <w:pPr>
              <w:pStyle w:val="nTable"/>
              <w:spacing w:after="40"/>
              <w:rPr>
                <w:sz w:val="19"/>
              </w:rPr>
            </w:pPr>
            <w:r>
              <w:rPr>
                <w:sz w:val="19"/>
              </w:rPr>
              <w:t>1 Jul 1989 (see r. 2)</w:t>
            </w:r>
          </w:p>
        </w:tc>
      </w:tr>
      <w:tr>
        <w:tc>
          <w:tcPr>
            <w:tcW w:w="3119" w:type="dxa"/>
            <w:gridSpan w:val="2"/>
          </w:tcPr>
          <w:p>
            <w:pPr>
              <w:pStyle w:val="nTable"/>
              <w:spacing w:after="40"/>
              <w:rPr>
                <w:sz w:val="19"/>
              </w:rPr>
            </w:pPr>
            <w:r>
              <w:rPr>
                <w:i/>
                <w:sz w:val="19"/>
              </w:rPr>
              <w:t>WA Marine (Surveys and Certificates of Survey) Amendment Regulations (No. 3) 1989</w:t>
            </w:r>
          </w:p>
        </w:tc>
        <w:tc>
          <w:tcPr>
            <w:tcW w:w="1276" w:type="dxa"/>
            <w:gridSpan w:val="2"/>
          </w:tcPr>
          <w:p>
            <w:pPr>
              <w:pStyle w:val="nTable"/>
              <w:spacing w:after="40"/>
              <w:rPr>
                <w:sz w:val="19"/>
              </w:rPr>
            </w:pPr>
            <w:r>
              <w:rPr>
                <w:sz w:val="19"/>
              </w:rPr>
              <w:t>3 Nov 1989 p. 3964</w:t>
            </w:r>
            <w:r>
              <w:rPr>
                <w:sz w:val="19"/>
              </w:rPr>
              <w:noBreakHyphen/>
              <w:t>5</w:t>
            </w:r>
          </w:p>
        </w:tc>
        <w:tc>
          <w:tcPr>
            <w:tcW w:w="2697" w:type="dxa"/>
            <w:gridSpan w:val="2"/>
          </w:tcPr>
          <w:p>
            <w:pPr>
              <w:pStyle w:val="nTable"/>
              <w:spacing w:after="40"/>
              <w:rPr>
                <w:sz w:val="19"/>
              </w:rPr>
            </w:pPr>
            <w:r>
              <w:rPr>
                <w:sz w:val="19"/>
              </w:rPr>
              <w:t>3 Nov 1989</w:t>
            </w:r>
          </w:p>
        </w:tc>
      </w:tr>
      <w:tr>
        <w:tc>
          <w:tcPr>
            <w:tcW w:w="3119" w:type="dxa"/>
            <w:gridSpan w:val="2"/>
          </w:tcPr>
          <w:p>
            <w:pPr>
              <w:pStyle w:val="nTable"/>
              <w:spacing w:after="40"/>
              <w:rPr>
                <w:sz w:val="19"/>
              </w:rPr>
            </w:pPr>
            <w:r>
              <w:rPr>
                <w:i/>
                <w:sz w:val="19"/>
              </w:rPr>
              <w:t>W.A. Marine (Surveys and Certificates of Survey) Amendment Regulations 1990</w:t>
            </w:r>
          </w:p>
        </w:tc>
        <w:tc>
          <w:tcPr>
            <w:tcW w:w="1276" w:type="dxa"/>
            <w:gridSpan w:val="2"/>
          </w:tcPr>
          <w:p>
            <w:pPr>
              <w:pStyle w:val="nTable"/>
              <w:spacing w:after="40"/>
              <w:rPr>
                <w:sz w:val="19"/>
              </w:rPr>
            </w:pPr>
            <w:r>
              <w:rPr>
                <w:sz w:val="19"/>
              </w:rPr>
              <w:t>1 Aug 1990 p. 3645</w:t>
            </w:r>
            <w:r>
              <w:rPr>
                <w:sz w:val="19"/>
              </w:rPr>
              <w:noBreakHyphen/>
              <w:t>6</w:t>
            </w:r>
          </w:p>
        </w:tc>
        <w:tc>
          <w:tcPr>
            <w:tcW w:w="2697" w:type="dxa"/>
            <w:gridSpan w:val="2"/>
          </w:tcPr>
          <w:p>
            <w:pPr>
              <w:pStyle w:val="nTable"/>
              <w:spacing w:after="40"/>
              <w:rPr>
                <w:sz w:val="19"/>
              </w:rPr>
            </w:pPr>
            <w:r>
              <w:rPr>
                <w:sz w:val="19"/>
              </w:rPr>
              <w:t>1 Aug 1990 (see r. 2)</w:t>
            </w:r>
          </w:p>
        </w:tc>
      </w:tr>
      <w:tr>
        <w:trPr>
          <w:cantSplit/>
        </w:trPr>
        <w:tc>
          <w:tcPr>
            <w:tcW w:w="3119" w:type="dxa"/>
            <w:gridSpan w:val="2"/>
          </w:tcPr>
          <w:p>
            <w:pPr>
              <w:pStyle w:val="nTable"/>
              <w:spacing w:after="40"/>
              <w:rPr>
                <w:sz w:val="19"/>
              </w:rPr>
            </w:pPr>
            <w:r>
              <w:rPr>
                <w:i/>
                <w:sz w:val="19"/>
              </w:rPr>
              <w:t>W.A. Marine (Surveys and Certificates of Survey) Amendment Regulations 1991</w:t>
            </w:r>
          </w:p>
        </w:tc>
        <w:tc>
          <w:tcPr>
            <w:tcW w:w="1276" w:type="dxa"/>
            <w:gridSpan w:val="2"/>
          </w:tcPr>
          <w:p>
            <w:pPr>
              <w:pStyle w:val="nTable"/>
              <w:spacing w:after="40"/>
              <w:rPr>
                <w:sz w:val="19"/>
              </w:rPr>
            </w:pPr>
            <w:r>
              <w:rPr>
                <w:sz w:val="19"/>
              </w:rPr>
              <w:t>26 Jul 1991 p. 3930</w:t>
            </w:r>
            <w:r>
              <w:rPr>
                <w:sz w:val="19"/>
              </w:rPr>
              <w:noBreakHyphen/>
              <w:t>3</w:t>
            </w:r>
          </w:p>
        </w:tc>
        <w:tc>
          <w:tcPr>
            <w:tcW w:w="2697" w:type="dxa"/>
            <w:gridSpan w:val="2"/>
          </w:tcPr>
          <w:p>
            <w:pPr>
              <w:pStyle w:val="nTable"/>
              <w:spacing w:after="40"/>
              <w:rPr>
                <w:sz w:val="19"/>
              </w:rPr>
            </w:pPr>
            <w:r>
              <w:rPr>
                <w:sz w:val="19"/>
              </w:rPr>
              <w:t>1 Aug 1991 (see r. 2)</w:t>
            </w:r>
          </w:p>
        </w:tc>
      </w:tr>
      <w:tr>
        <w:tc>
          <w:tcPr>
            <w:tcW w:w="3119" w:type="dxa"/>
            <w:gridSpan w:val="2"/>
          </w:tcPr>
          <w:p>
            <w:pPr>
              <w:pStyle w:val="nTable"/>
              <w:spacing w:after="40"/>
              <w:rPr>
                <w:sz w:val="19"/>
              </w:rPr>
            </w:pPr>
            <w:r>
              <w:rPr>
                <w:i/>
                <w:sz w:val="19"/>
              </w:rPr>
              <w:t>W.A. Marine (Surveys and Certificates of Survey) Amendment Regulations (No. 2) 1991</w:t>
            </w:r>
          </w:p>
        </w:tc>
        <w:tc>
          <w:tcPr>
            <w:tcW w:w="1276" w:type="dxa"/>
            <w:gridSpan w:val="2"/>
          </w:tcPr>
          <w:p>
            <w:pPr>
              <w:pStyle w:val="nTable"/>
              <w:spacing w:after="40"/>
              <w:rPr>
                <w:sz w:val="19"/>
              </w:rPr>
            </w:pPr>
            <w:r>
              <w:rPr>
                <w:sz w:val="19"/>
              </w:rPr>
              <w:t>13 Dec 1991 p. 6235</w:t>
            </w:r>
          </w:p>
        </w:tc>
        <w:tc>
          <w:tcPr>
            <w:tcW w:w="2697" w:type="dxa"/>
            <w:gridSpan w:val="2"/>
          </w:tcPr>
          <w:p>
            <w:pPr>
              <w:pStyle w:val="nTable"/>
              <w:spacing w:after="40"/>
              <w:rPr>
                <w:sz w:val="19"/>
              </w:rPr>
            </w:pPr>
            <w:r>
              <w:rPr>
                <w:sz w:val="19"/>
              </w:rPr>
              <w:t>13 Dec 1991</w:t>
            </w:r>
          </w:p>
        </w:tc>
      </w:tr>
      <w:tr>
        <w:tc>
          <w:tcPr>
            <w:tcW w:w="3119" w:type="dxa"/>
            <w:gridSpan w:val="2"/>
          </w:tcPr>
          <w:p>
            <w:pPr>
              <w:pStyle w:val="nTable"/>
              <w:spacing w:after="40"/>
              <w:rPr>
                <w:sz w:val="19"/>
              </w:rPr>
            </w:pPr>
            <w:r>
              <w:rPr>
                <w:i/>
                <w:sz w:val="19"/>
              </w:rPr>
              <w:t>W.A. Marine Amendment Regulations (No. 2) 1992</w:t>
            </w:r>
            <w:r>
              <w:rPr>
                <w:sz w:val="19"/>
              </w:rPr>
              <w:t xml:space="preserve"> Pt. 8</w:t>
            </w:r>
          </w:p>
        </w:tc>
        <w:tc>
          <w:tcPr>
            <w:tcW w:w="1276" w:type="dxa"/>
            <w:gridSpan w:val="2"/>
          </w:tcPr>
          <w:p>
            <w:pPr>
              <w:pStyle w:val="nTable"/>
              <w:spacing w:after="40"/>
              <w:rPr>
                <w:sz w:val="19"/>
              </w:rPr>
            </w:pPr>
            <w:r>
              <w:rPr>
                <w:sz w:val="19"/>
              </w:rPr>
              <w:t>30 Jun 1992 p. 2905</w:t>
            </w:r>
            <w:r>
              <w:rPr>
                <w:sz w:val="19"/>
              </w:rPr>
              <w:noBreakHyphen/>
              <w:t>9</w:t>
            </w:r>
          </w:p>
        </w:tc>
        <w:tc>
          <w:tcPr>
            <w:tcW w:w="2697" w:type="dxa"/>
            <w:gridSpan w:val="2"/>
          </w:tcPr>
          <w:p>
            <w:pPr>
              <w:pStyle w:val="nTable"/>
              <w:spacing w:after="40"/>
              <w:rPr>
                <w:sz w:val="19"/>
              </w:rPr>
            </w:pPr>
            <w:r>
              <w:rPr>
                <w:sz w:val="19"/>
              </w:rPr>
              <w:t>1 Jul 1992 (see r. 2)</w:t>
            </w:r>
          </w:p>
        </w:tc>
      </w:tr>
      <w:tr>
        <w:tc>
          <w:tcPr>
            <w:tcW w:w="3119" w:type="dxa"/>
            <w:gridSpan w:val="2"/>
          </w:tcPr>
          <w:p>
            <w:pPr>
              <w:pStyle w:val="nTable"/>
              <w:spacing w:after="40"/>
              <w:rPr>
                <w:sz w:val="19"/>
              </w:rPr>
            </w:pPr>
            <w:r>
              <w:rPr>
                <w:i/>
                <w:sz w:val="19"/>
              </w:rPr>
              <w:t>W.A. Marine Amendment Regulations 1992</w:t>
            </w:r>
            <w:r>
              <w:rPr>
                <w:sz w:val="19"/>
              </w:rPr>
              <w:t xml:space="preserve"> Pt. 12</w:t>
            </w:r>
          </w:p>
        </w:tc>
        <w:tc>
          <w:tcPr>
            <w:tcW w:w="1276" w:type="dxa"/>
            <w:gridSpan w:val="2"/>
          </w:tcPr>
          <w:p>
            <w:pPr>
              <w:pStyle w:val="nTable"/>
              <w:spacing w:after="40"/>
              <w:rPr>
                <w:sz w:val="19"/>
              </w:rPr>
            </w:pPr>
            <w:r>
              <w:rPr>
                <w:sz w:val="19"/>
              </w:rPr>
              <w:t>11 Aug 1992 p. 3976</w:t>
            </w:r>
            <w:r>
              <w:rPr>
                <w:sz w:val="19"/>
              </w:rPr>
              <w:noBreakHyphen/>
              <w:t>80</w:t>
            </w:r>
          </w:p>
        </w:tc>
        <w:tc>
          <w:tcPr>
            <w:tcW w:w="2697" w:type="dxa"/>
            <w:gridSpan w:val="2"/>
          </w:tcPr>
          <w:p>
            <w:pPr>
              <w:pStyle w:val="nTable"/>
              <w:spacing w:after="40"/>
              <w:rPr>
                <w:sz w:val="19"/>
              </w:rPr>
            </w:pPr>
            <w:r>
              <w:rPr>
                <w:sz w:val="19"/>
              </w:rPr>
              <w:t>11 Aug 1992</w:t>
            </w:r>
          </w:p>
        </w:tc>
      </w:tr>
      <w:tr>
        <w:trPr>
          <w:cantSplit/>
        </w:trPr>
        <w:tc>
          <w:tcPr>
            <w:tcW w:w="3119" w:type="dxa"/>
            <w:gridSpan w:val="2"/>
          </w:tcPr>
          <w:p>
            <w:pPr>
              <w:pStyle w:val="nTable"/>
              <w:spacing w:after="40"/>
              <w:rPr>
                <w:sz w:val="19"/>
              </w:rPr>
            </w:pPr>
            <w:r>
              <w:rPr>
                <w:i/>
                <w:sz w:val="19"/>
              </w:rPr>
              <w:t>W.A. Marine (Surveys and Certificates of Survey) Amendment Regulations 1993</w:t>
            </w:r>
          </w:p>
        </w:tc>
        <w:tc>
          <w:tcPr>
            <w:tcW w:w="1276" w:type="dxa"/>
            <w:gridSpan w:val="2"/>
          </w:tcPr>
          <w:p>
            <w:pPr>
              <w:pStyle w:val="nTable"/>
              <w:keepNext/>
              <w:spacing w:after="40"/>
              <w:rPr>
                <w:sz w:val="19"/>
              </w:rPr>
            </w:pPr>
            <w:r>
              <w:rPr>
                <w:sz w:val="19"/>
              </w:rPr>
              <w:t>29 Jun 1993 p. 3188</w:t>
            </w:r>
            <w:r>
              <w:rPr>
                <w:sz w:val="19"/>
              </w:rPr>
              <w:noBreakHyphen/>
              <w:t>91</w:t>
            </w:r>
          </w:p>
        </w:tc>
        <w:tc>
          <w:tcPr>
            <w:tcW w:w="2697" w:type="dxa"/>
            <w:gridSpan w:val="2"/>
          </w:tcPr>
          <w:p>
            <w:pPr>
              <w:pStyle w:val="nTable"/>
              <w:keepNext/>
              <w:spacing w:after="40"/>
              <w:rPr>
                <w:sz w:val="19"/>
              </w:rPr>
            </w:pPr>
            <w:r>
              <w:rPr>
                <w:sz w:val="19"/>
              </w:rPr>
              <w:t>1 Jul 1993 (see r. 2)</w:t>
            </w:r>
          </w:p>
        </w:tc>
      </w:tr>
      <w:tr>
        <w:tc>
          <w:tcPr>
            <w:tcW w:w="3119" w:type="dxa"/>
            <w:gridSpan w:val="2"/>
          </w:tcPr>
          <w:p>
            <w:pPr>
              <w:pStyle w:val="nTable"/>
              <w:spacing w:after="40"/>
              <w:rPr>
                <w:sz w:val="19"/>
              </w:rPr>
            </w:pPr>
            <w:r>
              <w:rPr>
                <w:i/>
                <w:sz w:val="19"/>
              </w:rPr>
              <w:t>W.A. Marine Amendment Regulations 1994</w:t>
            </w:r>
            <w:r>
              <w:rPr>
                <w:sz w:val="19"/>
              </w:rPr>
              <w:t xml:space="preserve"> Pt. 8</w:t>
            </w:r>
          </w:p>
        </w:tc>
        <w:tc>
          <w:tcPr>
            <w:tcW w:w="1276" w:type="dxa"/>
            <w:gridSpan w:val="2"/>
          </w:tcPr>
          <w:p>
            <w:pPr>
              <w:pStyle w:val="nTable"/>
              <w:spacing w:after="40"/>
              <w:rPr>
                <w:sz w:val="19"/>
              </w:rPr>
            </w:pPr>
            <w:r>
              <w:rPr>
                <w:sz w:val="19"/>
              </w:rPr>
              <w:t>14 Jun 1994 p. 2486</w:t>
            </w:r>
            <w:r>
              <w:rPr>
                <w:sz w:val="19"/>
              </w:rPr>
              <w:noBreakHyphen/>
              <w:t>93</w:t>
            </w:r>
          </w:p>
        </w:tc>
        <w:tc>
          <w:tcPr>
            <w:tcW w:w="2697" w:type="dxa"/>
            <w:gridSpan w:val="2"/>
          </w:tcPr>
          <w:p>
            <w:pPr>
              <w:pStyle w:val="nTable"/>
              <w:spacing w:after="40"/>
              <w:rPr>
                <w:sz w:val="19"/>
              </w:rPr>
            </w:pPr>
            <w:r>
              <w:rPr>
                <w:sz w:val="19"/>
              </w:rPr>
              <w:t>1 Jul 1994 (see r. 2)</w:t>
            </w:r>
          </w:p>
        </w:tc>
      </w:tr>
      <w:tr>
        <w:tc>
          <w:tcPr>
            <w:tcW w:w="3119" w:type="dxa"/>
            <w:gridSpan w:val="2"/>
          </w:tcPr>
          <w:p>
            <w:pPr>
              <w:pStyle w:val="nTable"/>
              <w:spacing w:after="40"/>
              <w:rPr>
                <w:sz w:val="19"/>
              </w:rPr>
            </w:pPr>
            <w:r>
              <w:rPr>
                <w:i/>
                <w:sz w:val="19"/>
              </w:rPr>
              <w:t>W.A. Marine Amendment Regulations 1995</w:t>
            </w:r>
            <w:r>
              <w:rPr>
                <w:sz w:val="19"/>
              </w:rPr>
              <w:t xml:space="preserve"> Pt. 6</w:t>
            </w:r>
          </w:p>
        </w:tc>
        <w:tc>
          <w:tcPr>
            <w:tcW w:w="1276" w:type="dxa"/>
            <w:gridSpan w:val="2"/>
          </w:tcPr>
          <w:p>
            <w:pPr>
              <w:pStyle w:val="nTable"/>
              <w:spacing w:after="40"/>
              <w:rPr>
                <w:sz w:val="19"/>
              </w:rPr>
            </w:pPr>
            <w:r>
              <w:rPr>
                <w:sz w:val="19"/>
              </w:rPr>
              <w:t>11 Jul 1995 p. 2946</w:t>
            </w:r>
            <w:r>
              <w:rPr>
                <w:sz w:val="19"/>
              </w:rPr>
              <w:noBreakHyphen/>
              <w:t>53</w:t>
            </w:r>
          </w:p>
        </w:tc>
        <w:tc>
          <w:tcPr>
            <w:tcW w:w="2697" w:type="dxa"/>
            <w:gridSpan w:val="2"/>
          </w:tcPr>
          <w:p>
            <w:pPr>
              <w:pStyle w:val="nTable"/>
              <w:spacing w:after="40"/>
              <w:rPr>
                <w:sz w:val="19"/>
              </w:rPr>
            </w:pPr>
            <w:r>
              <w:rPr>
                <w:sz w:val="19"/>
              </w:rPr>
              <w:t>11 Jul 1995</w:t>
            </w:r>
          </w:p>
        </w:tc>
      </w:tr>
      <w:tr>
        <w:tc>
          <w:tcPr>
            <w:tcW w:w="3119" w:type="dxa"/>
            <w:gridSpan w:val="2"/>
          </w:tcPr>
          <w:p>
            <w:pPr>
              <w:pStyle w:val="nTable"/>
              <w:spacing w:after="40"/>
              <w:rPr>
                <w:sz w:val="19"/>
              </w:rPr>
            </w:pPr>
            <w:r>
              <w:rPr>
                <w:i/>
                <w:sz w:val="19"/>
              </w:rPr>
              <w:t>W.A. Marine Amendment Regulations 1996</w:t>
            </w:r>
            <w:r>
              <w:rPr>
                <w:sz w:val="19"/>
              </w:rPr>
              <w:t xml:space="preserve"> Pt. 6</w:t>
            </w:r>
          </w:p>
        </w:tc>
        <w:tc>
          <w:tcPr>
            <w:tcW w:w="1276" w:type="dxa"/>
            <w:gridSpan w:val="2"/>
          </w:tcPr>
          <w:p>
            <w:pPr>
              <w:pStyle w:val="nTable"/>
              <w:spacing w:after="40"/>
              <w:rPr>
                <w:sz w:val="19"/>
              </w:rPr>
            </w:pPr>
            <w:r>
              <w:rPr>
                <w:sz w:val="19"/>
              </w:rPr>
              <w:t>25 Jun 1996 p. 2998</w:t>
            </w:r>
            <w:r>
              <w:rPr>
                <w:sz w:val="19"/>
              </w:rPr>
              <w:noBreakHyphen/>
              <w:t>3005</w:t>
            </w:r>
          </w:p>
        </w:tc>
        <w:tc>
          <w:tcPr>
            <w:tcW w:w="2697" w:type="dxa"/>
            <w:gridSpan w:val="2"/>
          </w:tcPr>
          <w:p>
            <w:pPr>
              <w:pStyle w:val="nTable"/>
              <w:spacing w:after="40"/>
              <w:rPr>
                <w:sz w:val="19"/>
              </w:rPr>
            </w:pPr>
            <w:r>
              <w:rPr>
                <w:sz w:val="19"/>
              </w:rPr>
              <w:t>25 Jun 1996</w:t>
            </w:r>
          </w:p>
        </w:tc>
      </w:tr>
      <w:tr>
        <w:tc>
          <w:tcPr>
            <w:tcW w:w="3119" w:type="dxa"/>
            <w:gridSpan w:val="2"/>
          </w:tcPr>
          <w:p>
            <w:pPr>
              <w:pStyle w:val="nTable"/>
              <w:spacing w:after="40"/>
              <w:rPr>
                <w:sz w:val="19"/>
              </w:rPr>
            </w:pPr>
            <w:r>
              <w:rPr>
                <w:i/>
                <w:sz w:val="19"/>
              </w:rPr>
              <w:t>W.A. Marine Amendment Regulations 1997</w:t>
            </w:r>
            <w:r>
              <w:rPr>
                <w:sz w:val="19"/>
              </w:rPr>
              <w:t xml:space="preserve"> Div. 5</w:t>
            </w:r>
          </w:p>
        </w:tc>
        <w:tc>
          <w:tcPr>
            <w:tcW w:w="1276" w:type="dxa"/>
            <w:gridSpan w:val="2"/>
          </w:tcPr>
          <w:p>
            <w:pPr>
              <w:pStyle w:val="nTable"/>
              <w:keepNext/>
              <w:keepLines/>
              <w:spacing w:after="40"/>
              <w:rPr>
                <w:sz w:val="19"/>
              </w:rPr>
            </w:pPr>
            <w:r>
              <w:rPr>
                <w:sz w:val="19"/>
              </w:rPr>
              <w:t>27 Jun 1997 p. 3141</w:t>
            </w:r>
            <w:r>
              <w:rPr>
                <w:sz w:val="19"/>
              </w:rPr>
              <w:noBreakHyphen/>
              <w:t>6</w:t>
            </w:r>
          </w:p>
        </w:tc>
        <w:tc>
          <w:tcPr>
            <w:tcW w:w="2697" w:type="dxa"/>
            <w:gridSpan w:val="2"/>
          </w:tcPr>
          <w:p>
            <w:pPr>
              <w:pStyle w:val="nTable"/>
              <w:keepNext/>
              <w:keepLines/>
              <w:spacing w:after="40"/>
              <w:rPr>
                <w:sz w:val="19"/>
              </w:rPr>
            </w:pPr>
            <w:r>
              <w:rPr>
                <w:sz w:val="19"/>
              </w:rPr>
              <w:t>1 Jul 1997 (see r. 2)</w:t>
            </w:r>
          </w:p>
        </w:tc>
      </w:tr>
      <w:tr>
        <w:tc>
          <w:tcPr>
            <w:tcW w:w="7092" w:type="dxa"/>
            <w:gridSpan w:val="6"/>
          </w:tcPr>
          <w:p>
            <w:pPr>
              <w:pStyle w:val="nTable"/>
              <w:spacing w:after="40"/>
              <w:rPr>
                <w:sz w:val="19"/>
              </w:rPr>
            </w:pPr>
            <w:r>
              <w:rPr>
                <w:b/>
                <w:sz w:val="19"/>
              </w:rPr>
              <w:t xml:space="preserve">Reprint of the </w:t>
            </w:r>
            <w:r>
              <w:rPr>
                <w:b/>
                <w:i/>
                <w:sz w:val="19"/>
              </w:rPr>
              <w:t>W.A. Marine (Surveys and Certificates of Survey) Regulations 1983</w:t>
            </w:r>
            <w:r>
              <w:rPr>
                <w:b/>
                <w:sz w:val="19"/>
              </w:rPr>
              <w:t xml:space="preserve"> as at 30 Jul 1997</w:t>
            </w:r>
            <w:r>
              <w:rPr>
                <w:sz w:val="19"/>
              </w:rPr>
              <w:t xml:space="preserve"> (includes amendments listed above)</w:t>
            </w:r>
          </w:p>
        </w:tc>
      </w:tr>
      <w:tr>
        <w:tc>
          <w:tcPr>
            <w:tcW w:w="3119" w:type="dxa"/>
            <w:gridSpan w:val="2"/>
          </w:tcPr>
          <w:p>
            <w:pPr>
              <w:pStyle w:val="nTable"/>
              <w:spacing w:after="40"/>
              <w:rPr>
                <w:sz w:val="19"/>
              </w:rPr>
            </w:pPr>
            <w:r>
              <w:rPr>
                <w:i/>
                <w:sz w:val="19"/>
              </w:rPr>
              <w:t>W.A. Marine Amendment Regulations 1998</w:t>
            </w:r>
            <w:r>
              <w:rPr>
                <w:sz w:val="19"/>
              </w:rPr>
              <w:t xml:space="preserve"> Div. 5</w:t>
            </w:r>
          </w:p>
        </w:tc>
        <w:tc>
          <w:tcPr>
            <w:tcW w:w="1276" w:type="dxa"/>
            <w:gridSpan w:val="2"/>
          </w:tcPr>
          <w:p>
            <w:pPr>
              <w:pStyle w:val="nTable"/>
              <w:spacing w:after="40"/>
              <w:rPr>
                <w:sz w:val="19"/>
              </w:rPr>
            </w:pPr>
            <w:r>
              <w:rPr>
                <w:sz w:val="19"/>
              </w:rPr>
              <w:t>12 May 1998 p. 2790</w:t>
            </w:r>
            <w:r>
              <w:rPr>
                <w:sz w:val="19"/>
              </w:rPr>
              <w:noBreakHyphen/>
              <w:t>5</w:t>
            </w:r>
          </w:p>
        </w:tc>
        <w:tc>
          <w:tcPr>
            <w:tcW w:w="2697" w:type="dxa"/>
            <w:gridSpan w:val="2"/>
          </w:tcPr>
          <w:p>
            <w:pPr>
              <w:pStyle w:val="nTable"/>
              <w:spacing w:after="40"/>
              <w:rPr>
                <w:sz w:val="19"/>
              </w:rPr>
            </w:pPr>
            <w:r>
              <w:rPr>
                <w:sz w:val="19"/>
              </w:rPr>
              <w:t>1 Jul 1998 (see r. 2)</w:t>
            </w:r>
          </w:p>
        </w:tc>
      </w:tr>
      <w:tr>
        <w:tc>
          <w:tcPr>
            <w:tcW w:w="3119" w:type="dxa"/>
            <w:gridSpan w:val="2"/>
          </w:tcPr>
          <w:p>
            <w:pPr>
              <w:pStyle w:val="nTable"/>
              <w:spacing w:after="40"/>
              <w:rPr>
                <w:sz w:val="19"/>
              </w:rPr>
            </w:pPr>
            <w:r>
              <w:rPr>
                <w:i/>
                <w:sz w:val="19"/>
              </w:rPr>
              <w:t>W.A. Marine (Surveys and Certificates of Survey) Amendment Regulations 1998</w:t>
            </w:r>
          </w:p>
        </w:tc>
        <w:tc>
          <w:tcPr>
            <w:tcW w:w="1276" w:type="dxa"/>
            <w:gridSpan w:val="2"/>
          </w:tcPr>
          <w:p>
            <w:pPr>
              <w:pStyle w:val="nTable"/>
              <w:spacing w:after="40"/>
              <w:rPr>
                <w:sz w:val="19"/>
              </w:rPr>
            </w:pPr>
            <w:r>
              <w:rPr>
                <w:sz w:val="19"/>
              </w:rPr>
              <w:t>4 Aug 1998 p. 3990</w:t>
            </w:r>
            <w:r>
              <w:rPr>
                <w:sz w:val="19"/>
              </w:rPr>
              <w:noBreakHyphen/>
              <w:t>1</w:t>
            </w:r>
          </w:p>
        </w:tc>
        <w:tc>
          <w:tcPr>
            <w:tcW w:w="2697" w:type="dxa"/>
            <w:gridSpan w:val="2"/>
          </w:tcPr>
          <w:p>
            <w:pPr>
              <w:pStyle w:val="nTable"/>
              <w:spacing w:after="40"/>
              <w:rPr>
                <w:sz w:val="19"/>
              </w:rPr>
            </w:pPr>
            <w:r>
              <w:rPr>
                <w:sz w:val="19"/>
              </w:rPr>
              <w:t>4 Aug 1998</w:t>
            </w:r>
          </w:p>
        </w:tc>
      </w:tr>
      <w:tr>
        <w:tc>
          <w:tcPr>
            <w:tcW w:w="3119" w:type="dxa"/>
            <w:gridSpan w:val="2"/>
          </w:tcPr>
          <w:p>
            <w:pPr>
              <w:pStyle w:val="nTable"/>
              <w:spacing w:after="40"/>
              <w:rPr>
                <w:i/>
                <w:sz w:val="19"/>
              </w:rPr>
            </w:pPr>
            <w:r>
              <w:rPr>
                <w:i/>
                <w:sz w:val="19"/>
              </w:rPr>
              <w:t>Western Australian Marine (Surveys and Certificates of Survey) Amendment Regulations 1999</w:t>
            </w:r>
          </w:p>
        </w:tc>
        <w:tc>
          <w:tcPr>
            <w:tcW w:w="1276" w:type="dxa"/>
            <w:gridSpan w:val="2"/>
          </w:tcPr>
          <w:p>
            <w:pPr>
              <w:pStyle w:val="nTable"/>
              <w:spacing w:after="40"/>
              <w:rPr>
                <w:sz w:val="19"/>
              </w:rPr>
            </w:pPr>
            <w:r>
              <w:rPr>
                <w:sz w:val="19"/>
              </w:rPr>
              <w:t>22 Jun 1999 p. 2691</w:t>
            </w:r>
            <w:r>
              <w:rPr>
                <w:sz w:val="19"/>
              </w:rPr>
              <w:noBreakHyphen/>
              <w:t>2</w:t>
            </w:r>
          </w:p>
        </w:tc>
        <w:tc>
          <w:tcPr>
            <w:tcW w:w="2697" w:type="dxa"/>
            <w:gridSpan w:val="2"/>
          </w:tcPr>
          <w:p>
            <w:pPr>
              <w:pStyle w:val="nTable"/>
              <w:spacing w:after="40"/>
              <w:rPr>
                <w:sz w:val="19"/>
              </w:rPr>
            </w:pPr>
            <w:r>
              <w:rPr>
                <w:sz w:val="19"/>
              </w:rPr>
              <w:t>1 Jul 1999 (see r. 2)</w:t>
            </w:r>
          </w:p>
        </w:tc>
      </w:tr>
      <w:tr>
        <w:tc>
          <w:tcPr>
            <w:tcW w:w="3119" w:type="dxa"/>
            <w:gridSpan w:val="2"/>
          </w:tcPr>
          <w:p>
            <w:pPr>
              <w:pStyle w:val="nTable"/>
              <w:spacing w:after="40"/>
              <w:rPr>
                <w:sz w:val="19"/>
              </w:rPr>
            </w:pPr>
            <w:r>
              <w:rPr>
                <w:i/>
                <w:sz w:val="19"/>
              </w:rPr>
              <w:t>W.A. Marine Amendment Regulations 2000</w:t>
            </w:r>
            <w:r>
              <w:rPr>
                <w:sz w:val="19"/>
              </w:rPr>
              <w:t xml:space="preserve"> r. 6</w:t>
            </w:r>
          </w:p>
        </w:tc>
        <w:tc>
          <w:tcPr>
            <w:tcW w:w="1276" w:type="dxa"/>
            <w:gridSpan w:val="2"/>
          </w:tcPr>
          <w:p>
            <w:pPr>
              <w:pStyle w:val="nTable"/>
              <w:spacing w:after="40"/>
              <w:rPr>
                <w:sz w:val="19"/>
              </w:rPr>
            </w:pPr>
            <w:r>
              <w:rPr>
                <w:sz w:val="19"/>
              </w:rPr>
              <w:t>20 Jun 2000 p. 3062</w:t>
            </w:r>
            <w:r>
              <w:rPr>
                <w:sz w:val="19"/>
              </w:rPr>
              <w:noBreakHyphen/>
              <w:t>71</w:t>
            </w:r>
          </w:p>
        </w:tc>
        <w:tc>
          <w:tcPr>
            <w:tcW w:w="2697" w:type="dxa"/>
            <w:gridSpan w:val="2"/>
          </w:tcPr>
          <w:p>
            <w:pPr>
              <w:pStyle w:val="nTable"/>
              <w:spacing w:after="40"/>
              <w:rPr>
                <w:sz w:val="19"/>
              </w:rPr>
            </w:pPr>
            <w:r>
              <w:rPr>
                <w:sz w:val="19"/>
              </w:rPr>
              <w:t>1 Jul 2000 (see r. 2)</w:t>
            </w:r>
          </w:p>
        </w:tc>
      </w:tr>
      <w:tr>
        <w:tc>
          <w:tcPr>
            <w:tcW w:w="3119" w:type="dxa"/>
            <w:gridSpan w:val="2"/>
          </w:tcPr>
          <w:p>
            <w:pPr>
              <w:pStyle w:val="nTable"/>
              <w:spacing w:after="40"/>
              <w:rPr>
                <w:i/>
                <w:sz w:val="19"/>
              </w:rPr>
            </w:pPr>
            <w:r>
              <w:rPr>
                <w:i/>
                <w:sz w:val="19"/>
              </w:rPr>
              <w:t>W.A. Marine Amendment Regulations 2001</w:t>
            </w:r>
            <w:r>
              <w:rPr>
                <w:sz w:val="19"/>
              </w:rPr>
              <w:t xml:space="preserve"> r. 6</w:t>
            </w:r>
          </w:p>
        </w:tc>
        <w:tc>
          <w:tcPr>
            <w:tcW w:w="1276" w:type="dxa"/>
            <w:gridSpan w:val="2"/>
          </w:tcPr>
          <w:p>
            <w:pPr>
              <w:pStyle w:val="nTable"/>
              <w:spacing w:after="40"/>
              <w:rPr>
                <w:sz w:val="19"/>
              </w:rPr>
            </w:pPr>
            <w:r>
              <w:rPr>
                <w:sz w:val="19"/>
              </w:rPr>
              <w:t>27 Jul 2001</w:t>
            </w:r>
            <w:r>
              <w:rPr>
                <w:sz w:val="19"/>
              </w:rPr>
              <w:br/>
              <w:t>P. 3803</w:t>
            </w:r>
            <w:r>
              <w:rPr>
                <w:sz w:val="19"/>
              </w:rPr>
              <w:noBreakHyphen/>
              <w:t>13</w:t>
            </w:r>
          </w:p>
        </w:tc>
        <w:tc>
          <w:tcPr>
            <w:tcW w:w="2697" w:type="dxa"/>
            <w:gridSpan w:val="2"/>
          </w:tcPr>
          <w:p>
            <w:pPr>
              <w:pStyle w:val="nTable"/>
              <w:spacing w:after="40"/>
              <w:rPr>
                <w:sz w:val="19"/>
              </w:rPr>
            </w:pPr>
            <w:r>
              <w:rPr>
                <w:sz w:val="19"/>
              </w:rPr>
              <w:t>1 Aug 2001 (see r. 2)</w:t>
            </w:r>
          </w:p>
        </w:tc>
      </w:tr>
      <w:tr>
        <w:tc>
          <w:tcPr>
            <w:tcW w:w="3119" w:type="dxa"/>
            <w:gridSpan w:val="2"/>
          </w:tcPr>
          <w:p>
            <w:pPr>
              <w:pStyle w:val="nTable"/>
              <w:spacing w:after="40"/>
              <w:rPr>
                <w:i/>
                <w:sz w:val="19"/>
              </w:rPr>
            </w:pPr>
            <w:r>
              <w:rPr>
                <w:i/>
                <w:sz w:val="19"/>
              </w:rPr>
              <w:t>W.A. Marine (Surveys and Certificates of Survey) Amendment Regulations 2002</w:t>
            </w:r>
            <w:r>
              <w:rPr>
                <w:sz w:val="19"/>
                <w:vertAlign w:val="superscript"/>
              </w:rPr>
              <w:t> 3</w:t>
            </w:r>
          </w:p>
        </w:tc>
        <w:tc>
          <w:tcPr>
            <w:tcW w:w="1276" w:type="dxa"/>
            <w:gridSpan w:val="2"/>
          </w:tcPr>
          <w:p>
            <w:pPr>
              <w:pStyle w:val="nTable"/>
              <w:spacing w:after="40"/>
              <w:rPr>
                <w:sz w:val="19"/>
              </w:rPr>
            </w:pPr>
            <w:r>
              <w:rPr>
                <w:sz w:val="19"/>
              </w:rPr>
              <w:t>22 Mar 2002 p. 1656</w:t>
            </w:r>
          </w:p>
        </w:tc>
        <w:tc>
          <w:tcPr>
            <w:tcW w:w="2697" w:type="dxa"/>
            <w:gridSpan w:val="2"/>
          </w:tcPr>
          <w:p>
            <w:pPr>
              <w:pStyle w:val="nTable"/>
              <w:spacing w:after="40"/>
              <w:rPr>
                <w:sz w:val="19"/>
              </w:rPr>
            </w:pPr>
            <w:r>
              <w:rPr>
                <w:sz w:val="19"/>
              </w:rPr>
              <w:t>1 Jul 2002 (see r. 2)</w:t>
            </w:r>
          </w:p>
        </w:tc>
      </w:tr>
      <w:tr>
        <w:trPr>
          <w:cantSplit/>
        </w:trPr>
        <w:tc>
          <w:tcPr>
            <w:tcW w:w="3119" w:type="dxa"/>
            <w:gridSpan w:val="2"/>
          </w:tcPr>
          <w:p>
            <w:pPr>
              <w:pStyle w:val="nTable"/>
              <w:spacing w:after="40"/>
              <w:rPr>
                <w:sz w:val="19"/>
              </w:rPr>
            </w:pPr>
            <w:r>
              <w:rPr>
                <w:i/>
                <w:sz w:val="19"/>
              </w:rPr>
              <w:t>W.A. Marine Amendment Regulations 2002</w:t>
            </w:r>
            <w:r>
              <w:rPr>
                <w:sz w:val="19"/>
              </w:rPr>
              <w:t xml:space="preserve"> r. 6</w:t>
            </w:r>
          </w:p>
        </w:tc>
        <w:tc>
          <w:tcPr>
            <w:tcW w:w="1276" w:type="dxa"/>
            <w:gridSpan w:val="2"/>
          </w:tcPr>
          <w:p>
            <w:pPr>
              <w:pStyle w:val="nTable"/>
              <w:spacing w:after="40"/>
              <w:rPr>
                <w:sz w:val="19"/>
              </w:rPr>
            </w:pPr>
            <w:r>
              <w:rPr>
                <w:sz w:val="19"/>
              </w:rPr>
              <w:t>14 Jun 2002 p. 2825</w:t>
            </w:r>
            <w:r>
              <w:rPr>
                <w:sz w:val="19"/>
              </w:rPr>
              <w:noBreakHyphen/>
              <w:t>35</w:t>
            </w:r>
          </w:p>
        </w:tc>
        <w:tc>
          <w:tcPr>
            <w:tcW w:w="2697" w:type="dxa"/>
            <w:gridSpan w:val="2"/>
          </w:tcPr>
          <w:p>
            <w:pPr>
              <w:pStyle w:val="nTable"/>
              <w:spacing w:after="40"/>
              <w:rPr>
                <w:sz w:val="19"/>
              </w:rPr>
            </w:pPr>
            <w:r>
              <w:rPr>
                <w:sz w:val="19"/>
              </w:rPr>
              <w:t>1 Jul 2002 (see r. 2)</w:t>
            </w:r>
          </w:p>
        </w:tc>
      </w:tr>
      <w:tr>
        <w:trPr>
          <w:cantSplit/>
        </w:trPr>
        <w:tc>
          <w:tcPr>
            <w:tcW w:w="7092" w:type="dxa"/>
            <w:gridSpan w:val="6"/>
          </w:tcPr>
          <w:p>
            <w:pPr>
              <w:pStyle w:val="nTable"/>
              <w:spacing w:after="40"/>
              <w:rPr>
                <w:sz w:val="19"/>
              </w:rPr>
            </w:pPr>
            <w:r>
              <w:rPr>
                <w:b/>
                <w:sz w:val="19"/>
              </w:rPr>
              <w:t xml:space="preserve">Reprint of the </w:t>
            </w:r>
            <w:r>
              <w:rPr>
                <w:b/>
                <w:i/>
                <w:sz w:val="19"/>
              </w:rPr>
              <w:t>W.A. Marine (Surveys and Certificates of Survey) Regulations 1983</w:t>
            </w:r>
            <w:r>
              <w:rPr>
                <w:b/>
                <w:sz w:val="19"/>
              </w:rPr>
              <w:t xml:space="preserve"> as at 23 Aug 2002 </w:t>
            </w:r>
            <w:r>
              <w:rPr>
                <w:sz w:val="19"/>
              </w:rPr>
              <w:t>(includes amendments listed above)</w:t>
            </w:r>
          </w:p>
        </w:tc>
      </w:tr>
      <w:tr>
        <w:trPr>
          <w:cantSplit/>
        </w:trPr>
        <w:tc>
          <w:tcPr>
            <w:tcW w:w="3119" w:type="dxa"/>
            <w:gridSpan w:val="2"/>
          </w:tcPr>
          <w:p>
            <w:pPr>
              <w:pStyle w:val="nTable"/>
              <w:spacing w:after="40"/>
              <w:rPr>
                <w:b/>
                <w:sz w:val="19"/>
              </w:rPr>
            </w:pPr>
            <w:r>
              <w:rPr>
                <w:i/>
                <w:sz w:val="19"/>
              </w:rPr>
              <w:t>W.A. Marine (Surveys and Certificates of Survey) Amendment Regulations 2003</w:t>
            </w:r>
          </w:p>
        </w:tc>
        <w:tc>
          <w:tcPr>
            <w:tcW w:w="1276" w:type="dxa"/>
            <w:gridSpan w:val="2"/>
          </w:tcPr>
          <w:p>
            <w:pPr>
              <w:pStyle w:val="nTable"/>
              <w:spacing w:after="40"/>
              <w:rPr>
                <w:sz w:val="19"/>
              </w:rPr>
            </w:pPr>
            <w:r>
              <w:rPr>
                <w:color w:val="000000"/>
                <w:sz w:val="19"/>
              </w:rPr>
              <w:t>27 Jun 2003 p. 2529</w:t>
            </w:r>
            <w:r>
              <w:rPr>
                <w:color w:val="000000"/>
                <w:sz w:val="19"/>
              </w:rPr>
              <w:noBreakHyphen/>
              <w:t>31</w:t>
            </w:r>
          </w:p>
        </w:tc>
        <w:tc>
          <w:tcPr>
            <w:tcW w:w="2697" w:type="dxa"/>
            <w:gridSpan w:val="2"/>
          </w:tcPr>
          <w:p>
            <w:pPr>
              <w:pStyle w:val="nTable"/>
              <w:spacing w:after="40"/>
              <w:rPr>
                <w:sz w:val="19"/>
              </w:rPr>
            </w:pPr>
            <w:r>
              <w:rPr>
                <w:sz w:val="19"/>
              </w:rPr>
              <w:t>1 Jul 2003 (see r. 2)</w:t>
            </w:r>
          </w:p>
        </w:tc>
      </w:tr>
      <w:tr>
        <w:trPr>
          <w:cantSplit/>
        </w:trPr>
        <w:tc>
          <w:tcPr>
            <w:tcW w:w="3119" w:type="dxa"/>
            <w:gridSpan w:val="2"/>
          </w:tcPr>
          <w:p>
            <w:pPr>
              <w:pStyle w:val="nTable"/>
              <w:spacing w:after="40"/>
              <w:rPr>
                <w:i/>
                <w:sz w:val="19"/>
              </w:rPr>
            </w:pPr>
            <w:r>
              <w:rPr>
                <w:i/>
                <w:sz w:val="19"/>
              </w:rPr>
              <w:t>W.A. Marine (Surveys and Certificates of Survey) Amendment Regulations 2004</w:t>
            </w:r>
          </w:p>
        </w:tc>
        <w:tc>
          <w:tcPr>
            <w:tcW w:w="1276" w:type="dxa"/>
            <w:gridSpan w:val="2"/>
          </w:tcPr>
          <w:p>
            <w:pPr>
              <w:pStyle w:val="nTable"/>
              <w:spacing w:after="40"/>
              <w:rPr>
                <w:color w:val="000000"/>
                <w:sz w:val="19"/>
              </w:rPr>
            </w:pPr>
            <w:r>
              <w:rPr>
                <w:color w:val="000000"/>
                <w:sz w:val="19"/>
              </w:rPr>
              <w:t>25 Jun 2004 p. 2250</w:t>
            </w:r>
            <w:r>
              <w:rPr>
                <w:color w:val="000000"/>
                <w:sz w:val="19"/>
              </w:rPr>
              <w:noBreakHyphen/>
              <w:t>60</w:t>
            </w:r>
          </w:p>
        </w:tc>
        <w:tc>
          <w:tcPr>
            <w:tcW w:w="2697" w:type="dxa"/>
            <w:gridSpan w:val="2"/>
          </w:tcPr>
          <w:p>
            <w:pPr>
              <w:pStyle w:val="nTable"/>
              <w:spacing w:after="40"/>
              <w:rPr>
                <w:sz w:val="19"/>
              </w:rPr>
            </w:pPr>
            <w:r>
              <w:rPr>
                <w:sz w:val="19"/>
              </w:rPr>
              <w:t>1 Jul 2004 (see r. 2)</w:t>
            </w:r>
          </w:p>
        </w:tc>
      </w:tr>
      <w:tr>
        <w:trPr>
          <w:cantSplit/>
        </w:trPr>
        <w:tc>
          <w:tcPr>
            <w:tcW w:w="3119" w:type="dxa"/>
            <w:gridSpan w:val="2"/>
          </w:tcPr>
          <w:p>
            <w:pPr>
              <w:pStyle w:val="nTable"/>
              <w:spacing w:after="40"/>
              <w:rPr>
                <w:i/>
                <w:sz w:val="19"/>
              </w:rPr>
            </w:pPr>
            <w:r>
              <w:rPr>
                <w:i/>
                <w:sz w:val="19"/>
              </w:rPr>
              <w:t>W.A. Marine (Surveys and Certificates of Survey) Amendment Regulations 2005</w:t>
            </w:r>
          </w:p>
        </w:tc>
        <w:tc>
          <w:tcPr>
            <w:tcW w:w="1276" w:type="dxa"/>
            <w:gridSpan w:val="2"/>
          </w:tcPr>
          <w:p>
            <w:pPr>
              <w:pStyle w:val="nTable"/>
              <w:spacing w:after="40"/>
              <w:rPr>
                <w:color w:val="000000"/>
                <w:sz w:val="19"/>
              </w:rPr>
            </w:pPr>
            <w:r>
              <w:rPr>
                <w:color w:val="000000"/>
                <w:sz w:val="19"/>
              </w:rPr>
              <w:t>24 Jun 2005 p. 2784</w:t>
            </w:r>
            <w:r>
              <w:rPr>
                <w:color w:val="000000"/>
                <w:sz w:val="19"/>
              </w:rPr>
              <w:noBreakHyphen/>
              <w:t>9</w:t>
            </w:r>
          </w:p>
        </w:tc>
        <w:tc>
          <w:tcPr>
            <w:tcW w:w="2697" w:type="dxa"/>
            <w:gridSpan w:val="2"/>
          </w:tcPr>
          <w:p>
            <w:pPr>
              <w:pStyle w:val="nTable"/>
              <w:spacing w:after="40"/>
              <w:rPr>
                <w:sz w:val="19"/>
              </w:rPr>
            </w:pPr>
            <w:r>
              <w:rPr>
                <w:sz w:val="19"/>
              </w:rPr>
              <w:t>1 Jul 2005 (see r. 2)</w:t>
            </w:r>
          </w:p>
        </w:tc>
      </w:tr>
      <w:tr>
        <w:trPr>
          <w:cantSplit/>
        </w:trPr>
        <w:tc>
          <w:tcPr>
            <w:tcW w:w="3119" w:type="dxa"/>
            <w:gridSpan w:val="2"/>
          </w:tcPr>
          <w:p>
            <w:pPr>
              <w:pStyle w:val="nTable"/>
              <w:spacing w:after="40"/>
              <w:rPr>
                <w:i/>
                <w:sz w:val="19"/>
              </w:rPr>
            </w:pPr>
            <w:r>
              <w:rPr>
                <w:i/>
                <w:sz w:val="19"/>
              </w:rPr>
              <w:t>W.A. Marine (Surveys and Certificates of Survey) Amendment Regulations 2006</w:t>
            </w:r>
          </w:p>
        </w:tc>
        <w:tc>
          <w:tcPr>
            <w:tcW w:w="1276" w:type="dxa"/>
            <w:gridSpan w:val="2"/>
          </w:tcPr>
          <w:p>
            <w:pPr>
              <w:pStyle w:val="nTable"/>
              <w:spacing w:after="40"/>
              <w:rPr>
                <w:color w:val="000000"/>
                <w:sz w:val="19"/>
              </w:rPr>
            </w:pPr>
            <w:r>
              <w:rPr>
                <w:color w:val="000000"/>
                <w:sz w:val="19"/>
              </w:rPr>
              <w:t>23 Jun 2006 p. 2214</w:t>
            </w:r>
            <w:r>
              <w:rPr>
                <w:color w:val="000000"/>
                <w:sz w:val="19"/>
              </w:rPr>
              <w:noBreakHyphen/>
              <w:t>19</w:t>
            </w:r>
          </w:p>
        </w:tc>
        <w:tc>
          <w:tcPr>
            <w:tcW w:w="2697" w:type="dxa"/>
            <w:gridSpan w:val="2"/>
          </w:tcPr>
          <w:p>
            <w:pPr>
              <w:pStyle w:val="nTable"/>
              <w:spacing w:after="40"/>
              <w:rPr>
                <w:sz w:val="19"/>
              </w:rPr>
            </w:pPr>
            <w:r>
              <w:rPr>
                <w:sz w:val="19"/>
              </w:rPr>
              <w:t>1 Jul 2006 (see r. 2)</w:t>
            </w:r>
          </w:p>
        </w:tc>
      </w:tr>
      <w:tr>
        <w:trPr>
          <w:cantSplit/>
        </w:trPr>
        <w:tc>
          <w:tcPr>
            <w:tcW w:w="7092" w:type="dxa"/>
            <w:gridSpan w:val="6"/>
          </w:tcPr>
          <w:p>
            <w:pPr>
              <w:pStyle w:val="nTable"/>
              <w:spacing w:after="40"/>
              <w:rPr>
                <w:sz w:val="19"/>
              </w:rPr>
            </w:pPr>
            <w:r>
              <w:rPr>
                <w:b/>
                <w:sz w:val="19"/>
              </w:rPr>
              <w:t xml:space="preserve">Reprint 3:  The </w:t>
            </w:r>
            <w:r>
              <w:rPr>
                <w:b/>
                <w:i/>
                <w:sz w:val="19"/>
              </w:rPr>
              <w:t>W.A. Marine (Surveys and Certificates of Survey) Regulations 1983</w:t>
            </w:r>
            <w:r>
              <w:rPr>
                <w:b/>
                <w:sz w:val="19"/>
              </w:rPr>
              <w:t xml:space="preserve"> as at 1 Dec 2006 </w:t>
            </w:r>
            <w:r>
              <w:rPr>
                <w:sz w:val="19"/>
              </w:rPr>
              <w:t>(includes amendments listed above)</w:t>
            </w:r>
          </w:p>
        </w:tc>
      </w:tr>
      <w:tr>
        <w:trPr>
          <w:cantSplit/>
        </w:trPr>
        <w:tc>
          <w:tcPr>
            <w:tcW w:w="3119" w:type="dxa"/>
            <w:gridSpan w:val="2"/>
          </w:tcPr>
          <w:p>
            <w:pPr>
              <w:pStyle w:val="nTable"/>
              <w:spacing w:after="40"/>
              <w:rPr>
                <w:i/>
                <w:sz w:val="19"/>
              </w:rPr>
            </w:pPr>
            <w:r>
              <w:rPr>
                <w:i/>
                <w:sz w:val="19"/>
              </w:rPr>
              <w:t>W.A. Marine (Surveys and Certificates of Survey) Amendment Regulations 2007</w:t>
            </w:r>
          </w:p>
        </w:tc>
        <w:tc>
          <w:tcPr>
            <w:tcW w:w="1276" w:type="dxa"/>
            <w:gridSpan w:val="2"/>
          </w:tcPr>
          <w:p>
            <w:pPr>
              <w:pStyle w:val="nTable"/>
              <w:spacing w:after="40"/>
              <w:rPr>
                <w:color w:val="000000"/>
                <w:sz w:val="19"/>
              </w:rPr>
            </w:pPr>
            <w:r>
              <w:rPr>
                <w:color w:val="000000"/>
                <w:sz w:val="19"/>
              </w:rPr>
              <w:t>22 Jun 2007 p. 2853</w:t>
            </w:r>
            <w:r>
              <w:rPr>
                <w:color w:val="000000"/>
                <w:sz w:val="19"/>
              </w:rPr>
              <w:noBreakHyphen/>
              <w:t>7</w:t>
            </w:r>
          </w:p>
        </w:tc>
        <w:tc>
          <w:tcPr>
            <w:tcW w:w="2697" w:type="dxa"/>
            <w:gridSpan w:val="2"/>
          </w:tcPr>
          <w:p>
            <w:pPr>
              <w:pStyle w:val="nTable"/>
              <w:spacing w:after="40"/>
              <w:rPr>
                <w:sz w:val="19"/>
              </w:rPr>
            </w:pPr>
            <w:r>
              <w:rPr>
                <w:sz w:val="19"/>
              </w:rPr>
              <w:t>1 Jul 2007 (see r. 2)</w:t>
            </w:r>
          </w:p>
        </w:tc>
      </w:tr>
      <w:tr>
        <w:trPr>
          <w:cantSplit/>
        </w:trPr>
        <w:tc>
          <w:tcPr>
            <w:tcW w:w="3119" w:type="dxa"/>
            <w:gridSpan w:val="2"/>
          </w:tcPr>
          <w:p>
            <w:pPr>
              <w:pStyle w:val="nTable"/>
              <w:spacing w:after="40"/>
              <w:rPr>
                <w:i/>
                <w:sz w:val="19"/>
              </w:rPr>
            </w:pPr>
            <w:r>
              <w:rPr>
                <w:i/>
                <w:sz w:val="19"/>
              </w:rPr>
              <w:t>W.A. Marine (Surveys and Certificates of Survey) Amendment Regulations 2008</w:t>
            </w:r>
          </w:p>
        </w:tc>
        <w:tc>
          <w:tcPr>
            <w:tcW w:w="1276" w:type="dxa"/>
            <w:gridSpan w:val="2"/>
          </w:tcPr>
          <w:p>
            <w:pPr>
              <w:pStyle w:val="nTable"/>
              <w:spacing w:after="40"/>
              <w:rPr>
                <w:color w:val="000000"/>
                <w:sz w:val="19"/>
              </w:rPr>
            </w:pPr>
            <w:r>
              <w:rPr>
                <w:color w:val="000000"/>
                <w:sz w:val="19"/>
              </w:rPr>
              <w:t>24 Jun 2008 p. 2898</w:t>
            </w:r>
            <w:r>
              <w:rPr>
                <w:color w:val="000000"/>
                <w:sz w:val="19"/>
              </w:rPr>
              <w:noBreakHyphen/>
              <w:t>903</w:t>
            </w:r>
          </w:p>
        </w:tc>
        <w:tc>
          <w:tcPr>
            <w:tcW w:w="2697" w:type="dxa"/>
            <w:gridSpan w:val="2"/>
          </w:tcPr>
          <w:p>
            <w:pPr>
              <w:pStyle w:val="nTable"/>
              <w:spacing w:after="40"/>
              <w:rPr>
                <w:sz w:val="19"/>
              </w:rPr>
            </w:pPr>
            <w:r>
              <w:rPr>
                <w:snapToGrid w:val="0"/>
                <w:sz w:val="19"/>
                <w:lang w:val="en-US"/>
              </w:rPr>
              <w:t>r. 1 and 2: 24 Jun 2008 (see r. 2(a));</w:t>
            </w:r>
            <w:r>
              <w:rPr>
                <w:snapToGrid w:val="0"/>
                <w:sz w:val="19"/>
                <w:lang w:val="en-US"/>
              </w:rPr>
              <w:br/>
              <w:t>Regulations other than r. 1 and 2: 1 Jul 2008 (see r. 2(b))</w:t>
            </w:r>
          </w:p>
        </w:tc>
      </w:tr>
      <w:tr>
        <w:trPr>
          <w:cantSplit/>
        </w:trPr>
        <w:tc>
          <w:tcPr>
            <w:tcW w:w="3119" w:type="dxa"/>
            <w:gridSpan w:val="2"/>
          </w:tcPr>
          <w:p>
            <w:pPr>
              <w:pStyle w:val="nTable"/>
              <w:spacing w:after="40"/>
              <w:rPr>
                <w:i/>
                <w:sz w:val="19"/>
              </w:rPr>
            </w:pPr>
            <w:r>
              <w:rPr>
                <w:i/>
                <w:sz w:val="19"/>
              </w:rPr>
              <w:t>W.A. Marine (Surveys and Certificates of Survey) Amendment Regulations (No. 2) 2008</w:t>
            </w:r>
          </w:p>
        </w:tc>
        <w:tc>
          <w:tcPr>
            <w:tcW w:w="1276" w:type="dxa"/>
            <w:gridSpan w:val="2"/>
          </w:tcPr>
          <w:p>
            <w:pPr>
              <w:pStyle w:val="nTable"/>
              <w:spacing w:after="40"/>
              <w:rPr>
                <w:color w:val="000000"/>
                <w:sz w:val="19"/>
              </w:rPr>
            </w:pPr>
            <w:r>
              <w:rPr>
                <w:color w:val="000000"/>
                <w:sz w:val="19"/>
              </w:rPr>
              <w:t>24 Oct 2008 p. 4678</w:t>
            </w:r>
            <w:r>
              <w:rPr>
                <w:color w:val="000000"/>
                <w:sz w:val="19"/>
              </w:rPr>
              <w:noBreakHyphen/>
              <w:t>82</w:t>
            </w:r>
          </w:p>
        </w:tc>
        <w:tc>
          <w:tcPr>
            <w:tcW w:w="2697" w:type="dxa"/>
            <w:gridSpan w:val="2"/>
          </w:tcPr>
          <w:p>
            <w:pPr>
              <w:pStyle w:val="nTable"/>
              <w:spacing w:after="40"/>
              <w:rPr>
                <w:sz w:val="19"/>
              </w:rPr>
            </w:pPr>
            <w:r>
              <w:rPr>
                <w:sz w:val="19"/>
              </w:rPr>
              <w:t>r</w:t>
            </w:r>
            <w:r>
              <w:rPr>
                <w:snapToGrid w:val="0"/>
                <w:sz w:val="19"/>
                <w:lang w:val="en-US"/>
              </w:rPr>
              <w:t>.</w:t>
            </w:r>
            <w:r>
              <w:rPr>
                <w:sz w:val="19"/>
              </w:rPr>
              <w:t> 1 and 2: 24 Oct 2008 (see r. 2(a));</w:t>
            </w:r>
            <w:r>
              <w:rPr>
                <w:sz w:val="19"/>
              </w:rPr>
              <w:br/>
              <w:t>Regulations other than r. 1 and 2: 25 Oct 2008 (see r. 2(b))</w:t>
            </w:r>
          </w:p>
        </w:tc>
      </w:tr>
      <w:tr>
        <w:trPr>
          <w:cantSplit/>
        </w:trPr>
        <w:tc>
          <w:tcPr>
            <w:tcW w:w="3119" w:type="dxa"/>
            <w:gridSpan w:val="2"/>
          </w:tcPr>
          <w:p>
            <w:pPr>
              <w:pStyle w:val="nTable"/>
              <w:spacing w:after="40"/>
              <w:rPr>
                <w:i/>
                <w:sz w:val="19"/>
              </w:rPr>
            </w:pPr>
            <w:r>
              <w:rPr>
                <w:i/>
                <w:sz w:val="19"/>
              </w:rPr>
              <w:t>W.A. Marine (Surveys and Certificates of Survey) Amendment Regulations 2009</w:t>
            </w:r>
          </w:p>
        </w:tc>
        <w:tc>
          <w:tcPr>
            <w:tcW w:w="1276" w:type="dxa"/>
            <w:gridSpan w:val="2"/>
          </w:tcPr>
          <w:p>
            <w:pPr>
              <w:pStyle w:val="nTable"/>
              <w:spacing w:after="40"/>
              <w:rPr>
                <w:color w:val="000000"/>
                <w:sz w:val="19"/>
              </w:rPr>
            </w:pPr>
            <w:r>
              <w:rPr>
                <w:color w:val="000000"/>
                <w:sz w:val="19"/>
              </w:rPr>
              <w:t>12 Jun 2009 p. 2121</w:t>
            </w:r>
            <w:r>
              <w:rPr>
                <w:color w:val="000000"/>
                <w:sz w:val="19"/>
              </w:rPr>
              <w:noBreakHyphen/>
              <w:t>6</w:t>
            </w:r>
          </w:p>
        </w:tc>
        <w:tc>
          <w:tcPr>
            <w:tcW w:w="2697" w:type="dxa"/>
            <w:gridSpan w:val="2"/>
          </w:tcPr>
          <w:p>
            <w:pPr>
              <w:pStyle w:val="nTable"/>
              <w:spacing w:after="40"/>
              <w:rPr>
                <w:sz w:val="19"/>
              </w:rPr>
            </w:pPr>
            <w:r>
              <w:rPr>
                <w:sz w:val="19"/>
              </w:rPr>
              <w:t>r</w:t>
            </w:r>
            <w:r>
              <w:rPr>
                <w:snapToGrid w:val="0"/>
                <w:sz w:val="19"/>
                <w:lang w:val="en-US"/>
              </w:rPr>
              <w:t>.</w:t>
            </w:r>
            <w:r>
              <w:rPr>
                <w:sz w:val="19"/>
              </w:rPr>
              <w:t> 1 and 2: 12 Jun 2009 (see r. 2(a));</w:t>
            </w:r>
            <w:r>
              <w:rPr>
                <w:sz w:val="19"/>
              </w:rPr>
              <w:br/>
              <w:t>Regulations other than r. 1 and 2: 1 Jul 2009 (see r. 2(b))</w:t>
            </w:r>
          </w:p>
        </w:tc>
      </w:tr>
      <w:tr>
        <w:trPr>
          <w:cantSplit/>
        </w:trPr>
        <w:tc>
          <w:tcPr>
            <w:tcW w:w="7092" w:type="dxa"/>
            <w:gridSpan w:val="6"/>
          </w:tcPr>
          <w:p>
            <w:pPr>
              <w:pStyle w:val="nTable"/>
              <w:spacing w:after="40"/>
              <w:rPr>
                <w:sz w:val="19"/>
              </w:rPr>
            </w:pPr>
            <w:r>
              <w:rPr>
                <w:b/>
                <w:sz w:val="19"/>
              </w:rPr>
              <w:t xml:space="preserve">Reprint 4:  The </w:t>
            </w:r>
            <w:r>
              <w:rPr>
                <w:b/>
                <w:i/>
                <w:sz w:val="19"/>
              </w:rPr>
              <w:t>W.A. Marine (Surveys and Certificates of Survey) Regulations 1983</w:t>
            </w:r>
            <w:r>
              <w:rPr>
                <w:b/>
                <w:sz w:val="19"/>
              </w:rPr>
              <w:t xml:space="preserve"> as at 28 Aug 2009 </w:t>
            </w:r>
            <w:r>
              <w:rPr>
                <w:sz w:val="19"/>
              </w:rPr>
              <w:t>(includes amendments listed above)</w:t>
            </w:r>
          </w:p>
        </w:tc>
      </w:tr>
      <w:tr>
        <w:tblPrEx>
          <w:tblCellMar>
            <w:left w:w="28" w:type="dxa"/>
            <w:right w:w="28" w:type="dxa"/>
          </w:tblCellMar>
        </w:tblPrEx>
        <w:trPr>
          <w:gridAfter w:val="1"/>
          <w:wAfter w:w="9" w:type="dxa"/>
          <w:cantSplit/>
        </w:trPr>
        <w:tc>
          <w:tcPr>
            <w:tcW w:w="3094" w:type="dxa"/>
          </w:tcPr>
          <w:p>
            <w:pPr>
              <w:pStyle w:val="nTable"/>
              <w:spacing w:before="120"/>
              <w:ind w:right="113"/>
              <w:rPr>
                <w:i/>
                <w:sz w:val="19"/>
              </w:rPr>
            </w:pPr>
            <w:r>
              <w:rPr>
                <w:i/>
                <w:sz w:val="19"/>
              </w:rPr>
              <w:t xml:space="preserve">W.A. Marine Amendment Regulations 2009 </w:t>
            </w:r>
            <w:r>
              <w:rPr>
                <w:sz w:val="19"/>
              </w:rPr>
              <w:t>Pt. 11</w:t>
            </w:r>
          </w:p>
        </w:tc>
        <w:tc>
          <w:tcPr>
            <w:tcW w:w="1288" w:type="dxa"/>
            <w:gridSpan w:val="2"/>
          </w:tcPr>
          <w:p>
            <w:pPr>
              <w:pStyle w:val="nTable"/>
              <w:spacing w:before="120"/>
              <w:rPr>
                <w:sz w:val="19"/>
              </w:rPr>
            </w:pPr>
            <w:r>
              <w:rPr>
                <w:sz w:val="19"/>
              </w:rPr>
              <w:t>11 Dec 2009 p. 5087</w:t>
            </w:r>
            <w:r>
              <w:rPr>
                <w:sz w:val="19"/>
              </w:rPr>
              <w:noBreakHyphen/>
              <w:t>109</w:t>
            </w:r>
          </w:p>
        </w:tc>
        <w:tc>
          <w:tcPr>
            <w:tcW w:w="2701" w:type="dxa"/>
            <w:gridSpan w:val="2"/>
          </w:tcPr>
          <w:p>
            <w:pPr>
              <w:pStyle w:val="nTable"/>
              <w:spacing w:before="120"/>
              <w:rPr>
                <w:sz w:val="19"/>
              </w:rPr>
            </w:pPr>
            <w:r>
              <w:rPr>
                <w:sz w:val="19"/>
              </w:rPr>
              <w:t>12 Dec 2009 (see r. 2(b))</w:t>
            </w:r>
          </w:p>
        </w:tc>
      </w:tr>
      <w:tr>
        <w:tblPrEx>
          <w:tblCellMar>
            <w:left w:w="28" w:type="dxa"/>
            <w:right w:w="28" w:type="dxa"/>
          </w:tblCellMar>
        </w:tblPrEx>
        <w:trPr>
          <w:gridAfter w:val="1"/>
          <w:wAfter w:w="9" w:type="dxa"/>
          <w:cantSplit/>
        </w:trPr>
        <w:tc>
          <w:tcPr>
            <w:tcW w:w="3094" w:type="dxa"/>
          </w:tcPr>
          <w:p>
            <w:pPr>
              <w:pStyle w:val="nTable"/>
              <w:spacing w:before="120"/>
              <w:ind w:right="113"/>
              <w:rPr>
                <w:i/>
                <w:sz w:val="19"/>
              </w:rPr>
            </w:pPr>
            <w:r>
              <w:rPr>
                <w:i/>
                <w:sz w:val="19"/>
              </w:rPr>
              <w:t>W.A. Marine (Surveys and Certificates of Survey) Amendment Regulations 2010</w:t>
            </w:r>
          </w:p>
        </w:tc>
        <w:tc>
          <w:tcPr>
            <w:tcW w:w="1288" w:type="dxa"/>
            <w:gridSpan w:val="2"/>
          </w:tcPr>
          <w:p>
            <w:pPr>
              <w:pStyle w:val="nTable"/>
              <w:spacing w:before="120"/>
              <w:rPr>
                <w:sz w:val="19"/>
              </w:rPr>
            </w:pPr>
            <w:r>
              <w:rPr>
                <w:sz w:val="19"/>
              </w:rPr>
              <w:t>18 Jun 2010 p. 2684-9</w:t>
            </w:r>
          </w:p>
        </w:tc>
        <w:tc>
          <w:tcPr>
            <w:tcW w:w="2701" w:type="dxa"/>
            <w:gridSpan w:val="2"/>
          </w:tcPr>
          <w:p>
            <w:pPr>
              <w:pStyle w:val="nTable"/>
              <w:spacing w:before="120"/>
              <w:rPr>
                <w:sz w:val="19"/>
              </w:rPr>
            </w:pPr>
            <w:r>
              <w:rPr>
                <w:sz w:val="19"/>
              </w:rPr>
              <w:t>r. 1 and 2: 18 Jun 2010 (see r. 2(a));</w:t>
            </w:r>
            <w:r>
              <w:rPr>
                <w:sz w:val="19"/>
              </w:rPr>
              <w:br/>
              <w:t>Regulations other than r. 1 and 2: 1 Jul 2010 (see r. 2(b))</w:t>
            </w:r>
          </w:p>
        </w:tc>
      </w:tr>
      <w:tr>
        <w:tblPrEx>
          <w:tblCellMar>
            <w:left w:w="28" w:type="dxa"/>
            <w:right w:w="28" w:type="dxa"/>
          </w:tblCellMar>
        </w:tblPrEx>
        <w:trPr>
          <w:gridAfter w:val="1"/>
          <w:wAfter w:w="9" w:type="dxa"/>
          <w:cantSplit/>
        </w:trPr>
        <w:tc>
          <w:tcPr>
            <w:tcW w:w="3094" w:type="dxa"/>
            <w:tcBorders>
              <w:bottom w:val="single" w:sz="4" w:space="0" w:color="auto"/>
            </w:tcBorders>
          </w:tcPr>
          <w:p>
            <w:pPr>
              <w:pStyle w:val="nTable"/>
              <w:spacing w:before="120"/>
              <w:ind w:right="113"/>
              <w:rPr>
                <w:i/>
                <w:sz w:val="19"/>
              </w:rPr>
            </w:pPr>
            <w:r>
              <w:rPr>
                <w:i/>
                <w:sz w:val="19"/>
              </w:rPr>
              <w:t>W.A. Marine (Surveys and Certificates of Survey) Amendment Regulations 2011</w:t>
            </w:r>
          </w:p>
        </w:tc>
        <w:tc>
          <w:tcPr>
            <w:tcW w:w="1288" w:type="dxa"/>
            <w:gridSpan w:val="2"/>
            <w:tcBorders>
              <w:bottom w:val="single" w:sz="4" w:space="0" w:color="auto"/>
            </w:tcBorders>
          </w:tcPr>
          <w:p>
            <w:pPr>
              <w:pStyle w:val="nTable"/>
              <w:spacing w:before="120"/>
              <w:rPr>
                <w:sz w:val="19"/>
              </w:rPr>
            </w:pPr>
            <w:r>
              <w:rPr>
                <w:sz w:val="19"/>
              </w:rPr>
              <w:t>20 May 2011 p. 1853</w:t>
            </w:r>
          </w:p>
        </w:tc>
        <w:tc>
          <w:tcPr>
            <w:tcW w:w="2701" w:type="dxa"/>
            <w:gridSpan w:val="2"/>
            <w:tcBorders>
              <w:bottom w:val="single" w:sz="4" w:space="0" w:color="auto"/>
            </w:tcBorders>
          </w:tcPr>
          <w:p>
            <w:pPr>
              <w:pStyle w:val="nTable"/>
              <w:spacing w:before="120"/>
              <w:rPr>
                <w:sz w:val="19"/>
              </w:rPr>
            </w:pPr>
            <w:r>
              <w:rPr>
                <w:sz w:val="19"/>
              </w:rPr>
              <w:t>r. 1 and 2: 20 May 2011 (see r. 2(a));</w:t>
            </w:r>
            <w:r>
              <w:rPr>
                <w:sz w:val="19"/>
              </w:rPr>
              <w:br/>
              <w:t>Regulations other than r. 1 and 2: 21 May 2011 (see r. 2(b))</w:t>
            </w:r>
          </w:p>
        </w:tc>
      </w:tr>
    </w:tbl>
    <w:p>
      <w:pPr>
        <w:pStyle w:val="nSubsection"/>
        <w:spacing w:before="160"/>
      </w:pPr>
      <w:r>
        <w:rPr>
          <w:vertAlign w:val="superscript"/>
        </w:rPr>
        <w:t>2</w:t>
      </w:r>
      <w:r>
        <w:tab/>
        <w:t xml:space="preserve">The Standards Association of </w:t>
      </w:r>
      <w:smartTag w:uri="urn:schemas-microsoft-com:office:smarttags" w:element="country-region">
        <w:r>
          <w:t>Australia</w:t>
        </w:r>
      </w:smartTag>
      <w:r>
        <w:t xml:space="preserve"> has changed its corporate status and its name. It is now Standards Australia International Limited (ACN 087 326 690). It also trades as Standards Australia.</w:t>
      </w:r>
    </w:p>
    <w:p>
      <w:pPr>
        <w:pStyle w:val="nSubsection"/>
        <w:keepNext/>
        <w:spacing w:before="120"/>
      </w:pPr>
      <w:r>
        <w:rPr>
          <w:vertAlign w:val="superscript"/>
        </w:rPr>
        <w:t>3</w:t>
      </w:r>
      <w:r>
        <w:tab/>
        <w:t xml:space="preserve">The </w:t>
      </w:r>
      <w:r>
        <w:rPr>
          <w:i/>
        </w:rPr>
        <w:t>W.A. Marine (Surveys and Certificates of Survey) Amendment Regulations 2002</w:t>
      </w:r>
      <w:r>
        <w:t xml:space="preserve"> r. 4 reads as follows:</w:t>
      </w:r>
    </w:p>
    <w:p>
      <w:pPr>
        <w:pStyle w:val="MiscOpen"/>
      </w:pPr>
    </w:p>
    <w:p>
      <w:pPr>
        <w:pStyle w:val="nzHeading5"/>
      </w:pPr>
      <w:r>
        <w:rPr>
          <w:rStyle w:val="CharSectno"/>
        </w:rPr>
        <w:t>4</w:t>
      </w:r>
      <w:r>
        <w:t>.</w:t>
      </w:r>
      <w:r>
        <w:tab/>
        <w:t>Saving</w:t>
      </w:r>
    </w:p>
    <w:p>
      <w:pPr>
        <w:pStyle w:val="nzSubsection"/>
      </w:pPr>
      <w:r>
        <w:tab/>
      </w:r>
      <w:r>
        <w:tab/>
        <w:t xml:space="preserve">If a registration certificate and identification plate in respect of a vessel has been obtained under regulation 10A(1)(c) of the </w:t>
      </w:r>
      <w:r>
        <w:rPr>
          <w:i/>
        </w:rPr>
        <w:t>W.A. Marine (Surveys and Certificates of Survey) Regulations 1983</w:t>
      </w:r>
      <w:r>
        <w:t xml:space="preserve"> before the commencement of the </w:t>
      </w:r>
      <w:r>
        <w:rPr>
          <w:i/>
        </w:rPr>
        <w:t>W.A. Marine (Surveys and Certificates of Survey) Amendment Regulations 2002</w:t>
      </w:r>
      <w:r>
        <w:t xml:space="preserve">, the registration continues to have effect under regulation 10A of the </w:t>
      </w:r>
      <w:r>
        <w:rPr>
          <w:i/>
        </w:rPr>
        <w:t>W.A. Marine (Surveys and Certificates of Survey) Regulations 1983</w:t>
      </w:r>
      <w:r>
        <w:t xml:space="preserve"> from that commencement in relation to the vessel as if it were intended that the vessel would operate within 5 nautical miles off the mainland of the State.</w:t>
      </w:r>
    </w:p>
    <w:p>
      <w:pPr>
        <w:pStyle w:val="MiscClose"/>
      </w:pPr>
    </w:p>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pPr>
        <w:pStyle w:val="nHeading2"/>
        <w:rPr>
          <w:sz w:val="28"/>
        </w:rPr>
      </w:pPr>
      <w:bookmarkStart w:id="398" w:name="_Toc236543421"/>
      <w:bookmarkStart w:id="399" w:name="_Toc238457763"/>
      <w:bookmarkStart w:id="400" w:name="_Toc238959752"/>
      <w:bookmarkStart w:id="401" w:name="_Toc248306515"/>
      <w:bookmarkStart w:id="402" w:name="_Toc248307563"/>
      <w:bookmarkStart w:id="403" w:name="_Toc248308165"/>
      <w:bookmarkStart w:id="404" w:name="_Toc265675096"/>
      <w:bookmarkStart w:id="405" w:name="_Toc265675280"/>
      <w:bookmarkStart w:id="406" w:name="_Toc293650129"/>
      <w:bookmarkStart w:id="407" w:name="_Toc293650227"/>
      <w:r>
        <w:rPr>
          <w:sz w:val="28"/>
        </w:rPr>
        <w:t>Defined Terms</w:t>
      </w:r>
      <w:bookmarkEnd w:id="398"/>
      <w:bookmarkEnd w:id="399"/>
      <w:bookmarkEnd w:id="400"/>
      <w:bookmarkEnd w:id="401"/>
      <w:bookmarkEnd w:id="402"/>
      <w:bookmarkEnd w:id="403"/>
      <w:bookmarkEnd w:id="404"/>
      <w:bookmarkEnd w:id="405"/>
      <w:bookmarkEnd w:id="406"/>
      <w:bookmarkEnd w:id="40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08" w:name="DefinedTerms"/>
      <w:bookmarkEnd w:id="408"/>
      <w:r>
        <w:t>class</w:t>
      </w:r>
      <w:r>
        <w:tab/>
        <w:t>3(1)</w:t>
      </w:r>
    </w:p>
    <w:p>
      <w:pPr>
        <w:pStyle w:val="DefinedTerms"/>
      </w:pPr>
      <w:r>
        <w:t>Code</w:t>
      </w:r>
      <w:r>
        <w:tab/>
        <w:t>3(1)</w:t>
      </w:r>
    </w:p>
    <w:p>
      <w:pPr>
        <w:pStyle w:val="DefinedTerms"/>
      </w:pPr>
      <w:r>
        <w:t>inspection</w:t>
      </w:r>
      <w:r>
        <w:tab/>
        <w:t>3(1)</w:t>
      </w:r>
    </w:p>
    <w:p>
      <w:pPr>
        <w:pStyle w:val="DefinedTerms"/>
      </w:pPr>
      <w:r>
        <w:t>List 7 vessel</w:t>
      </w:r>
      <w:r>
        <w:tab/>
        <w:t>3(1)</w:t>
      </w:r>
    </w:p>
    <w:p>
      <w:pPr>
        <w:pStyle w:val="DefinedTerms"/>
      </w:pPr>
      <w:r>
        <w:t>marine authority</w:t>
      </w:r>
      <w:r>
        <w:tab/>
        <w:t>3(1)</w:t>
      </w:r>
    </w:p>
    <w:p>
      <w:pPr>
        <w:pStyle w:val="DefinedTerms"/>
      </w:pPr>
      <w:r>
        <w:t>measured length</w:t>
      </w:r>
      <w:r>
        <w:tab/>
        <w:t>3(1)</w:t>
      </w:r>
    </w:p>
    <w:p>
      <w:pPr>
        <w:pStyle w:val="DefinedTerms"/>
      </w:pPr>
      <w:r>
        <w:t>NSCV Part C Section 6A</w:t>
      </w:r>
      <w:r>
        <w:tab/>
        <w:t>3(1)</w:t>
      </w:r>
    </w:p>
    <w:p>
      <w:pPr>
        <w:pStyle w:val="DefinedTerms"/>
      </w:pPr>
      <w:r>
        <w:t>specified form</w:t>
      </w:r>
      <w:r>
        <w:tab/>
        <w:t>3(1)</w:t>
      </w:r>
    </w:p>
    <w:p>
      <w:pPr>
        <w:pStyle w:val="DefinedTerms"/>
      </w:pPr>
      <w:r>
        <w:t>survey</w:t>
      </w:r>
      <w:r>
        <w:tab/>
        <w:t>3(1)</w:t>
      </w:r>
    </w:p>
    <w:p>
      <w:pPr>
        <w:pStyle w:val="DefinedTerms"/>
      </w:pPr>
      <w:r>
        <w:t>survey authority</w:t>
      </w:r>
      <w:r>
        <w:tab/>
        <w:t>3(1)</w:t>
      </w:r>
    </w:p>
    <w:p>
      <w:pPr>
        <w:pStyle w:val="DefinedTerms"/>
        <w:sectPr>
          <w:headerReference w:type="even" r:id="rId36"/>
          <w:headerReference w:type="default" r:id="rId37"/>
          <w:headerReference w:type="first" r:id="rId38"/>
          <w:pgSz w:w="11906" w:h="16838" w:code="9"/>
          <w:pgMar w:top="2376" w:right="2404" w:bottom="3544" w:left="2404" w:header="720" w:footer="3380" w:gutter="0"/>
          <w:cols w:space="720"/>
          <w:noEndnote/>
          <w:docGrid w:linePitch="326"/>
        </w:sectPr>
      </w:pPr>
    </w:p>
    <w:p/>
    <w:sectPr>
      <w:headerReference w:type="even" r:id="rId39"/>
      <w:headerReference w:type="default" r:id="rId4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 Marine (Surveys and Certificates of Survey) Regulations 1983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 Marine (Surveys and Certificates of Survey) Regulations 1983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 Marine (Surveys and Certificates of Survey) Regulations 1983</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 Marine (Surveys and Certificates of Survey) Regulations 1983</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I</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W.A. Marine (Surveys and Certificates of Survey) Regulations 1983</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quot; ">
            <w:r>
              <w:rPr>
                <w:noProof/>
              </w:rPr>
              <w:t>W.A. Marine (Surveys and Certificates of Survey) Regulations 1983</w:t>
            </w:r>
          </w:fldSimple>
        </w:p>
      </w:tc>
    </w:tr>
    <w:tr>
      <w:tc>
        <w:tcPr>
          <w:tcW w:w="5472" w:type="dxa"/>
          <w:vAlign w:val="bottom"/>
        </w:tcPr>
        <w:p>
          <w:pPr>
            <w:pStyle w:val="HeaderTextRight"/>
          </w:pPr>
          <w:fldSimple w:instr=" styleref CharSchText ">
            <w:r>
              <w:rPr>
                <w:noProof/>
              </w:rPr>
              <w:t>Fees</w:t>
            </w:r>
          </w:fldSimple>
        </w:p>
      </w:tc>
      <w:tc>
        <w:tcPr>
          <w:tcW w:w="1791" w:type="dxa"/>
        </w:tcPr>
        <w:p>
          <w:pPr>
            <w:pStyle w:val="HeaderNumberRight"/>
            <w:ind w:right="17"/>
          </w:pPr>
          <w:fldSimple w:instr=" styleref CharSchno ">
            <w:r>
              <w:rPr>
                <w:noProof/>
              </w:rPr>
              <w:t>Schedule 1</w:t>
            </w:r>
          </w:fldSimple>
        </w:p>
      </w:tc>
    </w:tr>
    <w:tr>
      <w:tc>
        <w:tcPr>
          <w:tcW w:w="5472" w:type="dxa"/>
        </w:tcPr>
        <w:p>
          <w:pPr>
            <w:pStyle w:val="HeaderTextRight"/>
          </w:pPr>
        </w:p>
      </w:tc>
      <w:tc>
        <w:tcPr>
          <w:tcW w:w="1791" w:type="dxa"/>
        </w:tcPr>
        <w:p>
          <w:pPr>
            <w:pStyle w:val="HeaderNumberRight"/>
            <w:ind w:right="17"/>
          </w:pPr>
        </w:p>
      </w:tc>
    </w:tr>
    <w:tr>
      <w:tc>
        <w:tcPr>
          <w:tcW w:w="5472" w:type="dxa"/>
        </w:tcPr>
        <w:p>
          <w:pPr>
            <w:pStyle w:val="HeaderTextRight"/>
          </w:pPr>
        </w:p>
      </w:tc>
      <w:tc>
        <w:tcPr>
          <w:tcW w:w="1791"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W.A. Marine (Surveys and Certificates of Survey) Regulations 1983</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quot; ">
            <w:r>
              <w:rPr>
                <w:noProof/>
              </w:rPr>
              <w:t>W.A. Marine (Surveys and Certificates of Survey) Regulations 1983</w:t>
            </w:r>
          </w:fldSimple>
        </w:p>
      </w:tc>
    </w:tr>
    <w:tr>
      <w:tc>
        <w:tcPr>
          <w:tcW w:w="5472" w:type="dxa"/>
          <w:vAlign w:val="bottom"/>
        </w:tcPr>
        <w:p>
          <w:pPr>
            <w:pStyle w:val="HeaderTextRight"/>
          </w:pPr>
          <w:fldSimple w:instr=" styleref CharSchText ">
            <w:r>
              <w:rPr>
                <w:noProof/>
              </w:rPr>
              <w:t>Fees</w:t>
            </w:r>
          </w:fldSimple>
        </w:p>
      </w:tc>
      <w:tc>
        <w:tcPr>
          <w:tcW w:w="1791" w:type="dxa"/>
        </w:tcPr>
        <w:p>
          <w:pPr>
            <w:pStyle w:val="HeaderNumberRight"/>
            <w:ind w:right="17"/>
          </w:pPr>
          <w:fldSimple w:instr=" styleref CharSchno ">
            <w:r>
              <w:rPr>
                <w:noProof/>
              </w:rPr>
              <w:t>Schedule 1</w:t>
            </w:r>
          </w:fldSimple>
        </w:p>
      </w:tc>
    </w:tr>
    <w:tr>
      <w:tc>
        <w:tcPr>
          <w:tcW w:w="5472" w:type="dxa"/>
        </w:tcPr>
        <w:p>
          <w:pPr>
            <w:pStyle w:val="HeaderTextRight"/>
          </w:pPr>
        </w:p>
      </w:tc>
      <w:tc>
        <w:tcPr>
          <w:tcW w:w="1791" w:type="dxa"/>
        </w:tcPr>
        <w:p>
          <w:pPr>
            <w:pStyle w:val="HeaderNumberRight"/>
            <w:ind w:right="17"/>
          </w:pPr>
        </w:p>
      </w:tc>
    </w:tr>
    <w:tr>
      <w:tc>
        <w:tcPr>
          <w:tcW w:w="5472" w:type="dxa"/>
        </w:tcPr>
        <w:p>
          <w:pPr>
            <w:pStyle w:val="HeaderTextRight"/>
          </w:pPr>
        </w:p>
      </w:tc>
      <w:tc>
        <w:tcPr>
          <w:tcW w:w="1791"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W.A. Marine (Surveys and Certificates of Survey) Regulations 1983</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Survey requirements and intervals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4</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quot; ">
            <w:r>
              <w:rPr>
                <w:noProof/>
              </w:rPr>
              <w:t>W.A. Marine (Surveys and Certificates of Survey) Regulations 1983</w:t>
            </w:r>
          </w:fldSimple>
        </w:p>
      </w:tc>
    </w:tr>
    <w:tr>
      <w:tc>
        <w:tcPr>
          <w:tcW w:w="5472" w:type="dxa"/>
          <w:vAlign w:val="bottom"/>
        </w:tcPr>
        <w:p>
          <w:pPr>
            <w:pStyle w:val="HeaderTextRight"/>
          </w:pPr>
          <w:fldSimple w:instr=" styleref CharSchText ">
            <w:r>
              <w:rPr>
                <w:noProof/>
              </w:rPr>
              <w:t>Survey requirements and intervals</w:t>
            </w:r>
          </w:fldSimple>
        </w:p>
      </w:tc>
      <w:tc>
        <w:tcPr>
          <w:tcW w:w="1791" w:type="dxa"/>
        </w:tcPr>
        <w:p>
          <w:pPr>
            <w:pStyle w:val="HeaderNumberRight"/>
            <w:ind w:right="17"/>
          </w:pPr>
          <w:fldSimple w:instr=" styleref CharSchno ">
            <w:r>
              <w:rPr>
                <w:noProof/>
              </w:rPr>
              <w:t>Schedule 2</w:t>
            </w:r>
          </w:fldSimple>
        </w:p>
      </w:tc>
    </w:tr>
    <w:tr>
      <w:tc>
        <w:tcPr>
          <w:tcW w:w="5472" w:type="dxa"/>
        </w:tcPr>
        <w:p>
          <w:pPr>
            <w:pStyle w:val="HeaderTextRight"/>
          </w:pPr>
        </w:p>
      </w:tc>
      <w:tc>
        <w:tcPr>
          <w:tcW w:w="1791" w:type="dxa"/>
        </w:tcPr>
        <w:p>
          <w:pPr>
            <w:pStyle w:val="HeaderNumberRight"/>
            <w:ind w:right="17"/>
          </w:pPr>
        </w:p>
      </w:tc>
    </w:tr>
    <w:tr>
      <w:tc>
        <w:tcPr>
          <w:tcW w:w="5472" w:type="dxa"/>
        </w:tcPr>
        <w:p>
          <w:pPr>
            <w:pStyle w:val="HeaderTextRight"/>
          </w:pPr>
        </w:p>
      </w:tc>
      <w:tc>
        <w:tcPr>
          <w:tcW w:w="1791" w:type="dxa"/>
        </w:tcPr>
        <w:p>
          <w:pPr>
            <w:pStyle w:val="HeaderNumberRight"/>
            <w:ind w:right="17"/>
            <w:rPr>
              <w:bCs/>
            </w:rPr>
          </w:pPr>
          <w:r>
            <w:t xml:space="preserve">cl. </w:t>
          </w:r>
          <w:r>
            <w:fldChar w:fldCharType="begin"/>
          </w:r>
          <w:r>
            <w:instrText xml:space="preserve"> IF </w:instrText>
          </w:r>
          <w:fldSimple w:instr=" StyleRef CharSClsNo ">
            <w:r>
              <w:rPr>
                <w:noProof/>
              </w:rPr>
              <w:instrText>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4</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 Marine (Surveys and Certificates of Survey) Regulations 1983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 Marine (Surveys and Certificates of Survey) Regulations 1983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 Marine (Surveys and Certificates of Survey) Regulations 1983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 Marine (Surveys and Certificates of Survey) Regulations 1983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 Marine (Surveys and Certificates of Survey) Regulations 1983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 Marine (Surveys and Certificates of Survey) Regulations 1983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31E45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15445B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6C211AC"/>
    <w:lvl w:ilvl="0">
      <w:start w:val="1"/>
      <w:numFmt w:val="decimal"/>
      <w:pStyle w:val="ListNumber3"/>
      <w:lvlText w:val="%1."/>
      <w:lvlJc w:val="left"/>
      <w:pPr>
        <w:tabs>
          <w:tab w:val="num" w:pos="926"/>
        </w:tabs>
        <w:ind w:left="926" w:hanging="360"/>
      </w:pPr>
    </w:lvl>
  </w:abstractNum>
  <w:abstractNum w:abstractNumId="3">
    <w:nsid w:val="FFFFFF7F"/>
    <w:multiLevelType w:val="singleLevel"/>
    <w:tmpl w:val="20AE346A"/>
    <w:lvl w:ilvl="0">
      <w:start w:val="1"/>
      <w:numFmt w:val="decimal"/>
      <w:pStyle w:val="ListNumber2"/>
      <w:lvlText w:val="%1."/>
      <w:lvlJc w:val="left"/>
      <w:pPr>
        <w:tabs>
          <w:tab w:val="num" w:pos="643"/>
        </w:tabs>
        <w:ind w:left="643" w:hanging="360"/>
      </w:pPr>
    </w:lvl>
  </w:abstractNum>
  <w:abstractNum w:abstractNumId="4">
    <w:nsid w:val="FFFFFF80"/>
    <w:multiLevelType w:val="singleLevel"/>
    <w:tmpl w:val="4972147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3E2916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1EEFF6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45C5BF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83670AE"/>
    <w:lvl w:ilvl="0">
      <w:start w:val="1"/>
      <w:numFmt w:val="decimal"/>
      <w:pStyle w:val="ListNumber"/>
      <w:lvlText w:val="%1."/>
      <w:lvlJc w:val="left"/>
      <w:pPr>
        <w:tabs>
          <w:tab w:val="num" w:pos="360"/>
        </w:tabs>
        <w:ind w:left="360" w:hanging="360"/>
      </w:pPr>
    </w:lvl>
  </w:abstractNum>
  <w:abstractNum w:abstractNumId="9">
    <w:nsid w:val="FFFFFF89"/>
    <w:multiLevelType w:val="singleLevel"/>
    <w:tmpl w:val="EB98AFD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5BF88D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3C2808C0"/>
    <w:multiLevelType w:val="singleLevel"/>
    <w:tmpl w:val="EFBA44E0"/>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70010"/>
    <w:docVar w:name="WAFER_20151209170010" w:val="RemoveTrackChanges"/>
    <w:docVar w:name="WAFER_20151209170010_GUID" w:val="180cfa6e-b7e8-45e5-90b3-2caffab7a84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52</Pages>
  <Words>10345</Words>
  <Characters>49243</Characters>
  <Application>Microsoft Office Word</Application>
  <DocSecurity>0</DocSecurity>
  <Lines>2051</Lines>
  <Paragraphs>1216</Paragraphs>
  <ScaleCrop>false</ScaleCrop>
  <HeadingPairs>
    <vt:vector size="2" baseType="variant">
      <vt:variant>
        <vt:lpstr>Title</vt:lpstr>
      </vt:variant>
      <vt:variant>
        <vt:i4>1</vt:i4>
      </vt:variant>
    </vt:vector>
  </HeadingPairs>
  <TitlesOfParts>
    <vt:vector size="1" baseType="lpstr">
      <vt:lpstr>WA Marine (Surveys and Certificates of Survey) Regulations 1983</vt:lpstr>
    </vt:vector>
  </TitlesOfParts>
  <Manager/>
  <Company/>
  <LinksUpToDate>false</LinksUpToDate>
  <CharactersWithSpaces>58372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(Surveys and Certificates of Survey) Regulations 1983 - 04-d0-02</dc:title>
  <dc:subject/>
  <dc:creator/>
  <cp:keywords/>
  <dc:description/>
  <cp:lastModifiedBy>svcMRProcess</cp:lastModifiedBy>
  <cp:revision>4</cp:revision>
  <cp:lastPrinted>2009-09-09T07:50:00Z</cp:lastPrinted>
  <dcterms:created xsi:type="dcterms:W3CDTF">2015-12-11T07:07:00Z</dcterms:created>
  <dcterms:modified xsi:type="dcterms:W3CDTF">2015-12-11T07:07:00Z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pp.2195-208</vt:lpwstr>
  </property>
  <property fmtid="{D5CDD505-2E9C-101B-9397-08002B2CF9AE}" pid="3" name="CommencementDate">
    <vt:lpwstr>20110521</vt:lpwstr>
  </property>
  <property fmtid="{D5CDD505-2E9C-101B-9397-08002B2CF9AE}" pid="4" name="DocumentType">
    <vt:lpwstr>Reg</vt:lpwstr>
  </property>
  <property fmtid="{D5CDD505-2E9C-101B-9397-08002B2CF9AE}" pid="5" name="OwlsUID">
    <vt:i4>4847</vt:i4>
  </property>
  <property fmtid="{D5CDD505-2E9C-101B-9397-08002B2CF9AE}" pid="6" name="ReprintNo">
    <vt:lpwstr>4</vt:lpwstr>
  </property>
  <property fmtid="{D5CDD505-2E9C-101B-9397-08002B2CF9AE}" pid="7" name="AsAtDate">
    <vt:lpwstr>21 May 2011</vt:lpwstr>
  </property>
  <property fmtid="{D5CDD505-2E9C-101B-9397-08002B2CF9AE}" pid="8" name="Suffix">
    <vt:lpwstr>04-d0-02</vt:lpwstr>
  </property>
</Properties>
</file>