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Petroleum (Submerged Lands) Act 1982</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Petroleum (Submerged Lands) Regulations 1990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Petroleum (Submerged Lands) Regulations 1990</w:t>
      </w:r>
      <w:r>
        <w:fldChar w:fldCharType="end"/>
      </w:r>
    </w:p>
    <w:p>
      <w:pPr>
        <w:pStyle w:val="Arrangement"/>
        <w:spacing w:after="360"/>
        <w:ind w:left="2302" w:right="2302"/>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_Toc293999996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_Toc293999997 \h </w:instrText>
      </w:r>
      <w:r>
        <w:fldChar w:fldCharType="separate"/>
      </w:r>
      <w:r>
        <w:t>1</w:t>
      </w:r>
      <w:r>
        <w:fldChar w:fldCharType="end"/>
      </w:r>
    </w:p>
    <w:p>
      <w:pPr>
        <w:pStyle w:val="TOC8"/>
        <w:rPr>
          <w:sz w:val="24"/>
          <w:szCs w:val="24"/>
          <w:lang w:val="en-US"/>
        </w:rPr>
      </w:pPr>
      <w:r>
        <w:t>2A.</w:t>
      </w:r>
      <w:r>
        <w:tab/>
        <w:t>Terms used</w:t>
      </w:r>
      <w:r>
        <w:tab/>
      </w:r>
      <w:r>
        <w:fldChar w:fldCharType="begin"/>
      </w:r>
      <w:r>
        <w:instrText xml:space="preserve"> PAGEREF _Toc293999998 \h </w:instrText>
      </w:r>
      <w:r>
        <w:fldChar w:fldCharType="separate"/>
      </w:r>
      <w:r>
        <w:t>1</w:t>
      </w:r>
      <w:r>
        <w:fldChar w:fldCharType="end"/>
      </w:r>
    </w:p>
    <w:p>
      <w:pPr>
        <w:pStyle w:val="TOC8"/>
        <w:rPr>
          <w:sz w:val="24"/>
          <w:szCs w:val="24"/>
          <w:lang w:val="en-US"/>
        </w:rPr>
      </w:pPr>
      <w:r>
        <w:t>3</w:t>
      </w:r>
      <w:r>
        <w:rPr>
          <w:snapToGrid w:val="0"/>
        </w:rPr>
        <w:t>.</w:t>
      </w:r>
      <w:r>
        <w:rPr>
          <w:snapToGrid w:val="0"/>
        </w:rPr>
        <w:tab/>
        <w:t>Prescribed fees, rates and sums</w:t>
      </w:r>
      <w:r>
        <w:tab/>
      </w:r>
      <w:r>
        <w:fldChar w:fldCharType="begin"/>
      </w:r>
      <w:r>
        <w:instrText xml:space="preserve"> PAGEREF _Toc293999999 \h </w:instrText>
      </w:r>
      <w:r>
        <w:fldChar w:fldCharType="separate"/>
      </w:r>
      <w:r>
        <w:t>1</w:t>
      </w:r>
      <w:r>
        <w:fldChar w:fldCharType="end"/>
      </w:r>
    </w:p>
    <w:p>
      <w:pPr>
        <w:pStyle w:val="TOC8"/>
        <w:rPr>
          <w:sz w:val="24"/>
          <w:szCs w:val="24"/>
          <w:lang w:val="en-US"/>
        </w:rPr>
      </w:pPr>
      <w:r>
        <w:t>4</w:t>
      </w:r>
      <w:r>
        <w:rPr>
          <w:snapToGrid w:val="0"/>
        </w:rPr>
        <w:t>.</w:t>
      </w:r>
      <w:r>
        <w:rPr>
          <w:snapToGrid w:val="0"/>
        </w:rPr>
        <w:tab/>
        <w:t>Form of instrument of transfer</w:t>
      </w:r>
      <w:r>
        <w:tab/>
      </w:r>
      <w:r>
        <w:fldChar w:fldCharType="begin"/>
      </w:r>
      <w:r>
        <w:instrText xml:space="preserve"> PAGEREF _Toc294000000 \h </w:instrText>
      </w:r>
      <w:r>
        <w:fldChar w:fldCharType="separate"/>
      </w:r>
      <w:r>
        <w:t>3</w:t>
      </w:r>
      <w:r>
        <w:fldChar w:fldCharType="end"/>
      </w:r>
    </w:p>
    <w:p>
      <w:pPr>
        <w:pStyle w:val="TOC8"/>
        <w:rPr>
          <w:sz w:val="24"/>
          <w:szCs w:val="24"/>
          <w:lang w:val="en-US"/>
        </w:rPr>
      </w:pPr>
      <w:r>
        <w:t>5</w:t>
      </w:r>
      <w:r>
        <w:rPr>
          <w:snapToGrid w:val="0"/>
        </w:rPr>
        <w:t>.</w:t>
      </w:r>
      <w:r>
        <w:rPr>
          <w:snapToGrid w:val="0"/>
        </w:rPr>
        <w:tab/>
        <w:t>Instrument under Act s. 81(4)(b)</w:t>
      </w:r>
      <w:r>
        <w:tab/>
      </w:r>
      <w:r>
        <w:fldChar w:fldCharType="begin"/>
      </w:r>
      <w:r>
        <w:instrText xml:space="preserve"> PAGEREF _Toc294000001 \h </w:instrText>
      </w:r>
      <w:r>
        <w:fldChar w:fldCharType="separate"/>
      </w:r>
      <w:r>
        <w:t>3</w:t>
      </w:r>
      <w:r>
        <w:fldChar w:fldCharType="end"/>
      </w:r>
    </w:p>
    <w:p>
      <w:pPr>
        <w:pStyle w:val="TOC8"/>
        <w:rPr>
          <w:sz w:val="24"/>
          <w:szCs w:val="24"/>
          <w:lang w:val="en-US"/>
        </w:rPr>
      </w:pPr>
      <w:r>
        <w:t>8</w:t>
      </w:r>
      <w:r>
        <w:rPr>
          <w:snapToGrid w:val="0"/>
        </w:rPr>
        <w:t>.</w:t>
      </w:r>
      <w:r>
        <w:rPr>
          <w:snapToGrid w:val="0"/>
        </w:rPr>
        <w:tab/>
        <w:t>Royalty value — deductible imposts</w:t>
      </w:r>
      <w:r>
        <w:tab/>
      </w:r>
      <w:r>
        <w:fldChar w:fldCharType="begin"/>
      </w:r>
      <w:r>
        <w:instrText xml:space="preserve"> PAGEREF _Toc294000002 \h </w:instrText>
      </w:r>
      <w:r>
        <w:fldChar w:fldCharType="separate"/>
      </w:r>
      <w:r>
        <w:t>5</w:t>
      </w:r>
      <w:r>
        <w:fldChar w:fldCharType="end"/>
      </w:r>
    </w:p>
    <w:p>
      <w:pPr>
        <w:pStyle w:val="TOC8"/>
        <w:rPr>
          <w:sz w:val="24"/>
          <w:szCs w:val="24"/>
          <w:lang w:val="en-US"/>
        </w:rPr>
      </w:pPr>
      <w:r>
        <w:t>9.</w:t>
      </w:r>
      <w:r>
        <w:tab/>
        <w:t>Application of Geocentric Datum of Australia</w:t>
      </w:r>
      <w:r>
        <w:tab/>
      </w:r>
      <w:r>
        <w:fldChar w:fldCharType="begin"/>
      </w:r>
      <w:r>
        <w:instrText xml:space="preserve"> PAGEREF _Toc294000003 \h </w:instrText>
      </w:r>
      <w:r>
        <w:fldChar w:fldCharType="separate"/>
      </w:r>
      <w:r>
        <w:t>6</w:t>
      </w:r>
      <w:r>
        <w:fldChar w:fldCharType="end"/>
      </w:r>
    </w:p>
    <w:p>
      <w:pPr>
        <w:pStyle w:val="TOC8"/>
        <w:rPr>
          <w:sz w:val="24"/>
          <w:szCs w:val="24"/>
          <w:lang w:val="en-US"/>
        </w:rPr>
      </w:pPr>
      <w:r>
        <w:t>10.</w:t>
      </w:r>
      <w:r>
        <w:tab/>
        <w:t>Application of GDA to certain instruments</w:t>
      </w:r>
      <w:r>
        <w:tab/>
      </w:r>
      <w:r>
        <w:fldChar w:fldCharType="begin"/>
      </w:r>
      <w:r>
        <w:instrText xml:space="preserve"> PAGEREF _Toc294000004 \h </w:instrText>
      </w:r>
      <w:r>
        <w:fldChar w:fldCharType="separate"/>
      </w:r>
      <w:r>
        <w:t>7</w:t>
      </w:r>
      <w:r>
        <w:fldChar w:fldCharType="end"/>
      </w:r>
    </w:p>
    <w:p>
      <w:pPr>
        <w:pStyle w:val="TOC8"/>
        <w:rPr>
          <w:sz w:val="24"/>
          <w:szCs w:val="24"/>
          <w:lang w:val="en-US"/>
        </w:rPr>
      </w:pPr>
      <w:r>
        <w:t>11.</w:t>
      </w:r>
      <w:r>
        <w:tab/>
        <w:t>Application of Australian Geodetic Datum</w:t>
      </w:r>
      <w:r>
        <w:tab/>
      </w:r>
      <w:r>
        <w:fldChar w:fldCharType="begin"/>
      </w:r>
      <w:r>
        <w:instrText xml:space="preserve"> PAGEREF _Toc294000005 \h </w:instrText>
      </w:r>
      <w:r>
        <w:fldChar w:fldCharType="separate"/>
      </w:r>
      <w:r>
        <w:t>8</w:t>
      </w:r>
      <w:r>
        <w:fldChar w:fldCharType="end"/>
      </w:r>
    </w:p>
    <w:p>
      <w:pPr>
        <w:pStyle w:val="TOC2"/>
        <w:tabs>
          <w:tab w:val="right" w:leader="dot" w:pos="7086"/>
        </w:tabs>
        <w:rPr>
          <w:b w:val="0"/>
          <w:sz w:val="24"/>
          <w:szCs w:val="24"/>
          <w:lang w:val="en-US"/>
        </w:rPr>
      </w:pPr>
      <w:r>
        <w:t>Schedule 1 — Prescribed fees</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_Toc294000009 \h </w:instrText>
      </w:r>
      <w:r>
        <w:fldChar w:fldCharType="separate"/>
      </w:r>
      <w:r>
        <w:t>13</w:t>
      </w:r>
      <w:r>
        <w:fldChar w:fldCharType="end"/>
      </w:r>
    </w:p>
    <w:p>
      <w:pPr>
        <w:pStyle w:val="TOC2"/>
        <w:tabs>
          <w:tab w:val="right" w:leader="dot" w:pos="7086"/>
        </w:tabs>
        <w:rPr>
          <w:b w:val="0"/>
          <w:sz w:val="24"/>
          <w:szCs w:val="24"/>
          <w:lang w:val="en-US"/>
        </w:rPr>
      </w:pPr>
      <w:r>
        <w:t>Defined Terms</w:t>
      </w:r>
    </w:p>
    <w:p>
      <w:pPr>
        <w:tabs>
          <w:tab w:val="righ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Petroleum (Submerged Lands) Act 1982</w:t>
      </w:r>
    </w:p>
    <w:p>
      <w:pPr>
        <w:pStyle w:val="NameofActReg"/>
      </w:pPr>
      <w:r>
        <w:t>Petroleum (Submerged Lands) Regulations 1990</w:t>
      </w:r>
    </w:p>
    <w:p>
      <w:pPr>
        <w:pStyle w:val="Heading5"/>
        <w:rPr>
          <w:snapToGrid w:val="0"/>
        </w:rPr>
      </w:pPr>
      <w:bookmarkStart w:id="1" w:name="_Toc501857721"/>
      <w:bookmarkStart w:id="2" w:name="_Toc34127021"/>
      <w:bookmarkStart w:id="3" w:name="_Toc34198096"/>
      <w:bookmarkStart w:id="4" w:name="_Toc293999996"/>
      <w:r>
        <w:rPr>
          <w:rStyle w:val="CharSectno"/>
        </w:rPr>
        <w:t>1</w:t>
      </w:r>
      <w:r>
        <w:rPr>
          <w:snapToGrid w:val="0"/>
        </w:rPr>
        <w:t>.</w:t>
      </w:r>
      <w:r>
        <w:rPr>
          <w:snapToGrid w:val="0"/>
        </w:rPr>
        <w:tab/>
        <w:t>Citation</w:t>
      </w:r>
      <w:bookmarkEnd w:id="1"/>
      <w:bookmarkEnd w:id="2"/>
      <w:bookmarkEnd w:id="3"/>
      <w:bookmarkEnd w:id="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Petroleum (Submerged Lands) Regulations 1990</w:t>
      </w:r>
      <w:r>
        <w:rPr>
          <w:snapToGrid w:val="0"/>
          <w:vertAlign w:val="superscript"/>
        </w:rPr>
        <w:t> 1</w:t>
      </w:r>
      <w:r>
        <w:rPr>
          <w:snapToGrid w:val="0"/>
        </w:rPr>
        <w:t>.</w:t>
      </w:r>
    </w:p>
    <w:p>
      <w:pPr>
        <w:pStyle w:val="Heading5"/>
        <w:rPr>
          <w:snapToGrid w:val="0"/>
        </w:rPr>
      </w:pPr>
      <w:bookmarkStart w:id="5" w:name="_Toc501857722"/>
      <w:bookmarkStart w:id="6" w:name="_Toc34127022"/>
      <w:bookmarkStart w:id="7" w:name="_Toc34198097"/>
      <w:bookmarkStart w:id="8" w:name="_Toc293999997"/>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vertAlign w:val="superscript"/>
        </w:rPr>
        <w:t> 1</w:t>
      </w:r>
      <w:r>
        <w:rPr>
          <w:snapToGrid w:val="0"/>
        </w:rPr>
        <w:t>.</w:t>
      </w:r>
    </w:p>
    <w:p>
      <w:pPr>
        <w:pStyle w:val="Heading5"/>
      </w:pPr>
      <w:bookmarkStart w:id="9" w:name="_Toc501857723"/>
      <w:bookmarkStart w:id="10" w:name="_Toc34127023"/>
      <w:bookmarkStart w:id="11" w:name="_Toc34198098"/>
      <w:bookmarkStart w:id="12" w:name="_Toc293999998"/>
      <w:r>
        <w:rPr>
          <w:rStyle w:val="CharSectno"/>
        </w:rPr>
        <w:t>2A</w:t>
      </w:r>
      <w:r>
        <w:t>.</w:t>
      </w:r>
      <w:r>
        <w:tab/>
      </w:r>
      <w:bookmarkEnd w:id="9"/>
      <w:bookmarkEnd w:id="10"/>
      <w:bookmarkEnd w:id="11"/>
      <w:r>
        <w:t>Terms used</w:t>
      </w:r>
      <w:bookmarkEnd w:id="12"/>
    </w:p>
    <w:p>
      <w:pPr>
        <w:pStyle w:val="Subsection"/>
      </w:pPr>
      <w:r>
        <w:tab/>
      </w:r>
      <w:r>
        <w:tab/>
        <w:t xml:space="preserve">In these regulations — </w:t>
      </w:r>
    </w:p>
    <w:p>
      <w:pPr>
        <w:pStyle w:val="Defstart"/>
      </w:pPr>
      <w:r>
        <w:tab/>
      </w:r>
      <w:r>
        <w:rPr>
          <w:rStyle w:val="CharDefText"/>
        </w:rPr>
        <w:t>AGD</w:t>
      </w:r>
      <w:r>
        <w:t xml:space="preserve"> means the Australian Geodetic Datum referred to in regulation 11;</w:t>
      </w:r>
    </w:p>
    <w:p>
      <w:pPr>
        <w:pStyle w:val="Defstart"/>
      </w:pPr>
      <w:r>
        <w:tab/>
      </w:r>
      <w:r>
        <w:rPr>
          <w:rStyle w:val="CharDefText"/>
        </w:rPr>
        <w:t>GDA</w:t>
      </w:r>
      <w:r>
        <w:t xml:space="preserve"> means the Geocentric Datum of Australia referred to in regulation 9.</w:t>
      </w:r>
    </w:p>
    <w:p>
      <w:pPr>
        <w:pStyle w:val="Footnotesection"/>
      </w:pPr>
      <w:r>
        <w:tab/>
        <w:t>[Regulation 2A inserted in Gazette 15 Dec 2000 p. 7216.]</w:t>
      </w:r>
    </w:p>
    <w:p>
      <w:pPr>
        <w:pStyle w:val="Heading5"/>
        <w:rPr>
          <w:snapToGrid w:val="0"/>
        </w:rPr>
      </w:pPr>
      <w:bookmarkStart w:id="13" w:name="_Toc501857724"/>
      <w:bookmarkStart w:id="14" w:name="_Toc34127024"/>
      <w:bookmarkStart w:id="15" w:name="_Toc34198099"/>
      <w:bookmarkStart w:id="16" w:name="_Toc293999999"/>
      <w:r>
        <w:rPr>
          <w:rStyle w:val="CharSectno"/>
        </w:rPr>
        <w:t>3</w:t>
      </w:r>
      <w:r>
        <w:rPr>
          <w:snapToGrid w:val="0"/>
        </w:rPr>
        <w:t>.</w:t>
      </w:r>
      <w:r>
        <w:rPr>
          <w:snapToGrid w:val="0"/>
        </w:rPr>
        <w:tab/>
        <w:t>Prescribed fees, rates and sums</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1, the prescribed fee is the amount specified in Column 3 of that Schedule opposite to that provision.</w:t>
      </w:r>
    </w:p>
    <w:p>
      <w:pPr>
        <w:pStyle w:val="Subsection"/>
        <w:rPr>
          <w:snapToGrid w:val="0"/>
        </w:rPr>
      </w:pPr>
      <w:r>
        <w:rPr>
          <w:snapToGrid w:val="0"/>
        </w:rPr>
        <w:tab/>
        <w:t>(2)</w:t>
      </w:r>
      <w:r>
        <w:rPr>
          <w:snapToGrid w:val="0"/>
        </w:rPr>
        <w:tab/>
        <w:t>For the purposes of section 87(2) of the Act, the prescribed fee is a fee calculated at the rate of $3.50 per page.</w:t>
      </w:r>
    </w:p>
    <w:p>
      <w:pPr>
        <w:pStyle w:val="Ednotesubsection"/>
      </w:pPr>
      <w:r>
        <w:tab/>
        <w:t>[(3)</w:t>
      </w:r>
      <w:r>
        <w:tab/>
        <w:t>deleted]</w:t>
      </w:r>
    </w:p>
    <w:p>
      <w:pPr>
        <w:pStyle w:val="Subsection"/>
        <w:rPr>
          <w:snapToGrid w:val="0"/>
        </w:rPr>
      </w:pPr>
      <w:r>
        <w:rPr>
          <w:snapToGrid w:val="0"/>
        </w:rPr>
        <w:tab/>
        <w:t>(4)</w:t>
      </w:r>
      <w:r>
        <w:rPr>
          <w:snapToGrid w:val="0"/>
        </w:rPr>
        <w:tab/>
        <w:t>For the purposes of section 118(1a)(b), (2)(b), (5)(c) and (5a)(b) of the Act, the prescribed fee is an amount equal to the sum of the following amounts — </w:t>
      </w:r>
    </w:p>
    <w:p>
      <w:pPr>
        <w:pStyle w:val="Indenta"/>
        <w:rPr>
          <w:snapToGrid w:val="0"/>
        </w:rPr>
      </w:pPr>
      <w:r>
        <w:rPr>
          <w:snapToGrid w:val="0"/>
        </w:rPr>
        <w:tab/>
        <w:t>(a)</w:t>
      </w:r>
      <w:r>
        <w:rPr>
          <w:snapToGrid w:val="0"/>
        </w:rPr>
        <w:tab/>
        <w:t xml:space="preserve">if the information requested is contained in a document and the document is lent to the person who made that request, an amount calculated at the rate of </w:t>
      </w:r>
      <w:r>
        <w:t xml:space="preserve">$40.00 </w:t>
      </w:r>
      <w:r>
        <w:rPr>
          <w:snapToGrid w:val="0"/>
        </w:rPr>
        <w:t>per day or part of a day during which the document containing that information is on loan to that person;</w:t>
      </w:r>
    </w:p>
    <w:p>
      <w:pPr>
        <w:pStyle w:val="Indenta"/>
        <w:rPr>
          <w:snapToGrid w:val="0"/>
        </w:rPr>
      </w:pPr>
      <w:r>
        <w:rPr>
          <w:snapToGrid w:val="0"/>
        </w:rPr>
        <w:tab/>
        <w:t>(b)</w:t>
      </w:r>
      <w:r>
        <w:rPr>
          <w:snapToGrid w:val="0"/>
        </w:rPr>
        <w:tab/>
        <w:t xml:space="preserve">if the information requested is contained in a document and the document is not readily available and a search is necessary to locate that information, an amount calculated at the rate of </w:t>
      </w:r>
      <w:r>
        <w:t xml:space="preserve">$40.00 </w:t>
      </w:r>
      <w:r>
        <w:rPr>
          <w:snapToGrid w:val="0"/>
        </w:rPr>
        <w:t>per hour or part of an hour after the first half hour for the time taken to locate that information;</w:t>
      </w:r>
    </w:p>
    <w:p>
      <w:pPr>
        <w:pStyle w:val="Indenta"/>
        <w:rPr>
          <w:snapToGrid w:val="0"/>
        </w:rPr>
      </w:pPr>
      <w:r>
        <w:rPr>
          <w:snapToGrid w:val="0"/>
        </w:rPr>
        <w:tab/>
        <w:t>(c)</w:t>
      </w:r>
      <w:r>
        <w:rPr>
          <w:snapToGrid w:val="0"/>
        </w:rPr>
        <w:tab/>
        <w:t>if any information referred to in paragraph (a) or (b) is, on the application of the person making the request concerned — </w:t>
      </w:r>
    </w:p>
    <w:p>
      <w:pPr>
        <w:pStyle w:val="Indenti"/>
        <w:rPr>
          <w:snapToGrid w:val="0"/>
        </w:rPr>
      </w:pPr>
      <w:r>
        <w:rPr>
          <w:snapToGrid w:val="0"/>
        </w:rPr>
        <w:tab/>
        <w:t>(i)</w:t>
      </w:r>
      <w:r>
        <w:rPr>
          <w:snapToGrid w:val="0"/>
        </w:rPr>
        <w:tab/>
        <w:t>copied or reproduced; or</w:t>
      </w:r>
    </w:p>
    <w:p>
      <w:pPr>
        <w:pStyle w:val="Indenti"/>
        <w:rPr>
          <w:snapToGrid w:val="0"/>
        </w:rPr>
      </w:pPr>
      <w:r>
        <w:rPr>
          <w:snapToGrid w:val="0"/>
        </w:rPr>
        <w:tab/>
        <w:t>(ii)</w:t>
      </w:r>
      <w:r>
        <w:rPr>
          <w:snapToGrid w:val="0"/>
        </w:rPr>
        <w:tab/>
        <w:t>forwarded or consigned to that person,</w:t>
      </w:r>
    </w:p>
    <w:p>
      <w:pPr>
        <w:pStyle w:val="Indenta"/>
        <w:rPr>
          <w:snapToGrid w:val="0"/>
        </w:rPr>
      </w:pPr>
      <w:r>
        <w:rPr>
          <w:snapToGrid w:val="0"/>
        </w:rPr>
        <w:tab/>
      </w:r>
      <w:r>
        <w:rPr>
          <w:snapToGrid w:val="0"/>
        </w:rPr>
        <w:tab/>
        <w:t>an amount equal to all costs incurred in that copying or reproduction or forwarding or consignment, including the costs of packaging when applicable.</w:t>
      </w:r>
    </w:p>
    <w:p>
      <w:pPr>
        <w:pStyle w:val="Subsection"/>
        <w:keepNext/>
        <w:rPr>
          <w:snapToGrid w:val="0"/>
        </w:rPr>
      </w:pPr>
      <w:r>
        <w:rPr>
          <w:snapToGrid w:val="0"/>
        </w:rPr>
        <w:tab/>
        <w:t>(5)</w:t>
      </w:r>
      <w:r>
        <w:rPr>
          <w:snapToGrid w:val="0"/>
        </w:rPr>
        <w:tab/>
        <w:t>For the purposes of section 118(3)(b) and (5)(d) of the Act, the prescribed fee is an amount equal to the sum of the following amounts — </w:t>
      </w:r>
    </w:p>
    <w:p>
      <w:pPr>
        <w:pStyle w:val="Indenta"/>
        <w:rPr>
          <w:snapToGrid w:val="0"/>
        </w:rPr>
      </w:pPr>
      <w:r>
        <w:rPr>
          <w:snapToGrid w:val="0"/>
        </w:rPr>
        <w:tab/>
        <w:t>(a)</w:t>
      </w:r>
      <w:r>
        <w:rPr>
          <w:snapToGrid w:val="0"/>
        </w:rPr>
        <w:tab/>
        <w:t xml:space="preserve">if the relevant core, cutting or sample is lent to the person who made the request concerned, an amount calculated at the rate of </w:t>
      </w:r>
      <w:r>
        <w:t xml:space="preserve">$40.00 </w:t>
      </w:r>
      <w:r>
        <w:rPr>
          <w:snapToGrid w:val="0"/>
        </w:rPr>
        <w:t>per day or part of a day during which that core, cutting or sample is on loan to that person;</w:t>
      </w:r>
    </w:p>
    <w:p>
      <w:pPr>
        <w:pStyle w:val="Indenta"/>
        <w:rPr>
          <w:snapToGrid w:val="0"/>
        </w:rPr>
      </w:pPr>
      <w:r>
        <w:rPr>
          <w:snapToGrid w:val="0"/>
        </w:rPr>
        <w:tab/>
        <w:t>(b)</w:t>
      </w:r>
      <w:r>
        <w:rPr>
          <w:snapToGrid w:val="0"/>
        </w:rPr>
        <w:tab/>
        <w:t xml:space="preserve">if the relevant core, cutting or sample is not readily available and a search is necessary to locate that core, cutting or sample, an amount calculated at the rate of </w:t>
      </w:r>
      <w:r>
        <w:t xml:space="preserve">$40.00 </w:t>
      </w:r>
      <w:r>
        <w:rPr>
          <w:snapToGrid w:val="0"/>
        </w:rPr>
        <w:t>per hour or part of an hour after the first half hour for the time taken to locate that core, cutting or sample;</w:t>
      </w:r>
    </w:p>
    <w:p>
      <w:pPr>
        <w:pStyle w:val="Indenta"/>
        <w:rPr>
          <w:snapToGrid w:val="0"/>
        </w:rPr>
      </w:pPr>
      <w:r>
        <w:rPr>
          <w:snapToGrid w:val="0"/>
        </w:rPr>
        <w:tab/>
        <w:t>(c)</w:t>
      </w:r>
      <w:r>
        <w:rPr>
          <w:snapToGrid w:val="0"/>
        </w:rPr>
        <w:tab/>
        <w:t>if the relevant core, cutting or sample is, on the application of the person making the request concerned, forwarded or consigned to that person, an amount equal to all costs incurred in that forwarding or consignment, including the costs of packaging when applicable.</w:t>
      </w:r>
    </w:p>
    <w:p>
      <w:pPr>
        <w:pStyle w:val="Subsection"/>
        <w:rPr>
          <w:snapToGrid w:val="0"/>
        </w:rPr>
      </w:pPr>
      <w:r>
        <w:rPr>
          <w:snapToGrid w:val="0"/>
        </w:rPr>
        <w:tab/>
        <w:t>(6)</w:t>
      </w:r>
      <w:r>
        <w:rPr>
          <w:snapToGrid w:val="0"/>
        </w:rPr>
        <w:tab/>
        <w:t>For the purposes of section 139(a) of the Act, the prescribed minimum fee is </w:t>
      </w:r>
      <w:r>
        <w:t>$1 674.00.</w:t>
      </w:r>
    </w:p>
    <w:p>
      <w:pPr>
        <w:pStyle w:val="Subsection"/>
        <w:rPr>
          <w:snapToGrid w:val="0"/>
        </w:rPr>
      </w:pPr>
      <w:r>
        <w:rPr>
          <w:snapToGrid w:val="0"/>
        </w:rPr>
        <w:tab/>
        <w:t>(7)</w:t>
      </w:r>
      <w:r>
        <w:rPr>
          <w:snapToGrid w:val="0"/>
        </w:rPr>
        <w:tab/>
        <w:t>For the purposes of section 139(b) of the Act, the prescribed rate is a rate of </w:t>
      </w:r>
      <w:r>
        <w:t>$80.00.</w:t>
      </w:r>
    </w:p>
    <w:p>
      <w:pPr>
        <w:pStyle w:val="Subsection"/>
        <w:rPr>
          <w:snapToGrid w:val="0"/>
        </w:rPr>
      </w:pPr>
      <w:r>
        <w:rPr>
          <w:snapToGrid w:val="0"/>
        </w:rPr>
        <w:tab/>
        <w:t>(8)</w:t>
      </w:r>
      <w:r>
        <w:rPr>
          <w:snapToGrid w:val="0"/>
        </w:rPr>
        <w:tab/>
        <w:t>For the purposes of section 139A of the Act, the prescribed rate is a rate of</w:t>
      </w:r>
      <w:r>
        <w:t xml:space="preserve"> $9 598.00.</w:t>
      </w:r>
    </w:p>
    <w:p>
      <w:pPr>
        <w:pStyle w:val="Subsection"/>
        <w:rPr>
          <w:snapToGrid w:val="0"/>
        </w:rPr>
      </w:pPr>
      <w:r>
        <w:rPr>
          <w:snapToGrid w:val="0"/>
        </w:rPr>
        <w:tab/>
        <w:t>(9)</w:t>
      </w:r>
      <w:r>
        <w:rPr>
          <w:snapToGrid w:val="0"/>
        </w:rPr>
        <w:tab/>
        <w:t>For the purposes of section 140 of the Act, the prescribed rate is a rate of</w:t>
      </w:r>
      <w:r>
        <w:t xml:space="preserve"> $23 455.00.</w:t>
      </w:r>
    </w:p>
    <w:p>
      <w:pPr>
        <w:pStyle w:val="Subsection"/>
      </w:pPr>
      <w:r>
        <w:tab/>
        <w:t>(10)</w:t>
      </w:r>
      <w:r>
        <w:tab/>
        <w:t>For the purposes of section 141A of the Act, the fee is $13 228.00.</w:t>
      </w:r>
    </w:p>
    <w:p>
      <w:pPr>
        <w:pStyle w:val="Footnotesection"/>
      </w:pPr>
      <w:r>
        <w:tab/>
        <w:t>[Regulation 3 amended in Gazette 22 Jul 1994 p. 3781; 27 Jun 2000 p. 3253; 28 Jun 2002 p. 3093; 28 Feb 2003 p. 674; 23 Jun 2009 p. 2475; 9 Feb 2010 p. 270; 11 May 2010 p. 1819</w:t>
      </w:r>
      <w:r>
        <w:noBreakHyphen/>
        <w:t xml:space="preserve">20; 16 Jul 2010 p. 3360; 24 May 2011 p. 1898.] </w:t>
      </w:r>
    </w:p>
    <w:p>
      <w:pPr>
        <w:pStyle w:val="Ednotesection"/>
      </w:pPr>
      <w:r>
        <w:t>[</w:t>
      </w:r>
      <w:r>
        <w:rPr>
          <w:b/>
          <w:bCs/>
        </w:rPr>
        <w:t>3A.</w:t>
      </w:r>
      <w:r>
        <w:rPr>
          <w:b/>
          <w:bCs/>
        </w:rPr>
        <w:tab/>
      </w:r>
      <w:r>
        <w:t>Deleted in Gazette 23 Jun 2009 p. 2475.]</w:t>
      </w:r>
    </w:p>
    <w:p>
      <w:pPr>
        <w:pStyle w:val="Heading5"/>
        <w:rPr>
          <w:snapToGrid w:val="0"/>
        </w:rPr>
      </w:pPr>
      <w:bookmarkStart w:id="17" w:name="_Toc501857726"/>
      <w:bookmarkStart w:id="18" w:name="_Toc34127026"/>
      <w:bookmarkStart w:id="19" w:name="_Toc34198101"/>
      <w:bookmarkStart w:id="20" w:name="_Toc294000000"/>
      <w:r>
        <w:rPr>
          <w:rStyle w:val="CharSectno"/>
        </w:rPr>
        <w:t>4</w:t>
      </w:r>
      <w:r>
        <w:rPr>
          <w:snapToGrid w:val="0"/>
        </w:rPr>
        <w:t>.</w:t>
      </w:r>
      <w:r>
        <w:rPr>
          <w:snapToGrid w:val="0"/>
        </w:rPr>
        <w:tab/>
        <w:t>Form of instrument of transfer</w:t>
      </w:r>
      <w:bookmarkEnd w:id="17"/>
      <w:bookmarkEnd w:id="18"/>
      <w:bookmarkEnd w:id="19"/>
      <w:bookmarkEnd w:id="20"/>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21" w:name="_Toc501857727"/>
      <w:bookmarkStart w:id="22" w:name="_Toc34127027"/>
      <w:bookmarkStart w:id="23" w:name="_Toc34198102"/>
      <w:bookmarkStart w:id="24" w:name="_Toc294000001"/>
      <w:r>
        <w:rPr>
          <w:rStyle w:val="CharSectno"/>
        </w:rPr>
        <w:t>5</w:t>
      </w:r>
      <w:r>
        <w:rPr>
          <w:snapToGrid w:val="0"/>
        </w:rPr>
        <w:t>.</w:t>
      </w:r>
      <w:r>
        <w:rPr>
          <w:snapToGrid w:val="0"/>
        </w:rPr>
        <w:tab/>
        <w:t>Instrument under Act s. 81(4)(b)</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t>the</w:t>
      </w:r>
      <w:r>
        <w:rPr>
          <w:rStyle w:val="CharDefText"/>
        </w:rPr>
        <w:t xml:space="preserve"> dealing</w:t>
      </w:r>
      <w:r>
        <w:rPr>
          <w:snapToGrid w:val="0"/>
        </w:rPr>
        <w:t>);</w:t>
      </w:r>
    </w:p>
    <w:p>
      <w:pPr>
        <w:pStyle w:val="Indenta"/>
        <w:rPr>
          <w:snapToGrid w:val="0"/>
        </w:rPr>
      </w:pPr>
      <w:r>
        <w:rPr>
          <w:snapToGrid w:val="0"/>
        </w:rPr>
        <w:tab/>
        <w:t>(b)</w:t>
      </w:r>
      <w:r>
        <w:rPr>
          <w:snapToGrid w:val="0"/>
        </w:rPr>
        <w:tab/>
        <w:t>details of the title (including the type and number of the title)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rPr>
          <w:snapToGrid w:val="0"/>
        </w:rPr>
      </w:pPr>
      <w:r>
        <w:rPr>
          <w:snapToGrid w:val="0"/>
        </w:rPr>
        <w:tab/>
        <w:t>(i)</w:t>
      </w:r>
      <w:r>
        <w:rPr>
          <w:snapToGrid w:val="0"/>
        </w:rPr>
        <w:tab/>
        <w:t>creates or assigns an option to enter into the dealing referred to in subregulation (1)(a); or</w:t>
      </w:r>
    </w:p>
    <w:p>
      <w:pPr>
        <w:pStyle w:val="Defsubpara"/>
        <w:rPr>
          <w:snapToGrid w:val="0"/>
        </w:rPr>
      </w:pPr>
      <w:r>
        <w:rPr>
          <w:snapToGrid w:val="0"/>
        </w:rPr>
        <w:tab/>
        <w:t>(ii)</w:t>
      </w:r>
      <w:r>
        <w:rPr>
          <w:snapToGrid w:val="0"/>
        </w:rPr>
        <w:tab/>
        <w:t>creates or assigns a right to enter into the dealing referred to in subregulation (1)(a); or</w:t>
      </w:r>
    </w:p>
    <w:p>
      <w:pPr>
        <w:pStyle w:val="Defsubpara"/>
        <w:rPr>
          <w:snapToGrid w:val="0"/>
        </w:rPr>
      </w:pPr>
      <w:r>
        <w:rPr>
          <w:snapToGrid w:val="0"/>
        </w:rPr>
        <w:tab/>
        <w:t>(iii)</w:t>
      </w:r>
      <w:r>
        <w:rPr>
          <w:snapToGrid w:val="0"/>
        </w:rP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Ednotesection"/>
      </w:pPr>
      <w:bookmarkStart w:id="25" w:name="_Toc501857730"/>
      <w:bookmarkStart w:id="26" w:name="_Toc34127030"/>
      <w:bookmarkStart w:id="27" w:name="_Toc34198105"/>
      <w:r>
        <w:t>[</w:t>
      </w:r>
      <w:r>
        <w:rPr>
          <w:b/>
          <w:bCs/>
        </w:rPr>
        <w:t>6, 7.</w:t>
      </w:r>
      <w:r>
        <w:rPr>
          <w:b/>
          <w:bCs/>
        </w:rPr>
        <w:tab/>
      </w:r>
      <w:r>
        <w:t>Deleted in Gazette 23 Jun 2009 p. 2475.]</w:t>
      </w:r>
    </w:p>
    <w:p>
      <w:pPr>
        <w:pStyle w:val="Heading5"/>
        <w:rPr>
          <w:snapToGrid w:val="0"/>
        </w:rPr>
      </w:pPr>
      <w:bookmarkStart w:id="28" w:name="_Toc294000002"/>
      <w:r>
        <w:rPr>
          <w:rStyle w:val="CharSectno"/>
        </w:rPr>
        <w:t>8</w:t>
      </w:r>
      <w:r>
        <w:rPr>
          <w:snapToGrid w:val="0"/>
        </w:rPr>
        <w:t>.</w:t>
      </w:r>
      <w:r>
        <w:rPr>
          <w:snapToGrid w:val="0"/>
        </w:rPr>
        <w:tab/>
        <w:t>Royalty value — deductible imposts</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 in Gazette 20 May 1994 p. 2125</w:t>
      </w:r>
      <w:r>
        <w:noBreakHyphen/>
        <w:t xml:space="preserve">6.] </w:t>
      </w:r>
    </w:p>
    <w:p>
      <w:pPr>
        <w:pStyle w:val="Heading5"/>
      </w:pPr>
      <w:bookmarkStart w:id="29" w:name="_Toc501857731"/>
      <w:bookmarkStart w:id="30" w:name="_Toc34127031"/>
      <w:bookmarkStart w:id="31" w:name="_Toc34198106"/>
      <w:bookmarkStart w:id="32" w:name="_Toc294000003"/>
      <w:r>
        <w:rPr>
          <w:rStyle w:val="CharSectno"/>
        </w:rPr>
        <w:t>9</w:t>
      </w:r>
      <w:r>
        <w:t>.</w:t>
      </w:r>
      <w:r>
        <w:tab/>
        <w:t xml:space="preserve">Application of Geocentric Datum of </w:t>
      </w:r>
      <w:smartTag w:uri="urn:schemas-microsoft-com:office:smarttags" w:element="country-region">
        <w:r>
          <w:t>Australia</w:t>
        </w:r>
      </w:smartTag>
      <w:bookmarkEnd w:id="29"/>
      <w:bookmarkEnd w:id="30"/>
      <w:bookmarkEnd w:id="31"/>
      <w:bookmarkEnd w:id="32"/>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38"/>
        <w:gridCol w:w="1134"/>
        <w:gridCol w:w="1701"/>
        <w:gridCol w:w="1843"/>
        <w:gridCol w:w="1134"/>
      </w:tblGrid>
      <w:tr>
        <w:trPr>
          <w:jc w:val="center"/>
        </w:trP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rPr>
          <w:jc w:val="center"/>
        </w:trPr>
        <w:tc>
          <w:tcPr>
            <w:tcW w:w="938" w:type="dxa"/>
          </w:tcPr>
          <w:p>
            <w:pPr>
              <w:pStyle w:val="Table"/>
              <w:rPr>
                <w:sz w:val="20"/>
              </w:rPr>
            </w:pPr>
            <w:r>
              <w:rPr>
                <w:sz w:val="20"/>
              </w:rPr>
              <w:t>AU 012</w:t>
            </w:r>
          </w:p>
        </w:tc>
        <w:tc>
          <w:tcPr>
            <w:tcW w:w="1134" w:type="dxa"/>
          </w:tcPr>
          <w:p>
            <w:pPr>
              <w:pStyle w:val="Table"/>
              <w:rPr>
                <w:sz w:val="20"/>
              </w:rPr>
            </w:pPr>
            <w:smartTag w:uri="urn:schemas-microsoft-com:office:smarttags" w:element="place">
              <w:r>
                <w:rPr>
                  <w:sz w:val="20"/>
                </w:rPr>
                <w:t>Alice Springs</w:t>
              </w:r>
            </w:smartTag>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rPr>
          <w:jc w:val="center"/>
        </w:trP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rPr>
          <w:jc w:val="center"/>
        </w:trPr>
        <w:tc>
          <w:tcPr>
            <w:tcW w:w="938" w:type="dxa"/>
          </w:tcPr>
          <w:p>
            <w:pPr>
              <w:pStyle w:val="Table"/>
              <w:rPr>
                <w:sz w:val="20"/>
              </w:rPr>
            </w:pPr>
            <w:r>
              <w:rPr>
                <w:sz w:val="20"/>
              </w:rPr>
              <w:t>AU 014</w:t>
            </w:r>
          </w:p>
        </w:tc>
        <w:tc>
          <w:tcPr>
            <w:tcW w:w="1134" w:type="dxa"/>
          </w:tcPr>
          <w:p>
            <w:pPr>
              <w:pStyle w:val="Table"/>
              <w:rPr>
                <w:sz w:val="20"/>
              </w:rPr>
            </w:pPr>
            <w:smartTag w:uri="urn:schemas-microsoft-com:office:smarttags" w:element="City">
              <w:smartTag w:uri="urn:schemas-microsoft-com:office:smarttags" w:element="place">
                <w:r>
                  <w:rPr>
                    <w:sz w:val="20"/>
                  </w:rPr>
                  <w:t>Darwin</w:t>
                </w:r>
              </w:smartTag>
            </w:smartTag>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rPr>
          <w:jc w:val="center"/>
        </w:trPr>
        <w:tc>
          <w:tcPr>
            <w:tcW w:w="938" w:type="dxa"/>
          </w:tcPr>
          <w:p>
            <w:pPr>
              <w:pStyle w:val="Table"/>
              <w:rPr>
                <w:sz w:val="20"/>
              </w:rPr>
            </w:pPr>
            <w:r>
              <w:rPr>
                <w:sz w:val="20"/>
              </w:rPr>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rPr>
          <w:jc w:val="center"/>
        </w:trPr>
        <w:tc>
          <w:tcPr>
            <w:tcW w:w="938" w:type="dxa"/>
          </w:tcPr>
          <w:p>
            <w:pPr>
              <w:pStyle w:val="Table"/>
              <w:rPr>
                <w:sz w:val="20"/>
              </w:rPr>
            </w:pPr>
            <w:r>
              <w:rPr>
                <w:sz w:val="20"/>
              </w:rPr>
              <w:t>AU 016</w:t>
            </w:r>
          </w:p>
        </w:tc>
        <w:tc>
          <w:tcPr>
            <w:tcW w:w="1134" w:type="dxa"/>
          </w:tcPr>
          <w:p>
            <w:pPr>
              <w:pStyle w:val="Table"/>
              <w:rPr>
                <w:sz w:val="20"/>
              </w:rPr>
            </w:pPr>
            <w:smartTag w:uri="urn:schemas-microsoft-com:office:smarttags" w:element="City">
              <w:smartTag w:uri="urn:schemas-microsoft-com:office:smarttags" w:element="place">
                <w:r>
                  <w:rPr>
                    <w:sz w:val="20"/>
                  </w:rPr>
                  <w:t>Hobart</w:t>
                </w:r>
              </w:smartTag>
            </w:smartTag>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rPr>
          <w:jc w:val="center"/>
        </w:trP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rPr>
          <w:jc w:val="center"/>
        </w:trPr>
        <w:tc>
          <w:tcPr>
            <w:tcW w:w="938" w:type="dxa"/>
          </w:tcPr>
          <w:p>
            <w:pPr>
              <w:pStyle w:val="Table"/>
              <w:rPr>
                <w:sz w:val="20"/>
              </w:rPr>
            </w:pPr>
            <w:r>
              <w:rPr>
                <w:sz w:val="20"/>
              </w:rPr>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rPr>
          <w:jc w:val="center"/>
        </w:trP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Footnotesection"/>
      </w:pPr>
      <w:r>
        <w:tab/>
        <w:t>[Regulation 9 inserted in Gazette 15 Dec 2000 p. 7216</w:t>
      </w:r>
      <w:r>
        <w:noBreakHyphen/>
        <w:t>17.]</w:t>
      </w:r>
    </w:p>
    <w:p>
      <w:pPr>
        <w:pStyle w:val="Heading5"/>
      </w:pPr>
      <w:bookmarkStart w:id="33" w:name="_Toc501857732"/>
      <w:bookmarkStart w:id="34" w:name="_Toc34127032"/>
      <w:bookmarkStart w:id="35" w:name="_Toc34198107"/>
      <w:bookmarkStart w:id="36" w:name="_Toc294000004"/>
      <w:r>
        <w:rPr>
          <w:rStyle w:val="CharSectno"/>
        </w:rPr>
        <w:t>10</w:t>
      </w:r>
      <w:r>
        <w:t>.</w:t>
      </w:r>
      <w:r>
        <w:tab/>
        <w:t>Application of GDA to certain instruments</w:t>
      </w:r>
      <w:bookmarkEnd w:id="33"/>
      <w:bookmarkEnd w:id="34"/>
      <w:bookmarkEnd w:id="35"/>
      <w:bookmarkEnd w:id="36"/>
    </w:p>
    <w:p>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pPr>
        <w:pStyle w:val="Indenta"/>
      </w:pPr>
      <w:r>
        <w:tab/>
        <w:t>(a)</w:t>
      </w:r>
      <w:r>
        <w:tab/>
        <w:t>the GDA; and</w:t>
      </w:r>
    </w:p>
    <w:p>
      <w:pPr>
        <w:pStyle w:val="Indenta"/>
      </w:pPr>
      <w:r>
        <w:tab/>
        <w:t>(b)</w:t>
      </w:r>
      <w:r>
        <w:tab/>
        <w:t>coordinates of latitude and longitude calculated to 3 decimal places of a second.</w:t>
      </w:r>
    </w:p>
    <w:p>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pPr>
        <w:pStyle w:val="Subsection"/>
        <w:keepNext/>
        <w:keepLines/>
      </w:pPr>
      <w:r>
        <w:tab/>
        <w:t>(3)</w:t>
      </w:r>
      <w:r>
        <w:tab/>
        <w:t xml:space="preserve">Despite section 17 of the Act, for the purposes of subregulation (1) — </w:t>
      </w:r>
    </w:p>
    <w:p>
      <w:pPr>
        <w:pStyle w:val="Indenta"/>
      </w:pPr>
      <w:r>
        <w:tab/>
        <w:t>(a)</w:t>
      </w:r>
      <w:r>
        <w:tab/>
        <w:t>the meridians of longitude defining the eastern and western boundaries of a graticular section; and</w:t>
      </w:r>
    </w:p>
    <w:p>
      <w:pPr>
        <w:pStyle w:val="Indenta"/>
      </w:pPr>
      <w:r>
        <w:tab/>
        <w:t>(b)</w:t>
      </w:r>
      <w:r>
        <w:tab/>
        <w:t>the parallels of latitude defining the northern and southern boundaries of a graticular section,</w:t>
      </w:r>
    </w:p>
    <w:p>
      <w:pPr>
        <w:pStyle w:val="Subsection"/>
      </w:pPr>
      <w:r>
        <w:tab/>
      </w:r>
      <w:r>
        <w:tab/>
        <w:t>may be taken to be at a distance from each other that is other than 5 minutes.</w:t>
      </w:r>
    </w:p>
    <w:p>
      <w:pPr>
        <w:pStyle w:val="Subsection"/>
      </w:pPr>
      <w:r>
        <w:tab/>
        <w:t>(4)</w:t>
      </w:r>
      <w:r>
        <w:tab/>
        <w:t xml:space="preserve">In subregulation (1) — </w:t>
      </w:r>
    </w:p>
    <w:p>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3</w:t>
      </w:r>
      <w:r>
        <w:t>.</w:t>
      </w:r>
    </w:p>
    <w:p>
      <w:pPr>
        <w:pStyle w:val="Footnotesection"/>
      </w:pPr>
      <w:r>
        <w:tab/>
        <w:t>[Regulation 10 inserted in Gazette 15 Dec 2000 p. 7217</w:t>
      </w:r>
      <w:r>
        <w:noBreakHyphen/>
        <w:t>18.]</w:t>
      </w:r>
    </w:p>
    <w:p>
      <w:pPr>
        <w:pStyle w:val="Heading5"/>
      </w:pPr>
      <w:bookmarkStart w:id="37" w:name="_Toc501857733"/>
      <w:bookmarkStart w:id="38" w:name="_Toc34127033"/>
      <w:bookmarkStart w:id="39" w:name="_Toc34198108"/>
      <w:bookmarkStart w:id="40" w:name="_Toc294000005"/>
      <w:r>
        <w:rPr>
          <w:rStyle w:val="CharSectno"/>
        </w:rPr>
        <w:t>11</w:t>
      </w:r>
      <w:r>
        <w:t>.</w:t>
      </w:r>
      <w:r>
        <w:tab/>
        <w:t>Application of Australian Geodetic Datum</w:t>
      </w:r>
      <w:bookmarkEnd w:id="37"/>
      <w:bookmarkEnd w:id="38"/>
      <w:bookmarkEnd w:id="39"/>
      <w:bookmarkEnd w:id="40"/>
    </w:p>
    <w:p>
      <w:pPr>
        <w:pStyle w:val="Subsection"/>
      </w:pPr>
      <w:r>
        <w:tab/>
        <w:t>(1)</w:t>
      </w:r>
      <w:r>
        <w:tab/>
        <w:t xml:space="preserve">Subject to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pPr>
        <w:pStyle w:val="Footnotesection"/>
      </w:pPr>
      <w:r>
        <w:tab/>
        <w:t>[Regulation 11 inserted in Gazette 15 December 2000 p. 7218.]</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41" w:name="_Toc266972226"/>
      <w:bookmarkStart w:id="42" w:name="_Toc270335436"/>
      <w:bookmarkStart w:id="43" w:name="_Toc270335517"/>
      <w:bookmarkStart w:id="44" w:name="_Toc271527797"/>
      <w:bookmarkStart w:id="45" w:name="_Toc271528296"/>
      <w:bookmarkStart w:id="46" w:name="_Toc273597390"/>
      <w:bookmarkStart w:id="47" w:name="_Toc293999759"/>
      <w:bookmarkStart w:id="48" w:name="_Toc294000006"/>
      <w:bookmarkStart w:id="49" w:name="_Toc34198110"/>
      <w:bookmarkStart w:id="50" w:name="_Toc233612461"/>
      <w:bookmarkStart w:id="51" w:name="_Toc233612479"/>
      <w:bookmarkStart w:id="52" w:name="_Toc233704718"/>
      <w:bookmarkStart w:id="53" w:name="_Toc253405285"/>
      <w:bookmarkStart w:id="54" w:name="_Toc253405385"/>
      <w:bookmarkStart w:id="55" w:name="_Toc261269660"/>
      <w:r>
        <w:rPr>
          <w:rStyle w:val="CharSchNo"/>
        </w:rPr>
        <w:t>Schedule 1</w:t>
      </w:r>
      <w:r>
        <w:t> — </w:t>
      </w:r>
      <w:r>
        <w:rPr>
          <w:rStyle w:val="CharSchText"/>
        </w:rPr>
        <w:t>Prescribed fees</w:t>
      </w:r>
      <w:bookmarkEnd w:id="41"/>
      <w:bookmarkEnd w:id="42"/>
      <w:bookmarkEnd w:id="43"/>
      <w:bookmarkEnd w:id="44"/>
      <w:bookmarkEnd w:id="45"/>
      <w:bookmarkEnd w:id="46"/>
      <w:bookmarkEnd w:id="47"/>
      <w:bookmarkEnd w:id="48"/>
    </w:p>
    <w:p>
      <w:pPr>
        <w:pStyle w:val="yShoulderClause"/>
      </w:pPr>
      <w:r>
        <w:t>[r. 3(1)]</w:t>
      </w:r>
    </w:p>
    <w:p>
      <w:pPr>
        <w:pStyle w:val="yFootnoteheading"/>
        <w:spacing w:after="120"/>
      </w:pPr>
      <w:r>
        <w:tab/>
        <w:t>[Heading inserted in Gazette 16 Jul 2010 p. 3360.]</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126"/>
        <w:gridCol w:w="2835"/>
      </w:tblGrid>
      <w:tr>
        <w:trPr>
          <w:tblHeader/>
        </w:trPr>
        <w:tc>
          <w:tcPr>
            <w:tcW w:w="1276" w:type="dxa"/>
          </w:tcPr>
          <w:p>
            <w:pPr>
              <w:pStyle w:val="yTableNAm"/>
              <w:jc w:val="center"/>
              <w:rPr>
                <w:b/>
                <w:bCs/>
              </w:rPr>
            </w:pPr>
            <w:r>
              <w:rPr>
                <w:b/>
                <w:bCs/>
              </w:rPr>
              <w:t>Column 1</w:t>
            </w:r>
            <w:r>
              <w:rPr>
                <w:b/>
                <w:bCs/>
              </w:rPr>
              <w:br/>
              <w:t>Item</w:t>
            </w:r>
          </w:p>
        </w:tc>
        <w:tc>
          <w:tcPr>
            <w:tcW w:w="2126" w:type="dxa"/>
          </w:tcPr>
          <w:p>
            <w:pPr>
              <w:pStyle w:val="yTableNAm"/>
              <w:jc w:val="center"/>
              <w:rPr>
                <w:b/>
                <w:bCs/>
              </w:rPr>
            </w:pPr>
            <w:r>
              <w:rPr>
                <w:b/>
                <w:bCs/>
              </w:rPr>
              <w:t>Column 2</w:t>
            </w:r>
            <w:r>
              <w:rPr>
                <w:b/>
                <w:bCs/>
              </w:rPr>
              <w:br/>
              <w:t>Provision of Act</w:t>
            </w:r>
          </w:p>
        </w:tc>
        <w:tc>
          <w:tcPr>
            <w:tcW w:w="2835" w:type="dxa"/>
          </w:tcPr>
          <w:p>
            <w:pPr>
              <w:pStyle w:val="yTableNAm"/>
              <w:tabs>
                <w:tab w:val="clear" w:pos="567"/>
              </w:tabs>
              <w:jc w:val="center"/>
              <w:rPr>
                <w:b/>
                <w:bCs/>
              </w:rPr>
            </w:pPr>
            <w:r>
              <w:rPr>
                <w:b/>
                <w:bCs/>
              </w:rPr>
              <w:t>Column 3</w:t>
            </w:r>
            <w:r>
              <w:rPr>
                <w:b/>
                <w:bCs/>
              </w:rPr>
              <w:br/>
              <w:t>Amount of prescribed fee</w:t>
            </w:r>
            <w:r>
              <w:rPr>
                <w:b/>
                <w:bCs/>
              </w:rPr>
              <w:br/>
              <w:t>($)</w:t>
            </w:r>
          </w:p>
        </w:tc>
      </w:tr>
      <w:tr>
        <w:tc>
          <w:tcPr>
            <w:tcW w:w="1276" w:type="dxa"/>
          </w:tcPr>
          <w:p>
            <w:pPr>
              <w:pStyle w:val="yTableNAm"/>
              <w:jc w:val="center"/>
            </w:pPr>
            <w:r>
              <w:t>1.</w:t>
            </w:r>
          </w:p>
        </w:tc>
        <w:tc>
          <w:tcPr>
            <w:tcW w:w="2126" w:type="dxa"/>
          </w:tcPr>
          <w:p>
            <w:pPr>
              <w:pStyle w:val="yTableNAm"/>
            </w:pPr>
            <w:r>
              <w:t>s. 21(1)(f)</w:t>
            </w:r>
          </w:p>
        </w:tc>
        <w:tc>
          <w:tcPr>
            <w:tcW w:w="2835" w:type="dxa"/>
          </w:tcPr>
          <w:p>
            <w:pPr>
              <w:pStyle w:val="yTableNAm"/>
              <w:tabs>
                <w:tab w:val="clear" w:pos="567"/>
                <w:tab w:val="decimal" w:pos="1181"/>
              </w:tabs>
            </w:pPr>
            <w:r>
              <w:t>4 788.00</w:t>
            </w:r>
          </w:p>
        </w:tc>
      </w:tr>
      <w:tr>
        <w:tc>
          <w:tcPr>
            <w:tcW w:w="1276" w:type="dxa"/>
          </w:tcPr>
          <w:p>
            <w:pPr>
              <w:pStyle w:val="yTableNAm"/>
              <w:jc w:val="center"/>
            </w:pPr>
            <w:r>
              <w:t>2.</w:t>
            </w:r>
          </w:p>
        </w:tc>
        <w:tc>
          <w:tcPr>
            <w:tcW w:w="2126" w:type="dxa"/>
          </w:tcPr>
          <w:p>
            <w:pPr>
              <w:pStyle w:val="yTableNAm"/>
            </w:pPr>
            <w:r>
              <w:t>s. 24(1)(a)</w:t>
            </w:r>
          </w:p>
        </w:tc>
        <w:tc>
          <w:tcPr>
            <w:tcW w:w="2835" w:type="dxa"/>
          </w:tcPr>
          <w:p>
            <w:pPr>
              <w:pStyle w:val="yTableNAm"/>
              <w:tabs>
                <w:tab w:val="clear" w:pos="567"/>
                <w:tab w:val="decimal" w:pos="1181"/>
              </w:tabs>
            </w:pPr>
            <w:r>
              <w:t>4 788.00</w:t>
            </w:r>
          </w:p>
        </w:tc>
      </w:tr>
      <w:tr>
        <w:tc>
          <w:tcPr>
            <w:tcW w:w="1276" w:type="dxa"/>
          </w:tcPr>
          <w:p>
            <w:pPr>
              <w:pStyle w:val="yTableNAm"/>
              <w:jc w:val="center"/>
            </w:pPr>
            <w:r>
              <w:t>3.</w:t>
            </w:r>
          </w:p>
        </w:tc>
        <w:tc>
          <w:tcPr>
            <w:tcW w:w="2126" w:type="dxa"/>
          </w:tcPr>
          <w:p>
            <w:pPr>
              <w:pStyle w:val="yTableNAm"/>
            </w:pPr>
            <w:r>
              <w:t>s. 30(2)(c)</w:t>
            </w:r>
          </w:p>
        </w:tc>
        <w:tc>
          <w:tcPr>
            <w:tcW w:w="2835" w:type="dxa"/>
          </w:tcPr>
          <w:p>
            <w:pPr>
              <w:pStyle w:val="yTableNAm"/>
              <w:tabs>
                <w:tab w:val="clear" w:pos="567"/>
                <w:tab w:val="decimal" w:pos="1181"/>
              </w:tabs>
            </w:pPr>
            <w:r>
              <w:t>1 916.00</w:t>
            </w:r>
          </w:p>
        </w:tc>
      </w:tr>
      <w:tr>
        <w:tc>
          <w:tcPr>
            <w:tcW w:w="1276" w:type="dxa"/>
          </w:tcPr>
          <w:p>
            <w:pPr>
              <w:pStyle w:val="yTableNAm"/>
              <w:jc w:val="center"/>
            </w:pPr>
            <w:r>
              <w:t>4.</w:t>
            </w:r>
          </w:p>
        </w:tc>
        <w:tc>
          <w:tcPr>
            <w:tcW w:w="2126" w:type="dxa"/>
          </w:tcPr>
          <w:p>
            <w:pPr>
              <w:pStyle w:val="yTableNAm"/>
            </w:pPr>
            <w:r>
              <w:t>s. 38A(2)(e)</w:t>
            </w:r>
          </w:p>
        </w:tc>
        <w:tc>
          <w:tcPr>
            <w:tcW w:w="2835" w:type="dxa"/>
          </w:tcPr>
          <w:p>
            <w:pPr>
              <w:pStyle w:val="yTableNAm"/>
              <w:tabs>
                <w:tab w:val="clear" w:pos="567"/>
                <w:tab w:val="decimal" w:pos="1181"/>
              </w:tabs>
            </w:pPr>
            <w:r>
              <w:t>1 916.00</w:t>
            </w:r>
          </w:p>
        </w:tc>
      </w:tr>
      <w:tr>
        <w:tc>
          <w:tcPr>
            <w:tcW w:w="1276" w:type="dxa"/>
          </w:tcPr>
          <w:p>
            <w:pPr>
              <w:pStyle w:val="yTableNAm"/>
              <w:jc w:val="center"/>
            </w:pPr>
            <w:r>
              <w:t>5A.</w:t>
            </w:r>
          </w:p>
        </w:tc>
        <w:tc>
          <w:tcPr>
            <w:tcW w:w="2126" w:type="dxa"/>
          </w:tcPr>
          <w:p>
            <w:pPr>
              <w:pStyle w:val="yTableNAm"/>
            </w:pPr>
            <w:r>
              <w:t>s. 38CA(2)(d)</w:t>
            </w:r>
          </w:p>
        </w:tc>
        <w:tc>
          <w:tcPr>
            <w:tcW w:w="2835" w:type="dxa"/>
          </w:tcPr>
          <w:p>
            <w:pPr>
              <w:pStyle w:val="yTableNAm"/>
              <w:tabs>
                <w:tab w:val="clear" w:pos="567"/>
                <w:tab w:val="decimal" w:pos="1181"/>
              </w:tabs>
            </w:pPr>
            <w:r>
              <w:t>1 916.00</w:t>
            </w:r>
          </w:p>
        </w:tc>
      </w:tr>
      <w:tr>
        <w:tc>
          <w:tcPr>
            <w:tcW w:w="1276" w:type="dxa"/>
          </w:tcPr>
          <w:p>
            <w:pPr>
              <w:pStyle w:val="yTableNAm"/>
              <w:jc w:val="center"/>
            </w:pPr>
            <w:r>
              <w:t>5.</w:t>
            </w:r>
          </w:p>
        </w:tc>
        <w:tc>
          <w:tcPr>
            <w:tcW w:w="2126" w:type="dxa"/>
          </w:tcPr>
          <w:p>
            <w:pPr>
              <w:pStyle w:val="yTableNAm"/>
            </w:pPr>
            <w:r>
              <w:t>s. 38F(2)(d)</w:t>
            </w:r>
          </w:p>
        </w:tc>
        <w:tc>
          <w:tcPr>
            <w:tcW w:w="2835" w:type="dxa"/>
          </w:tcPr>
          <w:p>
            <w:pPr>
              <w:pStyle w:val="yTableNAm"/>
              <w:tabs>
                <w:tab w:val="clear" w:pos="567"/>
                <w:tab w:val="decimal" w:pos="1181"/>
              </w:tabs>
            </w:pPr>
            <w:r>
              <w:t>1 916.00</w:t>
            </w:r>
          </w:p>
        </w:tc>
      </w:tr>
      <w:tr>
        <w:tc>
          <w:tcPr>
            <w:tcW w:w="1276" w:type="dxa"/>
          </w:tcPr>
          <w:p>
            <w:pPr>
              <w:pStyle w:val="yTableNAm"/>
              <w:jc w:val="center"/>
            </w:pPr>
            <w:r>
              <w:t>6.</w:t>
            </w:r>
          </w:p>
        </w:tc>
        <w:tc>
          <w:tcPr>
            <w:tcW w:w="2126" w:type="dxa"/>
          </w:tcPr>
          <w:p>
            <w:pPr>
              <w:pStyle w:val="yTableNAm"/>
            </w:pPr>
            <w:r>
              <w:t>s. 41(1)(e)</w:t>
            </w:r>
          </w:p>
        </w:tc>
        <w:tc>
          <w:tcPr>
            <w:tcW w:w="2835" w:type="dxa"/>
          </w:tcPr>
          <w:p>
            <w:pPr>
              <w:pStyle w:val="yTableNAm"/>
              <w:tabs>
                <w:tab w:val="clear" w:pos="567"/>
                <w:tab w:val="decimal" w:pos="1181"/>
              </w:tabs>
            </w:pPr>
            <w:r>
              <w:t>1 916.00</w:t>
            </w:r>
          </w:p>
        </w:tc>
      </w:tr>
      <w:tr>
        <w:tc>
          <w:tcPr>
            <w:tcW w:w="1276" w:type="dxa"/>
          </w:tcPr>
          <w:p>
            <w:pPr>
              <w:pStyle w:val="yTableNAm"/>
              <w:jc w:val="center"/>
            </w:pPr>
            <w:r>
              <w:t>7.</w:t>
            </w:r>
          </w:p>
        </w:tc>
        <w:tc>
          <w:tcPr>
            <w:tcW w:w="2126" w:type="dxa"/>
          </w:tcPr>
          <w:p>
            <w:pPr>
              <w:pStyle w:val="yTableNAm"/>
            </w:pPr>
            <w:r>
              <w:t>s. 48(1)(a)</w:t>
            </w:r>
          </w:p>
        </w:tc>
        <w:tc>
          <w:tcPr>
            <w:tcW w:w="2835" w:type="dxa"/>
          </w:tcPr>
          <w:p>
            <w:pPr>
              <w:pStyle w:val="yTableNAm"/>
              <w:tabs>
                <w:tab w:val="clear" w:pos="567"/>
                <w:tab w:val="decimal" w:pos="1181"/>
              </w:tabs>
            </w:pPr>
            <w:r>
              <w:t>4 788.00</w:t>
            </w:r>
          </w:p>
        </w:tc>
      </w:tr>
      <w:tr>
        <w:tc>
          <w:tcPr>
            <w:tcW w:w="1276" w:type="dxa"/>
          </w:tcPr>
          <w:p>
            <w:pPr>
              <w:pStyle w:val="yTableNAm"/>
              <w:jc w:val="center"/>
            </w:pPr>
            <w:r>
              <w:t>8.</w:t>
            </w:r>
          </w:p>
        </w:tc>
        <w:tc>
          <w:tcPr>
            <w:tcW w:w="2126" w:type="dxa"/>
          </w:tcPr>
          <w:p>
            <w:pPr>
              <w:pStyle w:val="yTableNAm"/>
            </w:pPr>
            <w:r>
              <w:t>s. 51(2)(e)</w:t>
            </w:r>
          </w:p>
        </w:tc>
        <w:tc>
          <w:tcPr>
            <w:tcW w:w="2835" w:type="dxa"/>
          </w:tcPr>
          <w:p>
            <w:pPr>
              <w:pStyle w:val="yTableNAm"/>
              <w:tabs>
                <w:tab w:val="clear" w:pos="567"/>
                <w:tab w:val="decimal" w:pos="1590"/>
              </w:tabs>
            </w:pPr>
            <w:r>
              <w:t>958.00</w:t>
            </w:r>
          </w:p>
        </w:tc>
      </w:tr>
      <w:tr>
        <w:tc>
          <w:tcPr>
            <w:tcW w:w="1276" w:type="dxa"/>
          </w:tcPr>
          <w:p>
            <w:pPr>
              <w:pStyle w:val="yTableNAm"/>
              <w:jc w:val="center"/>
            </w:pPr>
            <w:r>
              <w:t>9.</w:t>
            </w:r>
          </w:p>
        </w:tc>
        <w:tc>
          <w:tcPr>
            <w:tcW w:w="2126" w:type="dxa"/>
          </w:tcPr>
          <w:p>
            <w:pPr>
              <w:pStyle w:val="yTableNAm"/>
            </w:pPr>
            <w:r>
              <w:t>s. 54(2)(d)</w:t>
            </w:r>
          </w:p>
        </w:tc>
        <w:tc>
          <w:tcPr>
            <w:tcW w:w="2835" w:type="dxa"/>
          </w:tcPr>
          <w:p>
            <w:pPr>
              <w:pStyle w:val="yTableNAm"/>
              <w:tabs>
                <w:tab w:val="clear" w:pos="567"/>
                <w:tab w:val="decimal" w:pos="1181"/>
              </w:tabs>
            </w:pPr>
            <w:r>
              <w:t>1 916.00</w:t>
            </w:r>
          </w:p>
        </w:tc>
      </w:tr>
      <w:tr>
        <w:tc>
          <w:tcPr>
            <w:tcW w:w="1276" w:type="dxa"/>
          </w:tcPr>
          <w:p>
            <w:pPr>
              <w:pStyle w:val="yTableNAm"/>
              <w:jc w:val="center"/>
            </w:pPr>
            <w:r>
              <w:t>10A.</w:t>
            </w:r>
          </w:p>
        </w:tc>
        <w:tc>
          <w:tcPr>
            <w:tcW w:w="2126" w:type="dxa"/>
          </w:tcPr>
          <w:p>
            <w:pPr>
              <w:pStyle w:val="yTableNAm"/>
            </w:pPr>
            <w:r>
              <w:t>s. 60B(2)(d)</w:t>
            </w:r>
          </w:p>
        </w:tc>
        <w:tc>
          <w:tcPr>
            <w:tcW w:w="2835" w:type="dxa"/>
          </w:tcPr>
          <w:p>
            <w:pPr>
              <w:pStyle w:val="yTableNAm"/>
              <w:tabs>
                <w:tab w:val="clear" w:pos="567"/>
                <w:tab w:val="decimal" w:pos="1181"/>
              </w:tabs>
            </w:pPr>
            <w:r>
              <w:t>4 788.00</w:t>
            </w:r>
          </w:p>
        </w:tc>
      </w:tr>
      <w:tr>
        <w:tc>
          <w:tcPr>
            <w:tcW w:w="1276" w:type="dxa"/>
          </w:tcPr>
          <w:p>
            <w:pPr>
              <w:pStyle w:val="yTableNAm"/>
              <w:jc w:val="center"/>
            </w:pPr>
            <w:r>
              <w:t>10B.</w:t>
            </w:r>
          </w:p>
        </w:tc>
        <w:tc>
          <w:tcPr>
            <w:tcW w:w="2126" w:type="dxa"/>
          </w:tcPr>
          <w:p>
            <w:pPr>
              <w:pStyle w:val="yTableNAm"/>
            </w:pPr>
            <w:r>
              <w:t>s. 60J(2)(d)</w:t>
            </w:r>
          </w:p>
        </w:tc>
        <w:tc>
          <w:tcPr>
            <w:tcW w:w="2835" w:type="dxa"/>
          </w:tcPr>
          <w:p>
            <w:pPr>
              <w:pStyle w:val="yTableNAm"/>
              <w:tabs>
                <w:tab w:val="clear" w:pos="567"/>
                <w:tab w:val="decimal" w:pos="1590"/>
              </w:tabs>
            </w:pPr>
            <w:r>
              <w:t>958.00</w:t>
            </w:r>
          </w:p>
        </w:tc>
      </w:tr>
      <w:tr>
        <w:tc>
          <w:tcPr>
            <w:tcW w:w="1276" w:type="dxa"/>
          </w:tcPr>
          <w:p>
            <w:pPr>
              <w:pStyle w:val="yTableNAm"/>
              <w:jc w:val="center"/>
            </w:pPr>
            <w:r>
              <w:t>10.</w:t>
            </w:r>
          </w:p>
        </w:tc>
        <w:tc>
          <w:tcPr>
            <w:tcW w:w="2126" w:type="dxa"/>
          </w:tcPr>
          <w:p>
            <w:pPr>
              <w:pStyle w:val="yTableNAm"/>
            </w:pPr>
            <w:r>
              <w:t>s. 64(1)(f)</w:t>
            </w:r>
          </w:p>
        </w:tc>
        <w:tc>
          <w:tcPr>
            <w:tcW w:w="2835" w:type="dxa"/>
          </w:tcPr>
          <w:p>
            <w:pPr>
              <w:pStyle w:val="yTableNAm"/>
              <w:tabs>
                <w:tab w:val="clear" w:pos="567"/>
                <w:tab w:val="decimal" w:pos="1181"/>
              </w:tabs>
            </w:pPr>
            <w:r>
              <w:t>4 788.00</w:t>
            </w:r>
          </w:p>
        </w:tc>
      </w:tr>
      <w:tr>
        <w:tc>
          <w:tcPr>
            <w:tcW w:w="1276" w:type="dxa"/>
          </w:tcPr>
          <w:p>
            <w:pPr>
              <w:pStyle w:val="yTableNAm"/>
              <w:jc w:val="center"/>
            </w:pPr>
            <w:r>
              <w:t>11.</w:t>
            </w:r>
          </w:p>
        </w:tc>
        <w:tc>
          <w:tcPr>
            <w:tcW w:w="2126" w:type="dxa"/>
          </w:tcPr>
          <w:p>
            <w:pPr>
              <w:pStyle w:val="yTableNAm"/>
            </w:pPr>
            <w:r>
              <w:t>s. 68(2)(c)</w:t>
            </w:r>
          </w:p>
        </w:tc>
        <w:tc>
          <w:tcPr>
            <w:tcW w:w="2835" w:type="dxa"/>
          </w:tcPr>
          <w:p>
            <w:pPr>
              <w:pStyle w:val="yTableNAm"/>
              <w:tabs>
                <w:tab w:val="clear" w:pos="567"/>
                <w:tab w:val="decimal" w:pos="1181"/>
              </w:tabs>
            </w:pPr>
            <w:r>
              <w:t>1 916.00</w:t>
            </w:r>
          </w:p>
        </w:tc>
      </w:tr>
      <w:tr>
        <w:tc>
          <w:tcPr>
            <w:tcW w:w="1276" w:type="dxa"/>
          </w:tcPr>
          <w:p>
            <w:pPr>
              <w:pStyle w:val="yTableNAm"/>
              <w:jc w:val="center"/>
            </w:pPr>
            <w:r>
              <w:t>12.</w:t>
            </w:r>
          </w:p>
        </w:tc>
        <w:tc>
          <w:tcPr>
            <w:tcW w:w="2126" w:type="dxa"/>
          </w:tcPr>
          <w:p>
            <w:pPr>
              <w:pStyle w:val="yTableNAm"/>
            </w:pPr>
            <w:r>
              <w:t>s. 71(2)(e)</w:t>
            </w:r>
          </w:p>
        </w:tc>
        <w:tc>
          <w:tcPr>
            <w:tcW w:w="2835" w:type="dxa"/>
          </w:tcPr>
          <w:p>
            <w:pPr>
              <w:pStyle w:val="yTableNAm"/>
              <w:tabs>
                <w:tab w:val="clear" w:pos="567"/>
                <w:tab w:val="decimal" w:pos="1590"/>
              </w:tabs>
            </w:pPr>
            <w:r>
              <w:t>958.00</w:t>
            </w:r>
          </w:p>
        </w:tc>
      </w:tr>
      <w:tr>
        <w:tc>
          <w:tcPr>
            <w:tcW w:w="1276" w:type="dxa"/>
          </w:tcPr>
          <w:p>
            <w:pPr>
              <w:pStyle w:val="yTableNAm"/>
              <w:jc w:val="center"/>
            </w:pPr>
            <w:r>
              <w:t>13.</w:t>
            </w:r>
          </w:p>
        </w:tc>
        <w:tc>
          <w:tcPr>
            <w:tcW w:w="2126" w:type="dxa"/>
          </w:tcPr>
          <w:p>
            <w:pPr>
              <w:pStyle w:val="yTableNAm"/>
            </w:pPr>
            <w:r>
              <w:t>s. 79(2)</w:t>
            </w:r>
          </w:p>
        </w:tc>
        <w:tc>
          <w:tcPr>
            <w:tcW w:w="2835" w:type="dxa"/>
          </w:tcPr>
          <w:p>
            <w:pPr>
              <w:pStyle w:val="yTableNAm"/>
              <w:tabs>
                <w:tab w:val="clear" w:pos="567"/>
                <w:tab w:val="decimal" w:pos="1590"/>
              </w:tabs>
            </w:pPr>
            <w:r>
              <w:t>95.00</w:t>
            </w:r>
          </w:p>
        </w:tc>
      </w:tr>
      <w:tr>
        <w:tc>
          <w:tcPr>
            <w:tcW w:w="1276" w:type="dxa"/>
          </w:tcPr>
          <w:p>
            <w:pPr>
              <w:pStyle w:val="yTableNAm"/>
              <w:jc w:val="center"/>
            </w:pPr>
            <w:r>
              <w:t>14.</w:t>
            </w:r>
          </w:p>
        </w:tc>
        <w:tc>
          <w:tcPr>
            <w:tcW w:w="2126" w:type="dxa"/>
          </w:tcPr>
          <w:p>
            <w:pPr>
              <w:pStyle w:val="yTableNAm"/>
            </w:pPr>
            <w:r>
              <w:t>s. 79(3)(b)</w:t>
            </w:r>
          </w:p>
        </w:tc>
        <w:tc>
          <w:tcPr>
            <w:tcW w:w="2835" w:type="dxa"/>
          </w:tcPr>
          <w:p>
            <w:pPr>
              <w:pStyle w:val="yTableNAm"/>
              <w:tabs>
                <w:tab w:val="clear" w:pos="567"/>
                <w:tab w:val="decimal" w:pos="1590"/>
              </w:tabs>
            </w:pPr>
            <w:r>
              <w:t>95.00</w:t>
            </w:r>
          </w:p>
        </w:tc>
      </w:tr>
      <w:tr>
        <w:tc>
          <w:tcPr>
            <w:tcW w:w="1276" w:type="dxa"/>
          </w:tcPr>
          <w:p>
            <w:pPr>
              <w:pStyle w:val="yTableNAm"/>
              <w:jc w:val="center"/>
            </w:pPr>
            <w:r>
              <w:t>15.</w:t>
            </w:r>
          </w:p>
        </w:tc>
        <w:tc>
          <w:tcPr>
            <w:tcW w:w="2126" w:type="dxa"/>
          </w:tcPr>
          <w:p>
            <w:pPr>
              <w:pStyle w:val="yTableNAm"/>
            </w:pPr>
            <w:r>
              <w:t>s. 86(1)</w:t>
            </w:r>
          </w:p>
        </w:tc>
        <w:tc>
          <w:tcPr>
            <w:tcW w:w="2835" w:type="dxa"/>
          </w:tcPr>
          <w:p>
            <w:pPr>
              <w:pStyle w:val="yTableNAm"/>
              <w:tabs>
                <w:tab w:val="clear" w:pos="567"/>
                <w:tab w:val="decimal" w:pos="1590"/>
              </w:tabs>
            </w:pPr>
            <w:r>
              <w:t>20.00</w:t>
            </w:r>
          </w:p>
        </w:tc>
      </w:tr>
      <w:tr>
        <w:tc>
          <w:tcPr>
            <w:tcW w:w="1276" w:type="dxa"/>
          </w:tcPr>
          <w:p>
            <w:pPr>
              <w:pStyle w:val="yTableNAm"/>
              <w:jc w:val="center"/>
            </w:pPr>
            <w:r>
              <w:t>16.</w:t>
            </w:r>
          </w:p>
        </w:tc>
        <w:tc>
          <w:tcPr>
            <w:tcW w:w="2126" w:type="dxa"/>
          </w:tcPr>
          <w:p>
            <w:pPr>
              <w:pStyle w:val="yTableNAm"/>
            </w:pPr>
            <w:r>
              <w:t>s. 87(3)</w:t>
            </w:r>
          </w:p>
        </w:tc>
        <w:tc>
          <w:tcPr>
            <w:tcW w:w="2835" w:type="dxa"/>
          </w:tcPr>
          <w:p>
            <w:pPr>
              <w:pStyle w:val="yTableNAm"/>
              <w:tabs>
                <w:tab w:val="clear" w:pos="567"/>
                <w:tab w:val="decimal" w:pos="1590"/>
              </w:tabs>
            </w:pPr>
            <w:r>
              <w:t>48.00</w:t>
            </w:r>
          </w:p>
        </w:tc>
      </w:tr>
      <w:tr>
        <w:tc>
          <w:tcPr>
            <w:tcW w:w="1276" w:type="dxa"/>
          </w:tcPr>
          <w:p>
            <w:pPr>
              <w:pStyle w:val="yTableNAm"/>
              <w:jc w:val="center"/>
            </w:pPr>
            <w:r>
              <w:t>17.</w:t>
            </w:r>
          </w:p>
        </w:tc>
        <w:tc>
          <w:tcPr>
            <w:tcW w:w="2126" w:type="dxa"/>
          </w:tcPr>
          <w:p>
            <w:pPr>
              <w:pStyle w:val="yTableNAm"/>
            </w:pPr>
            <w:r>
              <w:t>s. 111(2)(d)</w:t>
            </w:r>
          </w:p>
        </w:tc>
        <w:tc>
          <w:tcPr>
            <w:tcW w:w="2835" w:type="dxa"/>
          </w:tcPr>
          <w:p>
            <w:pPr>
              <w:pStyle w:val="yTableNAm"/>
              <w:tabs>
                <w:tab w:val="clear" w:pos="567"/>
                <w:tab w:val="decimal" w:pos="1590"/>
              </w:tabs>
            </w:pPr>
            <w:r>
              <w:t>958.00</w:t>
            </w:r>
          </w:p>
        </w:tc>
      </w:tr>
      <w:tr>
        <w:tc>
          <w:tcPr>
            <w:tcW w:w="1276" w:type="dxa"/>
          </w:tcPr>
          <w:p>
            <w:pPr>
              <w:pStyle w:val="yTableNAm"/>
              <w:jc w:val="center"/>
            </w:pPr>
            <w:r>
              <w:t>18.</w:t>
            </w:r>
          </w:p>
        </w:tc>
        <w:tc>
          <w:tcPr>
            <w:tcW w:w="2126" w:type="dxa"/>
          </w:tcPr>
          <w:p>
            <w:pPr>
              <w:pStyle w:val="yTableNAm"/>
            </w:pPr>
            <w:r>
              <w:t>s. 141</w:t>
            </w:r>
          </w:p>
        </w:tc>
        <w:tc>
          <w:tcPr>
            <w:tcW w:w="2835" w:type="dxa"/>
          </w:tcPr>
          <w:p>
            <w:pPr>
              <w:pStyle w:val="yTableNAm"/>
              <w:tabs>
                <w:tab w:val="clear" w:pos="567"/>
                <w:tab w:val="decimal" w:pos="1590"/>
              </w:tabs>
            </w:pPr>
            <w:r>
              <w:t>105.00</w:t>
            </w:r>
          </w:p>
        </w:tc>
      </w:tr>
    </w:tbl>
    <w:p>
      <w:pPr>
        <w:pStyle w:val="yFootnotesection"/>
      </w:pPr>
      <w:r>
        <w:tab/>
        <w:t>[Schedule 1 inserted in Gazette 16 Jul 2010 p. 3360</w:t>
      </w:r>
      <w:r>
        <w:noBreakHyphen/>
        <w:t>1; amended in Gazette 24 May 2011 p. 1898.]</w:t>
      </w:r>
    </w:p>
    <w:p>
      <w:pPr>
        <w:pStyle w:val="yScheduleHeading"/>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bookmarkStart w:id="56" w:name="_Toc266972227"/>
      <w:bookmarkStart w:id="57" w:name="_Toc270335437"/>
      <w:bookmarkStart w:id="58" w:name="_Toc270335518"/>
      <w:bookmarkStart w:id="59" w:name="_Toc271527798"/>
      <w:bookmarkStart w:id="60" w:name="_Toc271528297"/>
    </w:p>
    <w:p>
      <w:pPr>
        <w:pStyle w:val="yScheduleHeading"/>
      </w:pPr>
      <w:bookmarkStart w:id="61" w:name="_Toc273597391"/>
      <w:bookmarkStart w:id="62" w:name="_Toc293999760"/>
      <w:bookmarkStart w:id="63" w:name="_Toc294000007"/>
      <w:r>
        <w:rPr>
          <w:rStyle w:val="CharSchNo"/>
        </w:rPr>
        <w:t>Schedule 2</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yShoulderClause"/>
      </w:pPr>
      <w:r>
        <w:t>[Regulation 4]</w:t>
      </w:r>
    </w:p>
    <w:p>
      <w:pPr>
        <w:pStyle w:val="MiscellaneousHeading"/>
        <w:rPr>
          <w:i/>
          <w:snapToGrid w:val="0"/>
          <w:sz w:val="22"/>
        </w:rPr>
      </w:pPr>
      <w:r>
        <w:rPr>
          <w:i/>
          <w:snapToGrid w:val="0"/>
          <w:sz w:val="22"/>
        </w:rPr>
        <w:t>Petroleum (Submerged Lands) Act 1982</w:t>
      </w:r>
    </w:p>
    <w:p>
      <w:pPr>
        <w:pStyle w:val="MiscellaneousHeading"/>
        <w:spacing w:before="60"/>
        <w:rPr>
          <w:i/>
          <w:snapToGrid w:val="0"/>
          <w:sz w:val="22"/>
        </w:rPr>
      </w:pPr>
      <w:r>
        <w:rPr>
          <w:i/>
          <w:snapToGrid w:val="0"/>
          <w:sz w:val="22"/>
        </w:rPr>
        <w:t>Petroleum (Submerged Lands) Regulations 1990</w:t>
      </w:r>
    </w:p>
    <w:p>
      <w:pPr>
        <w:pStyle w:val="MiscellaneousHeading"/>
        <w:rPr>
          <w:b/>
          <w:snapToGrid w:val="0"/>
          <w:sz w:val="22"/>
        </w:rPr>
      </w:pPr>
      <w:r>
        <w:rPr>
          <w:b/>
          <w:snapToGrid w:val="0"/>
          <w:sz w:val="22"/>
        </w:rPr>
        <w:t>Form of Instrument of Transfer of Title</w:t>
      </w:r>
    </w:p>
    <w:p>
      <w:pPr>
        <w:pStyle w:val="MiscellaneousHeading"/>
        <w:spacing w:before="0"/>
        <w:rPr>
          <w:b/>
          <w:snapToGrid w:val="0"/>
          <w:sz w:val="22"/>
        </w:rPr>
      </w:pPr>
      <w:r>
        <w:rPr>
          <w:b/>
          <w:snapToGrid w:val="0"/>
          <w:sz w:val="22"/>
        </w:rPr>
        <w:t xml:space="preserve">under section 78 of </w:t>
      </w:r>
      <w:r>
        <w:rPr>
          <w:b/>
          <w:i/>
          <w:snapToGrid w:val="0"/>
          <w:sz w:val="22"/>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pPr>
      <w:r>
        <w:tab/>
        <w:t>[Schedule 2 amended in Gazette 23 Jun 2009 p. 2477.]</w:t>
      </w:r>
    </w:p>
    <w:p>
      <w:pPr>
        <w:tabs>
          <w:tab w:val="decimal" w:pos="1590"/>
        </w:tabs>
      </w:pPr>
    </w:p>
    <w:p>
      <w:pPr>
        <w:pStyle w:val="CentredBaseLine"/>
        <w:spacing w:before="60"/>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er"/>
        <w:tabs>
          <w:tab w:val="clear" w:pos="4153"/>
          <w:tab w:val="clear" w:pos="8306"/>
          <w:tab w:val="decimal" w:pos="1590"/>
        </w:tabs>
        <w:spacing w:line="240" w:lineRule="auto"/>
        <w:rPr>
          <w:rFonts w:ascii="Times New Roman" w:hAnsi="Times New Roman"/>
        </w:rPr>
        <w:sectPr>
          <w:headerReference w:type="even" r:id="rId31"/>
          <w:pgSz w:w="11906" w:h="16838" w:code="9"/>
          <w:pgMar w:top="2381" w:right="2409" w:bottom="3543" w:left="2409" w:header="720" w:footer="3380" w:gutter="0"/>
          <w:cols w:space="720"/>
          <w:noEndnote/>
          <w:docGrid w:linePitch="326"/>
        </w:sectPr>
      </w:pPr>
    </w:p>
    <w:p>
      <w:pPr>
        <w:pStyle w:val="nHeading2"/>
      </w:pPr>
      <w:bookmarkStart w:id="64" w:name="_Toc233612462"/>
      <w:bookmarkStart w:id="65" w:name="_Toc233612480"/>
      <w:bookmarkStart w:id="66" w:name="_Toc233704719"/>
      <w:bookmarkStart w:id="67" w:name="_Toc253405286"/>
      <w:bookmarkStart w:id="68" w:name="_Toc253405386"/>
      <w:bookmarkStart w:id="69" w:name="_Toc261269661"/>
      <w:bookmarkStart w:id="70" w:name="_Toc266972228"/>
      <w:bookmarkStart w:id="71" w:name="_Toc270335438"/>
      <w:bookmarkStart w:id="72" w:name="_Toc270335519"/>
      <w:bookmarkStart w:id="73" w:name="_Toc271527799"/>
      <w:bookmarkStart w:id="74" w:name="_Toc271528298"/>
      <w:bookmarkStart w:id="75" w:name="_Toc273597392"/>
      <w:bookmarkStart w:id="76" w:name="_Toc293999761"/>
      <w:bookmarkStart w:id="77" w:name="_Toc294000008"/>
      <w:r>
        <w:t>Notes</w:t>
      </w:r>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nSubsection"/>
        <w:rPr>
          <w:snapToGrid w:val="0"/>
        </w:rPr>
      </w:pPr>
      <w:r>
        <w:rPr>
          <w:snapToGrid w:val="0"/>
          <w:vertAlign w:val="superscript"/>
        </w:rPr>
        <w:t>1</w:t>
      </w:r>
      <w:r>
        <w:rPr>
          <w:snapToGrid w:val="0"/>
        </w:rPr>
        <w:tab/>
        <w:t xml:space="preserve">This reprint is a compilation as at 24 September 2010 of the </w:t>
      </w:r>
      <w:r>
        <w:rPr>
          <w:i/>
          <w:noProof/>
          <w:snapToGrid w:val="0"/>
        </w:rPr>
        <w:t>Petroleum (Submerged Lands) Regulations 1990</w:t>
      </w:r>
      <w:r>
        <w:rPr>
          <w:snapToGrid w:val="0"/>
        </w:rPr>
        <w:t xml:space="preserve"> and includes the amendments made by the other written laws referred to in the following table.  The table also contains information about any reprint.</w:t>
      </w:r>
    </w:p>
    <w:p>
      <w:pPr>
        <w:pStyle w:val="nHeading3"/>
        <w:spacing w:before="160"/>
        <w:rPr>
          <w:snapToGrid w:val="0"/>
        </w:rPr>
      </w:pPr>
      <w:bookmarkStart w:id="78" w:name="_Toc294000009"/>
      <w:r>
        <w:rPr>
          <w:snapToGrid w:val="0"/>
        </w:rPr>
        <w:t>Compilation table</w:t>
      </w:r>
      <w:bookmarkEnd w:id="7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Petroleum (Submerged Lands) Regulations 1990</w:t>
            </w:r>
          </w:p>
        </w:tc>
        <w:tc>
          <w:tcPr>
            <w:tcW w:w="1276" w:type="dxa"/>
          </w:tcPr>
          <w:p>
            <w:pPr>
              <w:pStyle w:val="nTable"/>
              <w:spacing w:after="40"/>
              <w:rPr>
                <w:sz w:val="19"/>
              </w:rPr>
            </w:pPr>
            <w:r>
              <w:rPr>
                <w:sz w:val="19"/>
              </w:rPr>
              <w:t>28 Sep 1990 p. 5105</w:t>
            </w:r>
            <w:r>
              <w:rPr>
                <w:sz w:val="19"/>
              </w:rPr>
              <w:noBreakHyphen/>
              <w:t>8</w:t>
            </w:r>
          </w:p>
        </w:tc>
        <w:tc>
          <w:tcPr>
            <w:tcW w:w="2693" w:type="dxa"/>
          </w:tcPr>
          <w:p>
            <w:pPr>
              <w:pStyle w:val="nTable"/>
              <w:spacing w:after="40"/>
              <w:rPr>
                <w:sz w:val="19"/>
              </w:rPr>
            </w:pPr>
            <w:r>
              <w:rPr>
                <w:sz w:val="19"/>
              </w:rPr>
              <w:t xml:space="preserve">1 Oct 1990 (see r. 2 and </w:t>
            </w:r>
            <w:r>
              <w:rPr>
                <w:i/>
                <w:sz w:val="19"/>
              </w:rPr>
              <w:t>Gazette</w:t>
            </w:r>
            <w:r>
              <w:rPr>
                <w:sz w:val="19"/>
              </w:rPr>
              <w:t xml:space="preserve"> 28 Sep 1990 p. 5099)</w:t>
            </w:r>
          </w:p>
        </w:tc>
      </w:tr>
      <w:tr>
        <w:trPr>
          <w:cantSplit/>
        </w:trPr>
        <w:tc>
          <w:tcPr>
            <w:tcW w:w="3118" w:type="dxa"/>
          </w:tcPr>
          <w:p>
            <w:pPr>
              <w:pStyle w:val="nTable"/>
              <w:spacing w:after="40"/>
              <w:ind w:right="113"/>
              <w:rPr>
                <w:sz w:val="19"/>
              </w:rPr>
            </w:pPr>
            <w:r>
              <w:rPr>
                <w:i/>
                <w:sz w:val="19"/>
              </w:rPr>
              <w:t>Petroleum (Submerged Lands) Amendment Regulations 1993</w:t>
            </w:r>
          </w:p>
        </w:tc>
        <w:tc>
          <w:tcPr>
            <w:tcW w:w="1276" w:type="dxa"/>
          </w:tcPr>
          <w:p>
            <w:pPr>
              <w:pStyle w:val="nTable"/>
              <w:spacing w:after="40"/>
              <w:rPr>
                <w:sz w:val="19"/>
              </w:rPr>
            </w:pPr>
            <w:r>
              <w:rPr>
                <w:sz w:val="19"/>
              </w:rPr>
              <w:t>24 Dec 1993 p.6832</w:t>
            </w:r>
            <w:r>
              <w:rPr>
                <w:sz w:val="19"/>
              </w:rPr>
              <w:br/>
              <w:t>(correction 31 Dec 1993 p. 6876)</w:t>
            </w:r>
          </w:p>
        </w:tc>
        <w:tc>
          <w:tcPr>
            <w:tcW w:w="2693" w:type="dxa"/>
          </w:tcPr>
          <w:p>
            <w:pPr>
              <w:pStyle w:val="nTable"/>
              <w:spacing w:after="40"/>
              <w:rPr>
                <w:sz w:val="19"/>
              </w:rPr>
            </w:pPr>
            <w:r>
              <w:rPr>
                <w:sz w:val="19"/>
              </w:rPr>
              <w:t>24 Dec 1993</w:t>
            </w:r>
          </w:p>
        </w:tc>
      </w:tr>
      <w:tr>
        <w:trPr>
          <w:cantSplit/>
        </w:trPr>
        <w:tc>
          <w:tcPr>
            <w:tcW w:w="3118" w:type="dxa"/>
          </w:tcPr>
          <w:p>
            <w:pPr>
              <w:pStyle w:val="nTable"/>
              <w:spacing w:after="40"/>
              <w:ind w:right="113"/>
              <w:rPr>
                <w:sz w:val="19"/>
              </w:rPr>
            </w:pPr>
            <w:r>
              <w:rPr>
                <w:i/>
                <w:sz w:val="19"/>
              </w:rPr>
              <w:t>Petroleum (Submerged Lands) Amendment Regulations 1994</w:t>
            </w:r>
          </w:p>
        </w:tc>
        <w:tc>
          <w:tcPr>
            <w:tcW w:w="1276" w:type="dxa"/>
          </w:tcPr>
          <w:p>
            <w:pPr>
              <w:pStyle w:val="nTable"/>
              <w:spacing w:after="40"/>
              <w:rPr>
                <w:sz w:val="19"/>
              </w:rPr>
            </w:pPr>
            <w:r>
              <w:rPr>
                <w:sz w:val="19"/>
              </w:rPr>
              <w:t>20 May 1994 p. 2125</w:t>
            </w:r>
            <w:r>
              <w:rPr>
                <w:sz w:val="19"/>
              </w:rPr>
              <w:noBreakHyphen/>
              <w:t>6</w:t>
            </w:r>
          </w:p>
        </w:tc>
        <w:tc>
          <w:tcPr>
            <w:tcW w:w="2693" w:type="dxa"/>
          </w:tcPr>
          <w:p>
            <w:pPr>
              <w:pStyle w:val="nTable"/>
              <w:spacing w:after="40"/>
              <w:rPr>
                <w:sz w:val="19"/>
              </w:rPr>
            </w:pPr>
            <w:r>
              <w:rPr>
                <w:sz w:val="19"/>
              </w:rPr>
              <w:t>20 May 1994</w:t>
            </w:r>
          </w:p>
        </w:tc>
      </w:tr>
      <w:tr>
        <w:trPr>
          <w:cantSplit/>
        </w:trPr>
        <w:tc>
          <w:tcPr>
            <w:tcW w:w="3118" w:type="dxa"/>
          </w:tcPr>
          <w:p>
            <w:pPr>
              <w:pStyle w:val="nTable"/>
              <w:spacing w:after="40"/>
              <w:ind w:right="113"/>
              <w:rPr>
                <w:sz w:val="19"/>
              </w:rPr>
            </w:pPr>
            <w:r>
              <w:rPr>
                <w:i/>
                <w:sz w:val="19"/>
              </w:rPr>
              <w:t>Petroleum (Submerged Lands) Amendment Regulations (No. 2) 1994</w:t>
            </w:r>
          </w:p>
        </w:tc>
        <w:tc>
          <w:tcPr>
            <w:tcW w:w="1276" w:type="dxa"/>
          </w:tcPr>
          <w:p>
            <w:pPr>
              <w:pStyle w:val="nTable"/>
              <w:spacing w:after="40"/>
              <w:rPr>
                <w:sz w:val="19"/>
              </w:rPr>
            </w:pPr>
            <w:r>
              <w:rPr>
                <w:sz w:val="19"/>
              </w:rPr>
              <w:t xml:space="preserve">22 Jul 1994 </w:t>
            </w:r>
            <w:r>
              <w:rPr>
                <w:sz w:val="19"/>
              </w:rPr>
              <w:br/>
              <w:t>p. 3781</w:t>
            </w:r>
          </w:p>
        </w:tc>
        <w:tc>
          <w:tcPr>
            <w:tcW w:w="2693" w:type="dxa"/>
          </w:tcPr>
          <w:p>
            <w:pPr>
              <w:pStyle w:val="nTable"/>
              <w:spacing w:after="40"/>
              <w:rPr>
                <w:sz w:val="19"/>
              </w:rPr>
            </w:pPr>
            <w:r>
              <w:rPr>
                <w:sz w:val="19"/>
              </w:rPr>
              <w:t xml:space="preserve">22 Jul 1994 (see r. 2 and </w:t>
            </w:r>
            <w:r>
              <w:rPr>
                <w:i/>
                <w:sz w:val="19"/>
              </w:rPr>
              <w:t>Gazette</w:t>
            </w:r>
            <w:r>
              <w:rPr>
                <w:sz w:val="19"/>
              </w:rPr>
              <w:t xml:space="preserve"> 22 Jul 1994 p. 3728)</w:t>
            </w:r>
          </w:p>
        </w:tc>
      </w:tr>
      <w:tr>
        <w:trPr>
          <w:cantSplit/>
        </w:trPr>
        <w:tc>
          <w:tcPr>
            <w:tcW w:w="3118" w:type="dxa"/>
          </w:tcPr>
          <w:p>
            <w:pPr>
              <w:pStyle w:val="nTable"/>
              <w:spacing w:after="40"/>
              <w:ind w:right="113"/>
              <w:rPr>
                <w:i/>
                <w:sz w:val="19"/>
              </w:rPr>
            </w:pPr>
            <w:r>
              <w:rPr>
                <w:i/>
                <w:sz w:val="19"/>
              </w:rPr>
              <w:t>Petroleum (Submerged Lands) Amendment Regulations 2000</w:t>
            </w:r>
          </w:p>
        </w:tc>
        <w:tc>
          <w:tcPr>
            <w:tcW w:w="1276" w:type="dxa"/>
          </w:tcPr>
          <w:p>
            <w:pPr>
              <w:pStyle w:val="nTable"/>
              <w:spacing w:after="40"/>
              <w:rPr>
                <w:sz w:val="19"/>
              </w:rPr>
            </w:pPr>
            <w:r>
              <w:rPr>
                <w:sz w:val="19"/>
              </w:rPr>
              <w:t>8 Feb 2000 p. 456</w:t>
            </w:r>
            <w:r>
              <w:rPr>
                <w:sz w:val="19"/>
              </w:rPr>
              <w:noBreakHyphen/>
              <w:t>7</w:t>
            </w:r>
          </w:p>
        </w:tc>
        <w:tc>
          <w:tcPr>
            <w:tcW w:w="2693" w:type="dxa"/>
          </w:tcPr>
          <w:p>
            <w:pPr>
              <w:pStyle w:val="nTable"/>
              <w:spacing w:after="40"/>
              <w:rPr>
                <w:sz w:val="19"/>
              </w:rPr>
            </w:pPr>
            <w:r>
              <w:rPr>
                <w:sz w:val="19"/>
              </w:rPr>
              <w:t>8 Feb 2000</w:t>
            </w:r>
          </w:p>
        </w:tc>
      </w:tr>
      <w:tr>
        <w:trPr>
          <w:cantSplit/>
        </w:trPr>
        <w:tc>
          <w:tcPr>
            <w:tcW w:w="3118" w:type="dxa"/>
          </w:tcPr>
          <w:p>
            <w:pPr>
              <w:pStyle w:val="nTable"/>
              <w:spacing w:after="40"/>
              <w:ind w:right="113"/>
              <w:rPr>
                <w:i/>
                <w:sz w:val="19"/>
              </w:rPr>
            </w:pPr>
            <w:r>
              <w:rPr>
                <w:i/>
                <w:sz w:val="19"/>
              </w:rPr>
              <w:t>Petroleum (Submerged Lands) Amendment Regulations (No. 2) 2000</w:t>
            </w:r>
          </w:p>
        </w:tc>
        <w:tc>
          <w:tcPr>
            <w:tcW w:w="1276" w:type="dxa"/>
          </w:tcPr>
          <w:p>
            <w:pPr>
              <w:pStyle w:val="nTable"/>
              <w:spacing w:after="40"/>
              <w:rPr>
                <w:sz w:val="19"/>
              </w:rPr>
            </w:pPr>
            <w:r>
              <w:rPr>
                <w:sz w:val="19"/>
              </w:rPr>
              <w:t>27 Jun 2000 p. 3253</w:t>
            </w:r>
            <w:r>
              <w:rPr>
                <w:sz w:val="19"/>
              </w:rPr>
              <w:noBreakHyphen/>
              <w:t>4</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Petroleum (Submerged Lands) Amendment Regulations (No. 3) 2000</w:t>
            </w:r>
          </w:p>
        </w:tc>
        <w:tc>
          <w:tcPr>
            <w:tcW w:w="1276" w:type="dxa"/>
          </w:tcPr>
          <w:p>
            <w:pPr>
              <w:pStyle w:val="nTable"/>
              <w:spacing w:after="40"/>
              <w:rPr>
                <w:sz w:val="19"/>
              </w:rPr>
            </w:pPr>
            <w:r>
              <w:rPr>
                <w:sz w:val="19"/>
              </w:rPr>
              <w:t>15 Dec 2000 p. 7216</w:t>
            </w:r>
            <w:r>
              <w:rPr>
                <w:sz w:val="19"/>
              </w:rPr>
              <w:noBreakHyphen/>
              <w:t>18</w:t>
            </w:r>
          </w:p>
        </w:tc>
        <w:tc>
          <w:tcPr>
            <w:tcW w:w="2693" w:type="dxa"/>
          </w:tcPr>
          <w:p>
            <w:pPr>
              <w:pStyle w:val="nTable"/>
              <w:spacing w:after="40"/>
              <w:rPr>
                <w:sz w:val="19"/>
              </w:rPr>
            </w:pPr>
            <w:r>
              <w:rPr>
                <w:sz w:val="19"/>
              </w:rPr>
              <w:t xml:space="preserve">16 Dec 2000 (see r. 2 and </w:t>
            </w:r>
            <w:r>
              <w:rPr>
                <w:i/>
                <w:sz w:val="19"/>
              </w:rPr>
              <w:t xml:space="preserve">Gazette </w:t>
            </w:r>
            <w:r>
              <w:rPr>
                <w:sz w:val="19"/>
              </w:rPr>
              <w:t>15 Dec 2000 p. 7201)</w:t>
            </w:r>
          </w:p>
        </w:tc>
      </w:tr>
      <w:tr>
        <w:trPr>
          <w:cantSplit/>
        </w:trPr>
        <w:tc>
          <w:tcPr>
            <w:tcW w:w="7087" w:type="dxa"/>
            <w:gridSpan w:val="3"/>
          </w:tcPr>
          <w:p>
            <w:pPr>
              <w:pStyle w:val="nTable"/>
              <w:spacing w:after="40"/>
              <w:rPr>
                <w:sz w:val="19"/>
              </w:rPr>
            </w:pPr>
            <w:r>
              <w:rPr>
                <w:b/>
                <w:bCs/>
                <w:sz w:val="19"/>
              </w:rPr>
              <w:t xml:space="preserve">Reprint of the </w:t>
            </w:r>
            <w:r>
              <w:rPr>
                <w:b/>
                <w:bCs/>
                <w:i/>
                <w:sz w:val="19"/>
              </w:rPr>
              <w:t xml:space="preserve">Petroleum (Submerged Lands) Regulations 1990 </w:t>
            </w:r>
            <w:r>
              <w:rPr>
                <w:b/>
                <w:bCs/>
                <w:sz w:val="19"/>
              </w:rPr>
              <w:t>as at 9 March 2001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Petroleum (Submerged Lands) Amendment Regulations 2002</w:t>
            </w:r>
          </w:p>
        </w:tc>
        <w:tc>
          <w:tcPr>
            <w:tcW w:w="1276" w:type="dxa"/>
          </w:tcPr>
          <w:p>
            <w:pPr>
              <w:pStyle w:val="nTable"/>
              <w:spacing w:after="40"/>
              <w:rPr>
                <w:sz w:val="19"/>
              </w:rPr>
            </w:pPr>
            <w:r>
              <w:rPr>
                <w:sz w:val="19"/>
              </w:rPr>
              <w:t>28 Jun 2002 p. 3092</w:t>
            </w:r>
            <w:r>
              <w:rPr>
                <w:sz w:val="19"/>
              </w:rPr>
              <w:noBreakHyphen/>
              <w:t>4</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Petroleum (Submerged Lands) Amendment Regulations 2003</w:t>
            </w:r>
          </w:p>
        </w:tc>
        <w:tc>
          <w:tcPr>
            <w:tcW w:w="1276" w:type="dxa"/>
          </w:tcPr>
          <w:p>
            <w:pPr>
              <w:pStyle w:val="nTable"/>
              <w:spacing w:after="40"/>
              <w:rPr>
                <w:sz w:val="19"/>
              </w:rPr>
            </w:pPr>
            <w:r>
              <w:rPr>
                <w:sz w:val="19"/>
              </w:rPr>
              <w:t>28 Feb 2003 p. 673</w:t>
            </w:r>
            <w:r>
              <w:rPr>
                <w:sz w:val="19"/>
              </w:rPr>
              <w:noBreakHyphen/>
              <w:t>5</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ind w:right="113"/>
              <w:rPr>
                <w:i/>
                <w:sz w:val="19"/>
              </w:rPr>
            </w:pPr>
            <w:r>
              <w:rPr>
                <w:i/>
                <w:sz w:val="19"/>
              </w:rPr>
              <w:t>Petroleum (Submerged Lands) Amendment Regulations 2009</w:t>
            </w:r>
          </w:p>
        </w:tc>
        <w:tc>
          <w:tcPr>
            <w:tcW w:w="1276" w:type="dxa"/>
          </w:tcPr>
          <w:p>
            <w:pPr>
              <w:pStyle w:val="nTable"/>
              <w:spacing w:after="40"/>
              <w:rPr>
                <w:sz w:val="19"/>
              </w:rPr>
            </w:pPr>
            <w:r>
              <w:rPr>
                <w:sz w:val="19"/>
              </w:rPr>
              <w:t>23 Jun 2009 p. 2474</w:t>
            </w:r>
            <w:r>
              <w:rPr>
                <w:sz w:val="19"/>
              </w:rPr>
              <w:noBreakHyphen/>
              <w:t>7</w:t>
            </w:r>
          </w:p>
        </w:tc>
        <w:tc>
          <w:tcPr>
            <w:tcW w:w="2693" w:type="dxa"/>
          </w:tcPr>
          <w:p>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r>
        <w:trPr>
          <w:cantSplit/>
        </w:trPr>
        <w:tc>
          <w:tcPr>
            <w:tcW w:w="3118" w:type="dxa"/>
          </w:tcPr>
          <w:p>
            <w:pPr>
              <w:pStyle w:val="nTable"/>
              <w:spacing w:after="40"/>
              <w:ind w:right="113"/>
              <w:rPr>
                <w:i/>
                <w:sz w:val="19"/>
              </w:rPr>
            </w:pPr>
            <w:r>
              <w:rPr>
                <w:i/>
                <w:sz w:val="19"/>
              </w:rPr>
              <w:t>Petroleum (Submerged Lands) Amendment Regulations 2010</w:t>
            </w:r>
          </w:p>
        </w:tc>
        <w:tc>
          <w:tcPr>
            <w:tcW w:w="1276" w:type="dxa"/>
          </w:tcPr>
          <w:p>
            <w:pPr>
              <w:pStyle w:val="nTable"/>
              <w:spacing w:after="40"/>
              <w:rPr>
                <w:sz w:val="19"/>
              </w:rPr>
            </w:pPr>
            <w:r>
              <w:rPr>
                <w:sz w:val="19"/>
              </w:rPr>
              <w:t>9 Feb 2010 p. 270</w:t>
            </w:r>
          </w:p>
        </w:tc>
        <w:tc>
          <w:tcPr>
            <w:tcW w:w="2693" w:type="dxa"/>
          </w:tcPr>
          <w:p>
            <w:pPr>
              <w:pStyle w:val="nTable"/>
              <w:spacing w:after="40"/>
              <w:rPr>
                <w:snapToGrid w:val="0"/>
                <w:spacing w:val="-2"/>
                <w:sz w:val="19"/>
                <w:lang w:val="en-US"/>
              </w:rPr>
            </w:pPr>
            <w:r>
              <w:rPr>
                <w:snapToGrid w:val="0"/>
                <w:spacing w:val="-2"/>
                <w:sz w:val="19"/>
                <w:lang w:val="en-US"/>
              </w:rPr>
              <w:t>r. 1 and 2: 9 Feb 2010 (see r. 2(a));</w:t>
            </w:r>
            <w:r>
              <w:rPr>
                <w:snapToGrid w:val="0"/>
                <w:spacing w:val="-2"/>
                <w:sz w:val="19"/>
                <w:lang w:val="en-US"/>
              </w:rPr>
              <w:br/>
              <w:t>Regulations other than r. 1 and 2: 10 Feb 2010 (see r. 2(b))</w:t>
            </w:r>
          </w:p>
        </w:tc>
      </w:tr>
      <w:tr>
        <w:trPr>
          <w:cantSplit/>
        </w:trPr>
        <w:tc>
          <w:tcPr>
            <w:tcW w:w="3118" w:type="dxa"/>
          </w:tcPr>
          <w:p>
            <w:pPr>
              <w:pStyle w:val="nTable"/>
              <w:spacing w:after="40"/>
              <w:ind w:right="113"/>
              <w:rPr>
                <w:i/>
                <w:sz w:val="19"/>
              </w:rPr>
            </w:pPr>
            <w:r>
              <w:rPr>
                <w:i/>
                <w:sz w:val="19"/>
              </w:rPr>
              <w:t>Petroleum (Submerged Lands) Amendment Regulations (No. 2) 2010</w:t>
            </w:r>
          </w:p>
        </w:tc>
        <w:tc>
          <w:tcPr>
            <w:tcW w:w="1276" w:type="dxa"/>
          </w:tcPr>
          <w:p>
            <w:pPr>
              <w:pStyle w:val="nTable"/>
              <w:spacing w:after="40"/>
              <w:rPr>
                <w:sz w:val="19"/>
              </w:rPr>
            </w:pPr>
            <w:r>
              <w:rPr>
                <w:sz w:val="19"/>
              </w:rPr>
              <w:t>11 May 2010 p. 1819</w:t>
            </w:r>
            <w:r>
              <w:rPr>
                <w:sz w:val="19"/>
              </w:rPr>
              <w:noBreakHyphen/>
              <w:t>21</w:t>
            </w:r>
          </w:p>
        </w:tc>
        <w:tc>
          <w:tcPr>
            <w:tcW w:w="2693" w:type="dxa"/>
          </w:tcPr>
          <w:p>
            <w:pPr>
              <w:pStyle w:val="nTable"/>
              <w:spacing w:after="40"/>
              <w:rPr>
                <w:snapToGrid w:val="0"/>
                <w:spacing w:val="-2"/>
                <w:sz w:val="19"/>
                <w:lang w:val="en-US"/>
              </w:rPr>
            </w:pPr>
            <w:r>
              <w:rPr>
                <w:snapToGrid w:val="0"/>
                <w:spacing w:val="-2"/>
                <w:sz w:val="19"/>
                <w:lang w:val="en-US"/>
              </w:rPr>
              <w:t>r. 1 and 2: 11 May 2010 (see r. 2(a));</w:t>
            </w:r>
            <w:r>
              <w:rPr>
                <w:snapToGrid w:val="0"/>
                <w:spacing w:val="-2"/>
                <w:sz w:val="19"/>
                <w:lang w:val="en-US"/>
              </w:rPr>
              <w:br/>
              <w:t>Regulations other than r. 1 and 2: 12 May 2010 (see r. 2(b))</w:t>
            </w:r>
          </w:p>
        </w:tc>
      </w:tr>
      <w:tr>
        <w:trPr>
          <w:cantSplit/>
        </w:trPr>
        <w:tc>
          <w:tcPr>
            <w:tcW w:w="3118" w:type="dxa"/>
          </w:tcPr>
          <w:p>
            <w:pPr>
              <w:pStyle w:val="nTable"/>
              <w:spacing w:after="40"/>
              <w:ind w:right="113"/>
              <w:rPr>
                <w:i/>
                <w:sz w:val="19"/>
              </w:rPr>
            </w:pPr>
            <w:r>
              <w:rPr>
                <w:i/>
                <w:sz w:val="19"/>
              </w:rPr>
              <w:t>Petroleum (Submerged Lands) Amendment Regulations (No. 3) 2010</w:t>
            </w:r>
          </w:p>
        </w:tc>
        <w:tc>
          <w:tcPr>
            <w:tcW w:w="1276" w:type="dxa"/>
          </w:tcPr>
          <w:p>
            <w:pPr>
              <w:pStyle w:val="nTable"/>
              <w:spacing w:after="40"/>
              <w:rPr>
                <w:sz w:val="19"/>
              </w:rPr>
            </w:pPr>
            <w:r>
              <w:rPr>
                <w:sz w:val="19"/>
              </w:rPr>
              <w:t>16 Jul 2010 p. 3359</w:t>
            </w:r>
            <w:r>
              <w:rPr>
                <w:sz w:val="19"/>
              </w:rPr>
              <w:noBreakHyphen/>
              <w:t>61</w:t>
            </w:r>
          </w:p>
        </w:tc>
        <w:tc>
          <w:tcPr>
            <w:tcW w:w="2693" w:type="dxa"/>
          </w:tcPr>
          <w:p>
            <w:pPr>
              <w:pStyle w:val="nTable"/>
              <w:spacing w:after="40"/>
              <w:rPr>
                <w:snapToGrid w:val="0"/>
                <w:spacing w:val="-2"/>
                <w:sz w:val="19"/>
                <w:lang w:val="en-US"/>
              </w:rPr>
            </w:pPr>
            <w:r>
              <w:rPr>
                <w:snapToGrid w:val="0"/>
                <w:spacing w:val="-2"/>
                <w:sz w:val="19"/>
                <w:lang w:val="en-US"/>
              </w:rPr>
              <w:t>r. 1 and 2: 16 Jul 2010 (see r. 2(a));</w:t>
            </w:r>
            <w:r>
              <w:rPr>
                <w:snapToGrid w:val="0"/>
                <w:spacing w:val="-2"/>
                <w:sz w:val="19"/>
                <w:lang w:val="en-US"/>
              </w:rPr>
              <w:br/>
              <w:t>Regulations other than r. 1 and 2: 17 Jul 2010 (see r. 2(b)(ii))</w:t>
            </w:r>
          </w:p>
        </w:tc>
      </w:tr>
      <w:tr>
        <w:trPr>
          <w:cantSplit/>
        </w:trPr>
        <w:tc>
          <w:tcPr>
            <w:tcW w:w="7087" w:type="dxa"/>
            <w:gridSpan w:val="3"/>
          </w:tcPr>
          <w:p>
            <w:pPr>
              <w:pStyle w:val="nTable"/>
              <w:spacing w:after="40"/>
              <w:rPr>
                <w:snapToGrid w:val="0"/>
                <w:spacing w:val="-2"/>
                <w:sz w:val="19"/>
                <w:lang w:val="en-US"/>
              </w:rPr>
            </w:pPr>
            <w:r>
              <w:rPr>
                <w:b/>
                <w:bCs/>
                <w:sz w:val="19"/>
              </w:rPr>
              <w:t xml:space="preserve">Reprint 2: The </w:t>
            </w:r>
            <w:r>
              <w:rPr>
                <w:b/>
                <w:bCs/>
                <w:i/>
                <w:sz w:val="19"/>
              </w:rPr>
              <w:t xml:space="preserve">Petroleum (Submerged Lands) Regulations 1990 </w:t>
            </w:r>
            <w:r>
              <w:rPr>
                <w:b/>
                <w:bCs/>
                <w:sz w:val="19"/>
              </w:rPr>
              <w:t>as at 24 Sep 2010</w:t>
            </w:r>
            <w:r>
              <w:rPr>
                <w:sz w:val="19"/>
              </w:rPr>
              <w:t xml:space="preserve"> (includes amendments listed above)</w:t>
            </w:r>
          </w:p>
        </w:tc>
      </w:tr>
      <w:tr>
        <w:trPr>
          <w:cantSplit/>
        </w:trPr>
        <w:tc>
          <w:tcPr>
            <w:tcW w:w="3118" w:type="dxa"/>
            <w:tcBorders>
              <w:bottom w:val="single" w:sz="4" w:space="0" w:color="auto"/>
            </w:tcBorders>
          </w:tcPr>
          <w:p>
            <w:pPr>
              <w:pStyle w:val="nTable"/>
              <w:spacing w:after="40"/>
              <w:ind w:right="113"/>
              <w:rPr>
                <w:i/>
                <w:sz w:val="19"/>
              </w:rPr>
            </w:pPr>
            <w:r>
              <w:rPr>
                <w:i/>
                <w:sz w:val="19"/>
              </w:rPr>
              <w:t>Petroleum (Submerged Lands) Amendment Regulations 2011</w:t>
            </w:r>
          </w:p>
        </w:tc>
        <w:tc>
          <w:tcPr>
            <w:tcW w:w="1276" w:type="dxa"/>
            <w:tcBorders>
              <w:bottom w:val="single" w:sz="4" w:space="0" w:color="auto"/>
            </w:tcBorders>
          </w:tcPr>
          <w:p>
            <w:pPr>
              <w:pStyle w:val="nTable"/>
              <w:spacing w:after="40"/>
              <w:rPr>
                <w:sz w:val="19"/>
              </w:rPr>
            </w:pPr>
            <w:r>
              <w:rPr>
                <w:sz w:val="19"/>
              </w:rPr>
              <w:t>24 May 2011 p. 1897-8</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24 May 2011 (see r. 2(a));</w:t>
            </w:r>
            <w:r>
              <w:rPr>
                <w:snapToGrid w:val="0"/>
                <w:spacing w:val="-2"/>
                <w:sz w:val="19"/>
                <w:lang w:val="en-US"/>
              </w:rPr>
              <w:br/>
              <w:t xml:space="preserve">Regulations other than r. 1 and 2: 25 May 2011 (see r. 2(b) and </w:t>
            </w:r>
            <w:r>
              <w:rPr>
                <w:i/>
                <w:snapToGrid w:val="0"/>
                <w:spacing w:val="-2"/>
                <w:sz w:val="19"/>
                <w:lang w:val="en-US"/>
              </w:rPr>
              <w:t>Gazette</w:t>
            </w:r>
            <w:r>
              <w:rPr>
                <w:snapToGrid w:val="0"/>
                <w:spacing w:val="-2"/>
                <w:sz w:val="19"/>
                <w:lang w:val="en-US"/>
              </w:rPr>
              <w:t xml:space="preserve"> 24 May 2011 p. 1892)</w:t>
            </w:r>
          </w:p>
        </w:tc>
      </w:tr>
    </w:tbl>
    <w:p>
      <w:pPr>
        <w:pStyle w:val="nSubsection"/>
        <w:spacing w:before="160"/>
      </w:pPr>
      <w:r>
        <w:rPr>
          <w:vertAlign w:val="superscript"/>
        </w:rPr>
        <w:t>2</w:t>
      </w:r>
      <w:r>
        <w:tab/>
        <w:t xml:space="preserve">Division 4A (s. 74A to 74I) of the </w:t>
      </w:r>
      <w:r>
        <w:rPr>
          <w:i/>
        </w:rPr>
        <w:t>Petroleum (Submerged Lands) Act 1982</w:t>
      </w:r>
      <w:r>
        <w:t xml:space="preserve"> was deleted by the </w:t>
      </w:r>
      <w:r>
        <w:rPr>
          <w:i/>
        </w:rPr>
        <w:t>Acts Amendment and Repeal (Native Title) Act 1995</w:t>
      </w:r>
      <w:r>
        <w:t>.</w:t>
      </w:r>
    </w:p>
    <w:p>
      <w:pPr>
        <w:pStyle w:val="nSubsection"/>
        <w:keepNext/>
        <w:keepLines/>
        <w:spacing w:before="60"/>
      </w:pPr>
      <w:r>
        <w:rPr>
          <w:vertAlign w:val="superscript"/>
        </w:rPr>
        <w:t>3</w:t>
      </w:r>
      <w:r>
        <w:tab/>
        <w:t xml:space="preserve">Commencement day was 16 December 2000 (see </w:t>
      </w:r>
      <w:r>
        <w:rPr>
          <w:i/>
        </w:rPr>
        <w:t>Gazette</w:t>
      </w:r>
      <w:r>
        <w:t xml:space="preserve"> 15 December 2000 p. 7201).</w:t>
      </w:r>
    </w:p>
    <w:p>
      <w:pPr>
        <w:sectPr>
          <w:headerReference w:type="even" r:id="rId32"/>
          <w:headerReference w:type="default" r:id="rId33"/>
          <w:type w:val="continuous"/>
          <w:pgSz w:w="11906" w:h="16838" w:code="9"/>
          <w:pgMar w:top="2381" w:right="2410" w:bottom="3544" w:left="2410" w:header="720" w:footer="3380" w:gutter="0"/>
          <w:cols w:space="720"/>
          <w:noEndnote/>
          <w:docGrid w:linePitch="326"/>
        </w:sectPr>
      </w:pPr>
    </w:p>
    <w:p>
      <w:pPr>
        <w:pStyle w:val="nHeading2"/>
        <w:rPr>
          <w:sz w:val="28"/>
        </w:rPr>
      </w:pPr>
      <w:bookmarkStart w:id="79" w:name="_Toc270335521"/>
      <w:bookmarkStart w:id="80" w:name="_Toc271527801"/>
      <w:bookmarkStart w:id="81" w:name="_Toc271528300"/>
      <w:bookmarkStart w:id="82" w:name="_Toc273597394"/>
      <w:bookmarkStart w:id="83" w:name="_Toc293999763"/>
      <w:bookmarkStart w:id="84" w:name="_Toc294000010"/>
      <w:r>
        <w:rPr>
          <w:sz w:val="28"/>
        </w:rPr>
        <w:t>Defined Terms</w:t>
      </w:r>
      <w:bookmarkEnd w:id="79"/>
      <w:bookmarkEnd w:id="80"/>
      <w:bookmarkEnd w:id="81"/>
      <w:bookmarkEnd w:id="82"/>
      <w:bookmarkEnd w:id="83"/>
      <w:bookmarkEnd w:id="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5" w:name="DefinedTerms"/>
      <w:bookmarkEnd w:id="85"/>
      <w:r>
        <w:t>AGD</w:t>
      </w:r>
      <w:r>
        <w:tab/>
        <w:t>2A</w:t>
      </w:r>
    </w:p>
    <w:p>
      <w:pPr>
        <w:pStyle w:val="DefinedTerms"/>
      </w:pPr>
      <w:r>
        <w:t>commencement day</w:t>
      </w:r>
      <w:r>
        <w:tab/>
        <w:t>10(4)</w:t>
      </w:r>
    </w:p>
    <w:p>
      <w:pPr>
        <w:pStyle w:val="DefinedTerms"/>
      </w:pPr>
      <w:r>
        <w:t>dealing</w:t>
      </w:r>
      <w:r>
        <w:tab/>
        <w:t>5(1)(a)</w:t>
      </w:r>
    </w:p>
    <w:p>
      <w:pPr>
        <w:pStyle w:val="DefinedTerms"/>
      </w:pPr>
      <w:r>
        <w:t>federal duty</w:t>
      </w:r>
      <w:r>
        <w:tab/>
        <w:t>8</w:t>
      </w:r>
    </w:p>
    <w:p>
      <w:pPr>
        <w:pStyle w:val="DefinedTerms"/>
      </w:pPr>
      <w:r>
        <w:t>GDA</w:t>
      </w:r>
      <w:r>
        <w:tab/>
        <w:t>2A</w:t>
      </w:r>
    </w:p>
    <w:p>
      <w:pPr>
        <w:pStyle w:val="DefinedTerms"/>
      </w:pPr>
      <w:r>
        <w:t>GDA reference</w:t>
      </w:r>
      <w:r>
        <w:tab/>
        <w:t>10(1)</w:t>
      </w:r>
    </w:p>
    <w:p>
      <w:pPr>
        <w:pStyle w:val="DefinedTerms"/>
      </w:pPr>
      <w:r>
        <w:t>GRS80</w:t>
      </w:r>
      <w:r>
        <w:tab/>
        <w:t>9(2)</w:t>
      </w:r>
    </w:p>
    <w:p>
      <w:pPr>
        <w:pStyle w:val="DefinedTerms"/>
      </w:pPr>
      <w:r>
        <w:t>related dealing</w:t>
      </w:r>
      <w:r>
        <w:tab/>
        <w:t>5(2)</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headerReference w:type="first" r:id="rId3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Regulations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Regulations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Regulations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Regulations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81ECC1A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5E89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81228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76E203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3260</Words>
  <Characters>16045</Characters>
  <Application>Microsoft Office Word</Application>
  <DocSecurity>0</DocSecurity>
  <Lines>594</Lines>
  <Paragraphs>402</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18903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1990 - 02-b0-01</dc:title>
  <dc:subject/>
  <dc:creator/>
  <cp:keywords/>
  <dc:description/>
  <cp:lastModifiedBy>svcMRProcess</cp:lastModifiedBy>
  <cp:revision>4</cp:revision>
  <cp:lastPrinted>2010-09-30T00:13:00Z</cp:lastPrinted>
  <dcterms:created xsi:type="dcterms:W3CDTF">2020-02-27T13:26:00Z</dcterms:created>
  <dcterms:modified xsi:type="dcterms:W3CDTF">2020-02-27T13:26:00Z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CommencementDate">
    <vt:lpwstr>20110525</vt:lpwstr>
  </property>
  <property fmtid="{D5CDD505-2E9C-101B-9397-08002B2CF9AE}" pid="4" name="DocumentType">
    <vt:lpwstr>Reg</vt:lpwstr>
  </property>
  <property fmtid="{D5CDD505-2E9C-101B-9397-08002B2CF9AE}" pid="5" name="AsAtDate">
    <vt:lpwstr>25 May 2011</vt:lpwstr>
  </property>
  <property fmtid="{D5CDD505-2E9C-101B-9397-08002B2CF9AE}" pid="6" name="Suffix">
    <vt:lpwstr>02-b0-01</vt:lpwstr>
  </property>
  <property fmtid="{D5CDD505-2E9C-101B-9397-08002B2CF9AE}" pid="7" name="OwlsUID">
    <vt:i4>4687</vt:i4>
  </property>
  <property fmtid="{D5CDD505-2E9C-101B-9397-08002B2CF9AE}" pid="8" name="ReprintedAsAt">
    <vt:filetime>2010-09-23T16:00:00Z</vt:filetime>
  </property>
  <property fmtid="{D5CDD505-2E9C-101B-9397-08002B2CF9AE}" pid="9" name="ReprintNo">
    <vt:lpwstr>2</vt:lpwstr>
  </property>
</Properties>
</file>