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4F47" w:rsidRDefault="00A43B96">
      <w:pPr>
        <w:pStyle w:val="WA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</w:tabs>
        <w:spacing w:before="120" w:after="0"/>
        <w:outlineLvl w:val="0"/>
      </w:pPr>
      <w:bookmarkStart w:id="0" w:name="_GoBack"/>
      <w:bookmarkEnd w:id="0"/>
      <w:r>
        <w:rPr>
          <w:noProof/>
          <w:lang w:eastAsia="en-AU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5" name="Picture 5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smartTag w:uri="urn:schemas-microsoft-com:office:smarttags" w:element="City">
        <w:smartTag w:uri="urn:schemas-microsoft-com:office:smarttags" w:element="place">
          <w:r w:rsidR="00364F47">
            <w:t>Western Australia</w:t>
          </w:r>
        </w:smartTag>
      </w:smartTag>
    </w:p>
    <w:p w:rsidR="00364F47" w:rsidRDefault="00364F47">
      <w:pPr>
        <w:pStyle w:val="PrincipalActReg"/>
        <w:spacing w:before="2200" w:after="0"/>
      </w:pPr>
      <w:r>
        <w:rPr>
          <w:snapToGrid w:val="0"/>
        </w:rPr>
        <w:t>Petroleum and Geothermal Energy Resources (Registration Fees) Act 1967</w:t>
      </w:r>
    </w:p>
    <w:p w:rsidR="00364F47" w:rsidRDefault="00364F47">
      <w:pPr>
        <w:pStyle w:val="NameofActRegPage1"/>
        <w:spacing w:before="1980" w:after="4200"/>
        <w:outlineLvl w:val="0"/>
        <w:rPr>
          <w:sz w:val="48"/>
        </w:rPr>
      </w:pPr>
      <w:r>
        <w:rPr>
          <w:sz w:val="48"/>
        </w:rPr>
        <w:fldChar w:fldCharType="begin"/>
      </w:r>
      <w:r>
        <w:rPr>
          <w:sz w:val="48"/>
        </w:rPr>
        <w:instrText xml:space="preserve"> STYLEREF "Name Of Act/Reg"</w:instrText>
      </w:r>
      <w:r>
        <w:rPr>
          <w:sz w:val="48"/>
        </w:rPr>
        <w:fldChar w:fldCharType="separate"/>
      </w:r>
      <w:r w:rsidR="00D20455">
        <w:rPr>
          <w:noProof/>
          <w:sz w:val="48"/>
        </w:rPr>
        <w:t>Petroleum and Geothermal Energy Resources (Registration Fees) Regulations 1990</w:t>
      </w:r>
      <w:r>
        <w:rPr>
          <w:sz w:val="48"/>
        </w:rPr>
        <w:fldChar w:fldCharType="end"/>
      </w:r>
    </w:p>
    <w:p w:rsidR="00364F47" w:rsidRDefault="00364F47">
      <w:pPr>
        <w:jc w:val="center"/>
        <w:rPr>
          <w:b/>
        </w:rPr>
        <w:sectPr w:rsidR="00364F47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364F47" w:rsidRDefault="00364F47">
      <w:pPr>
        <w:pStyle w:val="WA"/>
        <w:spacing w:before="120"/>
      </w:pPr>
      <w:smartTag w:uri="urn:schemas-microsoft-com:office:smarttags" w:element="City">
        <w:smartTag w:uri="urn:schemas-microsoft-com:office:smarttags" w:element="place">
          <w:r>
            <w:lastRenderedPageBreak/>
            <w:t>Western Australia</w:t>
          </w:r>
        </w:smartTag>
      </w:smartTag>
    </w:p>
    <w:p w:rsidR="00364F47" w:rsidRDefault="00364F47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D20455">
        <w:rPr>
          <w:noProof/>
        </w:rPr>
        <w:t>Petroleum and Geothermal Energy Resources (Registration Fees) Regulations 1990</w:t>
      </w:r>
      <w:r>
        <w:fldChar w:fldCharType="end"/>
      </w:r>
    </w:p>
    <w:p w:rsidR="00364F47" w:rsidRDefault="00364F47">
      <w:pPr>
        <w:pStyle w:val="Arrangement"/>
      </w:pPr>
      <w:r>
        <w:t>CONTENTS</w:t>
      </w:r>
    </w:p>
    <w:p w:rsidR="00B767AD" w:rsidRDefault="00364F47">
      <w:pPr>
        <w:pStyle w:val="TOC8"/>
        <w:rPr>
          <w:sz w:val="24"/>
          <w:szCs w:val="24"/>
          <w:lang w:val="en-US"/>
        </w:rPr>
      </w:pPr>
      <w:r>
        <w:fldChar w:fldCharType="begin"/>
      </w:r>
      <w:r>
        <w:instrText xml:space="preserve"> TOC \t "Heading 2,2,yScheduleHeading,2,yHeading 2,2,nHeading 2,2,zHeading 2,3,zyScheduleHeading,3,zyHeading 2,3,Heading 3,4,yHeading 3,4,zHeading 3,5,zyHeading 3,5,Heading 4,6,yHeading 4,6,zHeading 4,7,zyHeading 4,7,Heading 5,8,nHeading 3,8,yHeading 5,8,zHeading 5,9,zyHeading 5,9" \t "nHeading 2,2,nHeading 3,8" \n "2</w:instrText>
      </w:r>
      <w:r>
        <w:noBreakHyphen/>
        <w:instrText xml:space="preserve">7" \w \* MERGEFORMAT </w:instrText>
      </w:r>
      <w:r>
        <w:fldChar w:fldCharType="separate"/>
      </w:r>
      <w:r w:rsidR="00B767AD">
        <w:t>1</w:t>
      </w:r>
      <w:r w:rsidR="00B767AD" w:rsidRPr="00EB6D9E">
        <w:rPr>
          <w:snapToGrid w:val="0"/>
        </w:rPr>
        <w:t>.</w:t>
      </w:r>
      <w:r w:rsidR="00B767AD" w:rsidRPr="00EB6D9E">
        <w:rPr>
          <w:snapToGrid w:val="0"/>
        </w:rPr>
        <w:tab/>
        <w:t>Citation</w:t>
      </w:r>
      <w:r w:rsidR="00B767AD">
        <w:tab/>
      </w:r>
      <w:r w:rsidR="00B767AD">
        <w:fldChar w:fldCharType="begin"/>
      </w:r>
      <w:r w:rsidR="00B767AD">
        <w:instrText xml:space="preserve"> PAGEREF _Toc297294889 \h </w:instrText>
      </w:r>
      <w:r w:rsidR="00B767AD">
        <w:fldChar w:fldCharType="separate"/>
      </w:r>
      <w:r w:rsidR="00D20455">
        <w:t>1</w:t>
      </w:r>
      <w:r w:rsidR="00B767AD">
        <w:fldChar w:fldCharType="end"/>
      </w:r>
    </w:p>
    <w:p w:rsidR="00B767AD" w:rsidRDefault="00B767AD">
      <w:pPr>
        <w:pStyle w:val="TOC8"/>
        <w:rPr>
          <w:sz w:val="24"/>
          <w:szCs w:val="24"/>
          <w:lang w:val="en-US"/>
        </w:rPr>
      </w:pPr>
      <w:r>
        <w:t>2</w:t>
      </w:r>
      <w:r w:rsidRPr="00EB6D9E">
        <w:rPr>
          <w:snapToGrid w:val="0"/>
        </w:rPr>
        <w:t>.</w:t>
      </w:r>
      <w:r w:rsidRPr="00EB6D9E">
        <w:rPr>
          <w:snapToGrid w:val="0"/>
        </w:rPr>
        <w:tab/>
        <w:t>Commencement</w:t>
      </w:r>
      <w:r>
        <w:tab/>
      </w:r>
      <w:r>
        <w:fldChar w:fldCharType="begin"/>
      </w:r>
      <w:r>
        <w:instrText xml:space="preserve"> PAGEREF _Toc297294890 \h </w:instrText>
      </w:r>
      <w:r>
        <w:fldChar w:fldCharType="separate"/>
      </w:r>
      <w:r w:rsidR="00D20455">
        <w:t>1</w:t>
      </w:r>
      <w:r>
        <w:fldChar w:fldCharType="end"/>
      </w:r>
    </w:p>
    <w:p w:rsidR="00B767AD" w:rsidRDefault="00B767AD">
      <w:pPr>
        <w:pStyle w:val="TOC8"/>
        <w:rPr>
          <w:sz w:val="24"/>
          <w:szCs w:val="24"/>
          <w:lang w:val="en-US"/>
        </w:rPr>
      </w:pPr>
      <w:r>
        <w:t>3</w:t>
      </w:r>
      <w:r w:rsidRPr="00EB6D9E">
        <w:rPr>
          <w:snapToGrid w:val="0"/>
        </w:rPr>
        <w:t>.</w:t>
      </w:r>
      <w:r w:rsidRPr="00EB6D9E">
        <w:rPr>
          <w:snapToGrid w:val="0"/>
        </w:rPr>
        <w:tab/>
        <w:t>Prescribed amounts</w:t>
      </w:r>
      <w:r>
        <w:tab/>
      </w:r>
      <w:r>
        <w:fldChar w:fldCharType="begin"/>
      </w:r>
      <w:r>
        <w:instrText xml:space="preserve"> PAGEREF _Toc297294891 \h </w:instrText>
      </w:r>
      <w:r>
        <w:fldChar w:fldCharType="separate"/>
      </w:r>
      <w:r w:rsidR="00D20455">
        <w:t>1</w:t>
      </w:r>
      <w:r>
        <w:fldChar w:fldCharType="end"/>
      </w:r>
    </w:p>
    <w:p w:rsidR="00B767AD" w:rsidRDefault="00B767AD">
      <w:pPr>
        <w:pStyle w:val="TOC2"/>
        <w:tabs>
          <w:tab w:val="right" w:leader="dot" w:pos="7086"/>
        </w:tabs>
        <w:rPr>
          <w:b w:val="0"/>
          <w:sz w:val="24"/>
          <w:szCs w:val="24"/>
          <w:lang w:val="en-US"/>
        </w:rPr>
      </w:pPr>
      <w:r>
        <w:t>Notes</w:t>
      </w:r>
    </w:p>
    <w:p w:rsidR="00B767AD" w:rsidRDefault="00B767AD" w:rsidP="00B767AD">
      <w:pPr>
        <w:pStyle w:val="TOC8"/>
        <w:rPr>
          <w:sz w:val="24"/>
          <w:szCs w:val="24"/>
          <w:lang w:val="en-US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_Toc297294893 \h </w:instrText>
      </w:r>
      <w:r>
        <w:fldChar w:fldCharType="separate"/>
      </w:r>
      <w:r w:rsidR="00D20455">
        <w:t>3</w:t>
      </w:r>
      <w:r>
        <w:fldChar w:fldCharType="end"/>
      </w:r>
    </w:p>
    <w:p w:rsidR="00364F47" w:rsidRDefault="00364F47">
      <w:pPr>
        <w:pStyle w:val="TOC8"/>
      </w:pPr>
      <w:r>
        <w:fldChar w:fldCharType="end"/>
      </w:r>
    </w:p>
    <w:p w:rsidR="00364F47" w:rsidRDefault="00364F47"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rPr>
          <w:rStyle w:val="CharSClsNo"/>
        </w:rPr>
        <w:t xml:space="preserve"> </w:t>
      </w:r>
    </w:p>
    <w:p w:rsidR="00364F47" w:rsidRDefault="00364F47">
      <w:pPr>
        <w:pStyle w:val="NoteHeading"/>
        <w:sectPr w:rsidR="00364F47">
          <w:headerReference w:type="even" r:id="rId15"/>
          <w:headerReference w:type="default" r:id="rId16"/>
          <w:footerReference w:type="even" r:id="rId17"/>
          <w:footerReference w:type="default" r:id="rId18"/>
          <w:footerReference w:type="first" r:id="rId19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364F47" w:rsidRDefault="00364F47">
      <w:pPr>
        <w:pStyle w:val="WA"/>
        <w:spacing w:before="120"/>
      </w:pPr>
      <w:smartTag w:uri="urn:schemas-microsoft-com:office:smarttags" w:element="State">
        <w:smartTag w:uri="urn:schemas-microsoft-com:office:smarttags" w:element="place">
          <w:r>
            <w:lastRenderedPageBreak/>
            <w:t>Western Australia</w:t>
          </w:r>
        </w:smartTag>
      </w:smartTag>
    </w:p>
    <w:p w:rsidR="00364F47" w:rsidRDefault="00364F47">
      <w:pPr>
        <w:pStyle w:val="PrincipalActReg"/>
        <w:rPr>
          <w:snapToGrid w:val="0"/>
        </w:rPr>
      </w:pPr>
      <w:r>
        <w:rPr>
          <w:snapToGrid w:val="0"/>
        </w:rPr>
        <w:t>Petroleum and Geothermal Energy Resources (Registration Fees) Act 1967</w:t>
      </w:r>
    </w:p>
    <w:p w:rsidR="00364F47" w:rsidRDefault="00364F47">
      <w:pPr>
        <w:pStyle w:val="NameofActReg"/>
      </w:pPr>
      <w:r>
        <w:t>Petroleum and Geothermal Energy Resources (Registration Fees) Regulations 1990</w:t>
      </w:r>
    </w:p>
    <w:p w:rsidR="00364F47" w:rsidRDefault="00364F47">
      <w:pPr>
        <w:pStyle w:val="Heading5"/>
        <w:rPr>
          <w:snapToGrid w:val="0"/>
        </w:rPr>
      </w:pPr>
      <w:bookmarkStart w:id="1" w:name="_Toc34125080"/>
      <w:bookmarkStart w:id="2" w:name="_Toc34197926"/>
      <w:bookmarkStart w:id="3" w:name="_Toc72723267"/>
      <w:bookmarkStart w:id="4" w:name="_Toc297294889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1"/>
      <w:bookmarkEnd w:id="2"/>
      <w:bookmarkEnd w:id="3"/>
      <w:bookmarkEnd w:id="4"/>
    </w:p>
    <w:p w:rsidR="00364F47" w:rsidRDefault="00364F47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 regulations may be cited as the </w:t>
      </w:r>
      <w:r>
        <w:rPr>
          <w:i/>
          <w:snapToGrid w:val="0"/>
        </w:rPr>
        <w:t xml:space="preserve">Petroleum </w:t>
      </w:r>
      <w:r>
        <w:rPr>
          <w:i/>
          <w:iCs/>
        </w:rPr>
        <w:t>and Geothermal Energy Resources</w:t>
      </w:r>
      <w:r>
        <w:rPr>
          <w:i/>
          <w:snapToGrid w:val="0"/>
        </w:rPr>
        <w:t xml:space="preserve"> (Registration Fees) Regulations 1990</w:t>
      </w:r>
      <w:r>
        <w:rPr>
          <w:rFonts w:ascii="Times" w:hAnsi="Times"/>
          <w:iCs/>
          <w:snapToGrid w:val="0"/>
          <w:vertAlign w:val="superscript"/>
        </w:rPr>
        <w:t> 1</w:t>
      </w:r>
      <w:r>
        <w:rPr>
          <w:snapToGrid w:val="0"/>
        </w:rPr>
        <w:t>.</w:t>
      </w:r>
    </w:p>
    <w:p w:rsidR="00364F47" w:rsidRDefault="00364F47">
      <w:pPr>
        <w:pStyle w:val="Footnotesection"/>
      </w:pPr>
      <w:r>
        <w:tab/>
        <w:t>[Regulation 1 amended in Gazette 23 Jun 2009 p. 2481.]</w:t>
      </w:r>
    </w:p>
    <w:p w:rsidR="00364F47" w:rsidRDefault="00364F47">
      <w:pPr>
        <w:pStyle w:val="Heading5"/>
        <w:rPr>
          <w:snapToGrid w:val="0"/>
        </w:rPr>
      </w:pPr>
      <w:bookmarkStart w:id="5" w:name="_Toc34125081"/>
      <w:bookmarkStart w:id="6" w:name="_Toc34197927"/>
      <w:bookmarkStart w:id="7" w:name="_Toc72723268"/>
      <w:bookmarkStart w:id="8" w:name="_Toc297294890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5"/>
      <w:bookmarkEnd w:id="6"/>
      <w:bookmarkEnd w:id="7"/>
      <w:bookmarkEnd w:id="8"/>
    </w:p>
    <w:p w:rsidR="00364F47" w:rsidRDefault="00364F47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 regulations shall come into operation on the commencement of the </w:t>
      </w:r>
      <w:r>
        <w:rPr>
          <w:i/>
          <w:snapToGrid w:val="0"/>
        </w:rPr>
        <w:t>Petroleum (Registration Fees) Amendment Act 1990</w:t>
      </w:r>
      <w:r>
        <w:rPr>
          <w:rFonts w:ascii="Times" w:hAnsi="Times"/>
          <w:iCs/>
          <w:snapToGrid w:val="0"/>
          <w:vertAlign w:val="superscript"/>
        </w:rPr>
        <w:t> 1</w:t>
      </w:r>
      <w:r>
        <w:rPr>
          <w:snapToGrid w:val="0"/>
        </w:rPr>
        <w:t>.</w:t>
      </w:r>
    </w:p>
    <w:p w:rsidR="00364F47" w:rsidRDefault="00364F47">
      <w:pPr>
        <w:pStyle w:val="Heading5"/>
        <w:rPr>
          <w:snapToGrid w:val="0"/>
        </w:rPr>
      </w:pPr>
      <w:bookmarkStart w:id="9" w:name="_Toc34125082"/>
      <w:bookmarkStart w:id="10" w:name="_Toc34197928"/>
      <w:bookmarkStart w:id="11" w:name="_Toc72723269"/>
      <w:bookmarkStart w:id="12" w:name="_Toc297294891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Prescribed amounts</w:t>
      </w:r>
      <w:bookmarkEnd w:id="9"/>
      <w:bookmarkEnd w:id="10"/>
      <w:bookmarkEnd w:id="11"/>
      <w:bookmarkEnd w:id="12"/>
    </w:p>
    <w:p w:rsidR="00364F47" w:rsidRDefault="00364F47"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For the purposes of section 4(2) of the Act, the prescribed amount is an amount of</w:t>
      </w:r>
      <w:r>
        <w:t xml:space="preserve"> </w:t>
      </w:r>
      <w:r w:rsidR="00024756">
        <w:t>$987.00.</w:t>
      </w:r>
    </w:p>
    <w:p w:rsidR="00364F47" w:rsidRDefault="00364F47"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For the purposes of section 4(3) of the Act, the prescribed amount is an amount of</w:t>
      </w:r>
      <w:r>
        <w:t xml:space="preserve"> </w:t>
      </w:r>
      <w:r w:rsidR="00024756">
        <w:t>$987.00.</w:t>
      </w:r>
    </w:p>
    <w:p w:rsidR="00364F47" w:rsidRDefault="00364F47">
      <w:pPr>
        <w:pStyle w:val="Subsection"/>
        <w:rPr>
          <w:snapToGrid w:val="0"/>
        </w:rPr>
      </w:pPr>
      <w:r>
        <w:rPr>
          <w:snapToGrid w:val="0"/>
        </w:rPr>
        <w:tab/>
        <w:t>(3)</w:t>
      </w:r>
      <w:r>
        <w:rPr>
          <w:snapToGrid w:val="0"/>
        </w:rPr>
        <w:tab/>
        <w:t>For the purposes of section 4(4) of the Act, the prescribed amount is an amount of</w:t>
      </w:r>
      <w:r>
        <w:t xml:space="preserve"> </w:t>
      </w:r>
      <w:r w:rsidR="00024756">
        <w:t>$4 932.00.</w:t>
      </w:r>
    </w:p>
    <w:p w:rsidR="00364F47" w:rsidRDefault="00364F47">
      <w:pPr>
        <w:pStyle w:val="Subsection"/>
        <w:rPr>
          <w:snapToGrid w:val="0"/>
        </w:rPr>
      </w:pPr>
      <w:r>
        <w:rPr>
          <w:snapToGrid w:val="0"/>
        </w:rPr>
        <w:tab/>
        <w:t>(4)</w:t>
      </w:r>
      <w:r>
        <w:rPr>
          <w:snapToGrid w:val="0"/>
        </w:rPr>
        <w:tab/>
        <w:t>For the purposes of section 4(6) of the Act, the prescribed amount is an amount of</w:t>
      </w:r>
      <w:r>
        <w:t xml:space="preserve"> </w:t>
      </w:r>
      <w:r w:rsidR="00024756">
        <w:t>$987.00.</w:t>
      </w:r>
    </w:p>
    <w:p w:rsidR="00364F47" w:rsidRDefault="00364F47">
      <w:pPr>
        <w:pStyle w:val="Subsection"/>
        <w:rPr>
          <w:snapToGrid w:val="0"/>
        </w:rPr>
      </w:pPr>
      <w:r>
        <w:rPr>
          <w:snapToGrid w:val="0"/>
        </w:rPr>
        <w:lastRenderedPageBreak/>
        <w:tab/>
        <w:t>(5)</w:t>
      </w:r>
      <w:r>
        <w:rPr>
          <w:snapToGrid w:val="0"/>
        </w:rPr>
        <w:tab/>
        <w:t>For the purposes of section 4(7) of the Act, the prescribed amount is an amount of</w:t>
      </w:r>
      <w:r>
        <w:t xml:space="preserve"> </w:t>
      </w:r>
      <w:r w:rsidR="00024756">
        <w:t>$4 932.00.</w:t>
      </w:r>
    </w:p>
    <w:p w:rsidR="00364F47" w:rsidRDefault="00364F47">
      <w:pPr>
        <w:pStyle w:val="Footnotesection"/>
      </w:pPr>
      <w:r>
        <w:tab/>
        <w:t>[Regulation 3 amended in Gazette 28 Jun 2002 p. 3092; 28 Feb 2003 p. 673; 23 Jun 2009 p. 2481; 11 May 2010 p. 1825-6; 16 Jul 2010 p. 3365</w:t>
      </w:r>
      <w:r w:rsidR="00024756">
        <w:t>; 1 Jul 2011 p. 2742</w:t>
      </w:r>
      <w:r>
        <w:t>.]</w:t>
      </w:r>
    </w:p>
    <w:p w:rsidR="00364F47" w:rsidRDefault="00364F47">
      <w:pPr>
        <w:sectPr w:rsidR="00364F47">
          <w:headerReference w:type="even" r:id="rId20"/>
          <w:headerReference w:type="default" r:id="rId21"/>
          <w:footerReference w:type="even" r:id="rId22"/>
          <w:footerReference w:type="default" r:id="rId23"/>
          <w:headerReference w:type="first" r:id="rId24"/>
          <w:footerReference w:type="first" r:id="rId25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 w:rsidR="00364F47" w:rsidRDefault="00364F47">
      <w:pPr>
        <w:pStyle w:val="nHeading2"/>
      </w:pPr>
      <w:bookmarkStart w:id="13" w:name="_Toc67882245"/>
      <w:bookmarkStart w:id="14" w:name="_Toc68927375"/>
      <w:bookmarkStart w:id="15" w:name="_Toc72723270"/>
      <w:bookmarkStart w:id="16" w:name="_Toc233629953"/>
      <w:bookmarkStart w:id="17" w:name="_Toc233694880"/>
      <w:bookmarkStart w:id="18" w:name="_Toc261269866"/>
      <w:bookmarkStart w:id="19" w:name="_Toc266974127"/>
      <w:bookmarkStart w:id="20" w:name="_Toc266974227"/>
      <w:bookmarkStart w:id="21" w:name="_Toc268672430"/>
      <w:bookmarkStart w:id="22" w:name="_Toc268672661"/>
      <w:bookmarkStart w:id="23" w:name="_Toc268872460"/>
      <w:bookmarkStart w:id="24" w:name="_Toc297294892"/>
      <w:r>
        <w:lastRenderedPageBreak/>
        <w:t>Notes</w:t>
      </w:r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</w:p>
    <w:p w:rsidR="00364F47" w:rsidRDefault="00364F47"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Petroleum and Geothermal Energy Resources (Registration Fees) Regulations 1990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 w:rsidR="00364F47" w:rsidRDefault="00364F47">
      <w:pPr>
        <w:pStyle w:val="nHeading3"/>
        <w:rPr>
          <w:snapToGrid w:val="0"/>
        </w:rPr>
      </w:pPr>
      <w:bookmarkStart w:id="25" w:name="_Toc297294893"/>
      <w:r>
        <w:t>Compilation table</w:t>
      </w:r>
      <w:bookmarkEnd w:id="25"/>
    </w:p>
    <w:tbl>
      <w:tblPr>
        <w:tblW w:w="0" w:type="auto"/>
        <w:tblInd w:w="56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 w:rsidR="00364F47"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 w:rsidR="00364F47" w:rsidRDefault="00364F47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364F47" w:rsidRDefault="00364F47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 w:rsidR="00364F47" w:rsidRDefault="00364F47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 w:rsidR="00364F47">
        <w:tc>
          <w:tcPr>
            <w:tcW w:w="3118" w:type="dxa"/>
          </w:tcPr>
          <w:p w:rsidR="00364F47" w:rsidRDefault="00364F47">
            <w:pPr>
              <w:pStyle w:val="nTable"/>
              <w:spacing w:after="40"/>
              <w:rPr>
                <w:sz w:val="19"/>
              </w:rPr>
            </w:pPr>
            <w:r>
              <w:rPr>
                <w:i/>
                <w:sz w:val="19"/>
              </w:rPr>
              <w:t>Petroleum (Registration Fees) Regulations 1990</w:t>
            </w:r>
            <w:r>
              <w:rPr>
                <w:iCs/>
                <w:sz w:val="19"/>
              </w:rPr>
              <w:t xml:space="preserve"> </w:t>
            </w:r>
            <w:r>
              <w:rPr>
                <w:iCs/>
                <w:sz w:val="19"/>
                <w:vertAlign w:val="superscript"/>
              </w:rPr>
              <w:t>2</w:t>
            </w:r>
          </w:p>
        </w:tc>
        <w:tc>
          <w:tcPr>
            <w:tcW w:w="1276" w:type="dxa"/>
          </w:tcPr>
          <w:p w:rsidR="00364F47" w:rsidRDefault="00364F47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28 Sep 1990 p. 5108</w:t>
            </w:r>
          </w:p>
        </w:tc>
        <w:tc>
          <w:tcPr>
            <w:tcW w:w="2693" w:type="dxa"/>
          </w:tcPr>
          <w:p w:rsidR="00364F47" w:rsidRDefault="00364F47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 xml:space="preserve">1 Oct 1990 (see r. 2 and </w:t>
            </w:r>
            <w:r>
              <w:rPr>
                <w:i/>
                <w:sz w:val="19"/>
              </w:rPr>
              <w:t>Gazette</w:t>
            </w:r>
            <w:r>
              <w:rPr>
                <w:sz w:val="19"/>
              </w:rPr>
              <w:t xml:space="preserve"> 28 Sep 1990 p. 5099)</w:t>
            </w:r>
          </w:p>
        </w:tc>
      </w:tr>
      <w:tr w:rsidR="00364F47">
        <w:tc>
          <w:tcPr>
            <w:tcW w:w="3118" w:type="dxa"/>
          </w:tcPr>
          <w:p w:rsidR="00364F47" w:rsidRDefault="00364F47"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Petroleum (Registration Fees) Amendment Regulations 2002</w:t>
            </w:r>
          </w:p>
        </w:tc>
        <w:tc>
          <w:tcPr>
            <w:tcW w:w="1276" w:type="dxa"/>
          </w:tcPr>
          <w:p w:rsidR="00364F47" w:rsidRDefault="00364F47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28 Jun 2002 p. 3091</w:t>
            </w:r>
            <w:r>
              <w:rPr>
                <w:sz w:val="19"/>
              </w:rPr>
              <w:noBreakHyphen/>
              <w:t>2</w:t>
            </w:r>
          </w:p>
        </w:tc>
        <w:tc>
          <w:tcPr>
            <w:tcW w:w="2693" w:type="dxa"/>
          </w:tcPr>
          <w:p w:rsidR="00364F47" w:rsidRDefault="00364F47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 2002 (see r. 2)</w:t>
            </w:r>
          </w:p>
        </w:tc>
      </w:tr>
      <w:tr w:rsidR="00364F47">
        <w:tc>
          <w:tcPr>
            <w:tcW w:w="3118" w:type="dxa"/>
          </w:tcPr>
          <w:p w:rsidR="00364F47" w:rsidRDefault="00364F47"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Petroleum (Registration Fees) Amendment Regulations 2003</w:t>
            </w:r>
          </w:p>
        </w:tc>
        <w:tc>
          <w:tcPr>
            <w:tcW w:w="1276" w:type="dxa"/>
          </w:tcPr>
          <w:p w:rsidR="00364F47" w:rsidRDefault="00364F47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28 Feb 2003 p. 672</w:t>
            </w:r>
            <w:r>
              <w:rPr>
                <w:sz w:val="19"/>
              </w:rPr>
              <w:noBreakHyphen/>
              <w:t>3</w:t>
            </w:r>
          </w:p>
        </w:tc>
        <w:tc>
          <w:tcPr>
            <w:tcW w:w="2693" w:type="dxa"/>
          </w:tcPr>
          <w:p w:rsidR="00364F47" w:rsidRDefault="00364F47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28 Feb 2003</w:t>
            </w:r>
          </w:p>
        </w:tc>
      </w:tr>
      <w:tr w:rsidR="00364F47">
        <w:trPr>
          <w:cantSplit/>
        </w:trPr>
        <w:tc>
          <w:tcPr>
            <w:tcW w:w="7087" w:type="dxa"/>
            <w:gridSpan w:val="3"/>
          </w:tcPr>
          <w:p w:rsidR="00364F47" w:rsidRDefault="00364F47">
            <w:pPr>
              <w:pStyle w:val="nTable"/>
              <w:spacing w:after="40"/>
              <w:rPr>
                <w:iCs/>
                <w:sz w:val="19"/>
              </w:rPr>
            </w:pPr>
            <w:r>
              <w:rPr>
                <w:b/>
                <w:bCs/>
                <w:sz w:val="19"/>
              </w:rPr>
              <w:t xml:space="preserve">Reprint 1: The </w:t>
            </w:r>
            <w:r>
              <w:rPr>
                <w:b/>
                <w:bCs/>
                <w:i/>
                <w:sz w:val="19"/>
              </w:rPr>
              <w:t>Petroleum (Registration Fees) Regulations 1990</w:t>
            </w:r>
            <w:r>
              <w:rPr>
                <w:b/>
                <w:bCs/>
                <w:iCs/>
                <w:sz w:val="19"/>
              </w:rPr>
              <w:t xml:space="preserve"> as at 7 May 2004</w:t>
            </w:r>
            <w:r>
              <w:rPr>
                <w:iCs/>
                <w:sz w:val="19"/>
              </w:rPr>
              <w:t xml:space="preserve"> (includes amendments listed above)</w:t>
            </w:r>
          </w:p>
        </w:tc>
      </w:tr>
      <w:tr w:rsidR="00364F47">
        <w:tc>
          <w:tcPr>
            <w:tcW w:w="3118" w:type="dxa"/>
          </w:tcPr>
          <w:p w:rsidR="00364F47" w:rsidRDefault="00364F47"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Petroleum (Registration Fees) Amendment Regulations 2009</w:t>
            </w:r>
          </w:p>
        </w:tc>
        <w:tc>
          <w:tcPr>
            <w:tcW w:w="1276" w:type="dxa"/>
          </w:tcPr>
          <w:p w:rsidR="00364F47" w:rsidRDefault="00364F47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23 Jun 2009 p. 2480-1</w:t>
            </w:r>
          </w:p>
        </w:tc>
        <w:tc>
          <w:tcPr>
            <w:tcW w:w="2693" w:type="dxa"/>
          </w:tcPr>
          <w:p w:rsidR="00364F47" w:rsidRDefault="00364F47">
            <w:pPr>
              <w:pStyle w:val="nTable"/>
              <w:spacing w:after="40"/>
              <w:rPr>
                <w:sz w:val="19"/>
              </w:rPr>
            </w:pPr>
            <w:r>
              <w:rPr>
                <w:snapToGrid w:val="0"/>
                <w:sz w:val="19"/>
                <w:lang w:val="en-US"/>
              </w:rPr>
              <w:t>r. 1 and 2: 23 Jun 2009 (see r. 2(a));</w:t>
            </w:r>
            <w:r>
              <w:rPr>
                <w:snapToGrid w:val="0"/>
                <w:sz w:val="19"/>
                <w:lang w:val="en-US"/>
              </w:rPr>
              <w:br/>
              <w:t>Regulations other than r. 1 and 2: 1 Jul 2009 (see r. 2(b))</w:t>
            </w:r>
          </w:p>
        </w:tc>
      </w:tr>
      <w:tr w:rsidR="00364F47">
        <w:tc>
          <w:tcPr>
            <w:tcW w:w="3118" w:type="dxa"/>
          </w:tcPr>
          <w:p w:rsidR="00364F47" w:rsidRDefault="00364F47"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Petroleum and Geothermal Energy Resources (Registration Fees) Amendment Regulations 2010</w:t>
            </w:r>
          </w:p>
        </w:tc>
        <w:tc>
          <w:tcPr>
            <w:tcW w:w="1276" w:type="dxa"/>
          </w:tcPr>
          <w:p w:rsidR="00364F47" w:rsidRDefault="00364F47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11 May 2010 p. 1825-6</w:t>
            </w:r>
          </w:p>
        </w:tc>
        <w:tc>
          <w:tcPr>
            <w:tcW w:w="2693" w:type="dxa"/>
          </w:tcPr>
          <w:p w:rsidR="00364F47" w:rsidRDefault="00364F47">
            <w:pPr>
              <w:pStyle w:val="nTable"/>
              <w:spacing w:after="40"/>
              <w:rPr>
                <w:snapToGrid w:val="0"/>
                <w:sz w:val="19"/>
                <w:lang w:val="en-US"/>
              </w:rPr>
            </w:pPr>
            <w:r>
              <w:rPr>
                <w:snapToGrid w:val="0"/>
                <w:sz w:val="19"/>
                <w:lang w:val="en-US"/>
              </w:rPr>
              <w:t>r. 1 and 2: 11 May 2010 (see r. 2(a));</w:t>
            </w:r>
            <w:r>
              <w:rPr>
                <w:snapToGrid w:val="0"/>
                <w:sz w:val="19"/>
                <w:lang w:val="en-US"/>
              </w:rPr>
              <w:br/>
              <w:t>Regulations other than r. 1 and 2: 12 May 2010 (see r. 2(b))</w:t>
            </w:r>
          </w:p>
        </w:tc>
      </w:tr>
      <w:tr w:rsidR="00364F47">
        <w:tc>
          <w:tcPr>
            <w:tcW w:w="3118" w:type="dxa"/>
          </w:tcPr>
          <w:p w:rsidR="00364F47" w:rsidRDefault="00364F47"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Petroleum and Geothermal Energy Resources (Registration Fees) Amendment Regulations (No. 2) 2010</w:t>
            </w:r>
          </w:p>
        </w:tc>
        <w:tc>
          <w:tcPr>
            <w:tcW w:w="1276" w:type="dxa"/>
          </w:tcPr>
          <w:p w:rsidR="00364F47" w:rsidRDefault="00364F47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16 Jul 2010 p. 3364-5</w:t>
            </w:r>
          </w:p>
        </w:tc>
        <w:tc>
          <w:tcPr>
            <w:tcW w:w="2693" w:type="dxa"/>
          </w:tcPr>
          <w:p w:rsidR="00364F47" w:rsidRDefault="00364F47">
            <w:pPr>
              <w:pStyle w:val="nTable"/>
              <w:spacing w:after="40"/>
              <w:rPr>
                <w:snapToGrid w:val="0"/>
                <w:sz w:val="19"/>
                <w:lang w:val="en-US"/>
              </w:rPr>
            </w:pPr>
            <w:r>
              <w:rPr>
                <w:snapToGrid w:val="0"/>
                <w:sz w:val="19"/>
                <w:lang w:val="en-US"/>
              </w:rPr>
              <w:t>r. 1 and 2: 16 Jul 2010 (see r. 2(a));</w:t>
            </w:r>
            <w:r>
              <w:rPr>
                <w:snapToGrid w:val="0"/>
                <w:sz w:val="19"/>
                <w:lang w:val="en-US"/>
              </w:rPr>
              <w:br/>
              <w:t>Regulations other than r. 1 and 2: 17 Jul 2010 (see r. 2(b)(ii))</w:t>
            </w:r>
          </w:p>
        </w:tc>
      </w:tr>
      <w:tr w:rsidR="00364F47" w:rsidTr="00024756">
        <w:trPr>
          <w:cantSplit/>
        </w:trPr>
        <w:tc>
          <w:tcPr>
            <w:tcW w:w="7087" w:type="dxa"/>
            <w:gridSpan w:val="3"/>
          </w:tcPr>
          <w:p w:rsidR="00364F47" w:rsidRDefault="00364F47">
            <w:pPr>
              <w:pStyle w:val="nTable"/>
              <w:spacing w:after="40"/>
              <w:rPr>
                <w:snapToGrid w:val="0"/>
                <w:sz w:val="19"/>
                <w:lang w:val="en-US"/>
              </w:rPr>
            </w:pPr>
            <w:r>
              <w:rPr>
                <w:b/>
                <w:bCs/>
                <w:sz w:val="19"/>
              </w:rPr>
              <w:t xml:space="preserve">Reprint 2: The </w:t>
            </w:r>
            <w:r>
              <w:rPr>
                <w:b/>
                <w:bCs/>
                <w:i/>
                <w:sz w:val="19"/>
              </w:rPr>
              <w:t>Petroleum</w:t>
            </w:r>
            <w:r>
              <w:rPr>
                <w:b/>
                <w:bCs/>
                <w:i/>
                <w:iCs/>
                <w:sz w:val="19"/>
              </w:rPr>
              <w:t xml:space="preserve"> and Geothermal Energy Resources</w:t>
            </w:r>
            <w:r>
              <w:rPr>
                <w:b/>
                <w:bCs/>
                <w:i/>
                <w:sz w:val="19"/>
              </w:rPr>
              <w:t xml:space="preserve"> (Registration Fees) Regulations 1990</w:t>
            </w:r>
            <w:r>
              <w:rPr>
                <w:b/>
                <w:bCs/>
                <w:iCs/>
                <w:sz w:val="19"/>
              </w:rPr>
              <w:t xml:space="preserve"> as at 6 Aug 2010</w:t>
            </w:r>
            <w:r>
              <w:rPr>
                <w:iCs/>
                <w:sz w:val="19"/>
              </w:rPr>
              <w:t xml:space="preserve"> (includes amendments listed above)</w:t>
            </w:r>
          </w:p>
        </w:tc>
      </w:tr>
      <w:tr w:rsidR="00024756" w:rsidTr="00024756">
        <w:tc>
          <w:tcPr>
            <w:tcW w:w="3118" w:type="dxa"/>
            <w:tcBorders>
              <w:bottom w:val="single" w:sz="4" w:space="0" w:color="auto"/>
            </w:tcBorders>
          </w:tcPr>
          <w:p w:rsidR="00024756" w:rsidRDefault="00024756" w:rsidP="00364F47"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Petroleum and Geothermal Energy Resources (Registration Fees) Amendment Regulations 2011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024756" w:rsidRDefault="00024756" w:rsidP="00364F47">
            <w:pPr>
              <w:pStyle w:val="nTable"/>
              <w:spacing w:after="40"/>
              <w:rPr>
                <w:sz w:val="19"/>
              </w:rPr>
            </w:pPr>
            <w:r w:rsidRPr="00024756">
              <w:rPr>
                <w:sz w:val="19"/>
              </w:rPr>
              <w:t>1 Jul 2011 p. 27</w:t>
            </w:r>
            <w:r>
              <w:rPr>
                <w:sz w:val="19"/>
              </w:rPr>
              <w:t>41</w:t>
            </w:r>
            <w:r>
              <w:rPr>
                <w:sz w:val="19"/>
              </w:rPr>
              <w:noBreakHyphen/>
              <w:t>2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024756" w:rsidRDefault="00024756" w:rsidP="00364F47">
            <w:pPr>
              <w:pStyle w:val="nTable"/>
              <w:spacing w:after="40"/>
              <w:rPr>
                <w:snapToGrid w:val="0"/>
                <w:sz w:val="19"/>
                <w:lang w:val="en-US"/>
              </w:rPr>
            </w:pPr>
            <w:r w:rsidRPr="00024756">
              <w:rPr>
                <w:snapToGrid w:val="0"/>
                <w:spacing w:val="-2"/>
                <w:sz w:val="19"/>
                <w:lang w:val="en-US"/>
              </w:rPr>
              <w:t>r. 1 and 2: 1 Jul 2011 (see r. 2(a));</w:t>
            </w:r>
            <w:r w:rsidRPr="00024756">
              <w:rPr>
                <w:snapToGrid w:val="0"/>
                <w:spacing w:val="-2"/>
                <w:sz w:val="19"/>
                <w:lang w:val="en-US"/>
              </w:rPr>
              <w:br/>
              <w:t>Regulations other than r. 1 and 2: 1 Jul 2011 (see r. 2(b))</w:t>
            </w:r>
          </w:p>
        </w:tc>
      </w:tr>
    </w:tbl>
    <w:p w:rsidR="00364F47" w:rsidRDefault="00364F47">
      <w:pPr>
        <w:pStyle w:val="nSubsection"/>
      </w:pPr>
      <w:r>
        <w:rPr>
          <w:vertAlign w:val="superscript"/>
        </w:rPr>
        <w:t>2</w:t>
      </w:r>
      <w:r>
        <w:tab/>
        <w:t xml:space="preserve">Now known as the </w:t>
      </w:r>
      <w:r>
        <w:rPr>
          <w:i/>
          <w:iCs/>
        </w:rPr>
        <w:t>Petroleum and Geothermal Energy Resources (Registration Fees) Regulations 1990</w:t>
      </w:r>
      <w:r>
        <w:t>; citation changed (see note under r. 1).</w:t>
      </w:r>
    </w:p>
    <w:p w:rsidR="00364F47" w:rsidRDefault="00364F47"/>
    <w:p w:rsidR="00364F47" w:rsidRDefault="00364F47"/>
    <w:p w:rsidR="00364F47" w:rsidRDefault="00364F47">
      <w:pPr>
        <w:sectPr w:rsidR="00364F47">
          <w:headerReference w:type="even" r:id="rId26"/>
          <w:headerReference w:type="default" r:id="rId27"/>
          <w:headerReference w:type="first" r:id="rId28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 w:rsidR="00364F47" w:rsidRDefault="00364F47"/>
    <w:sectPr w:rsidR="00364F47">
      <w:headerReference w:type="even" r:id="rId29"/>
      <w:headerReference w:type="default" r:id="rId30"/>
      <w:type w:val="continuous"/>
      <w:pgSz w:w="11906" w:h="16838" w:code="9"/>
      <w:pgMar w:top="2381" w:right="2410" w:bottom="2977" w:left="2410" w:header="720" w:footer="3380" w:gutter="0"/>
      <w:paperSrc w:first="15" w:other="15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67AD" w:rsidRDefault="00B767AD">
      <w:r>
        <w:separator/>
      </w:r>
    </w:p>
  </w:endnote>
  <w:endnote w:type="continuationSeparator" w:id="0">
    <w:p w:rsidR="00B767AD" w:rsidRDefault="00B767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67AD" w:rsidRDefault="00B767AD">
    <w:pPr>
      <w:pStyle w:val="Footer"/>
      <w:tabs>
        <w:tab w:val="clear" w:pos="4153"/>
        <w:tab w:val="right" w:pos="7088"/>
      </w:tabs>
      <w:rPr>
        <w:rStyle w:val="PageNumber"/>
      </w:rPr>
    </w:pPr>
  </w:p>
  <w:p w:rsidR="00B767AD" w:rsidRDefault="00B767AD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D20455">
      <w:rPr>
        <w:rFonts w:ascii="Arial" w:hAnsi="Arial" w:cs="Arial"/>
        <w:sz w:val="20"/>
        <w:lang w:val="en-US"/>
      </w:rPr>
      <w:t>02-b0-01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D20455">
      <w:rPr>
        <w:rFonts w:ascii="Arial" w:hAnsi="Arial" w:cs="Arial"/>
        <w:sz w:val="20"/>
        <w:lang w:val="en-US"/>
      </w:rPr>
      <w:t>01 Jul 2011</w:t>
    </w:r>
    <w:r>
      <w:rPr>
        <w:rFonts w:ascii="Arial" w:hAnsi="Arial" w:cs="Arial"/>
        <w:sz w:val="20"/>
        <w:lang w:val="en-US"/>
      </w:rPr>
      <w:fldChar w:fldCharType="end"/>
    </w:r>
  </w:p>
  <w:p w:rsidR="00B767AD" w:rsidRDefault="00B767AD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67AD" w:rsidRDefault="00B767AD">
    <w:pPr>
      <w:pStyle w:val="Footer"/>
      <w:tabs>
        <w:tab w:val="clear" w:pos="4153"/>
        <w:tab w:val="right" w:pos="7088"/>
      </w:tabs>
      <w:rPr>
        <w:rStyle w:val="PageNumber"/>
      </w:rPr>
    </w:pPr>
  </w:p>
  <w:p w:rsidR="00B767AD" w:rsidRDefault="00B767AD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D20455">
      <w:rPr>
        <w:rFonts w:ascii="Arial" w:hAnsi="Arial" w:cs="Arial"/>
        <w:sz w:val="20"/>
        <w:lang w:val="en-US"/>
      </w:rPr>
      <w:t>01 Jul 2011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D20455">
      <w:rPr>
        <w:rFonts w:ascii="Arial" w:hAnsi="Arial" w:cs="Arial"/>
        <w:sz w:val="20"/>
        <w:lang w:val="en-US"/>
      </w:rPr>
      <w:t>02-b0-01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B767AD" w:rsidRDefault="00B767AD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67AD" w:rsidRDefault="00B767AD">
    <w:pPr>
      <w:pStyle w:val="Footer"/>
      <w:tabs>
        <w:tab w:val="clear" w:pos="4153"/>
        <w:tab w:val="right" w:pos="7088"/>
      </w:tabs>
      <w:rPr>
        <w:rStyle w:val="PageNumber"/>
      </w:rPr>
    </w:pPr>
  </w:p>
  <w:p w:rsidR="00B767AD" w:rsidRDefault="00B767AD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D20455">
      <w:rPr>
        <w:rFonts w:ascii="Arial" w:hAnsi="Arial" w:cs="Arial"/>
        <w:sz w:val="20"/>
        <w:lang w:val="en-US"/>
      </w:rPr>
      <w:t>01 Jul 2011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D20455">
      <w:rPr>
        <w:rFonts w:ascii="Arial" w:hAnsi="Arial" w:cs="Arial"/>
        <w:sz w:val="20"/>
        <w:lang w:val="en-US"/>
      </w:rPr>
      <w:t>02-b0-01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B767AD" w:rsidRDefault="00B767AD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67AD" w:rsidRDefault="00B767AD">
    <w:pPr>
      <w:pStyle w:val="Footer"/>
      <w:tabs>
        <w:tab w:val="clear" w:pos="4153"/>
        <w:tab w:val="right" w:pos="7088"/>
      </w:tabs>
      <w:rPr>
        <w:rStyle w:val="PageNumber"/>
      </w:rPr>
    </w:pPr>
  </w:p>
  <w:p w:rsidR="00B767AD" w:rsidRDefault="00B767AD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091569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D20455">
      <w:rPr>
        <w:rFonts w:ascii="Arial" w:hAnsi="Arial" w:cs="Arial"/>
        <w:sz w:val="20"/>
        <w:lang w:val="en-US"/>
      </w:rPr>
      <w:t>02-b0-01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D20455">
      <w:rPr>
        <w:rFonts w:ascii="Arial" w:hAnsi="Arial" w:cs="Arial"/>
        <w:sz w:val="20"/>
        <w:lang w:val="en-US"/>
      </w:rPr>
      <w:t>01 Jul 2011</w:t>
    </w:r>
    <w:r>
      <w:rPr>
        <w:rFonts w:ascii="Arial" w:hAnsi="Arial" w:cs="Arial"/>
        <w:sz w:val="20"/>
        <w:lang w:val="en-US"/>
      </w:rPr>
      <w:fldChar w:fldCharType="end"/>
    </w:r>
  </w:p>
  <w:p w:rsidR="00B767AD" w:rsidRDefault="00B767AD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67AD" w:rsidRDefault="00B767AD">
    <w:pPr>
      <w:pStyle w:val="Footer"/>
      <w:tabs>
        <w:tab w:val="clear" w:pos="4153"/>
        <w:tab w:val="right" w:pos="7088"/>
      </w:tabs>
      <w:rPr>
        <w:rStyle w:val="PageNumber"/>
      </w:rPr>
    </w:pPr>
  </w:p>
  <w:p w:rsidR="00B767AD" w:rsidRDefault="00B767AD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D20455">
      <w:rPr>
        <w:rFonts w:ascii="Arial" w:hAnsi="Arial" w:cs="Arial"/>
        <w:sz w:val="20"/>
        <w:lang w:val="en-US"/>
      </w:rPr>
      <w:t>01 Jul 2011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D20455">
      <w:rPr>
        <w:rFonts w:ascii="Arial" w:hAnsi="Arial" w:cs="Arial"/>
        <w:sz w:val="20"/>
        <w:lang w:val="en-US"/>
      </w:rPr>
      <w:t>02-b0-01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091569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B767AD" w:rsidRDefault="00B767AD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67AD" w:rsidRDefault="00B767AD">
    <w:pPr>
      <w:pStyle w:val="Footer"/>
      <w:tabs>
        <w:tab w:val="clear" w:pos="4153"/>
        <w:tab w:val="right" w:pos="7088"/>
      </w:tabs>
      <w:rPr>
        <w:rStyle w:val="PageNumber"/>
      </w:rPr>
    </w:pPr>
  </w:p>
  <w:p w:rsidR="00B767AD" w:rsidRDefault="00B767AD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D20455">
      <w:rPr>
        <w:rFonts w:ascii="Arial" w:hAnsi="Arial" w:cs="Arial"/>
        <w:sz w:val="20"/>
        <w:lang w:val="en-US"/>
      </w:rPr>
      <w:t>01 Jul 2011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D20455">
      <w:rPr>
        <w:rFonts w:ascii="Arial" w:hAnsi="Arial" w:cs="Arial"/>
        <w:sz w:val="20"/>
        <w:lang w:val="en-US"/>
      </w:rPr>
      <w:t>02-b0-01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D20455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B767AD" w:rsidRDefault="00B767AD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67AD" w:rsidRDefault="00B767AD">
    <w:pPr>
      <w:pStyle w:val="Footer"/>
      <w:tabs>
        <w:tab w:val="clear" w:pos="4153"/>
        <w:tab w:val="right" w:pos="7088"/>
      </w:tabs>
      <w:rPr>
        <w:rStyle w:val="PageNumber"/>
      </w:rPr>
    </w:pPr>
  </w:p>
  <w:p w:rsidR="00B767AD" w:rsidRDefault="00B767AD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D20455">
      <w:rPr>
        <w:rStyle w:val="CharPageNo"/>
        <w:rFonts w:ascii="Arial" w:hAnsi="Arial"/>
        <w:noProof/>
      </w:rPr>
      <w:t>2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D20455">
      <w:rPr>
        <w:rFonts w:ascii="Arial" w:hAnsi="Arial" w:cs="Arial"/>
        <w:sz w:val="20"/>
        <w:lang w:val="en-US"/>
      </w:rPr>
      <w:t>02-b0-01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D20455">
      <w:rPr>
        <w:rFonts w:ascii="Arial" w:hAnsi="Arial" w:cs="Arial"/>
        <w:sz w:val="20"/>
        <w:lang w:val="en-US"/>
      </w:rPr>
      <w:t>01 Jul 2011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 w:rsidR="00B767AD" w:rsidRDefault="00B767AD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67AD" w:rsidRDefault="00B767AD">
    <w:pPr>
      <w:pStyle w:val="Footer"/>
      <w:tabs>
        <w:tab w:val="clear" w:pos="4153"/>
        <w:tab w:val="right" w:pos="7088"/>
      </w:tabs>
      <w:rPr>
        <w:rStyle w:val="PageNumber"/>
      </w:rPr>
    </w:pPr>
  </w:p>
  <w:p w:rsidR="00B767AD" w:rsidRDefault="00B767AD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D20455">
      <w:rPr>
        <w:rFonts w:ascii="Arial" w:hAnsi="Arial" w:cs="Arial"/>
        <w:sz w:val="20"/>
        <w:lang w:val="en-US"/>
      </w:rPr>
      <w:t>01 Jul 2011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D20455">
      <w:rPr>
        <w:rFonts w:ascii="Arial" w:hAnsi="Arial" w:cs="Arial"/>
        <w:sz w:val="20"/>
        <w:lang w:val="en-US"/>
      </w:rPr>
      <w:t>02-b0-01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D20455">
      <w:rPr>
        <w:rStyle w:val="CharPageNo"/>
        <w:rFonts w:ascii="Arial" w:hAnsi="Arial"/>
        <w:noProof/>
      </w:rPr>
      <w:t>3</w:t>
    </w:r>
    <w:r>
      <w:rPr>
        <w:rStyle w:val="CharPageNo"/>
        <w:rFonts w:ascii="Arial" w:hAnsi="Arial"/>
      </w:rPr>
      <w:fldChar w:fldCharType="end"/>
    </w:r>
  </w:p>
  <w:p w:rsidR="00B767AD" w:rsidRDefault="00B767AD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67AD" w:rsidRDefault="00B767AD">
    <w:pPr>
      <w:pStyle w:val="Footer"/>
      <w:tabs>
        <w:tab w:val="clear" w:pos="4153"/>
        <w:tab w:val="right" w:pos="7088"/>
      </w:tabs>
      <w:rPr>
        <w:rStyle w:val="PageNumber"/>
      </w:rPr>
    </w:pPr>
  </w:p>
  <w:p w:rsidR="00B767AD" w:rsidRDefault="00B767AD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D20455">
      <w:rPr>
        <w:rFonts w:ascii="Arial" w:hAnsi="Arial" w:cs="Arial"/>
        <w:sz w:val="20"/>
        <w:lang w:val="en-US"/>
      </w:rPr>
      <w:t>01 Jul 2011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D20455">
      <w:rPr>
        <w:rFonts w:ascii="Arial" w:hAnsi="Arial" w:cs="Arial"/>
        <w:sz w:val="20"/>
        <w:lang w:val="en-US"/>
      </w:rPr>
      <w:t>02-b0-01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D20455"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 w:rsidR="00B767AD" w:rsidRDefault="00B767AD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67AD" w:rsidRDefault="00B767AD">
      <w:r>
        <w:separator/>
      </w:r>
    </w:p>
  </w:footnote>
  <w:footnote w:type="continuationSeparator" w:id="0">
    <w:p w:rsidR="00B767AD" w:rsidRDefault="00B767A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1569" w:rsidRDefault="00091569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1569" w:rsidRDefault="00091569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1569" w:rsidRDefault="00091569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B767AD">
      <w:trPr>
        <w:cantSplit/>
      </w:trPr>
      <w:tc>
        <w:tcPr>
          <w:tcW w:w="7258" w:type="dxa"/>
          <w:gridSpan w:val="2"/>
        </w:tcPr>
        <w:p w:rsidR="00B767AD" w:rsidRDefault="00B767AD">
          <w:pPr>
            <w:pStyle w:val="HeaderActNameLeft"/>
          </w:pPr>
          <w:fldSimple w:instr=" Styleref &quot;Name of Act/Reg&quot; ">
            <w:r w:rsidR="00D20455">
              <w:rPr>
                <w:noProof/>
              </w:rPr>
              <w:t>Petroleum and Geothermal Energy Resources (Registration Fees) Regulations 1990</w:t>
            </w:r>
          </w:fldSimple>
        </w:p>
      </w:tc>
    </w:tr>
    <w:tr w:rsidR="00B767AD">
      <w:tc>
        <w:tcPr>
          <w:tcW w:w="1548" w:type="dxa"/>
        </w:tcPr>
        <w:p w:rsidR="00B767AD" w:rsidRDefault="00B767AD">
          <w:pPr>
            <w:pStyle w:val="HeaderNumberLeft"/>
          </w:pPr>
        </w:p>
      </w:tc>
      <w:tc>
        <w:tcPr>
          <w:tcW w:w="5715" w:type="dxa"/>
        </w:tcPr>
        <w:p w:rsidR="00B767AD" w:rsidRDefault="00B767AD">
          <w:pPr>
            <w:pStyle w:val="HeaderTextLeft"/>
          </w:pPr>
        </w:p>
      </w:tc>
    </w:tr>
    <w:tr w:rsidR="00B767AD">
      <w:tc>
        <w:tcPr>
          <w:tcW w:w="1548" w:type="dxa"/>
        </w:tcPr>
        <w:p w:rsidR="00B767AD" w:rsidRDefault="00B767AD">
          <w:pPr>
            <w:pStyle w:val="HeaderNumberLeft"/>
          </w:pPr>
        </w:p>
      </w:tc>
      <w:tc>
        <w:tcPr>
          <w:tcW w:w="5715" w:type="dxa"/>
        </w:tcPr>
        <w:p w:rsidR="00B767AD" w:rsidRDefault="00B767AD">
          <w:pPr>
            <w:pStyle w:val="HeaderTextLeft"/>
          </w:pPr>
        </w:p>
      </w:tc>
    </w:tr>
    <w:tr w:rsidR="00B767AD">
      <w:trPr>
        <w:cantSplit/>
      </w:trPr>
      <w:tc>
        <w:tcPr>
          <w:tcW w:w="7258" w:type="dxa"/>
          <w:gridSpan w:val="2"/>
        </w:tcPr>
        <w:p w:rsidR="00B767AD" w:rsidRDefault="00B767AD">
          <w:pPr>
            <w:pStyle w:val="HeaderSectionLeft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B767AD" w:rsidRDefault="00B767AD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B767AD">
      <w:trPr>
        <w:cantSplit/>
      </w:trPr>
      <w:tc>
        <w:tcPr>
          <w:tcW w:w="7258" w:type="dxa"/>
          <w:gridSpan w:val="2"/>
        </w:tcPr>
        <w:p w:rsidR="00B767AD" w:rsidRDefault="00B767AD">
          <w:pPr>
            <w:pStyle w:val="HeaderActNameRight"/>
            <w:ind w:right="17"/>
          </w:pPr>
          <w:fldSimple w:instr=" Styleref &quot;Name of Act/Reg&quot; ">
            <w:r w:rsidR="00D20455">
              <w:rPr>
                <w:noProof/>
              </w:rPr>
              <w:t>Petroleum and Geothermal Energy Resources (Registration Fees) Regulations 1990</w:t>
            </w:r>
          </w:fldSimple>
        </w:p>
      </w:tc>
    </w:tr>
    <w:tr w:rsidR="00B767AD">
      <w:tc>
        <w:tcPr>
          <w:tcW w:w="5715" w:type="dxa"/>
        </w:tcPr>
        <w:p w:rsidR="00B767AD" w:rsidRDefault="00B767AD">
          <w:pPr>
            <w:pStyle w:val="HeaderTextRight"/>
          </w:pPr>
        </w:p>
      </w:tc>
      <w:tc>
        <w:tcPr>
          <w:tcW w:w="1548" w:type="dxa"/>
        </w:tcPr>
        <w:p w:rsidR="00B767AD" w:rsidRDefault="00B767AD">
          <w:pPr>
            <w:pStyle w:val="HeaderNumberRight"/>
            <w:ind w:right="17"/>
          </w:pPr>
        </w:p>
      </w:tc>
    </w:tr>
    <w:tr w:rsidR="00B767AD">
      <w:tc>
        <w:tcPr>
          <w:tcW w:w="5715" w:type="dxa"/>
        </w:tcPr>
        <w:p w:rsidR="00B767AD" w:rsidRDefault="00B767AD">
          <w:pPr>
            <w:pStyle w:val="HeaderTextRight"/>
          </w:pPr>
        </w:p>
      </w:tc>
      <w:tc>
        <w:tcPr>
          <w:tcW w:w="1548" w:type="dxa"/>
        </w:tcPr>
        <w:p w:rsidR="00B767AD" w:rsidRDefault="00B767AD">
          <w:pPr>
            <w:pStyle w:val="HeaderNumberRight"/>
            <w:ind w:right="17"/>
          </w:pPr>
        </w:p>
      </w:tc>
    </w:tr>
    <w:tr w:rsidR="00B767AD">
      <w:trPr>
        <w:cantSplit/>
      </w:trPr>
      <w:tc>
        <w:tcPr>
          <w:tcW w:w="7258" w:type="dxa"/>
          <w:gridSpan w:val="2"/>
        </w:tcPr>
        <w:p w:rsidR="00B767AD" w:rsidRDefault="00B767AD">
          <w:pPr>
            <w:pStyle w:val="HeaderSectionRight"/>
            <w:ind w:right="17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B767AD" w:rsidRDefault="00B767AD"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B767AD">
      <w:trPr>
        <w:cantSplit/>
      </w:trPr>
      <w:tc>
        <w:tcPr>
          <w:tcW w:w="7258" w:type="dxa"/>
          <w:gridSpan w:val="2"/>
        </w:tcPr>
        <w:p w:rsidR="00B767AD" w:rsidRDefault="00B767AD">
          <w:pPr>
            <w:pStyle w:val="HeaderActNameLeft"/>
          </w:pPr>
          <w:fldSimple w:instr=" Styleref &quot;Name of Act/Reg&quot; ">
            <w:r w:rsidR="00D20455">
              <w:rPr>
                <w:noProof/>
              </w:rPr>
              <w:t>Petroleum and Geothermal Energy Resources (Registration Fees) Regulations 1990</w:t>
            </w:r>
          </w:fldSimple>
        </w:p>
      </w:tc>
    </w:tr>
    <w:tr w:rsidR="00B767AD">
      <w:tc>
        <w:tcPr>
          <w:tcW w:w="1548" w:type="dxa"/>
        </w:tcPr>
        <w:p w:rsidR="00B767AD" w:rsidRDefault="00B767AD"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</w:tcPr>
        <w:p w:rsidR="00B767AD" w:rsidRDefault="00B767AD"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B767AD">
      <w:tc>
        <w:tcPr>
          <w:tcW w:w="1548" w:type="dxa"/>
        </w:tcPr>
        <w:p w:rsidR="00B767AD" w:rsidRDefault="00B767AD"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 w:rsidR="00B767AD" w:rsidRDefault="00B767AD"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B767AD">
      <w:trPr>
        <w:cantSplit/>
      </w:trPr>
      <w:tc>
        <w:tcPr>
          <w:tcW w:w="7258" w:type="dxa"/>
          <w:gridSpan w:val="2"/>
        </w:tcPr>
        <w:p w:rsidR="00B767AD" w:rsidRDefault="00B767AD">
          <w:pPr>
            <w:pStyle w:val="HeaderSectionLeft"/>
          </w:pPr>
          <w:r>
            <w:t xml:space="preserve">r. </w:t>
          </w:r>
          <w:fldSimple w:instr=" styleref CharSectno ">
            <w:r w:rsidR="00D20455">
              <w:rPr>
                <w:noProof/>
              </w:rPr>
              <w:t>1</w:t>
            </w:r>
          </w:fldSimple>
        </w:p>
      </w:tc>
    </w:tr>
  </w:tbl>
  <w:p w:rsidR="00B767AD" w:rsidRDefault="00B767AD">
    <w:pPr>
      <w:pStyle w:val="Header"/>
      <w:pBdr>
        <w:top w:val="single" w:sz="4" w:space="1" w:color="auto"/>
      </w:pBd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 w:rsidR="00B767AD">
      <w:trPr>
        <w:cantSplit/>
      </w:trPr>
      <w:tc>
        <w:tcPr>
          <w:tcW w:w="7312" w:type="dxa"/>
          <w:gridSpan w:val="2"/>
        </w:tcPr>
        <w:p w:rsidR="00B767AD" w:rsidRDefault="00B767AD">
          <w:pPr>
            <w:pStyle w:val="HeaderActNameRight"/>
          </w:pPr>
          <w:fldSimple w:instr=" Styleref &quot;Name of Act/Reg&quot; ">
            <w:r w:rsidR="00D20455">
              <w:rPr>
                <w:noProof/>
              </w:rPr>
              <w:t>Petroleum and Geothermal Energy Resources (Registration Fees) Regulations 1990</w:t>
            </w:r>
          </w:fldSimple>
        </w:p>
      </w:tc>
    </w:tr>
    <w:tr w:rsidR="00B767AD">
      <w:tc>
        <w:tcPr>
          <w:tcW w:w="5985" w:type="dxa"/>
        </w:tcPr>
        <w:p w:rsidR="00B767AD" w:rsidRDefault="00B767AD"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 w:rsidR="00B767AD" w:rsidRDefault="00B767AD">
          <w:pPr>
            <w:pStyle w:val="HeaderNumberRigh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 w:rsidR="00B767AD">
      <w:tc>
        <w:tcPr>
          <w:tcW w:w="5985" w:type="dxa"/>
        </w:tcPr>
        <w:p w:rsidR="00B767AD" w:rsidRDefault="00B767AD"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 w:rsidR="00B767AD" w:rsidRDefault="00B767AD">
          <w:pPr>
            <w:pStyle w:val="HeaderNumberRigh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 w:rsidR="00B767AD">
      <w:trPr>
        <w:cantSplit/>
      </w:trPr>
      <w:tc>
        <w:tcPr>
          <w:tcW w:w="7312" w:type="dxa"/>
          <w:gridSpan w:val="2"/>
        </w:tcPr>
        <w:p w:rsidR="00B767AD" w:rsidRDefault="00B767AD">
          <w:pPr>
            <w:pStyle w:val="HeaderSectionRight"/>
          </w:pPr>
          <w:r>
            <w:t xml:space="preserve">s. </w:t>
          </w:r>
          <w:fldSimple w:instr=" styleref CharSectno ">
            <w:r w:rsidR="00D20455">
              <w:rPr>
                <w:noProof/>
              </w:rPr>
              <w:t>1</w:t>
            </w:r>
          </w:fldSimple>
        </w:p>
      </w:tc>
    </w:tr>
  </w:tbl>
  <w:p w:rsidR="00B767AD" w:rsidRDefault="00B767AD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67AD" w:rsidRDefault="00B767AD">
    <w:pPr>
      <w:pStyle w:val="Header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 w:rsidR="00B767AD">
      <w:trPr>
        <w:cantSplit/>
      </w:trPr>
      <w:tc>
        <w:tcPr>
          <w:tcW w:w="7312" w:type="dxa"/>
          <w:gridSpan w:val="2"/>
        </w:tcPr>
        <w:p w:rsidR="00B767AD" w:rsidRDefault="00B767AD">
          <w:pPr>
            <w:pStyle w:val="HeaderActNameLeft"/>
          </w:pPr>
          <w:fldSimple w:instr=" Styleref &quot;Name of Act/Reg&quot; ">
            <w:r w:rsidR="00D20455">
              <w:rPr>
                <w:noProof/>
              </w:rPr>
              <w:t>Petroleum and Geothermal Energy Resources (Registration Fees) Regulations 1990</w:t>
            </w:r>
          </w:fldSimple>
        </w:p>
      </w:tc>
    </w:tr>
    <w:tr w:rsidR="00B767AD">
      <w:tc>
        <w:tcPr>
          <w:tcW w:w="1548" w:type="dxa"/>
        </w:tcPr>
        <w:p w:rsidR="00B767AD" w:rsidRDefault="00B767AD">
          <w:pPr>
            <w:pStyle w:val="HeaderNumberLeft"/>
          </w:pPr>
        </w:p>
      </w:tc>
      <w:tc>
        <w:tcPr>
          <w:tcW w:w="5764" w:type="dxa"/>
        </w:tcPr>
        <w:p w:rsidR="00B767AD" w:rsidRDefault="00B767AD">
          <w:pPr>
            <w:pStyle w:val="HeaderTextLeft"/>
          </w:pPr>
        </w:p>
      </w:tc>
    </w:tr>
    <w:tr w:rsidR="00B767AD">
      <w:tc>
        <w:tcPr>
          <w:tcW w:w="1548" w:type="dxa"/>
        </w:tcPr>
        <w:p w:rsidR="00B767AD" w:rsidRDefault="00B767AD">
          <w:pPr>
            <w:pStyle w:val="HeaderNumberLeft"/>
          </w:pPr>
        </w:p>
      </w:tc>
      <w:tc>
        <w:tcPr>
          <w:tcW w:w="5764" w:type="dxa"/>
        </w:tcPr>
        <w:p w:rsidR="00B767AD" w:rsidRDefault="00B767AD">
          <w:pPr>
            <w:pStyle w:val="HeaderTextLeft"/>
          </w:pPr>
        </w:p>
      </w:tc>
    </w:tr>
    <w:tr w:rsidR="00B767AD">
      <w:trPr>
        <w:cantSplit/>
      </w:trPr>
      <w:tc>
        <w:tcPr>
          <w:tcW w:w="7312" w:type="dxa"/>
          <w:gridSpan w:val="2"/>
        </w:tcPr>
        <w:p w:rsidR="00B767AD" w:rsidRDefault="00B767AD">
          <w:pPr>
            <w:pStyle w:val="HeaderSectionLeft"/>
          </w:pPr>
        </w:p>
      </w:tc>
    </w:tr>
  </w:tbl>
  <w:p w:rsidR="00B767AD" w:rsidRDefault="00B767AD"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B767AD">
      <w:trPr>
        <w:cantSplit/>
      </w:trPr>
      <w:tc>
        <w:tcPr>
          <w:tcW w:w="7258" w:type="dxa"/>
          <w:gridSpan w:val="2"/>
        </w:tcPr>
        <w:p w:rsidR="00B767AD" w:rsidRDefault="00B767AD">
          <w:pPr>
            <w:pStyle w:val="HeaderActNameRight"/>
            <w:ind w:right="17"/>
          </w:pPr>
          <w:fldSimple w:instr=" Styleref &quot;Name of Act/Reg&quot; ">
            <w:r w:rsidR="00D20455">
              <w:rPr>
                <w:noProof/>
              </w:rPr>
              <w:t>Petroleum and Geothermal Energy Resources (Registration Fees) Regulations 1990</w:t>
            </w:r>
          </w:fldSimple>
        </w:p>
      </w:tc>
    </w:tr>
    <w:tr w:rsidR="00B767AD">
      <w:tc>
        <w:tcPr>
          <w:tcW w:w="5715" w:type="dxa"/>
        </w:tcPr>
        <w:p w:rsidR="00B767AD" w:rsidRDefault="00B767AD">
          <w:pPr>
            <w:pStyle w:val="HeaderTextRight"/>
          </w:pPr>
        </w:p>
      </w:tc>
      <w:tc>
        <w:tcPr>
          <w:tcW w:w="1548" w:type="dxa"/>
        </w:tcPr>
        <w:p w:rsidR="00B767AD" w:rsidRDefault="00B767AD">
          <w:pPr>
            <w:pStyle w:val="HeaderNumberRight"/>
            <w:ind w:right="17"/>
          </w:pPr>
        </w:p>
      </w:tc>
    </w:tr>
    <w:tr w:rsidR="00B767AD">
      <w:tc>
        <w:tcPr>
          <w:tcW w:w="5715" w:type="dxa"/>
        </w:tcPr>
        <w:p w:rsidR="00B767AD" w:rsidRDefault="00B767AD">
          <w:pPr>
            <w:pStyle w:val="HeaderTextRight"/>
          </w:pPr>
        </w:p>
      </w:tc>
      <w:tc>
        <w:tcPr>
          <w:tcW w:w="1548" w:type="dxa"/>
        </w:tcPr>
        <w:p w:rsidR="00B767AD" w:rsidRDefault="00B767AD">
          <w:pPr>
            <w:pStyle w:val="HeaderNumberRight"/>
            <w:ind w:right="17"/>
          </w:pPr>
        </w:p>
      </w:tc>
    </w:tr>
    <w:tr w:rsidR="00B767AD">
      <w:trPr>
        <w:cantSplit/>
      </w:trPr>
      <w:tc>
        <w:tcPr>
          <w:tcW w:w="7258" w:type="dxa"/>
          <w:gridSpan w:val="2"/>
        </w:tcPr>
        <w:p w:rsidR="00B767AD" w:rsidRDefault="00B767AD">
          <w:pPr>
            <w:pStyle w:val="HeaderSectionRight"/>
            <w:ind w:right="17"/>
          </w:pPr>
        </w:p>
      </w:tc>
    </w:tr>
  </w:tbl>
  <w:p w:rsidR="00B767AD" w:rsidRDefault="00B767AD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67AD" w:rsidRDefault="00B767AD">
    <w:pPr>
      <w:pStyle w:val="Header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67AD" w:rsidRDefault="00B767AD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D20455">
      <w:rPr>
        <w:i/>
        <w:noProof/>
      </w:rPr>
      <w:t>Petroleum and Geothermal Energy Resources (Registration Fees) Regulations 1990</w:t>
    </w:r>
    <w:r>
      <w:rPr>
        <w:i/>
      </w:rPr>
      <w:fldChar w:fldCharType="end"/>
    </w:r>
  </w:p>
  <w:p w:rsidR="00B767AD" w:rsidRDefault="00B767AD">
    <w:pPr>
      <w:pStyle w:val="headerpartodd"/>
      <w:ind w:left="0" w:firstLine="0"/>
      <w:rPr>
        <w:b w:val="0"/>
        <w:i/>
      </w:rPr>
    </w:pPr>
  </w:p>
  <w:p w:rsidR="00B767AD" w:rsidRDefault="00B767AD">
    <w:pPr>
      <w:pStyle w:val="headerpart"/>
    </w:pPr>
  </w:p>
  <w:p w:rsidR="00B767AD" w:rsidRDefault="00B767AD">
    <w:pPr>
      <w:pStyle w:val="headerpart"/>
    </w:pPr>
  </w:p>
  <w:p w:rsidR="00B767AD" w:rsidRDefault="00B767AD">
    <w:pPr>
      <w:pBdr>
        <w:bottom w:val="single" w:sz="6" w:space="1" w:color="auto"/>
      </w:pBdr>
      <w:rPr>
        <w:b/>
      </w:rPr>
    </w:pPr>
  </w:p>
  <w:p w:rsidR="00B767AD" w:rsidRDefault="00B767AD"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67AD" w:rsidRDefault="00B767AD">
    <w:pPr>
      <w:pStyle w:val="headerpartodd"/>
      <w:ind w:left="0" w:firstLine="0"/>
      <w:jc w:val="right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D20455">
      <w:rPr>
        <w:i/>
        <w:noProof/>
      </w:rPr>
      <w:t>Petroleum and Geothermal Energy Resources (Registration Fees) Regulations 1990</w:t>
    </w:r>
    <w:r>
      <w:rPr>
        <w:i/>
      </w:rPr>
      <w:fldChar w:fldCharType="end"/>
    </w:r>
  </w:p>
  <w:p w:rsidR="00B767AD" w:rsidRDefault="00B767AD">
    <w:pPr>
      <w:pStyle w:val="headerpartodd"/>
      <w:ind w:left="0" w:firstLine="0"/>
      <w:jc w:val="right"/>
      <w:rPr>
        <w:b w:val="0"/>
        <w:i/>
      </w:rPr>
    </w:pPr>
  </w:p>
  <w:p w:rsidR="00B767AD" w:rsidRDefault="00B767AD">
    <w:pPr>
      <w:pStyle w:val="headerpart"/>
      <w:jc w:val="right"/>
    </w:pPr>
  </w:p>
  <w:p w:rsidR="00B767AD" w:rsidRDefault="00B767AD">
    <w:pPr>
      <w:pStyle w:val="headerpart"/>
      <w:jc w:val="right"/>
    </w:pPr>
  </w:p>
  <w:p w:rsidR="00B767AD" w:rsidRDefault="00B767AD">
    <w:pPr>
      <w:pBdr>
        <w:bottom w:val="single" w:sz="6" w:space="1" w:color="auto"/>
      </w:pBdr>
      <w:jc w:val="right"/>
      <w:rPr>
        <w:b/>
      </w:rPr>
    </w:pPr>
  </w:p>
  <w:p w:rsidR="00B767AD" w:rsidRDefault="00B767A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81C85972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E9282A9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F0907954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AFB42788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BC814C4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81C5A52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781C4404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7A6F02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EF4AB09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6DA0FB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21C0EBC"/>
    <w:multiLevelType w:val="singleLevel"/>
    <w:tmpl w:val="1B68A73E"/>
    <w:lvl w:ilvl="0">
      <w:numFmt w:val="bullet"/>
      <w:lvlText w:val="•"/>
      <w:lvlJc w:val="left"/>
      <w:pPr>
        <w:tabs>
          <w:tab w:val="num" w:pos="360"/>
        </w:tabs>
        <w:ind w:left="284" w:hanging="284"/>
      </w:pPr>
      <w:rPr>
        <w:rFonts w:ascii="Times New Roman" w:hAnsi="Times New Roman" w:hint="default"/>
        <w:sz w:val="24"/>
      </w:rPr>
    </w:lvl>
  </w:abstractNum>
  <w:abstractNum w:abstractNumId="11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>
    <w:nsid w:val="05CF074B"/>
    <w:multiLevelType w:val="multilevel"/>
    <w:tmpl w:val="C374C9FA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066210FD"/>
    <w:multiLevelType w:val="multilevel"/>
    <w:tmpl w:val="B008D350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4">
    <w:nsid w:val="0F3C3412"/>
    <w:multiLevelType w:val="multilevel"/>
    <w:tmpl w:val="D062F99C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5">
    <w:nsid w:val="138B63E2"/>
    <w:multiLevelType w:val="multilevel"/>
    <w:tmpl w:val="0D0AADC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21A614E3"/>
    <w:multiLevelType w:val="multilevel"/>
    <w:tmpl w:val="2ABEFE78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7">
    <w:nsid w:val="22FF52EB"/>
    <w:multiLevelType w:val="multilevel"/>
    <w:tmpl w:val="2B98B8AE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1">
    <w:nsid w:val="3C2808C0"/>
    <w:multiLevelType w:val="singleLevel"/>
    <w:tmpl w:val="D918FD64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2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4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5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6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7">
    <w:nsid w:val="6FDE73CC"/>
    <w:multiLevelType w:val="multilevel"/>
    <w:tmpl w:val="E1B8D9A4"/>
    <w:name w:val="PenaltyNumbers"/>
    <w:lvl w:ilvl="0">
      <w:start w:val="1"/>
      <w:numFmt w:val="none"/>
      <w:lvlRestart w:val="0"/>
      <w:pStyle w:val="PenaltyNumbers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8">
    <w:nsid w:val="7A0F6C54"/>
    <w:multiLevelType w:val="multilevel"/>
    <w:tmpl w:val="A434F540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4"/>
  </w:num>
  <w:num w:numId="12">
    <w:abstractNumId w:val="15"/>
  </w:num>
  <w:num w:numId="13">
    <w:abstractNumId w:val="17"/>
  </w:num>
  <w:num w:numId="14">
    <w:abstractNumId w:val="27"/>
  </w:num>
  <w:num w:numId="15">
    <w:abstractNumId w:val="21"/>
  </w:num>
  <w:num w:numId="16">
    <w:abstractNumId w:val="17"/>
  </w:num>
  <w:num w:numId="17">
    <w:abstractNumId w:val="9"/>
  </w:num>
  <w:num w:numId="18">
    <w:abstractNumId w:val="7"/>
  </w:num>
  <w:num w:numId="19">
    <w:abstractNumId w:val="6"/>
  </w:num>
  <w:num w:numId="20">
    <w:abstractNumId w:val="5"/>
  </w:num>
  <w:num w:numId="21">
    <w:abstractNumId w:val="4"/>
  </w:num>
  <w:num w:numId="22">
    <w:abstractNumId w:val="8"/>
  </w:num>
  <w:num w:numId="23">
    <w:abstractNumId w:val="3"/>
  </w:num>
  <w:num w:numId="24">
    <w:abstractNumId w:val="2"/>
  </w:num>
  <w:num w:numId="25">
    <w:abstractNumId w:val="1"/>
  </w:num>
  <w:num w:numId="26">
    <w:abstractNumId w:val="0"/>
  </w:num>
  <w:num w:numId="27">
    <w:abstractNumId w:val="21"/>
  </w:num>
  <w:num w:numId="2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70"/>
  <w:bordersDoNotSurroundHeader/>
  <w:bordersDoNotSurroundFooter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4756"/>
    <w:rsid w:val="00024756"/>
    <w:rsid w:val="00091569"/>
    <w:rsid w:val="00364F47"/>
    <w:rsid w:val="007E16D3"/>
    <w:rsid w:val="008D6757"/>
    <w:rsid w:val="008E766F"/>
    <w:rsid w:val="00A43B96"/>
    <w:rsid w:val="00B767AD"/>
    <w:rsid w:val="00D20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ate"/>
  <w:smartTagType w:namespaceuri="urn:schemas-microsoft-com:office:smarttags" w:name="City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styleId="Header">
    <w:name w:val="header"/>
    <w:basedOn w:val="Normal"/>
    <w:next w:val="Heading5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character" w:styleId="PageNumber">
    <w:name w:val="page number"/>
    <w:basedOn w:val="DefaultParagraphFont"/>
    <w:rPr>
      <w:sz w:val="20"/>
    </w:rPr>
  </w:style>
  <w:style w:type="paragraph" w:customStyle="1" w:styleId="Page1">
    <w:name w:val="Page1"/>
    <w:basedOn w:val="Normal"/>
    <w:pPr>
      <w:spacing w:before="5103"/>
    </w:pPr>
    <w:rPr>
      <w:b/>
      <w:sz w:val="34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character" w:customStyle="1" w:styleId="EquationCaption">
    <w:name w:val="_Equation Caption"/>
    <w:rPr>
      <w:noProof w:val="0"/>
      <w:sz w:val="22"/>
      <w:lang w:val="en-AU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6"/>
      </w:numPr>
    </w:pPr>
  </w:style>
  <w:style w:type="paragraph" w:customStyle="1" w:styleId="PenaltyNumbers">
    <w:name w:val="PenaltyNumbers"/>
    <w:basedOn w:val="Normal"/>
    <w:pPr>
      <w:numPr>
        <w:numId w:val="14"/>
      </w:numPr>
      <w:spacing w:line="260" w:lineRule="atLeast"/>
    </w:pPr>
    <w:rPr>
      <w:rFonts w:ascii="NewCenturySchlbk" w:hAnsi="NewCenturySchlbk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PlainText">
    <w:name w:val="Plain Text"/>
    <w:basedOn w:val="Normal"/>
    <w:rPr>
      <w:rFonts w:ascii="Courier New" w:hAnsi="Courier New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17"/>
      </w:numPr>
    </w:pPr>
  </w:style>
  <w:style w:type="paragraph" w:styleId="ListBullet2">
    <w:name w:val="List Bullet 2"/>
    <w:basedOn w:val="Normal"/>
    <w:autoRedefine/>
    <w:pPr>
      <w:numPr>
        <w:numId w:val="18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19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20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21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22"/>
      </w:numPr>
    </w:pPr>
  </w:style>
  <w:style w:type="paragraph" w:styleId="ListNumber2">
    <w:name w:val="List Number 2"/>
    <w:basedOn w:val="Normal"/>
    <w:pPr>
      <w:numPr>
        <w:numId w:val="23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24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25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26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</w:style>
  <w:style w:type="paragraph" w:customStyle="1" w:styleId="Ednotedefitem">
    <w:name w:val="Ednote(defitem)"/>
    <w:basedOn w:val="Defitem"/>
  </w:style>
  <w:style w:type="paragraph" w:customStyle="1" w:styleId="Ednotedefsubpara">
    <w:name w:val="Ednote(defsubpara)"/>
    <w:basedOn w:val="Defsubpara"/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customStyle="1" w:styleId="zMiscInsertText">
    <w:name w:val="zMiscInsertText"/>
    <w:pPr>
      <w:pBdr>
        <w:left w:val="threeDEngrave" w:sz="24" w:space="4" w:color="auto"/>
        <w:right w:val="threeDEmboss" w:sz="24" w:space="4" w:color="auto"/>
      </w:pBdr>
      <w:shd w:val="pct12" w:color="808080" w:fill="auto"/>
    </w:pPr>
    <w:rPr>
      <w:noProof/>
      <w:sz w:val="22"/>
      <w:lang w:eastAsia="en-US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pBdr>
        <w:left w:val="threeDEngrave" w:sz="24" w:space="4" w:color="auto"/>
        <w:right w:val="threeDEmboss" w:sz="24" w:space="4" w:color="auto"/>
      </w:pBdr>
      <w:shd w:val="pct12" w:color="808080" w:fill="auto"/>
    </w:p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Text">
    <w:name w:val="zMiscellaneousText"/>
    <w:basedOn w:val="zSubsection"/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NotesPerm2">
    <w:name w:val="NotesPerm(2)"/>
    <w:basedOn w:val="NotesPerm"/>
    <w:pPr>
      <w:numPr>
        <w:numId w:val="27"/>
      </w:numPr>
      <w:tabs>
        <w:tab w:val="clear" w:pos="879"/>
      </w:tabs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  <w:lang w:eastAsia="en-US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styleId="Header">
    <w:name w:val="header"/>
    <w:basedOn w:val="Normal"/>
    <w:next w:val="Heading5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character" w:styleId="PageNumber">
    <w:name w:val="page number"/>
    <w:basedOn w:val="DefaultParagraphFont"/>
    <w:rPr>
      <w:sz w:val="20"/>
    </w:rPr>
  </w:style>
  <w:style w:type="paragraph" w:customStyle="1" w:styleId="Page1">
    <w:name w:val="Page1"/>
    <w:basedOn w:val="Normal"/>
    <w:pPr>
      <w:spacing w:before="5103"/>
    </w:pPr>
    <w:rPr>
      <w:b/>
      <w:sz w:val="34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character" w:customStyle="1" w:styleId="EquationCaption">
    <w:name w:val="_Equation Caption"/>
    <w:rPr>
      <w:noProof w:val="0"/>
      <w:sz w:val="22"/>
      <w:lang w:val="en-AU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6"/>
      </w:numPr>
    </w:pPr>
  </w:style>
  <w:style w:type="paragraph" w:customStyle="1" w:styleId="PenaltyNumbers">
    <w:name w:val="PenaltyNumbers"/>
    <w:basedOn w:val="Normal"/>
    <w:pPr>
      <w:numPr>
        <w:numId w:val="14"/>
      </w:numPr>
      <w:spacing w:line="260" w:lineRule="atLeast"/>
    </w:pPr>
    <w:rPr>
      <w:rFonts w:ascii="NewCenturySchlbk" w:hAnsi="NewCenturySchlbk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PlainText">
    <w:name w:val="Plain Text"/>
    <w:basedOn w:val="Normal"/>
    <w:rPr>
      <w:rFonts w:ascii="Courier New" w:hAnsi="Courier New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17"/>
      </w:numPr>
    </w:pPr>
  </w:style>
  <w:style w:type="paragraph" w:styleId="ListBullet2">
    <w:name w:val="List Bullet 2"/>
    <w:basedOn w:val="Normal"/>
    <w:autoRedefine/>
    <w:pPr>
      <w:numPr>
        <w:numId w:val="18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19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20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21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22"/>
      </w:numPr>
    </w:pPr>
  </w:style>
  <w:style w:type="paragraph" w:styleId="ListNumber2">
    <w:name w:val="List Number 2"/>
    <w:basedOn w:val="Normal"/>
    <w:pPr>
      <w:numPr>
        <w:numId w:val="23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24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25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26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</w:style>
  <w:style w:type="paragraph" w:customStyle="1" w:styleId="Ednotedefitem">
    <w:name w:val="Ednote(defitem)"/>
    <w:basedOn w:val="Defitem"/>
  </w:style>
  <w:style w:type="paragraph" w:customStyle="1" w:styleId="Ednotedefsubpara">
    <w:name w:val="Ednote(defsubpara)"/>
    <w:basedOn w:val="Defsubpara"/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customStyle="1" w:styleId="zMiscInsertText">
    <w:name w:val="zMiscInsertText"/>
    <w:pPr>
      <w:pBdr>
        <w:left w:val="threeDEngrave" w:sz="24" w:space="4" w:color="auto"/>
        <w:right w:val="threeDEmboss" w:sz="24" w:space="4" w:color="auto"/>
      </w:pBdr>
      <w:shd w:val="pct12" w:color="808080" w:fill="auto"/>
    </w:pPr>
    <w:rPr>
      <w:noProof/>
      <w:sz w:val="22"/>
      <w:lang w:eastAsia="en-US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pBdr>
        <w:left w:val="threeDEngrave" w:sz="24" w:space="4" w:color="auto"/>
        <w:right w:val="threeDEmboss" w:sz="24" w:space="4" w:color="auto"/>
      </w:pBdr>
      <w:shd w:val="pct12" w:color="808080" w:fill="auto"/>
    </w:p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Text">
    <w:name w:val="zMiscellaneousText"/>
    <w:basedOn w:val="zSubsection"/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NotesPerm2">
    <w:name w:val="NotesPerm(2)"/>
    <w:basedOn w:val="NotesPerm"/>
    <w:pPr>
      <w:numPr>
        <w:numId w:val="27"/>
      </w:numPr>
      <w:tabs>
        <w:tab w:val="clear" w:pos="879"/>
      </w:tabs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  <w:lang w:eastAsia="en-US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9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footer" Target="footer9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header" Target="header6.xml"/><Relationship Id="rId29" Type="http://schemas.openxmlformats.org/officeDocument/2006/relationships/header" Target="header12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8.xm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footer" Target="footer8.xml"/><Relationship Id="rId28" Type="http://schemas.openxmlformats.org/officeDocument/2006/relationships/header" Target="header11.xml"/><Relationship Id="rId10" Type="http://schemas.openxmlformats.org/officeDocument/2006/relationships/header" Target="header2.xml"/><Relationship Id="rId19" Type="http://schemas.openxmlformats.org/officeDocument/2006/relationships/footer" Target="footer6.xm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footer" Target="footer7.xml"/><Relationship Id="rId27" Type="http://schemas.openxmlformats.org/officeDocument/2006/relationships/header" Target="header10.xml"/><Relationship Id="rId30" Type="http://schemas.openxmlformats.org/officeDocument/2006/relationships/header" Target="header1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648</Words>
  <Characters>3282</Characters>
  <Application>Microsoft Office Word</Application>
  <DocSecurity>0</DocSecurity>
  <Lines>136</Lines>
  <Paragraphs>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Company>Ministry of Justice</Company>
  <LinksUpToDate>false</LinksUpToDate>
  <CharactersWithSpaces>3853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Petroleum and Geothermal Energy Resources (Registration Fees) Regulations 1990 - 02-b0-01</dc:title>
  <dc:subject/>
  <dc:creator>Brian Cunnane</dc:creator>
  <cp:keywords/>
  <cp:lastModifiedBy>svcMRProcess</cp:lastModifiedBy>
  <cp:revision>4</cp:revision>
  <cp:lastPrinted>2010-08-06T07:40:00Z</cp:lastPrinted>
  <dcterms:created xsi:type="dcterms:W3CDTF">2013-02-16T23:22:00Z</dcterms:created>
  <dcterms:modified xsi:type="dcterms:W3CDTF">2013-02-16T23:22:00Z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28 September 1990 p.5108</vt:lpwstr>
  </property>
  <property fmtid="{D5CDD505-2E9C-101B-9397-08002B2CF9AE}" pid="3" name="CommencementDate">
    <vt:lpwstr>20110701</vt:lpwstr>
  </property>
  <property fmtid="{D5CDD505-2E9C-101B-9397-08002B2CF9AE}" pid="4" name="DocumentType">
    <vt:lpwstr>Reg</vt:lpwstr>
  </property>
  <property fmtid="{D5CDD505-2E9C-101B-9397-08002B2CF9AE}" pid="5" name="OwlsUID">
    <vt:i4>4685</vt:i4>
  </property>
  <property fmtid="{D5CDD505-2E9C-101B-9397-08002B2CF9AE}" pid="6" name="AsAtDate">
    <vt:lpwstr>01 Jul 2011</vt:lpwstr>
  </property>
  <property fmtid="{D5CDD505-2E9C-101B-9397-08002B2CF9AE}" pid="7" name="Suffix">
    <vt:lpwstr>02-b0-01</vt:lpwstr>
  </property>
  <property fmtid="{D5CDD505-2E9C-101B-9397-08002B2CF9AE}" pid="8" name="ReprintedAsAt">
    <vt:filetime>2010-08-05T16:00:00Z</vt:filetime>
  </property>
  <property fmtid="{D5CDD505-2E9C-101B-9397-08002B2CF9AE}" pid="9" name="ReprintNo">
    <vt:lpwstr>2</vt:lpwstr>
  </property>
</Properties>
</file>