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</w:tabs>
        <w:spacing w:before="120" w:after="0"/>
        <w:outlineLvl w:val="0"/>
      </w:pPr>
      <w:bookmarkStart w:id="0" w:name="_GoBack"/>
      <w:bookmarkEnd w:id="0"/>
      <w:smartTag w:uri="urn:schemas-microsoft-com:office:smarttags" w:element="State">
        <w:smartTag w:uri="urn:schemas-microsoft-com:office:smarttags" w:element="place">
          <w:r>
            <w:t>Western Australia</w:t>
          </w:r>
        </w:smartTag>
      </w:smartTag>
    </w:p>
    <w:p>
      <w:pPr>
        <w:pStyle w:val="PrincipalActReg"/>
        <w:spacing w:before="2600" w:after="0"/>
      </w:pPr>
      <w:r>
        <w:rPr>
          <w:snapToGrid w:val="0"/>
        </w:rPr>
        <w:t>Land Valuers Licensing Act 1978</w:t>
      </w:r>
    </w:p>
    <w:p>
      <w:pPr>
        <w:pStyle w:val="NameofActRegPage1"/>
        <w:spacing w:before="1200" w:after="4200"/>
        <w:outlineLvl w:val="0"/>
        <w:rPr>
          <w:sz w:val="48"/>
        </w:rPr>
      </w:pPr>
      <w:r>
        <w:rPr>
          <w:sz w:val="48"/>
        </w:rPr>
        <w:fldChar w:fldCharType="begin"/>
      </w:r>
      <w:r>
        <w:rPr>
          <w:sz w:val="48"/>
        </w:rPr>
        <w:instrText xml:space="preserve"> STYLEREF "Name Of Act/Reg"</w:instrText>
      </w:r>
      <w:r>
        <w:rPr>
          <w:sz w:val="48"/>
        </w:rPr>
        <w:fldChar w:fldCharType="separate"/>
      </w:r>
      <w:r>
        <w:rPr>
          <w:noProof/>
          <w:sz w:val="48"/>
        </w:rPr>
        <w:t>Land Valuers Licensing Regulations 1979</w:t>
      </w:r>
      <w:r>
        <w:rPr>
          <w:sz w:val="48"/>
        </w:rPr>
        <w:fldChar w:fldCharType="end"/>
      </w:r>
    </w:p>
    <w:p>
      <w:pPr>
        <w:jc w:val="center"/>
        <w:rPr>
          <w:b/>
        </w:rPr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spacing w:before="120"/>
      </w:pPr>
      <w:smartTag w:uri="urn:schemas-microsoft-com:office:smarttags" w:element="State">
        <w:smartTag w:uri="urn:schemas-microsoft-com:office:smarttags" w:element="place">
          <w:r>
            <w:lastRenderedPageBreak/>
            <w:t>Western Australia</w:t>
          </w:r>
        </w:smartTag>
      </w:smartTag>
    </w:p>
    <w:p>
      <w:pPr>
        <w:pStyle w:val="NameofActRegPage1"/>
        <w:spacing w:after="56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Land Valuers Licensing Regulations 1979</w:t>
      </w:r>
      <w:r>
        <w:fldChar w:fldCharType="end"/>
      </w:r>
    </w:p>
    <w:p>
      <w:pPr>
        <w:pStyle w:val="Arrangement"/>
        <w:spacing w:after="400"/>
        <w:ind w:left="2302" w:right="2302"/>
      </w:pPr>
      <w:r>
        <w:t>CONTENTS</w:t>
      </w:r>
    </w:p>
    <w:p>
      <w:pPr>
        <w:pStyle w:val="TOC8"/>
        <w:rPr>
          <w:sz w:val="24"/>
          <w:szCs w:val="24"/>
          <w:lang w:val="en-US"/>
        </w:rPr>
      </w:pPr>
      <w:r>
        <w:fldChar w:fldCharType="begin"/>
      </w:r>
      <w:r>
        <w:instrText xml:space="preserve"> TOC \t "Heading 2,2,yScheduleHeading,2,yHeading 2,2,nHeading 2,2,zHeading 2,3,zyScheduleHeading,3,zyHeading 2,3,Heading 3,4,yHeading 3,4,zHeading 3,5,zyHeading 3,5,Heading 4,6,yHeading 4,6,zHeading 4,7,zyHeading 4,7,Heading 5,8,nHeading 3,8,yHeading 5,8,zHeading 5,9,zyHeading 5,9" \t "nHeading 2,2,nHeading 3,8" \n "2</w:instrText>
      </w:r>
      <w:r>
        <w:noBreakHyphen/>
        <w:instrText xml:space="preserve">7" \w \* MERGEFORMAT </w:instrText>
      </w:r>
      <w:r>
        <w:fldChar w:fldCharType="separate"/>
      </w:r>
      <w:r>
        <w:t>1</w:t>
      </w:r>
      <w:r>
        <w:rPr>
          <w:snapToGrid w:val="0"/>
        </w:rPr>
        <w:t xml:space="preserve">. </w:t>
      </w:r>
      <w:r>
        <w:rPr>
          <w:snapToGrid w:val="0"/>
        </w:rPr>
        <w:tab/>
        <w:t>Citation</w:t>
      </w:r>
      <w:r>
        <w:tab/>
      </w:r>
      <w:r>
        <w:fldChar w:fldCharType="begin"/>
      </w:r>
      <w:r>
        <w:instrText xml:space="preserve"> PAGEREF _Toc297277239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sz w:val="24"/>
          <w:szCs w:val="24"/>
          <w:lang w:val="en-US"/>
        </w:rPr>
      </w:pPr>
      <w:r>
        <w:t>2</w:t>
      </w:r>
      <w:r>
        <w:rPr>
          <w:snapToGrid w:val="0"/>
        </w:rPr>
        <w:t xml:space="preserve">. </w:t>
      </w:r>
      <w:r>
        <w:rPr>
          <w:snapToGrid w:val="0"/>
        </w:rPr>
        <w:tab/>
        <w:t>Terms used in these regulations</w:t>
      </w:r>
      <w:r>
        <w:tab/>
      </w:r>
      <w:r>
        <w:fldChar w:fldCharType="begin"/>
      </w:r>
      <w:r>
        <w:instrText xml:space="preserve"> PAGEREF _Toc297277240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sz w:val="24"/>
          <w:szCs w:val="24"/>
          <w:lang w:val="en-US"/>
        </w:rPr>
      </w:pPr>
      <w:r>
        <w:t>4</w:t>
      </w:r>
      <w:r>
        <w:rPr>
          <w:snapToGrid w:val="0"/>
        </w:rPr>
        <w:t xml:space="preserve">. </w:t>
      </w:r>
      <w:r>
        <w:rPr>
          <w:snapToGrid w:val="0"/>
        </w:rPr>
        <w:tab/>
        <w:t>Fees</w:t>
      </w:r>
      <w:r>
        <w:tab/>
      </w:r>
      <w:r>
        <w:fldChar w:fldCharType="begin"/>
      </w:r>
      <w:r>
        <w:instrText xml:space="preserve"> PAGEREF _Toc297277241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sz w:val="24"/>
          <w:szCs w:val="24"/>
          <w:lang w:val="en-US"/>
        </w:rPr>
      </w:pPr>
      <w:r>
        <w:t>4A</w:t>
      </w:r>
      <w:r>
        <w:rPr>
          <w:snapToGrid w:val="0"/>
        </w:rPr>
        <w:t xml:space="preserve">. </w:t>
      </w:r>
      <w:r>
        <w:rPr>
          <w:snapToGrid w:val="0"/>
        </w:rPr>
        <w:tab/>
        <w:t>Prescribed periods</w:t>
      </w:r>
      <w:r>
        <w:tab/>
      </w:r>
      <w:r>
        <w:fldChar w:fldCharType="begin"/>
      </w:r>
      <w:r>
        <w:instrText xml:space="preserve"> PAGEREF _Toc297277242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sz w:val="24"/>
          <w:szCs w:val="24"/>
          <w:lang w:val="en-US"/>
        </w:rPr>
      </w:pPr>
      <w:r>
        <w:t>5</w:t>
      </w:r>
      <w:r>
        <w:rPr>
          <w:snapToGrid w:val="0"/>
        </w:rPr>
        <w:t xml:space="preserve">. </w:t>
      </w:r>
      <w:r>
        <w:rPr>
          <w:snapToGrid w:val="0"/>
        </w:rPr>
        <w:tab/>
        <w:t>Notice of application for licence</w:t>
      </w:r>
      <w:r>
        <w:tab/>
      </w:r>
      <w:r>
        <w:fldChar w:fldCharType="begin"/>
      </w:r>
      <w:r>
        <w:instrText xml:space="preserve"> PAGEREF _Toc297277243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sz w:val="24"/>
          <w:szCs w:val="24"/>
          <w:lang w:val="en-US"/>
        </w:rPr>
      </w:pPr>
      <w:r>
        <w:t>5A.</w:t>
      </w:r>
      <w:r>
        <w:tab/>
        <w:t>Duplicate licence</w:t>
      </w:r>
      <w:r>
        <w:tab/>
      </w:r>
      <w:r>
        <w:fldChar w:fldCharType="begin"/>
      </w:r>
      <w:r>
        <w:instrText xml:space="preserve"> PAGEREF _Toc297277244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sz w:val="24"/>
          <w:szCs w:val="24"/>
          <w:lang w:val="en-US"/>
        </w:rPr>
      </w:pPr>
      <w:r>
        <w:t>6</w:t>
      </w:r>
      <w:r>
        <w:rPr>
          <w:snapToGrid w:val="0"/>
        </w:rPr>
        <w:t xml:space="preserve">. </w:t>
      </w:r>
      <w:r>
        <w:rPr>
          <w:snapToGrid w:val="0"/>
        </w:rPr>
        <w:tab/>
        <w:t>Particulars to be included in register</w:t>
      </w:r>
      <w:r>
        <w:tab/>
      </w:r>
      <w:r>
        <w:fldChar w:fldCharType="begin"/>
      </w:r>
      <w:r>
        <w:instrText xml:space="preserve"> PAGEREF _Toc297277245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sz w:val="24"/>
          <w:szCs w:val="24"/>
          <w:lang w:val="en-US"/>
        </w:rPr>
      </w:pPr>
      <w:r>
        <w:t>7</w:t>
      </w:r>
      <w:r>
        <w:rPr>
          <w:snapToGrid w:val="0"/>
        </w:rPr>
        <w:t xml:space="preserve">. </w:t>
      </w:r>
      <w:r>
        <w:rPr>
          <w:snapToGrid w:val="0"/>
        </w:rPr>
        <w:tab/>
        <w:t>Change of particulars</w:t>
      </w:r>
      <w:r>
        <w:tab/>
      </w:r>
      <w:r>
        <w:fldChar w:fldCharType="begin"/>
      </w:r>
      <w:r>
        <w:instrText xml:space="preserve"> PAGEREF _Toc297277246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sz w:val="24"/>
          <w:szCs w:val="24"/>
          <w:lang w:val="en-US"/>
        </w:rPr>
      </w:pPr>
      <w:r>
        <w:t>8</w:t>
      </w:r>
      <w:r>
        <w:rPr>
          <w:snapToGrid w:val="0"/>
        </w:rPr>
        <w:t xml:space="preserve">. </w:t>
      </w:r>
      <w:r>
        <w:rPr>
          <w:snapToGrid w:val="0"/>
        </w:rPr>
        <w:tab/>
        <w:t>Prescribed qualifications</w:t>
      </w:r>
      <w:r>
        <w:tab/>
      </w:r>
      <w:r>
        <w:fldChar w:fldCharType="begin"/>
      </w:r>
      <w:r>
        <w:instrText xml:space="preserve"> PAGEREF _Toc297277247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sz w:val="24"/>
          <w:szCs w:val="24"/>
          <w:lang w:val="en-US"/>
        </w:rPr>
      </w:pPr>
      <w:r>
        <w:t>9</w:t>
      </w:r>
      <w:r>
        <w:rPr>
          <w:snapToGrid w:val="0"/>
        </w:rPr>
        <w:t xml:space="preserve">. </w:t>
      </w:r>
      <w:r>
        <w:rPr>
          <w:snapToGrid w:val="0"/>
        </w:rPr>
        <w:tab/>
        <w:t>Recovery of fees and costs</w:t>
      </w:r>
      <w:r>
        <w:tab/>
      </w:r>
      <w:r>
        <w:fldChar w:fldCharType="begin"/>
      </w:r>
      <w:r>
        <w:instrText xml:space="preserve"> PAGEREF _Toc297277248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sz w:val="24"/>
          <w:szCs w:val="24"/>
          <w:lang w:val="en-US"/>
        </w:rPr>
      </w:pPr>
      <w:r>
        <w:t>10.</w:t>
      </w:r>
      <w:r>
        <w:tab/>
        <w:t>Infringement notices</w:t>
      </w:r>
      <w:r>
        <w:tab/>
      </w:r>
      <w:r>
        <w:fldChar w:fldCharType="begin"/>
      </w:r>
      <w:r>
        <w:instrText xml:space="preserve"> PAGEREF _Toc297277249 \h </w:instrText>
      </w:r>
      <w:r>
        <w:fldChar w:fldCharType="separate"/>
      </w:r>
      <w:r>
        <w:t>5</w:t>
      </w:r>
      <w:r>
        <w:fldChar w:fldCharType="end"/>
      </w:r>
    </w:p>
    <w:p>
      <w:pPr>
        <w:pStyle w:val="TOC8"/>
        <w:rPr>
          <w:sz w:val="24"/>
          <w:szCs w:val="24"/>
          <w:lang w:val="en-US"/>
        </w:rPr>
      </w:pPr>
      <w:r>
        <w:t>11.</w:t>
      </w:r>
      <w:r>
        <w:tab/>
        <w:t>Forms</w:t>
      </w:r>
      <w:r>
        <w:tab/>
      </w:r>
      <w:r>
        <w:fldChar w:fldCharType="begin"/>
      </w:r>
      <w:r>
        <w:instrText xml:space="preserve"> PAGEREF _Toc297277250 \h </w:instrText>
      </w:r>
      <w:r>
        <w:fldChar w:fldCharType="separate"/>
      </w:r>
      <w:r>
        <w:t>5</w:t>
      </w:r>
      <w:r>
        <w:fldChar w:fldCharType="end"/>
      </w:r>
    </w:p>
    <w:p>
      <w:pPr>
        <w:pStyle w:val="TOC2"/>
        <w:tabs>
          <w:tab w:val="right" w:leader="dot" w:pos="7086"/>
        </w:tabs>
        <w:rPr>
          <w:b w:val="0"/>
          <w:sz w:val="24"/>
          <w:szCs w:val="24"/>
          <w:lang w:val="en-US"/>
        </w:rPr>
      </w:pPr>
      <w:r>
        <w:t>Schedule 1 — Fees</w:t>
      </w:r>
    </w:p>
    <w:p>
      <w:pPr>
        <w:pStyle w:val="TOC2"/>
        <w:tabs>
          <w:tab w:val="right" w:leader="dot" w:pos="7086"/>
        </w:tabs>
        <w:rPr>
          <w:b w:val="0"/>
          <w:sz w:val="24"/>
          <w:szCs w:val="24"/>
          <w:lang w:val="en-US"/>
        </w:rPr>
      </w:pPr>
      <w:r>
        <w:t>Schedule 2 — Prescribed offences and modified penalties</w:t>
      </w:r>
    </w:p>
    <w:p>
      <w:pPr>
        <w:pStyle w:val="TOC2"/>
        <w:tabs>
          <w:tab w:val="right" w:leader="dot" w:pos="7086"/>
        </w:tabs>
        <w:rPr>
          <w:b w:val="0"/>
          <w:sz w:val="24"/>
          <w:szCs w:val="24"/>
          <w:lang w:val="en-US"/>
        </w:rPr>
      </w:pPr>
      <w:r>
        <w:t>Schedule 3 — Forms</w:t>
      </w:r>
    </w:p>
    <w:p>
      <w:pPr>
        <w:pStyle w:val="TOC2"/>
        <w:tabs>
          <w:tab w:val="right" w:leader="dot" w:pos="7086"/>
        </w:tabs>
        <w:rPr>
          <w:b w:val="0"/>
          <w:sz w:val="24"/>
          <w:szCs w:val="24"/>
          <w:lang w:val="en-US"/>
        </w:rPr>
      </w:pPr>
      <w:r>
        <w:t>Notes</w:t>
      </w:r>
    </w:p>
    <w:p>
      <w:pPr>
        <w:pStyle w:val="TOC8"/>
        <w:rPr>
          <w:sz w:val="24"/>
          <w:szCs w:val="24"/>
          <w:lang w:val="en-US"/>
        </w:rPr>
      </w:pPr>
      <w:r>
        <w:rPr>
          <w:snapToGrid w:val="0"/>
        </w:rPr>
        <w:tab/>
        <w:t>Compilation table</w:t>
      </w:r>
      <w:r>
        <w:tab/>
      </w:r>
      <w:r>
        <w:fldChar w:fldCharType="begin"/>
      </w:r>
      <w:r>
        <w:instrText xml:space="preserve"> PAGEREF _Toc297277255 \h </w:instrText>
      </w:r>
      <w:r>
        <w:fldChar w:fldCharType="separate"/>
      </w:r>
      <w:r>
        <w:t>11</w:t>
      </w:r>
      <w:r>
        <w:fldChar w:fldCharType="end"/>
      </w:r>
    </w:p>
    <w:p>
      <w:pPr>
        <w:pStyle w:val="TOC2"/>
        <w:tabs>
          <w:tab w:val="right" w:leader="dot" w:pos="7086"/>
        </w:tabs>
        <w:rPr>
          <w:b w:val="0"/>
          <w:sz w:val="24"/>
          <w:szCs w:val="24"/>
          <w:lang w:val="en-US"/>
        </w:rPr>
      </w:pPr>
      <w:r>
        <w:t>Defined Terms</w:t>
      </w:r>
    </w:p>
    <w:p>
      <w:pPr>
        <w:pStyle w:val="TOC2"/>
        <w:keepNext w:val="0"/>
        <w:spacing w:before="0" w:after="0"/>
        <w:rPr>
          <w:sz w:val="12"/>
        </w:rPr>
      </w:pPr>
      <w:r>
        <w:fldChar w:fldCharType="end"/>
      </w:r>
    </w:p>
    <w:p>
      <w:pPr>
        <w:pStyle w:val="NoteHeading"/>
        <w:rPr>
          <w:sz w:val="16"/>
        </w:rPr>
      </w:pPr>
      <w:r>
        <w:rPr>
          <w:rStyle w:val="CharPartNo"/>
          <w:sz w:val="16"/>
        </w:rPr>
        <w:t xml:space="preserve"> </w:t>
      </w:r>
      <w:r>
        <w:rPr>
          <w:rStyle w:val="CharPartText"/>
          <w:sz w:val="16"/>
        </w:rPr>
        <w:t xml:space="preserve"> </w:t>
      </w:r>
      <w:r>
        <w:rPr>
          <w:rStyle w:val="CharDivNo"/>
          <w:sz w:val="16"/>
        </w:rPr>
        <w:t xml:space="preserve"> </w:t>
      </w:r>
      <w:r>
        <w:rPr>
          <w:rStyle w:val="CharDivText"/>
          <w:sz w:val="16"/>
        </w:rPr>
        <w:t xml:space="preserve"> </w:t>
      </w:r>
      <w:r>
        <w:rPr>
          <w:rStyle w:val="CharSchNo"/>
          <w:sz w:val="16"/>
        </w:rPr>
        <w:t xml:space="preserve"> </w:t>
      </w:r>
      <w:r>
        <w:rPr>
          <w:rStyle w:val="CharSchText"/>
          <w:sz w:val="16"/>
        </w:rPr>
        <w:t xml:space="preserve"> </w:t>
      </w:r>
    </w:p>
    <w:p>
      <w:pPr>
        <w:pStyle w:val="NoteHeading"/>
        <w:sectPr>
          <w:headerReference w:type="even" r:id="rId14"/>
          <w:headerReference w:type="default" r:id="rId15"/>
          <w:footerReference w:type="even" r:id="rId16"/>
          <w:footerReference w:type="default" r:id="rId17"/>
          <w:footerReference w:type="first" r:id="rId18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spacing w:before="120"/>
      </w:pPr>
      <w:smartTag w:uri="urn:schemas-microsoft-com:office:smarttags" w:element="State">
        <w:smartTag w:uri="urn:schemas-microsoft-com:office:smarttags" w:element="place">
          <w:r>
            <w:lastRenderedPageBreak/>
            <w:t>Western Australia</w:t>
          </w:r>
        </w:smartTag>
      </w:smartTag>
    </w:p>
    <w:p>
      <w:pPr>
        <w:pStyle w:val="PrincipalActReg"/>
        <w:rPr>
          <w:snapToGrid w:val="0"/>
        </w:rPr>
      </w:pPr>
      <w:r>
        <w:rPr>
          <w:snapToGrid w:val="0"/>
        </w:rPr>
        <w:t>Land Valuers Licensing Act 1978</w:t>
      </w:r>
    </w:p>
    <w:p>
      <w:pPr>
        <w:pStyle w:val="NameofActReg"/>
      </w:pPr>
      <w:r>
        <w:t>Land Valuers Licensing Regulations 1979</w:t>
      </w:r>
    </w:p>
    <w:p>
      <w:pPr>
        <w:pStyle w:val="Heading5"/>
        <w:rPr>
          <w:snapToGrid w:val="0"/>
        </w:rPr>
      </w:pPr>
      <w:bookmarkStart w:id="1" w:name="_Toc434380874"/>
      <w:bookmarkStart w:id="2" w:name="_Toc475755660"/>
      <w:bookmarkStart w:id="3" w:name="_Toc13119607"/>
      <w:bookmarkStart w:id="4" w:name="_Toc297277239"/>
      <w:r>
        <w:rPr>
          <w:rStyle w:val="CharSectno"/>
        </w:rPr>
        <w:t>1</w:t>
      </w:r>
      <w:r>
        <w:rPr>
          <w:snapToGrid w:val="0"/>
        </w:rPr>
        <w:t xml:space="preserve">. </w:t>
      </w:r>
      <w:r>
        <w:rPr>
          <w:snapToGrid w:val="0"/>
        </w:rPr>
        <w:tab/>
        <w:t>Citation</w:t>
      </w:r>
      <w:bookmarkEnd w:id="1"/>
      <w:bookmarkEnd w:id="2"/>
      <w:bookmarkEnd w:id="3"/>
      <w:bookmarkEnd w:id="4"/>
    </w:p>
    <w:p>
      <w:pPr>
        <w:pStyle w:val="Subsection"/>
        <w:spacing w:before="12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Land Valuers Licensing Regulations 1979</w:t>
      </w:r>
      <w:r>
        <w:rPr>
          <w:snapToGrid w:val="0"/>
          <w:vertAlign w:val="superscript"/>
        </w:rPr>
        <w:t xml:space="preserve"> 1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5" w:name="_Toc434380875"/>
      <w:bookmarkStart w:id="6" w:name="_Toc475755661"/>
      <w:bookmarkStart w:id="7" w:name="_Toc13119608"/>
      <w:bookmarkStart w:id="8" w:name="_Toc297277240"/>
      <w:r>
        <w:rPr>
          <w:rStyle w:val="CharSectno"/>
        </w:rPr>
        <w:t>2</w:t>
      </w:r>
      <w:r>
        <w:rPr>
          <w:snapToGrid w:val="0"/>
        </w:rPr>
        <w:t xml:space="preserve">. </w:t>
      </w:r>
      <w:r>
        <w:rPr>
          <w:snapToGrid w:val="0"/>
        </w:rPr>
        <w:tab/>
      </w:r>
      <w:bookmarkEnd w:id="5"/>
      <w:bookmarkEnd w:id="6"/>
      <w:bookmarkEnd w:id="7"/>
      <w:r>
        <w:rPr>
          <w:snapToGrid w:val="0"/>
        </w:rPr>
        <w:t>Terms used in these regulations</w:t>
      </w:r>
      <w:bookmarkEnd w:id="8"/>
    </w:p>
    <w:p>
      <w:pPr>
        <w:pStyle w:val="Subsection"/>
        <w:spacing w:before="12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In these regulations —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Commissioner</w:t>
      </w:r>
      <w:r>
        <w:t xml:space="preserve"> has the same meaning as it has in the</w:t>
      </w:r>
      <w:r>
        <w:rPr>
          <w:i/>
          <w:iCs/>
        </w:rPr>
        <w:t xml:space="preserve"> Fair Trading Act 2010</w:t>
      </w:r>
      <w:r>
        <w:rPr>
          <w:iCs/>
        </w:rPr>
        <w:t>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section</w:t>
      </w:r>
      <w:r>
        <w:t xml:space="preserve"> means section of the Act;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the Act</w:t>
      </w:r>
      <w:r>
        <w:t xml:space="preserve"> means the </w:t>
      </w:r>
      <w:r>
        <w:rPr>
          <w:i/>
        </w:rPr>
        <w:t>Land Valuers Licensing Act 1978</w:t>
      </w:r>
      <w:r>
        <w:t>.</w:t>
      </w:r>
    </w:p>
    <w:p>
      <w:pPr>
        <w:pStyle w:val="Footnotesection"/>
      </w:pPr>
      <w:r>
        <w:tab/>
        <w:t>[Regulation 2 amended in Gazette 22 Sep 2006 p. 4119; 30 Jun 2011 p. 2649.]</w:t>
      </w:r>
    </w:p>
    <w:p>
      <w:pPr>
        <w:pStyle w:val="Ednotesection"/>
      </w:pPr>
      <w:bookmarkStart w:id="9" w:name="_Toc434380877"/>
      <w:bookmarkStart w:id="10" w:name="_Toc475755663"/>
      <w:bookmarkStart w:id="11" w:name="_Toc13119610"/>
      <w:r>
        <w:t>[</w:t>
      </w:r>
      <w:r>
        <w:rPr>
          <w:b/>
        </w:rPr>
        <w:t>3.</w:t>
      </w:r>
      <w:r>
        <w:tab/>
        <w:t>Deleted in Gazette 30 Jun 2011 p. 2650.]</w:t>
      </w:r>
    </w:p>
    <w:p>
      <w:pPr>
        <w:pStyle w:val="Heading5"/>
        <w:spacing w:before="180"/>
        <w:rPr>
          <w:snapToGrid w:val="0"/>
        </w:rPr>
      </w:pPr>
      <w:bookmarkStart w:id="12" w:name="_Toc297277241"/>
      <w:r>
        <w:rPr>
          <w:rStyle w:val="CharSectno"/>
        </w:rPr>
        <w:t>4</w:t>
      </w:r>
      <w:r>
        <w:rPr>
          <w:snapToGrid w:val="0"/>
        </w:rPr>
        <w:t xml:space="preserve">. </w:t>
      </w:r>
      <w:r>
        <w:rPr>
          <w:snapToGrid w:val="0"/>
        </w:rPr>
        <w:tab/>
        <w:t>Fees</w:t>
      </w:r>
      <w:bookmarkEnd w:id="9"/>
      <w:bookmarkEnd w:id="10"/>
      <w:bookmarkEnd w:id="11"/>
      <w:bookmarkEnd w:id="12"/>
    </w:p>
    <w:p>
      <w:pPr>
        <w:pStyle w:val="Subsection"/>
        <w:spacing w:before="120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The fees set forth in Schedule 1 shall be payable in respect of the matters prescribed in that Schedule.</w:t>
      </w:r>
    </w:p>
    <w:p>
      <w:pPr>
        <w:pStyle w:val="Subsection"/>
        <w:spacing w:before="120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If a licence is renewed in accordance with section 22 after the day on which the licence expired, a late fee equal to one quarter of the fee specified in item 2 of Schedule 1 for the renewal of the licence is payable in addition to that specified fee.</w:t>
      </w:r>
    </w:p>
    <w:p>
      <w:pPr>
        <w:pStyle w:val="Footnotesection"/>
        <w:spacing w:before="80"/>
        <w:ind w:left="890" w:hanging="890"/>
      </w:pPr>
      <w:r>
        <w:tab/>
        <w:t>[Regulation 4 amended in Gazette 25 Jun 1996 p. 2922; 27 Jun 2006 p. 2256.]</w:t>
      </w:r>
    </w:p>
    <w:p>
      <w:pPr>
        <w:pStyle w:val="Heading5"/>
        <w:spacing w:before="180"/>
        <w:rPr>
          <w:snapToGrid w:val="0"/>
        </w:rPr>
      </w:pPr>
      <w:bookmarkStart w:id="13" w:name="_Toc434380878"/>
      <w:bookmarkStart w:id="14" w:name="_Toc475755664"/>
      <w:bookmarkStart w:id="15" w:name="_Toc13119611"/>
      <w:bookmarkStart w:id="16" w:name="_Toc297277242"/>
      <w:r>
        <w:rPr>
          <w:rStyle w:val="CharSectno"/>
        </w:rPr>
        <w:t>4A</w:t>
      </w:r>
      <w:r>
        <w:rPr>
          <w:snapToGrid w:val="0"/>
        </w:rPr>
        <w:t xml:space="preserve">. </w:t>
      </w:r>
      <w:r>
        <w:rPr>
          <w:snapToGrid w:val="0"/>
        </w:rPr>
        <w:tab/>
        <w:t>Prescribed periods</w:t>
      </w:r>
      <w:bookmarkEnd w:id="13"/>
      <w:bookmarkEnd w:id="14"/>
      <w:bookmarkEnd w:id="15"/>
      <w:bookmarkEnd w:id="16"/>
    </w:p>
    <w:p>
      <w:pPr>
        <w:pStyle w:val="Subsection"/>
        <w:spacing w:before="120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For the purposes of section 21(1), the period prescribed is 3 years.</w:t>
      </w:r>
    </w:p>
    <w:p>
      <w:pPr>
        <w:pStyle w:val="Subsection"/>
        <w:spacing w:before="120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For the purposes of section 22(1), the further prescribed period is 3 years.</w:t>
      </w:r>
    </w:p>
    <w:p>
      <w:pPr>
        <w:pStyle w:val="Footnotesection"/>
        <w:spacing w:before="80"/>
        <w:ind w:left="890" w:hanging="890"/>
      </w:pPr>
      <w:r>
        <w:tab/>
        <w:t>[Regulation 4A inserted in Gazette 25 Jun 1996 p. 2922.]</w:t>
      </w:r>
    </w:p>
    <w:p>
      <w:pPr>
        <w:pStyle w:val="Heading5"/>
        <w:spacing w:before="180"/>
        <w:rPr>
          <w:snapToGrid w:val="0"/>
        </w:rPr>
      </w:pPr>
      <w:bookmarkStart w:id="17" w:name="_Toc434380879"/>
      <w:bookmarkStart w:id="18" w:name="_Toc475755665"/>
      <w:bookmarkStart w:id="19" w:name="_Toc13119612"/>
      <w:bookmarkStart w:id="20" w:name="_Toc297277243"/>
      <w:r>
        <w:rPr>
          <w:rStyle w:val="CharSectno"/>
        </w:rPr>
        <w:t>5</w:t>
      </w:r>
      <w:r>
        <w:rPr>
          <w:snapToGrid w:val="0"/>
        </w:rPr>
        <w:t xml:space="preserve">. </w:t>
      </w:r>
      <w:r>
        <w:rPr>
          <w:snapToGrid w:val="0"/>
        </w:rPr>
        <w:tab/>
        <w:t>Notice of application for licence</w:t>
      </w:r>
      <w:bookmarkEnd w:id="17"/>
      <w:bookmarkEnd w:id="18"/>
      <w:bookmarkEnd w:id="19"/>
      <w:bookmarkEnd w:id="20"/>
    </w:p>
    <w:p>
      <w:pPr>
        <w:pStyle w:val="Subsection"/>
        <w:spacing w:before="120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Notice of an application for the grant of a licence to be advertised pursuant to section 17(2) —</w:t>
      </w:r>
    </w:p>
    <w:p>
      <w:pPr>
        <w:pStyle w:val="Indenta"/>
        <w:spacing w:before="70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shall be in an approved form; and</w:t>
      </w:r>
    </w:p>
    <w:p>
      <w:pPr>
        <w:pStyle w:val="Indenta"/>
        <w:spacing w:before="70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shall be published by the applicant in a newspaper circulating in the State, within 14 days after the application is made.</w:t>
      </w:r>
    </w:p>
    <w:p>
      <w:pPr>
        <w:pStyle w:val="Subsection"/>
        <w:spacing w:before="120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 xml:space="preserve">An applicant for a licence shall </w:t>
      </w:r>
      <w:r>
        <w:rPr>
          <w:iCs/>
        </w:rPr>
        <w:t>lodge with the Commissioner</w:t>
      </w:r>
      <w:r>
        <w:rPr>
          <w:snapToGrid w:val="0"/>
        </w:rPr>
        <w:t xml:space="preserve"> the whole page of the newspaper, in which notice of his application was advertised in accordance with this regulation.</w:t>
      </w:r>
    </w:p>
    <w:p>
      <w:pPr>
        <w:pStyle w:val="Footnotesection"/>
      </w:pPr>
      <w:bookmarkStart w:id="21" w:name="_Toc434380880"/>
      <w:bookmarkStart w:id="22" w:name="_Toc475755666"/>
      <w:bookmarkStart w:id="23" w:name="_Toc13119613"/>
      <w:r>
        <w:tab/>
        <w:t>[Regulation 5 amended in Gazette 30 Jun 2011 p. 2650.]</w:t>
      </w:r>
    </w:p>
    <w:p>
      <w:pPr>
        <w:pStyle w:val="Heading5"/>
        <w:spacing w:before="180"/>
      </w:pPr>
      <w:bookmarkStart w:id="24" w:name="_Toc297277244"/>
      <w:r>
        <w:rPr>
          <w:rStyle w:val="CharSectno"/>
        </w:rPr>
        <w:t>5A</w:t>
      </w:r>
      <w:r>
        <w:t>.</w:t>
      </w:r>
      <w:r>
        <w:tab/>
        <w:t>Duplicate licence</w:t>
      </w:r>
      <w:bookmarkEnd w:id="24"/>
    </w:p>
    <w:p>
      <w:pPr>
        <w:pStyle w:val="Subsection"/>
        <w:spacing w:before="120"/>
      </w:pPr>
      <w:r>
        <w:tab/>
      </w:r>
      <w:r>
        <w:tab/>
        <w:t>If the Commissioner is satisfied that a licence has been lost, stolen or destroyed, the Commissioner may issue a duplicate licence on payment of the prescribed fee.</w:t>
      </w:r>
    </w:p>
    <w:p>
      <w:pPr>
        <w:pStyle w:val="Footnotesection"/>
        <w:spacing w:before="100"/>
        <w:ind w:left="890" w:hanging="890"/>
      </w:pPr>
      <w:r>
        <w:tab/>
        <w:t>[Regulation 5A inserted in Gazette 27 Jun 2006 p. 2256; amended in Gazette 30 Jun 2011 p. 2650.]</w:t>
      </w:r>
    </w:p>
    <w:p>
      <w:pPr>
        <w:pStyle w:val="Heading5"/>
        <w:rPr>
          <w:snapToGrid w:val="0"/>
        </w:rPr>
      </w:pPr>
      <w:bookmarkStart w:id="25" w:name="_Toc297277245"/>
      <w:r>
        <w:rPr>
          <w:rStyle w:val="CharSectno"/>
        </w:rPr>
        <w:t>6</w:t>
      </w:r>
      <w:r>
        <w:rPr>
          <w:snapToGrid w:val="0"/>
        </w:rPr>
        <w:t xml:space="preserve">. </w:t>
      </w:r>
      <w:r>
        <w:rPr>
          <w:snapToGrid w:val="0"/>
        </w:rPr>
        <w:tab/>
        <w:t>Particulars to be included in register</w:t>
      </w:r>
      <w:bookmarkEnd w:id="21"/>
      <w:bookmarkEnd w:id="22"/>
      <w:bookmarkEnd w:id="23"/>
      <w:bookmarkEnd w:id="25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In the register of licensees kept by him pursuant to section 29 the </w:t>
      </w:r>
      <w:r>
        <w:rPr>
          <w:iCs/>
        </w:rPr>
        <w:t>Commissioner</w:t>
      </w:r>
      <w:r>
        <w:rPr>
          <w:snapToGrid w:val="0"/>
        </w:rPr>
        <w:t xml:space="preserve"> shall record in respect of each licensee the following particulars —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the name and address of the licensee;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where the licensee carries on business as a land valuer under a business name — that business name and the address of any places of business;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where the licensee is a director, partner or employee of a company or firm — the name and address of the company or firm;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(d)</w:t>
      </w:r>
      <w:r>
        <w:rPr>
          <w:snapToGrid w:val="0"/>
        </w:rPr>
        <w:tab/>
        <w:t>where the licensee is employed in a department of the public service of the State or the Commonwealth or by a statutory authority, agency or instrumentality of the Crown in right of the State or the Commonwealth the name and address of the department, authority, agency or instrumentality;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(e)</w:t>
      </w:r>
      <w:r>
        <w:rPr>
          <w:snapToGrid w:val="0"/>
        </w:rPr>
        <w:tab/>
        <w:t>the licence number of the licence issued to the licensee and the date of its issue;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(f)</w:t>
      </w:r>
      <w:r>
        <w:rPr>
          <w:snapToGrid w:val="0"/>
        </w:rPr>
        <w:tab/>
        <w:t>particulars of any surrender, expiry, suspension or cancellation of the licence;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(g)</w:t>
      </w:r>
      <w:r>
        <w:rPr>
          <w:snapToGrid w:val="0"/>
        </w:rPr>
        <w:tab/>
        <w:t>particulars provided by the licensee pursuant to regulation 7.</w:t>
      </w:r>
    </w:p>
    <w:p>
      <w:pPr>
        <w:pStyle w:val="Footnotesection"/>
      </w:pPr>
      <w:r>
        <w:tab/>
        <w:t>[Regulation 6 amended in Gazette 25 Jun 1996 p. 2923; 30 Jun 2011 p. 2650.]</w:t>
      </w:r>
    </w:p>
    <w:p>
      <w:pPr>
        <w:pStyle w:val="Heading5"/>
        <w:rPr>
          <w:snapToGrid w:val="0"/>
        </w:rPr>
      </w:pPr>
      <w:bookmarkStart w:id="26" w:name="_Toc434380881"/>
      <w:bookmarkStart w:id="27" w:name="_Toc475755667"/>
      <w:bookmarkStart w:id="28" w:name="_Toc13119614"/>
      <w:bookmarkStart w:id="29" w:name="_Toc297277246"/>
      <w:r>
        <w:rPr>
          <w:rStyle w:val="CharSectno"/>
        </w:rPr>
        <w:t>7</w:t>
      </w:r>
      <w:r>
        <w:rPr>
          <w:snapToGrid w:val="0"/>
        </w:rPr>
        <w:t xml:space="preserve">. </w:t>
      </w:r>
      <w:r>
        <w:rPr>
          <w:snapToGrid w:val="0"/>
        </w:rPr>
        <w:tab/>
        <w:t>Change of particulars</w:t>
      </w:r>
      <w:bookmarkEnd w:id="26"/>
      <w:bookmarkEnd w:id="27"/>
      <w:bookmarkEnd w:id="28"/>
      <w:bookmarkEnd w:id="29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A licensee shall, within one month of any change of circumstance that is relative to the information kept in the register, notify the </w:t>
      </w:r>
      <w:r>
        <w:rPr>
          <w:iCs/>
        </w:rPr>
        <w:t>Commissioner</w:t>
      </w:r>
      <w:r>
        <w:rPr>
          <w:snapToGrid w:val="0"/>
        </w:rPr>
        <w:t xml:space="preserve"> in writing of that change.</w:t>
      </w:r>
    </w:p>
    <w:p>
      <w:pPr>
        <w:pStyle w:val="Penstart"/>
        <w:rPr>
          <w:snapToGrid w:val="0"/>
        </w:rPr>
      </w:pPr>
      <w:r>
        <w:rPr>
          <w:snapToGrid w:val="0"/>
        </w:rPr>
        <w:tab/>
        <w:t>Penalty $100.</w:t>
      </w:r>
    </w:p>
    <w:p>
      <w:pPr>
        <w:pStyle w:val="Footnotesection"/>
      </w:pPr>
      <w:bookmarkStart w:id="30" w:name="_Toc434380882"/>
      <w:bookmarkStart w:id="31" w:name="_Toc475755668"/>
      <w:bookmarkStart w:id="32" w:name="_Toc13119615"/>
      <w:bookmarkStart w:id="33" w:name="_Toc193180075"/>
      <w:bookmarkStart w:id="34" w:name="_Toc434380883"/>
      <w:bookmarkStart w:id="35" w:name="_Toc475755669"/>
      <w:bookmarkStart w:id="36" w:name="_Toc13119616"/>
      <w:r>
        <w:tab/>
        <w:t>[Regulation 7 amended in Gazette 30 Jun 2011 p. 2650.]</w:t>
      </w:r>
    </w:p>
    <w:p>
      <w:pPr>
        <w:pStyle w:val="Heading5"/>
        <w:rPr>
          <w:snapToGrid w:val="0"/>
        </w:rPr>
      </w:pPr>
      <w:bookmarkStart w:id="37" w:name="_Toc297277247"/>
      <w:r>
        <w:rPr>
          <w:rStyle w:val="CharSectno"/>
        </w:rPr>
        <w:t>8</w:t>
      </w:r>
      <w:r>
        <w:rPr>
          <w:snapToGrid w:val="0"/>
        </w:rPr>
        <w:t xml:space="preserve">. </w:t>
      </w:r>
      <w:r>
        <w:rPr>
          <w:snapToGrid w:val="0"/>
        </w:rPr>
        <w:tab/>
        <w:t>Prescribed qualifications</w:t>
      </w:r>
      <w:bookmarkEnd w:id="30"/>
      <w:bookmarkEnd w:id="31"/>
      <w:bookmarkEnd w:id="32"/>
      <w:bookmarkEnd w:id="33"/>
      <w:bookmarkEnd w:id="37"/>
      <w:r>
        <w:rPr>
          <w:snapToGrid w:val="0"/>
        </w:rPr>
        <w:t xml:space="preserve"> </w:t>
      </w:r>
    </w:p>
    <w:p>
      <w:pPr>
        <w:pStyle w:val="Subsection"/>
        <w:keepNext/>
        <w:keepLines/>
        <w:spacing w:before="120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The following degrees are prescribed under section 19(c)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the degree of Bachelor of Business (Valuation and Land Administration) awarded by the Western Australian Institute of Technology</w:t>
      </w:r>
      <w:r>
        <w:rPr>
          <w:snapToGrid w:val="0"/>
          <w:vertAlign w:val="superscript"/>
        </w:rPr>
        <w:t xml:space="preserve"> 2</w:t>
      </w:r>
      <w:r>
        <w:rPr>
          <w:snapToGrid w:val="0"/>
        </w:rPr>
        <w:t>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the degree of Bachelor of Business (Valuation and Land Economy) awarded by the Western Australian Institute of Technology</w:t>
      </w:r>
      <w:r>
        <w:rPr>
          <w:snapToGrid w:val="0"/>
          <w:vertAlign w:val="superscript"/>
        </w:rPr>
        <w:t xml:space="preserve"> 2</w:t>
      </w:r>
      <w:r>
        <w:rPr>
          <w:snapToGrid w:val="0"/>
        </w:rPr>
        <w:t>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the degree of Bachelor of Business (Valuation and Land Economy) awarded by the Curtin University of Technology;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(d)</w:t>
      </w:r>
      <w:r>
        <w:rPr>
          <w:snapToGrid w:val="0"/>
        </w:rPr>
        <w:tab/>
        <w:t>the degree of Bachelor of Commerce (Property) awarded by the Curtin University of Technology.</w:t>
      </w:r>
    </w:p>
    <w:p>
      <w:pPr>
        <w:pStyle w:val="Subsection"/>
        <w:keepNext/>
        <w:keepLines/>
        <w:spacing w:before="120"/>
      </w:pPr>
      <w:r>
        <w:tab/>
        <w:t>(2)</w:t>
      </w:r>
      <w:r>
        <w:tab/>
        <w:t xml:space="preserve">The following certificates or other awards are prescribed under section 19(c) — </w:t>
      </w:r>
    </w:p>
    <w:p>
      <w:pPr>
        <w:pStyle w:val="Indenta"/>
      </w:pPr>
      <w:r>
        <w:tab/>
        <w:t>(a)</w:t>
      </w:r>
      <w:r>
        <w:tab/>
        <w:t xml:space="preserve">membership of the Royal Institution of Chartered Surveyors as a Chartered General Practice Surveyor obtained before 1 January 2000; </w:t>
      </w:r>
    </w:p>
    <w:p>
      <w:pPr>
        <w:pStyle w:val="Indenta"/>
      </w:pPr>
      <w:r>
        <w:tab/>
        <w:t>(b)</w:t>
      </w:r>
      <w:r>
        <w:tab/>
        <w:t xml:space="preserve">membership of the Royal Institution of Chartered Surveyors as a Chartered Valuation Surveyor obtained before, on or after 1 January 2000; </w:t>
      </w:r>
    </w:p>
    <w:p>
      <w:pPr>
        <w:pStyle w:val="Indenta"/>
      </w:pPr>
      <w:r>
        <w:tab/>
        <w:t>(c)</w:t>
      </w:r>
      <w:r>
        <w:tab/>
        <w:t>membership of the Royal Institution of Chartered Surveyors as a Chartered Commercial Property Surveyor obtained before, on or after 1 January 2000.</w:t>
      </w:r>
    </w:p>
    <w:p>
      <w:pPr>
        <w:pStyle w:val="Footnotesection"/>
      </w:pPr>
      <w:r>
        <w:tab/>
        <w:t xml:space="preserve">[Regulation 8 inserted in Gazette 27 Jan 1995 p. 285; amended in Gazette 14 Mar 2008 p. 830.] </w:t>
      </w:r>
    </w:p>
    <w:p>
      <w:pPr>
        <w:pStyle w:val="Heading5"/>
        <w:rPr>
          <w:snapToGrid w:val="0"/>
        </w:rPr>
      </w:pPr>
      <w:bookmarkStart w:id="38" w:name="_Toc297277248"/>
      <w:r>
        <w:rPr>
          <w:rStyle w:val="CharSectno"/>
        </w:rPr>
        <w:t>9</w:t>
      </w:r>
      <w:r>
        <w:rPr>
          <w:snapToGrid w:val="0"/>
        </w:rPr>
        <w:t xml:space="preserve">. </w:t>
      </w:r>
      <w:r>
        <w:rPr>
          <w:snapToGrid w:val="0"/>
        </w:rPr>
        <w:tab/>
        <w:t>Recovery of fees and costs</w:t>
      </w:r>
      <w:bookmarkEnd w:id="34"/>
      <w:bookmarkEnd w:id="35"/>
      <w:bookmarkEnd w:id="36"/>
      <w:bookmarkEnd w:id="38"/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The amount of —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any fees prescribed by these regulations;</w:t>
      </w:r>
    </w:p>
    <w:p>
      <w:pPr>
        <w:pStyle w:val="Ednotepara"/>
        <w:spacing w:before="80"/>
        <w:rPr>
          <w:snapToGrid w:val="0"/>
        </w:rPr>
      </w:pPr>
      <w:r>
        <w:rPr>
          <w:snapToGrid w:val="0"/>
        </w:rPr>
        <w:tab/>
        <w:t>[(b)</w:t>
      </w:r>
      <w:r>
        <w:rPr>
          <w:snapToGrid w:val="0"/>
        </w:rPr>
        <w:tab/>
        <w:t>deleted]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 xml:space="preserve">any costs ordered </w:t>
      </w:r>
      <w:r>
        <w:t xml:space="preserve">to be paid to the </w:t>
      </w:r>
      <w:r>
        <w:rPr>
          <w:iCs/>
        </w:rPr>
        <w:t>Commissioner</w:t>
      </w:r>
      <w:r>
        <w:rPr>
          <w:snapToGrid w:val="0"/>
        </w:rPr>
        <w:t xml:space="preserve"> upon the determination of any proceedings,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is a debt due to the Crown in right of the State and may be sued for and recovered by the </w:t>
      </w:r>
      <w:r>
        <w:rPr>
          <w:iCs/>
        </w:rPr>
        <w:t>Commissioner in</w:t>
      </w:r>
      <w:r>
        <w:rPr>
          <w:snapToGrid w:val="0"/>
        </w:rPr>
        <w:t xml:space="preserve"> any court of competent jurisdiction.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 xml:space="preserve">Where, upon the determination of any proceedings, the </w:t>
      </w:r>
      <w:r>
        <w:rPr>
          <w:iCs/>
        </w:rPr>
        <w:t>court or tribunal</w:t>
      </w:r>
      <w:r>
        <w:t xml:space="preserve"> makes an order for costs in favour of a person other than the </w:t>
      </w:r>
      <w:r>
        <w:rPr>
          <w:iCs/>
        </w:rPr>
        <w:t>Commissioner</w:t>
      </w:r>
      <w:r>
        <w:rPr>
          <w:snapToGrid w:val="0"/>
        </w:rPr>
        <w:t xml:space="preserve"> the amount of those costs is a debt due to that person by the person against whom the order is made and may be sued for and recovered by the first</w:t>
      </w:r>
      <w:r>
        <w:rPr>
          <w:snapToGrid w:val="0"/>
        </w:rPr>
        <w:noBreakHyphen/>
        <w:t>mentioned person in any court of competent jurisdiction.</w:t>
      </w:r>
    </w:p>
    <w:p>
      <w:pPr>
        <w:pStyle w:val="Footnotesection"/>
      </w:pPr>
      <w:r>
        <w:tab/>
        <w:t>[Regulation 9 amended in Gazette 30 Dec 2004 p. 6923; 30 Jun 2011 p. 2651.]</w:t>
      </w:r>
    </w:p>
    <w:p>
      <w:pPr>
        <w:pStyle w:val="Heading5"/>
      </w:pPr>
      <w:bookmarkStart w:id="39" w:name="_Toc297277249"/>
      <w:r>
        <w:rPr>
          <w:rStyle w:val="CharSectno"/>
        </w:rPr>
        <w:t>10</w:t>
      </w:r>
      <w:r>
        <w:t>.</w:t>
      </w:r>
      <w:r>
        <w:tab/>
        <w:t>Infringement notices</w:t>
      </w:r>
      <w:bookmarkEnd w:id="39"/>
    </w:p>
    <w:p>
      <w:pPr>
        <w:pStyle w:val="Subsection"/>
      </w:pPr>
      <w:r>
        <w:tab/>
        <w:t>(1)</w:t>
      </w:r>
      <w:r>
        <w:tab/>
        <w:t xml:space="preserve">The offences specified in Schedule 2 are offences for which an infringement notice may be issued under Part 2 of the </w:t>
      </w:r>
      <w:r>
        <w:rPr>
          <w:i/>
        </w:rPr>
        <w:t>Criminal Procedure Act 2004</w:t>
      </w:r>
      <w:r>
        <w:t>.</w:t>
      </w:r>
    </w:p>
    <w:p>
      <w:pPr>
        <w:pStyle w:val="Subsection"/>
      </w:pPr>
      <w:r>
        <w:tab/>
        <w:t>(2)</w:t>
      </w:r>
      <w:r>
        <w:tab/>
        <w:t xml:space="preserve">The modified penalty specified opposite an offence in Schedule 2 is the modified penalty for that offence for the purposes of section 5(3) of the </w:t>
      </w:r>
      <w:r>
        <w:rPr>
          <w:i/>
        </w:rPr>
        <w:t>Criminal Procedure Act 2004</w:t>
      </w:r>
      <w:r>
        <w:t>.</w:t>
      </w:r>
    </w:p>
    <w:p>
      <w:pPr>
        <w:pStyle w:val="Subsection"/>
      </w:pPr>
      <w:r>
        <w:tab/>
        <w:t>(3)</w:t>
      </w:r>
      <w:r>
        <w:tab/>
        <w:t xml:space="preserve">The Commissioner may, in writing, appoint persons or classes of persons to be authorised officers or approved officers for the purposes of Part 2 of the </w:t>
      </w:r>
      <w:r>
        <w:rPr>
          <w:i/>
        </w:rPr>
        <w:t>Criminal Procedure Act 2004</w:t>
      </w:r>
      <w:r>
        <w:t>.</w:t>
      </w:r>
    </w:p>
    <w:p>
      <w:pPr>
        <w:pStyle w:val="Subsection"/>
      </w:pPr>
      <w:r>
        <w:tab/>
        <w:t>(4)</w:t>
      </w:r>
      <w:r>
        <w:tab/>
        <w:t>The Commissioner is to issue to each authorised officer a certificate, badge or identity card identifying the officer as a person authorised to issue infringement notices.</w:t>
      </w:r>
    </w:p>
    <w:p>
      <w:pPr>
        <w:pStyle w:val="Footnotesection"/>
      </w:pPr>
      <w:r>
        <w:tab/>
        <w:t>[Regulation 10 inserted in Gazette 22 Sep 2006 p. 4119-20.]</w:t>
      </w:r>
    </w:p>
    <w:p>
      <w:pPr>
        <w:pStyle w:val="Heading5"/>
      </w:pPr>
      <w:bookmarkStart w:id="40" w:name="_Toc297277250"/>
      <w:r>
        <w:rPr>
          <w:rStyle w:val="CharSectno"/>
        </w:rPr>
        <w:t>11</w:t>
      </w:r>
      <w:r>
        <w:t>.</w:t>
      </w:r>
      <w:r>
        <w:tab/>
        <w:t>Forms</w:t>
      </w:r>
      <w:bookmarkEnd w:id="40"/>
    </w:p>
    <w:p>
      <w:pPr>
        <w:pStyle w:val="Subsection"/>
      </w:pPr>
      <w:r>
        <w:tab/>
      </w:r>
      <w:r>
        <w:tab/>
        <w:t>The forms set out in Schedule 3 are prescribed in relation to the matters specified in those forms.</w:t>
      </w:r>
    </w:p>
    <w:p>
      <w:pPr>
        <w:pStyle w:val="Footnotesection"/>
      </w:pPr>
      <w:r>
        <w:tab/>
        <w:t>[Regulation 11 inserted in Gazette 22 Sep 2006 p. 4120.]</w:t>
      </w:r>
    </w:p>
    <w:p>
      <w:pPr>
        <w:rPr>
          <w:rStyle w:val="CharDivText"/>
        </w:rPr>
        <w:sectPr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41" w:name="_Toc297277251"/>
      <w:bookmarkStart w:id="42" w:name="_Toc146619021"/>
      <w:bookmarkStart w:id="43" w:name="_Toc146697347"/>
      <w:bookmarkStart w:id="44" w:name="_Toc170185415"/>
      <w:bookmarkStart w:id="45" w:name="_Toc170725079"/>
      <w:bookmarkStart w:id="46" w:name="_Toc189626350"/>
      <w:bookmarkStart w:id="47" w:name="_Toc189627517"/>
      <w:bookmarkStart w:id="48" w:name="_Toc195071824"/>
      <w:bookmarkStart w:id="49" w:name="_Toc197234336"/>
      <w:bookmarkStart w:id="50" w:name="_Toc197235957"/>
      <w:bookmarkStart w:id="51" w:name="_Toc202520757"/>
      <w:bookmarkStart w:id="52" w:name="_Toc233701184"/>
      <w:bookmarkStart w:id="53" w:name="_Toc233701435"/>
      <w:bookmarkStart w:id="54" w:name="_Toc265667675"/>
      <w:r>
        <w:rPr>
          <w:rStyle w:val="CharSchNo"/>
        </w:rPr>
        <w:t>Schedule 1</w:t>
      </w:r>
      <w:r>
        <w:rPr>
          <w:rStyle w:val="CharSDivNo"/>
        </w:rPr>
        <w:t> </w:t>
      </w:r>
      <w:r>
        <w:t>—</w:t>
      </w:r>
      <w:r>
        <w:rPr>
          <w:rStyle w:val="CharSDivText"/>
        </w:rPr>
        <w:t> </w:t>
      </w:r>
      <w:r>
        <w:rPr>
          <w:rStyle w:val="CharSchText"/>
        </w:rPr>
        <w:t>Fees</w:t>
      </w:r>
      <w:bookmarkEnd w:id="41"/>
    </w:p>
    <w:p>
      <w:pPr>
        <w:pStyle w:val="yShoulderClause"/>
      </w:pPr>
      <w:r>
        <w:t>[r. 4 and 5A]</w:t>
      </w:r>
    </w:p>
    <w:p>
      <w:pPr>
        <w:pStyle w:val="yFootnoteheading"/>
        <w:spacing w:after="40"/>
      </w:pPr>
      <w:r>
        <w:tab/>
        <w:t>[Heading inserted in Gazette 22 Jun 2011 p. 2364.]</w:t>
      </w:r>
    </w:p>
    <w:p>
      <w:pPr>
        <w:pStyle w:val="yTHeadingNAm"/>
      </w:pPr>
      <w:r>
        <w:t>Table</w:t>
      </w: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992"/>
        <w:gridCol w:w="4253"/>
        <w:gridCol w:w="992"/>
      </w:tblGrid>
      <w:tr>
        <w:trPr>
          <w:trHeight w:val="465"/>
          <w:tblHeader/>
        </w:trPr>
        <w:tc>
          <w:tcPr>
            <w:tcW w:w="992" w:type="dxa"/>
          </w:tcPr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Item</w:t>
            </w:r>
          </w:p>
        </w:tc>
        <w:tc>
          <w:tcPr>
            <w:tcW w:w="4253" w:type="dxa"/>
          </w:tcPr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Description of fee</w:t>
            </w:r>
          </w:p>
        </w:tc>
        <w:tc>
          <w:tcPr>
            <w:tcW w:w="992" w:type="dxa"/>
          </w:tcPr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$</w:t>
            </w:r>
          </w:p>
        </w:tc>
      </w:tr>
      <w:tr>
        <w:trPr>
          <w:trHeight w:val="465"/>
          <w:tblHeader/>
        </w:trPr>
        <w:tc>
          <w:tcPr>
            <w:tcW w:w="992" w:type="dxa"/>
          </w:tcPr>
          <w:p>
            <w:pPr>
              <w:pStyle w:val="yTableNAm"/>
            </w:pPr>
            <w:r>
              <w:t>1.</w:t>
            </w:r>
          </w:p>
        </w:tc>
        <w:tc>
          <w:tcPr>
            <w:tcW w:w="4253" w:type="dxa"/>
          </w:tcPr>
          <w:p>
            <w:pPr>
              <w:pStyle w:val="yTableNAm"/>
            </w:pPr>
            <w:r>
              <w:t>Grant of licence (for 3 years)</w:t>
            </w:r>
          </w:p>
        </w:tc>
        <w:tc>
          <w:tcPr>
            <w:tcW w:w="992" w:type="dxa"/>
          </w:tcPr>
          <w:p>
            <w:pPr>
              <w:pStyle w:val="yTableNAm"/>
              <w:jc w:val="right"/>
            </w:pPr>
            <w:r>
              <w:t>723.00</w:t>
            </w:r>
          </w:p>
        </w:tc>
      </w:tr>
      <w:tr>
        <w:trPr>
          <w:trHeight w:val="465"/>
          <w:tblHeader/>
        </w:trPr>
        <w:tc>
          <w:tcPr>
            <w:tcW w:w="992" w:type="dxa"/>
          </w:tcPr>
          <w:p>
            <w:pPr>
              <w:pStyle w:val="yTableNAm"/>
            </w:pPr>
            <w:r>
              <w:t>2.</w:t>
            </w:r>
          </w:p>
        </w:tc>
        <w:tc>
          <w:tcPr>
            <w:tcW w:w="4253" w:type="dxa"/>
          </w:tcPr>
          <w:p>
            <w:pPr>
              <w:pStyle w:val="yTableNAm"/>
            </w:pPr>
            <w:r>
              <w:t>Renewal of licence (for 3 years)</w:t>
            </w:r>
          </w:p>
        </w:tc>
        <w:tc>
          <w:tcPr>
            <w:tcW w:w="992" w:type="dxa"/>
          </w:tcPr>
          <w:p>
            <w:pPr>
              <w:pStyle w:val="yTableNAm"/>
              <w:jc w:val="right"/>
            </w:pPr>
            <w:r>
              <w:t>723.00</w:t>
            </w:r>
          </w:p>
        </w:tc>
      </w:tr>
      <w:tr>
        <w:trPr>
          <w:trHeight w:val="465"/>
          <w:tblHeader/>
        </w:trPr>
        <w:tc>
          <w:tcPr>
            <w:tcW w:w="992" w:type="dxa"/>
          </w:tcPr>
          <w:p>
            <w:pPr>
              <w:pStyle w:val="yTableNAm"/>
            </w:pPr>
            <w:r>
              <w:t>3.</w:t>
            </w:r>
          </w:p>
        </w:tc>
        <w:tc>
          <w:tcPr>
            <w:tcW w:w="4253" w:type="dxa"/>
          </w:tcPr>
          <w:p>
            <w:pPr>
              <w:pStyle w:val="yTableNAm"/>
            </w:pPr>
            <w:r>
              <w:t>Issue of duplicate licence</w:t>
            </w:r>
          </w:p>
        </w:tc>
        <w:tc>
          <w:tcPr>
            <w:tcW w:w="992" w:type="dxa"/>
          </w:tcPr>
          <w:p>
            <w:pPr>
              <w:pStyle w:val="yTableNAm"/>
              <w:jc w:val="right"/>
            </w:pPr>
            <w:r>
              <w:t>31.75</w:t>
            </w:r>
          </w:p>
        </w:tc>
      </w:tr>
      <w:tr>
        <w:trPr>
          <w:trHeight w:val="465"/>
          <w:tblHeader/>
        </w:trPr>
        <w:tc>
          <w:tcPr>
            <w:tcW w:w="992" w:type="dxa"/>
          </w:tcPr>
          <w:p>
            <w:pPr>
              <w:pStyle w:val="yTableNAm"/>
            </w:pPr>
            <w:r>
              <w:t>4.</w:t>
            </w:r>
          </w:p>
        </w:tc>
        <w:tc>
          <w:tcPr>
            <w:tcW w:w="4253" w:type="dxa"/>
          </w:tcPr>
          <w:p>
            <w:pPr>
              <w:pStyle w:val="yTableNAm"/>
            </w:pPr>
            <w:r>
              <w:t>Inspection of register</w:t>
            </w:r>
          </w:p>
        </w:tc>
        <w:tc>
          <w:tcPr>
            <w:tcW w:w="992" w:type="dxa"/>
          </w:tcPr>
          <w:p>
            <w:pPr>
              <w:pStyle w:val="yTableNAm"/>
              <w:jc w:val="right"/>
            </w:pPr>
            <w:r>
              <w:t>10.50</w:t>
            </w:r>
          </w:p>
        </w:tc>
      </w:tr>
      <w:tr>
        <w:trPr>
          <w:trHeight w:val="465"/>
          <w:tblHeader/>
        </w:trPr>
        <w:tc>
          <w:tcPr>
            <w:tcW w:w="992" w:type="dxa"/>
          </w:tcPr>
          <w:p>
            <w:pPr>
              <w:pStyle w:val="yTableNAm"/>
            </w:pPr>
            <w:r>
              <w:t>5.</w:t>
            </w:r>
          </w:p>
        </w:tc>
        <w:tc>
          <w:tcPr>
            <w:tcW w:w="4253" w:type="dxa"/>
          </w:tcPr>
          <w:p>
            <w:pPr>
              <w:pStyle w:val="yTableNAm"/>
            </w:pPr>
            <w:r>
              <w:t xml:space="preserve">Certificate as to an individual registration in register — </w:t>
            </w:r>
          </w:p>
          <w:p>
            <w:pPr>
              <w:pStyle w:val="yTableNAm"/>
            </w:pPr>
            <w:r>
              <w:t>first page</w:t>
            </w:r>
          </w:p>
          <w:p>
            <w:pPr>
              <w:pStyle w:val="yTableNAm"/>
            </w:pPr>
            <w:r>
              <w:t>each subsequent page</w:t>
            </w:r>
          </w:p>
        </w:tc>
        <w:tc>
          <w:tcPr>
            <w:tcW w:w="992" w:type="dxa"/>
          </w:tcPr>
          <w:p>
            <w:pPr>
              <w:pStyle w:val="yTableNAm"/>
              <w:jc w:val="right"/>
            </w:pPr>
            <w:r>
              <w:br/>
            </w:r>
          </w:p>
          <w:p>
            <w:pPr>
              <w:pStyle w:val="yTableNAm"/>
              <w:jc w:val="right"/>
            </w:pPr>
            <w:r>
              <w:t>10.50</w:t>
            </w:r>
          </w:p>
          <w:p>
            <w:pPr>
              <w:pStyle w:val="yTableNAm"/>
              <w:jc w:val="right"/>
            </w:pPr>
            <w:r>
              <w:t>2.00</w:t>
            </w:r>
          </w:p>
        </w:tc>
      </w:tr>
      <w:tr>
        <w:trPr>
          <w:trHeight w:val="465"/>
          <w:tblHeader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NAm"/>
            </w:pPr>
            <w:r>
              <w:t>6.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NAm"/>
            </w:pPr>
            <w:r>
              <w:t>Certificate as to all registrations in register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NAm"/>
              <w:jc w:val="right"/>
            </w:pPr>
            <w:r>
              <w:t>129.00</w:t>
            </w:r>
          </w:p>
        </w:tc>
      </w:tr>
    </w:tbl>
    <w:p>
      <w:pPr>
        <w:pStyle w:val="yFootnotesection"/>
      </w:pPr>
      <w:r>
        <w:tab/>
        <w:t>[Schedule 1 inserted in Gazette 22 Jun 2011 p. 2364.]</w:t>
      </w:r>
    </w:p>
    <w:p>
      <w:pPr>
        <w:pStyle w:val="yScheduleHeading"/>
      </w:pPr>
      <w:bookmarkStart w:id="55" w:name="_Toc297277252"/>
      <w:r>
        <w:rPr>
          <w:rStyle w:val="CharSchNo"/>
        </w:rPr>
        <w:t>Schedule 2</w:t>
      </w:r>
      <w:r>
        <w:t> — </w:t>
      </w:r>
      <w:r>
        <w:rPr>
          <w:rStyle w:val="CharSchText"/>
        </w:rPr>
        <w:t>Prescribed offences and modified penalties</w:t>
      </w:r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</w:p>
    <w:p>
      <w:pPr>
        <w:pStyle w:val="yShoulderClause"/>
      </w:pPr>
      <w:r>
        <w:t>[r. 10]</w:t>
      </w:r>
    </w:p>
    <w:p>
      <w:pPr>
        <w:pStyle w:val="yFootnoteheading"/>
        <w:spacing w:after="40"/>
      </w:pPr>
      <w:r>
        <w:tab/>
        <w:t>[Heading inserted in Gazette 22 Sep 2006 p. 4120.]</w:t>
      </w:r>
    </w:p>
    <w:tbl>
      <w:tblPr>
        <w:tblW w:w="0" w:type="auto"/>
        <w:tblInd w:w="57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276"/>
        <w:gridCol w:w="4629"/>
        <w:gridCol w:w="1175"/>
      </w:tblGrid>
      <w:tr>
        <w:trPr>
          <w:cantSplit/>
          <w:trHeight w:val="28"/>
        </w:trPr>
        <w:tc>
          <w:tcPr>
            <w:tcW w:w="590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rPr>
                <w:b/>
              </w:rPr>
              <w:br/>
              <w:t xml:space="preserve">Offences under </w:t>
            </w:r>
            <w:r>
              <w:rPr>
                <w:b/>
                <w:i/>
              </w:rPr>
              <w:t>Land Valuers Licensing Act 1978</w:t>
            </w:r>
          </w:p>
        </w:tc>
        <w:tc>
          <w:tcPr>
            <w:tcW w:w="1175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rPr>
                <w:b/>
              </w:rPr>
              <w:t>Modified penalty</w:t>
            </w:r>
          </w:p>
        </w:tc>
      </w:tr>
      <w:tr>
        <w:trPr>
          <w:cantSplit/>
          <w:trHeight w:val="21"/>
        </w:trPr>
        <w:tc>
          <w:tcPr>
            <w:tcW w:w="1276" w:type="dxa"/>
          </w:tcPr>
          <w:p>
            <w:pPr>
              <w:pStyle w:val="yTable"/>
            </w:pPr>
            <w:r>
              <w:t>s. 23(1)</w:t>
            </w:r>
          </w:p>
        </w:tc>
        <w:tc>
          <w:tcPr>
            <w:tcW w:w="4629" w:type="dxa"/>
          </w:tcPr>
          <w:p>
            <w:pPr>
              <w:pStyle w:val="yTable"/>
            </w:pPr>
            <w:r>
              <w:t>Unlicensed person on business as land valuer ........</w:t>
            </w:r>
          </w:p>
        </w:tc>
        <w:tc>
          <w:tcPr>
            <w:tcW w:w="1175" w:type="dxa"/>
          </w:tcPr>
          <w:p>
            <w:pPr>
              <w:pStyle w:val="yTable"/>
            </w:pPr>
            <w:r>
              <w:t>$100</w:t>
            </w:r>
          </w:p>
        </w:tc>
      </w:tr>
      <w:tr>
        <w:trPr>
          <w:cantSplit/>
          <w:trHeight w:val="21"/>
        </w:trPr>
        <w:tc>
          <w:tcPr>
            <w:tcW w:w="1276" w:type="dxa"/>
          </w:tcPr>
          <w:p>
            <w:pPr>
              <w:pStyle w:val="yTable"/>
            </w:pPr>
            <w:r>
              <w:t>s. 24</w:t>
            </w:r>
          </w:p>
        </w:tc>
        <w:tc>
          <w:tcPr>
            <w:tcW w:w="4629" w:type="dxa"/>
          </w:tcPr>
          <w:p>
            <w:pPr>
              <w:pStyle w:val="yTable"/>
            </w:pPr>
            <w:r>
              <w:t>Unlicensed person claiming to be licensed .............</w:t>
            </w:r>
          </w:p>
        </w:tc>
        <w:tc>
          <w:tcPr>
            <w:tcW w:w="1175" w:type="dxa"/>
          </w:tcPr>
          <w:p>
            <w:pPr>
              <w:pStyle w:val="yTable"/>
            </w:pPr>
            <w:r>
              <w:t>$100</w:t>
            </w:r>
          </w:p>
        </w:tc>
      </w:tr>
      <w:tr>
        <w:trPr>
          <w:cantSplit/>
          <w:trHeight w:val="21"/>
        </w:trPr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yTable"/>
            </w:pPr>
            <w:r>
              <w:t>s. 25(3)</w:t>
            </w:r>
          </w:p>
        </w:tc>
        <w:tc>
          <w:tcPr>
            <w:tcW w:w="4629" w:type="dxa"/>
            <w:tcBorders>
              <w:bottom w:val="single" w:sz="4" w:space="0" w:color="auto"/>
            </w:tcBorders>
          </w:tcPr>
          <w:p>
            <w:pPr>
              <w:pStyle w:val="yTable"/>
            </w:pPr>
            <w:r>
              <w:t>Demanding or receiving remuneration in excess of permitted amount ................................................</w:t>
            </w:r>
          </w:p>
        </w:tc>
        <w:tc>
          <w:tcPr>
            <w:tcW w:w="1175" w:type="dxa"/>
            <w:tcBorders>
              <w:bottom w:val="single" w:sz="4" w:space="0" w:color="auto"/>
            </w:tcBorders>
          </w:tcPr>
          <w:p>
            <w:pPr>
              <w:pStyle w:val="yTable"/>
            </w:pPr>
            <w:r>
              <w:br/>
              <w:t>$100</w:t>
            </w:r>
          </w:p>
        </w:tc>
      </w:tr>
      <w:tr>
        <w:trPr>
          <w:cantSplit/>
          <w:trHeight w:val="28"/>
        </w:trPr>
        <w:tc>
          <w:tcPr>
            <w:tcW w:w="590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rPr>
                <w:b/>
              </w:rPr>
              <w:br/>
              <w:t xml:space="preserve">Offences under </w:t>
            </w:r>
            <w:r>
              <w:rPr>
                <w:b/>
                <w:i/>
              </w:rPr>
              <w:t>Land Valuers Licensing Regulations 1979</w:t>
            </w:r>
          </w:p>
        </w:tc>
        <w:tc>
          <w:tcPr>
            <w:tcW w:w="1175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rPr>
                <w:b/>
              </w:rPr>
              <w:t>Modified penalty</w:t>
            </w:r>
          </w:p>
        </w:tc>
      </w:tr>
      <w:tr>
        <w:trPr>
          <w:cantSplit/>
          <w:trHeight w:val="21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t>r. 7</w:t>
            </w:r>
          </w:p>
        </w:tc>
        <w:tc>
          <w:tcPr>
            <w:tcW w:w="4629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t xml:space="preserve">Failing to notify </w:t>
            </w:r>
            <w:r>
              <w:rPr>
                <w:iCs/>
                <w:szCs w:val="22"/>
              </w:rPr>
              <w:t>Commissioner</w:t>
            </w:r>
            <w:r>
              <w:t xml:space="preserve"> of change of particulars.</w:t>
            </w:r>
          </w:p>
        </w:tc>
        <w:tc>
          <w:tcPr>
            <w:tcW w:w="1175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t>$20</w:t>
            </w:r>
          </w:p>
        </w:tc>
      </w:tr>
    </w:tbl>
    <w:p>
      <w:pPr>
        <w:pStyle w:val="yFootnotesection"/>
      </w:pPr>
      <w:r>
        <w:tab/>
        <w:t>[Schedule 2 inserted in Gazette 22 Sep 2006 p. 4120; amended in Gazette 30 Jun 2011 p. 2651.]</w:t>
      </w:r>
    </w:p>
    <w:p>
      <w:pPr>
        <w:pStyle w:val="yScheduleHeading"/>
      </w:pPr>
      <w:bookmarkStart w:id="56" w:name="_Toc146619022"/>
      <w:bookmarkStart w:id="57" w:name="_Toc146697348"/>
      <w:bookmarkStart w:id="58" w:name="_Toc170185416"/>
      <w:bookmarkStart w:id="59" w:name="_Toc170725080"/>
      <w:bookmarkStart w:id="60" w:name="_Toc189626351"/>
      <w:bookmarkStart w:id="61" w:name="_Toc189627518"/>
      <w:bookmarkStart w:id="62" w:name="_Toc195071825"/>
      <w:bookmarkStart w:id="63" w:name="_Toc197234337"/>
      <w:bookmarkStart w:id="64" w:name="_Toc197235958"/>
      <w:bookmarkStart w:id="65" w:name="_Toc202520758"/>
      <w:bookmarkStart w:id="66" w:name="_Toc233701185"/>
      <w:bookmarkStart w:id="67" w:name="_Toc233701436"/>
      <w:bookmarkStart w:id="68" w:name="_Toc265667676"/>
      <w:bookmarkStart w:id="69" w:name="_Toc297277253"/>
      <w:r>
        <w:rPr>
          <w:rStyle w:val="CharSchNo"/>
        </w:rPr>
        <w:t>Schedule 3</w:t>
      </w:r>
      <w:r>
        <w:t> — </w:t>
      </w:r>
      <w:r>
        <w:rPr>
          <w:rStyle w:val="CharSchText"/>
        </w:rPr>
        <w:t>Forms</w:t>
      </w:r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</w:p>
    <w:p>
      <w:pPr>
        <w:pStyle w:val="yShoulderClause"/>
        <w:spacing w:before="0"/>
      </w:pPr>
      <w:r>
        <w:t>[r. 11]</w:t>
      </w:r>
    </w:p>
    <w:p>
      <w:pPr>
        <w:pStyle w:val="yFootnoteheading"/>
        <w:spacing w:before="0"/>
      </w:pPr>
      <w:r>
        <w:tab/>
        <w:t>[Heading inserted in Gazette 22 Sep 2006 p. 4120.]</w:t>
      </w:r>
    </w:p>
    <w:p>
      <w:pPr>
        <w:pStyle w:val="yMiscellaneousBody"/>
        <w:spacing w:before="120" w:after="60"/>
        <w:rPr>
          <w:b/>
          <w:bCs/>
        </w:rPr>
      </w:pPr>
      <w:r>
        <w:rPr>
          <w:b/>
          <w:bCs/>
        </w:rPr>
        <w:t>Form 1 — Infringement notice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40"/>
        <w:gridCol w:w="3522"/>
        <w:gridCol w:w="2118"/>
      </w:tblGrid>
      <w:tr>
        <w:trPr>
          <w:cantSplit/>
          <w:trHeight w:val="282"/>
        </w:trPr>
        <w:tc>
          <w:tcPr>
            <w:tcW w:w="4962" w:type="dxa"/>
            <w:gridSpan w:val="2"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br w:type="page"/>
            </w:r>
            <w:r>
              <w:rPr>
                <w:i/>
                <w:sz w:val="20"/>
              </w:rPr>
              <w:t>Land Valuers Licensing Act 1978</w:t>
            </w:r>
          </w:p>
          <w:p>
            <w:pPr>
              <w:pStyle w:val="yTable"/>
              <w:keepNext/>
              <w:spacing w:before="0"/>
              <w:rPr>
                <w:b/>
                <w:sz w:val="28"/>
              </w:rPr>
            </w:pPr>
            <w:r>
              <w:rPr>
                <w:b/>
                <w:sz w:val="28"/>
              </w:rPr>
              <w:t>Infringement notice</w:t>
            </w:r>
          </w:p>
        </w:tc>
        <w:tc>
          <w:tcPr>
            <w:tcW w:w="2118" w:type="dxa"/>
            <w:tcBorders>
              <w:bottom w:val="single" w:sz="4" w:space="0" w:color="auto"/>
            </w:tcBorders>
          </w:tcPr>
          <w:p>
            <w:pPr>
              <w:pStyle w:val="yTable"/>
              <w:keepNext/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Infringement </w:t>
            </w:r>
            <w:r>
              <w:rPr>
                <w:sz w:val="20"/>
              </w:rPr>
              <w:br/>
              <w:t>notice no.</w:t>
            </w:r>
          </w:p>
        </w:tc>
      </w:tr>
      <w:tr>
        <w:trPr>
          <w:cantSplit/>
          <w:trHeight w:val="150"/>
        </w:trPr>
        <w:tc>
          <w:tcPr>
            <w:tcW w:w="1440" w:type="dxa"/>
            <w:vMerge w:val="restart"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>
        <w:trPr>
          <w:cantSplit/>
          <w:trHeight w:val="150"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>
        <w:trPr>
          <w:cantSplit/>
          <w:trHeight w:val="150"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>or</w:t>
            </w:r>
            <w:r>
              <w:rPr>
                <w:sz w:val="20"/>
              </w:rPr>
              <w:tab/>
              <w:t>Company name ____________________________________</w:t>
            </w:r>
          </w:p>
          <w:p>
            <w:pPr>
              <w:pStyle w:val="yTable"/>
              <w:keepNext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ACN</w:t>
            </w:r>
          </w:p>
        </w:tc>
      </w:tr>
      <w:tr>
        <w:trPr>
          <w:cantSplit/>
          <w:trHeight w:val="150"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74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Address ________________________________________________</w:t>
            </w:r>
          </w:p>
          <w:p>
            <w:pPr>
              <w:pStyle w:val="yTable"/>
              <w:keepNext/>
              <w:tabs>
                <w:tab w:val="left" w:pos="3719"/>
              </w:tabs>
              <w:spacing w:before="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>
        <w:trPr>
          <w:cantSplit/>
        </w:trPr>
        <w:tc>
          <w:tcPr>
            <w:tcW w:w="1440" w:type="dxa"/>
            <w:vMerge w:val="restart"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563"/>
              </w:tabs>
              <w:spacing w:before="0" w:after="40"/>
              <w:ind w:right="-249"/>
              <w:rPr>
                <w:sz w:val="20"/>
              </w:rPr>
            </w:pPr>
            <w:r>
              <w:rPr>
                <w:sz w:val="20"/>
              </w:rPr>
              <w:t>Description of offence _____________________________________</w:t>
            </w:r>
          </w:p>
        </w:tc>
      </w:tr>
      <w:tr>
        <w:trPr>
          <w:cantSplit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 xml:space="preserve">Land Valuers Licensing Act 1978 </w:t>
            </w:r>
            <w:r>
              <w:rPr>
                <w:sz w:val="20"/>
              </w:rPr>
              <w:t>s.</w:t>
            </w:r>
          </w:p>
          <w:p>
            <w:pPr>
              <w:pStyle w:val="yTable"/>
              <w:keepNext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>Land Valuers Licensing Regulations 1979</w:t>
            </w:r>
            <w:r>
              <w:rPr>
                <w:sz w:val="20"/>
              </w:rPr>
              <w:t xml:space="preserve"> r. </w:t>
            </w:r>
          </w:p>
        </w:tc>
      </w:tr>
      <w:tr>
        <w:trPr>
          <w:cantSplit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tabs>
                <w:tab w:val="left" w:pos="1168"/>
                <w:tab w:val="left" w:pos="1734"/>
                <w:tab w:val="left" w:pos="2869"/>
                <w:tab w:val="left" w:pos="4144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 xml:space="preserve">Time </w:t>
            </w:r>
            <w:r>
              <w:rPr>
                <w:sz w:val="20"/>
              </w:rPr>
              <w:tab/>
              <w:t>a.m./p.m.</w:t>
            </w:r>
          </w:p>
        </w:tc>
      </w:tr>
      <w:tr>
        <w:trPr>
          <w:cantSplit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Modified penalty  $</w:t>
            </w:r>
          </w:p>
        </w:tc>
      </w:tr>
      <w:tr>
        <w:trPr>
          <w:cantSplit/>
        </w:trPr>
        <w:tc>
          <w:tcPr>
            <w:tcW w:w="1440" w:type="dxa"/>
            <w:vMerge w:val="restart"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Officer issuing notice</w:t>
            </w: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563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>
        <w:trPr>
          <w:cantSplit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>
        <w:trPr>
          <w:cantSplit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>
        <w:tc>
          <w:tcPr>
            <w:tcW w:w="1440" w:type="dxa"/>
            <w:tcBorders>
              <w:bottom w:val="single" w:sz="4" w:space="0" w:color="auto"/>
            </w:tcBorders>
          </w:tcPr>
          <w:p>
            <w:pPr>
              <w:pStyle w:val="yTable"/>
              <w:keepNext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Date </w:t>
            </w:r>
          </w:p>
        </w:tc>
        <w:tc>
          <w:tcPr>
            <w:tcW w:w="5640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tabs>
                <w:tab w:val="left" w:pos="1876"/>
                <w:tab w:val="left" w:pos="2585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notice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c>
          <w:tcPr>
            <w:tcW w:w="1440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Notice to alleged offender </w:t>
            </w:r>
          </w:p>
        </w:tc>
        <w:tc>
          <w:tcPr>
            <w:tcW w:w="5640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It is alleged that you have committed the above offence.</w:t>
            </w:r>
          </w:p>
          <w:p>
            <w:pPr>
              <w:pStyle w:val="yTable"/>
              <w:tabs>
                <w:tab w:val="left" w:pos="1451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If you do not want to be prosecuted in court for the offence, pay the modified penalty within 28 days after the date of this notice.</w:t>
            </w:r>
          </w:p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How to pay</w:t>
            </w:r>
          </w:p>
          <w:p>
            <w:pPr>
              <w:pStyle w:val="yTable"/>
              <w:tabs>
                <w:tab w:val="left" w:pos="884"/>
              </w:tabs>
              <w:spacing w:before="0"/>
              <w:ind w:left="913" w:hanging="737"/>
              <w:rPr>
                <w:sz w:val="20"/>
              </w:rPr>
            </w:pPr>
            <w:r>
              <w:rPr>
                <w:b/>
                <w:sz w:val="20"/>
              </w:rPr>
              <w:t>By post:</w:t>
            </w:r>
            <w:r>
              <w:rPr>
                <w:sz w:val="20"/>
              </w:rPr>
              <w:t xml:space="preserve"> Send a cheque or money order (payable to ‘Approved Officer — </w:t>
            </w:r>
            <w:r>
              <w:rPr>
                <w:i/>
                <w:sz w:val="20"/>
              </w:rPr>
              <w:t>Land Valuers Licensing Act 1978</w:t>
            </w:r>
            <w:r>
              <w:rPr>
                <w:sz w:val="20"/>
              </w:rPr>
              <w:t>’) to:</w:t>
            </w:r>
          </w:p>
          <w:p>
            <w:pPr>
              <w:pStyle w:val="yTable"/>
              <w:spacing w:before="0"/>
              <w:ind w:left="601"/>
              <w:rPr>
                <w:i/>
                <w:sz w:val="20"/>
              </w:rPr>
            </w:pPr>
            <w:r>
              <w:rPr>
                <w:sz w:val="20"/>
              </w:rPr>
              <w:t xml:space="preserve">Approved Officer — </w:t>
            </w:r>
            <w:r>
              <w:rPr>
                <w:i/>
                <w:sz w:val="20"/>
              </w:rPr>
              <w:t>Land Valuers Licensing Act 1978</w:t>
            </w:r>
          </w:p>
          <w:p>
            <w:pPr>
              <w:pStyle w:val="yTable"/>
              <w:spacing w:before="0"/>
              <w:ind w:left="601"/>
              <w:rPr>
                <w:iCs/>
                <w:szCs w:val="22"/>
              </w:rPr>
            </w:pPr>
            <w:r>
              <w:rPr>
                <w:sz w:val="20"/>
              </w:rPr>
              <w:t>Department</w:t>
            </w:r>
            <w:r>
              <w:rPr>
                <w:iCs/>
                <w:szCs w:val="22"/>
              </w:rPr>
              <w:t xml:space="preserve"> of Commerce — Consumer Protection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 xml:space="preserve">Locked Bag </w:t>
            </w:r>
            <w:smartTag w:uri="urn:schemas-microsoft-com:office:smarttags" w:element="Street">
              <w:smartTag w:uri="urn:schemas-microsoft-com:office:smarttags" w:element="address">
                <w:r>
                  <w:rPr>
                    <w:sz w:val="20"/>
                  </w:rPr>
                  <w:t>14  Cloisters Square</w:t>
                </w:r>
              </w:smartTag>
            </w:smartTag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smartTag w:uri="urn:schemas-microsoft-com:office:smarttags" w:element="place">
              <w:smartTag w:uri="urn:schemas-microsoft-com:office:smarttags" w:element="City">
                <w:r>
                  <w:rPr>
                    <w:sz w:val="20"/>
                  </w:rPr>
                  <w:t>Perth</w:t>
                </w:r>
              </w:smartTag>
              <w:r>
                <w:rPr>
                  <w:sz w:val="20"/>
                </w:rPr>
                <w:t xml:space="preserve">  </w:t>
              </w:r>
              <w:smartTag w:uri="urn:schemas-microsoft-com:office:smarttags" w:element="State">
                <w:r>
                  <w:rPr>
                    <w:sz w:val="20"/>
                  </w:rPr>
                  <w:t>WA</w:t>
                </w:r>
              </w:smartTag>
            </w:smartTag>
            <w:r>
              <w:rPr>
                <w:sz w:val="20"/>
              </w:rPr>
              <w:t xml:space="preserve">  6850</w:t>
            </w:r>
          </w:p>
          <w:p>
            <w:pPr>
              <w:pStyle w:val="yTable"/>
              <w:spacing w:before="0"/>
              <w:ind w:left="175"/>
              <w:rPr>
                <w:sz w:val="20"/>
              </w:rPr>
            </w:pPr>
            <w:r>
              <w:rPr>
                <w:b/>
                <w:sz w:val="20"/>
              </w:rPr>
              <w:t>In person:</w:t>
            </w:r>
            <w:r>
              <w:rPr>
                <w:sz w:val="20"/>
              </w:rPr>
              <w:t xml:space="preserve"> Pay the cashier at:</w:t>
            </w:r>
          </w:p>
          <w:p>
            <w:pPr>
              <w:pStyle w:val="yTable"/>
              <w:spacing w:before="0"/>
              <w:ind w:left="601"/>
              <w:rPr>
                <w:iCs/>
                <w:szCs w:val="22"/>
              </w:rPr>
            </w:pPr>
            <w:r>
              <w:rPr>
                <w:sz w:val="20"/>
              </w:rPr>
              <w:t>Department</w:t>
            </w:r>
            <w:r>
              <w:rPr>
                <w:iCs/>
                <w:szCs w:val="22"/>
              </w:rPr>
              <w:t xml:space="preserve"> of Commerce — Consumer Protection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 xml:space="preserve">219 </w:t>
            </w:r>
            <w:smartTag w:uri="urn:schemas-microsoft-com:office:smarttags" w:element="City">
              <w:r>
                <w:rPr>
                  <w:sz w:val="20"/>
                </w:rPr>
                <w:t>St George’s</w:t>
              </w:r>
            </w:smartTag>
            <w:r>
              <w:rPr>
                <w:sz w:val="20"/>
              </w:rPr>
              <w:t xml:space="preserve"> Terrace,  </w:t>
            </w:r>
            <w:smartTag w:uri="urn:schemas-microsoft-com:office:smarttags" w:element="place">
              <w:smartTag w:uri="urn:schemas-microsoft-com:office:smarttags" w:element="City">
                <w:r>
                  <w:rPr>
                    <w:sz w:val="20"/>
                  </w:rPr>
                  <w:t>Perth</w:t>
                </w:r>
              </w:smartTag>
              <w:r>
                <w:rPr>
                  <w:sz w:val="20"/>
                </w:rPr>
                <w:t xml:space="preserve">  </w:t>
              </w:r>
              <w:smartTag w:uri="urn:schemas-microsoft-com:office:smarttags" w:element="State">
                <w:r>
                  <w:rPr>
                    <w:sz w:val="20"/>
                  </w:rPr>
                  <w:t>WA</w:t>
                </w:r>
              </w:smartTag>
            </w:smartTag>
          </w:p>
          <w:p>
            <w:pPr>
              <w:pStyle w:val="yTable"/>
              <w:spacing w:before="0"/>
              <w:rPr>
                <w:sz w:val="20"/>
              </w:rPr>
            </w:pPr>
            <w:r>
              <w:rPr>
                <w:b/>
                <w:sz w:val="20"/>
              </w:rPr>
              <w:t>If you do not pay</w:t>
            </w:r>
            <w:r>
              <w:rPr>
                <w:sz w:val="20"/>
              </w:rPr>
              <w:t xml:space="preserve"> the modified penalty within 28 days, you may be prosecuted or enforcement action may be taken under the </w:t>
            </w:r>
            <w:r>
              <w:rPr>
                <w:i/>
                <w:sz w:val="20"/>
              </w:rPr>
              <w:t>Fines, Penalties and Infringement Notices Enforcement Act 1994</w:t>
            </w:r>
            <w:r>
              <w:rPr>
                <w:sz w:val="20"/>
              </w:rPr>
              <w:t>.  Under that Act your driver’s licence and/or vehicle licence may be suspended.</w:t>
            </w:r>
          </w:p>
          <w:p>
            <w:pPr>
              <w:pStyle w:val="yTable"/>
              <w:spacing w:before="0"/>
              <w:rPr>
                <w:sz w:val="20"/>
              </w:rPr>
            </w:pPr>
            <w:r>
              <w:rPr>
                <w:b/>
                <w:sz w:val="20"/>
              </w:rPr>
              <w:t>If you need more time</w:t>
            </w:r>
            <w:r>
              <w:rPr>
                <w:sz w:val="20"/>
              </w:rPr>
              <w:t xml:space="preserve"> to pay the modified penalty, you can apply for an extension of time by writing to the Approved Officer at the above postal address.</w:t>
            </w:r>
          </w:p>
        </w:tc>
      </w:tr>
      <w:tr>
        <w:tc>
          <w:tcPr>
            <w:tcW w:w="1440" w:type="dxa"/>
            <w:tcBorders>
              <w:top w:val="single" w:sz="4" w:space="0" w:color="auto"/>
            </w:tcBorders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b/>
                <w:sz w:val="20"/>
              </w:rPr>
              <w:t>If you want this matter to be dealt with by prosecution in court</w:t>
            </w:r>
            <w:r>
              <w:rPr>
                <w:sz w:val="20"/>
              </w:rPr>
              <w:t>, sign here ______________________________________________</w:t>
            </w:r>
            <w:r>
              <w:rPr>
                <w:sz w:val="20"/>
              </w:rPr>
              <w:br/>
              <w:t>and post this notice to the Approved Officer at the above postal address within 28 days after the date of this notice.</w:t>
            </w:r>
          </w:p>
        </w:tc>
      </w:tr>
    </w:tbl>
    <w:p>
      <w:pPr>
        <w:pStyle w:val="yFootnotesection"/>
      </w:pPr>
      <w:r>
        <w:tab/>
        <w:t>[Form 1 inserted in Gazette 22 Sep 2006 p. 4120</w:t>
      </w:r>
      <w:r>
        <w:noBreakHyphen/>
        <w:t>1; amended in Gazette 30 Jun 2011 p. 2651.]</w:t>
      </w:r>
    </w:p>
    <w:p>
      <w:pPr>
        <w:pStyle w:val="yMiscellaneousBody"/>
        <w:pageBreakBefore/>
        <w:spacing w:after="80"/>
        <w:rPr>
          <w:b/>
        </w:rPr>
      </w:pPr>
      <w:r>
        <w:rPr>
          <w:b/>
        </w:rPr>
        <w:t>Form 2 — Withdrawal of infringement notice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8"/>
        <w:gridCol w:w="3544"/>
        <w:gridCol w:w="2118"/>
      </w:tblGrid>
      <w:tr>
        <w:trPr>
          <w:cantSplit/>
          <w:trHeight w:val="282"/>
        </w:trPr>
        <w:tc>
          <w:tcPr>
            <w:tcW w:w="4962" w:type="dxa"/>
            <w:gridSpan w:val="2"/>
          </w:tcPr>
          <w:p>
            <w:pPr>
              <w:pStyle w:val="yTable"/>
              <w:spacing w:before="0"/>
              <w:rPr>
                <w:b/>
                <w:i/>
                <w:sz w:val="20"/>
              </w:rPr>
            </w:pPr>
            <w:r>
              <w:rPr>
                <w:i/>
                <w:sz w:val="20"/>
              </w:rPr>
              <w:t>Land Valuers Licensing Act 1978</w:t>
            </w:r>
          </w:p>
          <w:p>
            <w:pPr>
              <w:pStyle w:val="yTable"/>
              <w:spacing w:before="0"/>
              <w:rPr>
                <w:b/>
                <w:sz w:val="28"/>
              </w:rPr>
            </w:pPr>
            <w:r>
              <w:rPr>
                <w:b/>
                <w:sz w:val="28"/>
              </w:rPr>
              <w:t>Withdrawal of infringement notice</w:t>
            </w:r>
          </w:p>
        </w:tc>
        <w:tc>
          <w:tcPr>
            <w:tcW w:w="2118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Withdrawal no.</w:t>
            </w:r>
          </w:p>
        </w:tc>
      </w:tr>
      <w:tr>
        <w:trPr>
          <w:cantSplit/>
          <w:trHeight w:val="150"/>
        </w:trPr>
        <w:tc>
          <w:tcPr>
            <w:tcW w:w="1418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>
        <w:trPr>
          <w:cantSplit/>
          <w:trHeight w:val="150"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>
        <w:trPr>
          <w:cantSplit/>
          <w:trHeight w:val="150"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>or</w:t>
            </w:r>
            <w:r>
              <w:rPr>
                <w:sz w:val="20"/>
              </w:rPr>
              <w:tab/>
              <w:t>Company name _____________________________________</w:t>
            </w:r>
          </w:p>
          <w:p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ACN</w:t>
            </w:r>
          </w:p>
        </w:tc>
      </w:tr>
      <w:tr>
        <w:trPr>
          <w:cantSplit/>
          <w:trHeight w:val="150"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74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Address _________________________________________________</w:t>
            </w:r>
          </w:p>
          <w:p>
            <w:pPr>
              <w:pStyle w:val="yTable"/>
              <w:tabs>
                <w:tab w:val="left" w:pos="3719"/>
              </w:tabs>
              <w:spacing w:before="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>
        <w:trPr>
          <w:cantSplit/>
        </w:trPr>
        <w:tc>
          <w:tcPr>
            <w:tcW w:w="1418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Infringement notice</w:t>
            </w:r>
          </w:p>
        </w:tc>
        <w:tc>
          <w:tcPr>
            <w:tcW w:w="5662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Infringement notice no.</w:t>
            </w: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1644"/>
                <w:tab w:val="left" w:pos="2211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issue 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rPr>
          <w:cantSplit/>
        </w:trPr>
        <w:tc>
          <w:tcPr>
            <w:tcW w:w="1418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56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Description of offence ____________________________________</w:t>
            </w:r>
          </w:p>
          <w:p>
            <w:pPr>
              <w:pStyle w:val="yTable"/>
              <w:tabs>
                <w:tab w:val="left" w:pos="563"/>
              </w:tabs>
              <w:spacing w:before="0"/>
              <w:rPr>
                <w:sz w:val="20"/>
              </w:rPr>
            </w:pP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 xml:space="preserve">Land Valuers Licensing Act 1978 </w:t>
            </w:r>
            <w:r>
              <w:rPr>
                <w:sz w:val="20"/>
              </w:rPr>
              <w:t>s.</w:t>
            </w:r>
          </w:p>
          <w:p>
            <w:pPr>
              <w:pStyle w:val="yTable"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>Land Valuers Licensing Regulations 1979</w:t>
            </w:r>
            <w:r>
              <w:rPr>
                <w:sz w:val="20"/>
              </w:rPr>
              <w:t xml:space="preserve"> r. </w:t>
            </w: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1219"/>
                <w:tab w:val="left" w:pos="1786"/>
                <w:tab w:val="left" w:pos="3203"/>
                <w:tab w:val="left" w:pos="4337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>Time</w:t>
            </w:r>
            <w:r>
              <w:rPr>
                <w:sz w:val="20"/>
              </w:rPr>
              <w:tab/>
              <w:t>a.m./p.m.</w:t>
            </w:r>
          </w:p>
        </w:tc>
      </w:tr>
      <w:tr>
        <w:trPr>
          <w:cantSplit/>
        </w:trPr>
        <w:tc>
          <w:tcPr>
            <w:tcW w:w="1418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Officer withdrawing notice</w:t>
            </w: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563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>
        <w:tc>
          <w:tcPr>
            <w:tcW w:w="1418" w:type="dxa"/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>Date</w:t>
            </w:r>
          </w:p>
        </w:tc>
        <w:tc>
          <w:tcPr>
            <w:tcW w:w="5662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tabs>
                <w:tab w:val="left" w:pos="2069"/>
                <w:tab w:val="left" w:pos="2636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withdrawal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rPr>
          <w:cantSplit/>
          <w:trHeight w:val="3040"/>
        </w:trPr>
        <w:tc>
          <w:tcPr>
            <w:tcW w:w="1418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>Withdrawal of infringement notice</w:t>
            </w:r>
          </w:p>
          <w:p>
            <w:pPr>
              <w:pStyle w:val="yTable"/>
              <w:spacing w:before="0"/>
              <w:ind w:right="-108"/>
              <w:rPr>
                <w:i/>
                <w:sz w:val="16"/>
              </w:rPr>
            </w:pPr>
          </w:p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i/>
                <w:sz w:val="16"/>
              </w:rPr>
              <w:t xml:space="preserve">[*delete </w:t>
            </w:r>
            <w:r>
              <w:rPr>
                <w:i/>
                <w:sz w:val="16"/>
              </w:rPr>
              <w:br/>
              <w:t>whichever</w:t>
            </w:r>
            <w:r>
              <w:rPr>
                <w:i/>
                <w:sz w:val="16"/>
              </w:rPr>
              <w:br/>
              <w:t>is not applicable]</w:t>
            </w:r>
          </w:p>
        </w:tc>
        <w:tc>
          <w:tcPr>
            <w:tcW w:w="5662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The above infringement notice issued against you has been withdrawn.</w:t>
            </w:r>
          </w:p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If you have already paid the modified penalty for the alleged offence you are entitled to a refund.</w:t>
            </w:r>
          </w:p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>Your refund is enclosed.</w:t>
            </w:r>
          </w:p>
          <w:p>
            <w:pPr>
              <w:pStyle w:val="yTable"/>
              <w:tabs>
                <w:tab w:val="left" w:pos="317"/>
              </w:tabs>
              <w:spacing w:before="0"/>
              <w:ind w:left="317" w:hanging="317"/>
              <w:rPr>
                <w:i/>
                <w:sz w:val="20"/>
              </w:rPr>
            </w:pPr>
            <w:r>
              <w:rPr>
                <w:i/>
                <w:sz w:val="20"/>
              </w:rPr>
              <w:t>or</w:t>
            </w:r>
          </w:p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>If you have paid the modified penalty but a refund is not enclosed, to claim your refund sign this notice and post it to:</w:t>
            </w:r>
          </w:p>
          <w:p>
            <w:pPr>
              <w:pStyle w:val="yTable"/>
              <w:spacing w:before="0"/>
              <w:ind w:left="510" w:hanging="1"/>
              <w:rPr>
                <w:i/>
                <w:sz w:val="20"/>
              </w:rPr>
            </w:pPr>
            <w:r>
              <w:rPr>
                <w:sz w:val="20"/>
              </w:rPr>
              <w:tab/>
              <w:t xml:space="preserve">Approved Officer — </w:t>
            </w:r>
            <w:r>
              <w:rPr>
                <w:i/>
                <w:sz w:val="20"/>
              </w:rPr>
              <w:t>Land Valuers Licensing Act 1978</w:t>
            </w:r>
          </w:p>
          <w:p>
            <w:pPr>
              <w:pStyle w:val="yTable"/>
              <w:spacing w:before="0"/>
              <w:ind w:left="510"/>
              <w:rPr>
                <w:sz w:val="20"/>
              </w:rPr>
            </w:pPr>
            <w:r>
              <w:rPr>
                <w:iCs/>
                <w:szCs w:val="22"/>
              </w:rPr>
              <w:t>Department of Commerce — Consumer Protection</w:t>
            </w:r>
            <w:r>
              <w:rPr>
                <w:sz w:val="20"/>
              </w:rPr>
              <w:t xml:space="preserve"> Locked Bag </w:t>
            </w:r>
            <w:smartTag w:uri="urn:schemas-microsoft-com:office:smarttags" w:element="Street">
              <w:smartTag w:uri="urn:schemas-microsoft-com:office:smarttags" w:element="address">
                <w:r>
                  <w:rPr>
                    <w:sz w:val="20"/>
                  </w:rPr>
                  <w:t>14  Cloisters Square</w:t>
                </w:r>
              </w:smartTag>
            </w:smartTag>
          </w:p>
          <w:p>
            <w:pPr>
              <w:pStyle w:val="yTable"/>
              <w:spacing w:before="0"/>
              <w:ind w:left="510"/>
              <w:rPr>
                <w:sz w:val="20"/>
              </w:rPr>
            </w:pPr>
            <w:smartTag w:uri="urn:schemas-microsoft-com:office:smarttags" w:element="place">
              <w:smartTag w:uri="urn:schemas-microsoft-com:office:smarttags" w:element="City">
                <w:r>
                  <w:rPr>
                    <w:sz w:val="20"/>
                  </w:rPr>
                  <w:t>Perth</w:t>
                </w:r>
              </w:smartTag>
              <w:r>
                <w:rPr>
                  <w:sz w:val="20"/>
                </w:rPr>
                <w:t xml:space="preserve">  </w:t>
              </w:r>
              <w:smartTag w:uri="urn:schemas-microsoft-com:office:smarttags" w:element="State">
                <w:r>
                  <w:rPr>
                    <w:sz w:val="20"/>
                  </w:rPr>
                  <w:t>WA</w:t>
                </w:r>
              </w:smartTag>
            </w:smartTag>
            <w:r>
              <w:rPr>
                <w:sz w:val="20"/>
              </w:rPr>
              <w:t xml:space="preserve">  6850</w:t>
            </w:r>
          </w:p>
          <w:p>
            <w:pPr>
              <w:pStyle w:val="yTable"/>
              <w:tabs>
                <w:tab w:val="left" w:pos="4054"/>
                <w:tab w:val="left" w:pos="4621"/>
              </w:tabs>
              <w:rPr>
                <w:sz w:val="20"/>
              </w:rPr>
            </w:pPr>
            <w:r>
              <w:rPr>
                <w:sz w:val="20"/>
              </w:rPr>
              <w:t>Signature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</w:tbl>
    <w:p>
      <w:pPr>
        <w:pStyle w:val="yFootnotesection"/>
      </w:pPr>
      <w:r>
        <w:tab/>
        <w:t>[Form 2 inserted in Gazette 22 Sep 2006 p. 4121</w:t>
      </w:r>
      <w:r>
        <w:noBreakHyphen/>
        <w:t>2; amended in Gazette 30 Jun 2011 p. 2652.]</w:t>
      </w:r>
    </w:p>
    <w:p>
      <w:pPr>
        <w:sectPr>
          <w:headerReference w:type="even" r:id="rId25"/>
          <w:headerReference w:type="default" r:id="rId26"/>
          <w:headerReference w:type="first" r:id="rId27"/>
          <w:pgSz w:w="11906" w:h="16838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70" w:name="_Toc92795118"/>
      <w:bookmarkStart w:id="71" w:name="_Toc93113703"/>
      <w:bookmarkStart w:id="72" w:name="_Toc107803139"/>
      <w:bookmarkStart w:id="73" w:name="_Toc125945269"/>
      <w:bookmarkStart w:id="74" w:name="_Toc125945805"/>
      <w:bookmarkStart w:id="75" w:name="_Toc128197841"/>
      <w:bookmarkStart w:id="76" w:name="_Toc131382899"/>
      <w:bookmarkStart w:id="77" w:name="_Toc139259778"/>
      <w:bookmarkStart w:id="78" w:name="_Toc146619023"/>
      <w:bookmarkStart w:id="79" w:name="_Toc146697349"/>
      <w:bookmarkStart w:id="80" w:name="_Toc170185417"/>
      <w:bookmarkStart w:id="81" w:name="_Toc170725081"/>
      <w:bookmarkStart w:id="82" w:name="_Toc189626352"/>
      <w:bookmarkStart w:id="83" w:name="_Toc189627519"/>
      <w:bookmarkStart w:id="84" w:name="_Toc195071826"/>
      <w:bookmarkStart w:id="85" w:name="_Toc197234338"/>
      <w:bookmarkStart w:id="86" w:name="_Toc197235959"/>
      <w:bookmarkStart w:id="87" w:name="_Toc202520759"/>
      <w:bookmarkStart w:id="88" w:name="_Toc233701186"/>
      <w:bookmarkStart w:id="89" w:name="_Toc233701437"/>
      <w:bookmarkStart w:id="90" w:name="_Toc265667677"/>
      <w:bookmarkStart w:id="91" w:name="_Toc297277254"/>
      <w:r>
        <w:t>Notes</w:t>
      </w:r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Land Valuers Licensing Regulations 1979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  <w:rPr>
          <w:snapToGrid w:val="0"/>
        </w:rPr>
      </w:pPr>
      <w:bookmarkStart w:id="92" w:name="_Toc297277255"/>
      <w:r>
        <w:rPr>
          <w:snapToGrid w:val="0"/>
        </w:rPr>
        <w:t>Compilation table</w:t>
      </w:r>
      <w:bookmarkEnd w:id="92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cantSplit/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ind w:right="113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Land Valuers Licensing Regulations 1979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22 Jun 1979 p. 1698</w:t>
            </w:r>
            <w:r>
              <w:rPr>
                <w:sz w:val="19"/>
              </w:rPr>
              <w:noBreakHyphen/>
              <w:t>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22 Jun 1979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Land Valuers Licensing Amendment Regulations 1983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18 Nov 1983 p. 4613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Jan 1984 (see 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Land Valuers Licensing Amendment Regulations 1985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21 Jun 1985 p. 2262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21 Jun 1985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Land Valuers Licensing Amendment Regulations 1986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30 May 1986 p. 1816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1986 (see 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Land Valuers Licensing Amendment Regulations 1987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4 Sep 1987 p. 3518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4 Sep 1987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Land Valuers Licensing Amendment Regulations 1988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5 Aug 1988 p. 2604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5 Aug 1988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Land Valuers Licensing Amendment Regulations (No. 2) 1988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 Sep 1988 p. 3465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 Sep 1988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Land Valuers Licensing Amendment Regulations 1989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11 Aug 1989 p. 2679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dstrike/>
                <w:sz w:val="19"/>
                <w:vertAlign w:val="superscript"/>
              </w:rPr>
            </w:pPr>
            <w:r>
              <w:rPr>
                <w:sz w:val="19"/>
              </w:rPr>
              <w:t>11 Aug 1989</w:t>
            </w:r>
            <w:r>
              <w:rPr>
                <w:sz w:val="19"/>
                <w:vertAlign w:val="superscript"/>
              </w:rPr>
              <w:t> 3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Land Valuers Licensing Amendment Regulations 1990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Aug 1990 p. 3655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Aug 1990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Land Valuers Licensing Amendment Regulations 1991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13 Dec 1991 p. 6165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13 Dec 1991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Land Valuers Licensing Amendment Regulations 1992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14 Aug 1992 p. 4010</w:t>
            </w:r>
            <w:r>
              <w:rPr>
                <w:sz w:val="19"/>
              </w:rPr>
              <w:noBreakHyphen/>
              <w:t>11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14 Aug 1992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Land Valuers Licensing Amendment Regulations 1993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30 Nov 1993 p. 6405</w:t>
            </w:r>
            <w:r>
              <w:rPr>
                <w:sz w:val="19"/>
              </w:rPr>
              <w:noBreakHyphen/>
              <w:t>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30 Nov 1993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Land Valuers Licensing Amendment Regulations 1995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27 Jan 1995 p. 285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27 Jan 1995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Land Valuers Licensing Amendment Regulations 1996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25 Jun 1996 p. 2922</w:t>
            </w:r>
            <w:r>
              <w:rPr>
                <w:sz w:val="19"/>
              </w:rP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 xml:space="preserve">1 Jul 1996 (see r. 2 and </w:t>
            </w:r>
            <w:r>
              <w:rPr>
                <w:i/>
                <w:sz w:val="19"/>
              </w:rPr>
              <w:t>Gazette</w:t>
            </w:r>
            <w:r>
              <w:rPr>
                <w:sz w:val="19"/>
              </w:rPr>
              <w:t xml:space="preserve"> 1 Jul 1996 p. 3179)</w:t>
            </w:r>
          </w:p>
        </w:tc>
      </w:tr>
      <w:tr>
        <w:trPr>
          <w:cantSplit/>
        </w:trPr>
        <w:tc>
          <w:tcPr>
            <w:tcW w:w="7087" w:type="dxa"/>
            <w:gridSpan w:val="3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b/>
                <w:sz w:val="19"/>
              </w:rPr>
              <w:t xml:space="preserve">Reprint of the </w:t>
            </w:r>
            <w:r>
              <w:rPr>
                <w:b/>
                <w:i/>
                <w:sz w:val="19"/>
              </w:rPr>
              <w:t>Land Valuers Licensing Regulations 1979</w:t>
            </w:r>
            <w:r>
              <w:rPr>
                <w:b/>
                <w:sz w:val="19"/>
              </w:rPr>
              <w:t xml:space="preserve"> as at 31 Mar 2000</w:t>
            </w:r>
            <w:r>
              <w:rPr>
                <w:sz w:val="19"/>
              </w:rP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Land Valuers Licensing Amendment Regulations 2002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Jun 2002 p. 3056</w:t>
            </w:r>
            <w:r>
              <w:rPr>
                <w:sz w:val="19"/>
              </w:rPr>
              <w:noBreakHyphen/>
              <w:t>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2002 (see 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Land Valuers Licensing Amendment Regulations 2003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27 Jun 2003 p. 2552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2003 (see 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Land Valuers Licensing Amendment Regulations 2004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30 Dec 2004 p. 6923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 xml:space="preserve">1 Jan 2005 (see r. 2 and </w:t>
            </w:r>
            <w:r>
              <w:rPr>
                <w:i/>
                <w:sz w:val="19"/>
              </w:rPr>
              <w:t>Gazette</w:t>
            </w:r>
            <w:r>
              <w:rPr>
                <w:sz w:val="19"/>
              </w:rPr>
              <w:t xml:space="preserve"> 31 Dec 2004 p. 7130)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Land Valuers Licensing Amendment Regulations 2005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Jun 2005 p. 2911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2005 (see r. 2)</w:t>
            </w:r>
          </w:p>
        </w:tc>
      </w:tr>
      <w:tr>
        <w:trPr>
          <w:cantSplit/>
        </w:trPr>
        <w:tc>
          <w:tcPr>
            <w:tcW w:w="7087" w:type="dxa"/>
            <w:gridSpan w:val="3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b/>
                <w:sz w:val="19"/>
              </w:rPr>
              <w:t xml:space="preserve">Reprint 2: The </w:t>
            </w:r>
            <w:r>
              <w:rPr>
                <w:b/>
                <w:i/>
                <w:sz w:val="19"/>
              </w:rPr>
              <w:t>Land Valuers Licensing Regulations 1979</w:t>
            </w:r>
            <w:r>
              <w:rPr>
                <w:b/>
                <w:sz w:val="19"/>
              </w:rPr>
              <w:t xml:space="preserve"> as at 3 Mar 2006</w:t>
            </w:r>
            <w:r>
              <w:rPr>
                <w:sz w:val="19"/>
              </w:rP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Land Valuers Licensing Amendment Regulations (No. 2) 2006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27 Jun 2006 p. 2256-7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2006 (see 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Land Valuers Licensing Amendment Regulations 2006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22 Sep 2006 p. 4118</w:t>
            </w:r>
            <w:r>
              <w:rPr>
                <w:sz w:val="19"/>
              </w:rPr>
              <w:noBreakHyphen/>
              <w:t>22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22 Sep 2006 (see r. 2(a))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Land Valuers Licensing Amendment Regulations 2007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15 Jun 2007 p. 2782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r. 1 and 2: 15 Jun 2007 (see r. 2(a));</w:t>
            </w:r>
            <w:r>
              <w:rPr>
                <w:sz w:val="19"/>
              </w:rPr>
              <w:br/>
              <w:t>Regulations other than r. 1 and 2: 1 Jul 2007 (see r. 2(b))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Land Valuers Licensing Amendment Regulations (No. 2) 2007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14 Mar 2008 p. 829-30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r. 1 and 2: 14 Mar 2008 (see r. 2(a));</w:t>
            </w:r>
            <w:r>
              <w:rPr>
                <w:sz w:val="19"/>
              </w:rPr>
              <w:br/>
              <w:t>Regulations other than r. 1 and 2: 15 Mar 2008 (see r. 2(b))</w:t>
            </w:r>
          </w:p>
        </w:tc>
      </w:tr>
      <w:tr>
        <w:trPr>
          <w:cantSplit/>
        </w:trPr>
        <w:tc>
          <w:tcPr>
            <w:tcW w:w="7087" w:type="dxa"/>
            <w:gridSpan w:val="3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b/>
                <w:sz w:val="19"/>
              </w:rPr>
              <w:t xml:space="preserve">Reprint 3: The </w:t>
            </w:r>
            <w:r>
              <w:rPr>
                <w:b/>
                <w:i/>
                <w:sz w:val="19"/>
              </w:rPr>
              <w:t>Land Valuers Licensing Regulations 1979</w:t>
            </w:r>
            <w:r>
              <w:rPr>
                <w:b/>
                <w:sz w:val="19"/>
              </w:rPr>
              <w:t xml:space="preserve"> as at 11 Apr 2008</w:t>
            </w:r>
            <w:r>
              <w:rPr>
                <w:sz w:val="19"/>
              </w:rP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Land Valuers Licensing Amendment Regulations 2008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17 Jun 2008 p. 2566-7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napToGrid w:val="0"/>
                <w:sz w:val="19"/>
                <w:lang w:val="en-US"/>
              </w:rPr>
              <w:t>r. 1 and 2: 17 Jun 2008 (see r. 2(a))</w:t>
            </w:r>
            <w:r>
              <w:rPr>
                <w:snapToGrid w:val="0"/>
                <w:sz w:val="19"/>
                <w:lang w:val="en-US"/>
              </w:rPr>
              <w:br/>
              <w:t>Regulations other than r. 1 and 2: 1 Jul 2008 (see r. 2(b))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Land Valuers Licensing Amendment Regulations 2009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23 Jun 2009 p. 2442</w:t>
            </w:r>
            <w:r>
              <w:rPr>
                <w:sz w:val="19"/>
              </w:rP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  <w:lang w:val="en-US"/>
              </w:rPr>
            </w:pPr>
            <w:r>
              <w:rPr>
                <w:snapToGrid w:val="0"/>
                <w:spacing w:val="-2"/>
                <w:sz w:val="19"/>
                <w:lang w:val="en-US"/>
              </w:rPr>
              <w:t>r. 1 and 2: 23 Jun 2009 (see r. 2(a));</w:t>
            </w:r>
            <w:r>
              <w:rPr>
                <w:snapToGrid w:val="0"/>
                <w:spacing w:val="-2"/>
                <w:sz w:val="19"/>
                <w:lang w:val="en-US"/>
              </w:rPr>
              <w:br/>
              <w:t>Regulations other than r. 1 and 2: 1 Jul 2009 (see r. 2(b))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Land Valuers Licensing Amendment Regulations 2010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25 Jun 2010 p. 2847-8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pacing w:val="-2"/>
                <w:sz w:val="19"/>
                <w:lang w:val="en-US"/>
              </w:rPr>
            </w:pPr>
            <w:r>
              <w:rPr>
                <w:snapToGrid w:val="0"/>
                <w:spacing w:val="-2"/>
                <w:sz w:val="19"/>
                <w:lang w:val="en-US"/>
              </w:rPr>
              <w:t>r. 1 and 2: 25 Jun 2010 (see r. 2(a));</w:t>
            </w:r>
            <w:r>
              <w:rPr>
                <w:snapToGrid w:val="0"/>
                <w:spacing w:val="-2"/>
                <w:sz w:val="19"/>
                <w:lang w:val="en-US"/>
              </w:rPr>
              <w:br/>
              <w:t>Regulations other than r. 1 and 2: 1 Jul 2010 (see r. 2(b))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Land Valuers Licensing Amendment Regulations (No. 2) 2011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22 Jun 2011 p. 2363-4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pacing w:val="-2"/>
                <w:sz w:val="19"/>
                <w:lang w:val="en-US"/>
              </w:rPr>
            </w:pPr>
            <w:r>
              <w:rPr>
                <w:snapToGrid w:val="0"/>
                <w:spacing w:val="-2"/>
                <w:sz w:val="19"/>
                <w:lang w:val="en-US"/>
              </w:rPr>
              <w:t>r. 1 and 2: 22 Jun 2011 (see r. 2(a));</w:t>
            </w:r>
            <w:r>
              <w:rPr>
                <w:snapToGrid w:val="0"/>
                <w:spacing w:val="-2"/>
                <w:sz w:val="19"/>
                <w:lang w:val="en-US"/>
              </w:rPr>
              <w:br/>
              <w:t>Regulations other than r. 1 and 2: 1 Jul 2011 (see r. 2(b))</w:t>
            </w:r>
          </w:p>
        </w:tc>
      </w:tr>
      <w:tr>
        <w:trPr>
          <w:cantSplit/>
        </w:trPr>
        <w:tc>
          <w:tcPr>
            <w:tcW w:w="3118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Land Valuers Licensing Amendment Regulations (No. 3) 2011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30 Jun 2011 p. 2649-52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snapToGrid w:val="0"/>
                <w:spacing w:val="-2"/>
                <w:sz w:val="19"/>
                <w:lang w:val="en-US"/>
              </w:rPr>
            </w:pPr>
            <w:r>
              <w:rPr>
                <w:snapToGrid w:val="0"/>
                <w:spacing w:val="-2"/>
                <w:sz w:val="19"/>
                <w:lang w:val="en-US"/>
              </w:rPr>
              <w:t>r. 1 and 2: 30 Jun 2011 (see r. 2(a));</w:t>
            </w:r>
            <w:r>
              <w:rPr>
                <w:snapToGrid w:val="0"/>
                <w:spacing w:val="-2"/>
                <w:sz w:val="19"/>
                <w:lang w:val="en-US"/>
              </w:rPr>
              <w:br/>
              <w:t>Regulations other than r. 1 and 2: 1 Jul 2011 (see r. 2(b))</w:t>
            </w:r>
          </w:p>
        </w:tc>
      </w:tr>
    </w:tbl>
    <w:p>
      <w:pPr>
        <w:pStyle w:val="nSubsection"/>
        <w:spacing w:before="160"/>
      </w:pPr>
      <w:r>
        <w:rPr>
          <w:vertAlign w:val="superscript"/>
        </w:rPr>
        <w:t>2</w:t>
      </w:r>
      <w:r>
        <w:tab/>
        <w:t xml:space="preserve">The </w:t>
      </w:r>
      <w:smartTag w:uri="urn:schemas-microsoft-com:office:smarttags" w:element="place">
        <w:smartTag w:uri="urn:schemas-microsoft-com:office:smarttags" w:element="PlaceName">
          <w:r>
            <w:rPr>
              <w:i/>
            </w:rPr>
            <w:t>Curtin</w:t>
          </w:r>
        </w:smartTag>
        <w:r>
          <w:rPr>
            <w:i/>
          </w:rPr>
          <w:t xml:space="preserve"> </w:t>
        </w:r>
        <w:smartTag w:uri="urn:schemas-microsoft-com:office:smarttags" w:element="PlaceType">
          <w:r>
            <w:rPr>
              <w:i/>
            </w:rPr>
            <w:t>University</w:t>
          </w:r>
        </w:smartTag>
      </w:smartTag>
      <w:r>
        <w:rPr>
          <w:i/>
        </w:rPr>
        <w:t xml:space="preserve"> of Technology Act 1966</w:t>
      </w:r>
      <w:r>
        <w:t xml:space="preserve"> s. 5 established the Western Australian Institute of Technology as the Curtin University of Technology from 1 January 1987.</w:t>
      </w:r>
    </w:p>
    <w:p>
      <w:pPr>
        <w:pStyle w:val="nSubsection"/>
        <w:spacing w:before="160"/>
      </w:pPr>
      <w:r>
        <w:rPr>
          <w:vertAlign w:val="superscript"/>
        </w:rPr>
        <w:t>3</w:t>
      </w:r>
      <w:r>
        <w:rPr>
          <w:vertAlign w:val="superscript"/>
        </w:rPr>
        <w:tab/>
      </w:r>
      <w:r>
        <w:t>The commencement date of 1 Jul 1989 that was specified was before the date of gazettal.</w:t>
      </w:r>
    </w:p>
    <w:p/>
    <w:p>
      <w:pPr>
        <w:sectPr>
          <w:headerReference w:type="even" r:id="rId28"/>
          <w:headerReference w:type="default" r:id="rId29"/>
          <w:headerReference w:type="first" r:id="rId30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93" w:name="_Toc189627521"/>
      <w:bookmarkStart w:id="94" w:name="_Toc195071828"/>
      <w:bookmarkStart w:id="95" w:name="_Toc197234340"/>
      <w:bookmarkStart w:id="96" w:name="_Toc197235961"/>
      <w:bookmarkStart w:id="97" w:name="_Toc202520761"/>
      <w:bookmarkStart w:id="98" w:name="_Toc233701188"/>
      <w:bookmarkStart w:id="99" w:name="_Toc233701439"/>
      <w:bookmarkStart w:id="100" w:name="_Toc265667679"/>
      <w:bookmarkStart w:id="101" w:name="_Toc297277256"/>
      <w:r>
        <w:t>Defined Terms</w:t>
      </w:r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bookmarkStart w:id="102" w:name="DefinedTerms"/>
      <w:bookmarkEnd w:id="102"/>
      <w:r>
        <w:t>Commissioner</w:t>
      </w:r>
      <w:r>
        <w:tab/>
        <w:t>2</w:t>
      </w:r>
    </w:p>
    <w:p>
      <w:pPr>
        <w:pStyle w:val="DefinedTerms"/>
      </w:pPr>
      <w:r>
        <w:t>section</w:t>
      </w:r>
      <w:r>
        <w:tab/>
        <w:t>2</w:t>
      </w:r>
    </w:p>
    <w:p>
      <w:pPr>
        <w:pStyle w:val="DefinedTerms"/>
      </w:pPr>
      <w:r>
        <w:t>the Act</w:t>
      </w:r>
      <w:r>
        <w:tab/>
        <w:t>2</w:t>
      </w:r>
    </w:p>
    <w:p>
      <w:pPr>
        <w:pStyle w:val="DefinedTerms"/>
      </w:pPr>
    </w:p>
    <w:p>
      <w:pPr>
        <w:sectPr>
          <w:headerReference w:type="even" r:id="rId31"/>
          <w:headerReference w:type="default" r:id="rId32"/>
          <w:headerReference w:type="first" r:id="rId33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34"/>
      <w:headerReference w:type="default" r:id="rId35"/>
      <w:type w:val="continuous"/>
      <w:pgSz w:w="11906" w:h="16838" w:code="9"/>
      <w:pgMar w:top="2381" w:right="2410" w:bottom="2977" w:left="2410" w:header="720" w:footer="3380" w:gutter="0"/>
      <w:paperSrc w:first="15" w:other="15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03-e0-02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 Jul 2011</w:t>
    </w:r>
    <w:r>
      <w:rPr>
        <w:rFonts w:ascii="Arial" w:hAnsi="Arial" w:cs="Arial"/>
        <w:sz w:val="20"/>
        <w:lang w:val="en-US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 Jul 2011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03-e0-02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 Jul 2011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03-e0-02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03-e0-02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 Jul 2011</w:t>
    </w:r>
    <w:r>
      <w:rPr>
        <w:rFonts w:ascii="Arial" w:hAnsi="Arial" w:cs="Arial"/>
        <w:sz w:val="20"/>
        <w:lang w:val="en-US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 Jul 2011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03-e0-02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>
    <w:pPr>
      <w:rPr>
        <w:rStyle w:val="PageNumber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 Jul 2011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03-e0-02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>
    <w:pPr>
      <w:rPr>
        <w:rStyle w:val="PageNumber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14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03-e0-02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 Jul 2011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 Jul 2011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03-e0-02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13</w:t>
    </w:r>
    <w:r>
      <w:rPr>
        <w:rStyle w:val="CharPageNo"/>
        <w:rFonts w:ascii="Arial" w:hAnsi="Arial"/>
      </w:rPr>
      <w:fldChar w:fldCharType="end"/>
    </w:r>
  </w:p>
  <w:p>
    <w:pPr>
      <w:rPr>
        <w:rStyle w:val="PageNumber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 Jul 2011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03-e0-02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>
    <w:pPr>
      <w:rPr>
        <w:rStyle w:val="PageNumber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Land Valuers Licensing Regulations 1979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Land Valuers Licensing Regulations 1979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Land Valuers Licensing Regulations 1979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SectionLeft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Land Valuers Licensing Regulations 1979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SectionRight"/>
            <w:ind w:right="17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Left"/>
          </w:pPr>
          <w:fldSimple w:instr=" STYLEREF &quot;Name of Act/Reg&quot; \* MERGEFORMAT ">
            <w:r>
              <w:rPr>
                <w:noProof/>
              </w:rPr>
              <w:t>Land Valuers Licensing Regulations 1979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  <w:rPr>
              <w:b w:val="0"/>
            </w:rPr>
          </w:pPr>
          <w:r>
            <w:fldChar w:fldCharType="begin"/>
          </w:r>
          <w:r>
            <w:instrText xml:space="preserve"> styleref CharSchno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  <w:rPr>
              <w:b w:val="0"/>
            </w:rPr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Land Valuers Licensing Regulations 1979</w:t>
            </w:r>
          </w:fldSimple>
        </w:p>
      </w:tc>
    </w:tr>
    <w:tr>
      <w:tc>
        <w:tcPr>
          <w:tcW w:w="5715" w:type="dxa"/>
          <w:vAlign w:val="bottom"/>
        </w:tcPr>
        <w:p>
          <w:pPr>
            <w:pStyle w:val="HeaderText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CharSchno </w:instrText>
          </w:r>
          <w: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  <w:rPr>
              <w:bCs/>
            </w:rPr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Land Valuers Licensing Regulations 1979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SectionRight"/>
            <w:ind w:right="17"/>
            <w:jc w:val="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Right"/>
          </w:pPr>
          <w:fldSimple w:instr=" Styleref &quot;Name of Act/Reg&quot; ">
            <w:r>
              <w:rPr>
                <w:noProof/>
              </w:rPr>
              <w:t>Land Valuers Licensing Regulations 1979</w:t>
            </w:r>
          </w:fldSimple>
        </w:p>
      </w:tc>
    </w:tr>
    <w:tr>
      <w:tc>
        <w:tcPr>
          <w:tcW w:w="5760" w:type="dxa"/>
        </w:tcPr>
        <w:p>
          <w:pPr>
            <w:pStyle w:val="HeaderTextRight"/>
          </w:pPr>
        </w:p>
      </w:tc>
      <w:tc>
        <w:tcPr>
          <w:tcW w:w="1552" w:type="dxa"/>
        </w:tcPr>
        <w:p>
          <w:pPr>
            <w:pStyle w:val="HeaderNumberRight"/>
          </w:pPr>
        </w:p>
      </w:tc>
    </w:tr>
    <w:tr>
      <w:tc>
        <w:tcPr>
          <w:tcW w:w="5760" w:type="dxa"/>
        </w:tcPr>
        <w:p>
          <w:pPr>
            <w:pStyle w:val="HeaderTextRight"/>
          </w:pPr>
        </w:p>
      </w:tc>
      <w:tc>
        <w:tcPr>
          <w:tcW w:w="1552" w:type="dxa"/>
        </w:tcPr>
        <w:p>
          <w:pPr>
            <w:pStyle w:val="HeaderNumber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Land Valuers Licensing Regulations 1979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SectionRight"/>
            <w:ind w:right="17"/>
            <w:jc w:val="lef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Right"/>
          </w:pPr>
          <w:fldSimple w:instr=" Styleref &quot;Name of Act/Reg&quot; ">
            <w:r>
              <w:rPr>
                <w:noProof/>
              </w:rPr>
              <w:t>Land Valuers Licensing Regulations 1979</w:t>
            </w:r>
          </w:fldSimple>
        </w:p>
      </w:tc>
    </w:tr>
    <w:tr>
      <w:tc>
        <w:tcPr>
          <w:tcW w:w="5760" w:type="dxa"/>
        </w:tcPr>
        <w:p>
          <w:pPr>
            <w:pStyle w:val="HeaderTextRight"/>
          </w:pPr>
        </w:p>
      </w:tc>
      <w:tc>
        <w:tcPr>
          <w:tcW w:w="1552" w:type="dxa"/>
        </w:tcPr>
        <w:p>
          <w:pPr>
            <w:pStyle w:val="HeaderNumberRight"/>
          </w:pPr>
        </w:p>
      </w:tc>
    </w:tr>
    <w:tr>
      <w:tc>
        <w:tcPr>
          <w:tcW w:w="5760" w:type="dxa"/>
        </w:tcPr>
        <w:p>
          <w:pPr>
            <w:pStyle w:val="HeaderTextRight"/>
          </w:pPr>
        </w:p>
      </w:tc>
      <w:tc>
        <w:tcPr>
          <w:tcW w:w="1552" w:type="dxa"/>
        </w:tcPr>
        <w:p>
          <w:pPr>
            <w:pStyle w:val="HeaderNumber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Land Valuers Licensing Regulations 1979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</w:p>
  <w:p>
    <w:pPr>
      <w:pStyle w:val="headerpart"/>
    </w:pP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/>
  <w:p/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Land Valuers Licensing Regulations 1979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SectionRight"/>
            <w:ind w:right="17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C0CFA2E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3C40BE6E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0705312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404AB9B4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00F299F0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17ED4DE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588C0F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CE64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D06E11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840428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2FF52EB"/>
    <w:multiLevelType w:val="multilevel"/>
    <w:tmpl w:val="D98C830A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C2808C0"/>
    <w:multiLevelType w:val="singleLevel"/>
    <w:tmpl w:val="7616B4DC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1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3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4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5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6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7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6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0"/>
  </w:num>
  <w:num w:numId="13">
    <w:abstractNumId w:val="16"/>
  </w:num>
  <w:num w:numId="14">
    <w:abstractNumId w:val="9"/>
  </w:num>
  <w:num w:numId="15">
    <w:abstractNumId w:val="7"/>
  </w:num>
  <w:num w:numId="16">
    <w:abstractNumId w:val="6"/>
  </w:num>
  <w:num w:numId="17">
    <w:abstractNumId w:val="5"/>
  </w:num>
  <w:num w:numId="18">
    <w:abstractNumId w:val="4"/>
  </w:num>
  <w:num w:numId="19">
    <w:abstractNumId w:val="8"/>
  </w:num>
  <w:num w:numId="20">
    <w:abstractNumId w:val="3"/>
  </w:num>
  <w:num w:numId="21">
    <w:abstractNumId w:val="2"/>
  </w:num>
  <w:num w:numId="22">
    <w:abstractNumId w:val="1"/>
  </w:num>
  <w:num w:numId="23">
    <w:abstractNumId w:val="0"/>
  </w:num>
  <w:num w:numId="2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204160545"/>
    <w:docVar w:name="WAFER_20151204160545" w:val="RemoveTrackChanges"/>
    <w:docVar w:name="WAFER_20151204160545_GUID" w:val="0e1684ad-ff33-4e71-ba56-f254d37b1cc6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City"/>
  <w:smartTagType w:namespaceuri="urn:schemas-microsoft-com:office:smarttags" w:name="Street"/>
  <w:smartTagType w:namespaceuri="urn:schemas-microsoft-com:office:smarttags" w:name="address"/>
  <w:smartTagType w:namespaceuri="urn:schemas-microsoft-com:office:smarttags" w:name="State"/>
  <w:smartTagType w:namespaceuri="urn:schemas-microsoft-com:office:smarttags" w:name="place"/>
  <w:shapeDefaults>
    <o:shapedefaults v:ext="edit" spidmax="512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character" w:styleId="PageNumber">
    <w:name w:val="page number"/>
    <w:basedOn w:val="DefaultParagraphFont"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3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4"/>
      </w:numPr>
    </w:pPr>
  </w:style>
  <w:style w:type="paragraph" w:styleId="ListBullet2">
    <w:name w:val="List Bullet 2"/>
    <w:basedOn w:val="Normal"/>
    <w:autoRedefine/>
    <w:pPr>
      <w:numPr>
        <w:numId w:val="15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16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17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18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9"/>
      </w:numPr>
    </w:pPr>
  </w:style>
  <w:style w:type="paragraph" w:styleId="ListNumber2">
    <w:name w:val="List Number 2"/>
    <w:basedOn w:val="Normal"/>
    <w:pPr>
      <w:numPr>
        <w:numId w:val="20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21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22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23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</w:style>
  <w:style w:type="paragraph" w:customStyle="1" w:styleId="Ednotedefitem">
    <w:name w:val="Ednote(defitem)"/>
    <w:basedOn w:val="Defitem"/>
  </w:style>
  <w:style w:type="paragraph" w:customStyle="1" w:styleId="Ednotedefsubpara">
    <w:name w:val="Ednote(defsubpara)"/>
    <w:basedOn w:val="Defsubpara"/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24"/>
      </w:numPr>
      <w:tabs>
        <w:tab w:val="clear" w:pos="879"/>
      </w:tabs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character" w:styleId="PageNumber">
    <w:name w:val="page number"/>
    <w:basedOn w:val="DefaultParagraphFont"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3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4"/>
      </w:numPr>
    </w:pPr>
  </w:style>
  <w:style w:type="paragraph" w:styleId="ListBullet2">
    <w:name w:val="List Bullet 2"/>
    <w:basedOn w:val="Normal"/>
    <w:autoRedefine/>
    <w:pPr>
      <w:numPr>
        <w:numId w:val="15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16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17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18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9"/>
      </w:numPr>
    </w:pPr>
  </w:style>
  <w:style w:type="paragraph" w:styleId="ListNumber2">
    <w:name w:val="List Number 2"/>
    <w:basedOn w:val="Normal"/>
    <w:pPr>
      <w:numPr>
        <w:numId w:val="20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21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22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23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</w:style>
  <w:style w:type="paragraph" w:customStyle="1" w:styleId="Ednotedefitem">
    <w:name w:val="Ednote(defitem)"/>
    <w:basedOn w:val="Defitem"/>
  </w:style>
  <w:style w:type="paragraph" w:customStyle="1" w:styleId="Ednotedefsubpara">
    <w:name w:val="Ednote(defsubpara)"/>
    <w:basedOn w:val="Defsubpara"/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24"/>
      </w:numPr>
      <w:tabs>
        <w:tab w:val="clear" w:pos="879"/>
      </w:tabs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header" Target="header10.xml"/><Relationship Id="rId3" Type="http://schemas.microsoft.com/office/2007/relationships/stylesWithEffects" Target="stylesWithEffects.xml"/><Relationship Id="rId21" Type="http://schemas.openxmlformats.org/officeDocument/2006/relationships/footer" Target="footer7.xml"/><Relationship Id="rId34" Type="http://schemas.openxmlformats.org/officeDocument/2006/relationships/header" Target="header18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9.xml"/><Relationship Id="rId33" Type="http://schemas.openxmlformats.org/officeDocument/2006/relationships/header" Target="header17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oter" Target="footer9.xml"/><Relationship Id="rId32" Type="http://schemas.openxmlformats.org/officeDocument/2006/relationships/header" Target="header16.xm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header" Target="header8.xml"/><Relationship Id="rId28" Type="http://schemas.openxmlformats.org/officeDocument/2006/relationships/header" Target="header12.xml"/><Relationship Id="rId36" Type="http://schemas.openxmlformats.org/officeDocument/2006/relationships/fontTable" Target="fontTable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8.xml"/><Relationship Id="rId27" Type="http://schemas.openxmlformats.org/officeDocument/2006/relationships/header" Target="header11.xml"/><Relationship Id="rId30" Type="http://schemas.openxmlformats.org/officeDocument/2006/relationships/header" Target="header14.xml"/><Relationship Id="rId35" Type="http://schemas.openxmlformats.org/officeDocument/2006/relationships/header" Target="header19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18</Pages>
  <Words>2773</Words>
  <Characters>13674</Characters>
  <Application>Microsoft Office Word</Application>
  <DocSecurity>0</DocSecurity>
  <Lines>594</Lines>
  <Paragraphs>411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16036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 Valuers Licensing Regulations 1979 - 03-e0-02</dc:title>
  <dc:subject/>
  <dc:creator/>
  <cp:keywords/>
  <dc:description/>
  <cp:lastModifiedBy>svcMRProcess</cp:lastModifiedBy>
  <cp:revision>4</cp:revision>
  <cp:lastPrinted>2008-04-04T07:30:00Z</cp:lastPrinted>
  <dcterms:created xsi:type="dcterms:W3CDTF">2015-12-04T21:36:00Z</dcterms:created>
  <dcterms:modified xsi:type="dcterms:W3CDTF">2015-12-04T21:36:00Z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22 June 1979 pp.1698-9</vt:lpwstr>
  </property>
  <property fmtid="{D5CDD505-2E9C-101B-9397-08002B2CF9AE}" pid="3" name="CommencementDate">
    <vt:lpwstr>20110701</vt:lpwstr>
  </property>
  <property fmtid="{D5CDD505-2E9C-101B-9397-08002B2CF9AE}" pid="4" name="DocumentType">
    <vt:lpwstr>Reg</vt:lpwstr>
  </property>
  <property fmtid="{D5CDD505-2E9C-101B-9397-08002B2CF9AE}" pid="5" name="OwlsUID">
    <vt:i4>4548</vt:i4>
  </property>
  <property fmtid="{D5CDD505-2E9C-101B-9397-08002B2CF9AE}" pid="6" name="ReprintNo">
    <vt:lpwstr>3</vt:lpwstr>
  </property>
  <property fmtid="{D5CDD505-2E9C-101B-9397-08002B2CF9AE}" pid="7" name="AsAtDate">
    <vt:lpwstr>01 Jul 2011</vt:lpwstr>
  </property>
  <property fmtid="{D5CDD505-2E9C-101B-9397-08002B2CF9AE}" pid="8" name="Suffix">
    <vt:lpwstr>03-e0-02</vt:lpwstr>
  </property>
</Properties>
</file>