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Motor Vehicle Dealers Act 1973</w:t>
      </w:r>
    </w:p>
    <w:p>
      <w:pPr>
        <w:pStyle w:val="NameofActRegPage1"/>
        <w:spacing w:before="1800" w:after="4200"/>
        <w:ind w:left="240" w:right="256"/>
      </w:pPr>
      <w:r>
        <w:fldChar w:fldCharType="begin"/>
      </w:r>
      <w:r>
        <w:instrText xml:space="preserve"> STYLEREF "Name Of Act/Reg"</w:instrText>
      </w:r>
      <w:r>
        <w:fldChar w:fldCharType="separate"/>
      </w:r>
      <w:r>
        <w:rPr>
          <w:noProof/>
        </w:rPr>
        <w:t>Motor Vehicle Dealers (Licensing)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spacing w:after="600"/>
        <w:ind w:left="567" w:right="573"/>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spacing w:after="24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_Toc297282969 \h </w:instrText>
      </w:r>
      <w:r>
        <w:fldChar w:fldCharType="separate"/>
      </w:r>
      <w:r>
        <w:t>1</w:t>
      </w:r>
      <w:r>
        <w:fldChar w:fldCharType="end"/>
      </w:r>
    </w:p>
    <w:p>
      <w:pPr>
        <w:pStyle w:val="TOC8"/>
        <w:rPr>
          <w:sz w:val="24"/>
          <w:szCs w:val="24"/>
          <w:lang w:val="en-US"/>
        </w:rPr>
      </w:pPr>
      <w:r>
        <w:t>2</w:t>
      </w:r>
      <w:r>
        <w:rPr>
          <w:snapToGrid w:val="0"/>
        </w:rPr>
        <w:t>.</w:t>
      </w:r>
      <w:r>
        <w:rPr>
          <w:snapToGrid w:val="0"/>
        </w:rPr>
        <w:tab/>
        <w:t>Terms used in these regulations</w:t>
      </w:r>
      <w:r>
        <w:tab/>
      </w:r>
      <w:r>
        <w:fldChar w:fldCharType="begin"/>
      </w:r>
      <w:r>
        <w:instrText xml:space="preserve"> PAGEREF _Toc297282970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_Toc297282971 \h </w:instrText>
      </w:r>
      <w:r>
        <w:fldChar w:fldCharType="separate"/>
      </w:r>
      <w:r>
        <w:t>1</w:t>
      </w:r>
      <w:r>
        <w:fldChar w:fldCharType="end"/>
      </w:r>
    </w:p>
    <w:p>
      <w:pPr>
        <w:pStyle w:val="TOC8"/>
        <w:rPr>
          <w:sz w:val="24"/>
          <w:szCs w:val="24"/>
          <w:lang w:val="en-US"/>
        </w:rPr>
      </w:pPr>
      <w:r>
        <w:t>4</w:t>
      </w:r>
      <w:r>
        <w:rPr>
          <w:snapToGrid w:val="0"/>
        </w:rPr>
        <w:t>.</w:t>
      </w:r>
      <w:r>
        <w:rPr>
          <w:snapToGrid w:val="0"/>
        </w:rPr>
        <w:tab/>
        <w:t>Particulars prescribed by forms</w:t>
      </w:r>
      <w:r>
        <w:tab/>
      </w:r>
      <w:r>
        <w:fldChar w:fldCharType="begin"/>
      </w:r>
      <w:r>
        <w:instrText xml:space="preserve"> PAGEREF _Toc297282972 \h </w:instrText>
      </w:r>
      <w:r>
        <w:fldChar w:fldCharType="separate"/>
      </w:r>
      <w:r>
        <w:t>1</w:t>
      </w:r>
      <w:r>
        <w:fldChar w:fldCharType="end"/>
      </w:r>
    </w:p>
    <w:p>
      <w:pPr>
        <w:pStyle w:val="TOC8"/>
        <w:rPr>
          <w:sz w:val="24"/>
          <w:szCs w:val="24"/>
          <w:lang w:val="en-US"/>
        </w:rPr>
      </w:pPr>
      <w:r>
        <w:t>5</w:t>
      </w:r>
      <w:r>
        <w:rPr>
          <w:snapToGrid w:val="0"/>
        </w:rPr>
        <w:t>.</w:t>
      </w:r>
      <w:r>
        <w:rPr>
          <w:snapToGrid w:val="0"/>
        </w:rPr>
        <w:tab/>
        <w:t>Forms to be completed as directed</w:t>
      </w:r>
      <w:r>
        <w:tab/>
      </w:r>
      <w:r>
        <w:fldChar w:fldCharType="begin"/>
      </w:r>
      <w:r>
        <w:instrText xml:space="preserve"> PAGEREF _Toc297282973 \h </w:instrText>
      </w:r>
      <w:r>
        <w:fldChar w:fldCharType="separate"/>
      </w:r>
      <w:r>
        <w:t>2</w:t>
      </w:r>
      <w:r>
        <w:fldChar w:fldCharType="end"/>
      </w:r>
    </w:p>
    <w:p>
      <w:pPr>
        <w:pStyle w:val="TOC8"/>
        <w:rPr>
          <w:sz w:val="24"/>
          <w:szCs w:val="24"/>
          <w:lang w:val="en-US"/>
        </w:rPr>
      </w:pPr>
      <w:r>
        <w:t>6</w:t>
      </w:r>
      <w:r>
        <w:rPr>
          <w:snapToGrid w:val="0"/>
        </w:rPr>
        <w:t>.</w:t>
      </w:r>
      <w:r>
        <w:rPr>
          <w:snapToGrid w:val="0"/>
        </w:rPr>
        <w:tab/>
        <w:t>False information</w:t>
      </w:r>
      <w:r>
        <w:tab/>
      </w:r>
      <w:r>
        <w:fldChar w:fldCharType="begin"/>
      </w:r>
      <w:r>
        <w:instrText xml:space="preserve"> PAGEREF _Toc297282974 \h </w:instrText>
      </w:r>
      <w:r>
        <w:fldChar w:fldCharType="separate"/>
      </w:r>
      <w:r>
        <w:t>2</w:t>
      </w:r>
      <w:r>
        <w:fldChar w:fldCharType="end"/>
      </w:r>
    </w:p>
    <w:p>
      <w:pPr>
        <w:pStyle w:val="TOC8"/>
        <w:rPr>
          <w:sz w:val="24"/>
          <w:szCs w:val="24"/>
          <w:lang w:val="en-US"/>
        </w:rPr>
      </w:pPr>
      <w:r>
        <w:t>6A</w:t>
      </w:r>
      <w:r>
        <w:rPr>
          <w:snapToGrid w:val="0"/>
        </w:rPr>
        <w:t xml:space="preserve">. </w:t>
      </w:r>
      <w:r>
        <w:rPr>
          <w:snapToGrid w:val="0"/>
        </w:rPr>
        <w:tab/>
        <w:t>Prescribed period (section 19(1))</w:t>
      </w:r>
      <w:r>
        <w:tab/>
      </w:r>
      <w:r>
        <w:fldChar w:fldCharType="begin"/>
      </w:r>
      <w:r>
        <w:instrText xml:space="preserve"> PAGEREF _Toc297282975 \h </w:instrText>
      </w:r>
      <w:r>
        <w:fldChar w:fldCharType="separate"/>
      </w:r>
      <w:r>
        <w:t>2</w:t>
      </w:r>
      <w:r>
        <w:fldChar w:fldCharType="end"/>
      </w:r>
    </w:p>
    <w:p>
      <w:pPr>
        <w:pStyle w:val="TOC8"/>
        <w:rPr>
          <w:sz w:val="24"/>
          <w:szCs w:val="24"/>
          <w:lang w:val="en-US"/>
        </w:rPr>
      </w:pPr>
      <w:r>
        <w:t>6B</w:t>
      </w:r>
      <w:r>
        <w:rPr>
          <w:snapToGrid w:val="0"/>
        </w:rPr>
        <w:t>.</w:t>
      </w:r>
      <w:r>
        <w:rPr>
          <w:snapToGrid w:val="0"/>
        </w:rPr>
        <w:tab/>
        <w:t>Prescribed penalty for late application (section 19(3))</w:t>
      </w:r>
      <w:r>
        <w:tab/>
      </w:r>
      <w:r>
        <w:fldChar w:fldCharType="begin"/>
      </w:r>
      <w:r>
        <w:instrText xml:space="preserve"> PAGEREF _Toc297282976 \h </w:instrText>
      </w:r>
      <w:r>
        <w:fldChar w:fldCharType="separate"/>
      </w:r>
      <w:r>
        <w:t>2</w:t>
      </w:r>
      <w:r>
        <w:fldChar w:fldCharType="end"/>
      </w:r>
    </w:p>
    <w:p>
      <w:pPr>
        <w:pStyle w:val="TOC8"/>
        <w:rPr>
          <w:sz w:val="24"/>
          <w:szCs w:val="24"/>
          <w:lang w:val="en-US"/>
        </w:rPr>
      </w:pPr>
      <w:r>
        <w:t>7</w:t>
      </w:r>
      <w:r>
        <w:rPr>
          <w:snapToGrid w:val="0"/>
        </w:rPr>
        <w:t>.</w:t>
      </w:r>
      <w:r>
        <w:rPr>
          <w:snapToGrid w:val="0"/>
        </w:rPr>
        <w:tab/>
        <w:t>Fees</w:t>
      </w:r>
      <w:r>
        <w:tab/>
      </w:r>
      <w:r>
        <w:fldChar w:fldCharType="begin"/>
      </w:r>
      <w:r>
        <w:instrText xml:space="preserve"> PAGEREF _Toc297282977 \h </w:instrText>
      </w:r>
      <w:r>
        <w:fldChar w:fldCharType="separate"/>
      </w:r>
      <w:r>
        <w:t>2</w:t>
      </w:r>
      <w:r>
        <w:fldChar w:fldCharType="end"/>
      </w:r>
    </w:p>
    <w:p>
      <w:pPr>
        <w:pStyle w:val="TOC8"/>
        <w:rPr>
          <w:sz w:val="24"/>
          <w:szCs w:val="24"/>
          <w:lang w:val="en-US"/>
        </w:rPr>
      </w:pPr>
      <w:r>
        <w:t>8.</w:t>
      </w:r>
      <w:r>
        <w:tab/>
        <w:t>Classes of business and categories of licence</w:t>
      </w:r>
      <w:r>
        <w:tab/>
      </w:r>
      <w:r>
        <w:fldChar w:fldCharType="begin"/>
      </w:r>
      <w:r>
        <w:instrText xml:space="preserve"> PAGEREF _Toc297282978 \h </w:instrText>
      </w:r>
      <w:r>
        <w:fldChar w:fldCharType="separate"/>
      </w:r>
      <w:r>
        <w:t>3</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List of forms</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Third Schedule — Fees</w:t>
      </w:r>
    </w:p>
    <w:p>
      <w:pPr>
        <w:pStyle w:val="TOC2"/>
        <w:tabs>
          <w:tab w:val="right" w:leader="dot" w:pos="7086"/>
        </w:tabs>
        <w:rPr>
          <w:b w:val="0"/>
          <w:sz w:val="24"/>
          <w:szCs w:val="24"/>
          <w:lang w:val="en-US"/>
        </w:rPr>
      </w:pPr>
      <w:r>
        <w:t>Fourth Schedule</w:t>
      </w:r>
    </w:p>
    <w:p>
      <w:pPr>
        <w:pStyle w:val="TOC2"/>
        <w:tabs>
          <w:tab w:val="right" w:leader="dot" w:pos="7086"/>
        </w:tabs>
        <w:rPr>
          <w:b w:val="0"/>
          <w:sz w:val="24"/>
          <w:szCs w:val="24"/>
          <w:lang w:val="en-US"/>
        </w:rPr>
      </w:pPr>
      <w:r>
        <w:t>Classes and descriptions of business and categories of dealer’s licence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_Toc297282986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 w:name="_Toc13120882"/>
      <w:bookmarkStart w:id="2" w:name="_Toc44734208"/>
      <w:bookmarkStart w:id="3" w:name="_Toc44920251"/>
      <w:bookmarkStart w:id="4" w:name="_Toc170187239"/>
      <w:bookmarkStart w:id="5" w:name="_Toc297282969"/>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6" w:name="_Toc13120883"/>
      <w:bookmarkStart w:id="7" w:name="_Toc44734209"/>
      <w:bookmarkStart w:id="8" w:name="_Toc44920252"/>
      <w:bookmarkStart w:id="9" w:name="_Toc170187240"/>
      <w:bookmarkStart w:id="10" w:name="_Toc297282970"/>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11" w:name="_Toc13120884"/>
      <w:bookmarkStart w:id="12" w:name="_Toc44734210"/>
      <w:bookmarkStart w:id="13" w:name="_Toc44920253"/>
      <w:bookmarkStart w:id="14" w:name="_Toc170187241"/>
      <w:bookmarkStart w:id="15" w:name="_Toc297282971"/>
      <w:r>
        <w:rPr>
          <w:rStyle w:val="CharSectno"/>
        </w:rPr>
        <w:t>3</w:t>
      </w:r>
      <w:r>
        <w:rPr>
          <w:snapToGrid w:val="0"/>
        </w:rPr>
        <w:t>.</w:t>
      </w:r>
      <w:r>
        <w:rPr>
          <w:snapToGrid w:val="0"/>
        </w:rPr>
        <w:tab/>
        <w:t>Forms</w:t>
      </w:r>
      <w:bookmarkEnd w:id="11"/>
      <w:bookmarkEnd w:id="12"/>
      <w:bookmarkEnd w:id="13"/>
      <w:bookmarkEnd w:id="14"/>
      <w:bookmarkEnd w:id="15"/>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6" w:name="_Toc13120885"/>
      <w:bookmarkStart w:id="17" w:name="_Toc44734211"/>
      <w:bookmarkStart w:id="18" w:name="_Toc44920254"/>
      <w:bookmarkStart w:id="19" w:name="_Toc170187242"/>
      <w:bookmarkStart w:id="20" w:name="_Toc297282972"/>
      <w:r>
        <w:rPr>
          <w:rStyle w:val="CharSectno"/>
        </w:rPr>
        <w:t>4</w:t>
      </w:r>
      <w:r>
        <w:rPr>
          <w:snapToGrid w:val="0"/>
        </w:rPr>
        <w:t>.</w:t>
      </w:r>
      <w:r>
        <w:rPr>
          <w:snapToGrid w:val="0"/>
        </w:rPr>
        <w:tab/>
        <w:t>Particulars prescribed by forms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1" w:name="_Toc13120886"/>
      <w:bookmarkStart w:id="22" w:name="_Toc44734212"/>
      <w:bookmarkStart w:id="23" w:name="_Toc44920255"/>
      <w:bookmarkStart w:id="24" w:name="_Toc170187243"/>
      <w:bookmarkStart w:id="25" w:name="_Toc297282973"/>
      <w:r>
        <w:rPr>
          <w:rStyle w:val="CharSectno"/>
        </w:rPr>
        <w:t>5</w:t>
      </w:r>
      <w:r>
        <w:rPr>
          <w:snapToGrid w:val="0"/>
        </w:rPr>
        <w:t>.</w:t>
      </w:r>
      <w:r>
        <w:rPr>
          <w:snapToGrid w:val="0"/>
        </w:rPr>
        <w:tab/>
        <w:t>Forms to be completed as directed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26" w:name="_Toc13120887"/>
      <w:bookmarkStart w:id="27" w:name="_Toc44734213"/>
      <w:bookmarkStart w:id="28" w:name="_Toc44920256"/>
      <w:bookmarkStart w:id="29" w:name="_Toc170187244"/>
      <w:bookmarkStart w:id="30" w:name="_Toc297282974"/>
      <w:r>
        <w:rPr>
          <w:rStyle w:val="CharSectno"/>
        </w:rPr>
        <w:t>6</w:t>
      </w:r>
      <w:r>
        <w:rPr>
          <w:snapToGrid w:val="0"/>
        </w:rPr>
        <w:t>.</w:t>
      </w:r>
      <w:r>
        <w:rPr>
          <w:snapToGrid w:val="0"/>
        </w:rPr>
        <w:tab/>
        <w:t>False information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1" w:name="_Toc13120888"/>
      <w:bookmarkStart w:id="32" w:name="_Toc44734214"/>
      <w:bookmarkStart w:id="33" w:name="_Toc44920257"/>
      <w:bookmarkStart w:id="34" w:name="_Toc170187245"/>
      <w:bookmarkStart w:id="35" w:name="_Toc297282975"/>
      <w:r>
        <w:rPr>
          <w:rStyle w:val="CharSectno"/>
        </w:rPr>
        <w:t>6A</w:t>
      </w:r>
      <w:r>
        <w:rPr>
          <w:snapToGrid w:val="0"/>
        </w:rPr>
        <w:t xml:space="preserve">. </w:t>
      </w:r>
      <w:r>
        <w:rPr>
          <w:snapToGrid w:val="0"/>
        </w:rPr>
        <w:tab/>
        <w:t>Prescribed period (section 19(1))</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36" w:name="_Toc13120889"/>
      <w:bookmarkStart w:id="37" w:name="_Toc44734215"/>
      <w:bookmarkStart w:id="38" w:name="_Toc44920258"/>
      <w:bookmarkStart w:id="39" w:name="_Toc170187246"/>
      <w:bookmarkStart w:id="40" w:name="_Toc297282976"/>
      <w:r>
        <w:rPr>
          <w:rStyle w:val="CharSectno"/>
        </w:rPr>
        <w:t>6B</w:t>
      </w:r>
      <w:r>
        <w:rPr>
          <w:snapToGrid w:val="0"/>
        </w:rPr>
        <w:t>.</w:t>
      </w:r>
      <w:r>
        <w:rPr>
          <w:snapToGrid w:val="0"/>
        </w:rPr>
        <w:tab/>
        <w:t>Prescribed penalty for late application (section 19(3))</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1" w:name="_Toc13120890"/>
      <w:bookmarkStart w:id="42" w:name="_Toc44734216"/>
      <w:bookmarkStart w:id="43" w:name="_Toc44920259"/>
      <w:bookmarkStart w:id="44" w:name="_Toc170187247"/>
      <w:bookmarkStart w:id="45" w:name="_Toc297282977"/>
      <w:r>
        <w:rPr>
          <w:rStyle w:val="CharSectno"/>
        </w:rPr>
        <w:t>7</w:t>
      </w:r>
      <w:r>
        <w:rPr>
          <w:snapToGrid w:val="0"/>
        </w:rPr>
        <w:t>.</w:t>
      </w:r>
      <w:r>
        <w:rPr>
          <w:snapToGrid w:val="0"/>
        </w:rPr>
        <w:tab/>
        <w:t>Fees</w:t>
      </w:r>
      <w:bookmarkEnd w:id="41"/>
      <w:bookmarkEnd w:id="42"/>
      <w:bookmarkEnd w:id="43"/>
      <w:bookmarkEnd w:id="44"/>
      <w:bookmarkEnd w:id="45"/>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46" w:name="_Toc44734217"/>
      <w:bookmarkStart w:id="47" w:name="_Toc44920260"/>
      <w:bookmarkStart w:id="48" w:name="_Toc170187248"/>
      <w:bookmarkStart w:id="49" w:name="_Toc297282978"/>
      <w:r>
        <w:rPr>
          <w:rStyle w:val="CharSectno"/>
        </w:rPr>
        <w:t>8</w:t>
      </w:r>
      <w:r>
        <w:t>.</w:t>
      </w:r>
      <w:r>
        <w:tab/>
        <w:t>Classes of business and categories of licence</w:t>
      </w:r>
      <w:bookmarkEnd w:id="46"/>
      <w:bookmarkEnd w:id="47"/>
      <w:bookmarkEnd w:id="48"/>
      <w:bookmarkEnd w:id="49"/>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0" w:name="_Toc44734218"/>
      <w:bookmarkStart w:id="51" w:name="_Toc44920261"/>
      <w:bookmarkStart w:id="52" w:name="_Toc170187249"/>
      <w:bookmarkStart w:id="53" w:name="_Toc170187304"/>
      <w:bookmarkStart w:id="54" w:name="_Toc170187323"/>
      <w:bookmarkStart w:id="55" w:name="_Toc170786457"/>
      <w:bookmarkStart w:id="56" w:name="_Toc173053242"/>
      <w:bookmarkStart w:id="57" w:name="_Toc173054436"/>
      <w:bookmarkStart w:id="58" w:name="_Toc173719573"/>
      <w:bookmarkStart w:id="59" w:name="_Toc174783910"/>
      <w:bookmarkStart w:id="60" w:name="_Toc202583861"/>
      <w:bookmarkStart w:id="61" w:name="_Toc202583943"/>
      <w:bookmarkStart w:id="62" w:name="_Toc233702035"/>
      <w:bookmarkStart w:id="63" w:name="_Toc265664963"/>
      <w:bookmarkStart w:id="64" w:name="_Toc297282845"/>
      <w:bookmarkStart w:id="65" w:name="_Toc297282979"/>
      <w:r>
        <w:rPr>
          <w:rStyle w:val="CharSchNo"/>
        </w:rPr>
        <w:t>First Schedule</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yHeading2"/>
        <w:spacing w:after="120"/>
        <w:outlineLvl w:val="9"/>
      </w:pPr>
      <w:bookmarkStart w:id="66" w:name="_Toc64266317"/>
      <w:bookmarkStart w:id="67" w:name="_Toc170187250"/>
      <w:bookmarkStart w:id="68" w:name="_Toc170187305"/>
      <w:bookmarkStart w:id="69" w:name="_Toc170187324"/>
      <w:bookmarkStart w:id="70" w:name="_Toc170786458"/>
      <w:bookmarkStart w:id="71" w:name="_Toc173053243"/>
      <w:bookmarkStart w:id="72" w:name="_Toc173054437"/>
      <w:bookmarkStart w:id="73" w:name="_Toc173719574"/>
      <w:bookmarkStart w:id="74" w:name="_Toc174783911"/>
      <w:bookmarkStart w:id="75" w:name="_Toc202583862"/>
      <w:bookmarkStart w:id="76" w:name="_Toc202583944"/>
      <w:bookmarkStart w:id="77" w:name="_Toc233702036"/>
      <w:bookmarkStart w:id="78" w:name="_Toc265664964"/>
      <w:bookmarkStart w:id="79" w:name="_Toc297282846"/>
      <w:bookmarkStart w:id="80" w:name="_Toc297282980"/>
      <w:r>
        <w:rPr>
          <w:rStyle w:val="CharSchText"/>
        </w:rPr>
        <w:t>List of forms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81" w:name="_Toc44734219"/>
      <w:bookmarkStart w:id="82" w:name="_Toc44920262"/>
      <w:bookmarkStart w:id="83" w:name="_Toc170187251"/>
      <w:bookmarkStart w:id="84" w:name="_Toc170187306"/>
      <w:bookmarkStart w:id="85" w:name="_Toc170187325"/>
      <w:bookmarkStart w:id="86" w:name="_Toc170786459"/>
      <w:bookmarkStart w:id="87" w:name="_Toc173053244"/>
      <w:bookmarkStart w:id="88" w:name="_Toc173054438"/>
      <w:bookmarkStart w:id="89" w:name="_Toc173719575"/>
      <w:bookmarkStart w:id="90" w:name="_Toc174783912"/>
      <w:bookmarkStart w:id="91" w:name="_Toc202583863"/>
      <w:bookmarkStart w:id="92" w:name="_Toc202583945"/>
      <w:bookmarkStart w:id="93" w:name="_Toc233702037"/>
      <w:bookmarkStart w:id="94" w:name="_Toc265664965"/>
      <w:bookmarkStart w:id="95" w:name="_Toc297282847"/>
      <w:bookmarkStart w:id="96" w:name="_Toc297282981"/>
      <w:r>
        <w:rPr>
          <w:rStyle w:val="CharSchNo"/>
        </w:rPr>
        <w:t>Second Schedule</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SchText"/>
        </w:rPr>
        <w:t xml:space="preserve"> </w:t>
      </w:r>
    </w:p>
    <w:p>
      <w:pPr>
        <w:pStyle w:val="yEdnotesection"/>
        <w:spacing w:before="160"/>
      </w:pPr>
      <w:r>
        <w:t>[Forms 1-13 deleted in Gazette 29 Dec 1995 p. 6344.]</w:t>
      </w:r>
    </w:p>
    <w:p>
      <w:pPr>
        <w:pStyle w:val="yMiscellaneousBody"/>
        <w:spacing w:before="240"/>
        <w:rPr>
          <w:snapToGrid w:val="0"/>
        </w:rPr>
      </w:pPr>
      <w:r>
        <w:rPr>
          <w:snapToGrid w:val="0"/>
        </w:rPr>
        <w:t xml:space="preserve">Form 14 </w:t>
      </w:r>
    </w:p>
    <w:p>
      <w:pPr>
        <w:pStyle w:val="yMiscellaneousBody"/>
        <w:spacing w:before="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Table"/>
              <w:pageBreakBefore/>
              <w:spacing w:before="20"/>
              <w:ind w:left="113" w:right="113"/>
            </w:pPr>
            <w: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State">
              <w:smartTag w:uri="urn:schemas-microsoft-com:office:smarttags" w:element="plac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97" w:name="_Toc233702038"/>
      <w:bookmarkStart w:id="98" w:name="_Toc265664966"/>
      <w:bookmarkStart w:id="99" w:name="_Toc297282848"/>
      <w:bookmarkStart w:id="100" w:name="_Toc297282982"/>
      <w:bookmarkStart w:id="101" w:name="_Toc44734221"/>
      <w:bookmarkStart w:id="102" w:name="_Toc44920264"/>
      <w:bookmarkStart w:id="103" w:name="_Toc170187254"/>
      <w:bookmarkStart w:id="104" w:name="_Toc170187309"/>
      <w:bookmarkStart w:id="105" w:name="_Toc170187328"/>
      <w:bookmarkStart w:id="106" w:name="_Toc170786461"/>
      <w:bookmarkStart w:id="107" w:name="_Toc173053246"/>
      <w:bookmarkStart w:id="108" w:name="_Toc173054440"/>
      <w:bookmarkStart w:id="109" w:name="_Toc173719577"/>
      <w:bookmarkStart w:id="110" w:name="_Toc174783914"/>
      <w:bookmarkStart w:id="111" w:name="_Toc202583865"/>
      <w:bookmarkStart w:id="112" w:name="_Toc202583947"/>
      <w:r>
        <w:rPr>
          <w:rStyle w:val="CharSchNo"/>
        </w:rPr>
        <w:t>Third Schedule</w:t>
      </w:r>
      <w:r>
        <w:t> — </w:t>
      </w:r>
      <w:r>
        <w:rPr>
          <w:rStyle w:val="CharSchText"/>
        </w:rPr>
        <w:t>Fees</w:t>
      </w:r>
      <w:bookmarkEnd w:id="97"/>
      <w:bookmarkEnd w:id="98"/>
      <w:bookmarkEnd w:id="99"/>
      <w:bookmarkEnd w:id="100"/>
    </w:p>
    <w:p>
      <w:pPr>
        <w:pStyle w:val="yShoulderClause"/>
      </w:pPr>
      <w:r>
        <w:t>[r. 7]</w:t>
      </w:r>
    </w:p>
    <w:p>
      <w:pPr>
        <w:pStyle w:val="yFootnoteheading"/>
      </w:pPr>
      <w:r>
        <w:tab/>
        <w:t>[Heading inserted in Gazette 23 Jun 2009 p. 2445.]</w:t>
      </w:r>
    </w:p>
    <w:p>
      <w:pPr>
        <w:pStyle w:val="yTHeadingNAm"/>
      </w:pPr>
      <w:r>
        <w:t>Table</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153"/>
      </w:tblGrid>
      <w:tr>
        <w:trPr>
          <w:cantSplit/>
          <w:tblHeader/>
        </w:trPr>
        <w:tc>
          <w:tcPr>
            <w:tcW w:w="728" w:type="dxa"/>
          </w:tcPr>
          <w:p>
            <w:pPr>
              <w:pStyle w:val="yTableNAm"/>
              <w:jc w:val="center"/>
              <w:rPr>
                <w:b/>
              </w:rPr>
            </w:pPr>
            <w:r>
              <w:rPr>
                <w:b/>
              </w:rPr>
              <w:t>Item</w:t>
            </w:r>
          </w:p>
        </w:tc>
        <w:tc>
          <w:tcPr>
            <w:tcW w:w="4395" w:type="dxa"/>
          </w:tcPr>
          <w:p>
            <w:pPr>
              <w:pStyle w:val="yTableNAm"/>
              <w:jc w:val="center"/>
              <w:rPr>
                <w:b/>
              </w:rPr>
            </w:pPr>
            <w:r>
              <w:rPr>
                <w:b/>
              </w:rPr>
              <w:t>Description</w:t>
            </w:r>
          </w:p>
        </w:tc>
        <w:tc>
          <w:tcPr>
            <w:tcW w:w="1153" w:type="dxa"/>
          </w:tcPr>
          <w:p>
            <w:pPr>
              <w:pStyle w:val="yTableNAm"/>
              <w:jc w:val="center"/>
              <w:rPr>
                <w:b/>
              </w:rP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pPr>
            <w:r>
              <w:t>Application for a dealer’s licence or renewal of a dealer’s licence for the period prescribed by regulation 6A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(a)</w:t>
            </w:r>
            <w:r>
              <w:tab/>
              <w:t xml:space="preserve">if the dealer only specifies single premises to be authorised under section 20E(5) in relation to the licence </w:t>
            </w:r>
            <w:r>
              <w:tab/>
            </w:r>
          </w:p>
        </w:tc>
        <w:tc>
          <w:tcPr>
            <w:tcW w:w="1153" w:type="dxa"/>
            <w:tcBorders>
              <w:top w:val="nil"/>
              <w:bottom w:val="nil"/>
            </w:tcBorders>
          </w:tcPr>
          <w:p>
            <w:pPr>
              <w:pStyle w:val="yTableNAm"/>
              <w:jc w:val="right"/>
            </w:pPr>
            <w:r>
              <w:br/>
            </w:r>
            <w:r>
              <w:br/>
              <w:t>1 512.00</w:t>
            </w: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(b)</w:t>
            </w:r>
            <w:r>
              <w:tab/>
              <w:t xml:space="preserve">if the dealer specifies 2 or more premises to be authorised under section 20E(5) </w:t>
            </w:r>
            <w:r>
              <w:tab/>
            </w:r>
          </w:p>
        </w:tc>
        <w:tc>
          <w:tcPr>
            <w:tcW w:w="1153" w:type="dxa"/>
            <w:tcBorders>
              <w:top w:val="nil"/>
              <w:bottom w:val="nil"/>
            </w:tcBorders>
          </w:tcPr>
          <w:p>
            <w:pPr>
              <w:pStyle w:val="yTableNAm"/>
              <w:jc w:val="right"/>
            </w:pPr>
            <w:r>
              <w:br/>
            </w:r>
            <w:r>
              <w:br/>
              <w:t>756.00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plus, in respect of each further premises to be authorised under section 20E(5) in relation to the licence, a further </w:t>
            </w:r>
            <w:r>
              <w:tab/>
            </w:r>
          </w:p>
        </w:tc>
        <w:tc>
          <w:tcPr>
            <w:tcW w:w="1153" w:type="dxa"/>
            <w:tcBorders>
              <w:top w:val="nil"/>
            </w:tcBorders>
          </w:tcPr>
          <w:p>
            <w:pPr>
              <w:pStyle w:val="yTableNAm"/>
              <w:jc w:val="right"/>
            </w:pPr>
            <w:r>
              <w:br/>
            </w:r>
            <w:r>
              <w:br/>
              <w:t>756.00</w:t>
            </w:r>
          </w:p>
        </w:tc>
      </w:tr>
      <w:tr>
        <w:trPr>
          <w:cantSplit/>
        </w:trPr>
        <w:tc>
          <w:tcPr>
            <w:tcW w:w="728" w:type="dxa"/>
          </w:tcPr>
          <w:p>
            <w:pPr>
              <w:pStyle w:val="yTableNAm"/>
            </w:pPr>
            <w:r>
              <w:t>2.</w:t>
            </w:r>
          </w:p>
        </w:tc>
        <w:tc>
          <w:tcPr>
            <w:tcW w:w="4395" w:type="dxa"/>
          </w:tcPr>
          <w:p>
            <w:pPr>
              <w:pStyle w:val="yTableNAm"/>
              <w:tabs>
                <w:tab w:val="clear" w:pos="567"/>
                <w:tab w:val="right" w:leader="dot" w:pos="5103"/>
              </w:tabs>
            </w:pPr>
            <w:r>
              <w:t xml:space="preserve">Application under section 20F in respect of alteration of premises </w:t>
            </w:r>
            <w:r>
              <w:tab/>
            </w:r>
          </w:p>
        </w:tc>
        <w:tc>
          <w:tcPr>
            <w:tcW w:w="1153" w:type="dxa"/>
          </w:tcPr>
          <w:p>
            <w:pPr>
              <w:pStyle w:val="yTableNAm"/>
              <w:jc w:val="right"/>
            </w:pPr>
            <w:r>
              <w:br/>
              <w:t>125.00</w:t>
            </w:r>
          </w:p>
        </w:tc>
      </w:tr>
      <w:tr>
        <w:trPr>
          <w:cantSplit/>
        </w:trPr>
        <w:tc>
          <w:tcPr>
            <w:tcW w:w="728" w:type="dxa"/>
          </w:tcPr>
          <w:p>
            <w:pPr>
              <w:pStyle w:val="yTableNAm"/>
            </w:pPr>
            <w:r>
              <w:t>3.</w:t>
            </w:r>
          </w:p>
        </w:tc>
        <w:tc>
          <w:tcPr>
            <w:tcW w:w="4395" w:type="dxa"/>
          </w:tcPr>
          <w:p>
            <w:pPr>
              <w:pStyle w:val="yTableNAm"/>
              <w:tabs>
                <w:tab w:val="clear" w:pos="567"/>
                <w:tab w:val="right" w:leader="dot" w:pos="5103"/>
              </w:tabs>
            </w:pPr>
            <w:r>
              <w:t xml:space="preserve">Application under section 20F in respect of each added premises </w:t>
            </w:r>
            <w:r>
              <w:tab/>
            </w:r>
          </w:p>
        </w:tc>
        <w:tc>
          <w:tcPr>
            <w:tcW w:w="1153" w:type="dxa"/>
          </w:tcPr>
          <w:p>
            <w:pPr>
              <w:pStyle w:val="yTableNAm"/>
              <w:jc w:val="right"/>
            </w:pPr>
            <w:r>
              <w:br/>
              <w:t>756.00</w:t>
            </w:r>
          </w:p>
        </w:tc>
      </w:tr>
      <w:tr>
        <w:trPr>
          <w:cantSplit/>
        </w:trPr>
        <w:tc>
          <w:tcPr>
            <w:tcW w:w="728" w:type="dxa"/>
          </w:tcPr>
          <w:p>
            <w:pPr>
              <w:pStyle w:val="yTableNAm"/>
            </w:pPr>
            <w:r>
              <w:t>4.</w:t>
            </w:r>
          </w:p>
        </w:tc>
        <w:tc>
          <w:tcPr>
            <w:tcW w:w="4395" w:type="dxa"/>
          </w:tcPr>
          <w:p>
            <w:pPr>
              <w:pStyle w:val="yTableNAm"/>
              <w:tabs>
                <w:tab w:val="clear" w:pos="567"/>
                <w:tab w:val="right" w:leader="dot" w:pos="5103"/>
              </w:tabs>
            </w:pPr>
            <w:r>
              <w:t xml:space="preserve">Application for a temporary permit under section 20H </w:t>
            </w:r>
            <w:r>
              <w:tab/>
            </w:r>
          </w:p>
        </w:tc>
        <w:tc>
          <w:tcPr>
            <w:tcW w:w="1153" w:type="dxa"/>
          </w:tcPr>
          <w:p>
            <w:pPr>
              <w:pStyle w:val="yTableNAm"/>
              <w:jc w:val="right"/>
            </w:pPr>
            <w:r>
              <w:br/>
              <w:t>50.20</w:t>
            </w:r>
          </w:p>
        </w:tc>
      </w:tr>
      <w:tr>
        <w:trPr>
          <w:cantSplit/>
        </w:trPr>
        <w:tc>
          <w:tcPr>
            <w:tcW w:w="728" w:type="dxa"/>
          </w:tcPr>
          <w:p>
            <w:pPr>
              <w:pStyle w:val="yTableNAm"/>
            </w:pPr>
            <w:r>
              <w:t>5.</w:t>
            </w:r>
          </w:p>
        </w:tc>
        <w:tc>
          <w:tcPr>
            <w:tcW w:w="4395" w:type="dxa"/>
          </w:tcPr>
          <w:p>
            <w:pPr>
              <w:pStyle w:val="yTableNAm"/>
              <w:tabs>
                <w:tab w:val="clear" w:pos="567"/>
                <w:tab w:val="right" w:leader="dot" w:pos="5103"/>
              </w:tabs>
            </w:pPr>
            <w:r>
              <w:t xml:space="preserve">Application for yard manager’s licence or renewal of yard manager’s licence for the period prescribed by regulation 6A </w:t>
            </w:r>
            <w:r>
              <w:tab/>
            </w:r>
          </w:p>
        </w:tc>
        <w:tc>
          <w:tcPr>
            <w:tcW w:w="1153" w:type="dxa"/>
          </w:tcPr>
          <w:p>
            <w:pPr>
              <w:pStyle w:val="yTableNAm"/>
              <w:jc w:val="right"/>
            </w:pPr>
            <w:r>
              <w:br/>
            </w:r>
            <w:r>
              <w:br/>
              <w:t>385.00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clear" w:pos="567"/>
                <w:tab w:val="right" w:leader="dot" w:pos="5103"/>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jc w:val="right"/>
            </w:pPr>
            <w:r>
              <w:br/>
            </w:r>
            <w:r>
              <w:br/>
              <w:t>261.00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pPr>
            <w:r>
              <w:t>Application for car market operator’s registration or renewal of car market operator’s registration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(a)</w:t>
            </w:r>
            <w:r>
              <w:tab/>
              <w:t xml:space="preserve">if the operator only specifies single premises to be authorised under section 21A(5) in relation to the registration </w:t>
            </w:r>
            <w:r>
              <w:tab/>
            </w:r>
          </w:p>
        </w:tc>
        <w:tc>
          <w:tcPr>
            <w:tcW w:w="1153" w:type="dxa"/>
            <w:tcBorders>
              <w:top w:val="nil"/>
              <w:bottom w:val="nil"/>
            </w:tcBorders>
          </w:tcPr>
          <w:p>
            <w:pPr>
              <w:pStyle w:val="yTableNAm"/>
              <w:jc w:val="right"/>
            </w:pPr>
            <w:r>
              <w:br/>
            </w:r>
            <w:r>
              <w:br/>
            </w:r>
            <w:r>
              <w:br/>
              <w:t>1 512.00</w:t>
            </w: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(b)</w:t>
            </w:r>
            <w:r>
              <w:tab/>
              <w:t xml:space="preserve">if the operator specifies 2 or more premises to be authorised under section 21A(5) in relation to the registration </w:t>
            </w:r>
            <w:r>
              <w:tab/>
            </w:r>
          </w:p>
        </w:tc>
        <w:tc>
          <w:tcPr>
            <w:tcW w:w="1153" w:type="dxa"/>
            <w:tcBorders>
              <w:top w:val="nil"/>
              <w:bottom w:val="nil"/>
            </w:tcBorders>
          </w:tcPr>
          <w:p>
            <w:pPr>
              <w:pStyle w:val="yTableNAm"/>
              <w:jc w:val="right"/>
            </w:pPr>
            <w:r>
              <w:br/>
            </w:r>
            <w:r>
              <w:br/>
            </w:r>
            <w:r>
              <w:br/>
              <w:t>756.00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plus, in respect of each further premises to be authorised under section 21A(5) in relation to the registration, a further </w:t>
            </w:r>
            <w:r>
              <w:tab/>
            </w:r>
          </w:p>
        </w:tc>
        <w:tc>
          <w:tcPr>
            <w:tcW w:w="1153" w:type="dxa"/>
            <w:tcBorders>
              <w:top w:val="nil"/>
            </w:tcBorders>
          </w:tcPr>
          <w:p>
            <w:pPr>
              <w:pStyle w:val="yTableNAm"/>
              <w:jc w:val="right"/>
            </w:pPr>
            <w:r>
              <w:br/>
            </w:r>
            <w:r>
              <w:br/>
              <w:t>756.00</w:t>
            </w:r>
          </w:p>
        </w:tc>
      </w:tr>
      <w:tr>
        <w:trPr>
          <w:cantSplit/>
        </w:trPr>
        <w:tc>
          <w:tcPr>
            <w:tcW w:w="728" w:type="dxa"/>
          </w:tcPr>
          <w:p>
            <w:pPr>
              <w:pStyle w:val="yTableNAm"/>
            </w:pPr>
            <w:r>
              <w:t>8.</w:t>
            </w:r>
          </w:p>
        </w:tc>
        <w:tc>
          <w:tcPr>
            <w:tcW w:w="4395" w:type="dxa"/>
          </w:tcPr>
          <w:p>
            <w:pPr>
              <w:pStyle w:val="yTableNAm"/>
              <w:tabs>
                <w:tab w:val="clear" w:pos="567"/>
                <w:tab w:val="right" w:leader="dot" w:pos="5103"/>
              </w:tabs>
            </w:pPr>
            <w:r>
              <w:t xml:space="preserve">Application under section 21B in respect of alteration of premises </w:t>
            </w:r>
            <w:r>
              <w:tab/>
            </w:r>
          </w:p>
        </w:tc>
        <w:tc>
          <w:tcPr>
            <w:tcW w:w="1153" w:type="dxa"/>
          </w:tcPr>
          <w:p>
            <w:pPr>
              <w:pStyle w:val="yTableNAm"/>
              <w:jc w:val="right"/>
            </w:pPr>
            <w:r>
              <w:br/>
              <w:t>125.00</w:t>
            </w:r>
          </w:p>
        </w:tc>
      </w:tr>
      <w:tr>
        <w:trPr>
          <w:cantSplit/>
        </w:trPr>
        <w:tc>
          <w:tcPr>
            <w:tcW w:w="728" w:type="dxa"/>
          </w:tcPr>
          <w:p>
            <w:pPr>
              <w:pStyle w:val="yTableNAm"/>
            </w:pPr>
            <w:r>
              <w:t>9.</w:t>
            </w:r>
          </w:p>
        </w:tc>
        <w:tc>
          <w:tcPr>
            <w:tcW w:w="4395" w:type="dxa"/>
          </w:tcPr>
          <w:p>
            <w:pPr>
              <w:pStyle w:val="yTableNAm"/>
              <w:tabs>
                <w:tab w:val="clear" w:pos="567"/>
                <w:tab w:val="right" w:leader="dot" w:pos="5103"/>
              </w:tabs>
            </w:pPr>
            <w:r>
              <w:t xml:space="preserve">Application under section 21B in respect of each added premises </w:t>
            </w:r>
            <w:r>
              <w:tab/>
            </w:r>
          </w:p>
        </w:tc>
        <w:tc>
          <w:tcPr>
            <w:tcW w:w="1153" w:type="dxa"/>
          </w:tcPr>
          <w:p>
            <w:pPr>
              <w:pStyle w:val="yTableNAm"/>
              <w:jc w:val="right"/>
            </w:pPr>
            <w:r>
              <w:br/>
              <w:t>756.00</w:t>
            </w:r>
          </w:p>
        </w:tc>
      </w:tr>
      <w:tr>
        <w:trPr>
          <w:cantSplit/>
        </w:trPr>
        <w:tc>
          <w:tcPr>
            <w:tcW w:w="728" w:type="dxa"/>
          </w:tcPr>
          <w:p>
            <w:pPr>
              <w:pStyle w:val="yTableNAm"/>
            </w:pPr>
            <w:r>
              <w:t>10.</w:t>
            </w:r>
          </w:p>
        </w:tc>
        <w:tc>
          <w:tcPr>
            <w:tcW w:w="4395" w:type="dxa"/>
          </w:tcPr>
          <w:p>
            <w:pPr>
              <w:pStyle w:val="yTableNAm"/>
              <w:tabs>
                <w:tab w:val="clear" w:pos="567"/>
                <w:tab w:val="right" w:leader="dot" w:pos="5103"/>
              </w:tabs>
            </w:pPr>
            <w:r>
              <w:t xml:space="preserve">Application for certificate of exemption from the Act under section 31(1) </w:t>
            </w:r>
            <w:r>
              <w:tab/>
            </w:r>
          </w:p>
        </w:tc>
        <w:tc>
          <w:tcPr>
            <w:tcW w:w="1153" w:type="dxa"/>
          </w:tcPr>
          <w:p>
            <w:pPr>
              <w:pStyle w:val="yTableNAm"/>
              <w:jc w:val="right"/>
            </w:pPr>
            <w:r>
              <w:br/>
              <w:t>125.00</w:t>
            </w:r>
          </w:p>
        </w:tc>
      </w:tr>
      <w:tr>
        <w:trPr>
          <w:cantSplit/>
        </w:trPr>
        <w:tc>
          <w:tcPr>
            <w:tcW w:w="728" w:type="dxa"/>
          </w:tcPr>
          <w:p>
            <w:pPr>
              <w:pStyle w:val="yTableNAm"/>
            </w:pPr>
            <w:r>
              <w:t>11.</w:t>
            </w:r>
          </w:p>
        </w:tc>
        <w:tc>
          <w:tcPr>
            <w:tcW w:w="4395" w:type="dxa"/>
          </w:tcPr>
          <w:p>
            <w:pPr>
              <w:pStyle w:val="yTableNAm"/>
              <w:tabs>
                <w:tab w:val="clear" w:pos="567"/>
                <w:tab w:val="right" w:leader="dot" w:pos="5103"/>
              </w:tabs>
            </w:pPr>
            <w:r>
              <w:t xml:space="preserve">Application for temporary authorisation under section 16(2) or 17(2) </w:t>
            </w:r>
            <w:r>
              <w:tab/>
            </w:r>
          </w:p>
        </w:tc>
        <w:tc>
          <w:tcPr>
            <w:tcW w:w="1153" w:type="dxa"/>
          </w:tcPr>
          <w:p>
            <w:pPr>
              <w:pStyle w:val="yTableNAm"/>
              <w:jc w:val="right"/>
            </w:pPr>
            <w:r>
              <w:br/>
              <w:t>50.20</w:t>
            </w:r>
          </w:p>
        </w:tc>
      </w:tr>
      <w:tr>
        <w:trPr>
          <w:cantSplit/>
        </w:trPr>
        <w:tc>
          <w:tcPr>
            <w:tcW w:w="728" w:type="dxa"/>
          </w:tcPr>
          <w:p>
            <w:pPr>
              <w:pStyle w:val="yTableNAm"/>
            </w:pPr>
            <w:r>
              <w:t>12.</w:t>
            </w:r>
          </w:p>
        </w:tc>
        <w:tc>
          <w:tcPr>
            <w:tcW w:w="4395" w:type="dxa"/>
          </w:tcPr>
          <w:p>
            <w:pPr>
              <w:pStyle w:val="yTableNAm"/>
              <w:tabs>
                <w:tab w:val="clear" w:pos="567"/>
                <w:tab w:val="right" w:leader="dot" w:pos="5103"/>
              </w:tabs>
            </w:pPr>
            <w:r>
              <w:t xml:space="preserve">Individual dealer — change to firm </w:t>
            </w:r>
            <w:r>
              <w:tab/>
            </w:r>
          </w:p>
        </w:tc>
        <w:tc>
          <w:tcPr>
            <w:tcW w:w="1153" w:type="dxa"/>
          </w:tcPr>
          <w:p>
            <w:pPr>
              <w:pStyle w:val="yTableNAm"/>
              <w:jc w:val="right"/>
            </w:pPr>
            <w:r>
              <w:t>125.00</w:t>
            </w:r>
          </w:p>
        </w:tc>
      </w:tr>
      <w:tr>
        <w:trPr>
          <w:cantSplit/>
        </w:trPr>
        <w:tc>
          <w:tcPr>
            <w:tcW w:w="728" w:type="dxa"/>
          </w:tcPr>
          <w:p>
            <w:pPr>
              <w:pStyle w:val="yTableNAm"/>
            </w:pPr>
            <w:r>
              <w:t>13.</w:t>
            </w:r>
          </w:p>
        </w:tc>
        <w:tc>
          <w:tcPr>
            <w:tcW w:w="4395" w:type="dxa"/>
          </w:tcPr>
          <w:p>
            <w:pPr>
              <w:pStyle w:val="yTableNAm"/>
              <w:tabs>
                <w:tab w:val="clear" w:pos="567"/>
                <w:tab w:val="right" w:leader="dot" w:pos="5103"/>
              </w:tabs>
            </w:pPr>
            <w:r>
              <w:t xml:space="preserve">Individual dealer — change to body corporate </w:t>
            </w:r>
            <w:r>
              <w:tab/>
            </w:r>
          </w:p>
        </w:tc>
        <w:tc>
          <w:tcPr>
            <w:tcW w:w="1153" w:type="dxa"/>
          </w:tcPr>
          <w:p>
            <w:pPr>
              <w:pStyle w:val="yTableNAm"/>
              <w:jc w:val="right"/>
            </w:pPr>
            <w:r>
              <w:t>125.00</w:t>
            </w:r>
          </w:p>
        </w:tc>
      </w:tr>
      <w:tr>
        <w:trPr>
          <w:cantSplit/>
        </w:trPr>
        <w:tc>
          <w:tcPr>
            <w:tcW w:w="728" w:type="dxa"/>
          </w:tcPr>
          <w:p>
            <w:pPr>
              <w:pStyle w:val="yTableNAm"/>
            </w:pPr>
            <w:r>
              <w:t>14.</w:t>
            </w:r>
          </w:p>
        </w:tc>
        <w:tc>
          <w:tcPr>
            <w:tcW w:w="4395" w:type="dxa"/>
          </w:tcPr>
          <w:p>
            <w:pPr>
              <w:pStyle w:val="yTableNAm"/>
              <w:tabs>
                <w:tab w:val="clear" w:pos="567"/>
                <w:tab w:val="right" w:leader="dot" w:pos="5103"/>
              </w:tabs>
            </w:pPr>
            <w:r>
              <w:t xml:space="preserve">Firm — change to sole proprietor </w:t>
            </w:r>
            <w:r>
              <w:tab/>
            </w:r>
          </w:p>
        </w:tc>
        <w:tc>
          <w:tcPr>
            <w:tcW w:w="1153" w:type="dxa"/>
          </w:tcPr>
          <w:p>
            <w:pPr>
              <w:pStyle w:val="yTableNAm"/>
              <w:jc w:val="right"/>
            </w:pPr>
            <w:r>
              <w:t>125.00</w:t>
            </w:r>
          </w:p>
        </w:tc>
      </w:tr>
      <w:tr>
        <w:trPr>
          <w:cantSplit/>
        </w:trPr>
        <w:tc>
          <w:tcPr>
            <w:tcW w:w="728" w:type="dxa"/>
          </w:tcPr>
          <w:p>
            <w:pPr>
              <w:pStyle w:val="yTableNAm"/>
            </w:pPr>
            <w:r>
              <w:t>15.</w:t>
            </w:r>
          </w:p>
        </w:tc>
        <w:tc>
          <w:tcPr>
            <w:tcW w:w="4395" w:type="dxa"/>
          </w:tcPr>
          <w:p>
            <w:pPr>
              <w:pStyle w:val="yTableNAm"/>
              <w:tabs>
                <w:tab w:val="clear" w:pos="567"/>
                <w:tab w:val="right" w:leader="dot" w:pos="5103"/>
              </w:tabs>
            </w:pPr>
            <w:r>
              <w:t xml:space="preserve">Firm — change to body corporate </w:t>
            </w:r>
            <w:r>
              <w:tab/>
            </w:r>
          </w:p>
        </w:tc>
        <w:tc>
          <w:tcPr>
            <w:tcW w:w="1153" w:type="dxa"/>
          </w:tcPr>
          <w:p>
            <w:pPr>
              <w:pStyle w:val="yTableNAm"/>
              <w:jc w:val="right"/>
            </w:pPr>
            <w:r>
              <w:t>125.00</w:t>
            </w:r>
          </w:p>
        </w:tc>
      </w:tr>
      <w:tr>
        <w:trPr>
          <w:cantSplit/>
        </w:trPr>
        <w:tc>
          <w:tcPr>
            <w:tcW w:w="728" w:type="dxa"/>
          </w:tcPr>
          <w:p>
            <w:pPr>
              <w:pStyle w:val="yTableNAm"/>
            </w:pPr>
            <w:r>
              <w:t>16.</w:t>
            </w:r>
          </w:p>
        </w:tc>
        <w:tc>
          <w:tcPr>
            <w:tcW w:w="4395" w:type="dxa"/>
          </w:tcPr>
          <w:p>
            <w:pPr>
              <w:pStyle w:val="yTableNAm"/>
              <w:tabs>
                <w:tab w:val="clear" w:pos="567"/>
                <w:tab w:val="right" w:leader="dot" w:pos="5103"/>
              </w:tabs>
            </w:pPr>
            <w:r>
              <w:t xml:space="preserve">Body corporate change to individual or firm </w:t>
            </w:r>
            <w:r>
              <w:tab/>
            </w:r>
          </w:p>
        </w:tc>
        <w:tc>
          <w:tcPr>
            <w:tcW w:w="1153" w:type="dxa"/>
          </w:tcPr>
          <w:p>
            <w:pPr>
              <w:pStyle w:val="yTableNAm"/>
              <w:jc w:val="right"/>
            </w:pPr>
            <w:r>
              <w:t>125.00</w:t>
            </w:r>
          </w:p>
        </w:tc>
      </w:tr>
      <w:tr>
        <w:trPr>
          <w:cantSplit/>
        </w:trPr>
        <w:tc>
          <w:tcPr>
            <w:tcW w:w="728" w:type="dxa"/>
            <w:tcBorders>
              <w:bottom w:val="single" w:sz="4" w:space="0" w:color="auto"/>
            </w:tcBorders>
          </w:tcPr>
          <w:p>
            <w:pPr>
              <w:pStyle w:val="yTableNAm"/>
            </w:pPr>
            <w:r>
              <w:t>17.</w:t>
            </w:r>
          </w:p>
        </w:tc>
        <w:tc>
          <w:tcPr>
            <w:tcW w:w="4395" w:type="dxa"/>
            <w:tcBorders>
              <w:bottom w:val="single" w:sz="4" w:space="0" w:color="auto"/>
            </w:tcBorders>
          </w:tcPr>
          <w:p>
            <w:pPr>
              <w:pStyle w:val="yTableNAm"/>
              <w:tabs>
                <w:tab w:val="clear" w:pos="567"/>
                <w:tab w:val="right" w:leader="dot" w:pos="5103"/>
              </w:tabs>
            </w:pPr>
            <w:r>
              <w:t xml:space="preserve">Duplicate licence </w:t>
            </w:r>
            <w:r>
              <w:tab/>
            </w:r>
          </w:p>
        </w:tc>
        <w:tc>
          <w:tcPr>
            <w:tcW w:w="1153" w:type="dxa"/>
            <w:tcBorders>
              <w:bottom w:val="single" w:sz="4" w:space="0" w:color="auto"/>
            </w:tcBorders>
          </w:tcPr>
          <w:p>
            <w:pPr>
              <w:pStyle w:val="yTableNAm"/>
              <w:jc w:val="right"/>
            </w:pPr>
            <w:r>
              <w:t>40.40</w:t>
            </w:r>
          </w:p>
        </w:tc>
      </w:tr>
      <w:tr>
        <w:trPr>
          <w:cantSplit/>
        </w:trPr>
        <w:tc>
          <w:tcPr>
            <w:tcW w:w="728" w:type="dxa"/>
            <w:tcBorders>
              <w:bottom w:val="nil"/>
            </w:tcBorders>
          </w:tcPr>
          <w:p>
            <w:pPr>
              <w:pStyle w:val="yTableNAm"/>
            </w:pPr>
            <w:r>
              <w:t>18.</w:t>
            </w:r>
          </w:p>
        </w:tc>
        <w:tc>
          <w:tcPr>
            <w:tcW w:w="4395" w:type="dxa"/>
            <w:tcBorders>
              <w:bottom w:val="nil"/>
            </w:tcBorders>
          </w:tcPr>
          <w:p>
            <w:pPr>
              <w:pStyle w:val="yTableNAm"/>
            </w:pPr>
            <w:r>
              <w:t>Copy (certified or uncertified) or an extract of an individual registration in the register kept under section 24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clear" w:pos="567"/>
                <w:tab w:val="right" w:leader="dot" w:pos="5103"/>
              </w:tabs>
            </w:pPr>
            <w:r>
              <w:t xml:space="preserve">first page </w:t>
            </w:r>
            <w:r>
              <w:tab/>
            </w:r>
          </w:p>
        </w:tc>
        <w:tc>
          <w:tcPr>
            <w:tcW w:w="1153" w:type="dxa"/>
            <w:tcBorders>
              <w:top w:val="nil"/>
              <w:bottom w:val="nil"/>
            </w:tcBorders>
          </w:tcPr>
          <w:p>
            <w:pPr>
              <w:pStyle w:val="yTableNAm"/>
              <w:jc w:val="right"/>
            </w:pPr>
            <w:r>
              <w:t>18.30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each subsequent page </w:t>
            </w:r>
            <w:r>
              <w:tab/>
            </w:r>
          </w:p>
        </w:tc>
        <w:tc>
          <w:tcPr>
            <w:tcW w:w="1153" w:type="dxa"/>
            <w:tcBorders>
              <w:top w:val="nil"/>
            </w:tcBorders>
          </w:tcPr>
          <w:p>
            <w:pPr>
              <w:pStyle w:val="yTableNAm"/>
              <w:jc w:val="right"/>
            </w:pPr>
            <w:r>
              <w:t>3.60</w:t>
            </w:r>
          </w:p>
        </w:tc>
      </w:tr>
      <w:tr>
        <w:trPr>
          <w:cantSplit/>
        </w:trPr>
        <w:tc>
          <w:tcPr>
            <w:tcW w:w="728" w:type="dxa"/>
          </w:tcPr>
          <w:p>
            <w:pPr>
              <w:pStyle w:val="yTableNAm"/>
            </w:pPr>
            <w:r>
              <w:t>19.</w:t>
            </w:r>
          </w:p>
        </w:tc>
        <w:tc>
          <w:tcPr>
            <w:tcW w:w="4395" w:type="dxa"/>
          </w:tcPr>
          <w:p>
            <w:pPr>
              <w:pStyle w:val="yTableNAm"/>
              <w:tabs>
                <w:tab w:val="clear" w:pos="567"/>
                <w:tab w:val="right" w:leader="dot" w:pos="5103"/>
              </w:tabs>
            </w:pPr>
            <w:r>
              <w:t xml:space="preserve">Copy (certified or uncertified) or an extract of all registrations in the register kept under section 24 </w:t>
            </w:r>
            <w:r>
              <w:tab/>
              <w:t>............................................</w:t>
            </w:r>
          </w:p>
        </w:tc>
        <w:tc>
          <w:tcPr>
            <w:tcW w:w="1153" w:type="dxa"/>
          </w:tcPr>
          <w:p>
            <w:pPr>
              <w:pStyle w:val="yTableNAm"/>
              <w:jc w:val="right"/>
            </w:pPr>
            <w:r>
              <w:br/>
            </w:r>
            <w:r>
              <w:br/>
              <w:t>232.00</w:t>
            </w:r>
          </w:p>
        </w:tc>
      </w:tr>
      <w:tr>
        <w:trPr>
          <w:cantSplit/>
        </w:trPr>
        <w:tc>
          <w:tcPr>
            <w:tcW w:w="728" w:type="dxa"/>
          </w:tcPr>
          <w:p>
            <w:pPr>
              <w:pStyle w:val="yTableNAm"/>
            </w:pPr>
            <w:r>
              <w:rPr>
                <w:sz w:val="24"/>
              </w:rPr>
              <w:br w:type="page"/>
            </w:r>
            <w:r>
              <w:t>20.</w:t>
            </w:r>
          </w:p>
        </w:tc>
        <w:tc>
          <w:tcPr>
            <w:tcW w:w="4395" w:type="dxa"/>
          </w:tcPr>
          <w:p>
            <w:pPr>
              <w:pStyle w:val="yTableNAm"/>
              <w:tabs>
                <w:tab w:val="clear" w:pos="567"/>
                <w:tab w:val="right" w:leader="dot" w:pos="5103"/>
              </w:tabs>
            </w:pPr>
            <w:r>
              <w:t xml:space="preserve">Inspection of register kept under section 24 </w:t>
            </w:r>
            <w:r>
              <w:tab/>
            </w:r>
          </w:p>
        </w:tc>
        <w:tc>
          <w:tcPr>
            <w:tcW w:w="1153" w:type="dxa"/>
          </w:tcPr>
          <w:p>
            <w:pPr>
              <w:pStyle w:val="yTableNAm"/>
              <w:jc w:val="right"/>
            </w:pPr>
            <w:r>
              <w:t>18.30</w:t>
            </w:r>
          </w:p>
        </w:tc>
      </w:tr>
    </w:tbl>
    <w:p>
      <w:pPr>
        <w:pStyle w:val="yFootnotesection"/>
      </w:pPr>
      <w:r>
        <w:tab/>
        <w:t>[Third Schedule inserted in Gazette 23 Jun 2009 p. 2445</w:t>
      </w:r>
      <w:r>
        <w:noBreakHyphen/>
        <w:t>6; amended in Gazette 25 Jun 2010 p. 2849-51; 22 Jun 2011 p. 2358-60.]</w:t>
      </w:r>
    </w:p>
    <w:p>
      <w:pPr>
        <w:pStyle w:val="yScheduleHeading"/>
      </w:pPr>
      <w:bookmarkStart w:id="113" w:name="_Toc233702039"/>
      <w:bookmarkStart w:id="114" w:name="_Toc265664967"/>
      <w:bookmarkStart w:id="115" w:name="_Toc297282849"/>
      <w:bookmarkStart w:id="116" w:name="_Toc297282983"/>
      <w:r>
        <w:rPr>
          <w:rStyle w:val="CharSchNo"/>
        </w:rPr>
        <w:t>Fourth Schedule</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ShoulderClause"/>
      </w:pPr>
      <w:r>
        <w:t>[r. 8]</w:t>
      </w:r>
    </w:p>
    <w:p>
      <w:pPr>
        <w:pStyle w:val="yHeading2"/>
        <w:spacing w:before="120" w:after="120"/>
        <w:outlineLvl w:val="9"/>
      </w:pPr>
      <w:bookmarkStart w:id="117" w:name="_Toc170187255"/>
      <w:bookmarkStart w:id="118" w:name="_Toc170187310"/>
      <w:bookmarkStart w:id="119" w:name="_Toc170187329"/>
      <w:bookmarkStart w:id="120" w:name="_Toc170786462"/>
      <w:bookmarkStart w:id="121" w:name="_Toc173053247"/>
      <w:bookmarkStart w:id="122" w:name="_Toc173054441"/>
      <w:bookmarkStart w:id="123" w:name="_Toc173719578"/>
      <w:bookmarkStart w:id="124" w:name="_Toc174783915"/>
      <w:bookmarkStart w:id="125" w:name="_Toc202583866"/>
      <w:bookmarkStart w:id="126" w:name="_Toc202583948"/>
      <w:bookmarkStart w:id="127" w:name="_Toc233702040"/>
      <w:bookmarkStart w:id="128" w:name="_Toc265664968"/>
      <w:bookmarkStart w:id="129" w:name="_Toc297282850"/>
      <w:bookmarkStart w:id="130" w:name="_Toc297282984"/>
      <w:r>
        <w:rPr>
          <w:rStyle w:val="CharSchText"/>
        </w:rPr>
        <w:t>Classes and descriptions of business and categories of dealer’s licence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rPr>
          <w:i w:val="0"/>
          <w:iCs/>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1" w:name="_Toc67902624"/>
      <w:bookmarkStart w:id="132" w:name="_Toc107660551"/>
      <w:bookmarkStart w:id="133" w:name="_Toc107802176"/>
      <w:bookmarkStart w:id="134" w:name="_Toc107802259"/>
      <w:bookmarkStart w:id="135" w:name="_Toc139261107"/>
      <w:bookmarkStart w:id="136" w:name="_Toc170187256"/>
      <w:bookmarkStart w:id="137" w:name="_Toc170187311"/>
      <w:bookmarkStart w:id="138" w:name="_Toc170187330"/>
      <w:bookmarkStart w:id="139" w:name="_Toc170786463"/>
      <w:bookmarkStart w:id="140" w:name="_Toc173053248"/>
      <w:bookmarkStart w:id="141" w:name="_Toc173054442"/>
      <w:bookmarkStart w:id="142" w:name="_Toc173719579"/>
      <w:bookmarkStart w:id="143" w:name="_Toc174783916"/>
      <w:bookmarkStart w:id="144" w:name="_Toc202583867"/>
      <w:bookmarkStart w:id="145" w:name="_Toc202583949"/>
      <w:bookmarkStart w:id="146" w:name="_Toc233702041"/>
      <w:bookmarkStart w:id="147" w:name="_Toc265664969"/>
      <w:bookmarkStart w:id="148" w:name="_Toc297282851"/>
      <w:bookmarkStart w:id="149" w:name="_Toc297282985"/>
      <w:r>
        <w:t>Notes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150" w:name="_Toc297282986"/>
      <w:r>
        <w:t>Compilation table</w:t>
      </w:r>
      <w:bookmarkEnd w:id="15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2552-4</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rPr>
                <w:i/>
                <w:sz w:val="19"/>
              </w:rPr>
            </w:pPr>
            <w:r>
              <w:rPr>
                <w:i/>
                <w:sz w:val="19"/>
              </w:rPr>
              <w:t>Motor Vehicle Dealers (Licensing) Amendment Regulations 2010</w:t>
            </w:r>
          </w:p>
        </w:tc>
        <w:tc>
          <w:tcPr>
            <w:tcW w:w="1276" w:type="dxa"/>
          </w:tcPr>
          <w:p>
            <w:pPr>
              <w:pStyle w:val="nTable"/>
              <w:spacing w:after="40"/>
              <w:rPr>
                <w:sz w:val="19"/>
              </w:rPr>
            </w:pPr>
            <w:r>
              <w:rPr>
                <w:sz w:val="19"/>
              </w:rPr>
              <w:t>25 Jun 2010 p. 2848-51</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rPr>
                <w:i/>
                <w:sz w:val="19"/>
              </w:rPr>
            </w:pPr>
            <w:r>
              <w:rPr>
                <w:i/>
                <w:sz w:val="19"/>
              </w:rPr>
              <w:t>Motor Vehicle Dealers (Licensing) Amendment Regulations 2011</w:t>
            </w:r>
          </w:p>
        </w:tc>
        <w:tc>
          <w:tcPr>
            <w:tcW w:w="1276" w:type="dxa"/>
          </w:tcPr>
          <w:p>
            <w:pPr>
              <w:pStyle w:val="nTable"/>
              <w:spacing w:after="40"/>
              <w:rPr>
                <w:sz w:val="19"/>
              </w:rPr>
            </w:pPr>
            <w:r>
              <w:rPr>
                <w:sz w:val="19"/>
              </w:rPr>
              <w:t>22 Jun 2011 p. 2357-60</w:t>
            </w:r>
          </w:p>
        </w:tc>
        <w:tc>
          <w:tcPr>
            <w:tcW w:w="2693" w:type="dxa"/>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rPr>
          <w:cantSplit/>
        </w:trPr>
        <w:tc>
          <w:tcPr>
            <w:tcW w:w="3118" w:type="dxa"/>
            <w:tcBorders>
              <w:bottom w:val="single" w:sz="4" w:space="0" w:color="auto"/>
            </w:tcBorders>
          </w:tcPr>
          <w:p>
            <w:pPr>
              <w:pStyle w:val="nTable"/>
              <w:spacing w:after="40"/>
              <w:rPr>
                <w:i/>
                <w:sz w:val="19"/>
              </w:rPr>
            </w:pPr>
            <w:r>
              <w:rPr>
                <w:i/>
                <w:sz w:val="19"/>
              </w:rPr>
              <w:t>Motor Vehicle Dealers (Licensing) Amendment Regulations (No. 2) 2011</w:t>
            </w:r>
          </w:p>
        </w:tc>
        <w:tc>
          <w:tcPr>
            <w:tcW w:w="1276" w:type="dxa"/>
            <w:tcBorders>
              <w:bottom w:val="single" w:sz="4" w:space="0" w:color="auto"/>
            </w:tcBorders>
          </w:tcPr>
          <w:p>
            <w:pPr>
              <w:pStyle w:val="nTable"/>
              <w:spacing w:after="40"/>
              <w:rPr>
                <w:sz w:val="19"/>
              </w:rPr>
            </w:pPr>
            <w:r>
              <w:rPr>
                <w:sz w:val="19"/>
              </w:rPr>
              <w:t>30 Jun 2011 p. 2661-2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Dealers (Licensing)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vAlign w:val="bottom"/>
        </w:tcPr>
        <w:p>
          <w:pPr>
            <w:pStyle w:val="HeaderTextLeft"/>
          </w:pPr>
          <w:fldSimple w:instr=" styleref CharSchText ">
            <w:r>
              <w:rPr>
                <w:noProof/>
              </w:rPr>
              <w:t>List of forms</w:t>
            </w:r>
          </w:fldSimple>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fldSimple w:instr=" styleref CharSchText ">
            <w:r>
              <w:rPr>
                <w:noProof/>
              </w:rPr>
              <w:t>List of forms</w:t>
            </w:r>
          </w:fldSimple>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848"/>
    <w:docVar w:name="WAFER_20151208142848" w:val="RemoveTrackChanges"/>
    <w:docVar w:name="WAFER_20151208142848_GUID" w:val="baf7ca16-eccb-4464-ad9e-b7be3200b5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2505</Words>
  <Characters>14684</Characters>
  <Application>Microsoft Office Word</Application>
  <DocSecurity>0</DocSecurity>
  <Lines>917</Lines>
  <Paragraphs>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1974 - 04-e0-02</dc:title>
  <dc:subject/>
  <dc:creator/>
  <cp:keywords/>
  <dc:description/>
  <cp:lastModifiedBy>svcMRProcess</cp:lastModifiedBy>
  <cp:revision>4</cp:revision>
  <cp:lastPrinted>2007-08-01T01:02:00Z</cp:lastPrinted>
  <dcterms:created xsi:type="dcterms:W3CDTF">2015-12-10T20:06:00Z</dcterms:created>
  <dcterms:modified xsi:type="dcterms:W3CDTF">2015-12-10T20:06:00Z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4648</vt:i4>
  </property>
  <property fmtid="{D5CDD505-2E9C-101B-9397-08002B2CF9AE}" pid="6" name="ReprintNo">
    <vt:lpwstr>4</vt:lpwstr>
  </property>
  <property fmtid="{D5CDD505-2E9C-101B-9397-08002B2CF9AE}" pid="7" name="AsAtDate">
    <vt:lpwstr>01 Jul 2011</vt:lpwstr>
  </property>
  <property fmtid="{D5CDD505-2E9C-101B-9397-08002B2CF9AE}" pid="8" name="Suffix">
    <vt:lpwstr>04-e0-02</vt:lpwstr>
  </property>
</Properties>
</file>