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Royal Perth Hospital By-laws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_Toc297298919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_Toc297298920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_Toc297298921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4.</w:t>
      </w:r>
      <w:r>
        <w:tab/>
        <w:t>No entry without cause</w:t>
      </w:r>
      <w:r>
        <w:tab/>
      </w:r>
      <w:r>
        <w:fldChar w:fldCharType="begin"/>
      </w:r>
      <w:r>
        <w:instrText xml:space="preserve"> PAGEREF _Toc297298923 \h </w:instrText>
      </w:r>
      <w:r>
        <w:fldChar w:fldCharType="separate"/>
      </w:r>
      <w:r>
        <w:t>3</w:t>
      </w:r>
      <w:r>
        <w:fldChar w:fldCharType="end"/>
      </w:r>
    </w:p>
    <w:p>
      <w:pPr>
        <w:pStyle w:val="TOC8"/>
        <w:rPr>
          <w:sz w:val="24"/>
          <w:szCs w:val="24"/>
          <w:lang w:val="en-US"/>
        </w:rPr>
      </w:pPr>
      <w:r>
        <w:t>5.</w:t>
      </w:r>
      <w:r>
        <w:tab/>
      </w:r>
      <w:r>
        <w:rPr>
          <w:snapToGrid w:val="0"/>
        </w:rPr>
        <w:t>Directions as to use of certain areas</w:t>
      </w:r>
      <w:r>
        <w:tab/>
      </w:r>
      <w:r>
        <w:fldChar w:fldCharType="begin"/>
      </w:r>
      <w:r>
        <w:instrText xml:space="preserve"> PAGEREF _Toc297298924 \h </w:instrText>
      </w:r>
      <w:r>
        <w:fldChar w:fldCharType="separate"/>
      </w:r>
      <w:r>
        <w:t>3</w:t>
      </w:r>
      <w:r>
        <w:fldChar w:fldCharType="end"/>
      </w:r>
    </w:p>
    <w:p>
      <w:pPr>
        <w:pStyle w:val="TOC8"/>
        <w:rPr>
          <w:sz w:val="24"/>
          <w:szCs w:val="24"/>
          <w:lang w:val="en-US"/>
        </w:rPr>
      </w:pPr>
      <w:r>
        <w:t>6.</w:t>
      </w:r>
      <w:r>
        <w:tab/>
        <w:t>Liquor</w:t>
      </w:r>
      <w:r>
        <w:tab/>
      </w:r>
      <w:r>
        <w:fldChar w:fldCharType="begin"/>
      </w:r>
      <w:r>
        <w:instrText xml:space="preserve"> PAGEREF _Toc297298925 \h </w:instrText>
      </w:r>
      <w:r>
        <w:fldChar w:fldCharType="separate"/>
      </w:r>
      <w:r>
        <w:t>3</w:t>
      </w:r>
      <w:r>
        <w:fldChar w:fldCharType="end"/>
      </w:r>
    </w:p>
    <w:p>
      <w:pPr>
        <w:pStyle w:val="TOC8"/>
        <w:rPr>
          <w:sz w:val="24"/>
          <w:szCs w:val="24"/>
          <w:lang w:val="en-US"/>
        </w:rPr>
      </w:pPr>
      <w:r>
        <w:t>7.</w:t>
      </w:r>
      <w:r>
        <w:tab/>
        <w:t>Smoking</w:t>
      </w:r>
      <w:r>
        <w:tab/>
      </w:r>
      <w:r>
        <w:fldChar w:fldCharType="begin"/>
      </w:r>
      <w:r>
        <w:instrText xml:space="preserve"> PAGEREF _Toc297298926 \h </w:instrText>
      </w:r>
      <w:r>
        <w:fldChar w:fldCharType="separate"/>
      </w:r>
      <w:r>
        <w:t>3</w:t>
      </w:r>
      <w:r>
        <w:fldChar w:fldCharType="end"/>
      </w:r>
    </w:p>
    <w:p>
      <w:pPr>
        <w:pStyle w:val="TOC8"/>
        <w:rPr>
          <w:sz w:val="24"/>
          <w:szCs w:val="24"/>
          <w:lang w:val="en-US"/>
        </w:rPr>
      </w:pPr>
      <w:r>
        <w:t>8.</w:t>
      </w:r>
      <w:r>
        <w:tab/>
        <w:t>Disorderly persons may be removed from site</w:t>
      </w:r>
      <w:r>
        <w:tab/>
      </w:r>
      <w:r>
        <w:fldChar w:fldCharType="begin"/>
      </w:r>
      <w:r>
        <w:instrText xml:space="preserve"> PAGEREF _Toc297298927 \h </w:instrText>
      </w:r>
      <w:r>
        <w:fldChar w:fldCharType="separate"/>
      </w:r>
      <w:r>
        <w:t>4</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9.</w:t>
      </w:r>
      <w:r>
        <w:tab/>
        <w:t>Driving of vehicles</w:t>
      </w:r>
      <w:r>
        <w:tab/>
      </w:r>
      <w:r>
        <w:fldChar w:fldCharType="begin"/>
      </w:r>
      <w:r>
        <w:instrText xml:space="preserve"> PAGEREF _Toc297298930 \h </w:instrText>
      </w:r>
      <w:r>
        <w:fldChar w:fldCharType="separate"/>
      </w:r>
      <w:r>
        <w:t>5</w:t>
      </w:r>
      <w:r>
        <w:fldChar w:fldCharType="end"/>
      </w:r>
    </w:p>
    <w:p>
      <w:pPr>
        <w:pStyle w:val="TOC8"/>
        <w:rPr>
          <w:sz w:val="24"/>
          <w:szCs w:val="24"/>
          <w:lang w:val="en-US"/>
        </w:rPr>
      </w:pPr>
      <w:r>
        <w:t>10.</w:t>
      </w:r>
      <w:r>
        <w:tab/>
        <w:t>Driver to obey reasonable direction</w:t>
      </w:r>
      <w:r>
        <w:tab/>
      </w:r>
      <w:r>
        <w:fldChar w:fldCharType="begin"/>
      </w:r>
      <w:r>
        <w:instrText xml:space="preserve"> PAGEREF _Toc297298931 \h </w:instrText>
      </w:r>
      <w:r>
        <w:fldChar w:fldCharType="separate"/>
      </w:r>
      <w:r>
        <w:t>5</w:t>
      </w:r>
      <w:r>
        <w:fldChar w:fldCharType="end"/>
      </w:r>
    </w:p>
    <w:p>
      <w:pPr>
        <w:pStyle w:val="TOC8"/>
        <w:rPr>
          <w:sz w:val="24"/>
          <w:szCs w:val="24"/>
          <w:lang w:val="en-US"/>
        </w:rPr>
      </w:pPr>
      <w:r>
        <w:t>11.</w:t>
      </w:r>
      <w:r>
        <w:tab/>
        <w:t>Speed limits</w:t>
      </w:r>
      <w:r>
        <w:tab/>
      </w:r>
      <w:r>
        <w:fldChar w:fldCharType="begin"/>
      </w:r>
      <w:r>
        <w:instrText xml:space="preserve"> PAGEREF _Toc297298932 \h </w:instrText>
      </w:r>
      <w:r>
        <w:fldChar w:fldCharType="separate"/>
      </w:r>
      <w:r>
        <w:t>5</w:t>
      </w:r>
      <w:r>
        <w:fldChar w:fldCharType="end"/>
      </w:r>
    </w:p>
    <w:p>
      <w:pPr>
        <w:pStyle w:val="TOC8"/>
        <w:rPr>
          <w:sz w:val="24"/>
          <w:szCs w:val="24"/>
          <w:lang w:val="en-US"/>
        </w:rPr>
      </w:pPr>
      <w:r>
        <w:t>12.</w:t>
      </w:r>
      <w:r>
        <w:tab/>
        <w:t>Giving way</w:t>
      </w:r>
      <w:r>
        <w:tab/>
      </w:r>
      <w:r>
        <w:fldChar w:fldCharType="begin"/>
      </w:r>
      <w:r>
        <w:instrText xml:space="preserve"> PAGEREF _Toc297298933 \h </w:instrText>
      </w:r>
      <w:r>
        <w:fldChar w:fldCharType="separate"/>
      </w:r>
      <w:r>
        <w:t>6</w:t>
      </w:r>
      <w:r>
        <w:fldChar w:fldCharType="end"/>
      </w:r>
    </w:p>
    <w:p>
      <w:pPr>
        <w:pStyle w:val="TOC8"/>
        <w:rPr>
          <w:sz w:val="24"/>
          <w:szCs w:val="24"/>
          <w:lang w:val="en-US"/>
        </w:rPr>
      </w:pPr>
      <w:r>
        <w:t>13.</w:t>
      </w:r>
      <w:r>
        <w:tab/>
      </w:r>
      <w:r>
        <w:rPr>
          <w:snapToGrid w:val="0"/>
        </w:rPr>
        <w:t>No instruction or repairs on site</w:t>
      </w:r>
      <w:r>
        <w:tab/>
      </w:r>
      <w:r>
        <w:fldChar w:fldCharType="begin"/>
      </w:r>
      <w:r>
        <w:instrText xml:space="preserve"> PAGEREF _Toc297298934 \h </w:instrText>
      </w:r>
      <w:r>
        <w:fldChar w:fldCharType="separate"/>
      </w:r>
      <w:r>
        <w:t>6</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14.</w:t>
      </w:r>
      <w:r>
        <w:tab/>
        <w:t>Parking to be in parking spaces only</w:t>
      </w:r>
      <w:r>
        <w:tab/>
      </w:r>
      <w:r>
        <w:fldChar w:fldCharType="begin"/>
      </w:r>
      <w:r>
        <w:instrText xml:space="preserve"> PAGEREF _Toc297298936 \h </w:instrText>
      </w:r>
      <w:r>
        <w:fldChar w:fldCharType="separate"/>
      </w:r>
      <w:r>
        <w:t>6</w:t>
      </w:r>
      <w:r>
        <w:fldChar w:fldCharType="end"/>
      </w:r>
    </w:p>
    <w:p>
      <w:pPr>
        <w:pStyle w:val="TOC8"/>
        <w:rPr>
          <w:sz w:val="24"/>
          <w:szCs w:val="24"/>
          <w:lang w:val="en-US"/>
        </w:rPr>
      </w:pPr>
      <w:r>
        <w:t>15.</w:t>
      </w:r>
      <w:r>
        <w:tab/>
        <w:t>Signs to be obeyed</w:t>
      </w:r>
      <w:r>
        <w:tab/>
      </w:r>
      <w:r>
        <w:fldChar w:fldCharType="begin"/>
      </w:r>
      <w:r>
        <w:instrText xml:space="preserve"> PAGEREF _Toc297298937 \h </w:instrText>
      </w:r>
      <w:r>
        <w:fldChar w:fldCharType="separate"/>
      </w:r>
      <w:r>
        <w:t>6</w:t>
      </w:r>
      <w:r>
        <w:fldChar w:fldCharType="end"/>
      </w:r>
    </w:p>
    <w:p>
      <w:pPr>
        <w:pStyle w:val="TOC8"/>
        <w:rPr>
          <w:sz w:val="24"/>
          <w:szCs w:val="24"/>
          <w:lang w:val="en-US"/>
        </w:rPr>
      </w:pPr>
      <w:r>
        <w:t>16.</w:t>
      </w:r>
      <w:r>
        <w:tab/>
        <w:t>Parking in parking spaces</w:t>
      </w:r>
      <w:r>
        <w:tab/>
      </w:r>
      <w:r>
        <w:fldChar w:fldCharType="begin"/>
      </w:r>
      <w:r>
        <w:instrText xml:space="preserve"> PAGEREF _Toc297298938 \h </w:instrText>
      </w:r>
      <w:r>
        <w:fldChar w:fldCharType="separate"/>
      </w:r>
      <w:r>
        <w:t>7</w:t>
      </w:r>
      <w:r>
        <w:fldChar w:fldCharType="end"/>
      </w:r>
    </w:p>
    <w:p>
      <w:pPr>
        <w:pStyle w:val="TOC8"/>
        <w:rPr>
          <w:sz w:val="24"/>
          <w:szCs w:val="24"/>
          <w:lang w:val="en-US"/>
        </w:rPr>
      </w:pPr>
      <w:r>
        <w:t>17.</w:t>
      </w:r>
      <w:r>
        <w:tab/>
        <w:t>Permit</w:t>
      </w:r>
      <w:r>
        <w:tab/>
      </w:r>
      <w:r>
        <w:fldChar w:fldCharType="begin"/>
      </w:r>
      <w:r>
        <w:instrText xml:space="preserve"> PAGEREF _Toc297298939 \h </w:instrText>
      </w:r>
      <w:r>
        <w:fldChar w:fldCharType="separate"/>
      </w:r>
      <w:r>
        <w:t>7</w:t>
      </w:r>
      <w:r>
        <w:fldChar w:fldCharType="end"/>
      </w:r>
    </w:p>
    <w:p>
      <w:pPr>
        <w:pStyle w:val="TOC8"/>
        <w:rPr>
          <w:sz w:val="24"/>
          <w:szCs w:val="24"/>
          <w:lang w:val="en-US"/>
        </w:rPr>
      </w:pPr>
      <w:r>
        <w:t>18.</w:t>
      </w:r>
      <w:r>
        <w:tab/>
        <w:t>Refund of permit fees</w:t>
      </w:r>
      <w:r>
        <w:tab/>
      </w:r>
      <w:r>
        <w:fldChar w:fldCharType="begin"/>
      </w:r>
      <w:r>
        <w:instrText xml:space="preserve"> PAGEREF _Toc297298940 \h </w:instrText>
      </w:r>
      <w:r>
        <w:fldChar w:fldCharType="separate"/>
      </w:r>
      <w:r>
        <w:t>9</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19.</w:t>
      </w:r>
      <w:r>
        <w:tab/>
        <w:t>Interpretation</w:t>
      </w:r>
      <w:r>
        <w:tab/>
      </w:r>
      <w:r>
        <w:fldChar w:fldCharType="begin"/>
      </w:r>
      <w:r>
        <w:instrText xml:space="preserve"> PAGEREF _Toc297298942 \h </w:instrText>
      </w:r>
      <w:r>
        <w:fldChar w:fldCharType="separate"/>
      </w:r>
      <w:r>
        <w:t>10</w:t>
      </w:r>
      <w:r>
        <w:fldChar w:fldCharType="end"/>
      </w:r>
    </w:p>
    <w:p>
      <w:pPr>
        <w:pStyle w:val="TOC8"/>
        <w:rPr>
          <w:sz w:val="24"/>
          <w:szCs w:val="24"/>
          <w:lang w:val="en-US"/>
        </w:rPr>
      </w:pPr>
      <w:r>
        <w:t>20.</w:t>
      </w:r>
      <w:r>
        <w:tab/>
        <w:t>Infringement notices</w:t>
      </w:r>
      <w:r>
        <w:tab/>
      </w:r>
      <w:r>
        <w:fldChar w:fldCharType="begin"/>
      </w:r>
      <w:r>
        <w:instrText xml:space="preserve"> PAGEREF _Toc297298943 \h </w:instrText>
      </w:r>
      <w:r>
        <w:fldChar w:fldCharType="separate"/>
      </w:r>
      <w:r>
        <w:t>10</w:t>
      </w:r>
      <w:r>
        <w:fldChar w:fldCharType="end"/>
      </w:r>
    </w:p>
    <w:p>
      <w:pPr>
        <w:pStyle w:val="TOC8"/>
        <w:rPr>
          <w:sz w:val="24"/>
          <w:szCs w:val="24"/>
          <w:lang w:val="en-US"/>
        </w:rPr>
      </w:pPr>
      <w:r>
        <w:t>21.</w:t>
      </w:r>
      <w:r>
        <w:tab/>
        <w:t>Withdrawal of infringement notice</w:t>
      </w:r>
      <w:r>
        <w:tab/>
      </w:r>
      <w:r>
        <w:fldChar w:fldCharType="begin"/>
      </w:r>
      <w:r>
        <w:instrText xml:space="preserve"> PAGEREF _Toc297298944 \h </w:instrText>
      </w:r>
      <w:r>
        <w:fldChar w:fldCharType="separate"/>
      </w:r>
      <w:r>
        <w:t>11</w:t>
      </w:r>
      <w:r>
        <w:fldChar w:fldCharType="end"/>
      </w:r>
    </w:p>
    <w:p>
      <w:pPr>
        <w:pStyle w:val="TOC8"/>
        <w:rPr>
          <w:sz w:val="24"/>
          <w:szCs w:val="24"/>
          <w:lang w:val="en-US"/>
        </w:rPr>
      </w:pPr>
      <w:r>
        <w:t>22.</w:t>
      </w:r>
      <w:r>
        <w:tab/>
        <w:t>Authorised person to have certificate</w:t>
      </w:r>
      <w:r>
        <w:tab/>
      </w:r>
      <w:r>
        <w:fldChar w:fldCharType="begin"/>
      </w:r>
      <w:r>
        <w:instrText xml:space="preserve"> PAGEREF _Toc297298945 \h </w:instrText>
      </w:r>
      <w:r>
        <w:fldChar w:fldCharType="separate"/>
      </w:r>
      <w:r>
        <w:t>11</w:t>
      </w:r>
      <w:r>
        <w:fldChar w:fldCharType="end"/>
      </w:r>
    </w:p>
    <w:p>
      <w:pPr>
        <w:pStyle w:val="TOC8"/>
        <w:rPr>
          <w:sz w:val="24"/>
          <w:szCs w:val="24"/>
          <w:lang w:val="en-US"/>
        </w:rPr>
      </w:pPr>
      <w:r>
        <w:t>23.</w:t>
      </w:r>
      <w:r>
        <w:tab/>
        <w:t>Authorised persons only to endorse and alter infringement notices</w:t>
      </w:r>
      <w:r>
        <w:tab/>
      </w:r>
      <w:r>
        <w:fldChar w:fldCharType="begin"/>
      </w:r>
      <w:r>
        <w:instrText xml:space="preserve"> PAGEREF _Toc297298946 \h </w:instrText>
      </w:r>
      <w:r>
        <w:fldChar w:fldCharType="separate"/>
      </w:r>
      <w:r>
        <w:t>12</w:t>
      </w:r>
      <w:r>
        <w:fldChar w:fldCharType="end"/>
      </w:r>
    </w:p>
    <w:p>
      <w:pPr>
        <w:pStyle w:val="TOC8"/>
        <w:rPr>
          <w:sz w:val="24"/>
          <w:szCs w:val="24"/>
          <w:lang w:val="en-US"/>
        </w:rPr>
      </w:pPr>
      <w:r>
        <w:t>24.</w:t>
      </w:r>
      <w:r>
        <w:tab/>
        <w:t>Restriction on removal of infringement notices</w:t>
      </w:r>
      <w:r>
        <w:tab/>
      </w:r>
      <w:r>
        <w:fldChar w:fldCharType="begin"/>
      </w:r>
      <w:r>
        <w:instrText xml:space="preserve"> PAGEREF _Toc297298947 \h </w:instrText>
      </w:r>
      <w:r>
        <w:fldChar w:fldCharType="separate"/>
      </w:r>
      <w:r>
        <w:t>12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25.</w:t>
      </w:r>
      <w:r>
        <w:tab/>
        <w:t>Removal of vehicles</w:t>
      </w:r>
      <w:r>
        <w:tab/>
      </w:r>
      <w:r>
        <w:fldChar w:fldCharType="begin"/>
      </w:r>
      <w:r>
        <w:instrText xml:space="preserve"> PAGEREF _Toc297298949 \h </w:instrText>
      </w:r>
      <w:r>
        <w:fldChar w:fldCharType="separate"/>
      </w:r>
      <w:r>
        <w:t>13</w:t>
      </w:r>
      <w:r>
        <w:fldChar w:fldCharType="end"/>
      </w:r>
    </w:p>
    <w:p>
      <w:pPr>
        <w:pStyle w:val="TOC8"/>
        <w:rPr>
          <w:sz w:val="24"/>
          <w:szCs w:val="24"/>
          <w:lang w:val="en-US"/>
        </w:rPr>
      </w:pPr>
      <w:r>
        <w:t>26.</w:t>
      </w:r>
      <w:r>
        <w:tab/>
        <w:t>Registered owner may be treated as being driver or person in charge of vehicle at time of offence</w:t>
      </w:r>
      <w:r>
        <w:tab/>
      </w:r>
      <w:r>
        <w:fldChar w:fldCharType="begin"/>
      </w:r>
      <w:r>
        <w:instrText xml:space="preserve"> PAGEREF _Toc297298950 \h </w:instrText>
      </w:r>
      <w:r>
        <w:fldChar w:fldCharType="separate"/>
      </w:r>
      <w:r>
        <w:t>13</w:t>
      </w:r>
      <w:r>
        <w:fldChar w:fldCharType="end"/>
      </w:r>
    </w:p>
    <w:p>
      <w:pPr>
        <w:pStyle w:val="TOC8"/>
        <w:rPr>
          <w:sz w:val="24"/>
          <w:szCs w:val="24"/>
          <w:lang w:val="en-US"/>
        </w:rPr>
      </w:pPr>
      <w:r>
        <w:t>27.</w:t>
      </w:r>
      <w:r>
        <w:tab/>
        <w:t>Other offences</w:t>
      </w:r>
      <w:r>
        <w:tab/>
      </w:r>
      <w:r>
        <w:fldChar w:fldCharType="begin"/>
      </w:r>
      <w:r>
        <w:instrText xml:space="preserve"> PAGEREF _Toc297298951 \h </w:instrText>
      </w:r>
      <w:r>
        <w:fldChar w:fldCharType="separate"/>
      </w:r>
      <w:r>
        <w:t>14</w:t>
      </w:r>
      <w:r>
        <w:fldChar w:fldCharType="end"/>
      </w:r>
    </w:p>
    <w:p>
      <w:pPr>
        <w:pStyle w:val="TOC2"/>
        <w:tabs>
          <w:tab w:val="right" w:leader="dot" w:pos="7086"/>
        </w:tabs>
        <w:rPr>
          <w:b w:val="0"/>
          <w:sz w:val="24"/>
          <w:szCs w:val="24"/>
          <w:lang w:val="en-US"/>
        </w:rPr>
      </w:pPr>
      <w:r>
        <w:t>Schedule 1 — Hospital sites</w:t>
      </w:r>
    </w:p>
    <w:p>
      <w:pPr>
        <w:pStyle w:val="TOC2"/>
        <w:tabs>
          <w:tab w:val="right" w:leader="dot" w:pos="7086"/>
        </w:tabs>
        <w:rPr>
          <w:b w:val="0"/>
          <w:sz w:val="24"/>
          <w:szCs w:val="24"/>
          <w:lang w:val="en-US"/>
        </w:rPr>
      </w:pPr>
      <w:r>
        <w:t>Schedule 2A — Fees</w:t>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_Toc297298957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227576866"/>
      <w:bookmarkStart w:id="2" w:name="_Toc227638718"/>
      <w:bookmarkStart w:id="3" w:name="_Toc278467532"/>
      <w:bookmarkStart w:id="4" w:name="_Toc281465814"/>
      <w:bookmarkStart w:id="5" w:name="_Toc2972989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423332722"/>
      <w:bookmarkStart w:id="7" w:name="_Toc425219441"/>
      <w:bookmarkStart w:id="8" w:name="_Toc426249308"/>
      <w:bookmarkStart w:id="9" w:name="_Toc449924704"/>
      <w:bookmarkStart w:id="10" w:name="_Toc449947722"/>
      <w:bookmarkStart w:id="11" w:name="_Toc454185713"/>
      <w:bookmarkStart w:id="12" w:name="_Toc515958686"/>
      <w:bookmarkStart w:id="13" w:name="_Toc297298919"/>
      <w:r>
        <w:rPr>
          <w:rStyle w:val="CharSectno"/>
        </w:rPr>
        <w:t>1</w:t>
      </w:r>
      <w:r>
        <w:t>.</w:t>
      </w:r>
      <w:r>
        <w:tab/>
        <w:t>Citation</w:t>
      </w:r>
      <w:bookmarkEnd w:id="6"/>
      <w:bookmarkEnd w:id="7"/>
      <w:bookmarkEnd w:id="8"/>
      <w:bookmarkEnd w:id="9"/>
      <w:bookmarkEnd w:id="10"/>
      <w:bookmarkEnd w:id="11"/>
      <w:bookmarkEnd w:id="12"/>
      <w:bookmarkEnd w:id="13"/>
    </w:p>
    <w:p>
      <w:pPr>
        <w:pStyle w:val="Subsection"/>
      </w:pPr>
      <w:r>
        <w:tab/>
      </w:r>
      <w:r>
        <w:tab/>
      </w:r>
      <w:bookmarkStart w:id="14" w:name="Start_Cursor"/>
      <w:bookmarkEnd w:id="14"/>
      <w:r>
        <w:rPr>
          <w:spacing w:val="-2"/>
        </w:rPr>
        <w:t>These</w:t>
      </w:r>
      <w:r>
        <w:t xml:space="preserve"> </w:t>
      </w:r>
      <w:r>
        <w:rPr>
          <w:spacing w:val="-2"/>
        </w:rPr>
        <w:t>by-laws</w:t>
      </w:r>
      <w:r>
        <w:t xml:space="preserve"> are the </w:t>
      </w:r>
      <w:r>
        <w:rPr>
          <w:i/>
        </w:rPr>
        <w:t>Royal Perth Hospital By-laws 2009</w:t>
      </w:r>
      <w:r>
        <w:t>.</w:t>
      </w:r>
    </w:p>
    <w:p>
      <w:pPr>
        <w:pStyle w:val="Heading5"/>
      </w:pPr>
      <w:bookmarkStart w:id="15" w:name="_Toc297298920"/>
      <w:r>
        <w:rPr>
          <w:rStyle w:val="CharSectno"/>
        </w:rPr>
        <w:t>2</w:t>
      </w:r>
      <w:r>
        <w:t>.</w:t>
      </w:r>
      <w:r>
        <w:tab/>
        <w:t>Commencement</w:t>
      </w:r>
      <w:bookmarkEnd w:id="15"/>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16" w:name="_Toc297298921"/>
      <w:r>
        <w:rPr>
          <w:rStyle w:val="CharSectno"/>
        </w:rPr>
        <w:t>3</w:t>
      </w:r>
      <w:r>
        <w:t>.</w:t>
      </w:r>
      <w:r>
        <w:tab/>
        <w:t>Interpretation</w:t>
      </w:r>
      <w:bookmarkEnd w:id="1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7" w:name="_Toc227576870"/>
      <w:bookmarkStart w:id="18" w:name="_Toc227638722"/>
      <w:bookmarkStart w:id="19" w:name="_Toc278467536"/>
      <w:bookmarkStart w:id="20" w:name="_Toc281465818"/>
      <w:bookmarkStart w:id="21" w:name="_Toc297298922"/>
      <w:bookmarkStart w:id="22" w:name="_Toc437943303"/>
      <w:bookmarkStart w:id="23" w:name="_Toc471091703"/>
      <w:bookmarkStart w:id="24" w:name="_Toc496083449"/>
      <w:bookmarkStart w:id="25" w:name="_Toc496416764"/>
      <w:bookmarkStart w:id="26" w:name="_Toc532783970"/>
      <w:bookmarkStart w:id="27" w:name="_Toc533572144"/>
      <w:r>
        <w:rPr>
          <w:rStyle w:val="CharPartNo"/>
        </w:rPr>
        <w:t>Part 2</w:t>
      </w:r>
      <w:r>
        <w:rPr>
          <w:rStyle w:val="CharDivNo"/>
        </w:rPr>
        <w:t> </w:t>
      </w:r>
      <w:r>
        <w:t>—</w:t>
      </w:r>
      <w:r>
        <w:rPr>
          <w:rStyle w:val="CharDivText"/>
        </w:rPr>
        <w:t> </w:t>
      </w:r>
      <w:r>
        <w:rPr>
          <w:rStyle w:val="CharPartText"/>
        </w:rPr>
        <w:t>Trespass and order</w:t>
      </w:r>
      <w:bookmarkEnd w:id="17"/>
      <w:bookmarkEnd w:id="18"/>
      <w:bookmarkEnd w:id="19"/>
      <w:bookmarkEnd w:id="20"/>
      <w:bookmarkEnd w:id="21"/>
    </w:p>
    <w:p>
      <w:pPr>
        <w:pStyle w:val="Heading5"/>
        <w:rPr>
          <w:snapToGrid w:val="0"/>
        </w:rPr>
      </w:pPr>
      <w:bookmarkStart w:id="28" w:name="_Toc297298923"/>
      <w:r>
        <w:rPr>
          <w:rStyle w:val="CharSectno"/>
        </w:rPr>
        <w:t>4</w:t>
      </w:r>
      <w:r>
        <w:t>.</w:t>
      </w:r>
      <w:r>
        <w:tab/>
        <w:t>No entry without cause</w:t>
      </w:r>
      <w:bookmarkEnd w:id="22"/>
      <w:bookmarkEnd w:id="23"/>
      <w:bookmarkEnd w:id="24"/>
      <w:bookmarkEnd w:id="25"/>
      <w:bookmarkEnd w:id="26"/>
      <w:bookmarkEnd w:id="27"/>
      <w:bookmarkEnd w:id="28"/>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9" w:name="_Toc297298924"/>
      <w:r>
        <w:rPr>
          <w:rStyle w:val="CharSectno"/>
        </w:rPr>
        <w:t>5</w:t>
      </w:r>
      <w:r>
        <w:t>.</w:t>
      </w:r>
      <w:r>
        <w:tab/>
      </w:r>
      <w:r>
        <w:rPr>
          <w:snapToGrid w:val="0"/>
        </w:rPr>
        <w:t>Directions as to use of certain areas</w:t>
      </w:r>
      <w:bookmarkEnd w:id="29"/>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0" w:name="_Toc297298925"/>
      <w:r>
        <w:rPr>
          <w:rStyle w:val="CharSectno"/>
        </w:rPr>
        <w:t>6</w:t>
      </w:r>
      <w:r>
        <w:t>.</w:t>
      </w:r>
      <w:r>
        <w:tab/>
        <w:t>Liquor</w:t>
      </w:r>
      <w:bookmarkEnd w:id="30"/>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31" w:name="_Toc297298926"/>
      <w:r>
        <w:rPr>
          <w:rStyle w:val="CharSectno"/>
        </w:rPr>
        <w:t>7</w:t>
      </w:r>
      <w:r>
        <w:t>.</w:t>
      </w:r>
      <w:r>
        <w:tab/>
        <w:t>Smoking</w:t>
      </w:r>
      <w:bookmarkEnd w:id="31"/>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2" w:name="_Toc297298927"/>
      <w:r>
        <w:rPr>
          <w:rStyle w:val="CharSectno"/>
        </w:rPr>
        <w:t>8</w:t>
      </w:r>
      <w:r>
        <w:t>.</w:t>
      </w:r>
      <w:r>
        <w:tab/>
        <w:t>Disorderly persons may be removed from site</w:t>
      </w:r>
      <w:bookmarkEnd w:id="32"/>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3" w:name="_Toc227576876"/>
      <w:bookmarkStart w:id="34" w:name="_Toc227638728"/>
      <w:bookmarkStart w:id="35" w:name="_Toc278467542"/>
      <w:bookmarkStart w:id="36" w:name="_Toc281465824"/>
      <w:bookmarkStart w:id="37" w:name="_Toc297298928"/>
      <w:r>
        <w:rPr>
          <w:rStyle w:val="CharPartNo"/>
        </w:rPr>
        <w:t>Part 3</w:t>
      </w:r>
      <w:r>
        <w:t> — </w:t>
      </w:r>
      <w:r>
        <w:rPr>
          <w:rStyle w:val="CharPartText"/>
        </w:rPr>
        <w:t>Traffic control</w:t>
      </w:r>
      <w:bookmarkEnd w:id="33"/>
      <w:bookmarkEnd w:id="34"/>
      <w:bookmarkEnd w:id="35"/>
      <w:bookmarkEnd w:id="36"/>
      <w:bookmarkEnd w:id="37"/>
    </w:p>
    <w:p>
      <w:pPr>
        <w:pStyle w:val="Heading3"/>
      </w:pPr>
      <w:bookmarkStart w:id="38" w:name="_Toc227576877"/>
      <w:bookmarkStart w:id="39" w:name="_Toc227638729"/>
      <w:bookmarkStart w:id="40" w:name="_Toc278467543"/>
      <w:bookmarkStart w:id="41" w:name="_Toc281465825"/>
      <w:bookmarkStart w:id="42" w:name="_Toc297298929"/>
      <w:bookmarkStart w:id="43" w:name="_Toc437943308"/>
      <w:bookmarkStart w:id="44" w:name="_Toc471091708"/>
      <w:bookmarkStart w:id="45" w:name="_Toc496083454"/>
      <w:bookmarkStart w:id="46" w:name="_Toc496416769"/>
      <w:bookmarkStart w:id="47" w:name="_Toc532783975"/>
      <w:bookmarkStart w:id="48" w:name="_Toc533572149"/>
      <w:r>
        <w:rPr>
          <w:rStyle w:val="CharDivNo"/>
        </w:rPr>
        <w:t>Division 1</w:t>
      </w:r>
      <w:r>
        <w:t> — </w:t>
      </w:r>
      <w:r>
        <w:rPr>
          <w:rStyle w:val="CharDivText"/>
        </w:rPr>
        <w:t>Driving and use of vehicles</w:t>
      </w:r>
      <w:bookmarkEnd w:id="38"/>
      <w:bookmarkEnd w:id="39"/>
      <w:bookmarkEnd w:id="40"/>
      <w:bookmarkEnd w:id="41"/>
      <w:bookmarkEnd w:id="42"/>
    </w:p>
    <w:p>
      <w:pPr>
        <w:pStyle w:val="Heading5"/>
      </w:pPr>
      <w:bookmarkStart w:id="49" w:name="_Toc297298930"/>
      <w:bookmarkEnd w:id="43"/>
      <w:bookmarkEnd w:id="44"/>
      <w:bookmarkEnd w:id="45"/>
      <w:bookmarkEnd w:id="46"/>
      <w:bookmarkEnd w:id="47"/>
      <w:bookmarkEnd w:id="48"/>
      <w:r>
        <w:rPr>
          <w:rStyle w:val="CharSectno"/>
        </w:rPr>
        <w:t>9</w:t>
      </w:r>
      <w:r>
        <w:t>.</w:t>
      </w:r>
      <w:r>
        <w:tab/>
        <w:t>Driving of vehicles</w:t>
      </w:r>
      <w:bookmarkEnd w:id="49"/>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50" w:name="_Toc297298931"/>
      <w:r>
        <w:rPr>
          <w:rStyle w:val="CharSectno"/>
        </w:rPr>
        <w:t>10</w:t>
      </w:r>
      <w:r>
        <w:t>.</w:t>
      </w:r>
      <w:r>
        <w:tab/>
        <w:t>Driver to obey reasonable direction</w:t>
      </w:r>
      <w:bookmarkEnd w:id="50"/>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51" w:name="_Toc297298932"/>
      <w:r>
        <w:rPr>
          <w:rStyle w:val="CharSectno"/>
        </w:rPr>
        <w:t>11</w:t>
      </w:r>
      <w:r>
        <w:t>.</w:t>
      </w:r>
      <w:r>
        <w:tab/>
        <w:t>Speed limits</w:t>
      </w:r>
      <w:bookmarkEnd w:id="51"/>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52" w:name="_Toc297298933"/>
      <w:r>
        <w:rPr>
          <w:rStyle w:val="CharSectno"/>
        </w:rPr>
        <w:t>12</w:t>
      </w:r>
      <w:r>
        <w:t>.</w:t>
      </w:r>
      <w:r>
        <w:tab/>
        <w:t>Giving way</w:t>
      </w:r>
      <w:bookmarkEnd w:id="5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53" w:name="_Toc297298934"/>
      <w:r>
        <w:rPr>
          <w:rStyle w:val="CharSectno"/>
        </w:rPr>
        <w:t>13</w:t>
      </w:r>
      <w:r>
        <w:t>.</w:t>
      </w:r>
      <w:r>
        <w:tab/>
      </w:r>
      <w:r>
        <w:rPr>
          <w:snapToGrid w:val="0"/>
        </w:rPr>
        <w:t>No instruction or repairs on site</w:t>
      </w:r>
      <w:bookmarkEnd w:id="5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4" w:name="_Toc227576883"/>
      <w:bookmarkStart w:id="55" w:name="_Toc227638735"/>
      <w:bookmarkStart w:id="56" w:name="_Toc278467549"/>
      <w:bookmarkStart w:id="57" w:name="_Toc281465831"/>
      <w:bookmarkStart w:id="58" w:name="_Toc297298935"/>
      <w:bookmarkStart w:id="59" w:name="_Toc437943313"/>
      <w:bookmarkStart w:id="60" w:name="_Toc471091713"/>
      <w:bookmarkStart w:id="61" w:name="_Toc496083459"/>
      <w:bookmarkStart w:id="62" w:name="_Toc496416774"/>
      <w:bookmarkStart w:id="63" w:name="_Toc532783980"/>
      <w:bookmarkStart w:id="64" w:name="_Toc533572154"/>
      <w:r>
        <w:rPr>
          <w:rStyle w:val="CharDivNo"/>
        </w:rPr>
        <w:t>Division 2</w:t>
      </w:r>
      <w:r>
        <w:t> — </w:t>
      </w:r>
      <w:r>
        <w:rPr>
          <w:rStyle w:val="CharDivText"/>
        </w:rPr>
        <w:t>Parking</w:t>
      </w:r>
      <w:bookmarkEnd w:id="54"/>
      <w:bookmarkEnd w:id="55"/>
      <w:bookmarkEnd w:id="56"/>
      <w:bookmarkEnd w:id="57"/>
      <w:bookmarkEnd w:id="58"/>
    </w:p>
    <w:p>
      <w:pPr>
        <w:pStyle w:val="Heading5"/>
      </w:pPr>
      <w:bookmarkStart w:id="65" w:name="_Toc297298936"/>
      <w:bookmarkEnd w:id="59"/>
      <w:bookmarkEnd w:id="60"/>
      <w:bookmarkEnd w:id="61"/>
      <w:bookmarkEnd w:id="62"/>
      <w:bookmarkEnd w:id="63"/>
      <w:bookmarkEnd w:id="64"/>
      <w:r>
        <w:rPr>
          <w:rStyle w:val="CharSectno"/>
        </w:rPr>
        <w:t>14</w:t>
      </w:r>
      <w:r>
        <w:t>.</w:t>
      </w:r>
      <w:r>
        <w:tab/>
        <w:t>Parking to be in parking spaces only</w:t>
      </w:r>
      <w:bookmarkEnd w:id="65"/>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66" w:name="_Toc297298937"/>
      <w:r>
        <w:rPr>
          <w:rStyle w:val="CharSectno"/>
        </w:rPr>
        <w:t>15</w:t>
      </w:r>
      <w:r>
        <w:t>.</w:t>
      </w:r>
      <w:r>
        <w:tab/>
        <w:t>Signs to be obeyed</w:t>
      </w:r>
      <w:bookmarkEnd w:id="6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67" w:name="_Toc297298938"/>
      <w:r>
        <w:rPr>
          <w:rStyle w:val="CharSectno"/>
        </w:rPr>
        <w:t>16</w:t>
      </w:r>
      <w:r>
        <w:t>.</w:t>
      </w:r>
      <w:r>
        <w:tab/>
        <w:t>Parking in parking spaces</w:t>
      </w:r>
      <w:bookmarkEnd w:id="67"/>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68" w:name="_Hlt496586520"/>
      <w:bookmarkStart w:id="69" w:name="_Toc297298939"/>
      <w:bookmarkEnd w:id="68"/>
      <w:r>
        <w:rPr>
          <w:rStyle w:val="CharSectno"/>
        </w:rPr>
        <w:t>17</w:t>
      </w:r>
      <w:r>
        <w:t>.</w:t>
      </w:r>
      <w:r>
        <w:tab/>
        <w:t>Permit</w:t>
      </w:r>
      <w:bookmarkEnd w:id="69"/>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(3)</w:t>
      </w:r>
      <w:r>
        <w:rPr>
          <w:snapToGrid w:val="0"/>
        </w:rPr>
        <w:tab/>
        <w:t>An application under sub</w:t>
      </w:r>
      <w:r>
        <w:rPr>
          <w:snapToGrid w:val="0"/>
        </w:rPr>
        <w:noBreakHyphen/>
        <w:t xml:space="preserve">bylaw (2) — </w:t>
      </w:r>
    </w:p>
    <w:p>
      <w:pPr>
        <w:pStyle w:val="Indenta"/>
        <w:rPr>
          <w:snapToGrid w:val="0"/>
        </w:rPr>
      </w:pPr>
      <w:r>
        <w:rPr>
          <w:snapToGrid w:val="0"/>
        </w:rPr>
        <w:tab/>
        <w:t>(a)</w:t>
      </w:r>
      <w:r>
        <w:rPr>
          <w:snapToGrid w:val="0"/>
        </w:rPr>
        <w:tab/>
        <w:t>is to be in a form approved by the chief executive officer or an authorised person; or</w:t>
      </w:r>
    </w:p>
    <w:p>
      <w:pPr>
        <w:pStyle w:val="Indenta"/>
      </w:pPr>
      <w:r>
        <w:tab/>
        <w:t>(b)</w:t>
      </w:r>
      <w:r>
        <w:tab/>
        <w:t>is to be accompanied by the fee set out in Schedule 2A that corresponds to the type of permit for which the application is made.</w:t>
      </w:r>
    </w:p>
    <w:p>
      <w:pPr>
        <w:pStyle w:val="Subsection"/>
        <w:rPr>
          <w:snapToGrid w:val="0"/>
        </w:rPr>
      </w:pPr>
      <w:r>
        <w:rPr>
          <w:snapToGrid w:val="0"/>
        </w:rPr>
        <w:tab/>
        <w:t>(4)</w:t>
      </w:r>
      <w:r>
        <w:rPr>
          <w:snapToGrid w:val="0"/>
        </w:rPr>
        <w:tab/>
        <w:t>The chief executive officer may waive the fee under sub</w:t>
      </w:r>
      <w:r>
        <w:rPr>
          <w:snapToGrid w:val="0"/>
        </w:rPr>
        <w:noBreakHyphen/>
        <w:t>bylaw (3)(b)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w:t>
      </w:r>
    </w:p>
    <w:p>
      <w:pPr>
        <w:pStyle w:val="Heading5"/>
      </w:pPr>
      <w:bookmarkStart w:id="70" w:name="_Toc154283266"/>
      <w:bookmarkStart w:id="71" w:name="_Toc297298940"/>
      <w:r>
        <w:rPr>
          <w:rStyle w:val="CharSectno"/>
        </w:rPr>
        <w:t>18</w:t>
      </w:r>
      <w:r>
        <w:t>.</w:t>
      </w:r>
      <w:r>
        <w:tab/>
        <w:t>Refund of permit fees</w:t>
      </w:r>
      <w:bookmarkEnd w:id="70"/>
      <w:bookmarkEnd w:id="71"/>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fees paid as is represented by the period of leave in proportion to the period for which the permit was issued.</w:t>
      </w:r>
    </w:p>
    <w:p>
      <w:pPr>
        <w:pStyle w:val="Heading2"/>
      </w:pPr>
      <w:bookmarkStart w:id="72" w:name="_Toc227576889"/>
      <w:bookmarkStart w:id="73" w:name="_Toc227638741"/>
      <w:bookmarkStart w:id="74" w:name="_Toc278467555"/>
      <w:bookmarkStart w:id="75" w:name="_Toc281465837"/>
      <w:bookmarkStart w:id="76" w:name="_Toc297298941"/>
      <w:bookmarkStart w:id="77" w:name="_Toc437943318"/>
      <w:bookmarkStart w:id="78" w:name="_Toc471091717"/>
      <w:bookmarkStart w:id="79" w:name="_Toc496083463"/>
      <w:bookmarkStart w:id="80" w:name="_Toc496416778"/>
      <w:bookmarkStart w:id="81" w:name="_Toc532783984"/>
      <w:bookmarkStart w:id="82" w:name="_Toc533572158"/>
      <w:r>
        <w:rPr>
          <w:rStyle w:val="CharPartNo"/>
        </w:rPr>
        <w:t>Part 4</w:t>
      </w:r>
      <w:r>
        <w:rPr>
          <w:rStyle w:val="CharDivNo"/>
        </w:rPr>
        <w:t> </w:t>
      </w:r>
      <w:r>
        <w:t>—</w:t>
      </w:r>
      <w:r>
        <w:rPr>
          <w:rStyle w:val="CharDivText"/>
        </w:rPr>
        <w:t> </w:t>
      </w:r>
      <w:r>
        <w:rPr>
          <w:rStyle w:val="CharPartText"/>
        </w:rPr>
        <w:t>Infringement notices</w:t>
      </w:r>
      <w:bookmarkEnd w:id="72"/>
      <w:bookmarkEnd w:id="73"/>
      <w:bookmarkEnd w:id="74"/>
      <w:bookmarkEnd w:id="75"/>
      <w:bookmarkEnd w:id="76"/>
    </w:p>
    <w:p>
      <w:pPr>
        <w:pStyle w:val="Heading5"/>
        <w:rPr>
          <w:snapToGrid w:val="0"/>
        </w:rPr>
      </w:pPr>
      <w:bookmarkStart w:id="83" w:name="_Toc297298942"/>
      <w:r>
        <w:rPr>
          <w:rStyle w:val="CharSectno"/>
        </w:rPr>
        <w:t>19</w:t>
      </w:r>
      <w:r>
        <w:t>.</w:t>
      </w:r>
      <w:r>
        <w:tab/>
        <w:t>Interpretation</w:t>
      </w:r>
      <w:bookmarkEnd w:id="77"/>
      <w:bookmarkEnd w:id="78"/>
      <w:bookmarkEnd w:id="79"/>
      <w:bookmarkEnd w:id="80"/>
      <w:bookmarkEnd w:id="81"/>
      <w:bookmarkEnd w:id="82"/>
      <w:bookmarkEnd w:id="8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84" w:name="endcomma"/>
      <w:bookmarkEnd w:id="84"/>
      <w:r>
        <w:t xml:space="preserve"> </w:t>
      </w:r>
      <w:bookmarkStart w:id="85" w:name="comma"/>
      <w:bookmarkEnd w:id="85"/>
      <w:r>
        <w:t>means a penalty prescribed in Schedule 2 for an offence under Part 3 or 4.</w:t>
      </w:r>
    </w:p>
    <w:p>
      <w:pPr>
        <w:pStyle w:val="Heading5"/>
      </w:pPr>
      <w:bookmarkStart w:id="86" w:name="_Toc297298943"/>
      <w:r>
        <w:rPr>
          <w:rStyle w:val="CharSectno"/>
        </w:rPr>
        <w:t>20</w:t>
      </w:r>
      <w:r>
        <w:t>.</w:t>
      </w:r>
      <w:r>
        <w:tab/>
        <w:t>Infringement notices</w:t>
      </w:r>
      <w:bookmarkEnd w:id="86"/>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Hospital at the Wellington Street Campus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w:t>
      </w:r>
    </w:p>
    <w:p>
      <w:pPr>
        <w:pStyle w:val="Heading5"/>
      </w:pPr>
      <w:bookmarkStart w:id="87" w:name="_Hlt502127995"/>
      <w:bookmarkStart w:id="88" w:name="_Toc297298944"/>
      <w:bookmarkEnd w:id="87"/>
      <w:r>
        <w:rPr>
          <w:rStyle w:val="CharSectno"/>
        </w:rPr>
        <w:t>21</w:t>
      </w:r>
      <w:r>
        <w:t>.</w:t>
      </w:r>
      <w:r>
        <w:tab/>
        <w:t>Withdrawal of infringement notice</w:t>
      </w:r>
      <w:bookmarkEnd w:id="88"/>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89" w:name="_Toc297298945"/>
      <w:r>
        <w:rPr>
          <w:rStyle w:val="CharSectno"/>
        </w:rPr>
        <w:t>22</w:t>
      </w:r>
      <w:r>
        <w:t>.</w:t>
      </w:r>
      <w:r>
        <w:tab/>
        <w:t>Authorised person to have certificate</w:t>
      </w:r>
      <w:bookmarkEnd w:id="89"/>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90" w:name="_Toc297298946"/>
      <w:r>
        <w:rPr>
          <w:rStyle w:val="CharSectno"/>
        </w:rPr>
        <w:t>23</w:t>
      </w:r>
      <w:r>
        <w:t>.</w:t>
      </w:r>
      <w:r>
        <w:tab/>
        <w:t>Authorised persons only to endorse and alter infringement notices</w:t>
      </w:r>
      <w:bookmarkEnd w:id="90"/>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91" w:name="_Toc297298947"/>
      <w:r>
        <w:rPr>
          <w:rStyle w:val="CharSectno"/>
        </w:rPr>
        <w:t>24</w:t>
      </w:r>
      <w:r>
        <w:t>.</w:t>
      </w:r>
      <w:r>
        <w:tab/>
        <w:t>Restriction on removal of infringement notices</w:t>
      </w:r>
      <w:bookmarkEnd w:id="91"/>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92" w:name="_Toc227576896"/>
      <w:bookmarkStart w:id="93" w:name="_Toc227638748"/>
      <w:bookmarkStart w:id="94" w:name="_Toc278467562"/>
      <w:bookmarkStart w:id="95" w:name="_Toc281465844"/>
      <w:bookmarkStart w:id="96" w:name="_Toc297298948"/>
      <w:bookmarkStart w:id="97" w:name="_Toc437943324"/>
      <w:bookmarkStart w:id="98" w:name="_Toc471091723"/>
      <w:bookmarkStart w:id="99" w:name="_Toc496083469"/>
      <w:bookmarkStart w:id="100" w:name="_Toc496416784"/>
      <w:bookmarkStart w:id="101" w:name="_Toc532783990"/>
      <w:bookmarkStart w:id="102" w:name="_Toc533572164"/>
      <w:r>
        <w:rPr>
          <w:rStyle w:val="CharPartNo"/>
        </w:rPr>
        <w:t>Part 5</w:t>
      </w:r>
      <w:r>
        <w:rPr>
          <w:rStyle w:val="CharDivNo"/>
        </w:rPr>
        <w:t> </w:t>
      </w:r>
      <w:r>
        <w:t>—</w:t>
      </w:r>
      <w:r>
        <w:rPr>
          <w:rStyle w:val="CharDivText"/>
        </w:rPr>
        <w:t> </w:t>
      </w:r>
      <w:r>
        <w:rPr>
          <w:rStyle w:val="CharPartText"/>
        </w:rPr>
        <w:t>General</w:t>
      </w:r>
      <w:bookmarkEnd w:id="92"/>
      <w:bookmarkEnd w:id="93"/>
      <w:bookmarkEnd w:id="94"/>
      <w:bookmarkEnd w:id="95"/>
      <w:bookmarkEnd w:id="96"/>
    </w:p>
    <w:p>
      <w:pPr>
        <w:pStyle w:val="Heading5"/>
      </w:pPr>
      <w:bookmarkStart w:id="103" w:name="_Toc297298949"/>
      <w:bookmarkEnd w:id="97"/>
      <w:bookmarkEnd w:id="98"/>
      <w:bookmarkEnd w:id="99"/>
      <w:bookmarkEnd w:id="100"/>
      <w:bookmarkEnd w:id="101"/>
      <w:bookmarkEnd w:id="102"/>
      <w:r>
        <w:rPr>
          <w:rStyle w:val="CharSectno"/>
        </w:rPr>
        <w:t>25</w:t>
      </w:r>
      <w:r>
        <w:t>.</w:t>
      </w:r>
      <w:r>
        <w:tab/>
        <w:t>Removal of vehicles</w:t>
      </w:r>
      <w:bookmarkEnd w:id="103"/>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Hospital at the Wellington Street Campus fees to recover the vehicle at the rate of $50 for the first 24 hours or part thereof and $5 for each 7 days or part thereof thereafter.</w:t>
      </w:r>
    </w:p>
    <w:p>
      <w:pPr>
        <w:pStyle w:val="Heading5"/>
      </w:pPr>
      <w:bookmarkStart w:id="104" w:name="_Toc297298950"/>
      <w:r>
        <w:rPr>
          <w:rStyle w:val="CharSectno"/>
        </w:rPr>
        <w:t>26</w:t>
      </w:r>
      <w:r>
        <w:t>.</w:t>
      </w:r>
      <w:r>
        <w:tab/>
        <w:t>Registered owner may be treated as being driver or person in charge of vehicle at time of offence</w:t>
      </w:r>
      <w:bookmarkEnd w:id="104"/>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05" w:name="_Toc297298951"/>
      <w:r>
        <w:rPr>
          <w:rStyle w:val="CharSectno"/>
        </w:rPr>
        <w:t>27</w:t>
      </w:r>
      <w:r>
        <w:t>.</w:t>
      </w:r>
      <w:r>
        <w:tab/>
        <w:t>Other offences</w:t>
      </w:r>
      <w:bookmarkEnd w:id="10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6" w:name="_Toc227576900"/>
    </w:p>
    <w:p>
      <w:pPr>
        <w:pStyle w:val="yScheduleHeading"/>
        <w:outlineLvl w:val="0"/>
      </w:pPr>
      <w:bookmarkStart w:id="107" w:name="_Toc227638752"/>
      <w:bookmarkStart w:id="108" w:name="_Toc278467566"/>
      <w:bookmarkStart w:id="109" w:name="_Toc281465848"/>
      <w:bookmarkStart w:id="110" w:name="_Toc297298952"/>
      <w:r>
        <w:rPr>
          <w:rStyle w:val="CharSchNo"/>
        </w:rPr>
        <w:t>Schedule 1</w:t>
      </w:r>
      <w:r>
        <w:rPr>
          <w:rStyle w:val="CharSDivNo"/>
        </w:rPr>
        <w:t> </w:t>
      </w:r>
      <w:r>
        <w:t>—</w:t>
      </w:r>
      <w:bookmarkStart w:id="111" w:name="AutoSch"/>
      <w:bookmarkEnd w:id="111"/>
      <w:r>
        <w:rPr>
          <w:rStyle w:val="CharSDivText"/>
        </w:rPr>
        <w:t> </w:t>
      </w:r>
      <w:r>
        <w:rPr>
          <w:rStyle w:val="CharSchText"/>
        </w:rPr>
        <w:t>Hospital sites</w:t>
      </w:r>
      <w:bookmarkEnd w:id="106"/>
      <w:bookmarkEnd w:id="107"/>
      <w:bookmarkEnd w:id="108"/>
      <w:bookmarkEnd w:id="109"/>
      <w:bookmarkEnd w:id="110"/>
    </w:p>
    <w:p>
      <w:pPr>
        <w:pStyle w:val="yShoulderClause"/>
        <w:spacing w:after="120"/>
      </w:pPr>
      <w:r>
        <w:t>[bl. 3(1)]</w:t>
      </w:r>
    </w:p>
    <w:p>
      <w:pPr>
        <w:pStyle w:val="yMiscellaneousHeading"/>
        <w:spacing w:after="6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6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12" w:name="_Toc281465849"/>
      <w:bookmarkStart w:id="113" w:name="_Toc297298953"/>
      <w:bookmarkStart w:id="114" w:name="_Toc227576901"/>
      <w:bookmarkStart w:id="115" w:name="_Toc227638753"/>
      <w:bookmarkStart w:id="116" w:name="_Toc278467567"/>
      <w:bookmarkStart w:id="117" w:name="_Toc533572168"/>
      <w:r>
        <w:rPr>
          <w:rStyle w:val="CharSchNo"/>
        </w:rPr>
        <w:t>Schedule 2A</w:t>
      </w:r>
      <w:r>
        <w:t> — </w:t>
      </w:r>
      <w:r>
        <w:rPr>
          <w:rStyle w:val="CharSchText"/>
        </w:rPr>
        <w:t>Fees</w:t>
      </w:r>
      <w:bookmarkEnd w:id="112"/>
      <w:bookmarkEnd w:id="113"/>
    </w:p>
    <w:p>
      <w:pPr>
        <w:pStyle w:val="yShoulderClause"/>
      </w:pPr>
      <w:r>
        <w:t>[bl. 17(3)(b)]</w:t>
      </w:r>
    </w:p>
    <w:p>
      <w:pPr>
        <w:pStyle w:val="Footnoteheading"/>
      </w:pPr>
      <w:r>
        <w:tab/>
        <w:t>[Heading inserted in Gazette 26 Nov 2010 p. 5949.]</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All types of parking permit (per week or part of a week) at Wellington Street Campus</w:t>
            </w:r>
          </w:p>
        </w:tc>
        <w:tc>
          <w:tcPr>
            <w:tcW w:w="3119" w:type="dxa"/>
          </w:tcPr>
          <w:p>
            <w:pPr>
              <w:pStyle w:val="yTableNAm"/>
              <w:jc w:val="center"/>
            </w:pPr>
            <w:r>
              <w:t>$17.00</w:t>
            </w:r>
          </w:p>
        </w:tc>
      </w:tr>
      <w:tr>
        <w:tc>
          <w:tcPr>
            <w:tcW w:w="3118" w:type="dxa"/>
          </w:tcPr>
          <w:p>
            <w:pPr>
              <w:pStyle w:val="yTableNAm"/>
            </w:pPr>
            <w:r>
              <w:t>All types of parking permit (per week or part of a week) at Shenton Park Campus</w:t>
            </w:r>
          </w:p>
        </w:tc>
        <w:tc>
          <w:tcPr>
            <w:tcW w:w="3119" w:type="dxa"/>
          </w:tcPr>
          <w:p>
            <w:pPr>
              <w:pStyle w:val="yTableNAm"/>
              <w:jc w:val="center"/>
            </w:pPr>
            <w:r>
              <w:t>$2.00</w:t>
            </w:r>
          </w:p>
        </w:tc>
      </w:tr>
    </w:tbl>
    <w:p>
      <w:pPr>
        <w:pStyle w:val="yFootnotesection"/>
      </w:pPr>
      <w:r>
        <w:tab/>
        <w:t>[Schedule 2A inserted in Gazette 26 Nov 2010 p. 5949; amended in Gazette 24 Jun 2011 p. 2506.]</w:t>
      </w:r>
    </w:p>
    <w:p>
      <w:pPr>
        <w:pStyle w:val="yScheduleHeading"/>
        <w:outlineLvl w:val="0"/>
      </w:pPr>
      <w:bookmarkStart w:id="118" w:name="_Toc281465850"/>
      <w:bookmarkStart w:id="119" w:name="_Toc297298954"/>
      <w:r>
        <w:rPr>
          <w:rStyle w:val="CharSchNo"/>
        </w:rPr>
        <w:t>Schedule 2</w:t>
      </w:r>
      <w:r>
        <w:t> — </w:t>
      </w:r>
      <w:r>
        <w:rPr>
          <w:rStyle w:val="CharSchText"/>
        </w:rPr>
        <w:t>Infringement notices and modified penalties</w:t>
      </w:r>
      <w:bookmarkEnd w:id="114"/>
      <w:bookmarkEnd w:id="115"/>
      <w:bookmarkEnd w:id="116"/>
      <w:bookmarkEnd w:id="118"/>
      <w:bookmarkEnd w:id="119"/>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t>45</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t>30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ScheduleHeading"/>
        <w:outlineLvl w:val="0"/>
      </w:pPr>
      <w:bookmarkStart w:id="120" w:name="_Toc227576902"/>
      <w:bookmarkStart w:id="121" w:name="_Toc227638754"/>
      <w:bookmarkStart w:id="122" w:name="_Toc278467568"/>
      <w:bookmarkStart w:id="123" w:name="_Toc281465851"/>
      <w:bookmarkStart w:id="124" w:name="_Toc297298955"/>
      <w:bookmarkEnd w:id="117"/>
      <w:r>
        <w:rPr>
          <w:rStyle w:val="CharSchNo"/>
        </w:rPr>
        <w:t>Schedule 3</w:t>
      </w:r>
      <w:r>
        <w:t> — </w:t>
      </w:r>
      <w:r>
        <w:rPr>
          <w:rStyle w:val="CharSchText"/>
        </w:rPr>
        <w:t>Forms</w:t>
      </w:r>
      <w:bookmarkEnd w:id="120"/>
      <w:bookmarkEnd w:id="121"/>
      <w:bookmarkEnd w:id="122"/>
      <w:bookmarkEnd w:id="123"/>
      <w:bookmarkEnd w:id="124"/>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spacing w:before="0"/>
              <w:rPr>
                <w:i/>
                <w:iCs/>
                <w:sz w:val="20"/>
              </w:rPr>
            </w:pPr>
            <w:r>
              <w:rPr>
                <w:b/>
                <w:sz w:val="18"/>
              </w:rPr>
              <w:br w:type="page"/>
            </w: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By</w:t>
            </w:r>
            <w:r>
              <w:rPr>
                <w:i/>
                <w:iCs/>
              </w:rPr>
              <w:noBreakHyphen/>
              <w:t>laws 2008</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spacing w:before="0"/>
            </w:pPr>
            <w:r>
              <w:t>Notice No.:</w:t>
            </w:r>
          </w:p>
        </w:tc>
      </w:tr>
      <w:tr>
        <w:trPr>
          <w:cantSplit/>
        </w:trPr>
        <w:tc>
          <w:tcPr>
            <w:tcW w:w="1384" w:type="dxa"/>
          </w:tcPr>
          <w:p>
            <w:pPr>
              <w:pStyle w:val="yTableNAm"/>
              <w:rPr>
                <w:b/>
                <w:sz w:val="20"/>
              </w:rPr>
            </w:pPr>
            <w:r>
              <w:rPr>
                <w:b/>
                <w:sz w:val="20"/>
              </w:rPr>
              <w:t>Campus</w:t>
            </w:r>
          </w:p>
        </w:tc>
        <w:tc>
          <w:tcPr>
            <w:tcW w:w="5812" w:type="dxa"/>
            <w:gridSpan w:val="3"/>
          </w:tcPr>
          <w:p>
            <w:pPr>
              <w:pStyle w:val="yTableNAm"/>
              <w:spacing w:before="0"/>
              <w:rPr>
                <w:sz w:val="20"/>
              </w:rPr>
            </w:pP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spacing w:before="0"/>
              <w:rPr>
                <w:sz w:val="20"/>
              </w:rPr>
            </w:pP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384" w:type="dxa"/>
            <w:vMerge w:val="restart"/>
          </w:tcPr>
          <w:p>
            <w:pPr>
              <w:pStyle w:val="yTableNAm"/>
              <w:rPr>
                <w:b/>
                <w:sz w:val="20"/>
              </w:rPr>
            </w:pPr>
            <w:r>
              <w:rPr>
                <w:b/>
                <w:sz w:val="20"/>
              </w:rPr>
              <w:t>Vehicle</w:t>
            </w:r>
          </w:p>
        </w:tc>
        <w:tc>
          <w:tcPr>
            <w:tcW w:w="5812" w:type="dxa"/>
            <w:gridSpan w:val="3"/>
          </w:tcPr>
          <w:p>
            <w:pPr>
              <w:pStyle w:val="yTableNAm"/>
              <w:spacing w:before="0"/>
              <w:rPr>
                <w:sz w:val="20"/>
              </w:rPr>
            </w:pPr>
            <w:r>
              <w:rPr>
                <w:sz w:val="20"/>
              </w:rPr>
              <w:t>Make</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Model</w:t>
            </w:r>
          </w:p>
        </w:tc>
      </w:tr>
      <w:tr>
        <w:trPr>
          <w:cantSplit/>
        </w:trPr>
        <w:tc>
          <w:tcPr>
            <w:tcW w:w="1384" w:type="dxa"/>
            <w:vMerge/>
          </w:tcPr>
          <w:p>
            <w:pPr>
              <w:pStyle w:val="yTableNAm"/>
              <w:rPr>
                <w:sz w:val="20"/>
              </w:rPr>
            </w:pPr>
          </w:p>
        </w:tc>
        <w:tc>
          <w:tcPr>
            <w:tcW w:w="2906" w:type="dxa"/>
          </w:tcPr>
          <w:p>
            <w:pPr>
              <w:pStyle w:val="yTableNAm"/>
              <w:spacing w:before="0"/>
              <w:rPr>
                <w:sz w:val="20"/>
              </w:rPr>
            </w:pPr>
            <w:r>
              <w:rPr>
                <w:sz w:val="20"/>
              </w:rPr>
              <w:t>Plate no.</w:t>
            </w:r>
          </w:p>
        </w:tc>
        <w:tc>
          <w:tcPr>
            <w:tcW w:w="2906" w:type="dxa"/>
            <w:gridSpan w:val="2"/>
          </w:tcPr>
          <w:p>
            <w:pPr>
              <w:pStyle w:val="yTableNAm"/>
              <w:spacing w:before="0"/>
              <w:rPr>
                <w:sz w:val="20"/>
              </w:rPr>
            </w:pPr>
            <w:r>
              <w:rPr>
                <w:sz w:val="20"/>
              </w:rPr>
              <w:t>Colour</w:t>
            </w:r>
          </w:p>
        </w:tc>
      </w:tr>
      <w:tr>
        <w:trPr>
          <w:cantSplit/>
        </w:trPr>
        <w:tc>
          <w:tcPr>
            <w:tcW w:w="1384" w:type="dxa"/>
            <w:vMerge w:val="restart"/>
          </w:tcPr>
          <w:p>
            <w:pPr>
              <w:pStyle w:val="yTableNAm"/>
              <w:rPr>
                <w:b/>
                <w:sz w:val="20"/>
              </w:rPr>
            </w:pPr>
            <w:r>
              <w:rPr>
                <w:b/>
                <w:sz w:val="20"/>
              </w:rPr>
              <w:t>Alleged offence</w:t>
            </w:r>
          </w:p>
        </w:tc>
        <w:tc>
          <w:tcPr>
            <w:tcW w:w="5812" w:type="dxa"/>
            <w:gridSpan w:val="3"/>
          </w:tcPr>
          <w:p>
            <w:pPr>
              <w:pStyle w:val="yTableNAm"/>
              <w:spacing w:before="0"/>
              <w:rPr>
                <w:sz w:val="20"/>
              </w:rPr>
            </w:pPr>
            <w:r>
              <w:rPr>
                <w:sz w:val="20"/>
              </w:rPr>
              <w:t>Description of offence ………………………………………………..</w:t>
            </w:r>
          </w:p>
          <w:p>
            <w:pPr>
              <w:pStyle w:val="yTableNAm"/>
              <w:spacing w:before="0"/>
              <w:rPr>
                <w:sz w:val="20"/>
              </w:rPr>
            </w:pPr>
            <w:r>
              <w:rPr>
                <w:sz w:val="20"/>
              </w:rPr>
              <w:t>………………………………………………………………………...</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By</w:t>
            </w:r>
            <w:r>
              <w:rPr>
                <w:sz w:val="20"/>
              </w:rPr>
              <w:noBreakHyphen/>
              <w:t>law</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Date and time  ………/……../20…….          …………….a.m./p.m.</w:t>
            </w:r>
          </w:p>
        </w:tc>
      </w:tr>
      <w:tr>
        <w:trPr>
          <w:cantSplit/>
        </w:trPr>
        <w:tc>
          <w:tcPr>
            <w:tcW w:w="1384" w:type="dxa"/>
            <w:vMerge/>
          </w:tcPr>
          <w:p>
            <w:pPr>
              <w:pStyle w:val="yTableNAm"/>
              <w:rPr>
                <w:b/>
                <w:sz w:val="20"/>
              </w:rPr>
            </w:pPr>
          </w:p>
        </w:tc>
        <w:tc>
          <w:tcPr>
            <w:tcW w:w="5812" w:type="dxa"/>
            <w:gridSpan w:val="3"/>
          </w:tcPr>
          <w:p>
            <w:pPr>
              <w:pStyle w:val="yTableNAm"/>
              <w:spacing w:before="0"/>
              <w:rPr>
                <w:bCs/>
                <w:sz w:val="20"/>
              </w:rPr>
            </w:pPr>
            <w:r>
              <w:rPr>
                <w:bCs/>
                <w:sz w:val="20"/>
              </w:rPr>
              <w:t>Modified penalty  $</w:t>
            </w:r>
          </w:p>
        </w:tc>
      </w:tr>
      <w:tr>
        <w:trPr>
          <w:cantSplit/>
        </w:trPr>
        <w:tc>
          <w:tcPr>
            <w:tcW w:w="1384" w:type="dxa"/>
            <w:vMerge w:val="restart"/>
          </w:tcPr>
          <w:p>
            <w:pPr>
              <w:pStyle w:val="yTableNAm"/>
              <w:spacing w:before="0"/>
              <w:rPr>
                <w:b/>
                <w:sz w:val="20"/>
              </w:rPr>
            </w:pPr>
            <w:r>
              <w:rPr>
                <w:b/>
                <w:sz w:val="20"/>
              </w:rPr>
              <w:t>Issuing officer</w:t>
            </w:r>
          </w:p>
        </w:tc>
        <w:tc>
          <w:tcPr>
            <w:tcW w:w="5812" w:type="dxa"/>
            <w:gridSpan w:val="3"/>
          </w:tcPr>
          <w:p>
            <w:pPr>
              <w:pStyle w:val="yTableNAm"/>
              <w:spacing w:before="0"/>
              <w:rPr>
                <w:sz w:val="20"/>
              </w:rPr>
            </w:pPr>
            <w:r>
              <w:rPr>
                <w:sz w:val="20"/>
              </w:rPr>
              <w:t>Name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Signature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Date  ………/……../20….</w:t>
            </w:r>
          </w:p>
        </w:tc>
      </w:tr>
      <w:tr>
        <w:trPr>
          <w:trHeight w:val="1097"/>
        </w:trPr>
        <w:tc>
          <w:tcPr>
            <w:tcW w:w="1384" w:type="dxa"/>
          </w:tcPr>
          <w:p>
            <w:pPr>
              <w:pStyle w:val="yTableNAm"/>
              <w:spacing w:before="0"/>
              <w:rPr>
                <w:b/>
                <w:sz w:val="20"/>
              </w:rPr>
            </w:pPr>
            <w:r>
              <w:rPr>
                <w:b/>
                <w:sz w:val="20"/>
              </w:rPr>
              <w:t>What you must do</w:t>
            </w:r>
          </w:p>
        </w:tc>
        <w:tc>
          <w:tcPr>
            <w:tcW w:w="5812" w:type="dxa"/>
            <w:gridSpan w:val="3"/>
            <w:tcBorders>
              <w:bottom w:val="single" w:sz="4" w:space="0" w:color="auto"/>
            </w:tcBorders>
          </w:tcPr>
          <w:p>
            <w:pPr>
              <w:pStyle w:val="yTableNAm"/>
              <w:spacing w:before="0"/>
              <w:rPr>
                <w:sz w:val="20"/>
              </w:rPr>
            </w:pPr>
            <w:r>
              <w:rPr>
                <w:sz w:val="20"/>
              </w:rPr>
              <w:t>You have 28 days from when this notice was given to you to pay the modified penalty or elect to go to court.  If you don’t, enforcement proceedings will be taken against you.</w:t>
            </w:r>
          </w:p>
          <w:p>
            <w:pPr>
              <w:pStyle w:val="yTableNAm"/>
              <w:spacing w:before="0"/>
              <w:rPr>
                <w:sz w:val="20"/>
              </w:rPr>
            </w:pPr>
            <w:r>
              <w:rPr>
                <w:b/>
                <w:bCs/>
                <w:sz w:val="20"/>
              </w:rPr>
              <w:t>To pay the modified penalty</w:t>
            </w:r>
            <w:r>
              <w:rPr>
                <w:sz w:val="20"/>
              </w:rPr>
              <w:t xml:space="preserve"> — </w:t>
            </w:r>
          </w:p>
          <w:p>
            <w:pPr>
              <w:pStyle w:val="yTableNAm"/>
              <w:tabs>
                <w:tab w:val="left" w:pos="1136"/>
              </w:tabs>
              <w:spacing w:before="0"/>
              <w:rPr>
                <w:sz w:val="20"/>
              </w:rPr>
            </w:pPr>
            <w:r>
              <w:rPr>
                <w:sz w:val="20"/>
              </w:rPr>
              <w:t xml:space="preserve">By post: </w:t>
            </w:r>
            <w:r>
              <w:rPr>
                <w:sz w:val="20"/>
              </w:rPr>
              <w:tab/>
              <w:t xml:space="preserve">Send your payment to — </w:t>
            </w:r>
          </w:p>
          <w:p>
            <w:pPr>
              <w:pStyle w:val="yTableNAm"/>
              <w:tabs>
                <w:tab w:val="left" w:pos="1376"/>
              </w:tabs>
              <w:spacing w:before="0"/>
              <w:rPr>
                <w:sz w:val="20"/>
              </w:rPr>
            </w:pPr>
            <w:r>
              <w:rPr>
                <w:sz w:val="20"/>
              </w:rPr>
              <w:tab/>
            </w:r>
            <w:r>
              <w:rPr>
                <w:sz w:val="20"/>
              </w:rPr>
              <w:tab/>
              <w:t>Chief Executive Officer</w:t>
            </w:r>
          </w:p>
          <w:p>
            <w:pPr>
              <w:pStyle w:val="yTableNAm"/>
              <w:tabs>
                <w:tab w:val="left" w:pos="1376"/>
              </w:tabs>
              <w:spacing w:before="0"/>
              <w:rPr>
                <w:sz w:val="20"/>
              </w:rPr>
            </w:pPr>
            <w:r>
              <w:rPr>
                <w:sz w:val="20"/>
              </w:rPr>
              <w:tab/>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376"/>
              </w:tabs>
              <w:spacing w:before="0"/>
              <w:rPr>
                <w:sz w:val="20"/>
              </w:rPr>
            </w:pPr>
            <w:r>
              <w:rPr>
                <w:sz w:val="20"/>
              </w:rPr>
              <w:tab/>
            </w:r>
            <w:r>
              <w:rPr>
                <w:sz w:val="20"/>
              </w:rPr>
              <w:tab/>
            </w:r>
            <w:smartTag w:uri="urn:schemas-microsoft-com:office:smarttags" w:element="address">
              <w:smartTag w:uri="urn:schemas-microsoft-com:office:smarttags" w:element="Street">
                <w:r>
                  <w:rPr>
                    <w:sz w:val="20"/>
                  </w:rPr>
                  <w:t>PO Box X2213</w:t>
                </w:r>
              </w:smartTag>
              <w:r>
                <w:rPr>
                  <w:sz w:val="20"/>
                </w:rPr>
                <w:t xml:space="preserve">, </w:t>
              </w:r>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6601</w:t>
            </w:r>
          </w:p>
          <w:p>
            <w:pPr>
              <w:pStyle w:val="yTableNAm"/>
              <w:tabs>
                <w:tab w:val="left" w:pos="1136"/>
              </w:tabs>
              <w:spacing w:before="0"/>
              <w:rPr>
                <w:sz w:val="20"/>
              </w:rPr>
            </w:pPr>
            <w:r>
              <w:rPr>
                <w:sz w:val="20"/>
              </w:rPr>
              <w:t>In person:</w:t>
            </w:r>
            <w:r>
              <w:rPr>
                <w:sz w:val="20"/>
              </w:rPr>
              <w:tab/>
              <w:t xml:space="preserve">Pay the cashier at the Royal Perth Hospital Wellington </w:t>
            </w:r>
            <w:r>
              <w:rPr>
                <w:sz w:val="20"/>
              </w:rPr>
              <w:tab/>
            </w:r>
            <w:r>
              <w:rPr>
                <w:sz w:val="20"/>
              </w:rPr>
              <w:tab/>
              <w:t>Street Campus.</w:t>
            </w:r>
          </w:p>
          <w:p>
            <w:pPr>
              <w:pStyle w:val="yTableNAm"/>
              <w:spacing w:before="0"/>
              <w:rPr>
                <w:sz w:val="20"/>
              </w:rPr>
            </w:pPr>
            <w:r>
              <w:rPr>
                <w:b/>
                <w:bCs/>
                <w:sz w:val="20"/>
              </w:rPr>
              <w:t>To elect to go to court</w:t>
            </w:r>
            <w:r>
              <w:rPr>
                <w:sz w:val="20"/>
              </w:rPr>
              <w:t xml:space="preserve">, sign this Notice here </w:t>
            </w:r>
          </w:p>
          <w:p>
            <w:pPr>
              <w:pStyle w:val="yTableNAm"/>
              <w:spacing w:before="0"/>
              <w:rPr>
                <w:sz w:val="20"/>
              </w:rPr>
            </w:pPr>
            <w:r>
              <w:rPr>
                <w:sz w:val="20"/>
              </w:rPr>
              <w:t>….…………………………………………………………………..</w:t>
            </w:r>
            <w:r>
              <w:rPr>
                <w:sz w:val="20"/>
              </w:rPr>
              <w:br/>
              <w:t xml:space="preserve">then send it to the Chief Executive Officer, Royal Perth Hospital Wellington Street Campus, </w:t>
            </w:r>
            <w:smartTag w:uri="urn:schemas-microsoft-com:office:smarttags" w:element="address">
              <w:smartTag w:uri="urn:schemas-microsoft-com:office:smarttags" w:element="Street">
                <w:r>
                  <w:rPr>
                    <w:sz w:val="20"/>
                  </w:rPr>
                  <w:t>PO Box X2213</w:t>
                </w:r>
              </w:smartTag>
              <w:r>
                <w:rPr>
                  <w:sz w:val="20"/>
                </w:rPr>
                <w:t xml:space="preserve">, </w:t>
              </w:r>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6601.</w:t>
            </w:r>
          </w:p>
          <w:p>
            <w:pPr>
              <w:pStyle w:val="yTableNAm"/>
              <w:spacing w:before="0"/>
              <w:rPr>
                <w:sz w:val="20"/>
              </w:rPr>
            </w:pPr>
            <w:r>
              <w:rPr>
                <w:sz w:val="20"/>
              </w:rPr>
              <w:t>Make sure you keep a copy.</w:t>
            </w:r>
          </w:p>
          <w:p>
            <w:pPr>
              <w:pStyle w:val="yTableNAm"/>
              <w:spacing w:before="0"/>
              <w:rPr>
                <w:sz w:val="20"/>
              </w:rPr>
            </w:pPr>
            <w:r>
              <w:rPr>
                <w:sz w:val="20"/>
              </w:rPr>
              <w:t>If you go to court and are convicted you may be fined $50 and ordered to pay costs.</w:t>
            </w:r>
          </w:p>
          <w:p>
            <w:pPr>
              <w:pStyle w:val="yTableNAm"/>
              <w:spacing w:before="0"/>
              <w:rPr>
                <w:sz w:val="20"/>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smartTag w:uri="urn:schemas-microsoft-com:office:smarttags" w:element="place">
              <w:smartTag w:uri="urn:schemas-microsoft-com:office:smarttags" w:element="PlaceName">
                <w:r>
                  <w:rPr>
                    <w:i/>
                    <w:iCs/>
                    <w:sz w:val="20"/>
                  </w:rPr>
                  <w:t>Royal</w:t>
                </w:r>
              </w:smartTag>
              <w:r>
                <w:rPr>
                  <w:i/>
                  <w:iCs/>
                  <w:sz w:val="20"/>
                </w:rPr>
                <w:t xml:space="preserve"> </w:t>
              </w:r>
              <w:smartTag w:uri="urn:schemas-microsoft-com:office:smarttags" w:element="PlaceName">
                <w:r>
                  <w:rPr>
                    <w:i/>
                    <w:iCs/>
                    <w:sz w:val="20"/>
                  </w:rPr>
                  <w:t>Perth</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25" w:name="_Toc113695922"/>
      <w:bookmarkStart w:id="126" w:name="_Toc227576903"/>
      <w:bookmarkStart w:id="127" w:name="_Toc227638755"/>
      <w:bookmarkStart w:id="128" w:name="_Toc278467569"/>
      <w:bookmarkStart w:id="129" w:name="_Toc281465852"/>
      <w:bookmarkStart w:id="130" w:name="_Toc297298956"/>
      <w:r>
        <w:t>Notes</w:t>
      </w:r>
      <w:bookmarkEnd w:id="125"/>
      <w:bookmarkEnd w:id="126"/>
      <w:bookmarkEnd w:id="127"/>
      <w:bookmarkEnd w:id="128"/>
      <w:bookmarkEnd w:id="129"/>
      <w:bookmarkEnd w:id="130"/>
    </w:p>
    <w:p>
      <w:pPr>
        <w:pStyle w:val="nSubsection"/>
        <w:rPr>
          <w:snapToGrid w:val="0"/>
        </w:rPr>
      </w:pPr>
      <w:bookmarkStart w:id="131"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132" w:name="_Toc297298957"/>
      <w:bookmarkEnd w:id="131"/>
      <w:r>
        <w:t>Compilation table</w:t>
      </w:r>
      <w:bookmarkEnd w:id="1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single" w:sz="8" w:space="0" w:color="auto"/>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single" w:sz="8" w:space="0" w:color="auto"/>
            </w:tcBorders>
          </w:tcPr>
          <w:p>
            <w:pPr>
              <w:pStyle w:val="nTable"/>
              <w:spacing w:after="40"/>
              <w:rPr>
                <w:sz w:val="19"/>
              </w:rPr>
            </w:pPr>
            <w:r>
              <w:rPr>
                <w:sz w:val="19"/>
              </w:rPr>
              <w:t>24 Jun 2011 p. 2505-6</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813"/>
    <w:docVar w:name="WAFER_20151209141813" w:val="RemoveTrackChanges"/>
    <w:docVar w:name="WAFER_20151209141813_GUID" w:val="1f9bc5a1-132c-41f5-8007-3bd482d2a5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4173</Words>
  <Characters>19867</Characters>
  <Application>Microsoft Office Word</Application>
  <DocSecurity>0</DocSecurity>
  <Lines>709</Lines>
  <Paragraphs>500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    Schedule 2A — Fees</vt:lpstr>
      <vt:lpstr>Schedule 2 — Infringement notices and modified penalties</vt:lpstr>
      <vt:lpstr>Schedule 3 — Forms</vt:lpstr>
      <vt:lpstr/>
      <vt:lpstr>    Notes</vt:lpstr>
    </vt:vector>
  </TitlesOfParts>
  <Manager/>
  <Company/>
  <LinksUpToDate>false</LinksUpToDate>
  <CharactersWithSpaces>23540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2009 - 00-d0-02</dc:title>
  <dc:subject/>
  <dc:creator/>
  <cp:keywords/>
  <dc:description/>
  <cp:lastModifiedBy>svcMRProcess</cp:lastModifiedBy>
  <cp:revision>4</cp:revision>
  <cp:lastPrinted>2009-03-06T03:57:00Z</cp:lastPrinted>
  <dcterms:created xsi:type="dcterms:W3CDTF">2018-09-17T22:24:00Z</dcterms:created>
  <dcterms:modified xsi:type="dcterms:W3CDTF">2018-09-17T22:24:00Z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20110701</vt:lpwstr>
  </property>
  <property fmtid="{D5CDD505-2E9C-101B-9397-08002B2CF9AE}" pid="4" name="AsAtDate">
    <vt:lpwstr>01 Jul 2011</vt:lpwstr>
  </property>
  <property fmtid="{D5CDD505-2E9C-101B-9397-08002B2CF9AE}" pid="5" name="Suffix">
    <vt:lpwstr>00-d0-02</vt:lpwstr>
  </property>
  <property fmtid="{D5CDD505-2E9C-101B-9397-08002B2CF9AE}" pid="6" name="OwlsUID">
    <vt:i4>40847</vt:i4>
  </property>
  <property fmtid="{D5CDD505-2E9C-101B-9397-08002B2CF9AE}" pid="7" name="DocumentType">
    <vt:lpwstr>Reg</vt:lpwstr>
  </property>
</Properties>
</file>