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Prohibited Behaviour Orders Act 2010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_Toc535507146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_Toc535507147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_Toc535507148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r>
        <w:tab/>
      </w:r>
      <w:r>
        <w:fldChar w:fldCharType="begin"/>
      </w:r>
      <w:r>
        <w:instrText xml:space="preserve"> PAGEREF _Toc535507149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Firearms and firearm licences given up (Act s. 30(1))</w:t>
      </w:r>
      <w:r>
        <w:tab/>
      </w:r>
      <w:r>
        <w:fldChar w:fldCharType="begin"/>
      </w:r>
      <w:r>
        <w:instrText xml:space="preserve"> PAGEREF _Toc535507150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Dealing with firearms or firearm licences given up or seized (Act s. 30(2) and 31)</w:t>
      </w:r>
      <w:r>
        <w:tab/>
      </w:r>
      <w:r>
        <w:fldChar w:fldCharType="begin"/>
      </w:r>
      <w:r>
        <w:instrText xml:space="preserve"> PAGEREF _Toc535507151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Claims for firearms and firearm licences</w:t>
      </w:r>
      <w:r>
        <w:tab/>
      </w:r>
      <w:r>
        <w:fldChar w:fldCharType="begin"/>
      </w:r>
      <w:r>
        <w:instrText xml:space="preserve"> PAGEREF _Toc535507152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Registrar to provide publication information to CEO</w:t>
      </w:r>
      <w:r>
        <w:tab/>
      </w:r>
      <w:r>
        <w:fldChar w:fldCharType="begin"/>
      </w:r>
      <w:r>
        <w:instrText xml:space="preserve"> PAGEREF _Toc535507153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Offences to be taken to involve anti</w:t>
      </w:r>
      <w:r>
        <w:noBreakHyphen/>
        <w:t>social behaviour</w:t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Compilation table</w:t>
      </w:r>
      <w:r>
        <w:tab/>
      </w:r>
      <w:r>
        <w:fldChar w:fldCharType="begin"/>
      </w:r>
      <w:r>
        <w:instrText xml:space="preserve"> PAGEREF _Toc535507156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3" w:name="_Toc53550714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5" w:name="_Toc53550714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6" w:name="_Toc535507148"/>
      <w:r>
        <w:rPr>
          <w:rStyle w:val="CharSectno"/>
        </w:rPr>
        <w:t>3</w:t>
      </w:r>
      <w:r>
        <w:t>.</w:t>
      </w:r>
      <w:r>
        <w:tab/>
        <w:t>Terms used</w:t>
      </w:r>
      <w:bookmarkEnd w:id="6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in respect of which the constrained person holds a firearm licence, means another person who holds a firearm licence for that firearm;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Heading5"/>
        <w:rPr>
          <w:snapToGrid w:val="0"/>
        </w:rPr>
      </w:pPr>
      <w:bookmarkStart w:id="7" w:name="_Toc535507149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7"/>
    </w:p>
    <w:p>
      <w:pPr>
        <w:pStyle w:val="Subsection"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8" w:name="_Toc535507150"/>
      <w:r>
        <w:rPr>
          <w:rStyle w:val="CharSectno"/>
        </w:rPr>
        <w:t>5</w:t>
      </w:r>
      <w:r>
        <w:t>.</w:t>
      </w:r>
      <w:r>
        <w:tab/>
        <w:t>Firearms and firearm licences given up (Act s. 30(1))</w:t>
      </w:r>
      <w:bookmarkEnd w:id="8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 licence,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firearm, if there is one.</w:t>
      </w:r>
    </w:p>
    <w:p>
      <w:pPr>
        <w:pStyle w:val="Heading5"/>
      </w:pPr>
      <w:bookmarkStart w:id="9" w:name="_Toc535507151"/>
      <w:r>
        <w:rPr>
          <w:rStyle w:val="CharSectno"/>
        </w:rPr>
        <w:t>6</w:t>
      </w:r>
      <w:r>
        <w:t>.</w:t>
      </w:r>
      <w:r>
        <w:tab/>
        <w:t>Dealing with firearms or firearm licences given up or seized (Act s. 30(2) and 31)</w:t>
      </w:r>
      <w:bookmarkEnd w:id="9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or firearm licence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 licence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under subregulation (1).</w:t>
      </w:r>
    </w:p>
    <w:p>
      <w:pPr>
        <w:pStyle w:val="Heading5"/>
      </w:pPr>
      <w:bookmarkStart w:id="10" w:name="_Toc535507152"/>
      <w:r>
        <w:rPr>
          <w:rStyle w:val="CharSectno"/>
        </w:rPr>
        <w:t>7</w:t>
      </w:r>
      <w:r>
        <w:t>.</w:t>
      </w:r>
      <w:r>
        <w:tab/>
        <w:t>Claims for firearms and firearm licences</w:t>
      </w:r>
      <w:bookmarkEnd w:id="10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or firearm licence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is to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or firearm licence to the claimant.</w:t>
      </w:r>
    </w:p>
    <w:p>
      <w:pPr>
        <w:pStyle w:val="Subsection"/>
      </w:pPr>
      <w:r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Heading5"/>
      </w:pPr>
      <w:bookmarkStart w:id="11" w:name="_Toc535507153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1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outlineLvl w:val="0"/>
      </w:pPr>
      <w:bookmarkStart w:id="12" w:name="_Toc535507154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12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426(4)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</w:tbl>
    <w:p/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4" w:name="_Toc535507155"/>
      <w:r>
        <w:t>Notes</w:t>
      </w:r>
      <w:bookmarkEnd w:id="1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Prohibited Behaviour Orders Regulations 2011 </w:t>
      </w:r>
      <w:r>
        <w:rPr>
          <w:snapToGrid w:val="0"/>
        </w:rPr>
        <w:t xml:space="preserve">and includes the amendments made by the other written laws referred to in the following table.  </w:t>
      </w:r>
    </w:p>
    <w:p>
      <w:pPr>
        <w:pStyle w:val="nHeading3"/>
      </w:pPr>
      <w:bookmarkStart w:id="15" w:name="_Toc535507156"/>
      <w:r>
        <w:t>Compilation table</w:t>
      </w:r>
      <w:bookmarkEnd w:id="1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7" w:name="_Toc535507157"/>
      <w:r>
        <w:rPr>
          <w:sz w:val="28"/>
        </w:rPr>
        <w:t>Defined terms</w:t>
      </w:r>
      <w:bookmarkEnd w:id="17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3</w:t>
      </w:r>
    </w:p>
    <w:p>
      <w:pPr>
        <w:pStyle w:val="DefinedTerms"/>
      </w:pPr>
      <w:r>
        <w:t>CEO</w:t>
      </w:r>
      <w:r>
        <w:tab/>
        <w:t>8(1)</w:t>
      </w:r>
    </w:p>
    <w:p>
      <w:pPr>
        <w:pStyle w:val="DefinedTerms"/>
      </w:pPr>
      <w:r>
        <w:t>co</w:t>
      </w:r>
      <w:r>
        <w:noBreakHyphen/>
        <w:t>licensee</w:t>
      </w:r>
      <w:r>
        <w:tab/>
        <w:t>3</w:t>
      </w:r>
    </w:p>
    <w:p>
      <w:pPr>
        <w:pStyle w:val="DefinedTerms"/>
      </w:pPr>
      <w:r>
        <w:t>Commissioner</w:t>
      </w:r>
      <w:r>
        <w:tab/>
        <w:t>3</w:t>
      </w:r>
    </w:p>
    <w:p>
      <w:pPr>
        <w:pStyle w:val="DefinedTerms"/>
      </w:pPr>
      <w:r>
        <w:t>prescribed period</w:t>
      </w:r>
      <w:r>
        <w:tab/>
        <w:t>5(1)</w:t>
      </w:r>
    </w:p>
    <w:p>
      <w:pPr>
        <w:pStyle w:val="DefinedTerms"/>
      </w:pPr>
      <w:r>
        <w:t>section</w:t>
      </w:r>
      <w:r>
        <w:tab/>
        <w:t>3</w:t>
      </w:r>
    </w:p>
    <w:p/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02 Jul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8" w:name="DefinedTerms"/>
    <w:bookmarkEnd w:id="18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9" w:name="Coversheet"/>
    <w:bookmarkEnd w:id="1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131121511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1870</Words>
  <Characters>9185</Characters>
  <Application>Microsoft Office Word</Application>
  <DocSecurity>0</DocSecurity>
  <Lines>399</Lines>
  <Paragraphs>345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2011 - 00-b0-06</dc:title>
  <dc:subject/>
  <dc:creator/>
  <cp:keywords/>
  <dc:description/>
  <cp:lastModifiedBy>svcMRProcess</cp:lastModifiedBy>
  <cp:revision>4</cp:revision>
  <cp:lastPrinted>2011-02-23T03:20:00Z</cp:lastPrinted>
  <dcterms:created xsi:type="dcterms:W3CDTF">2019-01-17T08:50:00Z</dcterms:created>
  <dcterms:modified xsi:type="dcterms:W3CDTF">2019-01-17T08:50:00Z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CommencementDate">
    <vt:lpwstr>20110702</vt:lpwstr>
  </property>
  <property fmtid="{D5CDD505-2E9C-101B-9397-08002B2CF9AE}" pid="4" name="DocumentType">
    <vt:lpwstr>Reg</vt:lpwstr>
  </property>
  <property fmtid="{D5CDD505-2E9C-101B-9397-08002B2CF9AE}" pid="5" name="AsAtDate">
    <vt:lpwstr>02 Jul 2011</vt:lpwstr>
  </property>
  <property fmtid="{D5CDD505-2E9C-101B-9397-08002B2CF9AE}" pid="6" name="Suffix">
    <vt:lpwstr>00-b0-06</vt:lpwstr>
  </property>
</Properties>
</file>