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Transfer of Land Act 1893</w:t>
      </w:r>
    </w:p>
    <w:p>
      <w:pPr>
        <w:pStyle w:val="NameofActRegPage1"/>
        <w:spacing w:before="16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Transfer of Land Regulations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tab/>
        <w:t>Citation</w:t>
      </w:r>
      <w:r>
        <w:tab/>
      </w:r>
      <w:r>
        <w:fldChar w:fldCharType="begin"/>
      </w:r>
      <w:r>
        <w:instrText xml:space="preserve"> PAGEREF _Toc297715527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_Toc297715528 \h </w:instrText>
      </w:r>
      <w:r>
        <w:fldChar w:fldCharType="separate"/>
      </w:r>
      <w:r>
        <w:t>2</w:t>
      </w:r>
      <w:r>
        <w:fldChar w:fldCharType="end"/>
      </w:r>
    </w:p>
    <w:p>
      <w:pPr>
        <w:pStyle w:val="TOC2"/>
        <w:tabs>
          <w:tab w:val="right" w:leader="dot" w:pos="7086"/>
        </w:tabs>
        <w:rPr>
          <w:b w:val="0"/>
          <w:sz w:val="24"/>
          <w:szCs w:val="24"/>
          <w:lang w:val="en-US"/>
        </w:rPr>
      </w:pPr>
      <w:r>
        <w:t>Part 2</w:t>
      </w:r>
      <w:r>
        <w:rPr>
          <w:b w:val="0"/>
        </w:rPr>
        <w:t> </w:t>
      </w:r>
      <w:r>
        <w:t>—</w:t>
      </w:r>
      <w:r>
        <w:rPr>
          <w:b w:val="0"/>
        </w:rPr>
        <w:t> </w:t>
      </w:r>
      <w:r>
        <w:t>General</w:t>
      </w:r>
    </w:p>
    <w:p>
      <w:pPr>
        <w:pStyle w:val="TOC8"/>
        <w:rPr>
          <w:sz w:val="24"/>
          <w:szCs w:val="24"/>
          <w:lang w:val="en-US"/>
        </w:rPr>
      </w:pPr>
      <w:r>
        <w:t>3.</w:t>
      </w:r>
      <w:r>
        <w:tab/>
        <w:t>Requirements as to documents in paper medium</w:t>
      </w:r>
      <w:r>
        <w:tab/>
      </w:r>
      <w:r>
        <w:fldChar w:fldCharType="begin"/>
      </w:r>
      <w:r>
        <w:instrText xml:space="preserve"> PAGEREF _Toc297715530 \h </w:instrText>
      </w:r>
      <w:r>
        <w:fldChar w:fldCharType="separate"/>
      </w:r>
      <w:r>
        <w:t>3</w:t>
      </w:r>
      <w:r>
        <w:fldChar w:fldCharType="end"/>
      </w:r>
    </w:p>
    <w:p>
      <w:pPr>
        <w:pStyle w:val="TOC8"/>
        <w:rPr>
          <w:sz w:val="24"/>
          <w:szCs w:val="24"/>
          <w:lang w:val="en-US"/>
        </w:rPr>
      </w:pPr>
      <w:r>
        <w:t>4.</w:t>
      </w:r>
      <w:r>
        <w:tab/>
      </w:r>
      <w:r>
        <w:rPr>
          <w:snapToGrid w:val="0"/>
        </w:rPr>
        <w:t>Certificates of title for lots included in existing certificates</w:t>
      </w:r>
      <w:r>
        <w:tab/>
      </w:r>
      <w:r>
        <w:fldChar w:fldCharType="begin"/>
      </w:r>
      <w:r>
        <w:instrText xml:space="preserve"> PAGEREF _Toc297715531 \h </w:instrText>
      </w:r>
      <w:r>
        <w:fldChar w:fldCharType="separate"/>
      </w:r>
      <w:r>
        <w:t>3</w:t>
      </w:r>
      <w:r>
        <w:fldChar w:fldCharType="end"/>
      </w:r>
    </w:p>
    <w:p>
      <w:pPr>
        <w:pStyle w:val="TOC8"/>
        <w:rPr>
          <w:sz w:val="24"/>
          <w:szCs w:val="24"/>
          <w:lang w:val="en-US"/>
        </w:rPr>
      </w:pPr>
      <w:r>
        <w:t>5.</w:t>
      </w:r>
      <w:r>
        <w:tab/>
      </w:r>
      <w:r>
        <w:rPr>
          <w:snapToGrid w:val="0"/>
        </w:rPr>
        <w:t>New certificate of title if old one too full for further endorsement</w:t>
      </w:r>
      <w:r>
        <w:tab/>
      </w:r>
      <w:r>
        <w:fldChar w:fldCharType="begin"/>
      </w:r>
      <w:r>
        <w:instrText xml:space="preserve"> PAGEREF _Toc297715532 \h </w:instrText>
      </w:r>
      <w:r>
        <w:fldChar w:fldCharType="separate"/>
      </w:r>
      <w:r>
        <w:t>4</w:t>
      </w:r>
      <w:r>
        <w:fldChar w:fldCharType="end"/>
      </w:r>
    </w:p>
    <w:p>
      <w:pPr>
        <w:pStyle w:val="TOC8"/>
        <w:rPr>
          <w:sz w:val="24"/>
          <w:szCs w:val="24"/>
          <w:lang w:val="en-US"/>
        </w:rPr>
      </w:pPr>
      <w:r>
        <w:t>5A.</w:t>
      </w:r>
      <w:r>
        <w:tab/>
        <w:t>Priority processing of certain documents</w:t>
      </w:r>
      <w:r>
        <w:tab/>
      </w:r>
      <w:r>
        <w:fldChar w:fldCharType="begin"/>
      </w:r>
      <w:r>
        <w:instrText xml:space="preserve"> PAGEREF _Toc297715533 \h </w:instrText>
      </w:r>
      <w:r>
        <w:fldChar w:fldCharType="separate"/>
      </w:r>
      <w:r>
        <w:t>4</w:t>
      </w:r>
      <w:r>
        <w:fldChar w:fldCharType="end"/>
      </w:r>
    </w:p>
    <w:p>
      <w:pPr>
        <w:pStyle w:val="TOC8"/>
        <w:rPr>
          <w:sz w:val="24"/>
          <w:szCs w:val="24"/>
          <w:lang w:val="en-US"/>
        </w:rPr>
      </w:pPr>
      <w:r>
        <w:t>8.</w:t>
      </w:r>
      <w:r>
        <w:tab/>
      </w:r>
      <w:r>
        <w:rPr>
          <w:snapToGrid w:val="0"/>
        </w:rPr>
        <w:t>Modification, discharge or extinguishment of single dwelling covenants — determination of prescribed area</w:t>
      </w:r>
      <w:r>
        <w:tab/>
      </w:r>
      <w:r>
        <w:fldChar w:fldCharType="begin"/>
      </w:r>
      <w:r>
        <w:instrText xml:space="preserve"> PAGEREF _Toc297715534 \h </w:instrText>
      </w:r>
      <w:r>
        <w:fldChar w:fldCharType="separate"/>
      </w:r>
      <w:r>
        <w:t>5</w:t>
      </w:r>
      <w:r>
        <w:fldChar w:fldCharType="end"/>
      </w:r>
    </w:p>
    <w:p>
      <w:pPr>
        <w:pStyle w:val="TOC2"/>
        <w:tabs>
          <w:tab w:val="right" w:leader="dot" w:pos="7086"/>
        </w:tabs>
        <w:rPr>
          <w:b w:val="0"/>
          <w:sz w:val="24"/>
          <w:szCs w:val="24"/>
          <w:lang w:val="en-US"/>
        </w:rPr>
      </w:pPr>
      <w:r>
        <w:t>Part 3 — Fees and forms</w:t>
      </w:r>
    </w:p>
    <w:p>
      <w:pPr>
        <w:pStyle w:val="TOC8"/>
        <w:rPr>
          <w:sz w:val="24"/>
          <w:szCs w:val="24"/>
          <w:lang w:val="en-US"/>
        </w:rPr>
      </w:pPr>
      <w:r>
        <w:t>9A.</w:t>
      </w:r>
      <w:r>
        <w:tab/>
        <w:t>Fees</w:t>
      </w:r>
      <w:r>
        <w:tab/>
      </w:r>
      <w:r>
        <w:fldChar w:fldCharType="begin"/>
      </w:r>
      <w:r>
        <w:instrText xml:space="preserve"> PAGEREF _Toc297715536 \h </w:instrText>
      </w:r>
      <w:r>
        <w:fldChar w:fldCharType="separate"/>
      </w:r>
      <w:r>
        <w:t>7</w:t>
      </w:r>
      <w:r>
        <w:fldChar w:fldCharType="end"/>
      </w:r>
    </w:p>
    <w:p>
      <w:pPr>
        <w:pStyle w:val="TOC2"/>
        <w:tabs>
          <w:tab w:val="right" w:leader="dot" w:pos="7086"/>
        </w:tabs>
        <w:rPr>
          <w:b w:val="0"/>
          <w:sz w:val="24"/>
          <w:szCs w:val="24"/>
          <w:lang w:val="en-US"/>
        </w:rPr>
      </w:pPr>
      <w:r>
        <w:t>Part 4</w:t>
      </w:r>
      <w:r>
        <w:rPr>
          <w:b w:val="0"/>
        </w:rPr>
        <w:t> </w:t>
      </w:r>
      <w:r>
        <w:t>—</w:t>
      </w:r>
      <w:r>
        <w:rPr>
          <w:b w:val="0"/>
        </w:rPr>
        <w:t> </w:t>
      </w:r>
      <w:r>
        <w:t>Inspection of Register</w:t>
      </w:r>
    </w:p>
    <w:p>
      <w:pPr>
        <w:pStyle w:val="TOC4"/>
        <w:tabs>
          <w:tab w:val="right" w:leader="dot" w:pos="7086"/>
        </w:tabs>
        <w:rPr>
          <w:b w:val="0"/>
          <w:sz w:val="24"/>
          <w:szCs w:val="24"/>
          <w:lang w:val="en-US"/>
        </w:rPr>
      </w:pPr>
      <w:r>
        <w:t>Division 1 — Times for inspection of Register and related documents</w:t>
      </w:r>
    </w:p>
    <w:p>
      <w:pPr>
        <w:pStyle w:val="TOC8"/>
        <w:rPr>
          <w:sz w:val="24"/>
          <w:szCs w:val="24"/>
          <w:lang w:val="en-US"/>
        </w:rPr>
      </w:pPr>
      <w:r>
        <w:rPr>
          <w:snapToGrid w:val="0"/>
        </w:rPr>
        <w:t>10.</w:t>
      </w:r>
      <w:r>
        <w:rPr>
          <w:snapToGrid w:val="0"/>
        </w:rPr>
        <w:tab/>
        <w:t>Times for inspection of the Register and related documents</w:t>
      </w:r>
      <w:r>
        <w:tab/>
      </w:r>
      <w:r>
        <w:fldChar w:fldCharType="begin"/>
      </w:r>
      <w:r>
        <w:instrText xml:space="preserve"> PAGEREF _Toc297715539 \h </w:instrText>
      </w:r>
      <w:r>
        <w:fldChar w:fldCharType="separate"/>
      </w:r>
      <w:r>
        <w:t>9</w:t>
      </w:r>
      <w:r>
        <w:fldChar w:fldCharType="end"/>
      </w:r>
    </w:p>
    <w:p>
      <w:pPr>
        <w:pStyle w:val="TOC4"/>
        <w:tabs>
          <w:tab w:val="right" w:leader="dot" w:pos="7086"/>
        </w:tabs>
        <w:rPr>
          <w:b w:val="0"/>
          <w:sz w:val="24"/>
          <w:szCs w:val="24"/>
          <w:lang w:val="en-US"/>
        </w:rPr>
      </w:pPr>
      <w:r>
        <w:t>Division 2 — Names index</w:t>
      </w:r>
    </w:p>
    <w:p>
      <w:pPr>
        <w:pStyle w:val="TOC8"/>
        <w:rPr>
          <w:sz w:val="24"/>
          <w:szCs w:val="24"/>
          <w:lang w:val="en-US"/>
        </w:rPr>
      </w:pPr>
      <w:r>
        <w:t>11.</w:t>
      </w:r>
      <w:r>
        <w:tab/>
        <w:t>Terms used</w:t>
      </w:r>
      <w:r>
        <w:tab/>
      </w:r>
      <w:r>
        <w:fldChar w:fldCharType="begin"/>
      </w:r>
      <w:r>
        <w:instrText xml:space="preserve"> PAGEREF _Toc297715541 \h </w:instrText>
      </w:r>
      <w:r>
        <w:fldChar w:fldCharType="separate"/>
      </w:r>
      <w:r>
        <w:t>9</w:t>
      </w:r>
      <w:r>
        <w:fldChar w:fldCharType="end"/>
      </w:r>
    </w:p>
    <w:p>
      <w:pPr>
        <w:pStyle w:val="TOC8"/>
        <w:rPr>
          <w:sz w:val="24"/>
          <w:szCs w:val="24"/>
          <w:lang w:val="en-US"/>
        </w:rPr>
      </w:pPr>
      <w:r>
        <w:t>12.</w:t>
      </w:r>
      <w:r>
        <w:tab/>
        <w:t>Inspection of information derived from Register</w:t>
      </w:r>
      <w:r>
        <w:tab/>
      </w:r>
      <w:r>
        <w:fldChar w:fldCharType="begin"/>
      </w:r>
      <w:r>
        <w:instrText xml:space="preserve"> PAGEREF _Toc297715542 \h </w:instrText>
      </w:r>
      <w:r>
        <w:fldChar w:fldCharType="separate"/>
      </w:r>
      <w:r>
        <w:t>10</w:t>
      </w:r>
      <w:r>
        <w:fldChar w:fldCharType="end"/>
      </w:r>
    </w:p>
    <w:p>
      <w:pPr>
        <w:pStyle w:val="TOC8"/>
        <w:rPr>
          <w:sz w:val="24"/>
          <w:szCs w:val="24"/>
          <w:lang w:val="en-US"/>
        </w:rPr>
      </w:pPr>
      <w:r>
        <w:t>13.</w:t>
      </w:r>
      <w:r>
        <w:tab/>
      </w:r>
      <w:r>
        <w:rPr>
          <w:snapToGrid w:val="0"/>
        </w:rPr>
        <w:t>Application for information not to be included in names index</w:t>
      </w:r>
      <w:r>
        <w:tab/>
      </w:r>
      <w:r>
        <w:fldChar w:fldCharType="begin"/>
      </w:r>
      <w:r>
        <w:instrText xml:space="preserve"> PAGEREF _Toc297715543 \h </w:instrText>
      </w:r>
      <w:r>
        <w:fldChar w:fldCharType="separate"/>
      </w:r>
      <w:r>
        <w:t>10</w:t>
      </w:r>
      <w:r>
        <w:fldChar w:fldCharType="end"/>
      </w:r>
    </w:p>
    <w:p>
      <w:pPr>
        <w:pStyle w:val="TOC8"/>
        <w:rPr>
          <w:sz w:val="24"/>
          <w:szCs w:val="24"/>
          <w:lang w:val="en-US"/>
        </w:rPr>
      </w:pPr>
      <w:r>
        <w:t>14.</w:t>
      </w:r>
      <w:r>
        <w:tab/>
        <w:t>Provision of suppressed information to government organisations</w:t>
      </w:r>
      <w:r>
        <w:tab/>
      </w:r>
      <w:r>
        <w:fldChar w:fldCharType="begin"/>
      </w:r>
      <w:r>
        <w:instrText xml:space="preserve"> PAGEREF _Toc297715544 \h </w:instrText>
      </w:r>
      <w:r>
        <w:fldChar w:fldCharType="separate"/>
      </w:r>
      <w:r>
        <w:t>11</w:t>
      </w:r>
      <w:r>
        <w:fldChar w:fldCharType="end"/>
      </w:r>
    </w:p>
    <w:p>
      <w:pPr>
        <w:pStyle w:val="TOC8"/>
        <w:rPr>
          <w:sz w:val="24"/>
          <w:szCs w:val="24"/>
          <w:lang w:val="en-US"/>
        </w:rPr>
      </w:pPr>
      <w:r>
        <w:t>15.</w:t>
      </w:r>
      <w:r>
        <w:tab/>
        <w:t>Provision of suppressed information to others</w:t>
      </w:r>
      <w:r>
        <w:tab/>
      </w:r>
      <w:r>
        <w:fldChar w:fldCharType="begin"/>
      </w:r>
      <w:r>
        <w:instrText xml:space="preserve"> PAGEREF _Toc297715545 \h </w:instrText>
      </w:r>
      <w:r>
        <w:fldChar w:fldCharType="separate"/>
      </w:r>
      <w:r>
        <w:t>12</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w:t>
      </w:r>
      <w:r>
        <w:rPr>
          <w:snapToGrid w:val="0"/>
        </w:rPr>
        <w:t>— </w:t>
      </w:r>
      <w:r>
        <w:t>Registrations and recordings</w:t>
      </w:r>
    </w:p>
    <w:p>
      <w:pPr>
        <w:pStyle w:val="TOC4"/>
        <w:tabs>
          <w:tab w:val="right" w:leader="dot" w:pos="7086"/>
        </w:tabs>
        <w:rPr>
          <w:b w:val="0"/>
          <w:sz w:val="24"/>
          <w:szCs w:val="24"/>
          <w:lang w:val="en-US"/>
        </w:rPr>
      </w:pPr>
      <w:r>
        <w:t>Division 2 — Lodgments</w:t>
      </w:r>
    </w:p>
    <w:p>
      <w:pPr>
        <w:pStyle w:val="TOC4"/>
        <w:tabs>
          <w:tab w:val="right" w:leader="dot" w:pos="7086"/>
        </w:tabs>
        <w:rPr>
          <w:b w:val="0"/>
          <w:sz w:val="24"/>
          <w:szCs w:val="24"/>
          <w:lang w:val="en-US"/>
        </w:rPr>
      </w:pPr>
      <w:r>
        <w:t>Division 3 — Withdrawals</w:t>
      </w:r>
    </w:p>
    <w:p>
      <w:pPr>
        <w:pStyle w:val="TOC4"/>
        <w:tabs>
          <w:tab w:val="right" w:leader="dot" w:pos="7086"/>
        </w:tabs>
        <w:rPr>
          <w:b w:val="0"/>
          <w:sz w:val="24"/>
          <w:szCs w:val="24"/>
          <w:lang w:val="en-US"/>
        </w:rPr>
      </w:pPr>
      <w:r>
        <w:t>Division 4 — Applications</w:t>
      </w:r>
    </w:p>
    <w:p>
      <w:pPr>
        <w:pStyle w:val="TOC4"/>
        <w:tabs>
          <w:tab w:val="right" w:leader="dot" w:pos="7086"/>
        </w:tabs>
        <w:rPr>
          <w:b w:val="0"/>
          <w:sz w:val="24"/>
          <w:szCs w:val="24"/>
          <w:lang w:val="en-US"/>
        </w:rPr>
      </w:pPr>
      <w:r>
        <w:t>Division 5 — Certificates</w:t>
      </w:r>
    </w:p>
    <w:p>
      <w:pPr>
        <w:pStyle w:val="TOC4"/>
        <w:tabs>
          <w:tab w:val="right" w:leader="dot" w:pos="7086"/>
        </w:tabs>
        <w:rPr>
          <w:b w:val="0"/>
          <w:sz w:val="24"/>
          <w:szCs w:val="24"/>
          <w:lang w:val="en-US"/>
        </w:rPr>
      </w:pPr>
      <w:r>
        <w:t>Division 6 — Inspection and/or copies of documents</w:t>
      </w:r>
    </w:p>
    <w:p>
      <w:pPr>
        <w:pStyle w:val="TOC4"/>
        <w:tabs>
          <w:tab w:val="right" w:leader="dot" w:pos="7086"/>
        </w:tabs>
        <w:rPr>
          <w:b w:val="0"/>
          <w:sz w:val="24"/>
          <w:szCs w:val="24"/>
          <w:lang w:val="en-US"/>
        </w:rPr>
      </w:pPr>
      <w:r>
        <w:t>Division 7 — Miscellaneous</w:t>
      </w:r>
    </w:p>
    <w:p>
      <w:pPr>
        <w:pStyle w:val="TOC2"/>
        <w:tabs>
          <w:tab w:val="right" w:leader="dot" w:pos="7086"/>
        </w:tabs>
        <w:rPr>
          <w:b w:val="0"/>
          <w:sz w:val="24"/>
          <w:szCs w:val="24"/>
          <w:lang w:val="en-US"/>
        </w:rPr>
      </w:pPr>
      <w:r>
        <w:t>Schedule 2 — Services and matters for which fees cannot be charged</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_Toc297715556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Transfer of Land Act 1893</w:t>
      </w:r>
    </w:p>
    <w:p>
      <w:pPr>
        <w:pStyle w:val="NameofActReg"/>
      </w:pPr>
      <w:r>
        <w:t>Transfer of Land Regulations 2004</w:t>
      </w:r>
    </w:p>
    <w:p>
      <w:pPr>
        <w:pStyle w:val="Heading2"/>
        <w:rPr>
          <w:rStyle w:val="CharPartText"/>
        </w:rPr>
      </w:pPr>
      <w:bookmarkStart w:id="1" w:name="_Toc230748561"/>
      <w:bookmarkStart w:id="2" w:name="_Toc233426727"/>
      <w:bookmarkStart w:id="3" w:name="_Toc265673474"/>
      <w:bookmarkStart w:id="4" w:name="_Toc297715526"/>
      <w:bookmarkStart w:id="5" w:name="_Toc423332722"/>
      <w:bookmarkStart w:id="6" w:name="_Toc425219441"/>
      <w:bookmarkStart w:id="7" w:name="_Toc426249308"/>
      <w:bookmarkStart w:id="8" w:name="_Toc449924704"/>
      <w:bookmarkStart w:id="9" w:name="_Toc449947722"/>
      <w:bookmarkStart w:id="10" w:name="_Toc454185713"/>
      <w:bookmarkStart w:id="11" w:name="_Toc80506497"/>
      <w:bookmarkStart w:id="12" w:name="_Toc109199270"/>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in Gazette 22 May 2009 p. 1700.]</w:t>
      </w:r>
    </w:p>
    <w:p>
      <w:pPr>
        <w:pStyle w:val="Heading5"/>
      </w:pPr>
      <w:bookmarkStart w:id="13" w:name="_Toc297715527"/>
      <w:r>
        <w:rPr>
          <w:rStyle w:val="CharSectno"/>
        </w:rPr>
        <w:t>1</w:t>
      </w:r>
      <w:r>
        <w:t>.</w:t>
      </w:r>
      <w:r>
        <w:tab/>
        <w:t>Citation</w:t>
      </w:r>
      <w:bookmarkEnd w:id="5"/>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80506498"/>
      <w:bookmarkStart w:id="21" w:name="_Toc109199271"/>
      <w:bookmarkStart w:id="22" w:name="_Toc297715528"/>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on 6 September 2004.</w:t>
      </w:r>
    </w:p>
    <w:p>
      <w:pPr>
        <w:pStyle w:val="Heading2"/>
      </w:pPr>
      <w:bookmarkStart w:id="23" w:name="_Toc230748564"/>
      <w:bookmarkStart w:id="24" w:name="_Toc233426730"/>
      <w:bookmarkStart w:id="25" w:name="_Toc265673477"/>
      <w:bookmarkStart w:id="26" w:name="_Toc297715529"/>
      <w:bookmarkStart w:id="27" w:name="_Toc80506499"/>
      <w:bookmarkStart w:id="28" w:name="_Toc109199272"/>
      <w:bookmarkStart w:id="29" w:name="_Toc454593486"/>
      <w:bookmarkStart w:id="30" w:name="_Toc519584947"/>
      <w:bookmarkStart w:id="31" w:name="_Toc523038597"/>
      <w:bookmarkStart w:id="32" w:name="_Toc524424346"/>
      <w:bookmarkStart w:id="33" w:name="_Toc46124574"/>
      <w:r>
        <w:rPr>
          <w:rStyle w:val="CharPartNo"/>
        </w:rPr>
        <w:t>Part 2</w:t>
      </w:r>
      <w:r>
        <w:rPr>
          <w:b w:val="0"/>
        </w:rPr>
        <w:t> </w:t>
      </w:r>
      <w:r>
        <w:t>—</w:t>
      </w:r>
      <w:r>
        <w:rPr>
          <w:b w:val="0"/>
        </w:rPr>
        <w:t> </w:t>
      </w:r>
      <w:r>
        <w:rPr>
          <w:rStyle w:val="CharPartText"/>
        </w:rPr>
        <w:t>General</w:t>
      </w:r>
      <w:bookmarkEnd w:id="23"/>
      <w:bookmarkEnd w:id="24"/>
      <w:bookmarkEnd w:id="25"/>
      <w:bookmarkEnd w:id="26"/>
    </w:p>
    <w:p>
      <w:pPr>
        <w:pStyle w:val="Footnoteheading"/>
      </w:pPr>
      <w:r>
        <w:tab/>
        <w:t>[Heading inserted in Gazette 22 May 2009 p. 1701.]</w:t>
      </w:r>
    </w:p>
    <w:p>
      <w:pPr>
        <w:pStyle w:val="Heading5"/>
      </w:pPr>
      <w:bookmarkStart w:id="34" w:name="_Toc297715530"/>
      <w:r>
        <w:rPr>
          <w:rStyle w:val="CharSectno"/>
        </w:rPr>
        <w:t>3</w:t>
      </w:r>
      <w:r>
        <w:t>.</w:t>
      </w:r>
      <w:r>
        <w:tab/>
        <w:t>Requirements as to documents in paper medium</w:t>
      </w:r>
      <w:bookmarkEnd w:id="27"/>
      <w:bookmarkEnd w:id="28"/>
      <w:bookmarkEnd w:id="34"/>
    </w:p>
    <w:bookmarkEnd w:id="29"/>
    <w:bookmarkEnd w:id="30"/>
    <w:bookmarkEnd w:id="31"/>
    <w:bookmarkEnd w:id="32"/>
    <w:bookmarkEnd w:id="33"/>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35" w:name="_Toc454593487"/>
      <w:bookmarkStart w:id="36" w:name="_Toc519584948"/>
      <w:bookmarkStart w:id="37" w:name="_Toc523038598"/>
      <w:bookmarkStart w:id="38" w:name="_Toc524424347"/>
      <w:bookmarkStart w:id="39" w:name="_Toc46124575"/>
      <w:bookmarkStart w:id="40" w:name="_Toc80506500"/>
      <w:bookmarkStart w:id="41" w:name="_Toc109199273"/>
      <w:bookmarkStart w:id="42" w:name="_Toc297715531"/>
      <w:r>
        <w:rPr>
          <w:rStyle w:val="CharSectno"/>
        </w:rPr>
        <w:t>4</w:t>
      </w:r>
      <w:r>
        <w:t>.</w:t>
      </w:r>
      <w:r>
        <w:tab/>
      </w:r>
      <w:r>
        <w:rPr>
          <w:snapToGrid w:val="0"/>
        </w:rPr>
        <w:t>Certificates of title for lots included in existing certificates</w:t>
      </w:r>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43" w:name="_Toc454593488"/>
      <w:bookmarkStart w:id="44" w:name="_Toc519584949"/>
      <w:bookmarkStart w:id="45" w:name="_Toc523038599"/>
      <w:bookmarkStart w:id="46" w:name="_Toc524424348"/>
      <w:bookmarkStart w:id="47" w:name="_Toc46124576"/>
      <w:bookmarkStart w:id="48" w:name="_Toc80506501"/>
      <w:bookmarkStart w:id="49" w:name="_Toc109199274"/>
      <w:bookmarkStart w:id="50" w:name="_Toc297715532"/>
      <w:r>
        <w:rPr>
          <w:rStyle w:val="CharSectno"/>
        </w:rPr>
        <w:t>5</w:t>
      </w:r>
      <w:r>
        <w:t>.</w:t>
      </w:r>
      <w:r>
        <w:tab/>
      </w:r>
      <w:r>
        <w:rPr>
          <w:snapToGrid w:val="0"/>
        </w:rPr>
        <w:t>New certificate of title if old one too full for further endorsement</w:t>
      </w:r>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51" w:name="_Toc109199275"/>
      <w:bookmarkStart w:id="52" w:name="_Toc297715533"/>
      <w:bookmarkStart w:id="53" w:name="_Toc454593489"/>
      <w:bookmarkStart w:id="54" w:name="_Toc519584950"/>
      <w:bookmarkStart w:id="55" w:name="_Toc523038600"/>
      <w:bookmarkStart w:id="56" w:name="_Toc524424349"/>
      <w:bookmarkStart w:id="57" w:name="_Toc46124577"/>
      <w:bookmarkStart w:id="58" w:name="_Toc80506502"/>
      <w:r>
        <w:rPr>
          <w:rStyle w:val="CharSectno"/>
        </w:rPr>
        <w:t>5A</w:t>
      </w:r>
      <w:r>
        <w:t>.</w:t>
      </w:r>
      <w:r>
        <w:tab/>
        <w:t>Priority processing of certain documents</w:t>
      </w:r>
      <w:bookmarkEnd w:id="51"/>
      <w:bookmarkEnd w:id="52"/>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59" w:name="_Toc454593493"/>
      <w:bookmarkStart w:id="60" w:name="_Toc519584953"/>
      <w:bookmarkStart w:id="61" w:name="_Toc523038603"/>
      <w:bookmarkStart w:id="62" w:name="_Toc524424352"/>
      <w:bookmarkStart w:id="63" w:name="_Toc46124580"/>
      <w:bookmarkStart w:id="64" w:name="_Toc80506504"/>
      <w:bookmarkEnd w:id="53"/>
      <w:bookmarkEnd w:id="54"/>
      <w:bookmarkEnd w:id="55"/>
      <w:bookmarkEnd w:id="56"/>
      <w:bookmarkEnd w:id="57"/>
      <w:bookmarkEnd w:id="58"/>
      <w:r>
        <w:t>[</w:t>
      </w:r>
      <w:r>
        <w:rPr>
          <w:b/>
          <w:bCs/>
        </w:rPr>
        <w:t>6, 7.</w:t>
      </w:r>
      <w:r>
        <w:tab/>
        <w:t>Deleted in Gazette 22 May 2009 p. 1701.]</w:t>
      </w:r>
    </w:p>
    <w:p>
      <w:pPr>
        <w:pStyle w:val="Heading5"/>
        <w:rPr>
          <w:snapToGrid w:val="0"/>
        </w:rPr>
      </w:pPr>
      <w:bookmarkStart w:id="65" w:name="_Toc109199278"/>
      <w:bookmarkStart w:id="66" w:name="_Toc297715534"/>
      <w:r>
        <w:rPr>
          <w:rStyle w:val="CharSectno"/>
        </w:rPr>
        <w:t>8</w:t>
      </w:r>
      <w:r>
        <w:t>.</w:t>
      </w:r>
      <w:r>
        <w:tab/>
      </w:r>
      <w:r>
        <w:rPr>
          <w:snapToGrid w:val="0"/>
        </w:rPr>
        <w:t>Modification, discharge or extinguishment of single dwelling covenants — determination of prescribed area</w:t>
      </w:r>
      <w:bookmarkEnd w:id="59"/>
      <w:bookmarkEnd w:id="60"/>
      <w:bookmarkEnd w:id="61"/>
      <w:bookmarkEnd w:id="62"/>
      <w:bookmarkEnd w:id="63"/>
      <w:bookmarkEnd w:id="64"/>
      <w:bookmarkEnd w:id="65"/>
      <w:bookmarkEnd w:id="66"/>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67" w:name="_Toc230748570"/>
      <w:bookmarkStart w:id="68" w:name="_Toc233426736"/>
      <w:bookmarkStart w:id="69" w:name="_Toc265673483"/>
      <w:bookmarkStart w:id="70" w:name="_Toc297715535"/>
      <w:bookmarkStart w:id="71" w:name="_Toc109199279"/>
      <w:bookmarkStart w:id="72" w:name="_Toc80506506"/>
      <w:r>
        <w:rPr>
          <w:rStyle w:val="CharPartNo"/>
        </w:rPr>
        <w:t>Part 3</w:t>
      </w:r>
      <w:r>
        <w:t> — </w:t>
      </w:r>
      <w:r>
        <w:rPr>
          <w:rStyle w:val="CharPartText"/>
        </w:rPr>
        <w:t>Fees and forms</w:t>
      </w:r>
      <w:bookmarkEnd w:id="67"/>
      <w:bookmarkEnd w:id="68"/>
      <w:bookmarkEnd w:id="69"/>
      <w:bookmarkEnd w:id="70"/>
    </w:p>
    <w:p>
      <w:pPr>
        <w:pStyle w:val="Footnoteheading"/>
      </w:pPr>
      <w:r>
        <w:tab/>
        <w:t>[Heading inserted in Gazette 22 May 2009 p. 1701.]</w:t>
      </w:r>
    </w:p>
    <w:p>
      <w:pPr>
        <w:pStyle w:val="Heading5"/>
      </w:pPr>
      <w:bookmarkStart w:id="73" w:name="_Toc297715536"/>
      <w:r>
        <w:rPr>
          <w:rStyle w:val="CharSectno"/>
        </w:rPr>
        <w:t>9A</w:t>
      </w:r>
      <w:r>
        <w:t>.</w:t>
      </w:r>
      <w:r>
        <w:tab/>
        <w:t>Fees</w:t>
      </w:r>
      <w:bookmarkEnd w:id="7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w:t>
      </w:r>
    </w:p>
    <w:bookmarkEnd w:id="71"/>
    <w:p>
      <w:pPr>
        <w:pStyle w:val="Ednotesection"/>
      </w:pPr>
      <w:r>
        <w:t>[</w:t>
      </w:r>
      <w:r>
        <w:rPr>
          <w:b/>
          <w:bCs/>
        </w:rPr>
        <w:t>9.</w:t>
      </w:r>
      <w:r>
        <w:rPr>
          <w:b/>
          <w:bCs/>
        </w:rPr>
        <w:tab/>
      </w:r>
      <w:r>
        <w:t>Deleted in Gazette 19 Jun 2009 p. 2236.]</w:t>
      </w:r>
    </w:p>
    <w:p>
      <w:pPr>
        <w:pStyle w:val="Heading2"/>
      </w:pPr>
      <w:bookmarkStart w:id="74" w:name="_Toc230748573"/>
      <w:bookmarkStart w:id="75" w:name="_Toc233426738"/>
      <w:bookmarkStart w:id="76" w:name="_Toc265673485"/>
      <w:bookmarkStart w:id="77" w:name="_Toc297715537"/>
      <w:r>
        <w:rPr>
          <w:rStyle w:val="CharPartNo"/>
        </w:rPr>
        <w:t>Part 4</w:t>
      </w:r>
      <w:r>
        <w:rPr>
          <w:b w:val="0"/>
        </w:rPr>
        <w:t> </w:t>
      </w:r>
      <w:r>
        <w:t>—</w:t>
      </w:r>
      <w:r>
        <w:rPr>
          <w:b w:val="0"/>
        </w:rPr>
        <w:t> </w:t>
      </w:r>
      <w:r>
        <w:rPr>
          <w:rStyle w:val="CharPartText"/>
        </w:rPr>
        <w:t>Inspection of Register</w:t>
      </w:r>
      <w:bookmarkEnd w:id="74"/>
      <w:bookmarkEnd w:id="75"/>
      <w:bookmarkEnd w:id="76"/>
      <w:bookmarkEnd w:id="77"/>
    </w:p>
    <w:p>
      <w:pPr>
        <w:pStyle w:val="Footnoteheading"/>
      </w:pPr>
      <w:r>
        <w:tab/>
        <w:t>[Heading inserted in Gazette 22 May 2009 p. 1702.]</w:t>
      </w:r>
    </w:p>
    <w:p>
      <w:pPr>
        <w:pStyle w:val="Heading3"/>
      </w:pPr>
      <w:bookmarkStart w:id="78" w:name="_Toc230748574"/>
      <w:bookmarkStart w:id="79" w:name="_Toc233426739"/>
      <w:bookmarkStart w:id="80" w:name="_Toc265673486"/>
      <w:bookmarkStart w:id="81" w:name="_Toc297715538"/>
      <w:r>
        <w:rPr>
          <w:rStyle w:val="CharDivNo"/>
        </w:rPr>
        <w:t>Division 1</w:t>
      </w:r>
      <w:r>
        <w:t> — </w:t>
      </w:r>
      <w:r>
        <w:rPr>
          <w:rStyle w:val="CharDivText"/>
        </w:rPr>
        <w:t>Times for inspection of Register and related documents</w:t>
      </w:r>
      <w:bookmarkEnd w:id="78"/>
      <w:bookmarkEnd w:id="79"/>
      <w:bookmarkEnd w:id="80"/>
      <w:bookmarkEnd w:id="81"/>
    </w:p>
    <w:p>
      <w:pPr>
        <w:pStyle w:val="Footnoteheading"/>
      </w:pPr>
      <w:r>
        <w:tab/>
        <w:t>[Heading inserted in Gazette 22 May 2009 p. 1702.]</w:t>
      </w:r>
    </w:p>
    <w:p>
      <w:pPr>
        <w:pStyle w:val="Heading5"/>
        <w:rPr>
          <w:snapToGrid w:val="0"/>
        </w:rPr>
      </w:pPr>
      <w:bookmarkStart w:id="82" w:name="_Toc297715539"/>
      <w:r>
        <w:rPr>
          <w:snapToGrid w:val="0"/>
        </w:rPr>
        <w:t>10.</w:t>
      </w:r>
      <w:r>
        <w:rPr>
          <w:snapToGrid w:val="0"/>
        </w:rPr>
        <w:tab/>
        <w:t>Times for inspection of the Register and related documents</w:t>
      </w:r>
      <w:bookmarkEnd w:id="82"/>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83" w:name="_Toc230748576"/>
      <w:bookmarkStart w:id="84" w:name="_Toc233426741"/>
      <w:bookmarkStart w:id="85" w:name="_Toc265673488"/>
      <w:bookmarkStart w:id="86" w:name="_Toc297715540"/>
      <w:r>
        <w:rPr>
          <w:rStyle w:val="CharDivNo"/>
        </w:rPr>
        <w:t>Division 2</w:t>
      </w:r>
      <w:r>
        <w:t> — </w:t>
      </w:r>
      <w:r>
        <w:rPr>
          <w:rStyle w:val="CharDivText"/>
        </w:rPr>
        <w:t>Names index</w:t>
      </w:r>
      <w:bookmarkEnd w:id="83"/>
      <w:bookmarkEnd w:id="84"/>
      <w:bookmarkEnd w:id="85"/>
      <w:bookmarkEnd w:id="86"/>
    </w:p>
    <w:p>
      <w:pPr>
        <w:pStyle w:val="Footnoteheading"/>
      </w:pPr>
      <w:r>
        <w:tab/>
        <w:t>[Heading inserted in Gazette 22 May 2009 p. 1703.]</w:t>
      </w:r>
    </w:p>
    <w:p>
      <w:pPr>
        <w:pStyle w:val="Heading5"/>
      </w:pPr>
      <w:bookmarkStart w:id="87" w:name="_Toc297715541"/>
      <w:r>
        <w:t>11.</w:t>
      </w:r>
      <w:r>
        <w:tab/>
        <w:t>Terms used</w:t>
      </w:r>
      <w:bookmarkEnd w:id="87"/>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88" w:name="_Toc297715542"/>
      <w:r>
        <w:t>12.</w:t>
      </w:r>
      <w:r>
        <w:tab/>
        <w:t>Inspection of information derived from Register</w:t>
      </w:r>
      <w:bookmarkEnd w:id="88"/>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89" w:name="_Toc297715543"/>
      <w:r>
        <w:t>13.</w:t>
      </w:r>
      <w:r>
        <w:tab/>
      </w:r>
      <w:bookmarkStart w:id="90" w:name="_Toc498763793"/>
      <w:bookmarkStart w:id="91" w:name="_Toc51564952"/>
      <w:bookmarkStart w:id="92" w:name="_Toc205285861"/>
      <w:r>
        <w:rPr>
          <w:snapToGrid w:val="0"/>
        </w:rPr>
        <w:t>Application for information not to be included in names index</w:t>
      </w:r>
      <w:bookmarkEnd w:id="89"/>
      <w:bookmarkEnd w:id="90"/>
      <w:bookmarkEnd w:id="91"/>
      <w:bookmarkEnd w:id="9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93" w:name="_Toc153601537"/>
      <w:bookmarkStart w:id="94" w:name="_Toc160524770"/>
      <w:bookmarkStart w:id="95" w:name="_Toc205285826"/>
      <w:r>
        <w:tab/>
        <w:t>[Regulation 13 inserted in Gazette 22 May 2009 p. 1703-4.]</w:t>
      </w:r>
    </w:p>
    <w:p>
      <w:pPr>
        <w:pStyle w:val="Heading5"/>
      </w:pPr>
      <w:bookmarkStart w:id="96" w:name="_Toc297715544"/>
      <w:r>
        <w:t>14.</w:t>
      </w:r>
      <w:r>
        <w:tab/>
        <w:t>Provision of suppressed information to government organisations</w:t>
      </w:r>
      <w:bookmarkEnd w:id="93"/>
      <w:bookmarkEnd w:id="94"/>
      <w:bookmarkEnd w:id="95"/>
      <w:bookmarkEnd w:id="9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pPr>
      <w:r>
        <w:tab/>
        <w:t>[Regulation 14 inserted in Gazette 22 May 2009 p. 1704.]</w:t>
      </w:r>
    </w:p>
    <w:p>
      <w:pPr>
        <w:pStyle w:val="Heading5"/>
      </w:pPr>
      <w:bookmarkStart w:id="97" w:name="_Toc297715545"/>
      <w:r>
        <w:t>15.</w:t>
      </w:r>
      <w:r>
        <w:tab/>
        <w:t>Provision of suppressed information to others</w:t>
      </w:r>
      <w:bookmarkEnd w:id="9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 w:name="_Toc219188527"/>
      <w:bookmarkStart w:id="99" w:name="_Toc220814844"/>
      <w:bookmarkStart w:id="100" w:name="_Toc220830316"/>
      <w:bookmarkStart w:id="101" w:name="_Toc221334339"/>
      <w:bookmarkStart w:id="102" w:name="_Toc230748582"/>
      <w:bookmarkStart w:id="103" w:name="_Toc233426747"/>
      <w:bookmarkStart w:id="104" w:name="_Toc265673494"/>
      <w:bookmarkStart w:id="105" w:name="_Toc297715546"/>
      <w:bookmarkStart w:id="106" w:name="_Toc80506515"/>
      <w:bookmarkStart w:id="107" w:name="_Toc109199288"/>
      <w:bookmarkStart w:id="108" w:name="_Toc140296824"/>
      <w:bookmarkStart w:id="109" w:name="_Toc140301909"/>
      <w:bookmarkStart w:id="110" w:name="_Toc144701860"/>
      <w:bookmarkStart w:id="111" w:name="_Toc144702236"/>
      <w:bookmarkStart w:id="112" w:name="_Toc149964663"/>
      <w:bookmarkStart w:id="113" w:name="_Toc150077722"/>
      <w:bookmarkStart w:id="114" w:name="_Toc152068353"/>
      <w:bookmarkStart w:id="115" w:name="_Toc155170042"/>
      <w:bookmarkStart w:id="116" w:name="_Toc155170137"/>
      <w:bookmarkStart w:id="117" w:name="_Toc170811859"/>
      <w:bookmarkStart w:id="118" w:name="_Toc171154248"/>
      <w:bookmarkEnd w:id="72"/>
      <w:r>
        <w:rPr>
          <w:rStyle w:val="CharSchNo"/>
        </w:rPr>
        <w:t>Schedule 1</w:t>
      </w:r>
      <w:r>
        <w:t xml:space="preserve"> — </w:t>
      </w:r>
      <w:r>
        <w:rPr>
          <w:rStyle w:val="CharSchText"/>
        </w:rPr>
        <w:t>Fees</w:t>
      </w:r>
      <w:bookmarkEnd w:id="98"/>
      <w:bookmarkEnd w:id="99"/>
      <w:bookmarkEnd w:id="100"/>
      <w:bookmarkEnd w:id="101"/>
      <w:bookmarkEnd w:id="102"/>
      <w:bookmarkEnd w:id="103"/>
      <w:bookmarkEnd w:id="104"/>
      <w:bookmarkEnd w:id="105"/>
    </w:p>
    <w:p>
      <w:pPr>
        <w:pStyle w:val="yShoulderClause"/>
      </w:pPr>
      <w:r>
        <w:t>[r. 9A(1), (2), (3), (4), (5), (6), (7)]</w:t>
      </w:r>
    </w:p>
    <w:p>
      <w:pPr>
        <w:pStyle w:val="yFootnoteheading"/>
      </w:pPr>
      <w:r>
        <w:tab/>
        <w:t>[Heading inserted in Gazette 9 Jan 2009 p. 30; amended in Gazette 22 May 2009 p. 1705.]</w:t>
      </w:r>
    </w:p>
    <w:p>
      <w:pPr>
        <w:pStyle w:val="yHeading3"/>
      </w:pPr>
      <w:bookmarkStart w:id="119" w:name="_Toc219188528"/>
      <w:bookmarkStart w:id="120" w:name="_Toc220814845"/>
      <w:bookmarkStart w:id="121" w:name="_Toc220830317"/>
      <w:bookmarkStart w:id="122" w:name="_Toc221334340"/>
      <w:bookmarkStart w:id="123" w:name="_Toc230748583"/>
      <w:bookmarkStart w:id="124" w:name="_Toc233426748"/>
      <w:bookmarkStart w:id="125" w:name="_Toc265673495"/>
      <w:bookmarkStart w:id="126" w:name="_Toc297715547"/>
      <w:r>
        <w:rPr>
          <w:rStyle w:val="CharSDivNo"/>
        </w:rPr>
        <w:t>Division 1</w:t>
      </w:r>
      <w:r>
        <w:t> </w:t>
      </w:r>
      <w:r>
        <w:rPr>
          <w:snapToGrid w:val="0"/>
        </w:rPr>
        <w:t>— </w:t>
      </w:r>
      <w:r>
        <w:rPr>
          <w:rStyle w:val="CharSDivText"/>
        </w:rPr>
        <w:t>Registrations and recordings</w:t>
      </w:r>
      <w:bookmarkEnd w:id="119"/>
      <w:bookmarkEnd w:id="120"/>
      <w:bookmarkEnd w:id="121"/>
      <w:bookmarkEnd w:id="122"/>
      <w:bookmarkEnd w:id="123"/>
      <w:bookmarkEnd w:id="124"/>
      <w:bookmarkEnd w:id="125"/>
      <w:bookmarkEnd w:id="126"/>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r>
              <w:tab/>
            </w:r>
          </w:p>
        </w:tc>
        <w:tc>
          <w:tcPr>
            <w:tcW w:w="1560" w:type="dxa"/>
          </w:tcPr>
          <w:p>
            <w:pPr>
              <w:pStyle w:val="yTable"/>
              <w:rPr>
                <w:snapToGrid w:val="0"/>
              </w:rPr>
            </w:pPr>
            <w:r>
              <w:t>$160.00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r>
              <w:tab/>
            </w:r>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transfer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(a)</w:t>
            </w:r>
            <w:r>
              <w:tab/>
              <w:t xml:space="preserve">that is exempt from duty under the </w:t>
            </w:r>
            <w:r>
              <w:rPr>
                <w:i/>
                <w:iCs/>
              </w:rPr>
              <w:t>Stamp Act 1921</w:t>
            </w:r>
            <w:r>
              <w:t xml:space="preserve"> or the </w:t>
            </w:r>
            <w:r>
              <w:rPr>
                <w:i/>
                <w:iCs/>
              </w:rPr>
              <w:t>Duties Act 2008</w:t>
            </w:r>
            <w:r>
              <w:t>;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(b)</w:t>
            </w:r>
            <w:r>
              <w:tab/>
              <w:t>on which nominal duty is chargeable under the Duties Act 2008; or</w:t>
            </w:r>
            <w:r>
              <w:tab/>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612"/>
                <w:tab w:val="left" w:leader="dot" w:pos="4695"/>
              </w:tabs>
              <w:ind w:left="612" w:hanging="612"/>
            </w:pPr>
            <w:r>
              <w:tab/>
              <w:t>(c)</w:t>
            </w:r>
            <w:r>
              <w:tab/>
              <w:t xml:space="preserve">on which duty is chargeable under the </w:t>
            </w:r>
            <w:r>
              <w:rPr>
                <w:i/>
                <w:iCs/>
              </w:rPr>
              <w:t>Stamp Act 1921</w:t>
            </w:r>
            <w:r>
              <w:t xml:space="preserve"> Second Schedule item 6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ind w:left="12" w:hanging="12"/>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
              <w:rPr>
                <w:snapToGrid w:val="0"/>
                <w:sz w:val="18"/>
              </w:rPr>
            </w:pPr>
          </w:p>
        </w:tc>
      </w:tr>
      <w:tr>
        <w:trPr>
          <w:cantSplit/>
        </w:trPr>
        <w:tc>
          <w:tcPr>
            <w:tcW w:w="600" w:type="dxa"/>
          </w:tcPr>
          <w:p>
            <w:pPr>
              <w:pStyle w:val="yTable"/>
              <w:rPr>
                <w:snapToGrid w:val="0"/>
              </w:rPr>
            </w:pPr>
          </w:p>
        </w:tc>
        <w:tc>
          <w:tcPr>
            <w:tcW w:w="4920" w:type="dxa"/>
          </w:tcPr>
          <w:p>
            <w:pPr>
              <w:pStyle w:val="yTable"/>
              <w:tabs>
                <w:tab w:val="left" w:leader="dot" w:pos="4692"/>
              </w:tabs>
              <w:ind w:left="252"/>
            </w:pPr>
            <w:r>
              <w:rPr>
                <w:spacing w:val="-4"/>
              </w:rPr>
              <w:t xml:space="preserve">does not exceed $85 000 </w:t>
            </w:r>
            <w:r>
              <w:rPr>
                <w:spacing w:val="-4"/>
              </w:rPr>
              <w:tab/>
            </w:r>
          </w:p>
        </w:tc>
        <w:tc>
          <w:tcPr>
            <w:tcW w:w="1560" w:type="dxa"/>
          </w:tcPr>
          <w:p>
            <w:pPr>
              <w:pStyle w:val="yTable"/>
              <w:rPr>
                <w:snapToGrid w:val="0"/>
              </w:rPr>
            </w:pPr>
            <w:r>
              <w:t>$160.00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 xml:space="preserve">exceeds $85 000 but does not exceed $120 000 </w:t>
            </w:r>
            <w:r>
              <w:tab/>
            </w:r>
          </w:p>
        </w:tc>
        <w:tc>
          <w:tcPr>
            <w:tcW w:w="1560" w:type="dxa"/>
          </w:tcPr>
          <w:p>
            <w:pPr>
              <w:pStyle w:val="yTable"/>
              <w:rPr>
                <w:snapToGrid w:val="0"/>
              </w:rPr>
            </w:pPr>
            <w:r>
              <w:t>$170.00</w:t>
            </w:r>
          </w:p>
        </w:tc>
      </w:tr>
      <w:tr>
        <w:trPr>
          <w:cantSplit/>
        </w:trPr>
        <w:tc>
          <w:tcPr>
            <w:tcW w:w="600" w:type="dxa"/>
          </w:tcPr>
          <w:p>
            <w:pPr>
              <w:pStyle w:val="yTable"/>
              <w:rPr>
                <w:snapToGrid w:val="0"/>
              </w:rPr>
            </w:pPr>
          </w:p>
        </w:tc>
        <w:tc>
          <w:tcPr>
            <w:tcW w:w="4920" w:type="dxa"/>
          </w:tcPr>
          <w:p>
            <w:pPr>
              <w:pStyle w:val="yTable"/>
              <w:tabs>
                <w:tab w:val="left" w:leader="dot" w:pos="4692"/>
              </w:tabs>
              <w:ind w:left="252"/>
              <w:rPr>
                <w:spacing w:val="-4"/>
              </w:rPr>
            </w:pPr>
            <w:r>
              <w:t>exceeds</w:t>
            </w:r>
            <w:r>
              <w:rPr>
                <w:spacing w:val="-4"/>
              </w:rPr>
              <w:t xml:space="preserve"> $120 000 but does not exceed $200 000 </w:t>
            </w:r>
            <w:r>
              <w:rPr>
                <w:spacing w:val="-4"/>
              </w:rPr>
              <w:tab/>
            </w:r>
          </w:p>
        </w:tc>
        <w:tc>
          <w:tcPr>
            <w:tcW w:w="1560" w:type="dxa"/>
          </w:tcPr>
          <w:p>
            <w:pPr>
              <w:pStyle w:val="yTable"/>
              <w:rPr>
                <w:snapToGrid w:val="0"/>
              </w:rPr>
            </w:pPr>
            <w:r>
              <w:t>$190.00</w:t>
            </w:r>
          </w:p>
        </w:tc>
      </w:tr>
      <w:tr>
        <w:trPr>
          <w:cantSplit/>
        </w:trPr>
        <w:tc>
          <w:tcPr>
            <w:tcW w:w="600" w:type="dxa"/>
          </w:tcPr>
          <w:p>
            <w:pPr>
              <w:pStyle w:val="yTable"/>
              <w:rPr>
                <w:snapToGrid w:val="0"/>
              </w:rPr>
            </w:pPr>
          </w:p>
        </w:tc>
        <w:tc>
          <w:tcPr>
            <w:tcW w:w="4920" w:type="dxa"/>
          </w:tcPr>
          <w:p>
            <w:pPr>
              <w:pStyle w:val="yTable"/>
              <w:tabs>
                <w:tab w:val="left" w:leader="dot" w:pos="4692"/>
              </w:tabs>
              <w:rPr>
                <w:spacing w:val="-4"/>
              </w:rPr>
            </w:pPr>
            <w:r>
              <w:t xml:space="preserve">plus, for each whole or part of $100 000 above </w:t>
            </w:r>
            <w:r>
              <w:br/>
              <w:t xml:space="preserve">$200 000 </w:t>
            </w:r>
            <w:r>
              <w:tab/>
            </w:r>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zyTableNAm"/>
              <w:rPr>
                <w:sz w:val="18"/>
              </w:rPr>
            </w:pPr>
            <w:r>
              <w:rPr>
                <w:sz w:val="18"/>
              </w:rPr>
              <w:t>Note:</w:t>
            </w:r>
            <w:r>
              <w:rPr>
                <w:sz w:val="18"/>
              </w:rPr>
              <w:tab/>
              <w:t>Where —</w:t>
            </w:r>
          </w:p>
          <w:p>
            <w:pPr>
              <w:pStyle w:val="zyTableNAm"/>
              <w:tabs>
                <w:tab w:val="clear" w:pos="567"/>
                <w:tab w:val="left" w:pos="601"/>
                <w:tab w:val="left" w:pos="1026"/>
              </w:tabs>
              <w:ind w:left="1026" w:hanging="1026"/>
              <w:rPr>
                <w:sz w:val="18"/>
              </w:rPr>
            </w:pPr>
            <w:r>
              <w:rPr>
                <w:sz w:val="18"/>
              </w:rPr>
              <w:tab/>
              <w:t>(a)</w:t>
            </w:r>
            <w:r>
              <w:rPr>
                <w:sz w:val="18"/>
              </w:rPr>
              <w:tab/>
              <w:t>stamp duty is assessed on a parcel of land; and</w:t>
            </w:r>
          </w:p>
          <w:p>
            <w:pPr>
              <w:pStyle w:val="zyTableNAm"/>
              <w:tabs>
                <w:tab w:val="clear" w:pos="567"/>
                <w:tab w:val="left" w:pos="601"/>
                <w:tab w:val="left" w:pos="1026"/>
              </w:tabs>
              <w:ind w:left="1026" w:hanging="1026"/>
              <w:rPr>
                <w:sz w:val="18"/>
              </w:rPr>
            </w:pPr>
            <w:r>
              <w:rPr>
                <w:sz w:val="18"/>
              </w:rPr>
              <w:tab/>
              <w:t>(b)</w:t>
            </w:r>
            <w:r>
              <w:rPr>
                <w:sz w:val="18"/>
              </w:rPr>
              <w:tab/>
              <w:t>transfers are lodged for parts of that parcel; and</w:t>
            </w:r>
          </w:p>
          <w:p>
            <w:pPr>
              <w:pStyle w:val="zyTableNAm"/>
              <w:tabs>
                <w:tab w:val="clear" w:pos="567"/>
                <w:tab w:val="left" w:pos="601"/>
                <w:tab w:val="left" w:pos="1026"/>
              </w:tabs>
              <w:ind w:left="1026" w:hanging="1026"/>
              <w:rPr>
                <w:spacing w:val="-4"/>
              </w:rPr>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zyTableNAm"/>
              <w:tabs>
                <w:tab w:val="left" w:leader="dot" w:pos="4692"/>
              </w:tabs>
              <w:ind w:left="567" w:hanging="567"/>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tcPr>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z w:val="18"/>
              </w:rPr>
            </w:pPr>
          </w:p>
          <w:p>
            <w:pPr>
              <w:pStyle w:val="yTable"/>
              <w:tabs>
                <w:tab w:val="left" w:pos="4692"/>
              </w:tabs>
              <w:rPr>
                <w:snapToGrid w:val="0"/>
              </w:rPr>
            </w:pPr>
            <w:r>
              <w:t>$160.00</w:t>
            </w:r>
          </w:p>
        </w:tc>
      </w:tr>
      <w:tr>
        <w:trPr>
          <w:cantSplit/>
        </w:trPr>
        <w:tc>
          <w:tcPr>
            <w:tcW w:w="5520" w:type="dxa"/>
            <w:gridSpan w:val="2"/>
          </w:tcPr>
          <w:p>
            <w:pPr>
              <w:pStyle w:val="zyTableNAm"/>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r>
              <w:tab/>
            </w:r>
          </w:p>
        </w:tc>
        <w:tc>
          <w:tcPr>
            <w:tcW w:w="1560" w:type="dxa"/>
          </w:tcPr>
          <w:p>
            <w:pPr>
              <w:pStyle w:val="yTable"/>
              <w:rPr>
                <w:snapToGrid w:val="0"/>
              </w:rPr>
            </w:pPr>
            <w:r>
              <w:rPr>
                <w:snapToGrid w:val="0"/>
              </w:rPr>
              <w:br/>
            </w:r>
            <w:r>
              <w:rPr>
                <w:snapToGrid w:val="0"/>
              </w:rPr>
              <w:br/>
            </w:r>
            <w:r>
              <w:t>$160.00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r>
              <w:tab/>
            </w:r>
          </w:p>
        </w:tc>
        <w:tc>
          <w:tcPr>
            <w:tcW w:w="1560" w:type="dxa"/>
          </w:tcPr>
          <w:p>
            <w:pPr>
              <w:pStyle w:val="yTable"/>
              <w:rPr>
                <w:snapToGrid w:val="0"/>
              </w:rPr>
            </w:pPr>
            <w:r>
              <w:rPr>
                <w:snapToGrid w:val="0"/>
              </w:rPr>
              <w:br/>
            </w:r>
            <w:r>
              <w:rPr>
                <w:snapToGrid w:val="0"/>
              </w:rPr>
              <w:br/>
            </w:r>
            <w:r>
              <w:t>$160.00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w:t>
            </w:r>
            <w:smartTag w:uri="urn:schemas-microsoft-com:office:smarttags" w:element="Street">
              <w:smartTag w:uri="urn:schemas-microsoft-com:office:smarttags" w:element="address">
                <w:r>
                  <w:t>Magistrates Court</w:t>
                </w:r>
              </w:smartTag>
            </w:smartTag>
            <w:r>
              <w:t xml:space="preserve">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r>
              <w:tab/>
            </w:r>
          </w:p>
        </w:tc>
        <w:tc>
          <w:tcPr>
            <w:tcW w:w="1560" w:type="dxa"/>
          </w:tcPr>
          <w:p>
            <w:pPr>
              <w:pStyle w:val="yTable"/>
              <w:rPr>
                <w:snapToGrid w:val="0"/>
              </w:rPr>
            </w:pPr>
            <w:r>
              <w:t>$160.00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r>
              <w:tab/>
            </w:r>
          </w:p>
        </w:tc>
        <w:tc>
          <w:tcPr>
            <w:tcW w:w="1560" w:type="dxa"/>
          </w:tcPr>
          <w:p>
            <w:pPr>
              <w:pStyle w:val="yTable"/>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Heading3"/>
      </w:pPr>
      <w:bookmarkStart w:id="127" w:name="_Toc219188529"/>
      <w:bookmarkStart w:id="128" w:name="_Toc220814846"/>
      <w:bookmarkStart w:id="129" w:name="_Toc220830318"/>
      <w:bookmarkStart w:id="130" w:name="_Toc221334341"/>
      <w:bookmarkStart w:id="131" w:name="_Toc230748584"/>
      <w:bookmarkStart w:id="132" w:name="_Toc233426749"/>
      <w:bookmarkStart w:id="133" w:name="_Toc265673496"/>
      <w:bookmarkStart w:id="134" w:name="_Toc297715548"/>
      <w:r>
        <w:rPr>
          <w:rStyle w:val="CharSDivNo"/>
        </w:rPr>
        <w:t>Division 2</w:t>
      </w:r>
      <w:r>
        <w:t> — </w:t>
      </w:r>
      <w:r>
        <w:rPr>
          <w:rStyle w:val="CharSDivText"/>
        </w:rPr>
        <w:t>Lodgments</w:t>
      </w:r>
      <w:bookmarkEnd w:id="127"/>
      <w:bookmarkEnd w:id="128"/>
      <w:bookmarkEnd w:id="129"/>
      <w:bookmarkEnd w:id="130"/>
      <w:bookmarkEnd w:id="131"/>
      <w:bookmarkEnd w:id="132"/>
      <w:bookmarkEnd w:id="133"/>
      <w:bookmarkEnd w:id="134"/>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of Crown land that is not a subdivision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(a)</w:t>
            </w:r>
            <w:r>
              <w:tab/>
              <w:t xml:space="preserve">general fee </w:t>
            </w:r>
            <w:r>
              <w:tab/>
            </w:r>
          </w:p>
        </w:tc>
        <w:tc>
          <w:tcPr>
            <w:tcW w:w="1560" w:type="dxa"/>
          </w:tcPr>
          <w:p>
            <w:pPr>
              <w:pStyle w:val="yTable"/>
              <w:rPr>
                <w:snapToGrid w:val="0"/>
              </w:rPr>
            </w:pPr>
            <w:r>
              <w:t>$227.00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(b)</w:t>
            </w:r>
            <w:r>
              <w:tab/>
              <w:t xml:space="preserve">for each lot </w:t>
            </w:r>
            <w:r>
              <w:tab/>
            </w:r>
          </w:p>
        </w:tc>
        <w:tc>
          <w:tcPr>
            <w:tcW w:w="1560" w:type="dxa"/>
          </w:tcPr>
          <w:p>
            <w:pPr>
              <w:pStyle w:val="yTable"/>
              <w:rPr>
                <w:snapToGrid w:val="0"/>
              </w:rPr>
            </w:pPr>
            <w:r>
              <w:t>$62.00</w:t>
            </w: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ind w:left="252" w:hanging="240"/>
            </w:pPr>
            <w:r>
              <w:tab/>
              <w:t>(c)</w:t>
            </w:r>
            <w:r>
              <w:tab/>
              <w:t xml:space="preserve">for each sheet in addition to the first sheet </w:t>
            </w:r>
            <w:r>
              <w:tab/>
            </w:r>
          </w:p>
        </w:tc>
        <w:tc>
          <w:tcPr>
            <w:tcW w:w="1560" w:type="dxa"/>
          </w:tcPr>
          <w:p>
            <w:pPr>
              <w:pStyle w:val="yTable"/>
              <w:rPr>
                <w:snapToGrid w:val="0"/>
              </w:rPr>
            </w:pPr>
            <w:r>
              <w:t>$227.00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Of any other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52"/>
                <w:tab w:val="left" w:pos="732"/>
                <w:tab w:val="left" w:leader="dot" w:pos="4695"/>
              </w:tabs>
            </w:pPr>
            <w:r>
              <w:tab/>
              <w:t>(a)</w:t>
            </w:r>
            <w:r>
              <w:tab/>
              <w:t xml:space="preserve">general fee </w:t>
            </w:r>
            <w:r>
              <w:tab/>
            </w:r>
          </w:p>
        </w:tc>
        <w:tc>
          <w:tcPr>
            <w:tcW w:w="1560" w:type="dxa"/>
          </w:tcPr>
          <w:p>
            <w:pPr>
              <w:pStyle w:val="yTable"/>
              <w:rPr>
                <w:snapToGrid w:val="0"/>
              </w:rPr>
            </w:pPr>
            <w:r>
              <w:t>$227.00</w:t>
            </w:r>
          </w:p>
        </w:tc>
      </w:tr>
      <w:tr>
        <w:trPr>
          <w:cantSplit/>
        </w:trPr>
        <w:tc>
          <w:tcPr>
            <w:tcW w:w="600" w:type="dxa"/>
          </w:tcPr>
          <w:p>
            <w:pPr>
              <w:pStyle w:val="yTable"/>
              <w:rPr>
                <w:snapToGrid w:val="0"/>
              </w:rPr>
            </w:pPr>
          </w:p>
        </w:tc>
        <w:tc>
          <w:tcPr>
            <w:tcW w:w="4920" w:type="dxa"/>
          </w:tcPr>
          <w:p>
            <w:pPr>
              <w:pStyle w:val="yTable"/>
              <w:tabs>
                <w:tab w:val="left" w:pos="732"/>
                <w:tab w:val="left" w:leader="dot" w:pos="4695"/>
              </w:tabs>
              <w:ind w:left="732" w:hanging="480"/>
            </w:pPr>
            <w:r>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r>
            <w:r>
              <w:t>$62.00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plan </w:t>
            </w:r>
            <w:r>
              <w:tab/>
            </w:r>
          </w:p>
        </w:tc>
        <w:tc>
          <w:tcPr>
            <w:tcW w:w="1560" w:type="dxa"/>
          </w:tcPr>
          <w:p>
            <w:pPr>
              <w:pStyle w:val="yTable"/>
              <w:rPr>
                <w:snapToGrid w:val="0"/>
              </w:rPr>
            </w:pPr>
            <w:r>
              <w:t>$227.00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r>
              <w:tab/>
            </w:r>
          </w:p>
        </w:tc>
        <w:tc>
          <w:tcPr>
            <w:tcW w:w="1560" w:type="dxa"/>
          </w:tcPr>
          <w:p>
            <w:pPr>
              <w:pStyle w:val="yTable"/>
              <w:rPr>
                <w:snapToGrid w:val="0"/>
              </w:rPr>
            </w:pPr>
            <w:r>
              <w:t>$80.00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r>
              <w:tab/>
            </w:r>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r>
              <w:tab/>
            </w:r>
          </w:p>
        </w:tc>
        <w:tc>
          <w:tcPr>
            <w:tcW w:w="1560" w:type="dxa"/>
          </w:tcPr>
          <w:p>
            <w:pPr>
              <w:pStyle w:val="yTable"/>
              <w:rPr>
                <w:snapToGrid w:val="0"/>
              </w:rPr>
            </w:pPr>
            <w:r>
              <w:rPr>
                <w:snapToGrid w:val="0"/>
              </w:rPr>
              <w:br/>
            </w:r>
            <w:r>
              <w:rPr>
                <w:snapToGrid w:val="0"/>
              </w:rPr>
              <w:br/>
            </w:r>
            <w:r>
              <w:t>$160.00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r>
              <w:tab/>
            </w:r>
          </w:p>
        </w:tc>
        <w:tc>
          <w:tcPr>
            <w:tcW w:w="1560" w:type="dxa"/>
          </w:tcPr>
          <w:p>
            <w:pPr>
              <w:pStyle w:val="yTable"/>
              <w:rPr>
                <w:snapToGrid w:val="0"/>
              </w:rPr>
            </w:pPr>
            <w:r>
              <w:rPr>
                <w:snapToGrid w:val="0"/>
              </w:rPr>
              <w:br/>
            </w:r>
            <w:r>
              <w:rPr>
                <w:snapToGrid w:val="0"/>
              </w:rPr>
              <w:br/>
            </w:r>
            <w:r>
              <w:t>$160.00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r>
              <w:tab/>
            </w:r>
          </w:p>
        </w:tc>
        <w:tc>
          <w:tcPr>
            <w:tcW w:w="1560" w:type="dxa"/>
          </w:tcPr>
          <w:p>
            <w:pPr>
              <w:pStyle w:val="yTable"/>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w:t>
      </w:r>
    </w:p>
    <w:p>
      <w:pPr>
        <w:pStyle w:val="yHeading3"/>
      </w:pPr>
      <w:bookmarkStart w:id="135" w:name="_Toc219188530"/>
      <w:bookmarkStart w:id="136" w:name="_Toc220814847"/>
      <w:bookmarkStart w:id="137" w:name="_Toc220830319"/>
      <w:bookmarkStart w:id="138" w:name="_Toc221334342"/>
      <w:bookmarkStart w:id="139" w:name="_Toc230748585"/>
      <w:bookmarkStart w:id="140" w:name="_Toc233426750"/>
      <w:bookmarkStart w:id="141" w:name="_Toc265673497"/>
      <w:bookmarkStart w:id="142" w:name="_Toc297715549"/>
      <w:r>
        <w:rPr>
          <w:rStyle w:val="CharSDivNo"/>
        </w:rPr>
        <w:t>Division 3</w:t>
      </w:r>
      <w:r>
        <w:t> — </w:t>
      </w:r>
      <w:r>
        <w:rPr>
          <w:rStyle w:val="CharSDivText"/>
        </w:rPr>
        <w:t>Withdrawals</w:t>
      </w:r>
      <w:bookmarkEnd w:id="135"/>
      <w:bookmarkEnd w:id="136"/>
      <w:bookmarkEnd w:id="137"/>
      <w:bookmarkEnd w:id="138"/>
      <w:bookmarkEnd w:id="139"/>
      <w:bookmarkEnd w:id="140"/>
      <w:bookmarkEnd w:id="141"/>
      <w:bookmarkEnd w:id="142"/>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r>
              <w:tab/>
            </w:r>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r>
              <w:tab/>
            </w:r>
          </w:p>
        </w:tc>
        <w:tc>
          <w:tcPr>
            <w:tcW w:w="1560" w:type="dxa"/>
          </w:tcPr>
          <w:p>
            <w:pPr>
              <w:pStyle w:val="yTable"/>
              <w:rPr>
                <w:snapToGrid w:val="0"/>
              </w:rPr>
            </w:pPr>
            <w:r>
              <w:t>$80.00</w:t>
            </w:r>
          </w:p>
        </w:tc>
      </w:tr>
    </w:tbl>
    <w:p>
      <w:pPr>
        <w:pStyle w:val="yFootnotesection"/>
      </w:pPr>
      <w:r>
        <w:tab/>
        <w:t>[Division 3 inserted in Gazette 9 Jan 2009 p. 31-2; amended in Gazette 19 Jun 2009 p. 2239; 18 Jun 2010 p. 2680; 14 Jun 2011 p. 2134.]</w:t>
      </w:r>
    </w:p>
    <w:p>
      <w:pPr>
        <w:pStyle w:val="yHeading3"/>
      </w:pPr>
      <w:bookmarkStart w:id="143" w:name="_Toc219188531"/>
      <w:bookmarkStart w:id="144" w:name="_Toc220814848"/>
      <w:bookmarkStart w:id="145" w:name="_Toc220830320"/>
      <w:bookmarkStart w:id="146" w:name="_Toc221334343"/>
      <w:bookmarkStart w:id="147" w:name="_Toc230748586"/>
      <w:bookmarkStart w:id="148" w:name="_Toc233426751"/>
      <w:bookmarkStart w:id="149" w:name="_Toc265673498"/>
      <w:bookmarkStart w:id="150" w:name="_Toc297715550"/>
      <w:r>
        <w:rPr>
          <w:rStyle w:val="CharSDivNo"/>
        </w:rPr>
        <w:t>Division 4</w:t>
      </w:r>
      <w:r>
        <w:t> — </w:t>
      </w:r>
      <w:r>
        <w:rPr>
          <w:rStyle w:val="CharSDivText"/>
        </w:rPr>
        <w:t>Applications</w:t>
      </w:r>
      <w:bookmarkEnd w:id="143"/>
      <w:bookmarkEnd w:id="144"/>
      <w:bookmarkEnd w:id="145"/>
      <w:bookmarkEnd w:id="146"/>
      <w:bookmarkEnd w:id="147"/>
      <w:bookmarkEnd w:id="148"/>
      <w:bookmarkEnd w:id="149"/>
      <w:bookmarkEnd w:id="150"/>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r>
              <w:tab/>
            </w:r>
          </w:p>
        </w:tc>
        <w:tc>
          <w:tcPr>
            <w:tcW w:w="1560" w:type="dxa"/>
          </w:tcPr>
          <w:p>
            <w:pPr>
              <w:pStyle w:val="yTable"/>
              <w:rPr>
                <w:snapToGrid w:val="0"/>
              </w:rPr>
            </w:pPr>
            <w:r>
              <w:t>$160.00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r>
              <w:tab/>
            </w:r>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r>
              <w:tab/>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r>
              <w:tab/>
            </w:r>
          </w:p>
        </w:tc>
        <w:tc>
          <w:tcPr>
            <w:tcW w:w="1560" w:type="dxa"/>
          </w:tcPr>
          <w:p>
            <w:pPr>
              <w:pStyle w:val="yTable"/>
              <w:rPr>
                <w:snapToGrid w:val="0"/>
              </w:rPr>
            </w:pPr>
            <w:r>
              <w:t>$160.00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r>
              <w:tab/>
            </w:r>
          </w:p>
        </w:tc>
        <w:tc>
          <w:tcPr>
            <w:tcW w:w="1560" w:type="dxa"/>
          </w:tcPr>
          <w:p>
            <w:pPr>
              <w:pStyle w:val="yTable"/>
              <w:rPr>
                <w:snapToGrid w:val="0"/>
              </w:rPr>
            </w:pPr>
            <w:r>
              <w:rPr>
                <w:snapToGrid w:val="0"/>
              </w:rPr>
              <w:br/>
            </w:r>
            <w:r>
              <w:rPr>
                <w:snapToGrid w:val="0"/>
              </w:rPr>
              <w:br/>
            </w:r>
            <w:r>
              <w:t>$160.00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r>
              <w:tab/>
            </w:r>
          </w:p>
        </w:tc>
        <w:tc>
          <w:tcPr>
            <w:tcW w:w="1560" w:type="dxa"/>
          </w:tcPr>
          <w:p>
            <w:pPr>
              <w:pStyle w:val="yTable"/>
              <w:rPr>
                <w:snapToGrid w:val="0"/>
              </w:rPr>
            </w:pPr>
            <w:r>
              <w:t>$300.00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
              <w:rPr>
                <w:snapToGrid w:val="0"/>
              </w:rPr>
            </w:pPr>
            <w:r>
              <w:rPr>
                <w:snapToGrid w:val="0"/>
              </w:rPr>
              <w:br/>
            </w:r>
            <w:r>
              <w:rPr>
                <w:snapToGrid w:val="0"/>
              </w:rPr>
              <w:br/>
            </w:r>
            <w:r>
              <w:rPr>
                <w:snapToGrid w:val="0"/>
              </w:rPr>
              <w:br/>
            </w:r>
            <w:r>
              <w:t>$160.00</w:t>
            </w:r>
          </w:p>
        </w:tc>
      </w:tr>
      <w:tr>
        <w:trPr>
          <w:cantSplit/>
        </w:trPr>
        <w:tc>
          <w:tcPr>
            <w:tcW w:w="600" w:type="dxa"/>
          </w:tcPr>
          <w:p>
            <w:pPr>
              <w:pStyle w:val="yTable"/>
              <w:rPr>
                <w:snapToGrid w:val="0"/>
              </w:rPr>
            </w:pPr>
            <w:r>
              <w:rPr>
                <w:snapToGrid w:val="0"/>
              </w:rPr>
              <w:t>7A.</w:t>
            </w:r>
          </w:p>
        </w:tc>
        <w:tc>
          <w:tcPr>
            <w:tcW w:w="4920" w:type="dxa"/>
          </w:tcPr>
          <w:p>
            <w:pPr>
              <w:pStyle w:val="yTable"/>
              <w:tabs>
                <w:tab w:val="left" w:leader="dot" w:pos="4695"/>
              </w:tabs>
            </w:pPr>
            <w:r>
              <w:t>For information not to be inspected as part of the names index ................................................................</w:t>
            </w:r>
          </w:p>
        </w:tc>
        <w:tc>
          <w:tcPr>
            <w:tcW w:w="1560" w:type="dxa"/>
          </w:tcPr>
          <w:p>
            <w:pPr>
              <w:pStyle w:val="yTable"/>
              <w:rPr>
                <w:snapToGrid w:val="0"/>
              </w:rPr>
            </w:pPr>
            <w:r>
              <w:rPr>
                <w:snapToGrid w:val="0"/>
              </w:rPr>
              <w:br/>
            </w:r>
            <w:r>
              <w:t>$160.00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r>
              <w:tab/>
            </w:r>
          </w:p>
        </w:tc>
        <w:tc>
          <w:tcPr>
            <w:tcW w:w="1560" w:type="dxa"/>
          </w:tcPr>
          <w:p>
            <w:pPr>
              <w:pStyle w:val="yTable"/>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151" w:name="_Toc219188532"/>
      <w:bookmarkStart w:id="152" w:name="_Toc220814849"/>
      <w:bookmarkStart w:id="153" w:name="_Toc220830321"/>
      <w:bookmarkStart w:id="154" w:name="_Toc221334344"/>
      <w:bookmarkStart w:id="155" w:name="_Toc230748587"/>
      <w:bookmarkStart w:id="156" w:name="_Toc233426752"/>
      <w:bookmarkStart w:id="157" w:name="_Toc265673499"/>
      <w:bookmarkStart w:id="158" w:name="_Toc297715551"/>
      <w:r>
        <w:rPr>
          <w:rStyle w:val="CharSDivNo"/>
        </w:rPr>
        <w:t>Division 5</w:t>
      </w:r>
      <w:r>
        <w:t> — </w:t>
      </w:r>
      <w:r>
        <w:rPr>
          <w:rStyle w:val="CharSDivText"/>
        </w:rPr>
        <w:t>Certificates</w:t>
      </w:r>
      <w:bookmarkEnd w:id="151"/>
      <w:bookmarkEnd w:id="152"/>
      <w:bookmarkEnd w:id="153"/>
      <w:bookmarkEnd w:id="154"/>
      <w:bookmarkEnd w:id="155"/>
      <w:bookmarkEnd w:id="156"/>
      <w:bookmarkEnd w:id="157"/>
      <w:bookmarkEnd w:id="15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
              <w:rPr>
                <w:snapToGrid w:val="0"/>
              </w:rPr>
            </w:pPr>
            <w:r>
              <w:rPr>
                <w:snapToGrid w:val="0"/>
              </w:rPr>
              <w:br/>
            </w:r>
            <w:r>
              <w:rPr>
                <w:snapToGrid w:val="0"/>
              </w:rPr>
              <w:br/>
            </w:r>
            <w:r>
              <w:rPr>
                <w:snapToGrid w:val="0"/>
              </w:rPr>
              <w:br/>
            </w:r>
            <w:r>
              <w:t>$160.00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r>
              <w:tab/>
            </w:r>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r>
              <w:tab/>
            </w:r>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r>
              <w:tab/>
            </w:r>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159" w:name="_Toc219188533"/>
      <w:bookmarkStart w:id="160" w:name="_Toc220814850"/>
      <w:bookmarkStart w:id="161" w:name="_Toc220830322"/>
      <w:bookmarkStart w:id="162" w:name="_Toc221334345"/>
      <w:bookmarkStart w:id="163" w:name="_Toc230748588"/>
      <w:bookmarkStart w:id="164" w:name="_Toc233426753"/>
      <w:bookmarkStart w:id="165" w:name="_Toc265673500"/>
      <w:bookmarkStart w:id="166" w:name="_Toc297715552"/>
      <w:r>
        <w:rPr>
          <w:rStyle w:val="CharSDivNo"/>
        </w:rPr>
        <w:t>Division 6</w:t>
      </w:r>
      <w:r>
        <w:t> — </w:t>
      </w:r>
      <w:r>
        <w:rPr>
          <w:rStyle w:val="CharSDivText"/>
        </w:rPr>
        <w:t>Inspection and/or copies of documents</w:t>
      </w:r>
      <w:bookmarkEnd w:id="159"/>
      <w:bookmarkEnd w:id="160"/>
      <w:bookmarkEnd w:id="161"/>
      <w:bookmarkEnd w:id="162"/>
      <w:bookmarkEnd w:id="163"/>
      <w:bookmarkEnd w:id="164"/>
      <w:bookmarkEnd w:id="165"/>
      <w:bookmarkEnd w:id="16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r>
              <w:tab/>
            </w:r>
          </w:p>
        </w:tc>
        <w:tc>
          <w:tcPr>
            <w:tcW w:w="1560" w:type="dxa"/>
          </w:tcPr>
          <w:p>
            <w:pPr>
              <w:pStyle w:val="yTable"/>
              <w:rPr>
                <w:snapToGrid w:val="0"/>
              </w:rPr>
            </w:pPr>
            <w:r>
              <w:rPr>
                <w:snapToGrid w:val="0"/>
              </w:rPr>
              <w:br/>
            </w:r>
            <w:r>
              <w:t>$24.00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r>
              <w:tab/>
            </w:r>
          </w:p>
        </w:tc>
        <w:tc>
          <w:tcPr>
            <w:tcW w:w="1560" w:type="dxa"/>
          </w:tcPr>
          <w:p>
            <w:pPr>
              <w:pStyle w:val="yTable"/>
              <w:rPr>
                <w:snapToGrid w:val="0"/>
              </w:rPr>
            </w:pPr>
            <w:r>
              <w:rPr>
                <w:snapToGrid w:val="0"/>
              </w:rPr>
              <w:br/>
            </w:r>
            <w:r>
              <w:t>$24.00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$12.00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r>
              <w:tab/>
            </w:r>
          </w:p>
        </w:tc>
        <w:tc>
          <w:tcPr>
            <w:tcW w:w="1560" w:type="dxa"/>
          </w:tcPr>
          <w:p>
            <w:pPr>
              <w:pStyle w:val="yTable"/>
              <w:rPr>
                <w:snapToGrid w:val="0"/>
              </w:rPr>
            </w:pPr>
            <w:r>
              <w:t>$12.00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
              <w:rPr>
                <w:snapToGrid w:val="0"/>
              </w:rPr>
            </w:pPr>
            <w:r>
              <w:rPr>
                <w:snapToGrid w:val="0"/>
              </w:rPr>
              <w:br/>
            </w:r>
            <w:r>
              <w:rPr>
                <w:snapToGrid w:val="0"/>
              </w:rPr>
              <w:br/>
            </w:r>
            <w:r>
              <w:rPr>
                <w:snapToGrid w:val="0"/>
              </w:rPr>
              <w:br/>
            </w:r>
            <w:r>
              <w:rPr>
                <w:snapToGrid w:val="0"/>
              </w:rPr>
              <w:br/>
            </w:r>
            <w:r>
              <w:t>$12.00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r>
              <w:rPr>
                <w:snapToGrid w:val="0"/>
              </w:rPr>
              <w:tab/>
            </w:r>
          </w:p>
        </w:tc>
        <w:tc>
          <w:tcPr>
            <w:tcW w:w="1560" w:type="dxa"/>
          </w:tcPr>
          <w:p>
            <w:pPr>
              <w:pStyle w:val="yTable"/>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r>
              <w:tab/>
            </w:r>
          </w:p>
        </w:tc>
        <w:tc>
          <w:tcPr>
            <w:tcW w:w="1560" w:type="dxa"/>
          </w:tcPr>
          <w:p>
            <w:pPr>
              <w:pStyle w:val="yTable"/>
              <w:rPr>
                <w:snapToGrid w:val="0"/>
              </w:rPr>
            </w:pPr>
            <w:r>
              <w:t>$24.00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r>
              <w:tab/>
            </w:r>
          </w:p>
        </w:tc>
        <w:tc>
          <w:tcPr>
            <w:tcW w:w="1560" w:type="dxa"/>
          </w:tcPr>
          <w:p>
            <w:pPr>
              <w:pStyle w:val="yTable"/>
              <w:rPr>
                <w:snapToGrid w:val="0"/>
              </w:rPr>
            </w:pPr>
            <w:r>
              <w:t>$12.00</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r>
              <w:rPr>
                <w:snapToGrid w:val="0"/>
              </w:rPr>
              <w:tab/>
            </w:r>
          </w:p>
        </w:tc>
        <w:tc>
          <w:tcPr>
            <w:tcW w:w="1560" w:type="dxa"/>
          </w:tcPr>
          <w:p>
            <w:pPr>
              <w:pStyle w:val="yTable"/>
              <w:rPr>
                <w:snapToGrid w:val="0"/>
              </w:rPr>
            </w:pPr>
            <w:r>
              <w:t>$12.00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r>
              <w:rPr>
                <w:snapToGrid w:val="0"/>
              </w:rPr>
              <w:tab/>
            </w:r>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w:t>
            </w:r>
            <w:r>
              <w:t>or via email</w:t>
            </w:r>
            <w:r>
              <w:rPr>
                <w:snapToGrid w:val="0"/>
              </w:rPr>
              <w:t xml:space="preserve"> for the results of any search referred to in items 1 to 17 — for each request (in addition to the fees payable under items 1 to 17) </w:t>
            </w:r>
            <w:r>
              <w:rPr>
                <w:snapToGrid w:val="0"/>
              </w:rPr>
              <w:tab/>
            </w:r>
          </w:p>
        </w:tc>
        <w:tc>
          <w:tcPr>
            <w:tcW w:w="1560" w:type="dxa"/>
          </w:tcPr>
          <w:p>
            <w:pPr>
              <w:pStyle w:val="yTable"/>
              <w:rPr>
                <w:snapToGrid w:val="0"/>
              </w:rPr>
            </w:pPr>
            <w:r>
              <w:rPr>
                <w:snapToGrid w:val="0"/>
              </w:rPr>
              <w:br/>
            </w:r>
            <w:r>
              <w:rPr>
                <w:snapToGrid w:val="0"/>
              </w:rPr>
              <w:br/>
            </w:r>
            <w:r>
              <w:rPr>
                <w:snapToGrid w:val="0"/>
              </w:rPr>
              <w:br/>
            </w:r>
            <w:r>
              <w:t>$5.20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w:t>
            </w:r>
            <w:smartTag w:uri="urn:schemas-microsoft-com:office:smarttags" w:element="country-region">
              <w:smartTag w:uri="urn:schemas-microsoft-com:office:smarttags" w:element="place">
                <w:r>
                  <w:rPr>
                    <w:snapToGrid w:val="0"/>
                  </w:rPr>
                  <w:t>Australia</w:t>
                </w:r>
              </w:smartTag>
            </w:smartTag>
            <w:r>
              <w:rPr>
                <w:snapToGrid w:val="0"/>
              </w:rPr>
              <w:t xml:space="preserve"> and is not greater than 50 grams </w:t>
            </w:r>
            <w:r>
              <w:rPr>
                <w:snapToGrid w:val="0"/>
              </w:rPr>
              <w:tab/>
            </w:r>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w:t>
            </w:r>
            <w:smartTag w:uri="urn:schemas-microsoft-com:office:smarttags" w:element="country-region">
              <w:smartTag w:uri="urn:schemas-microsoft-com:office:smarttags" w:element="place">
                <w:r>
                  <w:rPr>
                    <w:snapToGrid w:val="0"/>
                  </w:rPr>
                  <w:t>Australia</w:t>
                </w:r>
              </w:smartTag>
            </w:smartTag>
            <w:r>
              <w:rPr>
                <w:snapToGrid w:val="0"/>
              </w:rPr>
              <w:t xml:space="preserve"> or is greater than 50 grams </w:t>
            </w:r>
            <w:r>
              <w:rPr>
                <w:snapToGrid w:val="0"/>
              </w:rPr>
              <w:tab/>
            </w:r>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r>
              <w:tab/>
            </w:r>
          </w:p>
        </w:tc>
        <w:tc>
          <w:tcPr>
            <w:tcW w:w="1560" w:type="dxa"/>
          </w:tcPr>
          <w:p>
            <w:pPr>
              <w:pStyle w:val="yTable"/>
              <w:rPr>
                <w:snapToGrid w:val="0"/>
              </w:rPr>
            </w:pPr>
            <w:r>
              <w:rPr>
                <w:snapToGrid w:val="0"/>
              </w:rPr>
              <w:br/>
            </w:r>
            <w:r>
              <w:rPr>
                <w:snapToGrid w:val="0"/>
              </w:rPr>
              <w:br/>
            </w:r>
            <w:r>
              <w:t>$12.00</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r>
              <w:tab/>
            </w:r>
          </w:p>
        </w:tc>
        <w:tc>
          <w:tcPr>
            <w:tcW w:w="1560" w:type="dxa"/>
          </w:tcPr>
          <w:p>
            <w:pPr>
              <w:pStyle w:val="yTable"/>
              <w:rPr>
                <w:snapToGrid w:val="0"/>
              </w:rPr>
            </w:pPr>
            <w:r>
              <w:rPr>
                <w:snapToGrid w:val="0"/>
              </w:rPr>
              <w:br/>
            </w:r>
            <w:r>
              <w:t>$24.00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r>
              <w:tab/>
            </w:r>
          </w:p>
        </w:tc>
        <w:tc>
          <w:tcPr>
            <w:tcW w:w="1560" w:type="dxa"/>
          </w:tcPr>
          <w:p>
            <w:pPr>
              <w:pStyle w:val="yTable"/>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w:t>
      </w:r>
    </w:p>
    <w:p>
      <w:pPr>
        <w:pStyle w:val="yHeading3"/>
      </w:pPr>
      <w:bookmarkStart w:id="167" w:name="_Toc219188534"/>
      <w:bookmarkStart w:id="168" w:name="_Toc220814851"/>
      <w:bookmarkStart w:id="169" w:name="_Toc220830323"/>
      <w:bookmarkStart w:id="170" w:name="_Toc221334346"/>
      <w:bookmarkStart w:id="171" w:name="_Toc230748589"/>
      <w:bookmarkStart w:id="172" w:name="_Toc233426754"/>
      <w:bookmarkStart w:id="173" w:name="_Toc265673501"/>
      <w:bookmarkStart w:id="174" w:name="_Toc297715553"/>
      <w:r>
        <w:rPr>
          <w:rStyle w:val="CharSDivNo"/>
        </w:rPr>
        <w:t>Division 7</w:t>
      </w:r>
      <w:r>
        <w:t> — </w:t>
      </w:r>
      <w:r>
        <w:rPr>
          <w:rStyle w:val="CharSDivText"/>
        </w:rPr>
        <w:t>Miscellaneous</w:t>
      </w:r>
      <w:bookmarkEnd w:id="167"/>
      <w:bookmarkEnd w:id="168"/>
      <w:bookmarkEnd w:id="169"/>
      <w:bookmarkEnd w:id="170"/>
      <w:bookmarkEnd w:id="171"/>
      <w:bookmarkEnd w:id="172"/>
      <w:bookmarkEnd w:id="173"/>
      <w:bookmarkEnd w:id="174"/>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r>
              <w:tab/>
            </w:r>
          </w:p>
        </w:tc>
        <w:tc>
          <w:tcPr>
            <w:tcW w:w="1560" w:type="dxa"/>
          </w:tcPr>
          <w:p>
            <w:pPr>
              <w:pStyle w:val="yTable"/>
            </w:pPr>
            <w:r>
              <w:br/>
            </w:r>
            <w:r>
              <w:br/>
              <w:t>$160.00 plus actual cost above $160.00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certificate of title or other instrument </w:t>
            </w:r>
            <w:r>
              <w:tab/>
            </w:r>
          </w:p>
        </w:tc>
        <w:tc>
          <w:tcPr>
            <w:tcW w:w="1560" w:type="dxa"/>
          </w:tcPr>
          <w:p>
            <w:pPr>
              <w:pStyle w:val="yTable"/>
            </w:pPr>
            <w:r>
              <w:br/>
              <w:t>$140.00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r>
              <w:tab/>
            </w:r>
          </w:p>
        </w:tc>
        <w:tc>
          <w:tcPr>
            <w:tcW w:w="1560" w:type="dxa"/>
          </w:tcPr>
          <w:p>
            <w:pPr>
              <w:pStyle w:val="yTable"/>
            </w:pPr>
            <w:r>
              <w:t>$140.00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r>
              <w:rPr>
                <w:spacing w:val="-4"/>
              </w:rPr>
              <w:tab/>
            </w:r>
          </w:p>
        </w:tc>
        <w:tc>
          <w:tcPr>
            <w:tcW w:w="1560" w:type="dxa"/>
          </w:tcPr>
          <w:p>
            <w:pPr>
              <w:pStyle w:val="yTable"/>
            </w:pPr>
            <w:r>
              <w:t>$140.00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r>
              <w:tab/>
            </w:r>
          </w:p>
        </w:tc>
        <w:tc>
          <w:tcPr>
            <w:tcW w:w="1560" w:type="dxa"/>
          </w:tcPr>
          <w:p>
            <w:pPr>
              <w:pStyle w:val="yTable"/>
            </w:pPr>
            <w:r>
              <w:t>$100.00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
            </w:pPr>
            <w:r>
              <w:br/>
            </w:r>
            <w:r>
              <w:br/>
            </w:r>
            <w:r>
              <w:br/>
              <w:t>$52.00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r>
              <w:tab/>
            </w:r>
          </w:p>
        </w:tc>
        <w:tc>
          <w:tcPr>
            <w:tcW w:w="1560" w:type="dxa"/>
          </w:tcPr>
          <w:p>
            <w:pPr>
              <w:pStyle w:val="yTable"/>
            </w:pPr>
            <w:r>
              <w:t>$80.00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on which requisitions have been raised </w:t>
            </w:r>
            <w:r>
              <w:tab/>
            </w:r>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r>
              <w:tab/>
            </w:r>
          </w:p>
        </w:tc>
        <w:tc>
          <w:tcPr>
            <w:tcW w:w="1560" w:type="dxa"/>
          </w:tcPr>
          <w:p>
            <w:pPr>
              <w:pStyle w:val="yTable"/>
              <w:rPr>
                <w:snapToGrid w:val="0"/>
              </w:rPr>
            </w:pPr>
            <w:r>
              <w:rPr>
                <w:snapToGrid w:val="0"/>
              </w:rPr>
              <w:br/>
            </w:r>
            <w:r>
              <w:t>$140.00</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rPr>
                <w:snapToGrid w:val="0"/>
              </w:rPr>
            </w:pP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deposited plan </w:t>
            </w:r>
            <w:r>
              <w:tab/>
            </w:r>
          </w:p>
        </w:tc>
        <w:tc>
          <w:tcPr>
            <w:tcW w:w="1560" w:type="dxa"/>
          </w:tcPr>
          <w:p>
            <w:pPr>
              <w:pStyle w:val="yTable"/>
              <w:rPr>
                <w:snapToGrid w:val="0"/>
              </w:rPr>
            </w:pPr>
            <w:r>
              <w:t>$191.00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r>
              <w:tab/>
            </w:r>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r>
              <w:tab/>
            </w:r>
          </w:p>
        </w:tc>
        <w:tc>
          <w:tcPr>
            <w:tcW w:w="1560" w:type="dxa"/>
          </w:tcPr>
          <w:p>
            <w:pPr>
              <w:pStyle w:val="yTable"/>
            </w:pPr>
            <w:r>
              <w:br/>
              <w:t>actual cost</w:t>
            </w:r>
          </w:p>
        </w:tc>
      </w:tr>
      <w:tr>
        <w:trPr>
          <w:cantSplit/>
        </w:trPr>
        <w:tc>
          <w:tcPr>
            <w:tcW w:w="600" w:type="dxa"/>
          </w:tcPr>
          <w:p>
            <w:pPr>
              <w:pStyle w:val="yTable"/>
              <w:rPr>
                <w:snapToGrid w:val="0"/>
              </w:rPr>
            </w:pPr>
          </w:p>
        </w:tc>
        <w:tc>
          <w:tcPr>
            <w:tcW w:w="4920" w:type="dxa"/>
          </w:tcPr>
          <w:p>
            <w:pPr>
              <w:pStyle w:val="yTable"/>
              <w:tabs>
                <w:tab w:val="left" w:leader="dot" w:pos="4695"/>
              </w:tabs>
            </w:pPr>
          </w:p>
        </w:tc>
        <w:tc>
          <w:tcPr>
            <w:tcW w:w="1560" w:type="dxa"/>
          </w:tcPr>
          <w:p>
            <w:pPr>
              <w:pStyle w:val="yTable"/>
            </w:pPr>
          </w:p>
        </w:tc>
      </w:tr>
      <w:tr>
        <w:trPr>
          <w:cantSplit/>
        </w:trPr>
        <w:tc>
          <w:tcPr>
            <w:tcW w:w="5520" w:type="dxa"/>
            <w:gridSpan w:val="2"/>
          </w:tcPr>
          <w:p>
            <w:pPr>
              <w:pStyle w:val="yEdnotepara"/>
              <w:tabs>
                <w:tab w:val="clear" w:pos="1325"/>
                <w:tab w:val="clear" w:pos="1613"/>
                <w:tab w:val="right" w:pos="1332"/>
              </w:tabs>
              <w:ind w:left="1692" w:hanging="1680"/>
            </w:pPr>
            <w:r>
              <w:t>[</w:t>
            </w:r>
            <w:r>
              <w:rPr>
                <w:b/>
                <w:bCs/>
              </w:rPr>
              <w:t>12.</w:t>
            </w:r>
            <w:r>
              <w:tab/>
              <w:t>deleted]</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r>
              <w:tab/>
            </w:r>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r>
              <w:tab/>
            </w:r>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r>
              <w:tab/>
            </w:r>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r>
              <w:tab/>
            </w:r>
          </w:p>
        </w:tc>
        <w:tc>
          <w:tcPr>
            <w:tcW w:w="1560" w:type="dxa"/>
          </w:tcPr>
          <w:p>
            <w:pPr>
              <w:pStyle w:val="yTable"/>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w:t>
      </w:r>
    </w:p>
    <w:p>
      <w:pPr>
        <w:pStyle w:val="yScheduleHeading"/>
      </w:pPr>
      <w:bookmarkStart w:id="175" w:name="_Toc219188535"/>
      <w:bookmarkStart w:id="176" w:name="_Toc220814852"/>
      <w:bookmarkStart w:id="177" w:name="_Toc220830324"/>
      <w:bookmarkStart w:id="178" w:name="_Toc221334347"/>
      <w:bookmarkStart w:id="179" w:name="_Toc230748590"/>
      <w:bookmarkStart w:id="180" w:name="_Toc233426755"/>
      <w:bookmarkStart w:id="181" w:name="_Toc265673502"/>
      <w:bookmarkStart w:id="182" w:name="_Toc297715554"/>
      <w:r>
        <w:rPr>
          <w:rStyle w:val="CharSchNo"/>
        </w:rPr>
        <w:t>Schedule 2</w:t>
      </w:r>
      <w:r>
        <w:rPr>
          <w:rStyle w:val="CharSDivNo"/>
        </w:rPr>
        <w:t> </w:t>
      </w:r>
      <w:r>
        <w:t>—</w:t>
      </w:r>
      <w:r>
        <w:rPr>
          <w:rStyle w:val="CharSDivText"/>
        </w:rPr>
        <w:t> </w:t>
      </w:r>
      <w:r>
        <w:rPr>
          <w:rStyle w:val="CharSchText"/>
        </w:rPr>
        <w:t xml:space="preserve">Services and matters for which fees </w:t>
      </w:r>
      <w:bookmarkEnd w:id="106"/>
      <w:r>
        <w:rPr>
          <w:rStyle w:val="CharSchText"/>
        </w:rPr>
        <w:t>cannot be charged</w:t>
      </w:r>
      <w:bookmarkEnd w:id="107"/>
      <w:bookmarkEnd w:id="108"/>
      <w:bookmarkEnd w:id="109"/>
      <w:bookmarkEnd w:id="110"/>
      <w:bookmarkEnd w:id="111"/>
      <w:bookmarkEnd w:id="112"/>
      <w:bookmarkEnd w:id="113"/>
      <w:bookmarkEnd w:id="114"/>
      <w:bookmarkEnd w:id="115"/>
      <w:bookmarkEnd w:id="116"/>
      <w:bookmarkEnd w:id="117"/>
      <w:bookmarkEnd w:id="118"/>
      <w:bookmarkEnd w:id="175"/>
      <w:bookmarkEnd w:id="176"/>
      <w:bookmarkEnd w:id="177"/>
      <w:bookmarkEnd w:id="178"/>
      <w:bookmarkEnd w:id="179"/>
      <w:bookmarkEnd w:id="180"/>
      <w:bookmarkEnd w:id="181"/>
      <w:bookmarkEnd w:id="182"/>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183" w:name="_Toc109199289"/>
      <w:bookmarkStart w:id="184" w:name="_Toc140296825"/>
      <w:bookmarkStart w:id="185" w:name="_Toc140301910"/>
      <w:bookmarkStart w:id="186" w:name="_Toc82227958"/>
      <w:bookmarkStart w:id="187" w:name="_Toc82228022"/>
      <w:r>
        <w:tab/>
        <w:t>[Schedule 2 amended in Gazette 25 Jun 2007 p. 2978; 20 Jun 2008 p. 2717.]</w:t>
      </w:r>
    </w:p>
    <w:p>
      <w:pPr>
        <w:pStyle w:val="yEdnoteschedule"/>
        <w:sectPr>
          <w:headerReference w:type="even" r:id="rId26"/>
          <w:headerReference w:type="default" r:id="rId27"/>
          <w:headerReference w:type="first" r:id="rId28"/>
          <w:endnotePr>
            <w:numFmt w:val="decimal"/>
          </w:endnotePr>
          <w:pgSz w:w="11906" w:h="16838" w:code="9"/>
          <w:pgMar w:top="2381" w:right="2409" w:bottom="3543" w:left="2409" w:header="720" w:footer="3380" w:gutter="0"/>
          <w:cols w:space="720"/>
          <w:noEndnote/>
          <w:docGrid w:linePitch="326"/>
        </w:sectPr>
      </w:pPr>
      <w:r>
        <w:t>[Schedule 3 deleted in Gazette 19 Jun 2009 p. 2241.]</w:t>
      </w:r>
    </w:p>
    <w:p>
      <w:pPr>
        <w:pStyle w:val="nHeading2"/>
      </w:pPr>
      <w:bookmarkStart w:id="188" w:name="_Toc82229010"/>
      <w:bookmarkStart w:id="189" w:name="_Toc82229152"/>
      <w:bookmarkStart w:id="190" w:name="_Toc82246577"/>
      <w:bookmarkStart w:id="191" w:name="_Toc104953264"/>
      <w:bookmarkStart w:id="192" w:name="_Toc108231116"/>
      <w:bookmarkStart w:id="193" w:name="_Toc109123494"/>
      <w:bookmarkStart w:id="194" w:name="_Toc109198544"/>
      <w:bookmarkStart w:id="195" w:name="_Toc109199295"/>
      <w:bookmarkStart w:id="196" w:name="_Toc140296834"/>
      <w:bookmarkStart w:id="197" w:name="_Toc140301916"/>
      <w:bookmarkStart w:id="198" w:name="_Toc144701867"/>
      <w:bookmarkStart w:id="199" w:name="_Toc144702243"/>
      <w:bookmarkStart w:id="200" w:name="_Toc149964670"/>
      <w:bookmarkStart w:id="201" w:name="_Toc150077729"/>
      <w:bookmarkStart w:id="202" w:name="_Toc152068360"/>
      <w:bookmarkStart w:id="203" w:name="_Toc155170049"/>
      <w:bookmarkStart w:id="204" w:name="_Toc155170144"/>
      <w:bookmarkStart w:id="205" w:name="_Toc170811866"/>
      <w:bookmarkStart w:id="206" w:name="_Toc171154255"/>
      <w:bookmarkStart w:id="207" w:name="_Toc219188542"/>
      <w:bookmarkStart w:id="208" w:name="_Toc220814859"/>
      <w:bookmarkStart w:id="209" w:name="_Toc220830331"/>
      <w:bookmarkStart w:id="210" w:name="_Toc221334354"/>
      <w:bookmarkStart w:id="211" w:name="_Toc230748597"/>
      <w:bookmarkStart w:id="212" w:name="_Toc233426756"/>
      <w:bookmarkStart w:id="213" w:name="_Toc265673503"/>
      <w:bookmarkStart w:id="214" w:name="_Toc297715555"/>
      <w:bookmarkEnd w:id="183"/>
      <w:bookmarkEnd w:id="184"/>
      <w:bookmarkEnd w:id="185"/>
      <w:r>
        <w:t>Notes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5" w:name="_Toc297715556"/>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c>
          <w:tcPr>
            <w:tcW w:w="3118" w:type="dxa"/>
            <w:tcBorders>
              <w:bottom w:val="single" w:sz="4" w:space="0" w:color="auto"/>
            </w:tcBorders>
          </w:tcPr>
          <w:p>
            <w:pPr>
              <w:pStyle w:val="nTable"/>
              <w:keepLines/>
              <w:spacing w:after="40"/>
              <w:rPr>
                <w:i/>
                <w:sz w:val="19"/>
              </w:rPr>
            </w:pPr>
            <w:r>
              <w:rPr>
                <w:i/>
                <w:sz w:val="19"/>
              </w:rPr>
              <w:t>Transfer of Land Amendment Regulations 2011</w:t>
            </w:r>
          </w:p>
        </w:tc>
        <w:tc>
          <w:tcPr>
            <w:tcW w:w="1276" w:type="dxa"/>
            <w:tcBorders>
              <w:bottom w:val="single" w:sz="4" w:space="0" w:color="auto"/>
            </w:tcBorders>
          </w:tcPr>
          <w:p>
            <w:pPr>
              <w:pStyle w:val="nTable"/>
              <w:keepLines/>
              <w:spacing w:after="40"/>
              <w:rPr>
                <w:sz w:val="19"/>
              </w:rPr>
            </w:pPr>
            <w:r>
              <w:rPr>
                <w:sz w:val="19"/>
              </w:rPr>
              <w:t>14 Jun 2011 p. 2133</w:t>
            </w:r>
            <w:r>
              <w:rPr>
                <w:sz w:val="19"/>
              </w:rPr>
              <w:noBreakHyphen/>
              <w:t>6</w:t>
            </w:r>
          </w:p>
        </w:tc>
        <w:tc>
          <w:tcPr>
            <w:tcW w:w="2693" w:type="dxa"/>
            <w:tcBorders>
              <w:bottom w:val="single" w:sz="4" w:space="0" w:color="auto"/>
            </w:tcBorders>
          </w:tcPr>
          <w:p>
            <w:pPr>
              <w:pStyle w:val="nTable"/>
              <w:keepLines/>
              <w:spacing w:after="40"/>
              <w:rPr>
                <w:snapToGrid w:val="0"/>
                <w:spacing w:val="-2"/>
                <w:sz w:val="19"/>
                <w:lang w:val="en-US"/>
              </w:rPr>
            </w:pPr>
            <w:r>
              <w:rPr>
                <w:snapToGrid w:val="0"/>
                <w:spacing w:val="-2"/>
                <w:sz w:val="19"/>
                <w:lang w:val="en-US"/>
              </w:rPr>
              <w:t>r. 1 and 2: 14 Jun 2011 (see r. 2(a));</w:t>
            </w:r>
            <w:r>
              <w:rPr>
                <w:snapToGrid w:val="0"/>
                <w:spacing w:val="-2"/>
                <w:sz w:val="19"/>
                <w:lang w:val="en-US"/>
              </w:rPr>
              <w:br/>
              <w:t>Regulations other than r. 1 and 2: 1 Jul 2011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w:t>
      </w:r>
      <w:smartTag w:uri="urn:schemas-microsoft-com:office:smarttags" w:element="Street">
        <w:smartTag w:uri="urn:schemas-microsoft-com:office:smarttags" w:element="address">
          <w:r>
            <w:t>Local Court</w:t>
          </w:r>
        </w:smartTag>
      </w:smartTag>
      <w:r>
        <w:t xml:space="preserve">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w:t>
      </w:r>
    </w:p>
    <w:p/>
    <w:p>
      <w:pPr>
        <w:sectPr>
          <w:headerReference w:type="even" r:id="rId29"/>
          <w:headerReference w:type="default" r:id="rId30"/>
          <w:headerReference w:type="first" r:id="rId31"/>
          <w:endnotePr>
            <w:numFmt w:val="decimal"/>
          </w:endnotePr>
          <w:pgSz w:w="11906" w:h="16838" w:code="9"/>
          <w:pgMar w:top="2381" w:right="2409" w:bottom="3543" w:left="2409" w:header="720" w:footer="3380" w:gutter="0"/>
          <w:cols w:space="720"/>
          <w:noEndnote/>
          <w:docGrid w:linePitch="326"/>
        </w:sectPr>
      </w:pPr>
    </w:p>
    <w:p>
      <w:pPr>
        <w:pStyle w:val="nHeading2"/>
        <w:rPr>
          <w:sz w:val="28"/>
        </w:rPr>
      </w:pPr>
      <w:bookmarkStart w:id="216" w:name="_Toc220830333"/>
      <w:bookmarkStart w:id="217" w:name="_Toc221334356"/>
      <w:bookmarkStart w:id="218" w:name="_Toc230748599"/>
      <w:bookmarkStart w:id="219" w:name="_Toc233426758"/>
      <w:bookmarkStart w:id="220" w:name="_Toc265673505"/>
      <w:bookmarkStart w:id="221" w:name="_Toc297715557"/>
      <w:r>
        <w:rPr>
          <w:sz w:val="28"/>
        </w:rPr>
        <w:t>Defined Terms</w:t>
      </w:r>
      <w:bookmarkEnd w:id="216"/>
      <w:bookmarkEnd w:id="217"/>
      <w:bookmarkEnd w:id="218"/>
      <w:bookmarkEnd w:id="219"/>
      <w:bookmarkEnd w:id="220"/>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2" w:name="DefinedTerms"/>
      <w:bookmarkEnd w:id="222"/>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Pr>
        <w:pStyle w:val="DefinedTerms"/>
      </w:pPr>
    </w:p>
    <w:p>
      <w:pPr>
        <w:sectPr>
          <w:headerReference w:type="even" r:id="rId32"/>
          <w:headerReference w:type="default" r:id="rId33"/>
          <w:headerReference w:type="first" r:id="rId34"/>
          <w:endnotePr>
            <w:numFmt w:val="decimal"/>
          </w:endnotePr>
          <w:pgSz w:w="11906" w:h="16838" w:code="9"/>
          <w:pgMar w:top="2381" w:right="2409" w:bottom="3543" w:left="2409"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8</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fldSimple w:instr=" styleref CharPartText ">
            <w:r>
              <w:rPr>
                <w:noProof/>
              </w:rPr>
              <w:t>Fees and forms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9A</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5988</Words>
  <Characters>27789</Characters>
  <Application>Microsoft Office Word</Application>
  <DocSecurity>0</DocSecurity>
  <Lines>1208</Lines>
  <Paragraphs>703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Transfer of Land Regulations 2004</vt:lpstr>
      <vt:lpstr>    Part 1 — Preliminary</vt:lpstr>
      <vt:lpstr>    Part 2 — General</vt:lpstr>
      <vt:lpstr>    Part 3 — Fees and forms</vt:lpstr>
      <vt:lpstr>    Part 4 — Inspection of Register</vt:lpstr>
      <vt:lpstr>        Division 1 — Times for inspection of Register and related documents</vt:lpstr>
      <vt:lpstr>        Division 2 — Names index</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Notes</vt:lpstr>
      <vt:lpstr>    Defined Terms</vt:lpstr>
    </vt:vector>
  </TitlesOfParts>
  <Manager/>
  <Company/>
  <LinksUpToDate>false</LinksUpToDate>
  <CharactersWithSpaces>33074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2004 - 02-e0-01</dc:title>
  <dc:subject/>
  <dc:creator/>
  <cp:keywords/>
  <dc:description/>
  <cp:lastModifiedBy>svcMRProcess</cp:lastModifiedBy>
  <cp:revision>4</cp:revision>
  <cp:lastPrinted>2009-02-20T01:31:00Z</cp:lastPrinted>
  <dcterms:created xsi:type="dcterms:W3CDTF">2019-05-11T09:28:00Z</dcterms:created>
  <dcterms:modified xsi:type="dcterms:W3CDTF">2019-05-11T09:28:00Z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20110701</vt:lpwstr>
  </property>
  <property fmtid="{D5CDD505-2E9C-101B-9397-08002B2CF9AE}" pid="4" name="OwlsUID">
    <vt:i4>34034</vt:i4>
  </property>
  <property fmtid="{D5CDD505-2E9C-101B-9397-08002B2CF9AE}" pid="5" name="ReprintNo">
    <vt:lpwstr>2</vt:lpwstr>
  </property>
  <property fmtid="{D5CDD505-2E9C-101B-9397-08002B2CF9AE}" pid="6" name="AsAtDate">
    <vt:lpwstr>01 Jul 2011</vt:lpwstr>
  </property>
  <property fmtid="{D5CDD505-2E9C-101B-9397-08002B2CF9AE}" pid="7" name="Suffix">
    <vt:lpwstr>02-e0-01</vt:lpwstr>
  </property>
  <property fmtid="{D5CDD505-2E9C-101B-9397-08002B2CF9AE}" pid="8" name="DocumentType">
    <vt:lpwstr>Reg</vt:lpwstr>
  </property>
</Properties>
</file>