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_Toc128382367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_Toc128382368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_Toc128382369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_Toc128382370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_Toc128382371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Supplementary Agreement ratified and implementation authorised</w:t>
      </w:r>
      <w:r>
        <w:tab/>
      </w:r>
      <w:r>
        <w:fldChar w:fldCharType="begin"/>
      </w:r>
      <w:r>
        <w:instrText xml:space="preserve"> PAGEREF _Toc128382372 \h </w:instrText>
      </w:r>
      <w:r>
        <w:fldChar w:fldCharType="separate"/>
      </w:r>
      <w:r>
        <w:t>3</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_Toc128382373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_Toc128382374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_Toc128382375 \h </w:instrText>
      </w:r>
      <w:r>
        <w:fldChar w:fldCharType="separate"/>
      </w:r>
      <w:r>
        <w:t>4</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_Toc128382376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_Toc128382377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_Toc128382378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_Toc128382379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_Toc128382380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_Toc128382381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Entrenchment of clause 17A of, and Schedule B to, Agreement</w:t>
      </w:r>
      <w:r>
        <w:tab/>
      </w:r>
      <w:r>
        <w:fldChar w:fldCharType="begin"/>
      </w:r>
      <w:r>
        <w:instrText xml:space="preserve"> PAGEREF _Toc128382382 \h </w:instrText>
      </w:r>
      <w:r>
        <w:fldChar w:fldCharType="separate"/>
      </w:r>
      <w:r>
        <w:t>8</w:t>
      </w:r>
      <w:r>
        <w:fldChar w:fldCharType="end"/>
      </w:r>
    </w:p>
    <w:p>
      <w:pPr>
        <w:pStyle w:val="TOC8"/>
        <w:rPr>
          <w:rFonts w:asciiTheme="minorHAnsi" w:eastAsiaTheme="minorEastAsia" w:hAnsiTheme="minorHAnsi" w:cstheme="minorBidi"/>
          <w:szCs w:val="22"/>
        </w:rPr>
      </w:pPr>
      <w:r>
        <w:t>11.</w:t>
      </w:r>
      <w:r>
        <w:tab/>
        <w:t>Terms used in sections 12 to 17</w:t>
      </w:r>
      <w:r>
        <w:tab/>
      </w:r>
      <w:r>
        <w:fldChar w:fldCharType="begin"/>
      </w:r>
      <w:r>
        <w:instrText xml:space="preserve"> PAGEREF _Toc128382383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Certain shareholdings to be notified to the Commission</w:t>
      </w:r>
      <w:r>
        <w:tab/>
      </w:r>
      <w:r>
        <w:fldChar w:fldCharType="begin"/>
      </w:r>
      <w:r>
        <w:instrText xml:space="preserve"> PAGEREF _Toc128382384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_Toc128382385 \h </w:instrText>
      </w:r>
      <w:r>
        <w:fldChar w:fldCharType="separate"/>
      </w:r>
      <w:r>
        <w:t>9</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_Toc128382386 \h </w:instrText>
      </w:r>
      <w:r>
        <w:fldChar w:fldCharType="separate"/>
      </w:r>
      <w:r>
        <w:t>10</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_Toc128382387 \h </w:instrText>
      </w:r>
      <w:r>
        <w:fldChar w:fldCharType="separate"/>
      </w:r>
      <w:r>
        <w:t>11</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_Toc128382388 \h </w:instrText>
      </w:r>
      <w:r>
        <w:fldChar w:fldCharType="separate"/>
      </w:r>
      <w:r>
        <w:t>12</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_Toc128382389 \h </w:instrText>
      </w:r>
      <w:r>
        <w:fldChar w:fldCharType="separate"/>
      </w:r>
      <w:r>
        <w:t>12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Casino (Burswood Island) Agreement</w:t>
      </w:r>
    </w:p>
    <w:p>
      <w:pPr>
        <w:pStyle w:val="TOC2"/>
        <w:keepNext w:val="0"/>
        <w:tabs>
          <w:tab w:val="right" w:leader="dot" w:pos="7077"/>
        </w:tabs>
        <w:rPr>
          <w:rFonts w:asciiTheme="minorHAnsi" w:eastAsiaTheme="minorEastAsia" w:hAnsiTheme="minorHAnsi" w:cstheme="minorBidi"/>
          <w:b w:val="0"/>
          <w:sz w:val="22"/>
          <w:szCs w:val="22"/>
        </w:rPr>
      </w:pPr>
      <w:r>
        <w:t>Schedule 2 —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Seventh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5 — Third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6 — Fourth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7 — Fifth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8 — Sixth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9 — Eighth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10 — Ninth Supplementary Agreement</w:t>
      </w:r>
    </w:p>
    <w:p>
      <w:pPr>
        <w:pStyle w:val="TOC2"/>
        <w:tabs>
          <w:tab w:val="right" w:leader="dot" w:pos="7077"/>
        </w:tabs>
        <w:rPr>
          <w:rFonts w:asciiTheme="minorHAnsi" w:eastAsiaTheme="minorEastAsia" w:hAnsiTheme="minorHAnsi" w:cstheme="minorBidi"/>
          <w:b w:val="0"/>
          <w:sz w:val="22"/>
          <w:szCs w:val="22"/>
        </w:rPr>
      </w:pPr>
      <w:r>
        <w:lastRenderedPageBreak/>
        <w:t>Schedule 11 — Tenth Supplementary Agreement</w:t>
      </w:r>
    </w:p>
    <w:p>
      <w:pPr>
        <w:pStyle w:val="TOC2"/>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_Toc128382404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3" w:name="_Toc12838236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4" w:name="_Toc12838236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5" w:name="_Toc128382369"/>
      <w:r>
        <w:rPr>
          <w:rStyle w:val="CharSectno"/>
        </w:rPr>
        <w:lastRenderedPageBreak/>
        <w:t>3</w:t>
      </w:r>
      <w:r>
        <w:rPr>
          <w:snapToGrid w:val="0"/>
        </w:rPr>
        <w:t>.</w:t>
      </w:r>
      <w:r>
        <w:rPr>
          <w:snapToGrid w:val="0"/>
        </w:rPr>
        <w:tab/>
        <w:t>Terms used in this Act</w:t>
      </w:r>
      <w:bookmarkEnd w:id="5"/>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Defstart"/>
      </w:pPr>
      <w:r>
        <w:rPr>
          <w:i/>
        </w:rPr>
        <w:tab/>
      </w:r>
      <w:r>
        <w:rPr>
          <w:rStyle w:val="CharDefText"/>
        </w:rPr>
        <w:t>the Twelfth Supplementary Agreement</w:t>
      </w:r>
      <w:r>
        <w:t xml:space="preserve"> means the Twelfth Supplementary Agreement, a copy of which is set out in Schedule 13.</w:t>
      </w:r>
    </w:p>
    <w:p>
      <w:pPr>
        <w:pStyle w:val="Footnotesection"/>
      </w:pPr>
      <w:r>
        <w:lastRenderedPageBreak/>
        <w:tab/>
        <w:t>[Section 3 amended by No. 44 of 1987 s. 4; No. 15 of 1990 s. 4; No. 14 of 1996 s. 4; No. 20 of 1997 s. 4; No. 51 of 2003 s. 4; No. 17 of 2008 s. 4; No. 25 of 2011 s. 4.]</w:t>
      </w:r>
    </w:p>
    <w:p>
      <w:pPr>
        <w:pStyle w:val="Heading5"/>
        <w:rPr>
          <w:snapToGrid w:val="0"/>
        </w:rPr>
      </w:pPr>
      <w:bookmarkStart w:id="6" w:name="_Toc128382370"/>
      <w:r>
        <w:rPr>
          <w:rStyle w:val="CharSectno"/>
        </w:rPr>
        <w:t>3A</w:t>
      </w:r>
      <w:r>
        <w:rPr>
          <w:snapToGrid w:val="0"/>
        </w:rPr>
        <w:t xml:space="preserve">. </w:t>
      </w:r>
      <w:r>
        <w:rPr>
          <w:snapToGrid w:val="0"/>
        </w:rPr>
        <w:tab/>
        <w:t>Certain agreements altering Agreement capable of being scheduled to Act by order</w:t>
      </w:r>
      <w:bookmarkEnd w:id="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7" w:name="_Toc128382371"/>
      <w:r>
        <w:rPr>
          <w:rStyle w:val="CharSectno"/>
        </w:rPr>
        <w:t>4</w:t>
      </w:r>
      <w:r>
        <w:rPr>
          <w:snapToGrid w:val="0"/>
        </w:rPr>
        <w:t>.</w:t>
      </w:r>
      <w:r>
        <w:rPr>
          <w:snapToGrid w:val="0"/>
        </w:rPr>
        <w:tab/>
        <w:t>Agreement ratified and implementation authorised</w:t>
      </w:r>
      <w:bookmarkEnd w:id="7"/>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8" w:name="_Toc128382372"/>
      <w:r>
        <w:rPr>
          <w:rStyle w:val="CharSectno"/>
        </w:rPr>
        <w:t>4A</w:t>
      </w:r>
      <w:r>
        <w:rPr>
          <w:snapToGrid w:val="0"/>
        </w:rPr>
        <w:t xml:space="preserve">. </w:t>
      </w:r>
      <w:r>
        <w:rPr>
          <w:snapToGrid w:val="0"/>
        </w:rPr>
        <w:tab/>
        <w:t>Supplementary Agreement ratified and implementation authorised</w:t>
      </w:r>
      <w:bookmarkEnd w:id="8"/>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9" w:name="_Toc128382373"/>
      <w:r>
        <w:rPr>
          <w:rStyle w:val="CharSectno"/>
        </w:rPr>
        <w:lastRenderedPageBreak/>
        <w:t>4B</w:t>
      </w:r>
      <w:r>
        <w:rPr>
          <w:snapToGrid w:val="0"/>
        </w:rPr>
        <w:t xml:space="preserve">. </w:t>
      </w:r>
      <w:r>
        <w:rPr>
          <w:snapToGrid w:val="0"/>
        </w:rPr>
        <w:tab/>
        <w:t>Second Supplementary Agreement ratified and implementation authorised</w:t>
      </w:r>
      <w:bookmarkEnd w:id="9"/>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10" w:name="_Toc128382374"/>
      <w:r>
        <w:rPr>
          <w:rStyle w:val="CharSectno"/>
        </w:rPr>
        <w:t>4C</w:t>
      </w:r>
      <w:r>
        <w:rPr>
          <w:snapToGrid w:val="0"/>
        </w:rPr>
        <w:t xml:space="preserve">. </w:t>
      </w:r>
      <w:r>
        <w:rPr>
          <w:snapToGrid w:val="0"/>
        </w:rPr>
        <w:tab/>
        <w:t>Seventh Supplementary Agreement ratified and implementation authorised</w:t>
      </w:r>
      <w:bookmarkEnd w:id="1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11" w:name="_Toc128382375"/>
      <w:r>
        <w:rPr>
          <w:rStyle w:val="CharSectno"/>
        </w:rPr>
        <w:t>4D</w:t>
      </w:r>
      <w:r>
        <w:t>.</w:t>
      </w:r>
      <w:r>
        <w:tab/>
        <w:t>Eighth Supplementary Agreement ratified and implementation authorised</w:t>
      </w:r>
      <w:bookmarkEnd w:id="1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2" w:name="_Toc128382376"/>
      <w:r>
        <w:rPr>
          <w:rStyle w:val="CharSectno"/>
        </w:rPr>
        <w:lastRenderedPageBreak/>
        <w:t>4E</w:t>
      </w:r>
      <w:r>
        <w:t>.</w:t>
      </w:r>
      <w:r>
        <w:tab/>
        <w:t>Eleventh Supplementary Agreement ratified and implementation authorised</w:t>
      </w:r>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pPr>
      <w:bookmarkStart w:id="13" w:name="_Toc128382377"/>
      <w:r>
        <w:rPr>
          <w:rStyle w:val="CharSectno"/>
        </w:rPr>
        <w:t>4F</w:t>
      </w:r>
      <w:r>
        <w:t>.</w:t>
      </w:r>
      <w:r>
        <w:tab/>
        <w:t>Twelfth Supplementary Agreement ratified and implementation authorised</w:t>
      </w:r>
      <w:bookmarkEnd w:id="1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by No. 25 of 2011 s. 5.]</w:t>
      </w:r>
    </w:p>
    <w:p>
      <w:pPr>
        <w:pStyle w:val="Heading5"/>
        <w:rPr>
          <w:snapToGrid w:val="0"/>
        </w:rPr>
      </w:pPr>
      <w:bookmarkStart w:id="14" w:name="_Toc128382378"/>
      <w:r>
        <w:rPr>
          <w:rStyle w:val="CharSectno"/>
        </w:rPr>
        <w:t>5</w:t>
      </w:r>
      <w:r>
        <w:rPr>
          <w:snapToGrid w:val="0"/>
        </w:rPr>
        <w:t>.</w:t>
      </w:r>
      <w:r>
        <w:rPr>
          <w:snapToGrid w:val="0"/>
        </w:rPr>
        <w:tab/>
        <w:t>Reserves Nos. 23251 and 19631 at Burswood Island cancelled</w:t>
      </w:r>
      <w:bookmarkEnd w:id="1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5" w:name="_Toc128382379"/>
      <w:r>
        <w:rPr>
          <w:rStyle w:val="CharSectno"/>
        </w:rPr>
        <w:lastRenderedPageBreak/>
        <w:t>6</w:t>
      </w:r>
      <w:r>
        <w:rPr>
          <w:snapToGrid w:val="0"/>
        </w:rPr>
        <w:t>.</w:t>
      </w:r>
      <w:r>
        <w:rPr>
          <w:snapToGrid w:val="0"/>
        </w:rPr>
        <w:tab/>
        <w:t>Reserve No. 27743 near Burswood Island amended</w:t>
      </w:r>
      <w:bookmarkEnd w:id="15"/>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6" w:name="_Toc128382380"/>
      <w:r>
        <w:rPr>
          <w:rStyle w:val="CharSectno"/>
        </w:rPr>
        <w:t>7</w:t>
      </w:r>
      <w:r>
        <w:rPr>
          <w:snapToGrid w:val="0"/>
        </w:rPr>
        <w:t>.</w:t>
      </w:r>
      <w:r>
        <w:rPr>
          <w:snapToGrid w:val="0"/>
        </w:rPr>
        <w:tab/>
        <w:t>Certain planning laws modified</w:t>
      </w:r>
      <w:bookmarkEnd w:id="16"/>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lastRenderedPageBreak/>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17" w:name="_Toc128382381"/>
      <w:r>
        <w:rPr>
          <w:rStyle w:val="CharSectno"/>
        </w:rPr>
        <w:t>8</w:t>
      </w:r>
      <w:r>
        <w:rPr>
          <w:snapToGrid w:val="0"/>
        </w:rPr>
        <w:t>.</w:t>
      </w:r>
      <w:r>
        <w:rPr>
          <w:snapToGrid w:val="0"/>
        </w:rPr>
        <w:tab/>
        <w:t>Survey, dedication, management etc. of certain streets</w:t>
      </w:r>
      <w:bookmarkEnd w:id="17"/>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lastRenderedPageBreak/>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8" w:name="_Toc128382382"/>
      <w:r>
        <w:rPr>
          <w:rStyle w:val="CharSectno"/>
        </w:rPr>
        <w:t>10</w:t>
      </w:r>
      <w:r>
        <w:rPr>
          <w:snapToGrid w:val="0"/>
        </w:rPr>
        <w:t>.</w:t>
      </w:r>
      <w:r>
        <w:rPr>
          <w:snapToGrid w:val="0"/>
        </w:rPr>
        <w:tab/>
        <w:t>Entrenchment of clause 17A of, and Schedule B to, Agreement</w:t>
      </w:r>
      <w:bookmarkEnd w:id="18"/>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lastRenderedPageBreak/>
        <w:tab/>
        <w:t>[Section 10 inserted by No. 20 of 1997 s. 7; amended by No. 51 of 2003 s. 6.]</w:t>
      </w:r>
    </w:p>
    <w:p>
      <w:pPr>
        <w:pStyle w:val="Heading5"/>
      </w:pPr>
      <w:bookmarkStart w:id="19" w:name="_Toc128382383"/>
      <w:r>
        <w:rPr>
          <w:rStyle w:val="CharSectno"/>
        </w:rPr>
        <w:t>11</w:t>
      </w:r>
      <w:r>
        <w:t>.</w:t>
      </w:r>
      <w:r>
        <w:tab/>
        <w:t>Terms used in sections 12 to 17</w:t>
      </w:r>
      <w:bookmarkEnd w:id="19"/>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20" w:name="_Toc128382384"/>
      <w:r>
        <w:rPr>
          <w:rStyle w:val="CharSectno"/>
        </w:rPr>
        <w:t>12</w:t>
      </w:r>
      <w:r>
        <w:t>.</w:t>
      </w:r>
      <w:r>
        <w:tab/>
        <w:t>Certain shareholdings to be notified to the Commission</w:t>
      </w:r>
      <w:bookmarkEnd w:id="20"/>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21" w:name="_Toc128382385"/>
      <w:r>
        <w:rPr>
          <w:rStyle w:val="CharSectno"/>
        </w:rPr>
        <w:t>13</w:t>
      </w:r>
      <w:r>
        <w:t>.</w:t>
      </w:r>
      <w:r>
        <w:tab/>
        <w:t>Certain shareholders to be approved by the Commission</w:t>
      </w:r>
      <w:bookmarkEnd w:id="21"/>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lastRenderedPageBreak/>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22" w:name="_Toc128382386"/>
      <w:r>
        <w:rPr>
          <w:rStyle w:val="CharSectno"/>
        </w:rPr>
        <w:t>14</w:t>
      </w:r>
      <w:r>
        <w:t>.</w:t>
      </w:r>
      <w:r>
        <w:tab/>
        <w:t>Probity approval notices, application for etc.</w:t>
      </w:r>
      <w:bookmarkEnd w:id="22"/>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lastRenderedPageBreak/>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23" w:name="_Toc128382387"/>
      <w:r>
        <w:rPr>
          <w:rStyle w:val="CharSectno"/>
        </w:rPr>
        <w:t>15</w:t>
      </w:r>
      <w:r>
        <w:t>.</w:t>
      </w:r>
      <w:r>
        <w:tab/>
        <w:t>Probity approval notice, cancellation of</w:t>
      </w:r>
      <w:bookmarkEnd w:id="2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4" w:name="_Toc128382388"/>
      <w:r>
        <w:rPr>
          <w:rStyle w:val="CharSectno"/>
        </w:rPr>
        <w:lastRenderedPageBreak/>
        <w:t>16</w:t>
      </w:r>
      <w:r>
        <w:t>.</w:t>
      </w:r>
      <w:r>
        <w:tab/>
        <w:t>Intention to order disposal of shares, notice of</w:t>
      </w:r>
      <w:bookmarkEnd w:id="24"/>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5" w:name="_Toc128382389"/>
      <w:r>
        <w:rPr>
          <w:rStyle w:val="CharSectno"/>
        </w:rPr>
        <w:t>17</w:t>
      </w:r>
      <w:r>
        <w:t>.</w:t>
      </w:r>
      <w:r>
        <w:tab/>
        <w:t>Certain shareholders may be ordered to dispose of shares</w:t>
      </w:r>
      <w:bookmarkEnd w:id="25"/>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lastRenderedPageBreak/>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20"/>
          <w:headerReference w:type="default" r:id="rId21"/>
          <w:footerReference w:type="even"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6" w:name="_Toc128382390"/>
      <w:r>
        <w:rPr>
          <w:rStyle w:val="CharSchNo"/>
        </w:rPr>
        <w:lastRenderedPageBreak/>
        <w:t>Schedule 1</w:t>
      </w:r>
      <w:r>
        <w:t> — </w:t>
      </w:r>
      <w:r>
        <w:rPr>
          <w:rStyle w:val="CharSchText"/>
        </w:rPr>
        <w:t>Casino (Burswood Island) Agreement</w:t>
      </w:r>
      <w:bookmarkEnd w:id="26"/>
    </w:p>
    <w:p>
      <w:pPr>
        <w:pStyle w:val="yShoulderClause"/>
      </w:pPr>
      <w:r>
        <w:t>[s. 3]</w:t>
      </w:r>
    </w:p>
    <w:p>
      <w:pPr>
        <w:pStyle w:val="yFootnoteheading"/>
      </w:pPr>
      <w:r>
        <w:tab/>
        <w:t>[Heading amended by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lastRenderedPageBreak/>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lastRenderedPageBreak/>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 xml:space="preserve">The State acknowledges that the establishment of the Resort is a large scale development project requiring a very large capital </w:t>
      </w:r>
      <w:r>
        <w:lastRenderedPageBreak/>
        <w:t>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lastRenderedPageBreak/>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 xml:space="preserve">in a case in which the Committee consents to the extension of credit, the sum value of chips issued in any month on credit, whether by credit card transaction or otherwise howsoever, shall be deemed to be sums </w:t>
      </w:r>
      <w:r>
        <w:lastRenderedPageBreak/>
        <w:t>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lastRenderedPageBreak/>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lastRenderedPageBreak/>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lastRenderedPageBreak/>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lastRenderedPageBreak/>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lastRenderedPageBreak/>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lastRenderedPageBreak/>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w:t>
      </w:r>
      <w:r>
        <w:lastRenderedPageBreak/>
        <w:t xml:space="preserve">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w:t>
      </w:r>
      <w:r>
        <w:rPr>
          <w:spacing w:val="-4"/>
        </w:rPr>
        <w:lastRenderedPageBreak/>
        <w:t>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lastRenderedPageBreak/>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 xml:space="preserve">clause, the Minister </w:t>
      </w:r>
      <w:r>
        <w:lastRenderedPageBreak/>
        <w:t>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lastRenderedPageBreak/>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 xml:space="preserve">laws of all </w:t>
      </w:r>
      <w:r>
        <w:lastRenderedPageBreak/>
        <w:t>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lastRenderedPageBreak/>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lastRenderedPageBreak/>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lastRenderedPageBreak/>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lastRenderedPageBreak/>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 xml:space="preserve">when directed by the Committee require production of a statutory declaration by any Person registered as the holder of any Units or Options setting forth the name and address of any Person of whom the Person so registered is aware has a relevant </w:t>
      </w:r>
      <w:r>
        <w:lastRenderedPageBreak/>
        <w:t>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lastRenderedPageBreak/>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lastRenderedPageBreak/>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lastRenderedPageBreak/>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lastRenderedPageBreak/>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lastRenderedPageBreak/>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lastRenderedPageBreak/>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 xml:space="preserve">The Committee or the Committee’s Nominated Representative shall be entitled to attend and to speak at any meeting of Burswood Property </w:t>
      </w:r>
      <w:r>
        <w:lastRenderedPageBreak/>
        <w:t>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lastRenderedPageBreak/>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 xml:space="preserve">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w:t>
      </w:r>
      <w:r>
        <w:lastRenderedPageBreak/>
        <w:t>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lastRenderedPageBreak/>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lastRenderedPageBreak/>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 xml:space="preserve">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w:t>
      </w:r>
      <w:r>
        <w:lastRenderedPageBreak/>
        <w:t>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 xml:space="preserve">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t>
      </w:r>
      <w:r>
        <w:lastRenderedPageBreak/>
        <w:t>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lastRenderedPageBreak/>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 xml:space="preserve">divide the Site or any part of it, the State shall use its best </w:t>
      </w:r>
      <w:r>
        <w:lastRenderedPageBreak/>
        <w:t>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lastRenderedPageBreak/>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 xml:space="preserve">except as otherwise provided by this Agreement or agreed by the Minister the rights of the Trustee and the Manager to in or under this Agreement shall thereupon cease and determine but </w:t>
      </w:r>
      <w:r>
        <w:lastRenderedPageBreak/>
        <w:t>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 xml:space="preserve">way water right or easement of any nature or kind whatsoever over or in respect of </w:t>
      </w:r>
      <w:r>
        <w:lastRenderedPageBreak/>
        <w:t>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 xml:space="preserve">Notwithstanding any provision of this Agreement the Minister may at the request of the Trustee or the Manager from time to time extend or further extend any period or vary or further vary any date referred to in this Agreement or in </w:t>
      </w:r>
      <w:r>
        <w:lastRenderedPageBreak/>
        <w:t>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 xml:space="preserve">No omission by any Party to require the performance by another or the others of any of the terms or conditions of this Agreement nor any forebearance </w:t>
      </w:r>
      <w:r>
        <w:lastRenderedPageBreak/>
        <w:t>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lastRenderedPageBreak/>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 xml:space="preserve">without prejudice to the provisions of clause 22(5)(b)(i) bingo played pursuant to conditions which, without the prior consent of the </w:t>
      </w:r>
      <w:r>
        <w:lastRenderedPageBreak/>
        <w:t>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7" w:name="_Toc128382391"/>
      <w:r>
        <w:rPr>
          <w:rStyle w:val="CharSchNo"/>
        </w:rPr>
        <w:lastRenderedPageBreak/>
        <w:t>Schedule 2</w:t>
      </w:r>
      <w:r>
        <w:t> — </w:t>
      </w:r>
      <w:r>
        <w:rPr>
          <w:rStyle w:val="CharSchText"/>
        </w:rPr>
        <w:t>Supplementary Agreement</w:t>
      </w:r>
      <w:bookmarkEnd w:id="27"/>
    </w:p>
    <w:p>
      <w:pPr>
        <w:pStyle w:val="yShoulderClause"/>
      </w:pPr>
      <w:r>
        <w:t>[s. 3]</w:t>
      </w:r>
    </w:p>
    <w:p>
      <w:pPr>
        <w:pStyle w:val="yFootnoteheading"/>
      </w:pPr>
      <w:r>
        <w:tab/>
        <w:t>[Heading amended by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lastRenderedPageBreak/>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lastRenderedPageBreak/>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w:t>
      </w:r>
      <w:r>
        <w:lastRenderedPageBreak/>
        <w:t>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lastRenderedPageBreak/>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lastRenderedPageBreak/>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28" w:name="_Toc128382392"/>
      <w:r>
        <w:rPr>
          <w:rStyle w:val="CharSchNo"/>
        </w:rPr>
        <w:lastRenderedPageBreak/>
        <w:t>Schedule 3</w:t>
      </w:r>
      <w:r>
        <w:t> — </w:t>
      </w:r>
      <w:r>
        <w:rPr>
          <w:rStyle w:val="CharSchText"/>
        </w:rPr>
        <w:t>Second Supplementary Agreement</w:t>
      </w:r>
      <w:bookmarkEnd w:id="28"/>
    </w:p>
    <w:p>
      <w:pPr>
        <w:pStyle w:val="yShoulderClause"/>
      </w:pPr>
      <w:r>
        <w:t>[s. 3]</w:t>
      </w:r>
    </w:p>
    <w:p>
      <w:pPr>
        <w:pStyle w:val="yFootnoteheading"/>
      </w:pPr>
      <w:r>
        <w:tab/>
        <w:t>[Heading amended by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lastRenderedPageBreak/>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 xml:space="preserve">the same proportion of ONE MILLION FOUR HUNDRED THOUSAND DOLLARS ($1 400 000.00) as the proportion which the number of days from and including the Completion Date to but excluding the Anniversary Date </w:t>
      </w:r>
      <w:r>
        <w:lastRenderedPageBreak/>
        <w:t>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lastRenderedPageBreak/>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29" w:name="_Toc128382393"/>
      <w:r>
        <w:rPr>
          <w:rStyle w:val="CharSchNo"/>
        </w:rPr>
        <w:lastRenderedPageBreak/>
        <w:t>Schedule 4</w:t>
      </w:r>
      <w:r>
        <w:t> — </w:t>
      </w:r>
      <w:r>
        <w:rPr>
          <w:rStyle w:val="CharSchText"/>
        </w:rPr>
        <w:t>Seventh Supplementary Agreement</w:t>
      </w:r>
      <w:bookmarkEnd w:id="29"/>
    </w:p>
    <w:p>
      <w:pPr>
        <w:pStyle w:val="yShoulderClause"/>
      </w:pPr>
      <w:r>
        <w:t>[s. 3]</w:t>
      </w:r>
    </w:p>
    <w:p>
      <w:pPr>
        <w:pStyle w:val="yFootnoteheading"/>
      </w:pPr>
      <w:r>
        <w:tab/>
        <w:t>[Heading amended by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lastRenderedPageBreak/>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lastRenderedPageBreak/>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lastRenderedPageBreak/>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lastRenderedPageBreak/>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lastRenderedPageBreak/>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lastRenderedPageBreak/>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lastRenderedPageBreak/>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lastRenderedPageBreak/>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lastRenderedPageBreak/>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lastRenderedPageBreak/>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lastRenderedPageBreak/>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lastRenderedPageBreak/>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lastRenderedPageBreak/>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lastRenderedPageBreak/>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lastRenderedPageBreak/>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lastRenderedPageBreak/>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lastRenderedPageBreak/>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30" w:name="_Toc128382394"/>
      <w:r>
        <w:rPr>
          <w:rStyle w:val="CharSchNo"/>
        </w:rPr>
        <w:lastRenderedPageBreak/>
        <w:t>Schedule 5</w:t>
      </w:r>
      <w:r>
        <w:t> — </w:t>
      </w:r>
      <w:r>
        <w:rPr>
          <w:rStyle w:val="CharSchText"/>
        </w:rPr>
        <w:t>Third Supplementary Agreement</w:t>
      </w:r>
      <w:bookmarkEnd w:id="30"/>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 xml:space="preserve">The parties have agreed subject as hereinafter provided to amend the Principal Agreement pursuant to clause 5 for the purpose of more </w:t>
      </w:r>
      <w:r>
        <w:lastRenderedPageBreak/>
        <w:t>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lastRenderedPageBreak/>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31" w:name="_Toc128382395"/>
      <w:r>
        <w:rPr>
          <w:rStyle w:val="CharSchNo"/>
        </w:rPr>
        <w:lastRenderedPageBreak/>
        <w:t>Schedule 6</w:t>
      </w:r>
      <w:r>
        <w:t> — </w:t>
      </w:r>
      <w:r>
        <w:rPr>
          <w:rStyle w:val="CharSchText"/>
        </w:rPr>
        <w:t>Fourth Supplementary Agreement</w:t>
      </w:r>
      <w:bookmarkEnd w:id="31"/>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 xml:space="preserve">By an agreement made on 13 November 1991 between the State, the Trustee and the Manager (“the Third Supplementary Agreement”) the </w:t>
      </w:r>
      <w:r>
        <w:lastRenderedPageBreak/>
        <w:t>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lastRenderedPageBreak/>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w:t>
            </w:r>
            <w:r>
              <w:lastRenderedPageBreak/>
              <w:t>5 February 1990 under which this Agreement is signed.</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lastRenderedPageBreak/>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32" w:name="_Toc128382396"/>
      <w:r>
        <w:rPr>
          <w:rStyle w:val="CharSchNo"/>
        </w:rPr>
        <w:lastRenderedPageBreak/>
        <w:t>Schedule 7</w:t>
      </w:r>
      <w:r>
        <w:t> — </w:t>
      </w:r>
      <w:r>
        <w:rPr>
          <w:rStyle w:val="CharSchText"/>
        </w:rPr>
        <w:t>Fifth Supplementary Agreement</w:t>
      </w:r>
      <w:bookmarkEnd w:id="32"/>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lastRenderedPageBreak/>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33" w:name="_Toc128382397"/>
      <w:r>
        <w:rPr>
          <w:rStyle w:val="CharSchNo"/>
        </w:rPr>
        <w:lastRenderedPageBreak/>
        <w:t>Schedule 8</w:t>
      </w:r>
      <w:r>
        <w:t> — </w:t>
      </w:r>
      <w:r>
        <w:rPr>
          <w:rStyle w:val="CharSchText"/>
        </w:rPr>
        <w:t>Sixth Supplementary Agreement</w:t>
      </w:r>
      <w:bookmarkEnd w:id="33"/>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lastRenderedPageBreak/>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34" w:name="_Toc128382398"/>
      <w:r>
        <w:rPr>
          <w:rStyle w:val="CharSchNo"/>
        </w:rPr>
        <w:lastRenderedPageBreak/>
        <w:t>Schedule 9</w:t>
      </w:r>
      <w:r>
        <w:t> — </w:t>
      </w:r>
      <w:r>
        <w:rPr>
          <w:rStyle w:val="CharSchText"/>
        </w:rPr>
        <w:t>Eighth Supplementary Agreement</w:t>
      </w:r>
      <w:bookmarkEnd w:id="34"/>
    </w:p>
    <w:p>
      <w:pPr>
        <w:pStyle w:val="yShoulderClause"/>
      </w:pPr>
      <w:r>
        <w:t>[s. 3]</w:t>
      </w:r>
    </w:p>
    <w:p>
      <w:pPr>
        <w:pStyle w:val="yFootnoteheading"/>
      </w:pPr>
      <w:r>
        <w:tab/>
        <w:t>[Heading amended by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lastRenderedPageBreak/>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lastRenderedPageBreak/>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lastRenderedPageBreak/>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lastRenderedPageBreak/>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lastRenderedPageBreak/>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lastRenderedPageBreak/>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lastRenderedPageBreak/>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lastRenderedPageBreak/>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lastRenderedPageBreak/>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lastRenderedPageBreak/>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lastRenderedPageBreak/>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lastRenderedPageBreak/>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lastRenderedPageBreak/>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lastRenderedPageBreak/>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 xml:space="preserve">A person is not eligible to own (including own jointly) Shares if as a result of that ownership an individual person (a “substantial holder”) </w:t>
      </w:r>
      <w:r>
        <w:lastRenderedPageBreak/>
        <w:t>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lastRenderedPageBreak/>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lastRenderedPageBreak/>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 xml:space="preserve">If the Directors reasonably believe that circumstances exist which permit them to effect the transfer or disposal of Company Securities under Article 3.21, the Directors may by notice in writing (“Sale Notice”) to the </w:t>
      </w:r>
      <w:r>
        <w:rPr>
          <w:snapToGrid w:val="0"/>
        </w:rPr>
        <w:lastRenderedPageBreak/>
        <w:t>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lastRenderedPageBreak/>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lastRenderedPageBreak/>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lastRenderedPageBreak/>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35" w:name="_Toc128382399"/>
      <w:r>
        <w:rPr>
          <w:rStyle w:val="CharSchNo"/>
        </w:rPr>
        <w:lastRenderedPageBreak/>
        <w:t>Schedule 10</w:t>
      </w:r>
      <w:r>
        <w:t> — </w:t>
      </w:r>
      <w:r>
        <w:rPr>
          <w:rStyle w:val="CharSchText"/>
        </w:rPr>
        <w:t>Ninth Supplementary Agreement</w:t>
      </w:r>
      <w:bookmarkEnd w:id="35"/>
    </w:p>
    <w:p>
      <w:pPr>
        <w:pStyle w:val="yShoulderClause"/>
      </w:pPr>
      <w:r>
        <w:t>[s. 3A]</w:t>
      </w:r>
    </w:p>
    <w:p>
      <w:pPr>
        <w:pStyle w:val="yFootnoteheading"/>
      </w:pPr>
      <w:r>
        <w:tab/>
        <w:t>[Heading amended by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lastRenderedPageBreak/>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lastRenderedPageBreak/>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lastRenderedPageBreak/>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lastRenderedPageBreak/>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lastRenderedPageBreak/>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36" w:name="_Toc128382400"/>
      <w:r>
        <w:rPr>
          <w:rStyle w:val="CharSchNo"/>
        </w:rPr>
        <w:lastRenderedPageBreak/>
        <w:t>Schedule 11</w:t>
      </w:r>
      <w:r>
        <w:t> — </w:t>
      </w:r>
      <w:r>
        <w:rPr>
          <w:rStyle w:val="CharSchText"/>
        </w:rPr>
        <w:t>Tenth Supplementary Agreement</w:t>
      </w:r>
      <w:bookmarkEnd w:id="36"/>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lastRenderedPageBreak/>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lastRenderedPageBreak/>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lastRenderedPageBreak/>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lastRenderedPageBreak/>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37" w:name="_Toc128382401"/>
      <w:r>
        <w:rPr>
          <w:rStyle w:val="CharSchNo"/>
        </w:rPr>
        <w:lastRenderedPageBreak/>
        <w:t>Schedule 12</w:t>
      </w:r>
      <w:r>
        <w:t xml:space="preserve"> — </w:t>
      </w:r>
      <w:r>
        <w:rPr>
          <w:rStyle w:val="CharSchText"/>
        </w:rPr>
        <w:t>Eleventh Supplementary Agreement</w:t>
      </w:r>
      <w:bookmarkEnd w:id="37"/>
    </w:p>
    <w:p>
      <w:pPr>
        <w:pStyle w:val="yShoulderClause"/>
      </w:pPr>
      <w:r>
        <w:t>[s. 3]</w:t>
      </w:r>
    </w:p>
    <w:p>
      <w:pPr>
        <w:pStyle w:val="yFootnoteheading"/>
      </w:pPr>
      <w:r>
        <w:tab/>
        <w:t>[Heading inserted by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lastRenderedPageBreak/>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lastRenderedPageBreak/>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““State” or “Western Australia””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 xml:space="preserve">provided that if at any time the Local Authority, the Manager or the Commission shall fail to nominate persons for membership of the Board as and when required by the Minister the State may cause to be </w:t>
      </w:r>
      <w:r>
        <w:rPr>
          <w:i/>
          <w:iCs/>
        </w:rPr>
        <w:lastRenderedPageBreak/>
        <w:t>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lastRenderedPageBreak/>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lastRenderedPageBreak/>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lastRenderedPageBreak/>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38" w:name="_Toc128382402"/>
      <w:r>
        <w:rPr>
          <w:rStyle w:val="CharSchNo"/>
        </w:rPr>
        <w:lastRenderedPageBreak/>
        <w:t>Schedule 13</w:t>
      </w:r>
      <w:r>
        <w:t> — </w:t>
      </w:r>
      <w:r>
        <w:rPr>
          <w:rStyle w:val="CharSchText"/>
        </w:rPr>
        <w:t>Twelfth Supplementary Agreement</w:t>
      </w:r>
      <w:bookmarkEnd w:id="38"/>
    </w:p>
    <w:p>
      <w:pPr>
        <w:pStyle w:val="yShoulderClause"/>
      </w:pPr>
      <w:r>
        <w:t>[s. 3]</w:t>
      </w:r>
    </w:p>
    <w:p>
      <w:pPr>
        <w:pStyle w:val="yFootnoteheading"/>
        <w:spacing w:after="60"/>
      </w:pPr>
      <w:r>
        <w:tab/>
        <w:t>[Heading inserted by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lastRenderedPageBreak/>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tabs>
          <w:tab w:val="left" w:pos="720"/>
          <w:tab w:val="left" w:pos="1440"/>
          <w:tab w:val="left" w:pos="1920"/>
        </w:tabs>
        <w:ind w:left="1440" w:hanging="1440"/>
      </w:pPr>
      <w:r>
        <w:tab/>
        <w:t>(b)</w:t>
      </w:r>
      <w:r>
        <w:tab/>
        <w:t xml:space="preserve">The provisions of this Agreement other than this clause and clause 1 shall not come into operation until the Bill referred to </w:t>
      </w:r>
      <w:r>
        <w:lastRenderedPageBreak/>
        <w:t>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tabs>
          <w:tab w:val="left" w:pos="720"/>
          <w:tab w:val="left" w:pos="1440"/>
          <w:tab w:val="left" w:pos="1920"/>
        </w:tabs>
        <w:ind w:left="1440" w:hanging="1440"/>
      </w:pPr>
      <w:r>
        <w:lastRenderedPageBreak/>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w:t>
      </w:r>
      <w:r>
        <w:rPr>
          <w:b/>
          <w:i/>
        </w:rPr>
        <w:t>Heirisson Island Sculpture Park Project</w:t>
      </w:r>
      <w:r>
        <w:t>"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 :</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tabs>
          <w:tab w:val="left" w:pos="720"/>
          <w:tab w:val="left" w:pos="1440"/>
          <w:tab w:val="left" w:pos="1920"/>
          <w:tab w:val="left" w:pos="2400"/>
        </w:tabs>
        <w:ind w:left="2400" w:hanging="2400"/>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lastRenderedPageBreak/>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lastRenderedPageBreak/>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rPr>
          <w:b/>
        </w:rPr>
      </w:pPr>
      <w:r>
        <w:rPr>
          <w:b/>
        </w:rPr>
        <w:lastRenderedPageBreak/>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lastRenderedPageBreak/>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rPr>
          <w:b/>
          <w:i/>
        </w:rPr>
      </w:pPr>
    </w:p>
    <w:p>
      <w:pPr>
        <w:pStyle w:val="yMiscellaneousBody"/>
        <w:tabs>
          <w:tab w:val="left" w:pos="3240"/>
        </w:tabs>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rPr>
          <w:i/>
        </w:rPr>
      </w:pPr>
      <w:r>
        <w:rPr>
          <w:i/>
        </w:rPr>
        <w:t>…………………………….…..</w:t>
      </w:r>
      <w:r>
        <w:rPr>
          <w:i/>
        </w:rPr>
        <w:tab/>
        <w:t>……………………………….</w:t>
      </w: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r>
        <w:br w:type="page"/>
      </w:r>
      <w:r>
        <w:lastRenderedPageBreak/>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0" w:name="_Toc128382403"/>
      <w:r>
        <w:lastRenderedPageBreak/>
        <w:t>Notes</w:t>
      </w:r>
      <w:bookmarkEnd w:id="40"/>
    </w:p>
    <w:p>
      <w:pPr>
        <w:pStyle w:val="nNote"/>
        <w:rPr>
          <w:snapToGrid w:val="0"/>
        </w:rPr>
      </w:pPr>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128382404"/>
      <w:r>
        <w:rPr>
          <w:snapToGrid w:val="0"/>
        </w:rPr>
        <w:t>Compilation table</w:t>
      </w:r>
      <w:bookmarkEnd w:id="41"/>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7"/>
      </w:tblGrid>
      <w:tr>
        <w:trPr>
          <w:cantSplit/>
          <w:tblHeader/>
        </w:trPr>
        <w:tc>
          <w:tcPr>
            <w:tcW w:w="2274" w:type="dxa"/>
            <w:gridSpan w:val="2"/>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Borders>
              <w:top w:val="single" w:sz="8" w:space="0" w:color="auto"/>
            </w:tcBorders>
          </w:tcPr>
          <w:p>
            <w:pPr>
              <w:pStyle w:val="nTable"/>
              <w:spacing w:after="40"/>
              <w:ind w:right="113"/>
            </w:pPr>
            <w:r>
              <w:rPr>
                <w:i/>
              </w:rPr>
              <w:t>Casino (Burswood Island) Agreement Act 1985</w:t>
            </w:r>
          </w:p>
        </w:tc>
        <w:tc>
          <w:tcPr>
            <w:tcW w:w="1139" w:type="dxa"/>
            <w:tcBorders>
              <w:top w:val="single" w:sz="8" w:space="0" w:color="auto"/>
            </w:tcBorders>
          </w:tcPr>
          <w:p>
            <w:pPr>
              <w:pStyle w:val="nTable"/>
              <w:spacing w:after="40"/>
            </w:pPr>
            <w:r>
              <w:t>9 of 1985</w:t>
            </w:r>
          </w:p>
        </w:tc>
        <w:tc>
          <w:tcPr>
            <w:tcW w:w="1136" w:type="dxa"/>
            <w:tcBorders>
              <w:top w:val="single" w:sz="8" w:space="0" w:color="auto"/>
            </w:tcBorders>
          </w:tcPr>
          <w:p>
            <w:pPr>
              <w:pStyle w:val="nTable"/>
              <w:spacing w:after="40"/>
            </w:pPr>
            <w:r>
              <w:t>25 Mar 1985</w:t>
            </w:r>
          </w:p>
        </w:tc>
        <w:tc>
          <w:tcPr>
            <w:tcW w:w="2571" w:type="dxa"/>
            <w:gridSpan w:val="2"/>
            <w:tcBorders>
              <w:top w:val="single" w:sz="8" w:space="0" w:color="auto"/>
            </w:tcBorders>
          </w:tcPr>
          <w:p>
            <w:pPr>
              <w:pStyle w:val="nTable"/>
              <w:spacing w:after="40"/>
            </w:pPr>
            <w:r>
              <w:t>25 Mar 1985 (see s. 2)</w:t>
            </w:r>
          </w:p>
        </w:tc>
      </w:tr>
      <w:tr>
        <w:trPr>
          <w:cantSplit/>
        </w:trPr>
        <w:tc>
          <w:tcPr>
            <w:tcW w:w="2274" w:type="dxa"/>
            <w:gridSpan w:val="2"/>
          </w:tcPr>
          <w:p>
            <w:pPr>
              <w:pStyle w:val="nTable"/>
              <w:spacing w:after="40"/>
              <w:ind w:right="113"/>
            </w:pPr>
            <w:r>
              <w:rPr>
                <w:i/>
              </w:rPr>
              <w:t xml:space="preserve">Acts Amendment (Casino Control) Act 1987 </w:t>
            </w:r>
            <w:r>
              <w:t>Pt. II</w:t>
            </w:r>
          </w:p>
        </w:tc>
        <w:tc>
          <w:tcPr>
            <w:tcW w:w="1139" w:type="dxa"/>
          </w:tcPr>
          <w:p>
            <w:pPr>
              <w:pStyle w:val="nTable"/>
              <w:spacing w:after="40"/>
            </w:pPr>
            <w:r>
              <w:t>44 of 1987</w:t>
            </w:r>
          </w:p>
        </w:tc>
        <w:tc>
          <w:tcPr>
            <w:tcW w:w="1136" w:type="dxa"/>
          </w:tcPr>
          <w:p>
            <w:pPr>
              <w:pStyle w:val="nTable"/>
              <w:spacing w:after="40"/>
            </w:pPr>
            <w:r>
              <w:t>22 Sep 1987</w:t>
            </w:r>
          </w:p>
        </w:tc>
        <w:tc>
          <w:tcPr>
            <w:tcW w:w="2571" w:type="dxa"/>
            <w:gridSpan w:val="2"/>
          </w:tcPr>
          <w:p>
            <w:pPr>
              <w:pStyle w:val="nTable"/>
              <w:spacing w:after="40"/>
            </w:pPr>
            <w:r>
              <w:t>13 Sep 1987 (see s. 2)</w:t>
            </w:r>
          </w:p>
        </w:tc>
      </w:tr>
      <w:tr>
        <w:trPr>
          <w:cantSplit/>
        </w:trPr>
        <w:tc>
          <w:tcPr>
            <w:tcW w:w="2274" w:type="dxa"/>
            <w:gridSpan w:val="2"/>
          </w:tcPr>
          <w:p>
            <w:pPr>
              <w:pStyle w:val="nTable"/>
              <w:spacing w:after="40"/>
              <w:ind w:right="113"/>
            </w:pPr>
            <w:r>
              <w:rPr>
                <w:i/>
              </w:rPr>
              <w:t>Casino (Burswood Island) Agreement Amendment Act 1990</w:t>
            </w:r>
          </w:p>
        </w:tc>
        <w:tc>
          <w:tcPr>
            <w:tcW w:w="1139" w:type="dxa"/>
          </w:tcPr>
          <w:p>
            <w:pPr>
              <w:pStyle w:val="nTable"/>
              <w:spacing w:after="40"/>
            </w:pPr>
            <w:r>
              <w:t>15 of 1990</w:t>
            </w:r>
          </w:p>
        </w:tc>
        <w:tc>
          <w:tcPr>
            <w:tcW w:w="1136" w:type="dxa"/>
          </w:tcPr>
          <w:p>
            <w:pPr>
              <w:pStyle w:val="nTable"/>
              <w:spacing w:after="40"/>
            </w:pPr>
            <w:r>
              <w:t>31 Jul 1990</w:t>
            </w:r>
          </w:p>
        </w:tc>
        <w:tc>
          <w:tcPr>
            <w:tcW w:w="2571" w:type="dxa"/>
            <w:gridSpan w:val="2"/>
          </w:tcPr>
          <w:p>
            <w:pPr>
              <w:pStyle w:val="nTable"/>
              <w:spacing w:after="40"/>
            </w:pPr>
            <w:r>
              <w:t>31 Jul 1990 (see s. 3)</w:t>
            </w:r>
          </w:p>
        </w:tc>
      </w:tr>
      <w:tr>
        <w:trPr>
          <w:cantSplit/>
        </w:trPr>
        <w:tc>
          <w:tcPr>
            <w:tcW w:w="2274" w:type="dxa"/>
            <w:gridSpan w:val="2"/>
          </w:tcPr>
          <w:p>
            <w:pPr>
              <w:pStyle w:val="nTable"/>
              <w:spacing w:after="40"/>
              <w:ind w:right="113"/>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571" w:type="dxa"/>
            <w:gridSpan w:val="2"/>
          </w:tcPr>
          <w:p>
            <w:pPr>
              <w:pStyle w:val="nTable"/>
              <w:spacing w:after="40"/>
            </w:pPr>
            <w:r>
              <w:t>1 Jul 1996 (see s. 2)</w:t>
            </w:r>
          </w:p>
        </w:tc>
      </w:tr>
      <w:tr>
        <w:trPr>
          <w:cantSplit/>
        </w:trPr>
        <w:tc>
          <w:tcPr>
            <w:tcW w:w="2274" w:type="dxa"/>
            <w:gridSpan w:val="2"/>
          </w:tcPr>
          <w:p>
            <w:pPr>
              <w:pStyle w:val="nTable"/>
              <w:spacing w:after="40"/>
              <w:ind w:right="113"/>
            </w:pPr>
            <w:r>
              <w:rPr>
                <w:i/>
              </w:rPr>
              <w:t>Casino (Burswood Island) Agreement Amendment Act 1997</w:t>
            </w:r>
          </w:p>
        </w:tc>
        <w:tc>
          <w:tcPr>
            <w:tcW w:w="1139" w:type="dxa"/>
          </w:tcPr>
          <w:p>
            <w:pPr>
              <w:pStyle w:val="nTable"/>
              <w:spacing w:after="40"/>
            </w:pPr>
            <w:r>
              <w:t>20 of 1997</w:t>
            </w:r>
          </w:p>
        </w:tc>
        <w:tc>
          <w:tcPr>
            <w:tcW w:w="1136" w:type="dxa"/>
          </w:tcPr>
          <w:p>
            <w:pPr>
              <w:pStyle w:val="nTable"/>
              <w:spacing w:after="40"/>
            </w:pPr>
            <w:r>
              <w:t>4 Sep 1997</w:t>
            </w:r>
          </w:p>
        </w:tc>
        <w:tc>
          <w:tcPr>
            <w:tcW w:w="2571" w:type="dxa"/>
            <w:gridSpan w:val="2"/>
          </w:tcPr>
          <w:p>
            <w:pPr>
              <w:pStyle w:val="nTable"/>
              <w:spacing w:after="40"/>
            </w:pPr>
            <w:r>
              <w:t>4 Sep 1997 (see s. 2)</w:t>
            </w:r>
          </w:p>
        </w:tc>
      </w:tr>
      <w:tr>
        <w:trPr>
          <w:cantSplit/>
        </w:trPr>
        <w:tc>
          <w:tcPr>
            <w:tcW w:w="4549" w:type="dxa"/>
            <w:gridSpan w:val="4"/>
          </w:tcPr>
          <w:p>
            <w:pPr>
              <w:pStyle w:val="nTable"/>
              <w:spacing w:after="40"/>
            </w:pPr>
            <w:r>
              <w:rPr>
                <w:i/>
              </w:rPr>
              <w:t xml:space="preserve">Casino (Burswood Island) Agreement Act 1985 Amendment Order 1998 </w:t>
            </w:r>
            <w:r>
              <w:t>(see</w:t>
            </w:r>
            <w:r>
              <w:rPr>
                <w:i/>
              </w:rPr>
              <w:t xml:space="preserve"> Gazette </w:t>
            </w:r>
            <w:r>
              <w:t>8 May 1998 p. 2390-6)</w:t>
            </w:r>
          </w:p>
        </w:tc>
        <w:tc>
          <w:tcPr>
            <w:tcW w:w="2571" w:type="dxa"/>
            <w:gridSpan w:val="2"/>
          </w:tcPr>
          <w:p>
            <w:pPr>
              <w:pStyle w:val="nTable"/>
              <w:spacing w:after="40"/>
            </w:pPr>
            <w:r>
              <w:t>8 May 1998</w:t>
            </w:r>
          </w:p>
        </w:tc>
      </w:tr>
      <w:tr>
        <w:trPr>
          <w:cantSplit/>
        </w:trPr>
        <w:tc>
          <w:tcPr>
            <w:tcW w:w="7120" w:type="dxa"/>
            <w:gridSpan w:val="6"/>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rPr>
          <w:cantSplit/>
        </w:trPr>
        <w:tc>
          <w:tcPr>
            <w:tcW w:w="2274" w:type="dxa"/>
            <w:gridSpan w:val="2"/>
          </w:tcPr>
          <w:p>
            <w:pPr>
              <w:pStyle w:val="nTable"/>
              <w:spacing w:after="40"/>
              <w:ind w:right="113"/>
            </w:pPr>
            <w:r>
              <w:rPr>
                <w:i/>
              </w:rPr>
              <w:t>Casino (Burswood Island) Agreement Amendment Act 2003</w:t>
            </w:r>
          </w:p>
        </w:tc>
        <w:tc>
          <w:tcPr>
            <w:tcW w:w="1139" w:type="dxa"/>
          </w:tcPr>
          <w:p>
            <w:pPr>
              <w:pStyle w:val="nTable"/>
              <w:spacing w:after="40"/>
            </w:pPr>
            <w:r>
              <w:t>51 of 2003</w:t>
            </w:r>
          </w:p>
        </w:tc>
        <w:tc>
          <w:tcPr>
            <w:tcW w:w="1136" w:type="dxa"/>
          </w:tcPr>
          <w:p>
            <w:pPr>
              <w:pStyle w:val="nTable"/>
              <w:spacing w:after="40"/>
            </w:pPr>
            <w:r>
              <w:t>2 Sep 2003</w:t>
            </w:r>
          </w:p>
        </w:tc>
        <w:tc>
          <w:tcPr>
            <w:tcW w:w="2571" w:type="dxa"/>
            <w:gridSpan w:val="2"/>
          </w:tcPr>
          <w:p>
            <w:pPr>
              <w:pStyle w:val="nTable"/>
              <w:spacing w:after="40"/>
            </w:pPr>
            <w:r>
              <w:t>2 Sep 2003 (see s. 2)</w:t>
            </w:r>
          </w:p>
        </w:tc>
      </w:tr>
      <w:tr>
        <w:trPr>
          <w:cantSplit/>
        </w:trPr>
        <w:tc>
          <w:tcPr>
            <w:tcW w:w="2274"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71" w:type="dxa"/>
            <w:gridSpan w:val="2"/>
          </w:tcPr>
          <w:p>
            <w:pPr>
              <w:pStyle w:val="nTable"/>
              <w:spacing w:after="40"/>
            </w:pPr>
            <w:r>
              <w:t xml:space="preserve">9 Apr 2006 (see s. 2 and </w:t>
            </w:r>
            <w:r>
              <w:rPr>
                <w:i/>
              </w:rPr>
              <w:t>Gazette</w:t>
            </w:r>
            <w:r>
              <w:t xml:space="preserve"> 21 Mar 2006 p. 1078)</w:t>
            </w:r>
          </w:p>
        </w:tc>
      </w:tr>
      <w:tr>
        <w:trPr>
          <w:cantSplit/>
        </w:trPr>
        <w:tc>
          <w:tcPr>
            <w:tcW w:w="4549"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571" w:type="dxa"/>
            <w:gridSpan w:val="2"/>
          </w:tcPr>
          <w:p>
            <w:pPr>
              <w:pStyle w:val="nTable"/>
              <w:spacing w:after="40"/>
            </w:pPr>
            <w:r>
              <w:t>4 Jul 2006</w:t>
            </w:r>
          </w:p>
        </w:tc>
      </w:tr>
      <w:tr>
        <w:trPr>
          <w:cantSplit/>
        </w:trPr>
        <w:tc>
          <w:tcPr>
            <w:tcW w:w="2274" w:type="dxa"/>
            <w:gridSpan w:val="2"/>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4549" w:type="dxa"/>
            <w:gridSpan w:val="4"/>
          </w:tcPr>
          <w:p>
            <w:pPr>
              <w:pStyle w:val="nTable"/>
              <w:spacing w:after="40"/>
              <w:rPr>
                <w:snapToGrid w:val="0"/>
              </w:rPr>
            </w:pPr>
            <w:r>
              <w:rPr>
                <w:i/>
                <w:snapToGrid w:val="0"/>
              </w:rPr>
              <w:lastRenderedPageBreak/>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571" w:type="dxa"/>
            <w:gridSpan w:val="2"/>
          </w:tcPr>
          <w:p>
            <w:pPr>
              <w:pStyle w:val="nTable"/>
              <w:spacing w:after="40"/>
              <w:rPr>
                <w:snapToGrid w:val="0"/>
              </w:rPr>
            </w:pPr>
            <w:r>
              <w:rPr>
                <w:snapToGrid w:val="0"/>
              </w:rPr>
              <w:t>12 Jun 2007</w:t>
            </w:r>
          </w:p>
        </w:tc>
      </w:tr>
      <w:tr>
        <w:trPr>
          <w:cantSplit/>
        </w:trPr>
        <w:tc>
          <w:tcPr>
            <w:tcW w:w="7120" w:type="dxa"/>
            <w:gridSpan w:val="6"/>
          </w:tcPr>
          <w:p>
            <w:pPr>
              <w:pStyle w:val="nTable"/>
              <w:spacing w:after="40"/>
              <w:rPr>
                <w:snapToGrid w:val="0"/>
              </w:rPr>
            </w:pPr>
            <w:r>
              <w:rPr>
                <w:b/>
              </w:rPr>
              <w:t xml:space="preserve">Reprint 2: The </w:t>
            </w:r>
            <w:r>
              <w:rPr>
                <w:b/>
                <w:i/>
              </w:rPr>
              <w:t>Casino (Burswood Island) Agreement Act 1985</w:t>
            </w:r>
            <w:r>
              <w:rPr>
                <w:b/>
              </w:rPr>
              <w:t xml:space="preserve"> as at 1 Feb 2008</w:t>
            </w:r>
            <w:r>
              <w:br/>
              <w:t>(includes amendments listed above)</w:t>
            </w:r>
          </w:p>
        </w:tc>
      </w:tr>
      <w:tr>
        <w:trPr>
          <w:cantSplit/>
        </w:trPr>
        <w:tc>
          <w:tcPr>
            <w:tcW w:w="2274" w:type="dxa"/>
            <w:gridSpan w:val="2"/>
          </w:tcPr>
          <w:p>
            <w:pPr>
              <w:pStyle w:val="nTable"/>
              <w:spacing w:after="40"/>
              <w:ind w:right="113"/>
            </w:pPr>
            <w:r>
              <w:rPr>
                <w:i/>
              </w:rPr>
              <w:t>Casino (Burswood Island) Agreement Amendment Act 2008</w:t>
            </w:r>
          </w:p>
        </w:tc>
        <w:tc>
          <w:tcPr>
            <w:tcW w:w="1139" w:type="dxa"/>
          </w:tcPr>
          <w:p>
            <w:pPr>
              <w:pStyle w:val="nTable"/>
              <w:spacing w:after="40"/>
            </w:pPr>
            <w:r>
              <w:t>17 of 2008</w:t>
            </w:r>
          </w:p>
        </w:tc>
        <w:tc>
          <w:tcPr>
            <w:tcW w:w="1136" w:type="dxa"/>
          </w:tcPr>
          <w:p>
            <w:pPr>
              <w:pStyle w:val="nTable"/>
              <w:spacing w:after="40"/>
            </w:pPr>
            <w:r>
              <w:t>16 Apr 2008</w:t>
            </w:r>
          </w:p>
        </w:tc>
        <w:tc>
          <w:tcPr>
            <w:tcW w:w="2571" w:type="dxa"/>
            <w:gridSpan w:val="2"/>
          </w:tcPr>
          <w:p>
            <w:pPr>
              <w:pStyle w:val="nTable"/>
              <w:spacing w:after="40"/>
            </w:pPr>
            <w:r>
              <w:t>s. 1 and 2: 16 Apr 2008 (see s. 2(a));</w:t>
            </w:r>
            <w:r>
              <w:br/>
              <w:t>Act other than s. 1 and 2: 17 Apr 2008 (see s. 2(b))</w:t>
            </w:r>
          </w:p>
        </w:tc>
      </w:tr>
      <w:tr>
        <w:trPr>
          <w:gridBefore w:val="1"/>
          <w:gridAfter w:val="1"/>
          <w:wBefore w:w="9" w:type="dxa"/>
          <w:wAfter w:w="17"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7" w:type="dxa"/>
          <w:cantSplit/>
        </w:trPr>
        <w:tc>
          <w:tcPr>
            <w:tcW w:w="2265" w:type="dxa"/>
            <w:tcBorders>
              <w:bottom w:val="single" w:sz="4" w:space="0" w:color="auto"/>
            </w:tcBorders>
          </w:tcPr>
          <w:p>
            <w:pPr>
              <w:pStyle w:val="nTable"/>
              <w:spacing w:after="40"/>
              <w:ind w:right="113"/>
              <w:rPr>
                <w:snapToGrid w:val="0"/>
              </w:rPr>
            </w:pPr>
            <w:r>
              <w:rPr>
                <w:i/>
              </w:rPr>
              <w:t xml:space="preserve">Casino (Burswood Island) Agreement Amendment Act 2011 </w:t>
            </w:r>
            <w:r>
              <w:t>Pt. 2</w:t>
            </w:r>
          </w:p>
        </w:tc>
        <w:tc>
          <w:tcPr>
            <w:tcW w:w="1139" w:type="dxa"/>
            <w:tcBorders>
              <w:bottom w:val="single" w:sz="4" w:space="0" w:color="auto"/>
            </w:tcBorders>
          </w:tcPr>
          <w:p>
            <w:pPr>
              <w:pStyle w:val="nTable"/>
              <w:spacing w:after="40"/>
              <w:rPr>
                <w:snapToGrid w:val="0"/>
              </w:rPr>
            </w:pPr>
            <w:r>
              <w:rPr>
                <w:snapToGrid w:val="0"/>
              </w:rPr>
              <w:t>25 of 2011</w:t>
            </w:r>
          </w:p>
        </w:tc>
        <w:tc>
          <w:tcPr>
            <w:tcW w:w="1136" w:type="dxa"/>
            <w:tcBorders>
              <w:bottom w:val="single" w:sz="4" w:space="0" w:color="auto"/>
            </w:tcBorders>
          </w:tcPr>
          <w:p>
            <w:pPr>
              <w:pStyle w:val="nTable"/>
              <w:spacing w:after="40"/>
              <w:rPr>
                <w:snapToGrid w:val="0"/>
              </w:rPr>
            </w:pPr>
            <w:r>
              <w:rPr>
                <w:snapToGrid w:val="0"/>
              </w:rPr>
              <w:t>11 Jul 2011</w:t>
            </w:r>
          </w:p>
        </w:tc>
        <w:tc>
          <w:tcPr>
            <w:tcW w:w="2554" w:type="dxa"/>
            <w:tcBorders>
              <w:bottom w:val="single" w:sz="4" w:space="0" w:color="auto"/>
            </w:tcBorders>
          </w:tcPr>
          <w:p>
            <w:pPr>
              <w:pStyle w:val="nTable"/>
              <w:spacing w:after="40"/>
              <w:rPr>
                <w:snapToGrid w:val="0"/>
              </w:rPr>
            </w:pPr>
            <w:r>
              <w:rPr>
                <w:snapToGrid w:val="0"/>
              </w:rPr>
              <w:t>12 Jul 2011 (see s. 2(b))</w:t>
            </w:r>
          </w:p>
        </w:tc>
      </w:tr>
    </w:tbl>
    <w:p>
      <w:pPr>
        <w:pStyle w:val="nNote"/>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3" w:name="_Toc128382405"/>
      <w:r>
        <w:rPr>
          <w:sz w:val="28"/>
        </w:rPr>
        <w:lastRenderedPageBreak/>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company</w:t>
      </w:r>
      <w:r>
        <w:tab/>
        <w:t>11(1)</w:t>
      </w:r>
    </w:p>
    <w:p>
      <w:pPr>
        <w:pStyle w:val="DefinedTerms"/>
      </w:pPr>
      <w:r>
        <w:t>Commission</w:t>
      </w:r>
      <w:r>
        <w:tab/>
        <w:t>11(1)</w:t>
      </w:r>
    </w:p>
    <w:p>
      <w:pPr>
        <w:pStyle w:val="DefinedTerms"/>
      </w:pPr>
      <w:r>
        <w:t>entrenched provisions</w:t>
      </w:r>
      <w:r>
        <w:tab/>
        <w:t>10(3)</w:t>
      </w:r>
    </w:p>
    <w:p>
      <w:pPr>
        <w:pStyle w:val="DefinedTerms"/>
      </w:pPr>
      <w:r>
        <w:t>Metropolitan Region Scheme</w:t>
      </w:r>
      <w:r>
        <w:tab/>
        <w:t>7(4)</w:t>
      </w:r>
    </w:p>
    <w:p>
      <w:pPr>
        <w:pStyle w:val="DefinedTerms"/>
      </w:pPr>
      <w:r>
        <w:t>probity approval notice</w:t>
      </w:r>
      <w:r>
        <w:tab/>
        <w:t>11(1)</w:t>
      </w:r>
    </w:p>
    <w:p>
      <w:pPr>
        <w:pStyle w:val="DefinedTerms"/>
      </w:pPr>
      <w:r>
        <w:t>street</w:t>
      </w:r>
      <w:r>
        <w:tab/>
        <w:t>8(5)</w:t>
      </w:r>
    </w:p>
    <w:p>
      <w:pPr>
        <w:pStyle w:val="DefinedTerms"/>
      </w:pPr>
      <w:r>
        <w:t>the Agreement</w:t>
      </w:r>
      <w:r>
        <w:tab/>
        <w:t>3</w:t>
      </w:r>
    </w:p>
    <w:p>
      <w:pPr>
        <w:pStyle w:val="DefinedTerms"/>
      </w:pPr>
      <w:r>
        <w:t>the Eighth Supplementary Agreement</w:t>
      </w:r>
      <w:r>
        <w:tab/>
        <w:t>3</w:t>
      </w:r>
    </w:p>
    <w:p>
      <w:pPr>
        <w:pStyle w:val="DefinedTerms"/>
      </w:pPr>
      <w:r>
        <w:t>the Eleventh Supplementary Agreement</w:t>
      </w:r>
      <w:r>
        <w:tab/>
        <w:t>3</w:t>
      </w:r>
    </w:p>
    <w:p>
      <w:pPr>
        <w:pStyle w:val="DefinedTerms"/>
      </w:pPr>
      <w:r>
        <w:t>the Minister for Lands and Surveys</w:t>
      </w:r>
      <w:r>
        <w:tab/>
        <w:t>8(5)</w:t>
      </w:r>
    </w:p>
    <w:p>
      <w:pPr>
        <w:pStyle w:val="DefinedTerms"/>
      </w:pPr>
      <w:r>
        <w:t>the Resort Lands</w:t>
      </w:r>
      <w:r>
        <w:tab/>
        <w:t>3</w:t>
      </w:r>
    </w:p>
    <w:p>
      <w:pPr>
        <w:pStyle w:val="DefinedTerms"/>
      </w:pPr>
      <w:r>
        <w:t>the Resort Site</w:t>
      </w:r>
      <w:r>
        <w:tab/>
        <w:t>7(4)</w:t>
      </w:r>
    </w:p>
    <w:p>
      <w:pPr>
        <w:pStyle w:val="DefinedTerms"/>
      </w:pPr>
      <w:r>
        <w:t>the Second Supplementary Agreement</w:t>
      </w:r>
      <w:r>
        <w:tab/>
        <w:t>3</w:t>
      </w:r>
    </w:p>
    <w:p>
      <w:pPr>
        <w:pStyle w:val="DefinedTerms"/>
      </w:pPr>
      <w:r>
        <w:t>the Seventh Supplementary Agreement</w:t>
      </w:r>
      <w:r>
        <w:tab/>
        <w:t>3</w:t>
      </w:r>
    </w:p>
    <w:p>
      <w:pPr>
        <w:pStyle w:val="DefinedTerms"/>
      </w:pPr>
      <w:r>
        <w:t>the Site</w:t>
      </w:r>
      <w:r>
        <w:tab/>
        <w:t>7(4)</w:t>
      </w:r>
    </w:p>
    <w:p>
      <w:pPr>
        <w:pStyle w:val="DefinedTerms"/>
      </w:pPr>
      <w:r>
        <w:t>the Supplementary Agreement</w:t>
      </w:r>
      <w:r>
        <w:tab/>
        <w:t>3</w:t>
      </w:r>
    </w:p>
    <w:p>
      <w:pPr>
        <w:pStyle w:val="DefinedTerms"/>
      </w:pPr>
      <w:r>
        <w:t>the Surveyor General</w:t>
      </w:r>
      <w:r>
        <w:tab/>
        <w:t>8(5)</w:t>
      </w:r>
    </w:p>
    <w:p>
      <w:pPr>
        <w:pStyle w:val="DefinedTerms"/>
      </w:pPr>
      <w:r>
        <w:t>the Twelfth Supplementary Agreement</w:t>
      </w:r>
      <w:r>
        <w:tab/>
        <w:t>3</w:t>
      </w:r>
    </w:p>
    <w:p>
      <w:pPr>
        <w:rPr>
          <w:snapToGrid w:val="0"/>
        </w:rPr>
      </w:pPr>
    </w:p>
    <w:p>
      <w:pPr>
        <w:rPr>
          <w:snapToGrid w:val="0"/>
        </w:r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6E5A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7092330"/>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1207140556" w:val="RemoveTrackChanges"/>
    <w:docVar w:name="WAFER_20151207140556_GUID" w:val="951e99ee-f476-46e6-a004-c9e0879ed111"/>
    <w:docVar w:name="WAFER_20201231092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31092442_GUID" w:val="db8f2095-16d5-49b0-b9ca-aa504599b735"/>
    <w:docVar w:name="WAFER_202302270923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7092330_GUID" w:val="d49862e7-d885-4429-827a-707c964ab7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D1F5E14A-33E2-43AD-9262-44AC7097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39078</Words>
  <Characters>193050</Characters>
  <Application>Microsoft Office Word</Application>
  <DocSecurity>0</DocSecurity>
  <Lines>5362</Lines>
  <Paragraphs>2796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1985 - 02-e0-08</dc:title>
  <dc:subject/>
  <dc:creator/>
  <cp:keywords/>
  <dc:description/>
  <cp:lastModifiedBy>Master Repository Process</cp:lastModifiedBy>
  <cp:revision>4</cp:revision>
  <cp:lastPrinted>2010-09-10T06:21:00Z</cp:lastPrinted>
  <dcterms:created xsi:type="dcterms:W3CDTF">2023-02-27T06:10:00Z</dcterms:created>
  <dcterms:modified xsi:type="dcterms:W3CDTF">2023-02-27T06:10:00Z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AsAtDate">
    <vt:lpwstr>12 Jul 2011</vt:lpwstr>
  </property>
  <property fmtid="{D5CDD505-2E9C-101B-9397-08002B2CF9AE}" pid="8" name="Suffix">
    <vt:lpwstr>02-e0-08</vt:lpwstr>
  </property>
</Properties>
</file>