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Liquor Control Act 1988</w:t>
      </w:r>
    </w:p>
    <w:p>
      <w:pPr>
        <w:pStyle w:val="NameofActRegPage1"/>
        <w:spacing w:before="1800" w:after="4200"/>
      </w:pPr>
      <w:r>
        <w:fldChar w:fldCharType="begin"/>
      </w:r>
      <w:r>
        <w:instrText xml:space="preserve"> STYLEREF "Name Of Act/Reg"</w:instrText>
      </w:r>
      <w:r>
        <w:fldChar w:fldCharType="separate"/>
      </w:r>
      <w:r>
        <w:rPr>
          <w:noProof/>
        </w:rPr>
        <w:t>Liquor Control (Noonkanbah Restricted Area)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(Noonkanbah Restricted Area) Regulations 2009</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_Toc299024652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_Toc299024653 \h </w:instrText>
      </w:r>
      <w:r>
        <w:fldChar w:fldCharType="separate"/>
      </w:r>
      <w:r>
        <w:t>1</w:t>
      </w:r>
      <w:r>
        <w:fldChar w:fldCharType="end"/>
      </w:r>
    </w:p>
    <w:p>
      <w:pPr>
        <w:pStyle w:val="TOC8"/>
        <w:rPr>
          <w:sz w:val="24"/>
          <w:szCs w:val="24"/>
          <w:lang w:val="en-US"/>
        </w:rPr>
      </w:pPr>
      <w:r>
        <w:t>3.</w:t>
      </w:r>
      <w:r>
        <w:tab/>
        <w:t>Term used: Noonkanbah Aboriginal Community</w:t>
      </w:r>
      <w:r>
        <w:tab/>
      </w:r>
      <w:r>
        <w:fldChar w:fldCharType="begin"/>
      </w:r>
      <w:r>
        <w:instrText xml:space="preserve"> PAGEREF _Toc299024654 \h </w:instrText>
      </w:r>
      <w:r>
        <w:fldChar w:fldCharType="separate"/>
      </w:r>
      <w:r>
        <w:t>1</w:t>
      </w:r>
      <w:r>
        <w:fldChar w:fldCharType="end"/>
      </w:r>
    </w:p>
    <w:p>
      <w:pPr>
        <w:pStyle w:val="TOC8"/>
        <w:rPr>
          <w:sz w:val="24"/>
          <w:szCs w:val="24"/>
          <w:lang w:val="en-US"/>
        </w:rPr>
      </w:pPr>
      <w:r>
        <w:t>4.</w:t>
      </w:r>
      <w:r>
        <w:tab/>
        <w:t>Note is not part of regulation</w:t>
      </w:r>
      <w:r>
        <w:tab/>
      </w:r>
      <w:r>
        <w:fldChar w:fldCharType="begin"/>
      </w:r>
      <w:r>
        <w:instrText xml:space="preserve"> PAGEREF _Toc299024655 \h </w:instrText>
      </w:r>
      <w:r>
        <w:fldChar w:fldCharType="separate"/>
      </w:r>
      <w:r>
        <w:t>2</w:t>
      </w:r>
      <w:r>
        <w:fldChar w:fldCharType="end"/>
      </w:r>
    </w:p>
    <w:p>
      <w:pPr>
        <w:pStyle w:val="TOC8"/>
        <w:rPr>
          <w:sz w:val="24"/>
          <w:szCs w:val="24"/>
          <w:lang w:val="en-US"/>
        </w:rPr>
      </w:pPr>
      <w:r>
        <w:t>5.</w:t>
      </w:r>
      <w:r>
        <w:tab/>
        <w:t>Declaration of restricted area</w:t>
      </w:r>
      <w:r>
        <w:tab/>
      </w:r>
      <w:r>
        <w:fldChar w:fldCharType="begin"/>
      </w:r>
      <w:r>
        <w:instrText xml:space="preserve"> PAGEREF _Toc299024656 \h </w:instrText>
      </w:r>
      <w:r>
        <w:fldChar w:fldCharType="separate"/>
      </w:r>
      <w:r>
        <w:t>2</w:t>
      </w:r>
      <w:r>
        <w:fldChar w:fldCharType="end"/>
      </w:r>
    </w:p>
    <w:p>
      <w:pPr>
        <w:pStyle w:val="TOC8"/>
        <w:rPr>
          <w:sz w:val="24"/>
          <w:szCs w:val="24"/>
          <w:lang w:val="en-US"/>
        </w:rPr>
      </w:pPr>
      <w:r>
        <w:t>6.</w:t>
      </w:r>
      <w:r>
        <w:tab/>
        <w:t>Notice of restricted area</w:t>
      </w:r>
      <w:r>
        <w:tab/>
      </w:r>
      <w:r>
        <w:fldChar w:fldCharType="begin"/>
      </w:r>
      <w:r>
        <w:instrText xml:space="preserve"> PAGEREF _Toc299024657 \h </w:instrText>
      </w:r>
      <w:r>
        <w:fldChar w:fldCharType="separate"/>
      </w:r>
      <w:r>
        <w:t>2</w:t>
      </w:r>
      <w:r>
        <w:fldChar w:fldCharType="end"/>
      </w:r>
    </w:p>
    <w:p>
      <w:pPr>
        <w:pStyle w:val="TOC8"/>
        <w:rPr>
          <w:sz w:val="24"/>
          <w:szCs w:val="24"/>
          <w:lang w:val="en-US"/>
        </w:rPr>
      </w:pPr>
      <w:r>
        <w:t>7.</w:t>
      </w:r>
      <w:r>
        <w:tab/>
        <w:t>Prohibitions as to liquor in the Noonkanbah Aboriginal Community</w:t>
      </w:r>
      <w:r>
        <w:tab/>
      </w:r>
      <w:r>
        <w:fldChar w:fldCharType="begin"/>
      </w:r>
      <w:r>
        <w:instrText xml:space="preserve"> PAGEREF _Toc299024658 \h </w:instrText>
      </w:r>
      <w:r>
        <w:fldChar w:fldCharType="separate"/>
      </w:r>
      <w:r>
        <w:t>2</w:t>
      </w:r>
      <w:r>
        <w:fldChar w:fldCharType="end"/>
      </w:r>
    </w:p>
    <w:p>
      <w:pPr>
        <w:pStyle w:val="TOC8"/>
        <w:rPr>
          <w:sz w:val="24"/>
          <w:szCs w:val="24"/>
          <w:lang w:val="en-US"/>
        </w:rPr>
      </w:pPr>
      <w:r>
        <w:t>8.</w:t>
      </w:r>
      <w:r>
        <w:tab/>
        <w:t>Seizure and disposal of containers of liquor</w:t>
      </w:r>
      <w:r>
        <w:tab/>
      </w:r>
      <w:r>
        <w:fldChar w:fldCharType="begin"/>
      </w:r>
      <w:r>
        <w:instrText xml:space="preserve"> PAGEREF _Toc299024659 \h </w:instrText>
      </w:r>
      <w:r>
        <w:fldChar w:fldCharType="separate"/>
      </w:r>
      <w:r>
        <w:t>3</w:t>
      </w:r>
      <w:r>
        <w:fldChar w:fldCharType="end"/>
      </w:r>
    </w:p>
    <w:p>
      <w:pPr>
        <w:pStyle w:val="TOC8"/>
        <w:rPr>
          <w:sz w:val="24"/>
          <w:szCs w:val="24"/>
          <w:lang w:val="en-US"/>
        </w:rPr>
      </w:pPr>
      <w:r>
        <w:t>9.</w:t>
      </w:r>
      <w:r>
        <w:tab/>
        <w:t>Period during which these regulations have effect</w:t>
      </w:r>
      <w:r>
        <w:tab/>
      </w:r>
      <w:r>
        <w:fldChar w:fldCharType="begin"/>
      </w:r>
      <w:r>
        <w:instrText xml:space="preserve"> PAGEREF _Toc299024660 \h </w:instrText>
      </w:r>
      <w:r>
        <w:fldChar w:fldCharType="separate"/>
      </w:r>
      <w:r>
        <w:t>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_Toc299024662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Liquor Control Act 1988</w:t>
      </w:r>
    </w:p>
    <w:p>
      <w:pPr>
        <w:pStyle w:val="NameofActReg"/>
      </w:pPr>
      <w:r>
        <w:t>Liquor Control (Noonkanbah Restricted Area)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902465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902465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179799914"/>
      <w:bookmarkStart w:id="19" w:name="_Toc299024654"/>
      <w:r>
        <w:rPr>
          <w:rStyle w:val="CharSectno"/>
        </w:rPr>
        <w:t>3</w:t>
      </w:r>
      <w:r>
        <w:t>.</w:t>
      </w:r>
      <w:r>
        <w:tab/>
      </w:r>
      <w:bookmarkEnd w:id="18"/>
      <w:r>
        <w:t>Term used: Noonkanbah Aboriginal Community</w:t>
      </w:r>
      <w:bookmarkEnd w:id="19"/>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 xml:space="preserve">any portion of Crown Lease 3114/576 (Lot 255) between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 southern border of Crown Reserve 23226.</w:t>
      </w:r>
    </w:p>
    <w:p>
      <w:pPr>
        <w:pStyle w:val="Heading5"/>
      </w:pPr>
      <w:bookmarkStart w:id="20" w:name="_Toc179799915"/>
      <w:bookmarkStart w:id="21" w:name="_Toc299024655"/>
      <w:r>
        <w:rPr>
          <w:rStyle w:val="CharSectno"/>
        </w:rPr>
        <w:t>4</w:t>
      </w:r>
      <w:r>
        <w:t>.</w:t>
      </w:r>
      <w:r>
        <w:tab/>
        <w:t>Note is not part of regulation</w:t>
      </w:r>
      <w:bookmarkEnd w:id="20"/>
      <w:bookmarkEnd w:id="21"/>
    </w:p>
    <w:p>
      <w:pPr>
        <w:pStyle w:val="Subsection"/>
      </w:pPr>
      <w:r>
        <w:tab/>
      </w:r>
      <w:r>
        <w:tab/>
        <w:t>The note after regulation 9 does not form part of these regulations.</w:t>
      </w:r>
    </w:p>
    <w:p>
      <w:pPr>
        <w:pStyle w:val="Heading5"/>
      </w:pPr>
      <w:bookmarkStart w:id="22" w:name="_Toc179799916"/>
      <w:bookmarkStart w:id="23" w:name="_Toc299024656"/>
      <w:r>
        <w:rPr>
          <w:rStyle w:val="CharSectno"/>
        </w:rPr>
        <w:t>5</w:t>
      </w:r>
      <w:r>
        <w:t>.</w:t>
      </w:r>
      <w:r>
        <w:tab/>
        <w:t>Declaration of restricted area</w:t>
      </w:r>
      <w:bookmarkEnd w:id="22"/>
      <w:bookmarkEnd w:id="23"/>
    </w:p>
    <w:p>
      <w:pPr>
        <w:pStyle w:val="Subsection"/>
      </w:pPr>
      <w:r>
        <w:tab/>
      </w:r>
      <w:r>
        <w:tab/>
        <w:t>The Noonkanbah Aboriginal Community is declared to be a restricted area for the purposes of section 175(1a) of the Act.</w:t>
      </w:r>
    </w:p>
    <w:p>
      <w:pPr>
        <w:pStyle w:val="Heading5"/>
      </w:pPr>
      <w:bookmarkStart w:id="24" w:name="_Toc179799917"/>
      <w:bookmarkStart w:id="25" w:name="_Toc299024657"/>
      <w:r>
        <w:rPr>
          <w:rStyle w:val="CharSectno"/>
        </w:rPr>
        <w:t>6</w:t>
      </w:r>
      <w:r>
        <w:t>.</w:t>
      </w:r>
      <w:r>
        <w:tab/>
        <w:t>Notice of restricted area</w:t>
      </w:r>
      <w:bookmarkEnd w:id="24"/>
      <w:bookmarkEnd w:id="25"/>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6" w:name="_Toc179799918"/>
      <w:bookmarkStart w:id="27" w:name="_Toc299024658"/>
      <w:r>
        <w:rPr>
          <w:rStyle w:val="CharSectno"/>
        </w:rPr>
        <w:t>7</w:t>
      </w:r>
      <w:r>
        <w:t>.</w:t>
      </w:r>
      <w:r>
        <w:tab/>
        <w:t xml:space="preserve">Prohibitions </w:t>
      </w:r>
      <w:bookmarkEnd w:id="26"/>
      <w:r>
        <w:t>as to liquor in the Noonkanbah Aboriginal Community</w:t>
      </w:r>
      <w:bookmarkEnd w:id="27"/>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8" w:name="_Toc179799920"/>
      <w:bookmarkStart w:id="29" w:name="_Toc299024659"/>
      <w:r>
        <w:rPr>
          <w:rStyle w:val="CharSectno"/>
        </w:rPr>
        <w:t>8</w:t>
      </w:r>
      <w:r>
        <w:t>.</w:t>
      </w:r>
      <w:r>
        <w:tab/>
        <w:t>Seizure and disposal of containers of liquor</w:t>
      </w:r>
      <w:bookmarkEnd w:id="28"/>
      <w:bookmarkEnd w:id="2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0" w:name="_Toc179799921"/>
      <w:bookmarkStart w:id="31" w:name="_Toc299024660"/>
      <w:r>
        <w:rPr>
          <w:rStyle w:val="CharSectno"/>
        </w:rPr>
        <w:t>9</w:t>
      </w:r>
      <w:r>
        <w:t>.</w:t>
      </w:r>
      <w:r>
        <w:tab/>
        <w:t>Period during which these regulations have effect</w:t>
      </w:r>
      <w:bookmarkEnd w:id="30"/>
      <w:bookmarkEnd w:id="31"/>
    </w:p>
    <w:p>
      <w:pPr>
        <w:pStyle w:val="Subsection"/>
      </w:pPr>
      <w:r>
        <w:tab/>
      </w:r>
      <w:r>
        <w:tab/>
        <w:t>Unless sooner repealed, these regulations have effect for the period that ends on the day 5 years after the day referred to in regulation 2(b).</w:t>
      </w:r>
    </w:p>
    <w:p>
      <w:pPr>
        <w:pStyle w:val="Footnotesection"/>
      </w:pPr>
      <w:r>
        <w:tab/>
        <w:t>[Regulation 9 amended in Gazette 22 Jul 2011 p. 3026.]</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 w:name="_Toc113695922"/>
      <w:bookmarkStart w:id="33" w:name="_Toc236123724"/>
      <w:bookmarkStart w:id="34" w:name="_Toc236123855"/>
    </w:p>
    <w:p>
      <w:pPr>
        <w:pStyle w:val="nHeading2"/>
      </w:pPr>
      <w:bookmarkStart w:id="35" w:name="_Toc236124960"/>
      <w:bookmarkStart w:id="36" w:name="_Toc236125200"/>
      <w:bookmarkStart w:id="37" w:name="_Toc236126189"/>
      <w:bookmarkStart w:id="38" w:name="_Toc236126686"/>
      <w:bookmarkStart w:id="39" w:name="_Toc299024661"/>
      <w:r>
        <w:t>Notes</w:t>
      </w:r>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Pr>
          <w:snapToGrid w:val="0"/>
        </w:rPr>
        <w:t xml:space="preserve"> and includes the amendments made by the other written laws referred to in the following table</w:t>
      </w:r>
    </w:p>
    <w:p>
      <w:pPr>
        <w:pStyle w:val="nHeading3"/>
      </w:pPr>
      <w:bookmarkStart w:id="40" w:name="_Toc70311430"/>
      <w:bookmarkStart w:id="41" w:name="_Toc113695923"/>
      <w:bookmarkStart w:id="42" w:name="_Toc299024662"/>
      <w:r>
        <w:t>Compilation table</w:t>
      </w:r>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Liquor Control (Noonkanbah Restricted Area) Regulations 2009</w:t>
            </w:r>
          </w:p>
        </w:tc>
        <w:tc>
          <w:tcPr>
            <w:tcW w:w="1276" w:type="dxa"/>
            <w:tcBorders>
              <w:bottom w:val="nil"/>
            </w:tcBorders>
          </w:tcPr>
          <w:p>
            <w:pPr>
              <w:pStyle w:val="nTable"/>
              <w:spacing w:after="40"/>
              <w:rPr>
                <w:sz w:val="19"/>
              </w:rPr>
            </w:pPr>
            <w:r>
              <w:rPr>
                <w:sz w:val="19"/>
              </w:rPr>
              <w:t>24 Jul 2009 p. 2950-1</w:t>
            </w:r>
          </w:p>
        </w:tc>
        <w:tc>
          <w:tcPr>
            <w:tcW w:w="2693" w:type="dxa"/>
            <w:tcBorders>
              <w:bottom w:val="nil"/>
            </w:tcBorders>
          </w:tcPr>
          <w:p>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c>
          <w:tcPr>
            <w:tcW w:w="3118" w:type="dxa"/>
            <w:tcBorders>
              <w:top w:val="nil"/>
              <w:bottom w:val="single" w:sz="4" w:space="0" w:color="auto"/>
              <w:right w:val="nil"/>
            </w:tcBorders>
          </w:tcPr>
          <w:p>
            <w:pPr>
              <w:pStyle w:val="nTable"/>
              <w:rPr>
                <w:i/>
                <w:sz w:val="19"/>
              </w:rPr>
            </w:pPr>
            <w:r>
              <w:rPr>
                <w:i/>
                <w:sz w:val="19"/>
              </w:rPr>
              <w:t>Liquor Control (Noonkanbah Restricted Area) Amendment Regulations 2011</w:t>
            </w:r>
          </w:p>
        </w:tc>
        <w:tc>
          <w:tcPr>
            <w:tcW w:w="1276" w:type="dxa"/>
            <w:tcBorders>
              <w:top w:val="nil"/>
              <w:left w:val="nil"/>
              <w:bottom w:val="single" w:sz="4" w:space="0" w:color="auto"/>
              <w:right w:val="nil"/>
            </w:tcBorders>
          </w:tcPr>
          <w:p>
            <w:pPr>
              <w:pStyle w:val="nTable"/>
              <w:rPr>
                <w:sz w:val="19"/>
              </w:rPr>
            </w:pPr>
            <w:r>
              <w:rPr>
                <w:sz w:val="19"/>
              </w:rPr>
              <w:t>22 Jul 2011 p. 3026</w:t>
            </w:r>
          </w:p>
        </w:tc>
        <w:tc>
          <w:tcPr>
            <w:tcW w:w="2693" w:type="dxa"/>
            <w:tcBorders>
              <w:top w:val="nil"/>
              <w:left w:val="nil"/>
              <w:bottom w:val="single" w:sz="4" w:space="0" w:color="auto"/>
            </w:tcBorders>
          </w:tcPr>
          <w:p>
            <w:pPr>
              <w:pStyle w:val="nTable"/>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(Noonkanbah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936"/>
    <w:docVar w:name="WAFER_20151207100936" w:val="RemoveTrackChanges"/>
    <w:docVar w:name="WAFER_20151207100936_GUID" w:val="4a80a418-01cb-4f2d-ba52-a4b4a4606e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793</Words>
  <Characters>3990</Characters>
  <Application>Microsoft Office Word</Application>
  <DocSecurity>0</DocSecurity>
  <Lines>142</Lines>
  <Paragraphs>95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2009 - 00-b0-02</dc:title>
  <dc:subject/>
  <dc:creator/>
  <cp:keywords/>
  <dc:description/>
  <cp:lastModifiedBy>svcMRProcess</cp:lastModifiedBy>
  <cp:revision>4</cp:revision>
  <cp:lastPrinted>2009-03-16T03:07:00Z</cp:lastPrinted>
  <dcterms:created xsi:type="dcterms:W3CDTF">2015-12-08T01:24:00Z</dcterms:created>
  <dcterms:modified xsi:type="dcterms:W3CDTF">2015-12-08T01:24:00Z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20110723</vt:lpwstr>
  </property>
  <property fmtid="{D5CDD505-2E9C-101B-9397-08002B2CF9AE}" pid="4" name="AsAtDate">
    <vt:lpwstr>23 Jul 2011</vt:lpwstr>
  </property>
  <property fmtid="{D5CDD505-2E9C-101B-9397-08002B2CF9AE}" pid="5" name="Suffix">
    <vt:lpwstr>00-b0-02</vt:lpwstr>
  </property>
  <property fmtid="{D5CDD505-2E9C-101B-9397-08002B2CF9AE}" pid="6" name="OwlsUID">
    <vt:i4>40293</vt:i4>
  </property>
  <property fmtid="{D5CDD505-2E9C-101B-9397-08002B2CF9AE}" pid="7" name="DocumentType">
    <vt:lpwstr>Reg</vt:lpwstr>
  </property>
</Properties>
</file>