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Coordination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_Toc300302298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_Toc300302299 \h </w:instrText>
      </w:r>
      <w:r>
        <w:fldChar w:fldCharType="separate"/>
      </w:r>
      <w:r>
        <w:t>1</w:t>
      </w:r>
      <w:r>
        <w:fldChar w:fldCharType="end"/>
      </w:r>
    </w:p>
    <w:p>
      <w:pPr>
        <w:pStyle w:val="TOC8"/>
        <w:rPr>
          <w:sz w:val="24"/>
          <w:szCs w:val="24"/>
          <w:lang w:val="en-US"/>
        </w:rPr>
      </w:pPr>
      <w:r>
        <w:t>3.</w:t>
      </w:r>
      <w:r>
        <w:tab/>
        <w:t>Areas to which regulations apply</w:t>
      </w:r>
      <w:r>
        <w:tab/>
      </w:r>
      <w:r>
        <w:fldChar w:fldCharType="begin"/>
      </w:r>
      <w:r>
        <w:instrText xml:space="preserve"> PAGEREF _Toc300302300 \h </w:instrText>
      </w:r>
      <w:r>
        <w:fldChar w:fldCharType="separate"/>
      </w:r>
      <w:r>
        <w:t>1</w:t>
      </w:r>
      <w:r>
        <w:fldChar w:fldCharType="end"/>
      </w:r>
    </w:p>
    <w:p>
      <w:pPr>
        <w:pStyle w:val="TOC8"/>
        <w:rPr>
          <w:sz w:val="24"/>
          <w:szCs w:val="24"/>
          <w:lang w:val="en-US"/>
        </w:rPr>
      </w:pPr>
      <w:r>
        <w:t>4.</w:t>
      </w:r>
      <w:r>
        <w:tab/>
        <w:t>Terms used</w:t>
      </w:r>
      <w:r>
        <w:tab/>
      </w:r>
      <w:r>
        <w:fldChar w:fldCharType="begin"/>
      </w:r>
      <w:r>
        <w:instrText xml:space="preserve"> PAGEREF _Toc300302301 \h </w:instrText>
      </w:r>
      <w:r>
        <w:fldChar w:fldCharType="separate"/>
      </w:r>
      <w:r>
        <w:t>1</w:t>
      </w:r>
      <w:r>
        <w:fldChar w:fldCharType="end"/>
      </w:r>
    </w:p>
    <w:p>
      <w:pPr>
        <w:pStyle w:val="TOC8"/>
        <w:rPr>
          <w:sz w:val="24"/>
          <w:szCs w:val="24"/>
          <w:lang w:val="en-US"/>
        </w:rPr>
      </w:pPr>
      <w:r>
        <w:t>5.</w:t>
      </w:r>
      <w:r>
        <w:tab/>
        <w:t>Supplier to have at least one capped tariff</w:t>
      </w:r>
      <w:r>
        <w:tab/>
      </w:r>
      <w:r>
        <w:fldChar w:fldCharType="begin"/>
      </w:r>
      <w:r>
        <w:instrText xml:space="preserve"> PAGEREF _Toc300302302 \h </w:instrText>
      </w:r>
      <w:r>
        <w:fldChar w:fldCharType="separate"/>
      </w:r>
      <w:r>
        <w:t>3</w:t>
      </w:r>
      <w:r>
        <w:fldChar w:fldCharType="end"/>
      </w:r>
    </w:p>
    <w:p>
      <w:pPr>
        <w:pStyle w:val="TOC8"/>
        <w:rPr>
          <w:sz w:val="24"/>
          <w:szCs w:val="24"/>
          <w:lang w:val="en-US"/>
        </w:rPr>
      </w:pPr>
      <w:r>
        <w:t>6.</w:t>
      </w:r>
      <w:r>
        <w:tab/>
        <w:t>Gas to be offered under standard contract at capped tariff</w:t>
      </w:r>
      <w:r>
        <w:tab/>
      </w:r>
      <w:r>
        <w:fldChar w:fldCharType="begin"/>
      </w:r>
      <w:r>
        <w:instrText xml:space="preserve"> PAGEREF _Toc300302303 \h </w:instrText>
      </w:r>
      <w:r>
        <w:fldChar w:fldCharType="separate"/>
      </w:r>
      <w:r>
        <w:t>3</w:t>
      </w:r>
      <w:r>
        <w:fldChar w:fldCharType="end"/>
      </w:r>
    </w:p>
    <w:p>
      <w:pPr>
        <w:pStyle w:val="TOC8"/>
        <w:rPr>
          <w:sz w:val="24"/>
          <w:szCs w:val="24"/>
          <w:lang w:val="en-US"/>
        </w:rPr>
      </w:pPr>
      <w:r>
        <w:t>7.</w:t>
      </w:r>
      <w:r>
        <w:tab/>
        <w:t>Calculation of amounts</w:t>
      </w:r>
      <w:r>
        <w:tab/>
      </w:r>
      <w:r>
        <w:fldChar w:fldCharType="begin"/>
      </w:r>
      <w:r>
        <w:instrText xml:space="preserve"> PAGEREF _Toc300302304 \h </w:instrText>
      </w:r>
      <w:r>
        <w:fldChar w:fldCharType="separate"/>
      </w:r>
      <w:r>
        <w:t>4</w:t>
      </w:r>
      <w:r>
        <w:fldChar w:fldCharType="end"/>
      </w:r>
    </w:p>
    <w:p>
      <w:pPr>
        <w:pStyle w:val="TOC2"/>
        <w:tabs>
          <w:tab w:val="right" w:leader="dot" w:pos="7086"/>
        </w:tabs>
        <w:rPr>
          <w:b w:val="0"/>
          <w:sz w:val="24"/>
          <w:szCs w:val="24"/>
          <w:lang w:val="en-US"/>
        </w:rPr>
      </w:pPr>
      <w:r>
        <w:t>Schedule 1 — Tariff caps</w:t>
      </w:r>
    </w:p>
    <w:p>
      <w:pPr>
        <w:pStyle w:val="TOC2"/>
        <w:tabs>
          <w:tab w:val="right" w:leader="dot" w:pos="7086"/>
        </w:tabs>
        <w:rPr>
          <w:b w:val="0"/>
          <w:sz w:val="24"/>
          <w:szCs w:val="24"/>
          <w:lang w:val="en-US"/>
        </w:rPr>
      </w:pPr>
      <w:r>
        <w:t>Part 1 — Mid</w:t>
      </w:r>
      <w:r>
        <w:noBreakHyphen/>
        <w:t>West/South</w:t>
      </w:r>
      <w:r>
        <w:noBreakHyphen/>
        <w:t>West area</w:t>
      </w:r>
    </w:p>
    <w:p>
      <w:pPr>
        <w:pStyle w:val="TOC8"/>
        <w:rPr>
          <w:sz w:val="24"/>
          <w:szCs w:val="24"/>
          <w:lang w:val="en-US"/>
        </w:rPr>
      </w:pPr>
      <w:r>
        <w:t>1.</w:t>
      </w:r>
      <w:r>
        <w:tab/>
        <w:t>Residential tariff</w:t>
      </w:r>
      <w:r>
        <w:tab/>
      </w:r>
      <w:r>
        <w:fldChar w:fldCharType="begin"/>
      </w:r>
      <w:r>
        <w:instrText xml:space="preserve"> PAGEREF _Toc300302307 \h </w:instrText>
      </w:r>
      <w:r>
        <w:fldChar w:fldCharType="separate"/>
      </w:r>
      <w:r>
        <w:t>5</w:t>
      </w:r>
      <w:r>
        <w:fldChar w:fldCharType="end"/>
      </w:r>
    </w:p>
    <w:p>
      <w:pPr>
        <w:pStyle w:val="TOC8"/>
        <w:rPr>
          <w:sz w:val="24"/>
          <w:szCs w:val="24"/>
          <w:lang w:val="en-US"/>
        </w:rPr>
      </w:pPr>
      <w:r>
        <w:t>2.</w:t>
      </w:r>
      <w:r>
        <w:tab/>
        <w:t>Non</w:t>
      </w:r>
      <w:r>
        <w:noBreakHyphen/>
        <w:t>residential tariff</w:t>
      </w:r>
      <w:r>
        <w:tab/>
      </w:r>
      <w:r>
        <w:fldChar w:fldCharType="begin"/>
      </w:r>
      <w:r>
        <w:instrText xml:space="preserve"> PAGEREF _Toc300302308 \h </w:instrText>
      </w:r>
      <w:r>
        <w:fldChar w:fldCharType="separate"/>
      </w:r>
      <w:r>
        <w:t>6</w:t>
      </w:r>
      <w:r>
        <w:fldChar w:fldCharType="end"/>
      </w:r>
    </w:p>
    <w:p>
      <w:pPr>
        <w:pStyle w:val="TOC2"/>
        <w:tabs>
          <w:tab w:val="right" w:leader="dot" w:pos="7086"/>
        </w:tabs>
        <w:rPr>
          <w:b w:val="0"/>
          <w:sz w:val="24"/>
          <w:szCs w:val="24"/>
          <w:lang w:val="en-US"/>
        </w:rPr>
      </w:pPr>
      <w:r>
        <w:t>Part 2 — Albany area</w:t>
      </w:r>
    </w:p>
    <w:p>
      <w:pPr>
        <w:pStyle w:val="TOC8"/>
        <w:rPr>
          <w:sz w:val="24"/>
          <w:szCs w:val="24"/>
          <w:lang w:val="en-US"/>
        </w:rPr>
      </w:pPr>
      <w:r>
        <w:t>3.</w:t>
      </w:r>
      <w:r>
        <w:tab/>
        <w:t>Residential tariff</w:t>
      </w:r>
      <w:r>
        <w:tab/>
      </w:r>
      <w:r>
        <w:fldChar w:fldCharType="begin"/>
      </w:r>
      <w:r>
        <w:instrText xml:space="preserve"> PAGEREF _Toc300302310 \h </w:instrText>
      </w:r>
      <w:r>
        <w:fldChar w:fldCharType="separate"/>
      </w:r>
      <w:r>
        <w:t>7</w:t>
      </w:r>
      <w:r>
        <w:fldChar w:fldCharType="end"/>
      </w:r>
    </w:p>
    <w:p>
      <w:pPr>
        <w:pStyle w:val="TOC8"/>
        <w:rPr>
          <w:sz w:val="24"/>
          <w:szCs w:val="24"/>
          <w:lang w:val="en-US"/>
        </w:rPr>
      </w:pPr>
      <w:r>
        <w:t>4.</w:t>
      </w:r>
      <w:r>
        <w:tab/>
        <w:t>Non</w:t>
      </w:r>
      <w:r>
        <w:noBreakHyphen/>
        <w:t>residential tariff</w:t>
      </w:r>
      <w:r>
        <w:tab/>
      </w:r>
      <w:r>
        <w:fldChar w:fldCharType="begin"/>
      </w:r>
      <w:r>
        <w:instrText xml:space="preserve"> PAGEREF _Toc300302311 \h </w:instrText>
      </w:r>
      <w:r>
        <w:fldChar w:fldCharType="separate"/>
      </w:r>
      <w:r>
        <w:t>7</w:t>
      </w:r>
      <w:r>
        <w:fldChar w:fldCharType="end"/>
      </w:r>
    </w:p>
    <w:p>
      <w:pPr>
        <w:pStyle w:val="TOC2"/>
        <w:tabs>
          <w:tab w:val="right" w:leader="dot" w:pos="7086"/>
        </w:tabs>
        <w:rPr>
          <w:b w:val="0"/>
          <w:sz w:val="24"/>
          <w:szCs w:val="24"/>
          <w:lang w:val="en-US"/>
        </w:rPr>
      </w:pPr>
      <w:r>
        <w:t>Part 3 — Kalgoorlie</w:t>
      </w:r>
      <w:r>
        <w:noBreakHyphen/>
        <w:t>Boulder area</w:t>
      </w:r>
    </w:p>
    <w:p>
      <w:pPr>
        <w:pStyle w:val="TOC8"/>
        <w:rPr>
          <w:sz w:val="24"/>
          <w:szCs w:val="24"/>
          <w:lang w:val="en-US"/>
        </w:rPr>
      </w:pPr>
      <w:r>
        <w:t>5.</w:t>
      </w:r>
      <w:r>
        <w:tab/>
        <w:t>Residential tariff</w:t>
      </w:r>
      <w:r>
        <w:tab/>
      </w:r>
      <w:r>
        <w:fldChar w:fldCharType="begin"/>
      </w:r>
      <w:r>
        <w:instrText xml:space="preserve"> PAGEREF _Toc300302313 \h </w:instrText>
      </w:r>
      <w:r>
        <w:fldChar w:fldCharType="separate"/>
      </w:r>
      <w:r>
        <w:t>8</w:t>
      </w:r>
      <w:r>
        <w:fldChar w:fldCharType="end"/>
      </w:r>
    </w:p>
    <w:p>
      <w:pPr>
        <w:pStyle w:val="TOC8"/>
        <w:rPr>
          <w:sz w:val="24"/>
          <w:szCs w:val="24"/>
          <w:lang w:val="en-US"/>
        </w:rPr>
      </w:pPr>
      <w:r>
        <w:t>6.</w:t>
      </w:r>
      <w:r>
        <w:tab/>
        <w:t>Non</w:t>
      </w:r>
      <w:r>
        <w:noBreakHyphen/>
        <w:t>residential tariff</w:t>
      </w:r>
      <w:r>
        <w:tab/>
      </w:r>
      <w:r>
        <w:fldChar w:fldCharType="begin"/>
      </w:r>
      <w:r>
        <w:instrText xml:space="preserve"> PAGEREF _Toc300302314 \h </w:instrText>
      </w:r>
      <w:r>
        <w:fldChar w:fldCharType="separate"/>
      </w:r>
      <w:r>
        <w:t>8</w:t>
      </w:r>
      <w:r>
        <w:fldChar w:fldCharType="end"/>
      </w:r>
    </w:p>
    <w:p>
      <w:pPr>
        <w:pStyle w:val="TOC2"/>
        <w:tabs>
          <w:tab w:val="right" w:leader="dot" w:pos="7086"/>
        </w:tabs>
        <w:rPr>
          <w:b w:val="0"/>
          <w:sz w:val="24"/>
          <w:szCs w:val="24"/>
          <w:lang w:val="en-US"/>
        </w:rPr>
      </w:pPr>
      <w:r>
        <w:lastRenderedPageBreak/>
        <w:t>Part 4</w:t>
      </w:r>
      <w:r>
        <w:rPr>
          <w:b w:val="0"/>
        </w:rPr>
        <w:t> </w:t>
      </w:r>
      <w:r>
        <w:t>—</w:t>
      </w:r>
      <w:r>
        <w:rPr>
          <w:b w:val="0"/>
        </w:rPr>
        <w:t> </w:t>
      </w:r>
      <w:r>
        <w:t>Adjustment of certain tariff caps</w:t>
      </w:r>
    </w:p>
    <w:p>
      <w:pPr>
        <w:pStyle w:val="TOC8"/>
        <w:rPr>
          <w:sz w:val="24"/>
          <w:szCs w:val="24"/>
          <w:lang w:val="en-US"/>
        </w:rPr>
      </w:pPr>
      <w:r>
        <w:t>7.</w:t>
      </w:r>
      <w:r>
        <w:tab/>
        <w:t>Term used: CPI number</w:t>
      </w:r>
      <w:r>
        <w:tab/>
      </w:r>
      <w:r>
        <w:fldChar w:fldCharType="begin"/>
      </w:r>
      <w:r>
        <w:instrText xml:space="preserve"> PAGEREF _Toc300302316 \h </w:instrText>
      </w:r>
      <w:r>
        <w:fldChar w:fldCharType="separate"/>
      </w:r>
      <w:r>
        <w:t>9</w:t>
      </w:r>
      <w:r>
        <w:fldChar w:fldCharType="end"/>
      </w:r>
    </w:p>
    <w:p>
      <w:pPr>
        <w:pStyle w:val="TOC8"/>
        <w:rPr>
          <w:sz w:val="24"/>
          <w:szCs w:val="24"/>
          <w:lang w:val="en-US"/>
        </w:rPr>
      </w:pPr>
      <w:r>
        <w:t>8.</w:t>
      </w:r>
      <w:r>
        <w:tab/>
        <w:t>General adjustment for 2012/13 financial year and subsequent financial years</w:t>
      </w:r>
      <w:r>
        <w:tab/>
      </w:r>
      <w:r>
        <w:fldChar w:fldCharType="begin"/>
      </w:r>
      <w:r>
        <w:instrText xml:space="preserve"> PAGEREF _Toc300302317 \h </w:instrText>
      </w:r>
      <w:r>
        <w:fldChar w:fldCharType="separate"/>
      </w:r>
      <w:r>
        <w:t>9</w:t>
      </w:r>
      <w:r>
        <w:fldChar w:fldCharType="end"/>
      </w:r>
    </w:p>
    <w:p>
      <w:pPr>
        <w:pStyle w:val="TOC8"/>
        <w:rPr>
          <w:sz w:val="24"/>
          <w:szCs w:val="24"/>
          <w:lang w:val="en-US"/>
        </w:rPr>
      </w:pPr>
      <w:r>
        <w:t>9.</w:t>
      </w:r>
      <w:r>
        <w:tab/>
        <w:t>Special adjustment for residential tariffs in Mid</w:t>
      </w:r>
      <w:r>
        <w:noBreakHyphen/>
        <w:t>West/South</w:t>
      </w:r>
      <w:r>
        <w:noBreakHyphen/>
        <w:t>West area</w:t>
      </w:r>
      <w:r>
        <w:tab/>
      </w:r>
      <w:r>
        <w:fldChar w:fldCharType="begin"/>
      </w:r>
      <w:r>
        <w:instrText xml:space="preserve"> PAGEREF _Toc300302318 \h </w:instrText>
      </w:r>
      <w:r>
        <w:fldChar w:fldCharType="separate"/>
      </w:r>
      <w:r>
        <w:t>10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_Toc300302320 \h </w:instrText>
      </w:r>
      <w:r>
        <w:fldChar w:fldCharType="separate"/>
      </w:r>
      <w:r>
        <w:t>11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Coordination Act 1994</w:t>
      </w:r>
    </w:p>
    <w:p>
      <w:pPr>
        <w:pStyle w:val="NameofActReg"/>
        <w:tabs>
          <w:tab w:val="left" w:pos="6804"/>
        </w:tabs>
        <w:ind w:right="294"/>
      </w:pPr>
      <w:r>
        <w:t>Energy Coordination (Gas Tariffs) Regulations 2000</w:t>
      </w:r>
    </w:p>
    <w:p>
      <w:pPr>
        <w:pStyle w:val="Heading2"/>
        <w:pageBreakBefore w:val="0"/>
        <w:spacing w:before="360"/>
      </w:pPr>
      <w:bookmarkStart w:id="1" w:name="_Toc202505204"/>
      <w:bookmarkStart w:id="2" w:name="_Toc234139440"/>
      <w:bookmarkStart w:id="3" w:name="_Toc238528498"/>
      <w:bookmarkStart w:id="4" w:name="_Toc238528578"/>
      <w:bookmarkStart w:id="5" w:name="_Toc238529190"/>
      <w:bookmarkStart w:id="6" w:name="_Toc238969824"/>
      <w:bookmarkStart w:id="7" w:name="_Toc238973688"/>
      <w:bookmarkStart w:id="8" w:name="_Toc238973801"/>
      <w:bookmarkStart w:id="9" w:name="_Toc240447146"/>
      <w:bookmarkStart w:id="10" w:name="_Toc257298695"/>
      <w:bookmarkStart w:id="11" w:name="_Toc257298847"/>
      <w:bookmarkStart w:id="12" w:name="_Toc299707797"/>
      <w:bookmarkStart w:id="13" w:name="_Toc299707870"/>
      <w:bookmarkStart w:id="14" w:name="_Toc30030229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84947032"/>
      <w:bookmarkStart w:id="16" w:name="_Toc22697744"/>
      <w:bookmarkStart w:id="17" w:name="_Toc22697819"/>
      <w:bookmarkStart w:id="18" w:name="_Toc234139441"/>
      <w:bookmarkStart w:id="19" w:name="_Toc300302298"/>
      <w:r>
        <w:rPr>
          <w:rStyle w:val="CharSectno"/>
        </w:rPr>
        <w:t>1</w:t>
      </w:r>
      <w:r>
        <w:t>.</w:t>
      </w:r>
      <w:r>
        <w:tab/>
      </w:r>
      <w:bookmarkStart w:id="20" w:name="Start_Cursor"/>
      <w:bookmarkEnd w:id="20"/>
      <w:r>
        <w:t>Citation</w:t>
      </w:r>
      <w:bookmarkEnd w:id="15"/>
      <w:bookmarkEnd w:id="16"/>
      <w:bookmarkEnd w:id="17"/>
      <w:bookmarkEnd w:id="18"/>
      <w:bookmarkEnd w:id="19"/>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21" w:name="_Toc484947033"/>
      <w:bookmarkStart w:id="22" w:name="_Toc22697745"/>
      <w:bookmarkStart w:id="23" w:name="_Toc22697820"/>
      <w:bookmarkStart w:id="24" w:name="_Toc234139442"/>
      <w:bookmarkStart w:id="25" w:name="_Toc300302299"/>
      <w:r>
        <w:rPr>
          <w:rStyle w:val="CharSectno"/>
        </w:rPr>
        <w:t>2</w:t>
      </w:r>
      <w:r>
        <w:rPr>
          <w:spacing w:val="-2"/>
        </w:rPr>
        <w:t>.</w:t>
      </w:r>
      <w:r>
        <w:rPr>
          <w:spacing w:val="-2"/>
        </w:rPr>
        <w:tab/>
        <w:t>Commencement</w:t>
      </w:r>
      <w:bookmarkEnd w:id="21"/>
      <w:bookmarkEnd w:id="22"/>
      <w:bookmarkEnd w:id="23"/>
      <w:bookmarkEnd w:id="24"/>
      <w:bookmarkEnd w:id="25"/>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26" w:name="_Toc484947034"/>
      <w:bookmarkStart w:id="27" w:name="_Toc22697746"/>
      <w:bookmarkStart w:id="28" w:name="_Toc22697821"/>
      <w:bookmarkStart w:id="29" w:name="_Toc234139443"/>
      <w:bookmarkStart w:id="30" w:name="_Toc300302300"/>
      <w:r>
        <w:rPr>
          <w:rStyle w:val="CharSectno"/>
        </w:rPr>
        <w:t>3</w:t>
      </w:r>
      <w:r>
        <w:t>.</w:t>
      </w:r>
      <w:r>
        <w:tab/>
        <w:t>Areas to which regulations apply</w:t>
      </w:r>
      <w:bookmarkEnd w:id="26"/>
      <w:bookmarkEnd w:id="27"/>
      <w:bookmarkEnd w:id="28"/>
      <w:bookmarkEnd w:id="29"/>
      <w:bookmarkEnd w:id="30"/>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31" w:name="_Toc484947035"/>
      <w:bookmarkStart w:id="32" w:name="_Toc22697747"/>
      <w:bookmarkStart w:id="33" w:name="_Toc22697822"/>
      <w:bookmarkStart w:id="34" w:name="_Toc234139444"/>
      <w:bookmarkStart w:id="35" w:name="_Toc300302301"/>
      <w:r>
        <w:rPr>
          <w:rStyle w:val="CharSectno"/>
        </w:rPr>
        <w:t>4</w:t>
      </w:r>
      <w:r>
        <w:t>.</w:t>
      </w:r>
      <w:r>
        <w:tab/>
      </w:r>
      <w:bookmarkEnd w:id="31"/>
      <w:bookmarkEnd w:id="32"/>
      <w:bookmarkEnd w:id="33"/>
      <w:bookmarkEnd w:id="34"/>
      <w:r>
        <w:t>Terms used</w:t>
      </w:r>
      <w:bookmarkEnd w:id="35"/>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a person who supplies gas;</w:t>
      </w:r>
    </w:p>
    <w:p>
      <w:pPr>
        <w:pStyle w:val="Defstart"/>
      </w:pPr>
      <w:r>
        <w:tab/>
      </w:r>
      <w:r>
        <w:rPr>
          <w:rStyle w:val="CharDefText"/>
        </w:rPr>
        <w:t>supply</w:t>
      </w:r>
      <w:r>
        <w:t xml:space="preserve"> has the meaning given by paragraph (b) of the definition of </w:t>
      </w:r>
      <w:r>
        <w:rPr>
          <w:b/>
          <w:bCs/>
          <w:i/>
          <w:iCs/>
        </w:rPr>
        <w:t>supply</w:t>
      </w:r>
      <w:r>
        <w:t xml:space="preserve"> in section 3 of the Act;</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Heading5"/>
      </w:pPr>
      <w:bookmarkStart w:id="36" w:name="_Toc484947036"/>
      <w:bookmarkStart w:id="37" w:name="_Toc22697748"/>
      <w:bookmarkStart w:id="38" w:name="_Toc22697823"/>
      <w:bookmarkStart w:id="39" w:name="_Toc234139445"/>
      <w:bookmarkStart w:id="40" w:name="_Toc300302302"/>
      <w:r>
        <w:rPr>
          <w:rStyle w:val="CharSectno"/>
        </w:rPr>
        <w:t>5</w:t>
      </w:r>
      <w:r>
        <w:t>.</w:t>
      </w:r>
      <w:r>
        <w:tab/>
        <w:t>Supplier to have at least one capped tariff</w:t>
      </w:r>
      <w:bookmarkEnd w:id="36"/>
      <w:bookmarkEnd w:id="37"/>
      <w:bookmarkEnd w:id="38"/>
      <w:bookmarkEnd w:id="39"/>
      <w:bookmarkEnd w:id="40"/>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r>
      <w:bookmarkStart w:id="41" w:name="_Hlt472841165"/>
      <w:bookmarkEnd w:id="41"/>
      <w:r>
        <w:t>(2)</w:t>
      </w:r>
      <w:r>
        <w:tab/>
      </w:r>
      <w:bookmarkStart w:id="42" w:name="_Hlt472841237"/>
      <w:bookmarkEnd w:id="42"/>
      <w:r>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w:t>
      </w:r>
      <w:bookmarkStart w:id="43" w:name="_Hlt476566238"/>
      <w:bookmarkEnd w:id="43"/>
      <w:r>
        <w:t>1.</w:t>
      </w:r>
    </w:p>
    <w:p>
      <w:pPr>
        <w:pStyle w:val="Footnotesection"/>
      </w:pPr>
      <w:r>
        <w:tab/>
        <w:t>[Regulation 5 amended in Gazette 18 Oct 2002 p. 5224.]</w:t>
      </w:r>
    </w:p>
    <w:p>
      <w:pPr>
        <w:pStyle w:val="Heading5"/>
      </w:pPr>
      <w:bookmarkStart w:id="44" w:name="_Toc484947037"/>
      <w:bookmarkStart w:id="45" w:name="_Toc22697749"/>
      <w:bookmarkStart w:id="46" w:name="_Toc22697824"/>
      <w:bookmarkStart w:id="47" w:name="_Toc234139446"/>
      <w:bookmarkStart w:id="48" w:name="_Toc300302303"/>
      <w:r>
        <w:rPr>
          <w:rStyle w:val="CharSectno"/>
        </w:rPr>
        <w:t>6</w:t>
      </w:r>
      <w:r>
        <w:t>.</w:t>
      </w:r>
      <w:r>
        <w:tab/>
        <w:t>Gas to be offered under standard contract at capped tariff</w:t>
      </w:r>
      <w:bookmarkEnd w:id="44"/>
      <w:bookmarkEnd w:id="45"/>
      <w:bookmarkEnd w:id="46"/>
      <w:bookmarkEnd w:id="47"/>
      <w:bookmarkEnd w:id="48"/>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a supplier is to offer to supply gas under an approved contract but at a capped tariff.</w:t>
      </w:r>
    </w:p>
    <w:p>
      <w:pPr>
        <w:pStyle w:val="Subsection"/>
        <w:keepNext/>
      </w:pPr>
      <w:r>
        <w:tab/>
        <w:t>(5)</w:t>
      </w:r>
      <w:r>
        <w:tab/>
        <w:t>In subregulation (4) —</w:t>
      </w:r>
    </w:p>
    <w:p>
      <w:pPr>
        <w:pStyle w:val="Defstart"/>
      </w:pPr>
      <w:r>
        <w:tab/>
      </w:r>
      <w:r>
        <w:rPr>
          <w:rStyle w:val="CharDefText"/>
        </w:rPr>
        <w:t>approved contract</w:t>
      </w:r>
      <w:r>
        <w:t xml:space="preserve"> means —</w:t>
      </w:r>
    </w:p>
    <w:p>
      <w:pPr>
        <w:pStyle w:val="Defpara"/>
      </w:pPr>
      <w:r>
        <w:tab/>
        <w:t>(a)</w:t>
      </w:r>
      <w:r>
        <w:tab/>
        <w:t>a contract in a form approved under section 26(2)(c) of the Act by the Coordinator; or</w:t>
      </w:r>
    </w:p>
    <w:p>
      <w:pPr>
        <w:pStyle w:val="Defpara"/>
      </w:pPr>
      <w:r>
        <w:tab/>
        <w:t>(b)</w:t>
      </w:r>
      <w:r>
        <w:tab/>
        <w:t>a contract the terms and conditions of which are specified in a trading licence;</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w:t>
      </w:r>
    </w:p>
    <w:p>
      <w:pPr>
        <w:pStyle w:val="Heading5"/>
      </w:pPr>
      <w:bookmarkStart w:id="49" w:name="_Toc484947038"/>
      <w:bookmarkStart w:id="50" w:name="_Toc22697750"/>
      <w:bookmarkStart w:id="51" w:name="_Toc22697825"/>
      <w:bookmarkStart w:id="52" w:name="_Toc234139447"/>
      <w:bookmarkStart w:id="53" w:name="_Toc300302304"/>
      <w:r>
        <w:rPr>
          <w:rStyle w:val="CharSectno"/>
        </w:rPr>
        <w:t>7</w:t>
      </w:r>
      <w:r>
        <w:t>.</w:t>
      </w:r>
      <w:r>
        <w:tab/>
        <w:t>Calculation of amounts</w:t>
      </w:r>
      <w:bookmarkEnd w:id="49"/>
      <w:bookmarkEnd w:id="50"/>
      <w:bookmarkEnd w:id="51"/>
      <w:bookmarkEnd w:id="52"/>
      <w:bookmarkEnd w:id="53"/>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54" w:name="_Toc234139448"/>
      <w:bookmarkStart w:id="55" w:name="_Toc238528506"/>
      <w:bookmarkStart w:id="56" w:name="_Toc238528586"/>
      <w:bookmarkStart w:id="57" w:name="_Toc238529198"/>
      <w:bookmarkStart w:id="58" w:name="_Toc238969832"/>
      <w:bookmarkStart w:id="59" w:name="_Toc238973696"/>
      <w:bookmarkStart w:id="60" w:name="_Toc238973809"/>
      <w:bookmarkStart w:id="61" w:name="_Toc240447154"/>
      <w:bookmarkStart w:id="62" w:name="_Toc257298703"/>
      <w:bookmarkStart w:id="63" w:name="_Toc257298855"/>
      <w:bookmarkStart w:id="64" w:name="_Toc299707805"/>
      <w:bookmarkStart w:id="65" w:name="_Toc299707878"/>
      <w:bookmarkStart w:id="66" w:name="_Toc300302305"/>
      <w:r>
        <w:rPr>
          <w:rStyle w:val="CharSchNo"/>
        </w:rPr>
        <w:t>Schedule 1</w:t>
      </w:r>
      <w:r>
        <w:t xml:space="preserve"> — </w:t>
      </w:r>
      <w:r>
        <w:rPr>
          <w:rStyle w:val="CharSchText"/>
        </w:rPr>
        <w:t>Tariff caps</w:t>
      </w:r>
      <w:bookmarkEnd w:id="54"/>
      <w:bookmarkEnd w:id="55"/>
      <w:bookmarkEnd w:id="56"/>
      <w:bookmarkEnd w:id="57"/>
      <w:bookmarkEnd w:id="58"/>
      <w:bookmarkEnd w:id="59"/>
      <w:bookmarkEnd w:id="60"/>
      <w:bookmarkEnd w:id="61"/>
      <w:bookmarkEnd w:id="62"/>
      <w:bookmarkEnd w:id="63"/>
      <w:bookmarkEnd w:id="64"/>
      <w:bookmarkEnd w:id="65"/>
      <w:bookmarkEnd w:id="66"/>
    </w:p>
    <w:p>
      <w:pPr>
        <w:pStyle w:val="yShoulderClause"/>
      </w:pPr>
      <w:r>
        <w:t>[r. 5(2)]</w:t>
      </w:r>
    </w:p>
    <w:p>
      <w:pPr>
        <w:pStyle w:val="yHeading2"/>
      </w:pPr>
      <w:bookmarkStart w:id="67" w:name="_Toc234139449"/>
      <w:bookmarkStart w:id="68" w:name="_Toc238528507"/>
      <w:bookmarkStart w:id="69" w:name="_Toc238528587"/>
      <w:bookmarkStart w:id="70" w:name="_Toc238529199"/>
      <w:bookmarkStart w:id="71" w:name="_Toc238969833"/>
      <w:bookmarkStart w:id="72" w:name="_Toc238973697"/>
      <w:bookmarkStart w:id="73" w:name="_Toc238973810"/>
      <w:bookmarkStart w:id="74" w:name="_Toc240447155"/>
      <w:bookmarkStart w:id="75" w:name="_Toc257298704"/>
      <w:bookmarkStart w:id="76" w:name="_Toc257298856"/>
      <w:bookmarkStart w:id="77" w:name="_Toc299707806"/>
      <w:bookmarkStart w:id="78" w:name="_Toc299707879"/>
      <w:bookmarkStart w:id="79" w:name="_Toc300302306"/>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67"/>
      <w:bookmarkEnd w:id="68"/>
      <w:bookmarkEnd w:id="69"/>
      <w:bookmarkEnd w:id="70"/>
      <w:bookmarkEnd w:id="71"/>
      <w:bookmarkEnd w:id="72"/>
      <w:bookmarkEnd w:id="73"/>
      <w:bookmarkEnd w:id="74"/>
      <w:bookmarkEnd w:id="75"/>
      <w:bookmarkEnd w:id="76"/>
      <w:bookmarkEnd w:id="77"/>
      <w:bookmarkEnd w:id="78"/>
      <w:bookmarkEnd w:id="79"/>
    </w:p>
    <w:p>
      <w:pPr>
        <w:pStyle w:val="yHeading5"/>
      </w:pPr>
      <w:bookmarkStart w:id="80" w:name="_Toc484947040"/>
      <w:bookmarkStart w:id="81" w:name="_Toc234139450"/>
      <w:bookmarkStart w:id="82" w:name="_Toc300302307"/>
      <w:r>
        <w:rPr>
          <w:rStyle w:val="CharSClsNo"/>
        </w:rPr>
        <w:t>1</w:t>
      </w:r>
      <w:r>
        <w:t>.</w:t>
      </w:r>
      <w:r>
        <w:tab/>
        <w:t>Residential tariff</w:t>
      </w:r>
      <w:bookmarkEnd w:id="80"/>
      <w:bookmarkEnd w:id="81"/>
      <w:bookmarkEnd w:id="82"/>
    </w:p>
    <w:p>
      <w:pPr>
        <w:pStyle w:val="ySubsection"/>
        <w:spacing w:after="80"/>
      </w:pPr>
      <w:r>
        <w:tab/>
      </w:r>
      <w:r>
        <w:tab/>
        <w:t xml:space="preserve">Under this Schedule a charge for the supply of gas for residential purposes is calculated by adding the fixed component and the usage components, each of which is calculated at the rate shown in the Table to this clause or, where applicable, that rate as adjusted under Part </w:t>
      </w:r>
      <w:bookmarkStart w:id="83" w:name="_Hlt471891727"/>
      <w:bookmarkStart w:id="84" w:name="_Hlt472825911"/>
      <w:bookmarkEnd w:id="83"/>
      <w:r>
        <w:t>4</w:t>
      </w:r>
      <w:bookmarkEnd w:id="84"/>
      <w:r>
        <w:t>.</w:t>
      </w:r>
    </w:p>
    <w:p>
      <w:pPr>
        <w:pStyle w:val="yTHeadingNAm"/>
      </w:pPr>
      <w:bookmarkStart w:id="85" w:name="_Toc484947041"/>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17.12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r>
              <w:t>11.81 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r>
              <w:t>10.66 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r>
              <w:t>10.66 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w:t>
      </w:r>
    </w:p>
    <w:p>
      <w:pPr>
        <w:pStyle w:val="yHeading5"/>
      </w:pPr>
      <w:bookmarkStart w:id="86" w:name="_Toc234139451"/>
      <w:bookmarkStart w:id="87" w:name="_Toc300302308"/>
      <w:r>
        <w:rPr>
          <w:rStyle w:val="CharSClsNo"/>
        </w:rPr>
        <w:t>2</w:t>
      </w:r>
      <w:r>
        <w:t>.</w:t>
      </w:r>
      <w:r>
        <w:tab/>
        <w:t>Non</w:t>
      </w:r>
      <w:r>
        <w:noBreakHyphen/>
        <w:t>residential tariff</w:t>
      </w:r>
      <w:bookmarkEnd w:id="85"/>
      <w:bookmarkEnd w:id="86"/>
      <w:bookmarkEnd w:id="87"/>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t>14.89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t>10.77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t>8.62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w:t>
      </w:r>
    </w:p>
    <w:p>
      <w:pPr>
        <w:pStyle w:val="yHeading2"/>
      </w:pPr>
      <w:bookmarkStart w:id="88" w:name="_Toc234139452"/>
      <w:bookmarkStart w:id="89" w:name="_Toc238528510"/>
      <w:bookmarkStart w:id="90" w:name="_Toc238528590"/>
      <w:bookmarkStart w:id="91" w:name="_Toc238529202"/>
      <w:bookmarkStart w:id="92" w:name="_Toc238969836"/>
      <w:bookmarkStart w:id="93" w:name="_Toc238973700"/>
      <w:bookmarkStart w:id="94" w:name="_Toc238973813"/>
      <w:bookmarkStart w:id="95" w:name="_Toc240447158"/>
      <w:bookmarkStart w:id="96" w:name="_Toc257298707"/>
      <w:bookmarkStart w:id="97" w:name="_Toc257298859"/>
      <w:bookmarkStart w:id="98" w:name="_Toc299707809"/>
      <w:bookmarkStart w:id="99" w:name="_Toc299707882"/>
      <w:bookmarkStart w:id="100" w:name="_Toc300302309"/>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88"/>
      <w:bookmarkEnd w:id="89"/>
      <w:bookmarkEnd w:id="90"/>
      <w:bookmarkEnd w:id="91"/>
      <w:bookmarkEnd w:id="92"/>
      <w:bookmarkEnd w:id="93"/>
      <w:bookmarkEnd w:id="94"/>
      <w:bookmarkEnd w:id="95"/>
      <w:bookmarkEnd w:id="96"/>
      <w:bookmarkEnd w:id="97"/>
      <w:bookmarkEnd w:id="98"/>
      <w:bookmarkEnd w:id="99"/>
      <w:bookmarkEnd w:id="100"/>
    </w:p>
    <w:p>
      <w:pPr>
        <w:pStyle w:val="yHeading5"/>
      </w:pPr>
      <w:bookmarkStart w:id="101" w:name="_Toc484947042"/>
      <w:bookmarkStart w:id="102" w:name="_Toc234139453"/>
      <w:bookmarkStart w:id="103" w:name="_Toc300302310"/>
      <w:r>
        <w:rPr>
          <w:rStyle w:val="CharSClsNo"/>
        </w:rPr>
        <w:t>3</w:t>
      </w:r>
      <w:r>
        <w:t>.</w:t>
      </w:r>
      <w:r>
        <w:tab/>
        <w:t>Residential tariff</w:t>
      </w:r>
      <w:bookmarkEnd w:id="101"/>
      <w:bookmarkEnd w:id="102"/>
      <w:bookmarkEnd w:id="103"/>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04" w:name="_Toc484947043"/>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for premises other than those described in paragraph (b) — 18.49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t>18.49 cents per day for the first dwelling</w:t>
            </w:r>
          </w:p>
          <w:p>
            <w:pPr>
              <w:pStyle w:val="yTableNAm"/>
              <w:tabs>
                <w:tab w:val="clear" w:pos="567"/>
                <w:tab w:val="left" w:pos="438"/>
                <w:tab w:val="left" w:pos="678"/>
              </w:tabs>
              <w:ind w:left="678" w:hanging="678"/>
            </w:pPr>
            <w:r>
              <w:tab/>
              <w:t>•</w:t>
            </w:r>
            <w:r>
              <w:tab/>
              <w:t>9.22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13.44 cents per unit</w:t>
            </w:r>
          </w:p>
        </w:tc>
      </w:tr>
    </w:tbl>
    <w:p>
      <w:pPr>
        <w:pStyle w:val="yFootnotesection"/>
      </w:pPr>
      <w:r>
        <w:tab/>
        <w:t>[Clause 3 amended in Gazette 18 Oct 2002 p. 5224; 30 Jun 2008 p. 3134; 30 Jun 2009 p. 2672; 26 Mar 2010 p. 1144; 29 Jul 2011 p. 3131.]</w:t>
      </w:r>
    </w:p>
    <w:p>
      <w:pPr>
        <w:pStyle w:val="yHeading5"/>
      </w:pPr>
      <w:bookmarkStart w:id="105" w:name="_Toc234139454"/>
      <w:bookmarkStart w:id="106" w:name="_Toc300302311"/>
      <w:r>
        <w:rPr>
          <w:rStyle w:val="CharSClsNo"/>
        </w:rPr>
        <w:t>4</w:t>
      </w:r>
      <w:r>
        <w:t>.</w:t>
      </w:r>
      <w:r>
        <w:tab/>
        <w:t>Non</w:t>
      </w:r>
      <w:r>
        <w:noBreakHyphen/>
        <w:t>residential tariff</w:t>
      </w:r>
      <w:bookmarkEnd w:id="104"/>
      <w:bookmarkEnd w:id="105"/>
      <w:bookmarkEnd w:id="106"/>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18.49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13.44 cents per unit</w:t>
            </w:r>
          </w:p>
        </w:tc>
      </w:tr>
    </w:tbl>
    <w:p>
      <w:pPr>
        <w:pStyle w:val="yFootnotesection"/>
      </w:pPr>
      <w:r>
        <w:tab/>
        <w:t>[Clause 4 amended in Gazette 18 Oct 2002 p. 5224; 30 Jun 2008 p. 3135; 30 Jun 2009 p. 2672; 26 Mar 2010 p. 1144; 29 Jul 2011 p. 3132.]</w:t>
      </w:r>
    </w:p>
    <w:p>
      <w:pPr>
        <w:pStyle w:val="yHeading2"/>
        <w:rPr>
          <w:rStyle w:val="CharPartText"/>
        </w:rPr>
      </w:pPr>
      <w:bookmarkStart w:id="107" w:name="_Toc234139455"/>
      <w:bookmarkStart w:id="108" w:name="_Toc238528513"/>
      <w:bookmarkStart w:id="109" w:name="_Toc238528593"/>
      <w:bookmarkStart w:id="110" w:name="_Toc238529205"/>
      <w:bookmarkStart w:id="111" w:name="_Toc238969839"/>
      <w:bookmarkStart w:id="112" w:name="_Toc238973703"/>
      <w:bookmarkStart w:id="113" w:name="_Toc238973816"/>
      <w:bookmarkStart w:id="114" w:name="_Toc240447161"/>
      <w:bookmarkStart w:id="115" w:name="_Toc257298710"/>
      <w:bookmarkStart w:id="116" w:name="_Toc257298862"/>
      <w:bookmarkStart w:id="117" w:name="_Toc299707812"/>
      <w:bookmarkStart w:id="118" w:name="_Toc299707885"/>
      <w:bookmarkStart w:id="119" w:name="_Toc300302312"/>
      <w:r>
        <w:rPr>
          <w:rStyle w:val="CharSDivNo"/>
          <w:sz w:val="28"/>
        </w:rPr>
        <w:t>Part 3</w:t>
      </w:r>
      <w:r>
        <w:t xml:space="preserve"> — </w:t>
      </w:r>
      <w:r>
        <w:rPr>
          <w:rStyle w:val="CharSDivText"/>
          <w:sz w:val="28"/>
        </w:rPr>
        <w:t>Kalgoorlie</w:t>
      </w:r>
      <w:r>
        <w:rPr>
          <w:rStyle w:val="CharSDivText"/>
          <w:sz w:val="28"/>
        </w:rPr>
        <w:noBreakHyphen/>
        <w:t>Boulder area</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Heading5"/>
      </w:pPr>
      <w:bookmarkStart w:id="120" w:name="_Toc484947044"/>
      <w:bookmarkStart w:id="121" w:name="_Toc234139456"/>
      <w:bookmarkStart w:id="122" w:name="_Toc300302313"/>
      <w:r>
        <w:rPr>
          <w:rStyle w:val="CharSClsNo"/>
        </w:rPr>
        <w:t>5</w:t>
      </w:r>
      <w:r>
        <w:t>.</w:t>
      </w:r>
      <w:r>
        <w:tab/>
        <w:t>Residential tariff</w:t>
      </w:r>
      <w:bookmarkEnd w:id="120"/>
      <w:bookmarkEnd w:id="121"/>
      <w:bookmarkEnd w:id="122"/>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23" w:name="_Toc484947045"/>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38.49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t>10.98 cents per unit</w:t>
            </w:r>
          </w:p>
        </w:tc>
      </w:tr>
    </w:tbl>
    <w:p>
      <w:pPr>
        <w:pStyle w:val="yFootnotesection"/>
      </w:pPr>
      <w:r>
        <w:tab/>
        <w:t>[Clause 5 amended in Gazette 18 Oct 2002 p. 5224</w:t>
      </w:r>
      <w:r>
        <w:noBreakHyphen/>
        <w:t>5; 30 Jun 2008 p. 3135; 30 Jun 2009 p. 2672; 26 Mar 2010 p. 1144; 29 Jul 2011 p. 3132.]</w:t>
      </w:r>
    </w:p>
    <w:p>
      <w:pPr>
        <w:pStyle w:val="yHeading5"/>
      </w:pPr>
      <w:bookmarkStart w:id="124" w:name="_Toc234139457"/>
      <w:bookmarkStart w:id="125" w:name="_Toc300302314"/>
      <w:r>
        <w:rPr>
          <w:rStyle w:val="CharSClsNo"/>
        </w:rPr>
        <w:t>6</w:t>
      </w:r>
      <w:r>
        <w:t>.</w:t>
      </w:r>
      <w:r>
        <w:tab/>
        <w:t>Non</w:t>
      </w:r>
      <w:r>
        <w:noBreakHyphen/>
        <w:t>residential tariff</w:t>
      </w:r>
      <w:bookmarkEnd w:id="123"/>
      <w:bookmarkEnd w:id="124"/>
      <w:bookmarkEnd w:id="125"/>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26" w:name="_Hlt476483918"/>
      <w:bookmarkStart w:id="127" w:name="_Hlt472154491"/>
      <w:bookmarkStart w:id="128" w:name="endcomma"/>
      <w:bookmarkStart w:id="129" w:name="comma"/>
      <w:bookmarkStart w:id="130" w:name="_Hlt476707899"/>
      <w:bookmarkStart w:id="131" w:name="_Hlt471891715"/>
      <w:bookmarkStart w:id="132" w:name="_Hlt472129258"/>
      <w:bookmarkStart w:id="133" w:name="_Hlt472129337"/>
      <w:bookmarkStart w:id="134" w:name="_Hlt476483916"/>
      <w:bookmarkStart w:id="135" w:name="_Hlt476572447"/>
      <w:bookmarkEnd w:id="126"/>
      <w:bookmarkEnd w:id="127"/>
      <w:bookmarkEnd w:id="128"/>
      <w:bookmarkEnd w:id="129"/>
      <w:bookmarkEnd w:id="130"/>
      <w:bookmarkEnd w:id="131"/>
      <w:bookmarkEnd w:id="132"/>
      <w:bookmarkEnd w:id="133"/>
      <w:bookmarkEnd w:id="134"/>
      <w:bookmarkEnd w:id="135"/>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t>38.31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t>9.78 cents per unit</w:t>
            </w:r>
          </w:p>
        </w:tc>
      </w:tr>
    </w:tbl>
    <w:p>
      <w:pPr>
        <w:pStyle w:val="yFootnotesection"/>
      </w:pPr>
      <w:r>
        <w:tab/>
        <w:t>[Clause 6 amended in Gazette 18 Oct 2002 p. 5224</w:t>
      </w:r>
      <w:r>
        <w:noBreakHyphen/>
        <w:t>5; 30 Jun 2008 p. 3135; 30 Jun 2009 p. 2673; 26 Mar 2010 p. 1145; 29 Jul 2011 p. 3132.]</w:t>
      </w:r>
    </w:p>
    <w:p>
      <w:pPr>
        <w:pStyle w:val="yHeading2"/>
      </w:pPr>
      <w:bookmarkStart w:id="136" w:name="_Toc234139458"/>
      <w:bookmarkStart w:id="137" w:name="_Toc238528516"/>
      <w:bookmarkStart w:id="138" w:name="_Toc238528596"/>
      <w:bookmarkStart w:id="139" w:name="_Toc238529208"/>
      <w:bookmarkStart w:id="140" w:name="_Toc238969842"/>
      <w:bookmarkStart w:id="141" w:name="_Toc238973706"/>
      <w:bookmarkStart w:id="142" w:name="_Toc238973819"/>
      <w:bookmarkStart w:id="143" w:name="_Toc240447164"/>
      <w:bookmarkStart w:id="144" w:name="_Toc257298713"/>
      <w:bookmarkStart w:id="145" w:name="_Toc257298865"/>
      <w:bookmarkStart w:id="146" w:name="_Toc299707815"/>
      <w:bookmarkStart w:id="147" w:name="_Toc299707888"/>
      <w:bookmarkStart w:id="148" w:name="_Toc300302315"/>
      <w:r>
        <w:rPr>
          <w:rStyle w:val="CharSDivNo"/>
          <w:sz w:val="28"/>
        </w:rPr>
        <w:t>Part 4</w:t>
      </w:r>
      <w:r>
        <w:rPr>
          <w:b w:val="0"/>
        </w:rPr>
        <w:t> </w:t>
      </w:r>
      <w:r>
        <w:t>—</w:t>
      </w:r>
      <w:r>
        <w:rPr>
          <w:b w:val="0"/>
        </w:rPr>
        <w:t> </w:t>
      </w:r>
      <w:r>
        <w:rPr>
          <w:rStyle w:val="CharSDivText"/>
          <w:sz w:val="28"/>
        </w:rPr>
        <w:t>Adjustment of certain tariff caps</w:t>
      </w:r>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yFootnoteheading"/>
        <w:keepNext/>
      </w:pPr>
      <w:bookmarkStart w:id="149" w:name="_Toc234139459"/>
      <w:r>
        <w:tab/>
        <w:t>[Heading inserted in Gazette 18 Oct 2002 p. 5225.]</w:t>
      </w:r>
    </w:p>
    <w:p>
      <w:pPr>
        <w:pStyle w:val="yHeading5"/>
      </w:pPr>
      <w:bookmarkStart w:id="150" w:name="_Toc300302316"/>
      <w:r>
        <w:rPr>
          <w:rStyle w:val="CharSClsNo"/>
        </w:rPr>
        <w:t>7</w:t>
      </w:r>
      <w:r>
        <w:t>.</w:t>
      </w:r>
      <w:r>
        <w:tab/>
        <w:t>Term used: CPI number</w:t>
      </w:r>
      <w:bookmarkEnd w:id="149"/>
      <w:bookmarkEnd w:id="150"/>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bookmarkStart w:id="151" w:name="_Toc234139460"/>
      <w:r>
        <w:tab/>
        <w:t>[Clause 7 inserted in Gazette 18 Oct 2002 p. 5225.]</w:t>
      </w:r>
    </w:p>
    <w:p>
      <w:pPr>
        <w:pStyle w:val="yHeading5"/>
      </w:pPr>
      <w:bookmarkStart w:id="152" w:name="_Toc300302317"/>
      <w:r>
        <w:rPr>
          <w:rStyle w:val="CharSClsNo"/>
        </w:rPr>
        <w:t>8</w:t>
      </w:r>
      <w:r>
        <w:t>.</w:t>
      </w:r>
      <w:r>
        <w:tab/>
      </w:r>
      <w:bookmarkEnd w:id="151"/>
      <w:r>
        <w:t>General adjustment for 2012/13 financial year and subsequent financial years</w:t>
      </w:r>
      <w:bookmarkEnd w:id="152"/>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2012/13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75pt;height:38.25pt" o:ole="">
            <v:imagedata r:id="rId26" o:title=""/>
          </v:shape>
          <o:OLEObject Type="Embed" ProgID="Equation.3" ShapeID="_x0000_i1025" DrawAspect="Content" ObjectID="_1644029104" r:id="rId27"/>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w:t>
      </w:r>
    </w:p>
    <w:p>
      <w:pPr>
        <w:pStyle w:val="yHeading5"/>
      </w:pPr>
      <w:bookmarkStart w:id="153" w:name="_Toc234139461"/>
      <w:bookmarkStart w:id="154" w:name="_Toc300302318"/>
      <w:r>
        <w:rPr>
          <w:rStyle w:val="CharSClsNo"/>
        </w:rPr>
        <w:t>9</w:t>
      </w:r>
      <w:r>
        <w:t>.</w:t>
      </w:r>
      <w:r>
        <w:tab/>
        <w:t>Special adjustment for residential tariffs in Mid</w:t>
      </w:r>
      <w:r>
        <w:noBreakHyphen/>
        <w:t>West/South</w:t>
      </w:r>
      <w:r>
        <w:noBreakHyphen/>
        <w:t>West area</w:t>
      </w:r>
      <w:bookmarkEnd w:id="153"/>
      <w:bookmarkEnd w:id="154"/>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2012/13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object w:dxaOrig="2720" w:dyaOrig="760">
          <v:shape id="_x0000_i1026" type="#_x0000_t75" style="width:135.75pt;height:38.25pt" o:ole="">
            <v:imagedata r:id="rId28" o:title=""/>
          </v:shape>
          <o:OLEObject Type="Embed" ProgID="Equation.3" ShapeID="_x0000_i1026" DrawAspect="Content" ObjectID="_1644029105" r:id="rId29"/>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55" w:name="_Toc202505226"/>
      <w:bookmarkStart w:id="156" w:name="_Toc234139462"/>
      <w:bookmarkStart w:id="157" w:name="_Toc238528520"/>
      <w:bookmarkStart w:id="158" w:name="_Toc238528600"/>
      <w:bookmarkStart w:id="159" w:name="_Toc238529212"/>
      <w:bookmarkStart w:id="160" w:name="_Toc238969846"/>
      <w:bookmarkStart w:id="161" w:name="_Toc238973710"/>
      <w:bookmarkStart w:id="162" w:name="_Toc238973823"/>
      <w:bookmarkStart w:id="163" w:name="_Toc240447168"/>
      <w:bookmarkStart w:id="164" w:name="_Toc257298717"/>
      <w:bookmarkStart w:id="165" w:name="_Toc257298869"/>
      <w:bookmarkStart w:id="166" w:name="_Toc299707819"/>
      <w:bookmarkStart w:id="167" w:name="_Toc299707892"/>
      <w:bookmarkStart w:id="168" w:name="_Toc300302319"/>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169" w:name="_Toc300302320"/>
      <w:r>
        <w:t>Compilation table</w:t>
      </w:r>
      <w:bookmarkEnd w:id="16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lang w:val="en-US"/>
              </w:rPr>
              <w:t>r. 1 and 2: 30 Jun 2009 (see r. 2(a));</w:t>
            </w:r>
            <w:r>
              <w:rPr>
                <w:snapToGrid w:val="0"/>
                <w:spacing w:val="-2"/>
                <w:sz w:val="19"/>
                <w:lang w:val="en-US"/>
              </w:rPr>
              <w:br/>
              <w:t>Regulations other than r. 1 and 2: 1 Jul 2009 (see r. 2(b))</w:t>
            </w:r>
          </w:p>
        </w:tc>
      </w:tr>
      <w:tr>
        <w:trPr>
          <w:cantSplit/>
        </w:trPr>
        <w:tc>
          <w:tcPr>
            <w:tcW w:w="7087"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Energy Coordination (Gas Tariffs) Regulations 2000</w:t>
            </w:r>
            <w:r>
              <w:rPr>
                <w:b/>
                <w:bCs/>
                <w:snapToGrid w:val="0"/>
                <w:spacing w:val="-2"/>
                <w:sz w:val="19"/>
                <w:lang w:val="en-US"/>
              </w:rPr>
              <w:t xml:space="preserve"> as at 18 Sep 2009</w:t>
            </w:r>
            <w:r>
              <w:rPr>
                <w:snapToGrid w:val="0"/>
                <w:spacing w:val="-2"/>
                <w:sz w:val="19"/>
                <w:lang w:val="en-US"/>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Borders>
              <w:bottom w:val="single" w:sz="4" w:space="0" w:color="auto"/>
            </w:tcBorders>
          </w:tcPr>
          <w:p>
            <w:pPr>
              <w:pStyle w:val="nTable"/>
              <w:spacing w:after="40"/>
              <w:rPr>
                <w:i/>
                <w:sz w:val="19"/>
              </w:rPr>
            </w:pPr>
            <w:r>
              <w:rPr>
                <w:i/>
                <w:sz w:val="19"/>
              </w:rPr>
              <w:t>Energy Coordination (Gas Tariffs) Amendment Regulations 2011</w:t>
            </w:r>
          </w:p>
        </w:tc>
        <w:tc>
          <w:tcPr>
            <w:tcW w:w="1276" w:type="dxa"/>
            <w:tcBorders>
              <w:bottom w:val="single" w:sz="4" w:space="0" w:color="auto"/>
            </w:tcBorders>
          </w:tcPr>
          <w:p>
            <w:pPr>
              <w:pStyle w:val="nTable"/>
              <w:spacing w:after="40"/>
              <w:rPr>
                <w:sz w:val="19"/>
              </w:rPr>
            </w:pPr>
            <w:r>
              <w:rPr>
                <w:sz w:val="19"/>
              </w:rPr>
              <w:t>29 Jul 2011 p. 3130-2</w:t>
            </w:r>
          </w:p>
        </w:tc>
        <w:tc>
          <w:tcPr>
            <w:tcW w:w="2693" w:type="dxa"/>
            <w:tcBorders>
              <w:bottom w:val="single" w:sz="4" w:space="0" w:color="auto"/>
            </w:tcBorders>
          </w:tcPr>
          <w:p>
            <w:pPr>
              <w:pStyle w:val="nTable"/>
              <w:spacing w:after="40"/>
              <w:rPr>
                <w:sz w:val="19"/>
              </w:rPr>
            </w:pPr>
            <w:r>
              <w:rPr>
                <w:sz w:val="19"/>
              </w:rPr>
              <w:t>r. 1 and 2: 29 Jul 2011 (see r. 2(a));</w:t>
            </w:r>
            <w:r>
              <w:rPr>
                <w:sz w:val="19"/>
              </w:rPr>
              <w:br/>
              <w:t>Regulations other than r. 1 and 2: 1 Aug 2011 (see r. 2(b)(i))</w:t>
            </w:r>
          </w:p>
        </w:tc>
      </w:tr>
    </w:tbl>
    <w:p>
      <w:pPr>
        <w:rPr>
          <w:iCs/>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70" w:name="_Toc238973825"/>
      <w:bookmarkStart w:id="171" w:name="_Toc240447170"/>
      <w:bookmarkStart w:id="172" w:name="_Toc257298719"/>
      <w:bookmarkStart w:id="173" w:name="_Toc257298871"/>
      <w:bookmarkStart w:id="174" w:name="_Toc299707821"/>
      <w:bookmarkStart w:id="175" w:name="_Toc299707894"/>
      <w:bookmarkStart w:id="176" w:name="_Toc300302321"/>
      <w:r>
        <w:rPr>
          <w:sz w:val="28"/>
        </w:rPr>
        <w:t>Defined Terms</w:t>
      </w:r>
      <w:bookmarkEnd w:id="170"/>
      <w:bookmarkEnd w:id="171"/>
      <w:bookmarkEnd w:id="172"/>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smartTag w:uri="urn:schemas-microsoft-com:office:smarttags" w:element="City">
        <w:smartTag w:uri="urn:schemas-microsoft-com:office:smarttags" w:element="place">
          <w:r>
            <w:t>Albany</w:t>
          </w:r>
        </w:smartTag>
      </w:smartTag>
      <w:r>
        <w:t xml:space="preserve"> area</w:t>
      </w:r>
      <w:r>
        <w:tab/>
        <w:t>4(1)</w:t>
      </w:r>
    </w:p>
    <w:p>
      <w:pPr>
        <w:pStyle w:val="DefinedTerms"/>
      </w:pPr>
      <w:r>
        <w:t>approved contract</w:t>
      </w:r>
      <w:r>
        <w:tab/>
        <w:t>6(5)</w:t>
      </w:r>
    </w:p>
    <w:p>
      <w:pPr>
        <w:pStyle w:val="DefinedTerms"/>
      </w:pPr>
      <w:r>
        <w:t>capped tariff</w:t>
      </w:r>
      <w:r>
        <w:tab/>
        <w:t>4(1), 5(2)</w:t>
      </w:r>
    </w:p>
    <w:p>
      <w:pPr>
        <w:pStyle w:val="DefinedTerms"/>
      </w:pPr>
      <w:r>
        <w:t>CPI number</w:t>
      </w:r>
      <w:r>
        <w:tab/>
        <w:t>Sch. 1 cl. 7</w:t>
      </w:r>
    </w:p>
    <w:p>
      <w:pPr>
        <w:pStyle w:val="DefinedTerms"/>
      </w:pPr>
      <w:r>
        <w:t>CPI</w:t>
      </w:r>
      <w:r>
        <w:rPr>
          <w:rFonts w:ascii="Times" w:hAnsi="Times"/>
          <w:vertAlign w:val="subscript"/>
        </w:rPr>
        <w:t>r</w:t>
      </w:r>
      <w:r>
        <w:tab/>
        <w:t>Sch. 1 cl. 8(2) and 9(2)</w:t>
      </w:r>
    </w:p>
    <w:p>
      <w:pPr>
        <w:pStyle w:val="DefinedTerms"/>
      </w:pPr>
      <w:r>
        <w:t>CPI</w:t>
      </w:r>
      <w:r>
        <w:rPr>
          <w:rFonts w:ascii="Times" w:hAnsi="Times"/>
          <w:vertAlign w:val="subscript"/>
        </w:rPr>
        <w:t>r</w:t>
      </w:r>
      <w:r>
        <w:rPr>
          <w:rFonts w:ascii="Times" w:hAnsi="Times"/>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supplier</w:t>
      </w:r>
      <w:r>
        <w:tab/>
        <w:t>4(1)</w:t>
      </w:r>
    </w:p>
    <w:p>
      <w:pPr>
        <w:pStyle w:val="DefinedTerms"/>
      </w:pPr>
      <w:r>
        <w:t>supply</w:t>
      </w:r>
      <w:r>
        <w:tab/>
        <w:t>4(1)</w:t>
      </w:r>
    </w:p>
    <w:p>
      <w:pPr>
        <w:pStyle w:val="DefinedTerms"/>
      </w:pPr>
      <w:r>
        <w:t>the relevant component</w:t>
      </w:r>
      <w:r>
        <w:tab/>
        <w:t>Sch. 1 cl. 9(1)</w:t>
      </w:r>
    </w:p>
    <w:p>
      <w:pPr>
        <w:pStyle w:val="DefinedTerms"/>
      </w:pPr>
      <w:r>
        <w:t>the relevant year</w:t>
      </w:r>
      <w:r>
        <w:tab/>
        <w:t>Sch. 1 cl. 8(1) and 9(1)</w:t>
      </w:r>
    </w:p>
    <w:p>
      <w:pPr>
        <w:pStyle w:val="DefinedTerms"/>
      </w:pPr>
      <w:r>
        <w:t>unit</w:t>
      </w:r>
      <w:r>
        <w:tab/>
        <w:t>4(1)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3135"/>
    <w:docVar w:name="WAFER_20151207123135" w:val="RemoveTrackChanges"/>
    <w:docVar w:name="WAFER_20151207123135_GUID" w:val="7daaedd3-099b-4504-9a58-f9c09c290b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yt">
    <w:name w:val="yt"/>
    <w:basedOn w:val="Table"/>
    <w:pPr>
      <w:spacing w:before="0" w:line="240" w:lineRule="auto"/>
    </w:pPr>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tabs>
        <w:tab w:val="num" w:pos="360"/>
      </w:tabs>
      <w:spacing w:line="260" w:lineRule="atLeast"/>
      <w:ind w:left="360" w:hanging="360"/>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2894</Words>
  <Characters>13520</Characters>
  <Application>Microsoft Office Word</Application>
  <DocSecurity>0</DocSecurity>
  <Lines>450</Lines>
  <Paragraphs>303</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vt:lpstr>
      <vt:lpstr>Western Australia</vt:lpstr>
      <vt:lpstr>Energy Coordination (Gas Tariffs) Regulations 2000</vt:lpstr>
      <vt:lpstr>    Part 1 — Preliminary</vt:lpstr>
      <vt:lpstr>    Schedule 1 — Tariff caps</vt:lpstr>
      <vt:lpstr>    Part 1 — Mid-West/South-West area</vt:lpstr>
      <vt:lpstr>    Part 2 — Albany area</vt:lpstr>
      <vt:lpstr>    Part 3 — Kalgoorlie-Boulder area</vt:lpstr>
      <vt:lpstr>    Part 4 — Adjustment of certain tariff caps</vt:lpstr>
      <vt:lpstr>    Notes</vt:lpstr>
      <vt:lpstr>    Defined Terms</vt:lpstr>
    </vt:vector>
  </TitlesOfParts>
  <Manager/>
  <Company/>
  <LinksUpToDate>false</LinksUpToDate>
  <CharactersWithSpaces>16111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2000 - 01-c0-03</dc:title>
  <dc:subject/>
  <dc:creator/>
  <cp:keywords/>
  <dc:description/>
  <cp:lastModifiedBy>svcMRProcess</cp:lastModifiedBy>
  <cp:revision>4</cp:revision>
  <cp:lastPrinted>2009-09-11T07:46:00Z</cp:lastPrinted>
  <dcterms:created xsi:type="dcterms:W3CDTF">2020-02-23T21:59:00Z</dcterms:created>
  <dcterms:modified xsi:type="dcterms:W3CDTF">2020-02-23T21:59:00Z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20110801</vt:lpwstr>
  </property>
  <property fmtid="{D5CDD505-2E9C-101B-9397-08002B2CF9AE}" pid="4" name="DocumentType">
    <vt:lpwstr>Reg</vt:lpwstr>
  </property>
  <property fmtid="{D5CDD505-2E9C-101B-9397-08002B2CF9AE}" pid="5" name="AsAtDate">
    <vt:lpwstr>01 Aug 2011</vt:lpwstr>
  </property>
  <property fmtid="{D5CDD505-2E9C-101B-9397-08002B2CF9AE}" pid="6" name="Suffix">
    <vt:lpwstr>01-c0-03</vt:lpwstr>
  </property>
  <property fmtid="{D5CDD505-2E9C-101B-9397-08002B2CF9AE}" pid="7" name="OwlsUID">
    <vt:i4>1369</vt:i4>
  </property>
  <property fmtid="{D5CDD505-2E9C-101B-9397-08002B2CF9AE}" pid="8" name="ReprintNo">
    <vt:lpwstr>1</vt:lpwstr>
  </property>
</Properties>
</file>