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Builders’ Registration Act 1939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Builders’ Registration Regulations</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Building Services (Registration) Act 2011</w:t>
      </w:r>
      <w:r>
        <w:rPr>
          <w:color w:val="000000"/>
          <w:sz w:val="22"/>
          <w:szCs w:val="22"/>
        </w:rPr>
        <w:t xml:space="preserve"> s. 109 (No. 19 of 2011) as at 29 Aug 2011 (see s. 2(b) and </w:t>
      </w:r>
      <w:r>
        <w:rPr>
          <w:i/>
          <w:iCs/>
          <w:color w:val="000000"/>
          <w:sz w:val="22"/>
          <w:szCs w:val="22"/>
        </w:rPr>
        <w:t>Gazette</w:t>
      </w:r>
      <w:r>
        <w:rPr>
          <w:color w:val="000000"/>
          <w:sz w:val="22"/>
          <w:szCs w:val="22"/>
        </w:rPr>
        <w:t xml:space="preserve"> 26 Aug 2011 p. 3475</w:t>
      </w:r>
      <w:r>
        <w:rPr>
          <w:color w:val="000000"/>
          <w:sz w:val="22"/>
          <w:szCs w:val="22"/>
        </w:rPr>
        <w:noBreakHyphen/>
        <w:t>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_Toc425430388 \h </w:instrText>
      </w:r>
      <w:r>
        <w:fldChar w:fldCharType="separate"/>
      </w:r>
      <w:r>
        <w:t>1</w:t>
      </w:r>
      <w:r>
        <w:fldChar w:fldCharType="end"/>
      </w:r>
    </w:p>
    <w:p>
      <w:pPr>
        <w:pStyle w:val="TOC8"/>
        <w:rPr>
          <w:rFonts w:asciiTheme="minorHAnsi" w:eastAsiaTheme="minorEastAsia" w:hAnsiTheme="minorHAnsi" w:cstheme="minorBidi"/>
          <w:szCs w:val="22"/>
        </w:rPr>
      </w:pPr>
      <w:r>
        <w:t>1A.</w:t>
      </w:r>
      <w:r>
        <w:tab/>
        <w:t>Limiting the definition of company</w:t>
      </w:r>
      <w:r>
        <w:tab/>
      </w:r>
      <w:r>
        <w:fldChar w:fldCharType="begin"/>
      </w:r>
      <w:r>
        <w:instrText xml:space="preserve"> PAGEREF _Toc425430389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_Toc425430390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_Toc425430391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_Toc425430392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_Toc425430393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_Toc425430394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_Toc425430395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_Toc425430396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_Toc425430397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_Toc425430398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_Toc425430399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_Toc425430400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_Toc425430401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_Toc425430402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_Toc425430403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_Toc425430404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_Toc425430405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_Toc425430406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_Toc425430407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_Toc425430408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_Toc425430409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_Toc425430410 \h </w:instrText>
      </w:r>
      <w:r>
        <w:fldChar w:fldCharType="separate"/>
      </w:r>
      <w:r>
        <w:t>12</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_Toc425430411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_Toc425430412 \h </w:instrText>
      </w:r>
      <w:r>
        <w:fldChar w:fldCharType="separate"/>
      </w:r>
      <w:r>
        <w:t>14</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_Toc425430413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_Toc425430414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First Appendix</w:t>
      </w:r>
    </w:p>
    <w:p>
      <w:pPr>
        <w:pStyle w:val="TOC2"/>
        <w:tabs>
          <w:tab w:val="right" w:leader="dot" w:pos="7077"/>
        </w:tabs>
        <w:rPr>
          <w:rFonts w:asciiTheme="minorHAnsi" w:eastAsiaTheme="minorEastAsia" w:hAnsiTheme="minorHAnsi" w:cstheme="minorBidi"/>
          <w:b w:val="0"/>
          <w:sz w:val="22"/>
          <w:szCs w:val="22"/>
        </w:rPr>
      </w:pPr>
      <w:r>
        <w:t>Second Appendix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_Toc425430418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3" w:name="_Toc381953722"/>
      <w:bookmarkStart w:id="4" w:name="_Toc42543038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5" w:name="_Toc381953723"/>
      <w:bookmarkStart w:id="6" w:name="_Toc425430389"/>
      <w:r>
        <w:rPr>
          <w:rStyle w:val="CharSectno"/>
        </w:rPr>
        <w:t>1A</w:t>
      </w:r>
      <w:r>
        <w:t>.</w:t>
      </w:r>
      <w:r>
        <w:tab/>
        <w:t>Limiting the definition of company</w:t>
      </w:r>
      <w:bookmarkEnd w:id="5"/>
      <w:bookmarkEnd w:id="6"/>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7" w:name="_Toc381953724"/>
      <w:bookmarkStart w:id="8" w:name="_Toc425430390"/>
      <w:r>
        <w:rPr>
          <w:rStyle w:val="CharSectno"/>
        </w:rPr>
        <w:t>2</w:t>
      </w:r>
      <w:r>
        <w:rPr>
          <w:snapToGrid w:val="0"/>
        </w:rPr>
        <w:t>.</w:t>
      </w:r>
      <w:r>
        <w:rPr>
          <w:snapToGrid w:val="0"/>
        </w:rPr>
        <w:tab/>
        <w:t>Registration of body corporate</w:t>
      </w:r>
      <w:bookmarkEnd w:id="7"/>
      <w:bookmarkEnd w:id="8"/>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9" w:name="_Toc381953725"/>
      <w:bookmarkStart w:id="10" w:name="_Toc425430391"/>
      <w:r>
        <w:rPr>
          <w:rStyle w:val="CharSectno"/>
        </w:rPr>
        <w:t>4</w:t>
      </w:r>
      <w:r>
        <w:rPr>
          <w:snapToGrid w:val="0"/>
        </w:rPr>
        <w:t>.</w:t>
      </w:r>
      <w:r>
        <w:rPr>
          <w:snapToGrid w:val="0"/>
        </w:rPr>
        <w:tab/>
        <w:t>Meetings of the Board</w:t>
      </w:r>
      <w:bookmarkEnd w:id="9"/>
      <w:bookmarkEnd w:id="10"/>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11" w:name="_Toc381953726"/>
      <w:bookmarkStart w:id="12" w:name="_Toc425430392"/>
      <w:r>
        <w:rPr>
          <w:rStyle w:val="CharSectno"/>
        </w:rPr>
        <w:t>6</w:t>
      </w:r>
      <w:r>
        <w:rPr>
          <w:snapToGrid w:val="0"/>
        </w:rPr>
        <w:t>.</w:t>
      </w:r>
      <w:r>
        <w:rPr>
          <w:snapToGrid w:val="0"/>
        </w:rPr>
        <w:tab/>
        <w:t>Adjournment</w:t>
      </w:r>
      <w:bookmarkEnd w:id="11"/>
      <w:bookmarkEnd w:id="12"/>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13" w:name="_Toc381953727"/>
      <w:bookmarkStart w:id="14" w:name="_Toc425430393"/>
      <w:r>
        <w:rPr>
          <w:rStyle w:val="CharSectno"/>
        </w:rPr>
        <w:t>7</w:t>
      </w:r>
      <w:r>
        <w:rPr>
          <w:snapToGrid w:val="0"/>
        </w:rPr>
        <w:t>.</w:t>
      </w:r>
      <w:r>
        <w:rPr>
          <w:snapToGrid w:val="0"/>
        </w:rPr>
        <w:tab/>
        <w:t>Register of Builders</w:t>
      </w:r>
      <w:bookmarkEnd w:id="13"/>
      <w:bookmarkEnd w:id="14"/>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15" w:name="_Toc381953728"/>
      <w:bookmarkStart w:id="16" w:name="_Toc425430394"/>
      <w:r>
        <w:rPr>
          <w:rStyle w:val="CharSectno"/>
        </w:rPr>
        <w:t>8</w:t>
      </w:r>
      <w:r>
        <w:rPr>
          <w:snapToGrid w:val="0"/>
        </w:rPr>
        <w:t>.</w:t>
      </w:r>
      <w:r>
        <w:rPr>
          <w:snapToGrid w:val="0"/>
        </w:rPr>
        <w:tab/>
        <w:t>Application for registration</w:t>
      </w:r>
      <w:bookmarkEnd w:id="15"/>
      <w:bookmarkEnd w:id="16"/>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 xml:space="preserve">a member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Chartered Accountants</w:t>
        </w:r>
      </w:smartTag>
      <w:r>
        <w:rPr>
          <w:snapToGrid w:val="0"/>
        </w:rPr>
        <w:t xml:space="preserv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17" w:name="_Toc381953729"/>
      <w:bookmarkStart w:id="18" w:name="_Toc425430395"/>
      <w:r>
        <w:rPr>
          <w:rStyle w:val="CharSectno"/>
        </w:rPr>
        <w:t>8A</w:t>
      </w:r>
      <w:r>
        <w:rPr>
          <w:snapToGrid w:val="0"/>
        </w:rPr>
        <w:t>.</w:t>
      </w:r>
      <w:r>
        <w:rPr>
          <w:snapToGrid w:val="0"/>
        </w:rPr>
        <w:tab/>
        <w:t>Application under section 4(1a)</w:t>
      </w:r>
      <w:bookmarkEnd w:id="17"/>
      <w:bookmarkEnd w:id="1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9" w:name="_Toc381953730"/>
      <w:bookmarkStart w:id="20" w:name="_Toc425430396"/>
      <w:r>
        <w:rPr>
          <w:rStyle w:val="CharSectno"/>
        </w:rPr>
        <w:t>8B</w:t>
      </w:r>
      <w:r>
        <w:rPr>
          <w:snapToGrid w:val="0"/>
        </w:rPr>
        <w:t>.</w:t>
      </w:r>
      <w:r>
        <w:rPr>
          <w:snapToGrid w:val="0"/>
        </w:rPr>
        <w:tab/>
        <w:t>Application for partnership to be registered</w:t>
      </w:r>
      <w:bookmarkEnd w:id="19"/>
      <w:bookmarkEnd w:id="20"/>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21" w:name="_Toc381953731"/>
      <w:bookmarkStart w:id="22" w:name="_Toc425430397"/>
      <w:r>
        <w:rPr>
          <w:rStyle w:val="CharSectno"/>
        </w:rPr>
        <w:t>8C</w:t>
      </w:r>
      <w:r>
        <w:rPr>
          <w:snapToGrid w:val="0"/>
        </w:rPr>
        <w:t>.</w:t>
      </w:r>
      <w:r>
        <w:rPr>
          <w:snapToGrid w:val="0"/>
        </w:rPr>
        <w:tab/>
        <w:t>Application for body corporate to be registered</w:t>
      </w:r>
      <w:bookmarkEnd w:id="21"/>
      <w:bookmarkEnd w:id="22"/>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23" w:name="_Toc381953732"/>
      <w:bookmarkStart w:id="24" w:name="_Toc425430398"/>
      <w:r>
        <w:rPr>
          <w:rStyle w:val="CharSectno"/>
        </w:rPr>
        <w:t>8D</w:t>
      </w:r>
      <w:r>
        <w:rPr>
          <w:snapToGrid w:val="0"/>
        </w:rPr>
        <w:t>.</w:t>
      </w:r>
      <w:r>
        <w:rPr>
          <w:snapToGrid w:val="0"/>
        </w:rPr>
        <w:tab/>
        <w:t>Statutory declaration to be completed</w:t>
      </w:r>
      <w:bookmarkEnd w:id="23"/>
      <w:bookmarkEnd w:id="24"/>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25" w:name="_Toc381953733"/>
      <w:bookmarkStart w:id="26" w:name="_Toc425430399"/>
      <w:r>
        <w:rPr>
          <w:rStyle w:val="CharSectno"/>
        </w:rPr>
        <w:t>8E</w:t>
      </w:r>
      <w:r>
        <w:t>.</w:t>
      </w:r>
      <w:r>
        <w:tab/>
        <w:t>Prescribed manner of certifying payment of fee under section 4A(1)(c)(iii)</w:t>
      </w:r>
      <w:bookmarkEnd w:id="25"/>
      <w:bookmarkEnd w:id="26"/>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27" w:name="_Toc381953734"/>
      <w:bookmarkStart w:id="28" w:name="_Toc425430400"/>
      <w:r>
        <w:rPr>
          <w:rStyle w:val="CharSectno"/>
        </w:rPr>
        <w:t>8F</w:t>
      </w:r>
      <w:r>
        <w:t>.</w:t>
      </w:r>
      <w:r>
        <w:tab/>
        <w:t>Prescribed period for furnishing particulars and remitting fee to Board under section 4B(2)</w:t>
      </w:r>
      <w:bookmarkEnd w:id="27"/>
      <w:bookmarkEnd w:id="28"/>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29" w:name="_Toc381953735"/>
      <w:bookmarkStart w:id="30" w:name="_Toc425430401"/>
      <w:r>
        <w:rPr>
          <w:rStyle w:val="CharSectno"/>
        </w:rPr>
        <w:t>8G</w:t>
      </w:r>
      <w:r>
        <w:t>.</w:t>
      </w:r>
      <w:r>
        <w:tab/>
        <w:t>Prescribed particulars under section 4B(2)(a)</w:t>
      </w:r>
      <w:bookmarkEnd w:id="29"/>
      <w:bookmarkEnd w:id="30"/>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31" w:name="_Toc381953736"/>
      <w:bookmarkStart w:id="32" w:name="_Toc425430402"/>
      <w:r>
        <w:rPr>
          <w:rStyle w:val="CharSectno"/>
        </w:rPr>
        <w:t>10</w:t>
      </w:r>
      <w:r>
        <w:rPr>
          <w:snapToGrid w:val="0"/>
        </w:rPr>
        <w:t>.</w:t>
      </w:r>
      <w:r>
        <w:rPr>
          <w:snapToGrid w:val="0"/>
        </w:rPr>
        <w:tab/>
        <w:t>Course of training and study</w:t>
      </w:r>
      <w:bookmarkEnd w:id="31"/>
      <w:bookmarkEnd w:id="32"/>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33" w:name="_Toc381953737"/>
      <w:bookmarkStart w:id="34" w:name="_Toc425430403"/>
      <w:r>
        <w:rPr>
          <w:rStyle w:val="CharSectno"/>
        </w:rPr>
        <w:t>14</w:t>
      </w:r>
      <w:r>
        <w:rPr>
          <w:snapToGrid w:val="0"/>
        </w:rPr>
        <w:t>.</w:t>
      </w:r>
      <w:r>
        <w:rPr>
          <w:snapToGrid w:val="0"/>
        </w:rPr>
        <w:tab/>
        <w:t>Board may grant temporary licences</w:t>
      </w:r>
      <w:bookmarkEnd w:id="33"/>
      <w:bookmarkEnd w:id="34"/>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35" w:name="_Toc381953738"/>
      <w:bookmarkStart w:id="36" w:name="_Toc425430404"/>
      <w:r>
        <w:rPr>
          <w:rStyle w:val="CharSectno"/>
        </w:rPr>
        <w:t>15</w:t>
      </w:r>
      <w:r>
        <w:rPr>
          <w:snapToGrid w:val="0"/>
        </w:rPr>
        <w:t>.</w:t>
      </w:r>
      <w:r>
        <w:rPr>
          <w:snapToGrid w:val="0"/>
        </w:rPr>
        <w:tab/>
        <w:t>Application for temporary licence</w:t>
      </w:r>
      <w:bookmarkEnd w:id="35"/>
      <w:bookmarkEnd w:id="36"/>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37" w:name="_Toc381953739"/>
      <w:bookmarkStart w:id="38" w:name="_Toc425430405"/>
      <w:r>
        <w:rPr>
          <w:rStyle w:val="CharSectno"/>
        </w:rPr>
        <w:t>16</w:t>
      </w:r>
      <w:r>
        <w:rPr>
          <w:snapToGrid w:val="0"/>
        </w:rPr>
        <w:t>.</w:t>
      </w:r>
      <w:r>
        <w:rPr>
          <w:snapToGrid w:val="0"/>
        </w:rPr>
        <w:tab/>
        <w:t>Temporary licence may contain conditions</w:t>
      </w:r>
      <w:bookmarkEnd w:id="37"/>
      <w:bookmarkEnd w:id="3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39" w:name="_Toc381953740"/>
      <w:bookmarkStart w:id="40" w:name="_Toc425430406"/>
      <w:r>
        <w:rPr>
          <w:rStyle w:val="CharSectno"/>
        </w:rPr>
        <w:t>17</w:t>
      </w:r>
      <w:r>
        <w:rPr>
          <w:snapToGrid w:val="0"/>
        </w:rPr>
        <w:t>.</w:t>
      </w:r>
      <w:r>
        <w:rPr>
          <w:snapToGrid w:val="0"/>
        </w:rPr>
        <w:tab/>
        <w:t>Fees</w:t>
      </w:r>
      <w:bookmarkEnd w:id="39"/>
      <w:bookmarkEnd w:id="40"/>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41" w:name="_Toc381953741"/>
      <w:bookmarkStart w:id="42" w:name="_Toc425430407"/>
      <w:r>
        <w:rPr>
          <w:rStyle w:val="CharSectno"/>
        </w:rPr>
        <w:t>18</w:t>
      </w:r>
      <w:r>
        <w:rPr>
          <w:snapToGrid w:val="0"/>
        </w:rPr>
        <w:t>.</w:t>
      </w:r>
      <w:r>
        <w:rPr>
          <w:snapToGrid w:val="0"/>
        </w:rPr>
        <w:tab/>
        <w:t>Threshold price for construction of building by unregistered person</w:t>
      </w:r>
      <w:bookmarkEnd w:id="41"/>
      <w:bookmarkEnd w:id="42"/>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43" w:name="_Toc381953742"/>
      <w:bookmarkStart w:id="44" w:name="_Toc425430408"/>
      <w:r>
        <w:rPr>
          <w:rStyle w:val="CharSectno"/>
        </w:rPr>
        <w:t>19</w:t>
      </w:r>
      <w:r>
        <w:t>.</w:t>
      </w:r>
      <w:r>
        <w:tab/>
        <w:t>Prescribed fee for complaint or application to Disputes Tribunal (section 34A)</w:t>
      </w:r>
      <w:bookmarkEnd w:id="43"/>
      <w:bookmarkEnd w:id="44"/>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45" w:name="_Toc381953743"/>
      <w:bookmarkStart w:id="46" w:name="_Toc425430409"/>
      <w:r>
        <w:rPr>
          <w:rStyle w:val="CharSectno"/>
        </w:rPr>
        <w:t>20</w:t>
      </w:r>
      <w:r>
        <w:t>.</w:t>
      </w:r>
      <w:r>
        <w:tab/>
        <w:t>Board to keep register of ineligible persons</w:t>
      </w:r>
      <w:bookmarkEnd w:id="45"/>
      <w:bookmarkEnd w:id="46"/>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47" w:name="_Toc381953744"/>
      <w:bookmarkStart w:id="48" w:name="_Toc425430410"/>
      <w:r>
        <w:rPr>
          <w:rStyle w:val="CharSectno"/>
        </w:rPr>
        <w:t>21</w:t>
      </w:r>
      <w:r>
        <w:t>.</w:t>
      </w:r>
      <w:r>
        <w:tab/>
        <w:t>Prescribed amount of maximum fine under section 13A</w:t>
      </w:r>
      <w:bookmarkEnd w:id="47"/>
      <w:bookmarkEnd w:id="48"/>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49" w:name="_Toc381953745"/>
      <w:bookmarkStart w:id="50" w:name="_Toc425430411"/>
      <w:r>
        <w:rPr>
          <w:rStyle w:val="CharSectno"/>
        </w:rPr>
        <w:t>22</w:t>
      </w:r>
      <w:r>
        <w:t>.</w:t>
      </w:r>
      <w:r>
        <w:tab/>
        <w:t>Prescribed offences and modified penalties (section 20B(2) and (4))</w:t>
      </w:r>
      <w:bookmarkEnd w:id="49"/>
      <w:bookmarkEnd w:id="50"/>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51" w:name="_Toc381953746"/>
      <w:bookmarkStart w:id="52" w:name="_Toc425430412"/>
      <w:r>
        <w:rPr>
          <w:rStyle w:val="CharSectno"/>
        </w:rPr>
        <w:t>23</w:t>
      </w:r>
      <w:r>
        <w:t>.</w:t>
      </w:r>
      <w:r>
        <w:tab/>
        <w:t>Prescribed form of preliminary notice under section 12A(3)</w:t>
      </w:r>
      <w:bookmarkEnd w:id="51"/>
      <w:bookmarkEnd w:id="52"/>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53" w:name="_Toc381953747"/>
      <w:bookmarkStart w:id="54" w:name="_Toc425430413"/>
      <w:r>
        <w:rPr>
          <w:rStyle w:val="CharSectno"/>
        </w:rPr>
        <w:t>24</w:t>
      </w:r>
      <w:r>
        <w:t>.</w:t>
      </w:r>
      <w:r>
        <w:tab/>
        <w:t>Prescribed form of infringement notice under section 20B(3)</w:t>
      </w:r>
      <w:bookmarkEnd w:id="53"/>
      <w:bookmarkEnd w:id="54"/>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55" w:name="_Toc381953748"/>
      <w:bookmarkStart w:id="56" w:name="_Toc425430414"/>
      <w:r>
        <w:rPr>
          <w:rStyle w:val="CharSectno"/>
        </w:rPr>
        <w:t>25</w:t>
      </w:r>
      <w:r>
        <w:t>.</w:t>
      </w:r>
      <w:r>
        <w:tab/>
        <w:t>Prescribed form of notice withdrawing infringement notice under section 20B(7)</w:t>
      </w:r>
      <w:bookmarkEnd w:id="55"/>
      <w:bookmarkEnd w:id="56"/>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7" w:name="_Toc378062324"/>
      <w:bookmarkStart w:id="58" w:name="_Toc381870032"/>
      <w:bookmarkStart w:id="59" w:name="_Toc381953749"/>
      <w:bookmarkStart w:id="60" w:name="_Toc425430373"/>
      <w:bookmarkStart w:id="61" w:name="_Toc425430415"/>
      <w:r>
        <w:rPr>
          <w:rStyle w:val="CharSchNo"/>
        </w:rPr>
        <w:t>First Appendix</w:t>
      </w:r>
      <w:bookmarkEnd w:id="57"/>
      <w:bookmarkEnd w:id="58"/>
      <w:bookmarkEnd w:id="59"/>
      <w:bookmarkEnd w:id="60"/>
      <w:bookmarkEnd w:id="61"/>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To the Builders’ Registration Board of </w:t>
      </w:r>
      <w:smartTag w:uri="urn:schemas-microsoft-com:office:smarttags" w:element="State">
        <w:r>
          <w:rPr>
            <w:snapToGrid w:val="0"/>
          </w:rPr>
          <w:t>Western Australia</w:t>
        </w:r>
      </w:smartTag>
      <w:r>
        <w:rPr>
          <w:snapToGrid w:val="0"/>
        </w:rPr>
        <w:t xml:space="preserve">, </w:t>
      </w:r>
      <w:smartTag w:uri="urn:schemas-microsoft-com:office:smarttags" w:element="City">
        <w:smartTag w:uri="urn:schemas-microsoft-com:office:smarttags" w:element="place">
          <w:r>
            <w:rPr>
              <w:snapToGrid w:val="0"/>
            </w:rPr>
            <w:t>Perth</w:t>
          </w:r>
        </w:smartTag>
      </w:smartTag>
      <w:r>
        <w:rPr>
          <w:snapToGrid w:val="0"/>
        </w:rPr>
        <w:t>,</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 xml:space="preserve">I am permanently residing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 xml:space="preserve">Declared at </w:t>
            </w:r>
            <w:smartTag w:uri="urn:schemas-microsoft-com:office:smarttags" w:element="City">
              <w:smartTag w:uri="urn:schemas-microsoft-com:office:smarttags" w:element="place">
                <w:r>
                  <w:rPr>
                    <w:snapToGrid w:val="0"/>
                  </w:rPr>
                  <w:t>Perth</w:t>
                </w:r>
              </w:smartTag>
            </w:smartTag>
            <w:r>
              <w:rPr>
                <w:snapToGrid w:val="0"/>
              </w:rPr>
              <w:t xml:space="preserve"> in</w:t>
            </w:r>
          </w:p>
          <w:p>
            <w:pPr>
              <w:pStyle w:val="yMiscellaneousBody"/>
              <w:spacing w:before="0"/>
              <w:rPr>
                <w:snapToGrid w:val="0"/>
              </w:rPr>
            </w:pPr>
            <w:r>
              <w:rPr>
                <w:snapToGrid w:val="0"/>
              </w:rPr>
              <w:t xml:space="preserve">the State of </w:t>
            </w:r>
            <w:smartTag w:uri="urn:schemas-microsoft-com:office:smarttags" w:element="State">
              <w:smartTag w:uri="urn:schemas-microsoft-com:office:smarttags" w:element="place">
                <w:r>
                  <w:rPr>
                    <w:snapToGrid w:val="0"/>
                  </w:rPr>
                  <w:t>Western</w:t>
                </w:r>
              </w:smartTag>
            </w:smartTag>
          </w:p>
          <w:p>
            <w:pPr>
              <w:pStyle w:val="yMiscellaneousBody"/>
              <w:spacing w:before="0"/>
              <w:rPr>
                <w:snapToGrid w:val="0"/>
              </w:rPr>
            </w:pPr>
            <w:smartTag w:uri="urn:schemas-microsoft-com:office:smarttags" w:element="country-region">
              <w:smartTag w:uri="urn:schemas-microsoft-com:office:smarttags" w:element="place">
                <w:r>
                  <w:rPr>
                    <w:snapToGrid w:val="0"/>
                  </w:rPr>
                  <w:t>Australia</w:t>
                </w:r>
              </w:smartTag>
            </w:smartTag>
            <w:r>
              <w:rPr>
                <w:snapToGrid w:val="0"/>
              </w:rPr>
              <w:t xml:space="preserve">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r>
              <w:rPr>
                <w:noProof/>
              </w:rPr>
              <w:drawing>
                <wp:inline distT="0" distB="0" distL="0" distR="0">
                  <wp:extent cx="121285" cy="7988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1285" cy="798830"/>
                          </a:xfrm>
                          <a:prstGeom prst="rect">
                            <a:avLst/>
                          </a:prstGeom>
                          <a:noFill/>
                          <a:ln>
                            <a:noFill/>
                          </a:ln>
                        </pic:spPr>
                      </pic:pic>
                    </a:graphicData>
                  </a:graphic>
                </wp:inline>
              </w:drawing>
            </w:r>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w:t>
      </w:r>
      <w:r>
        <w:rPr>
          <w:snapToGrid w:val="0"/>
        </w:rPr>
        <w:br/>
      </w:r>
      <w:r>
        <w:rPr>
          <w:snapToGrid w:val="0"/>
        </w:rPr>
        <w:tab/>
        <w:t xml:space="preserve">18 Harvest Terrace, </w:t>
      </w:r>
      <w:smartTag w:uri="urn:schemas-microsoft-com:office:smarttags" w:element="place">
        <w:r>
          <w:rPr>
            <w:snapToGrid w:val="0"/>
          </w:rPr>
          <w:t>WEST PERTH</w:t>
        </w:r>
      </w:smartTag>
      <w:r>
        <w:rPr>
          <w:snapToGrid w:val="0"/>
        </w:rPr>
        <w:t xml:space="preserve">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 xml:space="preserve">Address of principal place of business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 xml:space="preserve">Name of Director, Manager or Agent in </w:t>
      </w:r>
      <w:smartTag w:uri="urn:schemas-microsoft-com:office:smarttags" w:element="place">
        <w:smartTag w:uri="urn:schemas-microsoft-com:office:smarttags" w:element="State">
          <w:r>
            <w:rPr>
              <w:snapToGrid w:val="0"/>
            </w:rPr>
            <w:t>Western Australia</w:t>
          </w:r>
        </w:smartTag>
      </w:smartTag>
      <w:r>
        <w:rPr>
          <w:snapToGrid w:val="0"/>
        </w:rPr>
        <w:t xml:space="preserve">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 xml:space="preserve">Builders’ Registration Board of </w:t>
      </w: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 xml:space="preserve">Board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r>
              <w:rPr>
                <w:noProof/>
              </w:rPr>
              <w:drawing>
                <wp:inline distT="0" distB="0" distL="0" distR="0">
                  <wp:extent cx="127635" cy="723265"/>
                  <wp:effectExtent l="0" t="0" r="571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635" cy="723265"/>
                          </a:xfrm>
                          <a:prstGeom prst="rect">
                            <a:avLst/>
                          </a:prstGeom>
                          <a:noFill/>
                          <a:ln>
                            <a:noFill/>
                          </a:ln>
                        </pic:spPr>
                      </pic:pic>
                    </a:graphicData>
                  </a:graphic>
                </wp:inline>
              </w:drawing>
            </w:r>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smartTag w:uri="urn:schemas-microsoft-com:office:smarttags" w:element="place">
              <w:smartTag w:uri="urn:schemas-microsoft-com:office:smarttags" w:element="State">
                <w:r>
                  <w:t>Western Australia</w:t>
                </w:r>
              </w:smartTag>
            </w:smartTag>
            <w:r>
              <w:t xml:space="preserve">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62" w:name="_Toc378062325"/>
      <w:bookmarkStart w:id="63" w:name="_Toc381870033"/>
      <w:bookmarkStart w:id="64" w:name="_Toc381953750"/>
      <w:bookmarkStart w:id="65" w:name="_Toc425430374"/>
      <w:bookmarkStart w:id="66" w:name="_Toc425430416"/>
      <w:r>
        <w:rPr>
          <w:rStyle w:val="CharSchNo"/>
        </w:rPr>
        <w:t>Second Appendix</w:t>
      </w:r>
      <w:r>
        <w:t> — </w:t>
      </w:r>
      <w:r>
        <w:rPr>
          <w:rStyle w:val="CharSchText"/>
        </w:rPr>
        <w:t>Fees</w:t>
      </w:r>
      <w:bookmarkEnd w:id="62"/>
      <w:bookmarkEnd w:id="63"/>
      <w:bookmarkEnd w:id="64"/>
      <w:bookmarkEnd w:id="65"/>
      <w:bookmarkEnd w:id="66"/>
    </w:p>
    <w:p>
      <w:pPr>
        <w:pStyle w:val="yFootnoteheading"/>
        <w:spacing w:after="60"/>
      </w:pPr>
      <w:r>
        <w:tab/>
        <w:t>[Heading inserted in Gazette 17 Jun 2008 p. 2545.]</w:t>
      </w:r>
    </w:p>
    <w:tbl>
      <w:tblPr>
        <w:tblW w:w="0" w:type="auto"/>
        <w:jc w:val="center"/>
        <w:tblInd w:w="-270" w:type="dxa"/>
        <w:tblLayout w:type="fixed"/>
        <w:tblCellMar>
          <w:left w:w="113" w:type="dxa"/>
          <w:right w:w="113" w:type="dxa"/>
        </w:tblCellMar>
        <w:tblLook w:val="0000" w:firstRow="0" w:lastRow="0" w:firstColumn="0" w:lastColumn="0" w:noHBand="0" w:noVBand="0"/>
      </w:tblPr>
      <w:tblGrid>
        <w:gridCol w:w="1635"/>
        <w:gridCol w:w="4560"/>
        <w:gridCol w:w="81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56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81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56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811" w:type="dxa"/>
            <w:tcBorders>
              <w:top w:val="single" w:sz="4" w:space="0" w:color="auto"/>
            </w:tcBorders>
          </w:tcPr>
          <w:p>
            <w:pPr>
              <w:pStyle w:val="yTableNAm"/>
              <w:spacing w:before="60"/>
              <w:jc w:val="right"/>
            </w:pPr>
            <w:r>
              <w:br/>
              <w:t>288</w:t>
            </w:r>
          </w:p>
        </w:tc>
      </w:tr>
      <w:tr>
        <w:trPr>
          <w:jc w:val="center"/>
        </w:trPr>
        <w:tc>
          <w:tcPr>
            <w:tcW w:w="1635" w:type="dxa"/>
          </w:tcPr>
          <w:p>
            <w:pPr>
              <w:pStyle w:val="yTableNAm"/>
              <w:tabs>
                <w:tab w:val="clear" w:pos="567"/>
                <w:tab w:val="left" w:pos="307"/>
              </w:tabs>
              <w:spacing w:before="60"/>
            </w:pPr>
            <w:r>
              <w:t>2.</w:t>
            </w:r>
            <w:r>
              <w:tab/>
              <w:t>s. 9(6)(a)</w:t>
            </w:r>
          </w:p>
        </w:tc>
        <w:tc>
          <w:tcPr>
            <w:tcW w:w="4560" w:type="dxa"/>
          </w:tcPr>
          <w:p>
            <w:pPr>
              <w:pStyle w:val="yTableNAm"/>
              <w:spacing w:before="60"/>
            </w:pPr>
            <w:r>
              <w:t>To obtain from the registrar a list of the names and addresses of all persons registered in the register</w:t>
            </w:r>
          </w:p>
        </w:tc>
        <w:tc>
          <w:tcPr>
            <w:tcW w:w="81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56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811" w:type="dxa"/>
          </w:tcPr>
          <w:p>
            <w:pPr>
              <w:pStyle w:val="yTableNAm"/>
              <w:spacing w:before="60"/>
              <w:jc w:val="right"/>
            </w:pPr>
            <w:r>
              <w:br/>
            </w:r>
            <w:r>
              <w:br/>
            </w:r>
            <w:r>
              <w:br/>
              <w:t>20</w:t>
            </w:r>
          </w:p>
        </w:tc>
      </w:tr>
      <w:tr>
        <w:trPr>
          <w:jc w:val="center"/>
        </w:trPr>
        <w:tc>
          <w:tcPr>
            <w:tcW w:w="1635" w:type="dxa"/>
          </w:tcPr>
          <w:p>
            <w:pPr>
              <w:pStyle w:val="yTableNAm"/>
              <w:tabs>
                <w:tab w:val="clear" w:pos="567"/>
                <w:tab w:val="left" w:pos="307"/>
              </w:tabs>
              <w:spacing w:before="60"/>
            </w:pPr>
            <w:r>
              <w:t>4.</w:t>
            </w:r>
            <w:r>
              <w:tab/>
              <w:t>s. 9A(1)(e)</w:t>
            </w:r>
          </w:p>
        </w:tc>
        <w:tc>
          <w:tcPr>
            <w:tcW w:w="4560" w:type="dxa"/>
          </w:tcPr>
          <w:p>
            <w:pPr>
              <w:pStyle w:val="yTableNAm"/>
              <w:spacing w:before="60"/>
            </w:pPr>
            <w:r>
              <w:t>For an individual who is an architect, engineer etc. with 5 years experience to be registered under the Act</w:t>
            </w:r>
          </w:p>
        </w:tc>
        <w:tc>
          <w:tcPr>
            <w:tcW w:w="811" w:type="dxa"/>
          </w:tcPr>
          <w:p>
            <w:pPr>
              <w:pStyle w:val="yTableNAm"/>
              <w:spacing w:before="60"/>
              <w:jc w:val="right"/>
            </w:pPr>
            <w:r>
              <w:br/>
            </w:r>
            <w:r>
              <w:br/>
              <w:t>277</w:t>
            </w:r>
          </w:p>
        </w:tc>
      </w:tr>
      <w:tr>
        <w:trPr>
          <w:jc w:val="center"/>
        </w:trPr>
        <w:tc>
          <w:tcPr>
            <w:tcW w:w="1635" w:type="dxa"/>
          </w:tcPr>
          <w:p>
            <w:pPr>
              <w:pStyle w:val="yTableNAm"/>
              <w:tabs>
                <w:tab w:val="clear" w:pos="567"/>
                <w:tab w:val="left" w:pos="307"/>
              </w:tabs>
              <w:spacing w:before="60"/>
            </w:pPr>
            <w:r>
              <w:t>5.</w:t>
            </w:r>
            <w:r>
              <w:tab/>
              <w:t>s. 10(1)(a)</w:t>
            </w:r>
          </w:p>
        </w:tc>
        <w:tc>
          <w:tcPr>
            <w:tcW w:w="4560" w:type="dxa"/>
          </w:tcPr>
          <w:p>
            <w:pPr>
              <w:pStyle w:val="yTableNAm"/>
              <w:spacing w:before="60"/>
            </w:pPr>
            <w:r>
              <w:t>For an individual to be registered under the Act</w:t>
            </w:r>
          </w:p>
        </w:tc>
        <w:tc>
          <w:tcPr>
            <w:tcW w:w="811" w:type="dxa"/>
          </w:tcPr>
          <w:p>
            <w:pPr>
              <w:pStyle w:val="yTableNAm"/>
              <w:spacing w:before="60"/>
              <w:jc w:val="right"/>
            </w:pPr>
            <w:r>
              <w:t>277</w:t>
            </w:r>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560" w:type="dxa"/>
          </w:tcPr>
          <w:p>
            <w:pPr>
              <w:pStyle w:val="yTableNAm"/>
              <w:spacing w:before="60"/>
            </w:pPr>
            <w:r>
              <w:t>For a partnership to be registered under the Act</w:t>
            </w:r>
          </w:p>
        </w:tc>
        <w:tc>
          <w:tcPr>
            <w:tcW w:w="811" w:type="dxa"/>
          </w:tcPr>
          <w:p>
            <w:pPr>
              <w:pStyle w:val="yTableNAm"/>
              <w:spacing w:before="60"/>
              <w:jc w:val="right"/>
            </w:pPr>
            <w:r>
              <w:t>209</w:t>
            </w:r>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560" w:type="dxa"/>
          </w:tcPr>
          <w:p>
            <w:pPr>
              <w:pStyle w:val="yTableNAm"/>
              <w:spacing w:before="60"/>
            </w:pPr>
            <w:r>
              <w:t>For a company or other body corporate to be registered under the Act</w:t>
            </w:r>
          </w:p>
        </w:tc>
        <w:tc>
          <w:tcPr>
            <w:tcW w:w="811" w:type="dxa"/>
          </w:tcPr>
          <w:p>
            <w:pPr>
              <w:pStyle w:val="yTableNAm"/>
              <w:spacing w:before="60"/>
              <w:jc w:val="right"/>
            </w:pPr>
            <w:r>
              <w:br/>
              <w:t>277</w:t>
            </w:r>
          </w:p>
        </w:tc>
      </w:tr>
      <w:tr>
        <w:trPr>
          <w:jc w:val="center"/>
        </w:trPr>
        <w:tc>
          <w:tcPr>
            <w:tcW w:w="1635" w:type="dxa"/>
          </w:tcPr>
          <w:p>
            <w:pPr>
              <w:pStyle w:val="yTableNAm"/>
              <w:tabs>
                <w:tab w:val="clear" w:pos="567"/>
                <w:tab w:val="left" w:pos="307"/>
              </w:tabs>
              <w:spacing w:before="60"/>
            </w:pPr>
            <w:r>
              <w:t>8.</w:t>
            </w:r>
            <w:r>
              <w:tab/>
              <w:t>s. 22(1)</w:t>
            </w:r>
            <w:r>
              <w:br/>
            </w:r>
            <w:r>
              <w:tab/>
              <w:t>r. 8(6)</w:t>
            </w:r>
          </w:p>
        </w:tc>
        <w:tc>
          <w:tcPr>
            <w:tcW w:w="4560" w:type="dxa"/>
          </w:tcPr>
          <w:p>
            <w:pPr>
              <w:pStyle w:val="yTableNAm"/>
              <w:spacing w:before="60"/>
            </w:pPr>
            <w:r>
              <w:t>For the issue of a certificate of registration (Form No. 3)</w:t>
            </w:r>
          </w:p>
        </w:tc>
        <w:tc>
          <w:tcPr>
            <w:tcW w:w="811" w:type="dxa"/>
          </w:tcPr>
          <w:p>
            <w:pPr>
              <w:pStyle w:val="yTableNAm"/>
              <w:spacing w:before="60"/>
              <w:jc w:val="right"/>
            </w:pPr>
            <w:r>
              <w:br/>
              <w:t>28.50</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56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811" w:type="dxa"/>
          </w:tcPr>
          <w:p>
            <w:pPr>
              <w:pStyle w:val="yTableNAm"/>
              <w:spacing w:before="60"/>
              <w:jc w:val="right"/>
            </w:pPr>
          </w:p>
          <w:p>
            <w:pPr>
              <w:pStyle w:val="yTableNAm"/>
              <w:spacing w:before="60"/>
              <w:jc w:val="right"/>
            </w:pPr>
            <w:r>
              <w:t>260</w:t>
            </w:r>
          </w:p>
          <w:p>
            <w:pPr>
              <w:pStyle w:val="yTableNAm"/>
              <w:spacing w:before="60"/>
              <w:jc w:val="right"/>
            </w:pPr>
            <w:r>
              <w:t>356</w:t>
            </w:r>
          </w:p>
          <w:p>
            <w:pPr>
              <w:pStyle w:val="yTableNAm"/>
              <w:spacing w:before="60"/>
              <w:jc w:val="right"/>
            </w:pPr>
            <w:r>
              <w:br/>
              <w:t>810</w:t>
            </w:r>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56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811" w:type="dxa"/>
            <w:tcBorders>
              <w:bottom w:val="single" w:sz="4" w:space="0" w:color="auto"/>
            </w:tcBorders>
          </w:tcPr>
          <w:p>
            <w:pPr>
              <w:pStyle w:val="yTableNAm"/>
              <w:spacing w:before="60"/>
              <w:jc w:val="right"/>
            </w:pPr>
            <w:r>
              <w:br/>
            </w:r>
          </w:p>
          <w:p>
            <w:pPr>
              <w:pStyle w:val="yTableNAm"/>
              <w:spacing w:before="60"/>
              <w:jc w:val="right"/>
            </w:pPr>
            <w:r>
              <w:t>20.50</w:t>
            </w:r>
          </w:p>
          <w:p>
            <w:pPr>
              <w:pStyle w:val="yTableNAm"/>
              <w:spacing w:before="60"/>
              <w:jc w:val="right"/>
            </w:pPr>
            <w:r>
              <w:br/>
              <w:t>32.50</w:t>
            </w:r>
          </w:p>
        </w:tc>
      </w:tr>
    </w:tbl>
    <w:p>
      <w:pPr>
        <w:pStyle w:val="yFootnotesection"/>
      </w:pPr>
      <w:r>
        <w:tab/>
        <w:t>[Second Appendix inserted in Gazette 17 Jun 2008 p. 2545-6; amended in Gazette 17 Jun 2008 p. 2547; 23 Jun 2009 p. 2432 and 2433; 25 Jun 2010 p. 2857; 22 Jun 2011 p. 2307</w:t>
      </w:r>
      <w:r>
        <w:noBreakHyphen/>
        <w:t>8 and 2309</w:t>
      </w:r>
      <w:r>
        <w:noBreakHyphen/>
        <w:t>10.]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8" w:name="_Toc378062326"/>
      <w:bookmarkStart w:id="69" w:name="_Toc381870034"/>
      <w:bookmarkStart w:id="70" w:name="_Toc381953751"/>
      <w:bookmarkStart w:id="71" w:name="_Toc425430375"/>
      <w:bookmarkStart w:id="72" w:name="_Toc425430417"/>
      <w:r>
        <w:t>Notes</w:t>
      </w:r>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73" w:name="_Toc381953752"/>
      <w:bookmarkStart w:id="74" w:name="_Toc425430418"/>
      <w:r>
        <w:rPr>
          <w:snapToGrid w:val="0"/>
        </w:rPr>
        <w:t>Compilation table</w:t>
      </w:r>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Builders’ Registration Act Regulations</w:t>
            </w:r>
            <w:r>
              <w:rPr>
                <w:vertAlign w:val="superscript"/>
              </w:rPr>
              <w:t> 4</w:t>
            </w:r>
          </w:p>
        </w:tc>
        <w:tc>
          <w:tcPr>
            <w:tcW w:w="1276" w:type="dxa"/>
          </w:tcPr>
          <w:p>
            <w:pPr>
              <w:pStyle w:val="nTable"/>
              <w:spacing w:after="40"/>
            </w:pPr>
            <w:r>
              <w:t>26 Apr 1940 p. 622</w:t>
            </w:r>
            <w:r>
              <w:noBreakHyphen/>
              <w:t>7</w:t>
            </w:r>
          </w:p>
        </w:tc>
        <w:tc>
          <w:tcPr>
            <w:tcW w:w="2693" w:type="dxa"/>
          </w:tcPr>
          <w:p>
            <w:pPr>
              <w:pStyle w:val="nTable"/>
              <w:spacing w:after="40"/>
            </w:pPr>
            <w:r>
              <w:t xml:space="preserve">1 May 1940 (see </w:t>
            </w:r>
            <w:r>
              <w:rPr>
                <w:i/>
              </w:rPr>
              <w:t>Gazette</w:t>
            </w:r>
            <w:r>
              <w:t xml:space="preserve"> 26 Apr 1940 p. 597)</w:t>
            </w:r>
          </w:p>
        </w:tc>
      </w:tr>
      <w:tr>
        <w:trPr>
          <w:cantSplit/>
        </w:trPr>
        <w:tc>
          <w:tcPr>
            <w:tcW w:w="3118" w:type="dxa"/>
          </w:tcPr>
          <w:p>
            <w:pPr>
              <w:pStyle w:val="nTable"/>
              <w:spacing w:after="40"/>
              <w:ind w:right="113"/>
            </w:pPr>
            <w:r>
              <w:t>Untitled regulations</w:t>
            </w:r>
          </w:p>
        </w:tc>
        <w:tc>
          <w:tcPr>
            <w:tcW w:w="1276" w:type="dxa"/>
          </w:tcPr>
          <w:p>
            <w:pPr>
              <w:pStyle w:val="nTable"/>
              <w:spacing w:after="40"/>
            </w:pPr>
            <w:r>
              <w:t>17 Mar 1966 p. 732</w:t>
            </w:r>
          </w:p>
        </w:tc>
        <w:tc>
          <w:tcPr>
            <w:tcW w:w="2693" w:type="dxa"/>
          </w:tcPr>
          <w:p>
            <w:pPr>
              <w:pStyle w:val="nTable"/>
              <w:spacing w:after="40"/>
            </w:pPr>
            <w:r>
              <w:t>17 Mar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17 Dec 1968 p. 3871</w:t>
            </w:r>
            <w:r>
              <w:noBreakHyphen/>
              <w:t>2</w:t>
            </w:r>
          </w:p>
        </w:tc>
        <w:tc>
          <w:tcPr>
            <w:tcW w:w="2693" w:type="dxa"/>
          </w:tcPr>
          <w:p>
            <w:pPr>
              <w:pStyle w:val="nTable"/>
              <w:spacing w:after="40"/>
            </w:pPr>
            <w:r>
              <w:t>17 Dec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3 Oct 1969 p. 3018</w:t>
            </w:r>
          </w:p>
        </w:tc>
        <w:tc>
          <w:tcPr>
            <w:tcW w:w="2693" w:type="dxa"/>
          </w:tcPr>
          <w:p>
            <w:pPr>
              <w:pStyle w:val="nTable"/>
              <w:spacing w:after="40"/>
            </w:pPr>
            <w:r>
              <w:t>3 Oct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23 Oct 1969 p. 3278</w:t>
            </w:r>
          </w:p>
        </w:tc>
        <w:tc>
          <w:tcPr>
            <w:tcW w:w="2693" w:type="dxa"/>
          </w:tcPr>
          <w:p>
            <w:pPr>
              <w:pStyle w:val="nTable"/>
              <w:spacing w:after="40"/>
            </w:pPr>
            <w:r>
              <w:t>23 Oct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Mar 1970 p. 755</w:t>
            </w:r>
          </w:p>
        </w:tc>
        <w:tc>
          <w:tcPr>
            <w:tcW w:w="2693" w:type="dxa"/>
          </w:tcPr>
          <w:p>
            <w:pPr>
              <w:pStyle w:val="nTable"/>
              <w:spacing w:after="40"/>
            </w:pPr>
            <w:r>
              <w:t>9 Mar 1970</w:t>
            </w:r>
          </w:p>
        </w:tc>
      </w:tr>
      <w:tr>
        <w:trPr>
          <w:cantSplit/>
        </w:trPr>
        <w:tc>
          <w:tcPr>
            <w:tcW w:w="3118" w:type="dxa"/>
          </w:tcPr>
          <w:p>
            <w:pPr>
              <w:pStyle w:val="nTable"/>
              <w:spacing w:after="40"/>
              <w:ind w:right="113"/>
            </w:pPr>
            <w:r>
              <w:rPr>
                <w:i/>
              </w:rPr>
              <w:t>Builders’ Registration Amendment Regulations 1983</w:t>
            </w:r>
          </w:p>
        </w:tc>
        <w:tc>
          <w:tcPr>
            <w:tcW w:w="1276" w:type="dxa"/>
          </w:tcPr>
          <w:p>
            <w:pPr>
              <w:pStyle w:val="nTable"/>
              <w:spacing w:after="40"/>
            </w:pPr>
            <w:r>
              <w:t>5 Aug 1983 p. 2889</w:t>
            </w:r>
          </w:p>
        </w:tc>
        <w:tc>
          <w:tcPr>
            <w:tcW w:w="2693" w:type="dxa"/>
          </w:tcPr>
          <w:p>
            <w:pPr>
              <w:pStyle w:val="nTable"/>
              <w:spacing w:after="40"/>
            </w:pPr>
            <w:r>
              <w:t>5 Aug 1983</w:t>
            </w:r>
          </w:p>
        </w:tc>
      </w:tr>
      <w:tr>
        <w:trPr>
          <w:cantSplit/>
        </w:trPr>
        <w:tc>
          <w:tcPr>
            <w:tcW w:w="3118" w:type="dxa"/>
          </w:tcPr>
          <w:p>
            <w:pPr>
              <w:pStyle w:val="nTable"/>
              <w:spacing w:after="40"/>
              <w:ind w:right="113"/>
            </w:pPr>
            <w:r>
              <w:rPr>
                <w:i/>
              </w:rPr>
              <w:t>Builders’ Registration Amendment Regulations (No. 2) 1983</w:t>
            </w:r>
          </w:p>
        </w:tc>
        <w:tc>
          <w:tcPr>
            <w:tcW w:w="1276" w:type="dxa"/>
          </w:tcPr>
          <w:p>
            <w:pPr>
              <w:pStyle w:val="nTable"/>
              <w:spacing w:after="40"/>
            </w:pPr>
            <w:r>
              <w:t>30 Dec 1983 p. 5135</w:t>
            </w:r>
          </w:p>
        </w:tc>
        <w:tc>
          <w:tcPr>
            <w:tcW w:w="2693" w:type="dxa"/>
          </w:tcPr>
          <w:p>
            <w:pPr>
              <w:pStyle w:val="nTable"/>
              <w:spacing w:after="40"/>
            </w:pPr>
            <w:r>
              <w:t>30 Dec 1983</w:t>
            </w:r>
          </w:p>
        </w:tc>
      </w:tr>
      <w:tr>
        <w:trPr>
          <w:cantSplit/>
        </w:trPr>
        <w:tc>
          <w:tcPr>
            <w:tcW w:w="3118" w:type="dxa"/>
          </w:tcPr>
          <w:p>
            <w:pPr>
              <w:pStyle w:val="nTable"/>
              <w:spacing w:after="40"/>
              <w:ind w:right="113"/>
            </w:pPr>
            <w:r>
              <w:rPr>
                <w:i/>
              </w:rPr>
              <w:t>Builders’ Registration Amendment Regulations 1984</w:t>
            </w:r>
          </w:p>
        </w:tc>
        <w:tc>
          <w:tcPr>
            <w:tcW w:w="1276" w:type="dxa"/>
          </w:tcPr>
          <w:p>
            <w:pPr>
              <w:pStyle w:val="nTable"/>
              <w:spacing w:after="40"/>
            </w:pPr>
            <w:r>
              <w:t>6 Jul 1984 p. 2054</w:t>
            </w:r>
          </w:p>
        </w:tc>
        <w:tc>
          <w:tcPr>
            <w:tcW w:w="2693" w:type="dxa"/>
          </w:tcPr>
          <w:p>
            <w:pPr>
              <w:pStyle w:val="nTable"/>
              <w:spacing w:after="40"/>
            </w:pPr>
            <w:r>
              <w:t>6 Jul 1984</w:t>
            </w:r>
          </w:p>
        </w:tc>
      </w:tr>
      <w:tr>
        <w:trPr>
          <w:cantSplit/>
        </w:trPr>
        <w:tc>
          <w:tcPr>
            <w:tcW w:w="3118" w:type="dxa"/>
          </w:tcPr>
          <w:p>
            <w:pPr>
              <w:pStyle w:val="nTable"/>
              <w:spacing w:after="40"/>
              <w:ind w:right="113"/>
            </w:pPr>
            <w:r>
              <w:rPr>
                <w:i/>
              </w:rPr>
              <w:t>Builders’ Registration Amendment Regulations (No. 2) 1984</w:t>
            </w:r>
          </w:p>
        </w:tc>
        <w:tc>
          <w:tcPr>
            <w:tcW w:w="1276" w:type="dxa"/>
          </w:tcPr>
          <w:p>
            <w:pPr>
              <w:pStyle w:val="nTable"/>
              <w:spacing w:after="40"/>
            </w:pPr>
            <w:r>
              <w:t>30 Nov 1984 p. 3989</w:t>
            </w:r>
            <w:r>
              <w:noBreakHyphen/>
              <w:t>96</w:t>
            </w:r>
          </w:p>
        </w:tc>
        <w:tc>
          <w:tcPr>
            <w:tcW w:w="2693" w:type="dxa"/>
          </w:tcPr>
          <w:p>
            <w:pPr>
              <w:pStyle w:val="nTable"/>
              <w:spacing w:after="40"/>
            </w:pPr>
            <w:r>
              <w:t xml:space="preserve">1 Dec 1984 (see r. 2 and </w:t>
            </w:r>
            <w:r>
              <w:rPr>
                <w:i/>
              </w:rPr>
              <w:t>Gazette</w:t>
            </w:r>
            <w:r>
              <w:t xml:space="preserve"> 30 Nov 1984 p. 3945)</w:t>
            </w:r>
          </w:p>
        </w:tc>
      </w:tr>
      <w:tr>
        <w:trPr>
          <w:cantSplit/>
        </w:trPr>
        <w:tc>
          <w:tcPr>
            <w:tcW w:w="3118" w:type="dxa"/>
          </w:tcPr>
          <w:p>
            <w:pPr>
              <w:pStyle w:val="nTable"/>
              <w:spacing w:after="40"/>
              <w:ind w:right="113"/>
            </w:pPr>
            <w:r>
              <w:rPr>
                <w:i/>
              </w:rPr>
              <w:t>Builders’ Registration Amendment Regulations 1986</w:t>
            </w:r>
          </w:p>
        </w:tc>
        <w:tc>
          <w:tcPr>
            <w:tcW w:w="1276" w:type="dxa"/>
          </w:tcPr>
          <w:p>
            <w:pPr>
              <w:pStyle w:val="nTable"/>
              <w:spacing w:after="40"/>
            </w:pPr>
            <w:r>
              <w:t>29 Aug 1986 p. 3205</w:t>
            </w:r>
          </w:p>
        </w:tc>
        <w:tc>
          <w:tcPr>
            <w:tcW w:w="2693" w:type="dxa"/>
          </w:tcPr>
          <w:p>
            <w:pPr>
              <w:pStyle w:val="nTable"/>
              <w:spacing w:after="40"/>
            </w:pPr>
            <w:r>
              <w:t xml:space="preserve">1 Sep 1986 (see r. 2 and </w:t>
            </w:r>
            <w:r>
              <w:rPr>
                <w:i/>
              </w:rPr>
              <w:t>Gazette</w:t>
            </w:r>
            <w:r>
              <w:t xml:space="preserve"> 29 Aug 1986 p. 3162)</w:t>
            </w:r>
          </w:p>
        </w:tc>
      </w:tr>
      <w:tr>
        <w:trPr>
          <w:cantSplit/>
        </w:trPr>
        <w:tc>
          <w:tcPr>
            <w:tcW w:w="3118" w:type="dxa"/>
          </w:tcPr>
          <w:p>
            <w:pPr>
              <w:pStyle w:val="nTable"/>
              <w:spacing w:after="40"/>
              <w:ind w:right="113"/>
            </w:pPr>
            <w:r>
              <w:rPr>
                <w:i/>
              </w:rPr>
              <w:t>Builders’ Registration Amendment Regulations 1987</w:t>
            </w:r>
          </w:p>
        </w:tc>
        <w:tc>
          <w:tcPr>
            <w:tcW w:w="1276" w:type="dxa"/>
          </w:tcPr>
          <w:p>
            <w:pPr>
              <w:pStyle w:val="nTable"/>
              <w:spacing w:after="40"/>
            </w:pPr>
            <w:r>
              <w:t>31 Dec 1987 p. 4609</w:t>
            </w:r>
          </w:p>
        </w:tc>
        <w:tc>
          <w:tcPr>
            <w:tcW w:w="2693" w:type="dxa"/>
          </w:tcPr>
          <w:p>
            <w:pPr>
              <w:pStyle w:val="nTable"/>
              <w:spacing w:after="40"/>
            </w:pPr>
            <w:r>
              <w:t>31 Dec 1987</w:t>
            </w:r>
          </w:p>
        </w:tc>
      </w:tr>
      <w:tr>
        <w:trPr>
          <w:cantSplit/>
        </w:trPr>
        <w:tc>
          <w:tcPr>
            <w:tcW w:w="3118" w:type="dxa"/>
          </w:tcPr>
          <w:p>
            <w:pPr>
              <w:pStyle w:val="nTable"/>
              <w:spacing w:after="40"/>
              <w:ind w:right="113"/>
            </w:pPr>
            <w:r>
              <w:rPr>
                <w:i/>
              </w:rPr>
              <w:t>Builders’ Registration Amendment Regulations 1988</w:t>
            </w:r>
          </w:p>
        </w:tc>
        <w:tc>
          <w:tcPr>
            <w:tcW w:w="1276" w:type="dxa"/>
          </w:tcPr>
          <w:p>
            <w:pPr>
              <w:pStyle w:val="nTable"/>
              <w:spacing w:after="40"/>
            </w:pPr>
            <w:r>
              <w:t>1 Jul 1988 p. 2161</w:t>
            </w:r>
          </w:p>
        </w:tc>
        <w:tc>
          <w:tcPr>
            <w:tcW w:w="2693" w:type="dxa"/>
          </w:tcPr>
          <w:p>
            <w:pPr>
              <w:pStyle w:val="nTable"/>
              <w:spacing w:after="40"/>
            </w:pPr>
            <w:r>
              <w:t>1 Jul 1988</w:t>
            </w:r>
          </w:p>
        </w:tc>
      </w:tr>
      <w:tr>
        <w:trPr>
          <w:cantSplit/>
        </w:trPr>
        <w:tc>
          <w:tcPr>
            <w:tcW w:w="3118" w:type="dxa"/>
          </w:tcPr>
          <w:p>
            <w:pPr>
              <w:pStyle w:val="nTable"/>
              <w:spacing w:after="40"/>
              <w:ind w:right="113"/>
            </w:pPr>
            <w:r>
              <w:rPr>
                <w:i/>
              </w:rPr>
              <w:t>Builders’ Registration Amendment Regulations 1989</w:t>
            </w:r>
          </w:p>
        </w:tc>
        <w:tc>
          <w:tcPr>
            <w:tcW w:w="1276" w:type="dxa"/>
          </w:tcPr>
          <w:p>
            <w:pPr>
              <w:pStyle w:val="nTable"/>
              <w:spacing w:after="40"/>
            </w:pPr>
            <w:r>
              <w:t>7 Jul 1989 p. 2112</w:t>
            </w:r>
          </w:p>
        </w:tc>
        <w:tc>
          <w:tcPr>
            <w:tcW w:w="2693" w:type="dxa"/>
          </w:tcPr>
          <w:p>
            <w:pPr>
              <w:pStyle w:val="nTable"/>
              <w:spacing w:after="40"/>
            </w:pPr>
            <w:r>
              <w:t>7 Jul 1989</w:t>
            </w:r>
          </w:p>
        </w:tc>
      </w:tr>
      <w:tr>
        <w:trPr>
          <w:cantSplit/>
        </w:trPr>
        <w:tc>
          <w:tcPr>
            <w:tcW w:w="3118" w:type="dxa"/>
          </w:tcPr>
          <w:p>
            <w:pPr>
              <w:pStyle w:val="nTable"/>
              <w:spacing w:after="40"/>
              <w:ind w:right="113"/>
            </w:pPr>
            <w:r>
              <w:rPr>
                <w:i/>
              </w:rPr>
              <w:t>Builders’ Registration Amendment Regulations (No. 2) 1990</w:t>
            </w:r>
          </w:p>
        </w:tc>
        <w:tc>
          <w:tcPr>
            <w:tcW w:w="1276" w:type="dxa"/>
          </w:tcPr>
          <w:p>
            <w:pPr>
              <w:pStyle w:val="nTable"/>
              <w:spacing w:after="40"/>
            </w:pPr>
            <w:r>
              <w:t>21 Sep 1990 p. 4897</w:t>
            </w:r>
            <w:r>
              <w:noBreakHyphen/>
              <w:t>8</w:t>
            </w:r>
          </w:p>
        </w:tc>
        <w:tc>
          <w:tcPr>
            <w:tcW w:w="2693" w:type="dxa"/>
          </w:tcPr>
          <w:p>
            <w:pPr>
              <w:pStyle w:val="nTable"/>
              <w:spacing w:after="40"/>
            </w:pPr>
            <w:r>
              <w:t>21 Oct 1990 (see r. 2)</w:t>
            </w:r>
          </w:p>
        </w:tc>
      </w:tr>
      <w:tr>
        <w:trPr>
          <w:cantSplit/>
        </w:trPr>
        <w:tc>
          <w:tcPr>
            <w:tcW w:w="3118" w:type="dxa"/>
          </w:tcPr>
          <w:p>
            <w:pPr>
              <w:pStyle w:val="nTable"/>
              <w:spacing w:after="40"/>
              <w:ind w:right="113"/>
            </w:pPr>
            <w:r>
              <w:rPr>
                <w:i/>
              </w:rPr>
              <w:t>Builders’ Registration Amendment Regulations 1997</w:t>
            </w:r>
          </w:p>
        </w:tc>
        <w:tc>
          <w:tcPr>
            <w:tcW w:w="1276" w:type="dxa"/>
          </w:tcPr>
          <w:p>
            <w:pPr>
              <w:pStyle w:val="nTable"/>
              <w:spacing w:after="40"/>
            </w:pPr>
            <w:r>
              <w:t>9 Dec 1997 p. 7172</w:t>
            </w:r>
            <w:r>
              <w:noBreakHyphen/>
              <w:t>3</w:t>
            </w:r>
          </w:p>
        </w:tc>
        <w:tc>
          <w:tcPr>
            <w:tcW w:w="2693" w:type="dxa"/>
          </w:tcPr>
          <w:p>
            <w:pPr>
              <w:pStyle w:val="nTable"/>
              <w:spacing w:after="40"/>
            </w:pPr>
            <w:r>
              <w:t>1 Jan 1998 (see r. 2)</w:t>
            </w:r>
          </w:p>
        </w:tc>
      </w:tr>
      <w:tr>
        <w:trPr>
          <w:cantSplit/>
        </w:trPr>
        <w:tc>
          <w:tcPr>
            <w:tcW w:w="3118" w:type="dxa"/>
          </w:tcPr>
          <w:p>
            <w:pPr>
              <w:pStyle w:val="nTable"/>
              <w:spacing w:after="40"/>
              <w:ind w:right="113"/>
              <w:rPr>
                <w:i/>
              </w:rPr>
            </w:pPr>
            <w:r>
              <w:rPr>
                <w:i/>
              </w:rPr>
              <w:t>Builders’ Registration Amendment Regulations 1998</w:t>
            </w:r>
          </w:p>
        </w:tc>
        <w:tc>
          <w:tcPr>
            <w:tcW w:w="1276" w:type="dxa"/>
          </w:tcPr>
          <w:p>
            <w:pPr>
              <w:pStyle w:val="nTable"/>
              <w:spacing w:after="40"/>
            </w:pPr>
            <w:r>
              <w:t>17 Jul 1998 p. 3761</w:t>
            </w:r>
          </w:p>
        </w:tc>
        <w:tc>
          <w:tcPr>
            <w:tcW w:w="2693" w:type="dxa"/>
          </w:tcPr>
          <w:p>
            <w:pPr>
              <w:pStyle w:val="nTable"/>
              <w:spacing w:after="40"/>
            </w:pPr>
            <w:r>
              <w:t>17 Jul 1998</w:t>
            </w:r>
          </w:p>
        </w:tc>
      </w:tr>
      <w:tr>
        <w:trPr>
          <w:cantSplit/>
        </w:trPr>
        <w:tc>
          <w:tcPr>
            <w:tcW w:w="7087" w:type="dxa"/>
            <w:gridSpan w:val="3"/>
          </w:tcPr>
          <w:p>
            <w:pPr>
              <w:pStyle w:val="nTable"/>
              <w:spacing w:after="40"/>
            </w:pPr>
            <w:r>
              <w:rPr>
                <w:b/>
              </w:rPr>
              <w:t xml:space="preserve">Reprint of the </w:t>
            </w:r>
            <w:r>
              <w:rPr>
                <w:b/>
                <w:i/>
              </w:rPr>
              <w:t>Builders’ Registration Regulations</w:t>
            </w:r>
            <w:r>
              <w:rPr>
                <w:b/>
              </w:rPr>
              <w:t xml:space="preserve"> as at 22 Sep 2000</w:t>
            </w:r>
            <w:r>
              <w:t xml:space="preserve"> (includes amendments listed above)</w:t>
            </w:r>
          </w:p>
        </w:tc>
      </w:tr>
      <w:tr>
        <w:trPr>
          <w:cantSplit/>
        </w:trPr>
        <w:tc>
          <w:tcPr>
            <w:tcW w:w="3118" w:type="dxa"/>
          </w:tcPr>
          <w:p>
            <w:pPr>
              <w:pStyle w:val="nTable"/>
              <w:spacing w:after="40"/>
              <w:ind w:right="113"/>
              <w:rPr>
                <w:i/>
              </w:rPr>
            </w:pPr>
            <w:r>
              <w:rPr>
                <w:i/>
              </w:rPr>
              <w:t>Builders’ Registration Amendment Regulations (No. 2) 2001</w:t>
            </w:r>
          </w:p>
        </w:tc>
        <w:tc>
          <w:tcPr>
            <w:tcW w:w="1276" w:type="dxa"/>
          </w:tcPr>
          <w:p>
            <w:pPr>
              <w:pStyle w:val="nTable"/>
              <w:spacing w:after="40"/>
            </w:pPr>
            <w:r>
              <w:t>31 Jul 2001 p. 3935</w:t>
            </w:r>
            <w:r>
              <w:noBreakHyphen/>
              <w:t>46</w:t>
            </w:r>
          </w:p>
        </w:tc>
        <w:tc>
          <w:tcPr>
            <w:tcW w:w="2693" w:type="dxa"/>
          </w:tcPr>
          <w:p>
            <w:pPr>
              <w:pStyle w:val="nTable"/>
              <w:spacing w:after="40"/>
              <w:rPr>
                <w:i/>
              </w:rPr>
            </w:pPr>
            <w:r>
              <w:t xml:space="preserve">1 Aug 2001 (see r. 2 and </w:t>
            </w:r>
            <w:r>
              <w:rPr>
                <w:i/>
              </w:rPr>
              <w:t xml:space="preserve">Gazette </w:t>
            </w:r>
            <w:r>
              <w:t>31 Jul 2001 p. 3907)</w:t>
            </w:r>
          </w:p>
        </w:tc>
      </w:tr>
      <w:tr>
        <w:trPr>
          <w:cantSplit/>
        </w:trPr>
        <w:tc>
          <w:tcPr>
            <w:tcW w:w="3118" w:type="dxa"/>
          </w:tcPr>
          <w:p>
            <w:pPr>
              <w:pStyle w:val="nTable"/>
              <w:spacing w:after="40"/>
              <w:ind w:right="113"/>
              <w:rPr>
                <w:i/>
              </w:rPr>
            </w:pPr>
            <w:r>
              <w:rPr>
                <w:i/>
              </w:rPr>
              <w:t>Builders’ Registration Amendment Regulations (No. 3) 2001</w:t>
            </w:r>
          </w:p>
        </w:tc>
        <w:tc>
          <w:tcPr>
            <w:tcW w:w="1276" w:type="dxa"/>
          </w:tcPr>
          <w:p>
            <w:pPr>
              <w:pStyle w:val="nTable"/>
              <w:spacing w:after="40"/>
            </w:pPr>
            <w:r>
              <w:t>28 Aug 2001 p. 4796</w:t>
            </w:r>
            <w:r>
              <w:noBreakHyphen/>
              <w:t>7</w:t>
            </w:r>
          </w:p>
        </w:tc>
        <w:tc>
          <w:tcPr>
            <w:tcW w:w="2693" w:type="dxa"/>
          </w:tcPr>
          <w:p>
            <w:pPr>
              <w:pStyle w:val="nTable"/>
              <w:spacing w:after="40"/>
            </w:pPr>
            <w:r>
              <w:t xml:space="preserve">28 Sep 2001 (see r. 2(b) and </w:t>
            </w:r>
            <w:r>
              <w:rPr>
                <w:i/>
              </w:rPr>
              <w:t>Gazette</w:t>
            </w:r>
            <w:r>
              <w:t xml:space="preserve"> 28 Sep 2001 p. 5352)</w:t>
            </w:r>
          </w:p>
        </w:tc>
      </w:tr>
      <w:tr>
        <w:trPr>
          <w:cantSplit/>
        </w:trPr>
        <w:tc>
          <w:tcPr>
            <w:tcW w:w="3118" w:type="dxa"/>
          </w:tcPr>
          <w:p>
            <w:pPr>
              <w:pStyle w:val="nTable"/>
              <w:spacing w:after="40"/>
              <w:ind w:right="113"/>
            </w:pPr>
            <w:r>
              <w:rPr>
                <w:i/>
              </w:rPr>
              <w:t>Corporations (Consequential Amendments) Regulations 2001</w:t>
            </w:r>
            <w:r>
              <w:t xml:space="preserve"> Pt. 3</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w:t>
            </w:r>
            <w:r>
              <w:rPr>
                <w:i/>
              </w:rPr>
              <w:t>Commonwealth</w:t>
            </w:r>
            <w:r>
              <w:t xml:space="preserve"> </w:t>
            </w:r>
            <w:r>
              <w:rPr>
                <w:i/>
              </w:rPr>
              <w:t>Gazette</w:t>
            </w:r>
            <w:r>
              <w:t xml:space="preserve"> 13 Jul 2001 No. S285)</w:t>
            </w:r>
          </w:p>
        </w:tc>
      </w:tr>
      <w:tr>
        <w:trPr>
          <w:cantSplit/>
        </w:trPr>
        <w:tc>
          <w:tcPr>
            <w:tcW w:w="3118" w:type="dxa"/>
          </w:tcPr>
          <w:p>
            <w:pPr>
              <w:pStyle w:val="nTable"/>
              <w:spacing w:after="40"/>
              <w:ind w:right="113"/>
            </w:pPr>
            <w:r>
              <w:rPr>
                <w:i/>
              </w:rPr>
              <w:t>Builders’ Registration Amendment Regulations (No. 2) 2003</w:t>
            </w:r>
          </w:p>
        </w:tc>
        <w:tc>
          <w:tcPr>
            <w:tcW w:w="1276" w:type="dxa"/>
          </w:tcPr>
          <w:p>
            <w:pPr>
              <w:pStyle w:val="nTable"/>
              <w:spacing w:after="40"/>
            </w:pPr>
            <w:r>
              <w:t>9 Jan 2004 p. 86</w:t>
            </w:r>
            <w:r>
              <w:noBreakHyphen/>
              <w:t>7</w:t>
            </w:r>
          </w:p>
        </w:tc>
        <w:tc>
          <w:tcPr>
            <w:tcW w:w="2693" w:type="dxa"/>
          </w:tcPr>
          <w:p>
            <w:pPr>
              <w:pStyle w:val="nTable"/>
              <w:spacing w:after="40"/>
            </w:pPr>
            <w:r>
              <w:t>9 Jan 2004</w:t>
            </w:r>
          </w:p>
        </w:tc>
      </w:tr>
      <w:tr>
        <w:trPr>
          <w:cantSplit/>
        </w:trPr>
        <w:tc>
          <w:tcPr>
            <w:tcW w:w="3118" w:type="dxa"/>
          </w:tcPr>
          <w:p>
            <w:pPr>
              <w:pStyle w:val="nTable"/>
              <w:spacing w:after="40"/>
              <w:ind w:right="113"/>
              <w:rPr>
                <w:i/>
              </w:rPr>
            </w:pPr>
            <w:r>
              <w:rPr>
                <w:i/>
              </w:rPr>
              <w:t>Builders’ Registration Amendment Regulations 2005</w:t>
            </w:r>
          </w:p>
        </w:tc>
        <w:tc>
          <w:tcPr>
            <w:tcW w:w="1276" w:type="dxa"/>
          </w:tcPr>
          <w:p>
            <w:pPr>
              <w:pStyle w:val="nTable"/>
              <w:spacing w:after="40"/>
            </w:pPr>
            <w:r>
              <w:t>28 Jun 2005 p. 2913</w:t>
            </w:r>
            <w:r>
              <w:noBreakHyphen/>
              <w:t>15</w:t>
            </w:r>
          </w:p>
        </w:tc>
        <w:tc>
          <w:tcPr>
            <w:tcW w:w="2693" w:type="dxa"/>
          </w:tcPr>
          <w:p>
            <w:pPr>
              <w:pStyle w:val="nTable"/>
              <w:spacing w:after="40"/>
            </w:pPr>
            <w:r>
              <w:t>1 Jul 2005 (see r. 2)</w:t>
            </w:r>
          </w:p>
        </w:tc>
      </w:tr>
      <w:tr>
        <w:trPr>
          <w:cantSplit/>
        </w:trPr>
        <w:tc>
          <w:tcPr>
            <w:tcW w:w="7087" w:type="dxa"/>
            <w:gridSpan w:val="3"/>
          </w:tcPr>
          <w:p>
            <w:pPr>
              <w:pStyle w:val="nTable"/>
              <w:spacing w:after="40"/>
            </w:pPr>
            <w:r>
              <w:rPr>
                <w:b/>
              </w:rPr>
              <w:t xml:space="preserve">Reprint 2: The </w:t>
            </w:r>
            <w:r>
              <w:rPr>
                <w:b/>
                <w:i/>
              </w:rPr>
              <w:t>Builders’ Registration Regulations</w:t>
            </w:r>
            <w:r>
              <w:rPr>
                <w:b/>
              </w:rPr>
              <w:t xml:space="preserve"> as at 17 Feb 2006</w:t>
            </w:r>
            <w:r>
              <w:t xml:space="preserve"> (includes amendments listed above)</w:t>
            </w:r>
          </w:p>
        </w:tc>
      </w:tr>
      <w:tr>
        <w:trPr>
          <w:cantSplit/>
        </w:trPr>
        <w:tc>
          <w:tcPr>
            <w:tcW w:w="3118" w:type="dxa"/>
          </w:tcPr>
          <w:p>
            <w:pPr>
              <w:pStyle w:val="nTable"/>
              <w:spacing w:after="40"/>
              <w:ind w:right="113"/>
              <w:rPr>
                <w:i/>
              </w:rPr>
            </w:pPr>
            <w:r>
              <w:rPr>
                <w:i/>
              </w:rPr>
              <w:t>Builders’ Registration Amendment Regulations 2006</w:t>
            </w:r>
          </w:p>
        </w:tc>
        <w:tc>
          <w:tcPr>
            <w:tcW w:w="1276" w:type="dxa"/>
          </w:tcPr>
          <w:p>
            <w:pPr>
              <w:pStyle w:val="nTable"/>
              <w:spacing w:after="40"/>
            </w:pPr>
            <w:r>
              <w:t>27 Jun 2006 p. 2264</w:t>
            </w:r>
            <w:r>
              <w:noBreakHyphen/>
              <w:t>5</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Builders’ Registration Amendment Regulations (No. 2) 2007</w:t>
            </w:r>
          </w:p>
        </w:tc>
        <w:tc>
          <w:tcPr>
            <w:tcW w:w="1276" w:type="dxa"/>
          </w:tcPr>
          <w:p>
            <w:pPr>
              <w:pStyle w:val="nTable"/>
              <w:spacing w:after="40"/>
            </w:pPr>
            <w:r>
              <w:t>15 Jun 2007 p. 2763</w:t>
            </w:r>
            <w:r>
              <w:noBreakHyphen/>
              <w:t>4</w:t>
            </w:r>
          </w:p>
        </w:tc>
        <w:tc>
          <w:tcPr>
            <w:tcW w:w="2693" w:type="dxa"/>
          </w:tcPr>
          <w:p>
            <w:pPr>
              <w:pStyle w:val="nTable"/>
              <w:spacing w:after="40"/>
            </w:pPr>
            <w:r>
              <w:t>r. 1 and 2: 15 Jun 2007 (see r. 2(a));</w:t>
            </w:r>
            <w:r>
              <w:br/>
              <w:t>Regulations other than r. 1 and 2: 1 Jul 2007 (see r. 2(b)(i))</w:t>
            </w:r>
          </w:p>
        </w:tc>
      </w:tr>
      <w:tr>
        <w:trPr>
          <w:cantSplit/>
        </w:trPr>
        <w:tc>
          <w:tcPr>
            <w:tcW w:w="3118" w:type="dxa"/>
          </w:tcPr>
          <w:p>
            <w:pPr>
              <w:pStyle w:val="nTable"/>
              <w:spacing w:after="40"/>
              <w:ind w:right="113"/>
              <w:rPr>
                <w:i/>
              </w:rPr>
            </w:pPr>
            <w:r>
              <w:rPr>
                <w:i/>
              </w:rPr>
              <w:t>Builders’ Registration Amendment Regulations (No. 3) 2007</w:t>
            </w:r>
          </w:p>
        </w:tc>
        <w:tc>
          <w:tcPr>
            <w:tcW w:w="1276" w:type="dxa"/>
          </w:tcPr>
          <w:p>
            <w:pPr>
              <w:pStyle w:val="nTable"/>
              <w:spacing w:after="40"/>
            </w:pPr>
            <w:r>
              <w:t>15 Jun 2007 p. 2766</w:t>
            </w:r>
            <w:r>
              <w:noBreakHyphen/>
              <w:t>7</w:t>
            </w:r>
          </w:p>
        </w:tc>
        <w:tc>
          <w:tcPr>
            <w:tcW w:w="2693" w:type="dxa"/>
          </w:tcPr>
          <w:p>
            <w:pPr>
              <w:pStyle w:val="nTable"/>
              <w:spacing w:after="40"/>
            </w:pPr>
            <w:r>
              <w:t>r. 1 and 2: 15 Jun 2007 (see r. 2(a));</w:t>
            </w:r>
            <w:r>
              <w:br/>
              <w:t>Regulations other than r. 1 and 2: 1 Jul 2007 (see r. 2(b)(i))</w:t>
            </w:r>
          </w:p>
        </w:tc>
      </w:tr>
      <w:tr>
        <w:trPr>
          <w:cantSplit/>
        </w:trPr>
        <w:tc>
          <w:tcPr>
            <w:tcW w:w="3118" w:type="dxa"/>
          </w:tcPr>
          <w:p>
            <w:pPr>
              <w:pStyle w:val="nTable"/>
              <w:spacing w:after="40"/>
              <w:ind w:right="113"/>
              <w:rPr>
                <w:i/>
              </w:rPr>
            </w:pPr>
            <w:r>
              <w:rPr>
                <w:i/>
              </w:rPr>
              <w:t>Builders’ Registration Amendment Regulations 2007</w:t>
            </w:r>
          </w:p>
        </w:tc>
        <w:tc>
          <w:tcPr>
            <w:tcW w:w="1276" w:type="dxa"/>
          </w:tcPr>
          <w:p>
            <w:pPr>
              <w:pStyle w:val="nTable"/>
              <w:spacing w:after="40"/>
            </w:pPr>
            <w:r>
              <w:t>29 Jun 2007 p. 3189</w:t>
            </w:r>
            <w:r>
              <w:noBreakHyphen/>
              <w:t>90</w:t>
            </w:r>
          </w:p>
        </w:tc>
        <w:tc>
          <w:tcPr>
            <w:tcW w:w="2693" w:type="dxa"/>
          </w:tcPr>
          <w:p>
            <w:pPr>
              <w:pStyle w:val="nTable"/>
              <w:spacing w:after="40"/>
            </w:pPr>
            <w:r>
              <w:rPr>
                <w:snapToGrid w:val="0"/>
              </w:rPr>
              <w:t>r. 1 and 2: 29 Jun 2007 (see r. 2(a));</w:t>
            </w:r>
            <w:r>
              <w:rPr>
                <w:snapToGrid w:val="0"/>
              </w:rPr>
              <w:br/>
              <w:t>Regulations other than r. 1 and 2: 2 Jul 2007 (see r. 2(b)(i))</w:t>
            </w:r>
          </w:p>
        </w:tc>
      </w:tr>
      <w:tr>
        <w:trPr>
          <w:cantSplit/>
        </w:trPr>
        <w:tc>
          <w:tcPr>
            <w:tcW w:w="7087" w:type="dxa"/>
            <w:gridSpan w:val="3"/>
          </w:tcPr>
          <w:p>
            <w:pPr>
              <w:pStyle w:val="nTable"/>
              <w:spacing w:after="40"/>
              <w:rPr>
                <w:snapToGrid w:val="0"/>
              </w:rPr>
            </w:pPr>
            <w:r>
              <w:rPr>
                <w:b/>
              </w:rPr>
              <w:t xml:space="preserve">Reprint 3: The </w:t>
            </w:r>
            <w:r>
              <w:rPr>
                <w:b/>
                <w:i/>
              </w:rPr>
              <w:t>Builders’ Registration Regulations</w:t>
            </w:r>
            <w:r>
              <w:rPr>
                <w:b/>
              </w:rPr>
              <w:t xml:space="preserve"> as at 26 Oct 2007</w:t>
            </w:r>
            <w:r>
              <w:t xml:space="preserve"> (includes amendments listed above)</w:t>
            </w:r>
          </w:p>
        </w:tc>
      </w:tr>
      <w:tr>
        <w:trPr>
          <w:cantSplit/>
        </w:trPr>
        <w:tc>
          <w:tcPr>
            <w:tcW w:w="3118" w:type="dxa"/>
          </w:tcPr>
          <w:p>
            <w:pPr>
              <w:pStyle w:val="nTable"/>
              <w:spacing w:after="40"/>
              <w:ind w:right="113"/>
              <w:rPr>
                <w:i/>
              </w:rPr>
            </w:pPr>
            <w:r>
              <w:rPr>
                <w:i/>
              </w:rPr>
              <w:t>Builders’ Registration Amendment Regulations 2008</w:t>
            </w:r>
          </w:p>
        </w:tc>
        <w:tc>
          <w:tcPr>
            <w:tcW w:w="1276" w:type="dxa"/>
          </w:tcPr>
          <w:p>
            <w:pPr>
              <w:pStyle w:val="nTable"/>
              <w:spacing w:after="40"/>
            </w:pPr>
            <w:r>
              <w:t>17 Jun 2008 p. 2545-6</w:t>
            </w:r>
          </w:p>
        </w:tc>
        <w:tc>
          <w:tcPr>
            <w:tcW w:w="2693" w:type="dxa"/>
          </w:tcPr>
          <w:p>
            <w:pPr>
              <w:pStyle w:val="nTable"/>
              <w:spacing w:after="40"/>
            </w:pPr>
            <w:r>
              <w:rPr>
                <w:snapToGrid w:val="0"/>
              </w:rPr>
              <w:t>r. 1 and 2: 17 Jun 2008 (see r. 2(a));</w:t>
            </w:r>
            <w:r>
              <w:rPr>
                <w:snapToGrid w:val="0"/>
              </w:rPr>
              <w:br/>
              <w:t>Regulations other than r. 1 and 2: 1 Jul 2008 (see r. 2(b)(i))</w:t>
            </w:r>
          </w:p>
        </w:tc>
      </w:tr>
      <w:tr>
        <w:trPr>
          <w:cantSplit/>
        </w:trPr>
        <w:tc>
          <w:tcPr>
            <w:tcW w:w="3118" w:type="dxa"/>
          </w:tcPr>
          <w:p>
            <w:pPr>
              <w:pStyle w:val="nTable"/>
              <w:spacing w:after="40"/>
              <w:ind w:right="113"/>
              <w:rPr>
                <w:i/>
              </w:rPr>
            </w:pPr>
            <w:r>
              <w:rPr>
                <w:i/>
              </w:rPr>
              <w:t>Builders’ Registration Amendment Regulations (No. 2) 2008</w:t>
            </w:r>
          </w:p>
        </w:tc>
        <w:tc>
          <w:tcPr>
            <w:tcW w:w="1276" w:type="dxa"/>
          </w:tcPr>
          <w:p>
            <w:pPr>
              <w:pStyle w:val="nTable"/>
              <w:spacing w:after="40"/>
            </w:pPr>
            <w:r>
              <w:t>17 Jun 2008 p. 2547</w:t>
            </w:r>
          </w:p>
        </w:tc>
        <w:tc>
          <w:tcPr>
            <w:tcW w:w="2693" w:type="dxa"/>
          </w:tcPr>
          <w:p>
            <w:pPr>
              <w:pStyle w:val="nTable"/>
              <w:spacing w:after="40"/>
              <w:rPr>
                <w:snapToGrid w:val="0"/>
              </w:rPr>
            </w:pPr>
            <w:r>
              <w:rPr>
                <w:snapToGrid w:val="0"/>
              </w:rPr>
              <w:t>r. 1 and 2: 17 Jun 2008 (see r. 2(a));</w:t>
            </w:r>
            <w:r>
              <w:rPr>
                <w:snapToGrid w:val="0"/>
              </w:rPr>
              <w:br/>
              <w:t xml:space="preserve">Regulations other than r. 1 and 2: 1 Jul 2008 (see r. 2(b)(i) and </w:t>
            </w:r>
            <w:r>
              <w:rPr>
                <w:i/>
                <w:iCs/>
                <w:snapToGrid w:val="0"/>
              </w:rPr>
              <w:t xml:space="preserve">Gazette </w:t>
            </w:r>
            <w:r>
              <w:rPr>
                <w:snapToGrid w:val="0"/>
              </w:rPr>
              <w:t>17 Jun 2008 p. 2545)</w:t>
            </w:r>
          </w:p>
        </w:tc>
      </w:tr>
      <w:tr>
        <w:trPr>
          <w:cantSplit/>
        </w:trPr>
        <w:tc>
          <w:tcPr>
            <w:tcW w:w="3118" w:type="dxa"/>
          </w:tcPr>
          <w:p>
            <w:pPr>
              <w:pStyle w:val="nTable"/>
              <w:spacing w:after="40"/>
              <w:ind w:right="113"/>
              <w:rPr>
                <w:i/>
              </w:rPr>
            </w:pPr>
            <w:r>
              <w:rPr>
                <w:i/>
              </w:rPr>
              <w:t>Builders’ Registration Amendment Regulations 2009</w:t>
            </w:r>
          </w:p>
        </w:tc>
        <w:tc>
          <w:tcPr>
            <w:tcW w:w="1276" w:type="dxa"/>
          </w:tcPr>
          <w:p>
            <w:pPr>
              <w:pStyle w:val="nTable"/>
              <w:spacing w:after="40"/>
            </w:pPr>
            <w:r>
              <w:t>23 Jun 2009 p. 2431</w:t>
            </w:r>
            <w:r>
              <w:noBreakHyphen/>
              <w:t>2</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2(b)(i))</w:t>
            </w:r>
          </w:p>
        </w:tc>
      </w:tr>
      <w:tr>
        <w:trPr>
          <w:cantSplit/>
        </w:trPr>
        <w:tc>
          <w:tcPr>
            <w:tcW w:w="3118" w:type="dxa"/>
          </w:tcPr>
          <w:p>
            <w:pPr>
              <w:pStyle w:val="nTable"/>
              <w:spacing w:after="40"/>
              <w:ind w:right="113"/>
              <w:rPr>
                <w:i/>
              </w:rPr>
            </w:pPr>
            <w:r>
              <w:rPr>
                <w:i/>
              </w:rPr>
              <w:t>Builders’ Registration Amendment Regulations (No. 2) 2009</w:t>
            </w:r>
          </w:p>
        </w:tc>
        <w:tc>
          <w:tcPr>
            <w:tcW w:w="1276" w:type="dxa"/>
          </w:tcPr>
          <w:p>
            <w:pPr>
              <w:pStyle w:val="nTable"/>
              <w:spacing w:after="40"/>
            </w:pPr>
            <w:r>
              <w:t>23 Jun 2009 p. 2433</w:t>
            </w:r>
          </w:p>
        </w:tc>
        <w:tc>
          <w:tcPr>
            <w:tcW w:w="2693" w:type="dxa"/>
          </w:tcPr>
          <w:p>
            <w:pPr>
              <w:pStyle w:val="nTable"/>
              <w:spacing w:after="40"/>
              <w:rPr>
                <w:i/>
                <w:snapToGrid w:val="0"/>
                <w:spacing w:val="-2"/>
              </w:rPr>
            </w:pPr>
            <w:r>
              <w:rPr>
                <w:snapToGrid w:val="0"/>
                <w:spacing w:val="-2"/>
              </w:rPr>
              <w:t>r. 1 and 2: 23 Jun 2009 (see r. 2(a));</w:t>
            </w:r>
            <w:r>
              <w:rPr>
                <w:snapToGrid w:val="0"/>
                <w:spacing w:val="-2"/>
              </w:rPr>
              <w:br/>
              <w:t xml:space="preserve">Regulations other than r. 1 and 2: 1 Jul 2009 (see r. 2(b)(i) </w:t>
            </w:r>
            <w:r>
              <w:rPr>
                <w:snapToGrid w:val="0"/>
              </w:rPr>
              <w:t xml:space="preserve">and </w:t>
            </w:r>
            <w:r>
              <w:rPr>
                <w:i/>
                <w:iCs/>
                <w:snapToGrid w:val="0"/>
              </w:rPr>
              <w:t xml:space="preserve">Gazette </w:t>
            </w:r>
            <w:r>
              <w:t>23 Jun 2009 p. 2431</w:t>
            </w:r>
            <w:r>
              <w:rPr>
                <w:snapToGrid w:val="0"/>
                <w:spacing w:val="-2"/>
              </w:rPr>
              <w:t>)</w:t>
            </w:r>
          </w:p>
        </w:tc>
      </w:tr>
      <w:tr>
        <w:trPr>
          <w:cantSplit/>
        </w:trPr>
        <w:tc>
          <w:tcPr>
            <w:tcW w:w="7087" w:type="dxa"/>
            <w:gridSpan w:val="3"/>
          </w:tcPr>
          <w:p>
            <w:pPr>
              <w:pStyle w:val="nTable"/>
              <w:spacing w:after="40"/>
              <w:rPr>
                <w:snapToGrid w:val="0"/>
                <w:spacing w:val="-2"/>
              </w:rPr>
            </w:pPr>
            <w:r>
              <w:rPr>
                <w:b/>
              </w:rPr>
              <w:t xml:space="preserve">Reprint 4: The </w:t>
            </w:r>
            <w:r>
              <w:rPr>
                <w:b/>
                <w:i/>
              </w:rPr>
              <w:t>Builders’ Registration Regulations</w:t>
            </w:r>
            <w:r>
              <w:rPr>
                <w:b/>
              </w:rPr>
              <w:t xml:space="preserve"> as at 11 Sep 2009</w:t>
            </w:r>
            <w:r>
              <w:t xml:space="preserve"> (includes amendments listed above)</w:t>
            </w:r>
          </w:p>
        </w:tc>
      </w:tr>
      <w:tr>
        <w:trPr>
          <w:cantSplit/>
        </w:trPr>
        <w:tc>
          <w:tcPr>
            <w:tcW w:w="3118" w:type="dxa"/>
          </w:tcPr>
          <w:p>
            <w:pPr>
              <w:pStyle w:val="nTable"/>
              <w:spacing w:after="40"/>
              <w:ind w:right="113"/>
              <w:rPr>
                <w:i/>
              </w:rPr>
            </w:pPr>
            <w:r>
              <w:rPr>
                <w:i/>
              </w:rPr>
              <w:t>Builders’ Registration Amendment Regulations 2010</w:t>
            </w:r>
          </w:p>
        </w:tc>
        <w:tc>
          <w:tcPr>
            <w:tcW w:w="1276" w:type="dxa"/>
          </w:tcPr>
          <w:p>
            <w:pPr>
              <w:pStyle w:val="nTable"/>
              <w:spacing w:after="40"/>
            </w:pPr>
            <w:r>
              <w:t>25 Jun 2010 p. 2856</w:t>
            </w:r>
            <w:r>
              <w:noBreakHyphen/>
              <w:t>7</w:t>
            </w:r>
          </w:p>
        </w:tc>
        <w:tc>
          <w:tcPr>
            <w:tcW w:w="2693" w:type="dxa"/>
          </w:tcPr>
          <w:p>
            <w:pPr>
              <w:pStyle w:val="nTable"/>
              <w:spacing w:after="40"/>
              <w:rPr>
                <w:snapToGrid w:val="0"/>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ind w:right="113"/>
              <w:rPr>
                <w:i/>
              </w:rPr>
            </w:pPr>
            <w:r>
              <w:rPr>
                <w:i/>
              </w:rPr>
              <w:t>Builders’ Registration Amendment Regulations 2011</w:t>
            </w:r>
          </w:p>
        </w:tc>
        <w:tc>
          <w:tcPr>
            <w:tcW w:w="1276" w:type="dxa"/>
          </w:tcPr>
          <w:p>
            <w:pPr>
              <w:pStyle w:val="nTable"/>
              <w:spacing w:after="40"/>
            </w:pPr>
            <w:r>
              <w:t>22 Jun 2011 p. 2307</w:t>
            </w:r>
            <w:r>
              <w:noBreakHyphen/>
              <w:t>8</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ind w:right="113"/>
              <w:rPr>
                <w:i/>
              </w:rPr>
            </w:pPr>
            <w:r>
              <w:rPr>
                <w:i/>
              </w:rPr>
              <w:t>Builders’ Registration Amendment Regulations (No. 2) 2011</w:t>
            </w:r>
          </w:p>
        </w:tc>
        <w:tc>
          <w:tcPr>
            <w:tcW w:w="1276" w:type="dxa"/>
          </w:tcPr>
          <w:p>
            <w:pPr>
              <w:pStyle w:val="nTable"/>
              <w:spacing w:after="40"/>
            </w:pPr>
            <w:r>
              <w:t>22 Jun 2011 p. 2309</w:t>
            </w:r>
            <w:r>
              <w:noBreakHyphen/>
              <w:t>10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7087" w:type="dxa"/>
            <w:gridSpan w:val="3"/>
            <w:tcBorders>
              <w:bottom w:val="single" w:sz="4" w:space="0" w:color="auto"/>
            </w:tcBorders>
          </w:tcPr>
          <w:p>
            <w:pPr>
              <w:pStyle w:val="nTable"/>
              <w:spacing w:after="40"/>
              <w:rPr>
                <w:b/>
                <w:snapToGrid w:val="0"/>
                <w:color w:val="FF0000"/>
                <w:spacing w:val="-2"/>
              </w:rPr>
            </w:pPr>
            <w:r>
              <w:rPr>
                <w:b/>
                <w:color w:val="FF0000"/>
              </w:rPr>
              <w:t xml:space="preserve">These regulations were repealed by the </w:t>
            </w:r>
            <w:r>
              <w:rPr>
                <w:b/>
                <w:i/>
                <w:color w:val="FF0000"/>
              </w:rPr>
              <w:t>Building Services (Registration) Act 2011</w:t>
            </w:r>
            <w:r>
              <w:rPr>
                <w:b/>
                <w:color w:val="FF0000"/>
              </w:rPr>
              <w:t xml:space="preserve"> s. 109 (No. 19 of 2011) as at 29 Aug 2011 (see s. 2(b) and </w:t>
            </w:r>
            <w:r>
              <w:rPr>
                <w:b/>
                <w:i/>
                <w:iCs/>
                <w:color w:val="FF0000"/>
              </w:rPr>
              <w:t>Gazette</w:t>
            </w:r>
            <w:r>
              <w:rPr>
                <w:b/>
                <w:color w:val="FF0000"/>
              </w:rPr>
              <w:t xml:space="preserve"> 26 Aug 2011 p. 3475</w:t>
            </w:r>
            <w:r>
              <w:rPr>
                <w:b/>
                <w:color w:val="FF0000"/>
              </w:rPr>
              <w:noBreakHyphen/>
              <w:t>6)</w:t>
            </w:r>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6" w:name="_Toc425430419"/>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constructed</w:t>
      </w:r>
      <w:r>
        <w:tab/>
        <w:t>8G(2)</w:t>
      </w:r>
    </w:p>
    <w:p>
      <w:pPr>
        <w:pStyle w:val="DefinedTerms"/>
      </w:pPr>
      <w:r>
        <w:t>financially disadvantaged person</w:t>
      </w:r>
      <w:r>
        <w:tab/>
        <w:t>19(2)</w:t>
      </w:r>
    </w:p>
    <w:p>
      <w:pPr>
        <w:pStyle w:val="DefinedTerms"/>
      </w:pPr>
      <w:r>
        <w:t>policy of home indemnity insurance</w:t>
      </w:r>
      <w:r>
        <w:tab/>
        <w:t>8G(2)</w:t>
      </w:r>
    </w:p>
    <w:p>
      <w:pPr>
        <w:pStyle w:val="DefinedTerms"/>
      </w:pPr>
      <w:r>
        <w:t>registered Australian body</w:t>
      </w:r>
      <w:r>
        <w:tab/>
        <w:t>1A(2)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04-e0-06</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49</w:t>
    </w:r>
    <w: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Builders’ Registration Regulations</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p>
      </w:tc>
      <w:tc>
        <w:tcPr>
          <w:tcW w:w="5343" w:type="dxa"/>
        </w:tcPr>
        <w:p>
          <w:pPr>
            <w:pStyle w:val="Header"/>
            <w:spacing w:before="40"/>
          </w:pP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96801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125"/>
    <w:docVar w:name="WAFER_20140121100307" w:val="RemoveTocBookmarks,RemoveUnusedBookmarks,RemoveLanguageTags,UsedStyles,ResetPageSize,UpdateArrangement"/>
    <w:docVar w:name="WAFER_20140121100307_GUID" w:val="77e2dec9-6af8-414b-bdd8-f9ea984f0873"/>
    <w:docVar w:name="WAFER_20140121100606" w:val="RemoveTocBookmarks,RunningHeaders"/>
    <w:docVar w:name="WAFER_20140121100606_GUID" w:val="d832e760-a52b-4fff-aa3e-bb79a1923b42"/>
    <w:docVar w:name="WAFER_20150723153916" w:val="ResetPageSize,UpdateArrangement,UpdateNTable"/>
    <w:docVar w:name="WAFER_20150723153916_GUID" w:val="2a224717-416d-4174-bbfb-1582cf0b9589"/>
    <w:docVar w:name="WAFER_20151117092125" w:val="UpdateStyles,UsedStyles"/>
    <w:docVar w:name="WAFER_20151117092125_GUID" w:val="8ad7a4ee-d98e-4c40-9c36-b5a208215c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9166</Words>
  <Characters>57748</Characters>
  <Application>Microsoft Office Word</Application>
  <DocSecurity>0</DocSecurity>
  <Lines>1749</Lines>
  <Paragraphs>1115</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- 04-e0-06</dc:title>
  <dc:subject/>
  <dc:creator/>
  <cp:keywords/>
  <dc:description/>
  <cp:lastModifiedBy>svcMRProcess</cp:lastModifiedBy>
  <cp:revision>4</cp:revision>
  <cp:lastPrinted>2009-09-16T00:13:00Z</cp:lastPrinted>
  <dcterms:created xsi:type="dcterms:W3CDTF">2020-02-22T14:22:00Z</dcterms:created>
  <dcterms:modified xsi:type="dcterms:W3CDTF">2020-02-22T14:22:00Z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20110829</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AsAtDate">
    <vt:lpwstr>29 Aug 2011</vt:lpwstr>
  </property>
  <property fmtid="{D5CDD505-2E9C-101B-9397-08002B2CF9AE}" pid="8" name="Suffix">
    <vt:lpwstr>04-e0-06</vt:lpwstr>
  </property>
  <property fmtid="{D5CDD505-2E9C-101B-9397-08002B2CF9AE}" pid="9" name="Status">
    <vt:lpwstr>NIF</vt:lpwstr>
  </property>
</Properties>
</file>