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8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3" name="Picture 13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Painters’ Registration Act 1961</w:t>
      </w:r>
      <w:r>
        <w:rPr>
          <w:noProof/>
        </w:rPr>
        <w:br/>
        <w:t>Criminal Procedure Act 2004</w:t>
      </w:r>
      <w:r>
        <w:fldChar w:fldCharType="end"/>
      </w:r>
    </w:p>
    <w:p>
      <w:pPr>
        <w:pStyle w:val="NameofActRegPage1"/>
        <w:spacing w:before="1500" w:after="2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Painters’ Registration (Infringement Notices) Regulations 2006</w:t>
      </w:r>
      <w:r>
        <w:fldChar w:fldCharType="end"/>
      </w:r>
    </w:p>
    <w:p>
      <w:pPr>
        <w:pStyle w:val="Subsection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These regulations were repealed by the </w:t>
      </w:r>
      <w:r>
        <w:rPr>
          <w:i/>
          <w:color w:val="000000"/>
          <w:sz w:val="22"/>
          <w:szCs w:val="22"/>
        </w:rPr>
        <w:t>Building Services (Registration) Act 2011</w:t>
      </w:r>
      <w:r>
        <w:rPr>
          <w:color w:val="000000"/>
          <w:sz w:val="22"/>
          <w:szCs w:val="22"/>
        </w:rPr>
        <w:t xml:space="preserve"> s. 110 (No. 19 of 2011) as at 29 Aug 2011 (see s. 2(b) and </w:t>
      </w:r>
      <w:r>
        <w:rPr>
          <w:i/>
          <w:iCs/>
          <w:color w:val="000000"/>
          <w:sz w:val="22"/>
          <w:szCs w:val="22"/>
        </w:rPr>
        <w:t>Gazette</w:t>
      </w:r>
      <w:r>
        <w:rPr>
          <w:color w:val="000000"/>
          <w:sz w:val="22"/>
          <w:szCs w:val="22"/>
        </w:rPr>
        <w:t xml:space="preserve"> 26 Aug 2011 p. 3475</w:t>
      </w:r>
      <w:r>
        <w:rPr>
          <w:color w:val="000000"/>
          <w:sz w:val="22"/>
          <w:szCs w:val="22"/>
        </w:rPr>
        <w:noBreakHyphen/>
        <w:t>6).</w:t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Painters’ Registration (Infringement Notices) Regulations 2006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_Toc426961032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_Toc426961033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Prescribed offences and modified penalties</w:t>
      </w:r>
      <w:r>
        <w:tab/>
      </w:r>
      <w:r>
        <w:fldChar w:fldCharType="begin"/>
      </w:r>
      <w:r>
        <w:instrText xml:space="preserve"> PAGEREF _Toc426961034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Authorised officers and approved officers</w:t>
      </w:r>
      <w:r>
        <w:tab/>
      </w:r>
      <w:r>
        <w:fldChar w:fldCharType="begin"/>
      </w:r>
      <w:r>
        <w:instrText xml:space="preserve"> PAGEREF _Toc426961035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Forms</w:t>
      </w:r>
      <w:r>
        <w:tab/>
      </w:r>
      <w:r>
        <w:fldChar w:fldCharType="begin"/>
      </w:r>
      <w:r>
        <w:instrText xml:space="preserve"> PAGEREF _Toc426961036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 1 — Prescribed offences and modified penalties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 2 — Forms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Form 1 — Infringement notice</w:t>
      </w:r>
      <w:r>
        <w:tab/>
      </w:r>
      <w:r>
        <w:fldChar w:fldCharType="begin"/>
      </w:r>
      <w:r>
        <w:instrText xml:space="preserve"> PAGEREF _Toc426961039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Form 2 — Withdrawal of infringement notice</w:t>
      </w:r>
      <w:r>
        <w:tab/>
      </w:r>
      <w:r>
        <w:fldChar w:fldCharType="begin"/>
      </w:r>
      <w:r>
        <w:instrText xml:space="preserve"> PAGEREF _Toc426961040 \h </w:instrText>
      </w:r>
      <w:r>
        <w:fldChar w:fldCharType="separate"/>
      </w:r>
      <w:r>
        <w:t>5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_Toc426961042 \h </w:instrText>
      </w:r>
      <w:r>
        <w:fldChar w:fldCharType="separate"/>
      </w:r>
      <w:r>
        <w:t>6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t>Western Australia</w:t>
      </w:r>
    </w:p>
    <w:p>
      <w:pPr>
        <w:pStyle w:val="PrincipalActReg"/>
      </w:pPr>
      <w:r>
        <w:t>Painters’ Registration Act 1961</w:t>
      </w:r>
      <w:r>
        <w:br/>
        <w:t>Criminal Procedure Act 2004</w:t>
      </w:r>
    </w:p>
    <w:p>
      <w:pPr>
        <w:pStyle w:val="NameofActReg"/>
      </w:pPr>
      <w:r>
        <w:t>Painters’ Registration (Infringement Notices) Regulations 2006</w:t>
      </w:r>
    </w:p>
    <w:p>
      <w:pPr>
        <w:pStyle w:val="Heading5"/>
      </w:pPr>
      <w:bookmarkStart w:id="3" w:name="_Toc377388068"/>
      <w:bookmarkStart w:id="4" w:name="_Toc426961032"/>
      <w:r>
        <w:rPr>
          <w:rStyle w:val="CharSectno"/>
        </w:rPr>
        <w:t>1</w:t>
      </w:r>
      <w:r>
        <w:t>.</w:t>
      </w:r>
      <w:r>
        <w:tab/>
        <w:t>Citation</w:t>
      </w:r>
      <w:bookmarkEnd w:id="3"/>
      <w:bookmarkEnd w:id="4"/>
    </w:p>
    <w:p>
      <w:pPr>
        <w:pStyle w:val="Subsection"/>
        <w:rPr>
          <w:i/>
        </w:rPr>
      </w:pPr>
      <w:r>
        <w:tab/>
      </w:r>
      <w:r>
        <w:tab/>
      </w:r>
      <w:bookmarkStart w:id="5" w:name="Start_Cursor"/>
      <w:bookmarkEnd w:id="5"/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Painters’ Registration (Infringement Notices) Regulations 2006</w:t>
      </w:r>
      <w:r>
        <w:t>.</w:t>
      </w:r>
    </w:p>
    <w:p>
      <w:pPr>
        <w:pStyle w:val="Heading5"/>
        <w:rPr>
          <w:spacing w:val="-2"/>
        </w:rPr>
      </w:pPr>
      <w:bookmarkStart w:id="6" w:name="_Toc377388069"/>
      <w:bookmarkStart w:id="7" w:name="_Toc426961033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6"/>
      <w:bookmarkEnd w:id="7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These regulations come into operation on the later of</w:t>
      </w:r>
      <w:r>
        <w:rPr>
          <w:rFonts w:ascii="Times" w:hAnsi="Times"/>
          <w:spacing w:val="30"/>
        </w:rPr>
        <w:t> </w:t>
      </w:r>
      <w:r>
        <w:rPr>
          <w:spacing w:val="-2"/>
        </w:rPr>
        <w:t xml:space="preserve">— </w:t>
      </w:r>
    </w:p>
    <w:p>
      <w:pPr>
        <w:pStyle w:val="Indenta"/>
      </w:pPr>
      <w:r>
        <w:tab/>
        <w:t>(a)</w:t>
      </w:r>
      <w:r>
        <w:tab/>
        <w:t xml:space="preserve">the day on which they are published in the </w:t>
      </w:r>
      <w:r>
        <w:rPr>
          <w:i/>
        </w:rPr>
        <w:t>Gazette</w:t>
      </w:r>
      <w:r>
        <w:t xml:space="preserve">; and </w:t>
      </w:r>
    </w:p>
    <w:p>
      <w:pPr>
        <w:pStyle w:val="Indenta"/>
      </w:pPr>
      <w:r>
        <w:tab/>
        <w:t>(b)</w:t>
      </w:r>
      <w:r>
        <w:tab/>
        <w:t xml:space="preserve">the day on which the </w:t>
      </w:r>
      <w:r>
        <w:rPr>
          <w:i/>
        </w:rPr>
        <w:t>Criminal Procedure Amendment Regulations (No. 2) 2006</w:t>
      </w:r>
      <w:r>
        <w:t xml:space="preserve"> come into operation.</w:t>
      </w:r>
    </w:p>
    <w:p>
      <w:pPr>
        <w:pStyle w:val="Heading5"/>
      </w:pPr>
      <w:bookmarkStart w:id="8" w:name="_Toc377388070"/>
      <w:bookmarkStart w:id="9" w:name="_Toc426961034"/>
      <w:r>
        <w:rPr>
          <w:rStyle w:val="CharSectno"/>
        </w:rPr>
        <w:t>3</w:t>
      </w:r>
      <w:r>
        <w:t>.</w:t>
      </w:r>
      <w:r>
        <w:tab/>
        <w:t>Prescribed offences and modified penalties</w:t>
      </w:r>
      <w:bookmarkEnd w:id="8"/>
      <w:bookmarkEnd w:id="9"/>
    </w:p>
    <w:p>
      <w:pPr>
        <w:pStyle w:val="Subsection"/>
      </w:pPr>
      <w:r>
        <w:tab/>
        <w:t>(1)</w:t>
      </w:r>
      <w:r>
        <w:tab/>
        <w:t xml:space="preserve">The offences specified in Schedule 1 are offences for which an infringement notice may be issued under the </w:t>
      </w:r>
      <w:r>
        <w:rPr>
          <w:i/>
        </w:rPr>
        <w:t>Criminal Procedure Act 2004</w:t>
      </w:r>
      <w:r>
        <w:t xml:space="preserve"> Part 2.</w:t>
      </w:r>
    </w:p>
    <w:p>
      <w:pPr>
        <w:pStyle w:val="Subsection"/>
      </w:pPr>
      <w:r>
        <w:tab/>
        <w:t>(2)</w:t>
      </w:r>
      <w:r>
        <w:tab/>
        <w:t xml:space="preserve">The modified penalty specified opposite an offence in Schedule 1 is the modified penalty for that offence for the purposes of the </w:t>
      </w:r>
      <w:r>
        <w:rPr>
          <w:i/>
        </w:rPr>
        <w:t>Criminal Procedure Act 2004</w:t>
      </w:r>
      <w:r>
        <w:t xml:space="preserve"> section 5(3).</w:t>
      </w:r>
    </w:p>
    <w:p>
      <w:pPr>
        <w:pStyle w:val="Heading5"/>
      </w:pPr>
      <w:bookmarkStart w:id="10" w:name="_Toc377388071"/>
      <w:bookmarkStart w:id="11" w:name="_Toc426961035"/>
      <w:r>
        <w:rPr>
          <w:rStyle w:val="CharSectno"/>
        </w:rPr>
        <w:t>4</w:t>
      </w:r>
      <w:r>
        <w:t>.</w:t>
      </w:r>
      <w:r>
        <w:tab/>
        <w:t>Authorised officers and approved officers</w:t>
      </w:r>
      <w:bookmarkEnd w:id="10"/>
      <w:bookmarkEnd w:id="11"/>
    </w:p>
    <w:p>
      <w:pPr>
        <w:pStyle w:val="Subsection"/>
      </w:pPr>
      <w:r>
        <w:tab/>
        <w:t>(1)</w:t>
      </w:r>
      <w:r>
        <w:tab/>
        <w:t xml:space="preserve">The Board may, in writing, appoint persons or classes of persons to be authorised officers or approved officers for the purposes of the </w:t>
      </w:r>
      <w:r>
        <w:rPr>
          <w:i/>
        </w:rPr>
        <w:t>Criminal Procedure Act 2004</w:t>
      </w:r>
      <w:r>
        <w:t xml:space="preserve"> Part 2.</w:t>
      </w:r>
    </w:p>
    <w:p>
      <w:pPr>
        <w:pStyle w:val="Subsection"/>
      </w:pPr>
      <w:r>
        <w:tab/>
        <w:t>(2)</w:t>
      </w:r>
      <w:r>
        <w:tab/>
        <w:t>The Board is to issue to each authorised officer a certificate, badge or identity card identifying the officer as a person authorised to issue infringement notices.</w:t>
      </w:r>
    </w:p>
    <w:p>
      <w:pPr>
        <w:pStyle w:val="Heading5"/>
      </w:pPr>
      <w:bookmarkStart w:id="12" w:name="_Toc377388072"/>
      <w:bookmarkStart w:id="13" w:name="_Toc426961036"/>
      <w:r>
        <w:rPr>
          <w:rStyle w:val="CharSectno"/>
        </w:rPr>
        <w:t>5</w:t>
      </w:r>
      <w:r>
        <w:t>.</w:t>
      </w:r>
      <w:r>
        <w:tab/>
        <w:t>Forms</w:t>
      </w:r>
      <w:bookmarkEnd w:id="12"/>
      <w:bookmarkEnd w:id="13"/>
    </w:p>
    <w:p>
      <w:pPr>
        <w:pStyle w:val="Subsection"/>
      </w:pPr>
      <w:r>
        <w:tab/>
      </w:r>
      <w:r>
        <w:tab/>
        <w:t>The forms set out in Schedule 2 are prescribed in relation to the matters specified in those forms.</w:t>
      </w:r>
    </w:p>
    <w:p>
      <w:pPr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14" w:name="_Toc377388073"/>
      <w:bookmarkStart w:id="15" w:name="_Toc426961018"/>
      <w:bookmarkStart w:id="16" w:name="_Toc426961037"/>
      <w:r>
        <w:rPr>
          <w:rStyle w:val="CharSchNo"/>
        </w:rPr>
        <w:t>Schedule 1</w:t>
      </w:r>
      <w:r>
        <w:rPr>
          <w:rStyle w:val="CharSDivNo"/>
        </w:rPr>
        <w:t> </w:t>
      </w:r>
      <w:r>
        <w:t>—</w:t>
      </w:r>
      <w:r>
        <w:rPr>
          <w:rStyle w:val="CharSDivText"/>
        </w:rPr>
        <w:t> </w:t>
      </w:r>
      <w:r>
        <w:rPr>
          <w:rStyle w:val="CharSchText"/>
        </w:rPr>
        <w:t>Prescribed offences and modified penalties</w:t>
      </w:r>
      <w:bookmarkEnd w:id="14"/>
      <w:bookmarkEnd w:id="15"/>
      <w:bookmarkEnd w:id="16"/>
    </w:p>
    <w:p>
      <w:pPr>
        <w:pStyle w:val="yShoulderClause"/>
        <w:spacing w:after="60"/>
      </w:pPr>
      <w:r>
        <w:t>[r. 3]</w:t>
      </w:r>
    </w:p>
    <w:tbl>
      <w:tblPr>
        <w:tblW w:w="0" w:type="auto"/>
        <w:tblInd w:w="199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276"/>
        <w:gridCol w:w="4487"/>
        <w:gridCol w:w="992"/>
      </w:tblGrid>
      <w:tr>
        <w:trPr>
          <w:cantSplit/>
          <w:trHeight w:val="28"/>
          <w:tblHeader/>
        </w:trPr>
        <w:tc>
          <w:tcPr>
            <w:tcW w:w="576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b/>
              </w:rPr>
            </w:pPr>
            <w:r>
              <w:rPr>
                <w:b/>
              </w:rPr>
              <w:br/>
              <w:t>Offences under Painters’ Registration Act 1961 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b/>
              </w:rPr>
            </w:pPr>
            <w:r>
              <w:rPr>
                <w:b/>
              </w:rPr>
              <w:t>Modified penalty</w:t>
            </w:r>
          </w:p>
        </w:tc>
      </w:tr>
      <w:tr>
        <w:trPr>
          <w:cantSplit/>
          <w:trHeight w:val="21"/>
        </w:trPr>
        <w:tc>
          <w:tcPr>
            <w:tcW w:w="1276" w:type="dxa"/>
          </w:tcPr>
          <w:p>
            <w:pPr>
              <w:pStyle w:val="yTable"/>
              <w:spacing w:before="0"/>
            </w:pPr>
            <w:r>
              <w:t>s. 14A</w:t>
            </w:r>
          </w:p>
        </w:tc>
        <w:tc>
          <w:tcPr>
            <w:tcW w:w="4487" w:type="dxa"/>
          </w:tcPr>
          <w:p>
            <w:pPr>
              <w:pStyle w:val="yTable"/>
              <w:spacing w:before="0"/>
            </w:pPr>
            <w:r>
              <w:t>Failing to display registered name and number on works or in advertisement ...............................</w:t>
            </w:r>
          </w:p>
        </w:tc>
        <w:tc>
          <w:tcPr>
            <w:tcW w:w="992" w:type="dxa"/>
          </w:tcPr>
          <w:p>
            <w:pPr>
              <w:pStyle w:val="yTable"/>
              <w:spacing w:before="0"/>
            </w:pPr>
            <w:r>
              <w:br/>
              <w:t>$80</w:t>
            </w:r>
          </w:p>
        </w:tc>
      </w:tr>
      <w:tr>
        <w:trPr>
          <w:cantSplit/>
          <w:trHeight w:val="21"/>
        </w:trPr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ind w:left="227" w:hanging="227"/>
            </w:pPr>
            <w:r>
              <w:t>s. 14B(1)(b),</w:t>
            </w:r>
            <w:r>
              <w:br/>
              <w:t>(2)(b)</w:t>
            </w:r>
          </w:p>
        </w:tc>
        <w:tc>
          <w:tcPr>
            <w:tcW w:w="4487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</w:pPr>
            <w:r>
              <w:t>Failing to display supervising painter’s name and number on sign on work ................................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</w:pPr>
            <w:r>
              <w:br/>
              <w:t>$80</w:t>
            </w:r>
          </w:p>
        </w:tc>
      </w:tr>
    </w:tbl>
    <w:p>
      <w:pPr>
        <w:pStyle w:val="yScheduleHeading"/>
      </w:pPr>
      <w:bookmarkStart w:id="17" w:name="_Toc377388074"/>
      <w:bookmarkStart w:id="18" w:name="_Toc426961019"/>
      <w:bookmarkStart w:id="19" w:name="_Toc426961038"/>
      <w:r>
        <w:rPr>
          <w:rStyle w:val="CharSchNo"/>
        </w:rPr>
        <w:t>Schedule 2</w:t>
      </w:r>
      <w:r>
        <w:t> — </w:t>
      </w:r>
      <w:r>
        <w:rPr>
          <w:rStyle w:val="CharSchText"/>
        </w:rPr>
        <w:t>Forms</w:t>
      </w:r>
      <w:bookmarkEnd w:id="17"/>
      <w:bookmarkEnd w:id="18"/>
      <w:bookmarkEnd w:id="19"/>
    </w:p>
    <w:p>
      <w:pPr>
        <w:pStyle w:val="yShoulderClause"/>
      </w:pPr>
      <w:r>
        <w:t>[r. 5]</w:t>
      </w:r>
    </w:p>
    <w:p>
      <w:pPr>
        <w:pStyle w:val="yHeading5"/>
        <w:spacing w:before="0" w:after="60"/>
      </w:pPr>
      <w:bookmarkStart w:id="20" w:name="_Toc377388075"/>
      <w:bookmarkStart w:id="21" w:name="_Toc426961039"/>
      <w:r>
        <w:t>Form 1 — Infringement notice</w:t>
      </w:r>
      <w:bookmarkEnd w:id="20"/>
      <w:bookmarkEnd w:id="21"/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3544"/>
        <w:gridCol w:w="1984"/>
      </w:tblGrid>
      <w:tr>
        <w:trPr>
          <w:cantSplit/>
          <w:trHeight w:val="282"/>
        </w:trPr>
        <w:tc>
          <w:tcPr>
            <w:tcW w:w="4820" w:type="dxa"/>
            <w:gridSpan w:val="2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br w:type="page"/>
            </w:r>
            <w:r>
              <w:rPr>
                <w:i/>
                <w:sz w:val="20"/>
              </w:rPr>
              <w:t>Painters’ Registration Act 1961</w:t>
            </w:r>
          </w:p>
          <w:p>
            <w:pPr>
              <w:pStyle w:val="yTable"/>
              <w:spacing w:before="0"/>
              <w:rPr>
                <w:b/>
                <w:sz w:val="28"/>
              </w:rPr>
            </w:pPr>
            <w:r>
              <w:rPr>
                <w:b/>
                <w:sz w:val="28"/>
              </w:rPr>
              <w:t>Infringement notice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Infringement </w:t>
            </w:r>
            <w:r>
              <w:rPr>
                <w:sz w:val="20"/>
              </w:rPr>
              <w:br/>
              <w:t>notice no.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>or</w:t>
            </w:r>
            <w:r>
              <w:rPr>
                <w:sz w:val="20"/>
              </w:rPr>
              <w:tab/>
              <w:t>Company name ____________________________________</w:t>
            </w:r>
          </w:p>
          <w:p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ACN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74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________________________________________________</w:t>
            </w:r>
          </w:p>
          <w:p>
            <w:pPr>
              <w:pStyle w:val="yTable"/>
              <w:tabs>
                <w:tab w:val="left" w:pos="3719"/>
              </w:tabs>
              <w:spacing w:before="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>
        <w:trPr>
          <w:cantSplit/>
        </w:trPr>
        <w:tc>
          <w:tcPr>
            <w:tcW w:w="1276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56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_____________________________________</w:t>
            </w:r>
          </w:p>
          <w:p>
            <w:pPr>
              <w:pStyle w:val="yTable"/>
              <w:tabs>
                <w:tab w:val="left" w:pos="563"/>
              </w:tabs>
              <w:spacing w:before="0"/>
              <w:rPr>
                <w:sz w:val="20"/>
              </w:rPr>
            </w:pP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 xml:space="preserve">Painters’ Registration Act 1961 </w:t>
            </w:r>
            <w:r>
              <w:rPr>
                <w:sz w:val="20"/>
              </w:rPr>
              <w:t>s. 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Subsection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1168"/>
                <w:tab w:val="left" w:pos="1734"/>
                <w:tab w:val="left" w:pos="2869"/>
                <w:tab w:val="left" w:pos="4144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 xml:space="preserve">Time </w:t>
            </w:r>
            <w:r>
              <w:rPr>
                <w:sz w:val="20"/>
              </w:rPr>
              <w:tab/>
              <w:t>a.m./p.m.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Modified penalty  $</w:t>
            </w:r>
          </w:p>
        </w:tc>
      </w:tr>
      <w:tr>
        <w:trPr>
          <w:cantSplit/>
        </w:trPr>
        <w:tc>
          <w:tcPr>
            <w:tcW w:w="1276" w:type="dxa"/>
            <w:vMerge w:val="restart"/>
          </w:tcPr>
          <w:p>
            <w:pPr>
              <w:pStyle w:val="yTable"/>
              <w:keepNext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Officer issuing notice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tabs>
                <w:tab w:val="left" w:pos="563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ySubsection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Date </w:t>
            </w: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>
            <w:pPr>
              <w:pStyle w:val="zDefitem"/>
              <w:tabs>
                <w:tab w:val="left" w:pos="1876"/>
                <w:tab w:val="left" w:pos="2585"/>
              </w:tabs>
              <w:spacing w:before="0"/>
              <w:ind w:left="884"/>
              <w:rPr>
                <w:sz w:val="20"/>
              </w:rPr>
            </w:pPr>
            <w:r>
              <w:rPr>
                <w:sz w:val="20"/>
              </w:rPr>
              <w:t xml:space="preserve">Date of notice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rPr>
          <w:trHeight w:val="1097"/>
        </w:trPr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Notice to alleged offender </w:t>
            </w: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It is alleged that you have committed the above offence.</w:t>
            </w:r>
          </w:p>
          <w:p>
            <w:pPr>
              <w:pStyle w:val="yTable"/>
              <w:tabs>
                <w:tab w:val="left" w:pos="1451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If you do not want to be prosecuted in court for the offence, pay the modified penalty within 28 days after the date of this notice.  </w:t>
            </w:r>
          </w:p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How to pay</w:t>
            </w:r>
          </w:p>
          <w:p>
            <w:pPr>
              <w:pStyle w:val="yTable"/>
              <w:tabs>
                <w:tab w:val="left" w:pos="884"/>
              </w:tabs>
              <w:spacing w:before="0"/>
              <w:ind w:left="913" w:hanging="737"/>
              <w:rPr>
                <w:sz w:val="20"/>
              </w:rPr>
            </w:pPr>
            <w:r>
              <w:rPr>
                <w:b/>
                <w:sz w:val="20"/>
              </w:rPr>
              <w:t>By post:</w:t>
            </w:r>
            <w:r>
              <w:rPr>
                <w:sz w:val="20"/>
              </w:rPr>
              <w:t xml:space="preserve"> Send a cheque or money order (payable to ‘Approved Officer — </w:t>
            </w:r>
            <w:r>
              <w:rPr>
                <w:i/>
                <w:sz w:val="20"/>
              </w:rPr>
              <w:t>Painters’ Registration Act 1961</w:t>
            </w:r>
            <w:r>
              <w:rPr>
                <w:sz w:val="20"/>
              </w:rPr>
              <w:t xml:space="preserve">’) to: </w:t>
            </w:r>
          </w:p>
          <w:p>
            <w:pPr>
              <w:pStyle w:val="yTable"/>
              <w:spacing w:before="0"/>
              <w:ind w:left="601"/>
              <w:rPr>
                <w:i/>
                <w:sz w:val="20"/>
              </w:rPr>
            </w:pPr>
            <w:r>
              <w:rPr>
                <w:sz w:val="20"/>
              </w:rPr>
              <w:t xml:space="preserve">Approved Officer — </w:t>
            </w:r>
            <w:r>
              <w:rPr>
                <w:i/>
                <w:sz w:val="20"/>
              </w:rPr>
              <w:t>Painters’ Registration Act 1961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Painters’ Registration Board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smartTag w:uri="urn:schemas-microsoft-com:office:smarttags" w:element="address">
              <w:smartTag w:uri="urn:schemas-microsoft-com:office:smarttags" w:element="Street">
                <w:r>
                  <w:rPr>
                    <w:sz w:val="20"/>
                  </w:rPr>
                  <w:t>Suite</w:t>
                </w:r>
              </w:smartTag>
              <w:r>
                <w:rPr>
                  <w:sz w:val="20"/>
                </w:rPr>
                <w:t xml:space="preserve"> 10</w:t>
              </w:r>
            </w:smartTag>
            <w:r>
              <w:rPr>
                <w:sz w:val="20"/>
              </w:rPr>
              <w:t xml:space="preserve">, </w:t>
            </w:r>
            <w:smartTag w:uri="urn:schemas-microsoft-com:office:smarttags" w:element="Street">
              <w:smartTag w:uri="urn:schemas-microsoft-com:office:smarttags" w:element="address">
                <w:r>
                  <w:rPr>
                    <w:sz w:val="20"/>
                  </w:rPr>
                  <w:t>Parliament Court</w:t>
                </w:r>
              </w:smartTag>
            </w:smartTag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18 Harvest Terrace</w:t>
            </w:r>
          </w:p>
          <w:p>
            <w:pPr>
              <w:pStyle w:val="yTable"/>
              <w:spacing w:before="0"/>
              <w:ind w:left="601"/>
            </w:pPr>
            <w:smartTag w:uri="urn:schemas-microsoft-com:office:smarttags" w:element="place">
              <w:smartTag w:uri="urn:schemas-microsoft-com:office:smarttags" w:element="City">
                <w:r>
                  <w:rPr>
                    <w:sz w:val="20"/>
                  </w:rPr>
                  <w:t>West Perth</w:t>
                </w:r>
              </w:smartTag>
              <w:r>
                <w:rPr>
                  <w:sz w:val="20"/>
                </w:rPr>
                <w:t xml:space="preserve">  </w:t>
              </w:r>
              <w:smartTag w:uri="urn:schemas-microsoft-com:office:smarttags" w:element="State">
                <w:r>
                  <w:rPr>
                    <w:sz w:val="20"/>
                  </w:rPr>
                  <w:t>WA</w:t>
                </w:r>
              </w:smartTag>
            </w:smartTag>
            <w:r>
              <w:rPr>
                <w:sz w:val="20"/>
              </w:rPr>
              <w:t xml:space="preserve">  6005 </w:t>
            </w:r>
          </w:p>
          <w:p>
            <w:pPr>
              <w:pStyle w:val="yTable"/>
              <w:spacing w:before="0"/>
              <w:ind w:left="175"/>
              <w:rPr>
                <w:sz w:val="20"/>
              </w:rPr>
            </w:pPr>
            <w:r>
              <w:rPr>
                <w:b/>
                <w:sz w:val="20"/>
              </w:rPr>
              <w:t>In person:</w:t>
            </w:r>
            <w:r>
              <w:rPr>
                <w:sz w:val="20"/>
              </w:rPr>
              <w:t xml:space="preserve"> Pay the cashier at: 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Painters’ Registration Board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smartTag w:uri="urn:schemas-microsoft-com:office:smarttags" w:element="address">
              <w:smartTag w:uri="urn:schemas-microsoft-com:office:smarttags" w:element="Street">
                <w:r>
                  <w:rPr>
                    <w:sz w:val="20"/>
                  </w:rPr>
                  <w:t>Suite</w:t>
                </w:r>
              </w:smartTag>
              <w:r>
                <w:rPr>
                  <w:sz w:val="20"/>
                </w:rPr>
                <w:t xml:space="preserve"> 10</w:t>
              </w:r>
            </w:smartTag>
            <w:r>
              <w:rPr>
                <w:sz w:val="20"/>
              </w:rPr>
              <w:t xml:space="preserve">, </w:t>
            </w:r>
            <w:smartTag w:uri="urn:schemas-microsoft-com:office:smarttags" w:element="Street">
              <w:smartTag w:uri="urn:schemas-microsoft-com:office:smarttags" w:element="address">
                <w:r>
                  <w:rPr>
                    <w:sz w:val="20"/>
                  </w:rPr>
                  <w:t>Parliament Court</w:t>
                </w:r>
              </w:smartTag>
            </w:smartTag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18 Harvest Terrace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smartTag w:uri="urn:schemas-microsoft-com:office:smarttags" w:element="place">
              <w:smartTag w:uri="urn:schemas-microsoft-com:office:smarttags" w:element="City">
                <w:r>
                  <w:rPr>
                    <w:sz w:val="20"/>
                  </w:rPr>
                  <w:t>West Perth</w:t>
                </w:r>
              </w:smartTag>
              <w:r>
                <w:rPr>
                  <w:sz w:val="20"/>
                </w:rPr>
                <w:t xml:space="preserve">  </w:t>
              </w:r>
              <w:smartTag w:uri="urn:schemas-microsoft-com:office:smarttags" w:element="State">
                <w:r>
                  <w:rPr>
                    <w:sz w:val="20"/>
                  </w:rPr>
                  <w:t>WA</w:t>
                </w:r>
              </w:smartTag>
            </w:smartTag>
            <w:r>
              <w:rPr>
                <w:sz w:val="20"/>
              </w:rPr>
              <w:t xml:space="preserve">  6005 </w:t>
            </w:r>
          </w:p>
          <w:p>
            <w:pPr>
              <w:pStyle w:val="yTable"/>
              <w:spacing w:before="0"/>
              <w:rPr>
                <w:sz w:val="20"/>
              </w:rPr>
            </w:pPr>
            <w:r>
              <w:rPr>
                <w:b/>
                <w:sz w:val="20"/>
              </w:rPr>
              <w:t>If you do not pay</w:t>
            </w:r>
            <w:r>
              <w:rPr>
                <w:sz w:val="20"/>
              </w:rPr>
              <w:t xml:space="preserve"> the modified penalty within 28 days, you may be prosecuted or enforcement action may be taken under the </w:t>
            </w:r>
            <w:r>
              <w:rPr>
                <w:i/>
                <w:sz w:val="20"/>
              </w:rPr>
              <w:t>Fines, Penalties and Infringement Notices Enforcement Act 1994</w:t>
            </w:r>
            <w:r>
              <w:rPr>
                <w:sz w:val="20"/>
              </w:rPr>
              <w:t xml:space="preserve">.  Under that Act your driver’s licence and/or vehicle licence may be suspended. </w:t>
            </w:r>
          </w:p>
        </w:tc>
      </w:tr>
      <w:tr>
        <w:trPr>
          <w:trHeight w:val="1097"/>
        </w:trPr>
        <w:tc>
          <w:tcPr>
            <w:tcW w:w="1276" w:type="dxa"/>
            <w:tcBorders>
              <w:top w:val="single" w:sz="4" w:space="0" w:color="auto"/>
            </w:tcBorders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  <w:rPr>
                <w:sz w:val="20"/>
              </w:rPr>
            </w:pPr>
            <w:r>
              <w:rPr>
                <w:b/>
                <w:sz w:val="20"/>
              </w:rPr>
              <w:t>If you need more time</w:t>
            </w:r>
            <w:r>
              <w:rPr>
                <w:sz w:val="20"/>
              </w:rPr>
              <w:t xml:space="preserve"> to pay the modified penalty, you can apply for an extension of time by writing to the Approved Officer at the above postal address. </w:t>
            </w:r>
          </w:p>
          <w:p>
            <w:pPr>
              <w:pStyle w:val="yTable"/>
              <w:spacing w:before="0"/>
              <w:rPr>
                <w:sz w:val="20"/>
              </w:rPr>
            </w:pPr>
            <w:r>
              <w:rPr>
                <w:b/>
                <w:sz w:val="20"/>
              </w:rPr>
              <w:t>If you want this matter to be dealt with by prosecution in court</w:t>
            </w:r>
            <w:r>
              <w:rPr>
                <w:sz w:val="20"/>
              </w:rPr>
              <w:t>, sign here _______________________________________</w:t>
            </w:r>
            <w:r>
              <w:rPr>
                <w:sz w:val="20"/>
              </w:rPr>
              <w:br/>
              <w:t>and post this notice to the Approved Officer at the above postal address within 28 days after the date of this notice.</w:t>
            </w:r>
          </w:p>
        </w:tc>
      </w:tr>
    </w:tbl>
    <w:p>
      <w:pPr>
        <w:pStyle w:val="yHeading5"/>
        <w:spacing w:after="60"/>
      </w:pPr>
      <w:bookmarkStart w:id="22" w:name="_Toc377388076"/>
      <w:bookmarkStart w:id="23" w:name="_Toc426961040"/>
      <w:r>
        <w:t>Form 2 — Withdrawal of infringement notice</w:t>
      </w:r>
      <w:bookmarkEnd w:id="22"/>
      <w:bookmarkEnd w:id="23"/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3544"/>
        <w:gridCol w:w="1984"/>
      </w:tblGrid>
      <w:tr>
        <w:trPr>
          <w:cantSplit/>
          <w:trHeight w:val="282"/>
        </w:trPr>
        <w:tc>
          <w:tcPr>
            <w:tcW w:w="4820" w:type="dxa"/>
            <w:gridSpan w:val="2"/>
          </w:tcPr>
          <w:p>
            <w:pPr>
              <w:pStyle w:val="yTable"/>
              <w:spacing w:before="0"/>
              <w:rPr>
                <w:b/>
                <w:i/>
                <w:sz w:val="20"/>
              </w:rPr>
            </w:pPr>
            <w:r>
              <w:rPr>
                <w:i/>
                <w:sz w:val="20"/>
              </w:rPr>
              <w:t>Painters’ Registration Act 1961</w:t>
            </w:r>
          </w:p>
          <w:p>
            <w:pPr>
              <w:pStyle w:val="yTable"/>
              <w:spacing w:before="0"/>
              <w:rPr>
                <w:b/>
                <w:sz w:val="28"/>
              </w:rPr>
            </w:pPr>
            <w:r>
              <w:rPr>
                <w:b/>
                <w:sz w:val="28"/>
              </w:rPr>
              <w:t>Withdrawal of infringement notice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Withdrawal no.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>or</w:t>
            </w:r>
            <w:r>
              <w:rPr>
                <w:sz w:val="20"/>
              </w:rPr>
              <w:tab/>
              <w:t>Company name _____________________________________</w:t>
            </w:r>
          </w:p>
          <w:p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ACN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74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_________________________________________________</w:t>
            </w:r>
          </w:p>
          <w:p>
            <w:pPr>
              <w:pStyle w:val="yTable"/>
              <w:tabs>
                <w:tab w:val="left" w:pos="3719"/>
              </w:tabs>
              <w:spacing w:before="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>
        <w:trPr>
          <w:cantSplit/>
        </w:trPr>
        <w:tc>
          <w:tcPr>
            <w:tcW w:w="1276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Infringement notice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Infringement notice no.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Subsection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1644"/>
                <w:tab w:val="left" w:pos="2211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issue 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rPr>
          <w:cantSplit/>
        </w:trPr>
        <w:tc>
          <w:tcPr>
            <w:tcW w:w="1276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56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____________________________________</w:t>
            </w:r>
          </w:p>
          <w:p>
            <w:pPr>
              <w:pStyle w:val="yTable"/>
              <w:tabs>
                <w:tab w:val="left" w:pos="563"/>
              </w:tabs>
              <w:spacing w:before="0"/>
              <w:rPr>
                <w:sz w:val="20"/>
              </w:rPr>
            </w:pP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>Painters’ Registration Act 1961</w:t>
            </w:r>
            <w:r>
              <w:rPr>
                <w:sz w:val="20"/>
              </w:rPr>
              <w:t xml:space="preserve"> s. 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Subsection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1219"/>
                <w:tab w:val="left" w:pos="1786"/>
                <w:tab w:val="left" w:pos="3203"/>
                <w:tab w:val="left" w:pos="4337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>Time</w:t>
            </w:r>
            <w:r>
              <w:rPr>
                <w:sz w:val="20"/>
              </w:rPr>
              <w:tab/>
              <w:t>a.m./p.m.</w:t>
            </w:r>
          </w:p>
        </w:tc>
      </w:tr>
      <w:tr>
        <w:trPr>
          <w:cantSplit/>
        </w:trPr>
        <w:tc>
          <w:tcPr>
            <w:tcW w:w="1276" w:type="dxa"/>
            <w:vMerge w:val="restart"/>
          </w:tcPr>
          <w:p>
            <w:pPr>
              <w:pStyle w:val="ySubsection"/>
              <w:tabs>
                <w:tab w:val="clear" w:pos="879"/>
              </w:tabs>
              <w:spacing w:before="0"/>
              <w:ind w:left="0" w:firstLine="0"/>
              <w:rPr>
                <w:b/>
                <w:sz w:val="20"/>
              </w:rPr>
            </w:pPr>
            <w:r>
              <w:rPr>
                <w:b/>
                <w:sz w:val="20"/>
              </w:rPr>
              <w:t>Officer withdrawing notice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563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Subsection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Subsection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zDefitem"/>
              <w:spacing w:before="0"/>
              <w:ind w:left="0" w:firstLine="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>
        <w:tc>
          <w:tcPr>
            <w:tcW w:w="1276" w:type="dxa"/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Date</w:t>
            </w: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>
            <w:pPr>
              <w:pStyle w:val="zDefitem"/>
              <w:tabs>
                <w:tab w:val="left" w:pos="2069"/>
                <w:tab w:val="left" w:pos="2636"/>
                <w:tab w:val="left" w:pos="3345"/>
              </w:tabs>
              <w:spacing w:before="0"/>
              <w:ind w:left="0" w:firstLine="0"/>
              <w:rPr>
                <w:sz w:val="20"/>
              </w:rPr>
            </w:pPr>
            <w:r>
              <w:rPr>
                <w:sz w:val="20"/>
              </w:rPr>
              <w:t xml:space="preserve">Date of withdrawal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c>
          <w:tcPr>
            <w:tcW w:w="1276" w:type="dxa"/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Withdrawal of infringement notice</w:t>
            </w:r>
          </w:p>
          <w:p>
            <w:pPr>
              <w:pStyle w:val="yTable"/>
              <w:spacing w:before="0"/>
              <w:ind w:right="-108"/>
              <w:rPr>
                <w:i/>
                <w:sz w:val="16"/>
              </w:rPr>
            </w:pPr>
          </w:p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i/>
                <w:sz w:val="16"/>
              </w:rPr>
              <w:t xml:space="preserve">[*delete </w:t>
            </w:r>
            <w:r>
              <w:rPr>
                <w:i/>
                <w:sz w:val="16"/>
              </w:rPr>
              <w:br/>
              <w:t>whichever</w:t>
            </w:r>
            <w:r>
              <w:rPr>
                <w:i/>
                <w:sz w:val="16"/>
              </w:rPr>
              <w:br/>
              <w:t>is not applicable]</w:t>
            </w: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The above infringement notice issued against you has been withdrawn.  </w:t>
            </w:r>
          </w:p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If you have already paid the modified penalty for the alleged offence you are entitled to a refund.  </w:t>
            </w:r>
          </w:p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 xml:space="preserve">Your refund is enclosed.  </w:t>
            </w:r>
          </w:p>
          <w:p>
            <w:pPr>
              <w:pStyle w:val="yTable"/>
              <w:tabs>
                <w:tab w:val="left" w:pos="317"/>
              </w:tabs>
              <w:spacing w:before="0"/>
              <w:ind w:left="317" w:hanging="317"/>
              <w:rPr>
                <w:i/>
                <w:sz w:val="20"/>
              </w:rPr>
            </w:pPr>
            <w:r>
              <w:rPr>
                <w:i/>
                <w:sz w:val="20"/>
              </w:rPr>
              <w:t>or</w:t>
            </w:r>
          </w:p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>If you have paid the modified penalty but a refund is not enclosed, to claim your refund sign this notice and post it to:</w:t>
            </w:r>
          </w:p>
          <w:p>
            <w:pPr>
              <w:pStyle w:val="yTable"/>
              <w:spacing w:before="0"/>
              <w:ind w:left="510" w:hanging="1"/>
              <w:rPr>
                <w:i/>
                <w:sz w:val="20"/>
              </w:rPr>
            </w:pPr>
            <w:r>
              <w:rPr>
                <w:sz w:val="20"/>
              </w:rPr>
              <w:t xml:space="preserve">Approved Officer — </w:t>
            </w:r>
            <w:r>
              <w:rPr>
                <w:i/>
                <w:sz w:val="20"/>
              </w:rPr>
              <w:t>Painters’ Registration Act 1961</w:t>
            </w:r>
          </w:p>
          <w:p>
            <w:pPr>
              <w:pStyle w:val="yTable"/>
              <w:spacing w:before="0"/>
              <w:ind w:left="510"/>
              <w:rPr>
                <w:sz w:val="20"/>
              </w:rPr>
            </w:pPr>
            <w:smartTag w:uri="urn:schemas-microsoft-com:office:smarttags" w:element="address">
              <w:smartTag w:uri="urn:schemas-microsoft-com:office:smarttags" w:element="Street">
                <w:r>
                  <w:rPr>
                    <w:sz w:val="20"/>
                  </w:rPr>
                  <w:t>Suite</w:t>
                </w:r>
              </w:smartTag>
              <w:r>
                <w:rPr>
                  <w:sz w:val="20"/>
                </w:rPr>
                <w:t xml:space="preserve"> 10</w:t>
              </w:r>
            </w:smartTag>
            <w:r>
              <w:rPr>
                <w:sz w:val="20"/>
              </w:rPr>
              <w:t xml:space="preserve">, </w:t>
            </w:r>
            <w:smartTag w:uri="urn:schemas-microsoft-com:office:smarttags" w:element="Street">
              <w:smartTag w:uri="urn:schemas-microsoft-com:office:smarttags" w:element="address">
                <w:r>
                  <w:rPr>
                    <w:sz w:val="20"/>
                  </w:rPr>
                  <w:t>Parliament Court</w:t>
                </w:r>
              </w:smartTag>
            </w:smartTag>
          </w:p>
          <w:p>
            <w:pPr>
              <w:pStyle w:val="yTable"/>
              <w:spacing w:before="0"/>
              <w:ind w:left="510"/>
              <w:rPr>
                <w:sz w:val="20"/>
              </w:rPr>
            </w:pPr>
            <w:r>
              <w:rPr>
                <w:sz w:val="20"/>
              </w:rPr>
              <w:t>18 Harvest Terrace</w:t>
            </w:r>
          </w:p>
          <w:p>
            <w:pPr>
              <w:pStyle w:val="yTable"/>
              <w:spacing w:before="0"/>
              <w:ind w:left="510"/>
            </w:pPr>
            <w:smartTag w:uri="urn:schemas-microsoft-com:office:smarttags" w:element="place">
              <w:r>
                <w:rPr>
                  <w:sz w:val="20"/>
                </w:rPr>
                <w:t>West Perth</w:t>
              </w:r>
            </w:smartTag>
            <w:r>
              <w:rPr>
                <w:sz w:val="20"/>
              </w:rPr>
              <w:t xml:space="preserve"> W.A. 6005</w:t>
            </w:r>
          </w:p>
          <w:p>
            <w:pPr>
              <w:pStyle w:val="yTable"/>
              <w:tabs>
                <w:tab w:val="left" w:pos="4054"/>
                <w:tab w:val="left" w:pos="4621"/>
              </w:tabs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Signature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</w:tbl>
    <w:p>
      <w:pPr>
        <w:sectPr>
          <w:headerReference w:type="even" r:id="rId24"/>
          <w:headerReference w:type="default" r:id="rId25"/>
          <w:headerReference w:type="first" r:id="rId26"/>
          <w:endnotePr>
            <w:numFmt w:val="decimal"/>
          </w:endnotePr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25" w:name="_Toc377388077"/>
      <w:bookmarkStart w:id="26" w:name="_Toc426961022"/>
      <w:bookmarkStart w:id="27" w:name="_Toc426961041"/>
      <w:r>
        <w:t>Notes</w:t>
      </w:r>
      <w:bookmarkEnd w:id="25"/>
      <w:bookmarkEnd w:id="26"/>
      <w:bookmarkEnd w:id="27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Painters’ Registration (Infringement Notices) Regulations 2006</w:t>
      </w:r>
      <w:r>
        <w:rPr>
          <w:snapToGrid w:val="0"/>
        </w:rPr>
        <w:t xml:space="preserve">.  The following table contains information about those regulations. </w:t>
      </w:r>
    </w:p>
    <w:p>
      <w:pPr>
        <w:pStyle w:val="nHeading3"/>
      </w:pPr>
      <w:bookmarkStart w:id="28" w:name="_Toc377388078"/>
      <w:bookmarkStart w:id="29" w:name="_Toc426961042"/>
      <w:r>
        <w:t>Compilation table</w:t>
      </w:r>
      <w:bookmarkEnd w:id="28"/>
      <w:bookmarkEnd w:id="29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before="60" w:after="6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before="60" w:after="6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before="60" w:after="6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</w:pPr>
            <w:r>
              <w:rPr>
                <w:i/>
              </w:rPr>
              <w:t>Painters’ Registration (Infringement Notices) Regulations 2006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</w:pPr>
            <w:r>
              <w:t>22 Sep 2006 p. 4122</w:t>
            </w:r>
            <w:r>
              <w:noBreakHyphen/>
              <w:t>4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</w:pPr>
            <w:r>
              <w:t>22 Sep 2006 (see r. 2(a))</w:t>
            </w:r>
          </w:p>
        </w:tc>
      </w:tr>
      <w:tr>
        <w:tc>
          <w:tcPr>
            <w:tcW w:w="7087" w:type="dxa"/>
            <w:gridSpan w:val="3"/>
            <w:tcBorders>
              <w:bottom w:val="single" w:sz="4" w:space="0" w:color="auto"/>
            </w:tcBorders>
          </w:tcPr>
          <w:p>
            <w:pPr>
              <w:pStyle w:val="nTable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These regulations were repealed by the </w:t>
            </w:r>
            <w:r>
              <w:rPr>
                <w:b/>
                <w:i/>
                <w:color w:val="FF0000"/>
              </w:rPr>
              <w:t>Building Services (Registration) Act 2011</w:t>
            </w:r>
            <w:r>
              <w:rPr>
                <w:b/>
                <w:color w:val="FF0000"/>
              </w:rPr>
              <w:t xml:space="preserve"> s. 110 (No. 19 of 2011) as at 29 Aug 2011 (see s. 2(b) and </w:t>
            </w:r>
            <w:r>
              <w:rPr>
                <w:b/>
                <w:i/>
                <w:iCs/>
                <w:color w:val="FF0000"/>
              </w:rPr>
              <w:t>Gazette</w:t>
            </w:r>
            <w:r>
              <w:rPr>
                <w:b/>
                <w:color w:val="FF0000"/>
              </w:rPr>
              <w:t xml:space="preserve"> 26 Aug 2011 p. 3475</w:t>
            </w:r>
            <w:r>
              <w:rPr>
                <w:b/>
                <w:color w:val="FF0000"/>
              </w:rPr>
              <w:noBreakHyphen/>
              <w:t>6)</w:t>
            </w:r>
          </w:p>
        </w:tc>
      </w:tr>
    </w:tbl>
    <w:p/>
    <w:p>
      <w:pPr>
        <w:sectPr>
          <w:headerReference w:type="even" r:id="rId27"/>
          <w:headerReference w:type="default" r:id="rId28"/>
          <w:headerReference w:type="first" r:id="rId29"/>
          <w:endnotePr>
            <w:numFmt w:val="decimal"/>
          </w:endnotePr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30"/>
      <w:headerReference w:type="default" r:id="rId31"/>
      <w:footerReference w:type="even" r:id="rId32"/>
      <w:footerReference w:type="default" r:id="rId33"/>
      <w:headerReference w:type="first" r:id="rId34"/>
      <w:footerReference w:type="first" r:id="rId35"/>
      <w:endnotePr>
        <w:numFmt w:val="decimal"/>
      </w:endnotePr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00-c0-04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29 Aug 2011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29 Aug 2011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00-c0-04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29 Aug 2011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00-c0-04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00-c0-04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29 Aug 2011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29 Aug 2011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00-c0-04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29 Aug 2011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00-c0-04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Painters’ Registration (Infringement Notices) Regulations 2006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Painters’ Registration (Infringement Notices) Regulations 2006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Painters’ Registration (Infringement Notices) Regulations 2006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Painters’ Registration (Infringement Notices) Regulations 2006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Painters’ Registration (Infringement Notices) Regulations 2006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\* charformat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Painters’ Registration (Infringement Notices) Regulations 2006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\* charformat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4" w:name="Schedule"/>
    <w:bookmarkEnd w:id="24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Painters’ Registration (Infringement Notices) Regulations 2006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Painters’ Registration (Infringement Notices) Regulations 2006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30" w:name="Compilation"/>
    <w:bookmarkEnd w:id="30"/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31" w:name="Coversheet"/>
    <w:bookmarkEnd w:id="31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8962FA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A26EE98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917AA00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9ACE5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2A0A46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37644A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28D24EB4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0C0AB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93A06D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DFCC1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E1F6432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3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5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57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17133135"/>
    <w:docVar w:name="WAFER_20140113145023" w:val="RemoveTocBookmarks,RemoveUnusedBookmarks,RemoveLanguageTags,UsedStyles,ResetPageSize,UpdateArrangement"/>
    <w:docVar w:name="WAFER_20140113145023_GUID" w:val="d1d13939-9a0a-4f0d-bac6-78eb7f7c5088"/>
    <w:docVar w:name="WAFER_20140113145204" w:val="RemoveTocBookmarks,RunningHeaders"/>
    <w:docVar w:name="WAFER_20140113145204_GUID" w:val="871a0849-ce8d-4287-b9fb-f0f8a21f07ed"/>
    <w:docVar w:name="WAFER_20150810090509" w:val="ResetPageSize,UpdateArrangement,UpdateNTable"/>
    <w:docVar w:name="WAFER_20150810090509_GUID" w:val="77a8cc07-eb5a-40f0-9f39-a38070b5b4e6"/>
    <w:docVar w:name="WAFER_20151117133135" w:val="UpdateStyles,UsedStyles"/>
    <w:docVar w:name="WAFER_20151117133135_GUID" w:val="0d96620f-22e0-4bd5-bffa-bde6bcf9981f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martTagType w:namespaceuri="urn:schemas-microsoft-com:office:smarttags" w:name="City"/>
  <w:smartTagType w:namespaceuri="urn:schemas-microsoft-com:office:smarttags" w:name="address"/>
  <w:smartTagType w:namespaceuri="urn:schemas-microsoft-com:office:smarttags" w:name="Street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</w:rPr>
  </w:style>
  <w:style w:type="paragraph" w:customStyle="1" w:styleId="Ednotesubsection">
    <w:name w:val="Ednote(subsection)"/>
    <w:basedOn w:val="Ednotesection"/>
    <w:pPr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spacing w:before="160" w:line="260" w:lineRule="atLeast"/>
      <w:jc w:val="center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ListBullet2">
    <w:name w:val="List Bullet 2"/>
    <w:basedOn w:val="Normal"/>
    <w:autoRedefine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7"/>
      </w:numPr>
    </w:pPr>
  </w:style>
  <w:style w:type="paragraph" w:styleId="ListNumber2">
    <w:name w:val="List Number 2"/>
    <w:basedOn w:val="Normal"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  <w:ind w:left="3050" w:hanging="3050"/>
    </w:pPr>
    <w:rPr>
      <w:sz w:val="22"/>
    </w:rPr>
  </w:style>
  <w:style w:type="paragraph" w:customStyle="1" w:styleId="yEdnotepara">
    <w:name w:val="yEdnote(para)"/>
    <w:basedOn w:val="Ednotepara"/>
    <w:pPr>
      <w:spacing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  <w:outlineLvl w:val="9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  <w:ind w:left="3771" w:hanging="3771"/>
    </w:pPr>
  </w:style>
  <w:style w:type="paragraph" w:customStyle="1" w:styleId="yEdnotesubpara">
    <w:name w:val="yEdnote(subpara)"/>
    <w:basedOn w:val="Ednotesubpara"/>
    <w:pPr>
      <w:spacing w:line="240" w:lineRule="auto"/>
      <w:ind w:left="2330" w:hanging="2330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noProof w:val="0"/>
      <w:sz w:val="22"/>
    </w:rPr>
  </w:style>
  <w:style w:type="character" w:customStyle="1" w:styleId="CharSDivNo">
    <w:name w:val="CharSDivNo"/>
    <w:basedOn w:val="DefaultParagraphFont"/>
    <w:rPr>
      <w:noProof w:val="0"/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pPr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</w:rPr>
  </w:style>
  <w:style w:type="paragraph" w:customStyle="1" w:styleId="Ednotesubsection">
    <w:name w:val="Ednote(subsection)"/>
    <w:basedOn w:val="Ednotesection"/>
    <w:pPr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spacing w:before="160" w:line="260" w:lineRule="atLeast"/>
      <w:jc w:val="center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ListBullet2">
    <w:name w:val="List Bullet 2"/>
    <w:basedOn w:val="Normal"/>
    <w:autoRedefine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7"/>
      </w:numPr>
    </w:pPr>
  </w:style>
  <w:style w:type="paragraph" w:styleId="ListNumber2">
    <w:name w:val="List Number 2"/>
    <w:basedOn w:val="Normal"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  <w:ind w:left="3050" w:hanging="3050"/>
    </w:pPr>
    <w:rPr>
      <w:sz w:val="22"/>
    </w:rPr>
  </w:style>
  <w:style w:type="paragraph" w:customStyle="1" w:styleId="yEdnotepara">
    <w:name w:val="yEdnote(para)"/>
    <w:basedOn w:val="Ednotepara"/>
    <w:pPr>
      <w:spacing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  <w:outlineLvl w:val="9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  <w:ind w:left="3771" w:hanging="3771"/>
    </w:pPr>
  </w:style>
  <w:style w:type="paragraph" w:customStyle="1" w:styleId="yEdnotesubpara">
    <w:name w:val="yEdnote(subpara)"/>
    <w:basedOn w:val="Ednotesubpara"/>
    <w:pPr>
      <w:spacing w:line="240" w:lineRule="auto"/>
      <w:ind w:left="2330" w:hanging="2330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noProof w:val="0"/>
      <w:sz w:val="22"/>
    </w:rPr>
  </w:style>
  <w:style w:type="character" w:customStyle="1" w:styleId="CharSDivNo">
    <w:name w:val="CharSDivNo"/>
    <w:basedOn w:val="DefaultParagraphFont"/>
    <w:rPr>
      <w:noProof w:val="0"/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pPr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header" Target="header18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footer" Target="footer8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5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oter" Target="footer7.xm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36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7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header" Target="header16.xml"/><Relationship Id="rId35" Type="http://schemas.openxmlformats.org/officeDocument/2006/relationships/footer" Target="footer9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993</Words>
  <Characters>5626</Characters>
  <Application>Microsoft Office Word</Application>
  <DocSecurity>0</DocSecurity>
  <Lines>267</Lines>
  <Paragraphs>174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3</vt:i4>
      </vt:variant>
    </vt:vector>
  </HeadingPairs>
  <TitlesOfParts>
    <vt:vector size="4" baseType="lpstr">
      <vt:lpstr>Drafting Template (Regs)</vt:lpstr>
      <vt:lpstr>    Schedule 1 — Prescribed offences and modified penalties</vt:lpstr>
      <vt:lpstr>    Schedule 2 — Forms</vt:lpstr>
      <vt:lpstr>    Notes</vt:lpstr>
    </vt:vector>
  </TitlesOfParts>
  <Manager/>
  <Company/>
  <LinksUpToDate>false</LinksUpToDate>
  <CharactersWithSpaces>6445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Painters' Registration (Infringement Notices) Regulations 2006 - 00-c0-04</dc:title>
  <dc:subject/>
  <dc:creator/>
  <cp:keywords/>
  <dc:description/>
  <cp:lastModifiedBy>svcMRProcess</cp:lastModifiedBy>
  <cp:revision>4</cp:revision>
  <cp:lastPrinted>2006-05-25T08:20:00Z</cp:lastPrinted>
  <dcterms:created xsi:type="dcterms:W3CDTF">2015-11-17T05:33:00Z</dcterms:created>
  <dcterms:modified xsi:type="dcterms:W3CDTF">2015-11-17T05:33:00Z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22 Sep 2006 p 4122-4</vt:lpwstr>
  </property>
  <property fmtid="{D5CDD505-2E9C-101B-9397-08002B2CF9AE}" pid="3" name="CommencementDate">
    <vt:lpwstr>20110829</vt:lpwstr>
  </property>
  <property fmtid="{D5CDD505-2E9C-101B-9397-08002B2CF9AE}" pid="4" name="OwlsUID">
    <vt:i4>38502</vt:i4>
  </property>
  <property fmtid="{D5CDD505-2E9C-101B-9397-08002B2CF9AE}" pid="5" name="DocumentType">
    <vt:lpwstr>Reg</vt:lpwstr>
  </property>
  <property fmtid="{D5CDD505-2E9C-101B-9397-08002B2CF9AE}" pid="6" name="AsAtDate">
    <vt:lpwstr>29 Aug 2011</vt:lpwstr>
  </property>
  <property fmtid="{D5CDD505-2E9C-101B-9397-08002B2CF9AE}" pid="7" name="Suffix">
    <vt:lpwstr>00-c0-04</vt:lpwstr>
  </property>
  <property fmtid="{D5CDD505-2E9C-101B-9397-08002B2CF9AE}" pid="8" name="Status">
    <vt:lpwstr>NIF</vt:lpwstr>
  </property>
</Properties>
</file>