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East Perth Redevelopment Act 1991</w:t>
      </w:r>
      <w:r>
        <w:fldChar w:fldCharType="end"/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East Perth Redevelopment (Subtracted Area - Stage 2) Regulations 2011</w:t>
      </w:r>
      <w:r>
        <w:fldChar w:fldCharType="end"/>
      </w:r>
    </w:p>
    <w:p>
      <w:pPr>
        <w:pStyle w:val="Subsection"/>
        <w:rPr>
          <w:color w:val="000000"/>
          <w:sz w:val="22"/>
          <w:szCs w:val="22"/>
        </w:rPr>
      </w:pPr>
      <w:r>
        <w:tab/>
      </w:r>
      <w:r>
        <w:tab/>
      </w:r>
      <w:r>
        <w:rPr>
          <w:color w:val="000000"/>
          <w:sz w:val="22"/>
          <w:szCs w:val="22"/>
        </w:rPr>
        <w:t xml:space="preserve">These regulations expired as at 7 Sep 2011 (see r. 7(1)(a) and </w:t>
      </w:r>
      <w:r>
        <w:rPr>
          <w:i/>
          <w:iCs/>
          <w:color w:val="000000"/>
          <w:sz w:val="22"/>
          <w:szCs w:val="22"/>
        </w:rPr>
        <w:t>Gazette</w:t>
      </w:r>
      <w:r>
        <w:rPr>
          <w:color w:val="000000"/>
          <w:sz w:val="22"/>
          <w:szCs w:val="22"/>
        </w:rPr>
        <w:t xml:space="preserve"> 6 Sep 2011 p. 3655-6).</w:t>
      </w:r>
    </w:p>
    <w:p>
      <w:pPr>
        <w:pStyle w:val="Subsection"/>
      </w:pP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East Perth Redevelopment (Subtracted Area - Stage 2) Regulations 2011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_Toc425943718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_Toc425943719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3.</w:t>
      </w:r>
      <w:r>
        <w:tab/>
        <w:t>Terms used</w:t>
      </w:r>
      <w:r>
        <w:tab/>
      </w:r>
      <w:r>
        <w:fldChar w:fldCharType="begin"/>
      </w:r>
      <w:r>
        <w:instrText xml:space="preserve"> PAGEREF _Toc425943720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4</w:t>
      </w:r>
      <w:r>
        <w:rPr>
          <w:snapToGrid w:val="0"/>
        </w:rPr>
        <w:t>.</w:t>
      </w:r>
      <w:r>
        <w:rPr>
          <w:snapToGrid w:val="0"/>
        </w:rPr>
        <w:tab/>
      </w:r>
      <w:r>
        <w:t>Schedule 1 replaced</w:t>
      </w:r>
      <w:r>
        <w:tab/>
      </w:r>
      <w:r>
        <w:fldChar w:fldCharType="begin"/>
      </w:r>
      <w:r>
        <w:instrText xml:space="preserve"> PAGEREF _Toc425943721 \h </w:instrText>
      </w:r>
      <w:r>
        <w:fldChar w:fldCharType="separate"/>
      </w:r>
      <w:r>
        <w:t>1</w:t>
      </w:r>
      <w:r>
        <w:fldChar w:fldCharType="end"/>
      </w:r>
    </w:p>
    <w:p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  <w:lang w:eastAsia="en-AU"/>
        </w:rPr>
      </w:pPr>
      <w:r>
        <w:t>Schedule 1 — Redevelopment area</w:t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5.</w:t>
      </w:r>
      <w:r>
        <w:tab/>
        <w:t>Minister may amend planning schemes</w:t>
      </w:r>
      <w:r>
        <w:tab/>
      </w:r>
      <w:r>
        <w:fldChar w:fldCharType="begin"/>
      </w:r>
      <w:r>
        <w:instrText xml:space="preserve"> PAGEREF _Toc425943723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6.</w:t>
      </w:r>
      <w:r>
        <w:tab/>
        <w:t>Other transitional matters</w:t>
      </w:r>
      <w:r>
        <w:tab/>
      </w:r>
      <w:r>
        <w:fldChar w:fldCharType="begin"/>
      </w:r>
      <w:r>
        <w:instrText xml:space="preserve"> PAGEREF _Toc425943724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7.</w:t>
      </w:r>
      <w:r>
        <w:tab/>
        <w:t>Expiry of regulations</w:t>
      </w:r>
      <w:r>
        <w:tab/>
      </w:r>
      <w:r>
        <w:fldChar w:fldCharType="begin"/>
      </w:r>
      <w:r>
        <w:instrText xml:space="preserve"> PAGEREF _Toc425943725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  <w:lang w:eastAsia="en-AU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_Toc425943727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  <w:lang w:eastAsia="en-AU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PrincipalActReg"/>
      </w:pPr>
      <w:smartTag w:uri="urn:schemas-microsoft-com:office:smarttags" w:element="place">
        <w:r>
          <w:t>East Perth</w:t>
        </w:r>
      </w:smartTag>
      <w:r>
        <w:t xml:space="preserve"> Redevelopment Act 1991</w:t>
      </w:r>
    </w:p>
    <w:p>
      <w:pPr>
        <w:pStyle w:val="NameofActReg"/>
      </w:pPr>
      <w:smartTag w:uri="urn:schemas-microsoft-com:office:smarttags" w:element="place">
        <w:r>
          <w:t>East Perth</w:t>
        </w:r>
      </w:smartTag>
      <w:r>
        <w:t xml:space="preserve"> Redevelopment (Subtracted Area </w:t>
      </w:r>
      <w:r>
        <w:noBreakHyphen/>
        <w:t xml:space="preserve"> Stage 2) Regulations 2011</w:t>
      </w:r>
    </w:p>
    <w:p>
      <w:pPr>
        <w:pStyle w:val="Heading5"/>
      </w:pPr>
      <w:bookmarkStart w:id="3" w:name="_Toc423332722"/>
      <w:bookmarkStart w:id="4" w:name="_Toc425219441"/>
      <w:bookmarkStart w:id="5" w:name="_Toc426249308"/>
      <w:bookmarkStart w:id="6" w:name="_Toc449924704"/>
      <w:bookmarkStart w:id="7" w:name="_Toc449947722"/>
      <w:bookmarkStart w:id="8" w:name="_Toc454185713"/>
      <w:bookmarkStart w:id="9" w:name="_Toc515958686"/>
      <w:bookmarkStart w:id="10" w:name="_Toc303071464"/>
      <w:bookmarkStart w:id="11" w:name="_Toc425943718"/>
      <w:r>
        <w:rPr>
          <w:rStyle w:val="CharSectno"/>
        </w:rPr>
        <w:t>1</w:t>
      </w:r>
      <w:r>
        <w:t>.</w:t>
      </w:r>
      <w:r>
        <w:tab/>
        <w:t>Citation</w:t>
      </w:r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</w:p>
    <w:p>
      <w:pPr>
        <w:pStyle w:val="Subsection"/>
        <w:rPr>
          <w:i/>
        </w:rPr>
      </w:pPr>
      <w:r>
        <w:tab/>
      </w:r>
      <w:r>
        <w:tab/>
      </w:r>
      <w:bookmarkStart w:id="12" w:name="Start_Cursor"/>
      <w:bookmarkEnd w:id="12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smartTag w:uri="urn:schemas-microsoft-com:office:smarttags" w:element="place">
        <w:r>
          <w:rPr>
            <w:i/>
          </w:rPr>
          <w:t>East Perth</w:t>
        </w:r>
      </w:smartTag>
      <w:r>
        <w:rPr>
          <w:i/>
        </w:rPr>
        <w:t xml:space="preserve"> Redevelopment (Subtracted Area </w:t>
      </w:r>
      <w:r>
        <w:rPr>
          <w:i/>
        </w:rPr>
        <w:noBreakHyphen/>
        <w:t xml:space="preserve"> Stage 2) Regulations 2011</w:t>
      </w:r>
      <w:r>
        <w:t>.</w:t>
      </w:r>
    </w:p>
    <w:p>
      <w:pPr>
        <w:pStyle w:val="Heading5"/>
        <w:rPr>
          <w:spacing w:val="-2"/>
        </w:rPr>
      </w:pPr>
      <w:bookmarkStart w:id="13" w:name="_Toc423332723"/>
      <w:bookmarkStart w:id="14" w:name="_Toc425219442"/>
      <w:bookmarkStart w:id="15" w:name="_Toc426249309"/>
      <w:bookmarkStart w:id="16" w:name="_Toc449924705"/>
      <w:bookmarkStart w:id="17" w:name="_Toc449947723"/>
      <w:bookmarkStart w:id="18" w:name="_Toc454185714"/>
      <w:bookmarkStart w:id="19" w:name="_Toc515958687"/>
      <w:bookmarkStart w:id="20" w:name="_Toc303071465"/>
      <w:bookmarkStart w:id="21" w:name="_Toc425943719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  <w:t xml:space="preserve">regulations 1 and 2 — on the day on which these regulations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>the rest of the regulations — on the day after that day.</w:t>
      </w:r>
    </w:p>
    <w:p>
      <w:pPr>
        <w:pStyle w:val="Heading5"/>
      </w:pPr>
      <w:bookmarkStart w:id="22" w:name="_Toc303071466"/>
      <w:bookmarkStart w:id="23" w:name="_Toc425943720"/>
      <w:r>
        <w:rPr>
          <w:rStyle w:val="CharSectno"/>
        </w:rPr>
        <w:t>3</w:t>
      </w:r>
      <w:r>
        <w:t>.</w:t>
      </w:r>
      <w:r>
        <w:tab/>
        <w:t>Terms used</w:t>
      </w:r>
      <w:bookmarkEnd w:id="22"/>
      <w:bookmarkEnd w:id="23"/>
    </w:p>
    <w:p>
      <w:pPr>
        <w:pStyle w:val="Subsection"/>
      </w:pPr>
      <w:r>
        <w:tab/>
      </w:r>
      <w:r>
        <w:tab/>
        <w:t xml:space="preserve">In these regulations — </w:t>
      </w:r>
    </w:p>
    <w:p>
      <w:pPr>
        <w:pStyle w:val="Defstart"/>
      </w:pPr>
      <w:r>
        <w:tab/>
      </w:r>
      <w:r>
        <w:rPr>
          <w:rStyle w:val="CharDefText"/>
        </w:rPr>
        <w:t>order</w:t>
      </w:r>
      <w:r>
        <w:t xml:space="preserve"> means an order made under regulation 5(2);</w:t>
      </w:r>
    </w:p>
    <w:p>
      <w:pPr>
        <w:pStyle w:val="Defstart"/>
      </w:pPr>
      <w:r>
        <w:tab/>
      </w:r>
      <w:r>
        <w:rPr>
          <w:rStyle w:val="CharDefText"/>
        </w:rPr>
        <w:t>Schedule 1</w:t>
      </w:r>
      <w:r>
        <w:t xml:space="preserve"> means the </w:t>
      </w:r>
      <w:smartTag w:uri="urn:schemas-microsoft-com:office:smarttags" w:element="place">
        <w:r>
          <w:rPr>
            <w:i/>
          </w:rPr>
          <w:t>East Perth</w:t>
        </w:r>
      </w:smartTag>
      <w:r>
        <w:rPr>
          <w:i/>
        </w:rPr>
        <w:t xml:space="preserve"> Redevelopment Act 1991</w:t>
      </w:r>
      <w:r>
        <w:t xml:space="preserve"> Schedule 1;</w:t>
      </w:r>
    </w:p>
    <w:p>
      <w:pPr>
        <w:pStyle w:val="Defstart"/>
      </w:pPr>
      <w:r>
        <w:tab/>
      </w:r>
      <w:r>
        <w:rPr>
          <w:rStyle w:val="CharDefText"/>
        </w:rPr>
        <w:t>scheme</w:t>
      </w:r>
      <w:r>
        <w:t xml:space="preserve"> means either of the following — </w:t>
      </w:r>
    </w:p>
    <w:p>
      <w:pPr>
        <w:pStyle w:val="Defpara"/>
      </w:pPr>
      <w:r>
        <w:tab/>
        <w:t>(a)</w:t>
      </w:r>
      <w:r>
        <w:tab/>
        <w:t xml:space="preserve">the </w:t>
      </w:r>
      <w:r>
        <w:rPr>
          <w:i/>
          <w:iCs/>
        </w:rPr>
        <w:t>Metropolitan Region Scheme</w:t>
      </w:r>
      <w:r>
        <w:t>;</w:t>
      </w:r>
    </w:p>
    <w:p>
      <w:pPr>
        <w:pStyle w:val="Defpara"/>
      </w:pPr>
      <w:r>
        <w:tab/>
        <w:t>(b)</w:t>
      </w:r>
      <w:r>
        <w:tab/>
        <w:t xml:space="preserve">the </w:t>
      </w:r>
      <w:r>
        <w:rPr>
          <w:i/>
          <w:iCs/>
        </w:rPr>
        <w:t xml:space="preserve">City of </w:t>
      </w:r>
      <w:smartTag w:uri="urn:schemas-microsoft-com:office:smarttags" w:element="place">
        <w:smartTag w:uri="urn:schemas-microsoft-com:office:smarttags" w:element="City">
          <w:smartTag w:uri="urn:schemas-microsoft-com:office:smarttags" w:element="PlaceName">
            <w:r>
              <w:rPr>
                <w:i/>
                <w:iCs/>
              </w:rPr>
              <w:t>Perth</w:t>
            </w:r>
          </w:smartTag>
        </w:smartTag>
      </w:smartTag>
      <w:r>
        <w:rPr>
          <w:i/>
          <w:iCs/>
        </w:rPr>
        <w:t xml:space="preserve"> </w:t>
      </w:r>
      <w:smartTag w:uri="urn:schemas-microsoft-com:office:smarttags" w:element="PlaceType">
        <w:r>
          <w:rPr>
            <w:i/>
            <w:iCs/>
          </w:rPr>
          <w:t>City</w:t>
        </w:r>
      </w:smartTag>
      <w:r>
        <w:rPr>
          <w:i/>
          <w:iCs/>
        </w:rPr>
        <w:t xml:space="preserve"> Planning Scheme 2</w:t>
      </w:r>
      <w:r>
        <w:t>.</w:t>
      </w:r>
    </w:p>
    <w:p>
      <w:pPr>
        <w:pStyle w:val="Heading5"/>
        <w:rPr>
          <w:snapToGrid w:val="0"/>
        </w:rPr>
      </w:pPr>
      <w:bookmarkStart w:id="24" w:name="_Toc423332724"/>
      <w:bookmarkStart w:id="25" w:name="_Toc425219443"/>
      <w:bookmarkStart w:id="26" w:name="_Toc426249310"/>
      <w:bookmarkStart w:id="27" w:name="_Toc449924706"/>
      <w:bookmarkStart w:id="28" w:name="_Toc449947724"/>
      <w:bookmarkStart w:id="29" w:name="_Toc454185715"/>
      <w:bookmarkStart w:id="30" w:name="_Toc515958688"/>
      <w:bookmarkStart w:id="31" w:name="_Toc303071467"/>
      <w:bookmarkStart w:id="32" w:name="_Toc425943721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</w:r>
      <w:r>
        <w:t>Schedule 1 replaced</w:t>
      </w:r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</w:p>
    <w:p>
      <w:pPr>
        <w:pStyle w:val="Subsection"/>
      </w:pPr>
      <w:r>
        <w:tab/>
      </w:r>
      <w:r>
        <w:tab/>
        <w:t>When an order takes effect, delete Schedule 1 and insert:</w:t>
      </w:r>
    </w:p>
    <w:p>
      <w:pPr>
        <w:pStyle w:val="BlankOpen"/>
      </w:pPr>
    </w:p>
    <w:p>
      <w:pPr>
        <w:pStyle w:val="zyHeading2"/>
      </w:pPr>
      <w:bookmarkStart w:id="33" w:name="_Toc303063640"/>
      <w:bookmarkStart w:id="34" w:name="_Toc303063879"/>
      <w:bookmarkStart w:id="35" w:name="_Toc303063889"/>
      <w:bookmarkStart w:id="36" w:name="_Toc303071224"/>
      <w:bookmarkStart w:id="37" w:name="_Toc303071468"/>
      <w:bookmarkStart w:id="38" w:name="_Toc425943615"/>
      <w:bookmarkStart w:id="39" w:name="_Toc425943722"/>
      <w:r>
        <w:t>Schedule 1 — Redevelopment area</w:t>
      </w:r>
      <w:bookmarkEnd w:id="33"/>
      <w:bookmarkEnd w:id="34"/>
      <w:bookmarkEnd w:id="35"/>
      <w:bookmarkEnd w:id="36"/>
      <w:bookmarkEnd w:id="37"/>
      <w:bookmarkEnd w:id="38"/>
      <w:bookmarkEnd w:id="39"/>
    </w:p>
    <w:p>
      <w:pPr>
        <w:pStyle w:val="zyShoulderClause"/>
      </w:pPr>
      <w:r>
        <w:t>[s. 4]</w:t>
      </w:r>
    </w:p>
    <w:p>
      <w:pPr>
        <w:pStyle w:val="zySubsection"/>
      </w:pPr>
      <w:r>
        <w:tab/>
      </w:r>
      <w:r>
        <w:tab/>
        <w:t>All of the land and waters in the area described as the redevelopment area on Plan No. 3 held at the office of the Authority, that plan being certified by the Minister as being the plan prepared for the purpose of defining the redevelopment area.</w:t>
      </w:r>
    </w:p>
    <w:p>
      <w:pPr>
        <w:pStyle w:val="zySubsection"/>
      </w:pPr>
      <w:r>
        <w:tab/>
      </w:r>
      <w:r>
        <w:tab/>
        <w:t>For guidance, the redevelopment area is indicated in the following representation of Plan No. 3.</w:t>
      </w:r>
    </w:p>
    <w:p>
      <w:pPr>
        <w:pStyle w:val="zySubsection"/>
      </w:pPr>
      <w:r>
        <w:rPr>
          <w:noProof/>
          <w:lang w:eastAsia="en-AU"/>
        </w:rPr>
        <w:drawing>
          <wp:inline distT="0" distB="0" distL="0" distR="0">
            <wp:extent cx="4495800" cy="2828925"/>
            <wp:effectExtent l="19050" t="19050" r="19050" b="285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282892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BlankClose"/>
      </w:pPr>
    </w:p>
    <w:p>
      <w:pPr>
        <w:pStyle w:val="Heading5"/>
      </w:pPr>
      <w:bookmarkStart w:id="40" w:name="_Toc303071469"/>
      <w:bookmarkStart w:id="41" w:name="_Toc425943723"/>
      <w:r>
        <w:rPr>
          <w:rStyle w:val="CharSectno"/>
        </w:rPr>
        <w:t>5</w:t>
      </w:r>
      <w:r>
        <w:t>.</w:t>
      </w:r>
      <w:r>
        <w:tab/>
        <w:t>Minister may amend planning schemes</w:t>
      </w:r>
      <w:bookmarkEnd w:id="40"/>
      <w:bookmarkEnd w:id="41"/>
    </w:p>
    <w:p>
      <w:pPr>
        <w:pStyle w:val="Subsection"/>
        <w:keepNext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subtracted area</w:t>
      </w:r>
      <w:r>
        <w:t xml:space="preserve"> means the area that ceases to be in the redevelopment area when Schedule 1 is replaced under regulation 4.</w:t>
      </w:r>
    </w:p>
    <w:p>
      <w:pPr>
        <w:pStyle w:val="Subsection"/>
      </w:pPr>
      <w:r>
        <w:tab/>
        <w:t>(2)</w:t>
      </w:r>
      <w:r>
        <w:tab/>
        <w:t xml:space="preserve">The Minister may, by order published in the </w:t>
      </w:r>
      <w:r>
        <w:rPr>
          <w:i/>
          <w:iCs/>
        </w:rPr>
        <w:t>Gazette</w:t>
      </w:r>
      <w:r>
        <w:t xml:space="preserve">, amend a scheme to provide for any of the following — </w:t>
      </w:r>
    </w:p>
    <w:p>
      <w:pPr>
        <w:pStyle w:val="Indenta"/>
      </w:pPr>
      <w:r>
        <w:tab/>
        <w:t>(a)</w:t>
      </w:r>
      <w:r>
        <w:tab/>
        <w:t>land in the subtracted area to be included in the area to which the scheme applies;</w:t>
      </w:r>
    </w:p>
    <w:p>
      <w:pPr>
        <w:pStyle w:val="Indenta"/>
      </w:pPr>
      <w:r>
        <w:tab/>
        <w:t>(b)</w:t>
      </w:r>
      <w:r>
        <w:tab/>
        <w:t>land in the subtracted area to have a reservation or zoning under the scheme the same as, or similar to, that which applied to the land immediately before it ceased to be in the redevelopment area.</w:t>
      </w:r>
    </w:p>
    <w:p>
      <w:pPr>
        <w:pStyle w:val="Subsection"/>
      </w:pPr>
      <w:r>
        <w:tab/>
        <w:t>(3)</w:t>
      </w:r>
      <w:r>
        <w:tab/>
        <w:t xml:space="preserve">An order takes effect at the beginning of the day after the day on which it is published in the </w:t>
      </w:r>
      <w:r>
        <w:rPr>
          <w:i/>
          <w:iCs/>
        </w:rPr>
        <w:t>Gazette</w:t>
      </w:r>
      <w:r>
        <w:t>.</w:t>
      </w:r>
    </w:p>
    <w:p>
      <w:pPr>
        <w:pStyle w:val="Heading5"/>
      </w:pPr>
      <w:bookmarkStart w:id="42" w:name="_Toc303071470"/>
      <w:bookmarkStart w:id="43" w:name="_Toc425943724"/>
      <w:r>
        <w:rPr>
          <w:rStyle w:val="CharSectno"/>
        </w:rPr>
        <w:t>6</w:t>
      </w:r>
      <w:r>
        <w:t>.</w:t>
      </w:r>
      <w:r>
        <w:tab/>
        <w:t>Other transitional matters</w:t>
      </w:r>
      <w:bookmarkEnd w:id="42"/>
      <w:bookmarkEnd w:id="43"/>
    </w:p>
    <w:p>
      <w:pPr>
        <w:pStyle w:val="Subsection"/>
      </w:pPr>
      <w:r>
        <w:tab/>
      </w:r>
      <w:r>
        <w:tab/>
        <w:t>When an order takes effect, the effect of a decision, if any, previously made by the Authority or the Minister about a development application or an approval continues.</w:t>
      </w:r>
    </w:p>
    <w:p>
      <w:pPr>
        <w:pStyle w:val="Heading5"/>
      </w:pPr>
      <w:bookmarkStart w:id="44" w:name="_Toc303071471"/>
      <w:bookmarkStart w:id="45" w:name="_Toc425943725"/>
      <w:r>
        <w:rPr>
          <w:rStyle w:val="CharSectno"/>
        </w:rPr>
        <w:t>7</w:t>
      </w:r>
      <w:r>
        <w:t>.</w:t>
      </w:r>
      <w:r>
        <w:tab/>
        <w:t>Expiry of regulations</w:t>
      </w:r>
      <w:bookmarkEnd w:id="44"/>
      <w:bookmarkEnd w:id="45"/>
    </w:p>
    <w:p>
      <w:pPr>
        <w:pStyle w:val="Subsection"/>
      </w:pPr>
      <w:r>
        <w:tab/>
        <w:t>(1)</w:t>
      </w:r>
      <w:r>
        <w:tab/>
        <w:t xml:space="preserve">These regulations expire when whichever of the following events happens first — </w:t>
      </w:r>
    </w:p>
    <w:p>
      <w:pPr>
        <w:pStyle w:val="Indenta"/>
      </w:pPr>
      <w:r>
        <w:tab/>
        <w:t>(a)</w:t>
      </w:r>
      <w:r>
        <w:tab/>
        <w:t>an order takes effect;</w:t>
      </w:r>
    </w:p>
    <w:p>
      <w:pPr>
        <w:pStyle w:val="Indenta"/>
      </w:pPr>
      <w:r>
        <w:tab/>
        <w:t>(b)</w:t>
      </w:r>
      <w:r>
        <w:tab/>
        <w:t>the period of 2 years, commencing on the day mentioned in regulation 2(b), ends.</w:t>
      </w:r>
    </w:p>
    <w:p>
      <w:pPr>
        <w:pStyle w:val="Subsection"/>
      </w:pPr>
      <w:r>
        <w:tab/>
        <w:t>(2)</w:t>
      </w:r>
      <w:r>
        <w:tab/>
        <w:t xml:space="preserve">The expiry of these regulations does not affect — </w:t>
      </w:r>
    </w:p>
    <w:p>
      <w:pPr>
        <w:pStyle w:val="Indenta"/>
      </w:pPr>
      <w:r>
        <w:tab/>
        <w:t>(a)</w:t>
      </w:r>
      <w:r>
        <w:tab/>
        <w:t>the amendment of the redevelopment area under regulation 4; or</w:t>
      </w:r>
    </w:p>
    <w:p>
      <w:pPr>
        <w:pStyle w:val="Indenta"/>
      </w:pPr>
      <w:r>
        <w:tab/>
        <w:t>(b)</w:t>
      </w:r>
      <w:r>
        <w:tab/>
        <w:t>an amendment of a scheme under an order.</w:t>
      </w:r>
    </w:p>
    <w:p>
      <w:pPr>
        <w:sectPr>
          <w:headerReference w:type="even" r:id="rId22"/>
          <w:headerReference w:type="default" r:id="rId23"/>
          <w:headerReference w:type="first" r:id="rId24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46" w:name="_Toc113695922"/>
      <w:bookmarkStart w:id="47" w:name="_Toc303063883"/>
      <w:bookmarkStart w:id="48" w:name="_Toc303063893"/>
      <w:bookmarkStart w:id="49" w:name="_Toc303071228"/>
      <w:bookmarkStart w:id="50" w:name="_Toc303071472"/>
      <w:bookmarkStart w:id="51" w:name="_Toc425943619"/>
      <w:bookmarkStart w:id="52" w:name="_Toc425943726"/>
      <w:r>
        <w:t>Notes</w:t>
      </w:r>
      <w:bookmarkEnd w:id="46"/>
      <w:bookmarkEnd w:id="47"/>
      <w:bookmarkEnd w:id="48"/>
      <w:bookmarkEnd w:id="49"/>
      <w:bookmarkEnd w:id="50"/>
      <w:bookmarkEnd w:id="51"/>
      <w:bookmarkEnd w:id="52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smartTag w:uri="urn:schemas-microsoft-com:office:smarttags" w:element="place">
        <w:r>
          <w:rPr>
            <w:i/>
          </w:rPr>
          <w:t>East Perth</w:t>
        </w:r>
      </w:smartTag>
      <w:r>
        <w:rPr>
          <w:i/>
        </w:rPr>
        <w:t xml:space="preserve"> Redevelopment (Subtracted Area - Stage 2) Regulations 2011.</w:t>
      </w:r>
      <w:r>
        <w:t xml:space="preserve">  </w:t>
      </w:r>
      <w:r>
        <w:rPr>
          <w:snapToGrid w:val="0"/>
        </w:rPr>
        <w:t>The following table contains information about those regulations.</w:t>
      </w:r>
    </w:p>
    <w:p>
      <w:pPr>
        <w:pStyle w:val="nHeading3"/>
      </w:pPr>
      <w:bookmarkStart w:id="53" w:name="_Toc70311430"/>
      <w:bookmarkStart w:id="54" w:name="_Toc113695923"/>
      <w:bookmarkStart w:id="55" w:name="_Toc303071473"/>
      <w:bookmarkStart w:id="56" w:name="_Toc425943727"/>
      <w:r>
        <w:t>Compilation table</w:t>
      </w:r>
      <w:bookmarkEnd w:id="53"/>
      <w:bookmarkEnd w:id="54"/>
      <w:bookmarkEnd w:id="55"/>
      <w:bookmarkEnd w:id="56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smartTag w:uri="urn:schemas-microsoft-com:office:smarttags" w:element="place">
              <w:r>
                <w:rPr>
                  <w:i/>
                </w:rPr>
                <w:t>East Perth</w:t>
              </w:r>
            </w:smartTag>
            <w:r>
              <w:rPr>
                <w:i/>
              </w:rPr>
              <w:t xml:space="preserve"> Redevelopment (Subtracted Area - Stage 2) Regulations 2011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6 Sep 2011 p. 3653-5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r. 1 and 2: 6 Sep 2011 (see r. 2(a));</w:t>
            </w:r>
            <w:r>
              <w:br/>
              <w:t>Regulations other than r. 1 and 2: 7 Sep 2011 (see r. 2(b))</w:t>
            </w:r>
          </w:p>
        </w:tc>
      </w:tr>
      <w:tr>
        <w:tc>
          <w:tcPr>
            <w:tcW w:w="7087" w:type="dxa"/>
            <w:gridSpan w:val="3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These regulations expired as at 7 Sep 2011 (see r. 7(1)(a) and </w:t>
            </w:r>
            <w:r>
              <w:rPr>
                <w:b/>
                <w:i/>
                <w:iCs/>
                <w:color w:val="FF0000"/>
              </w:rPr>
              <w:t>Gazette</w:t>
            </w:r>
            <w:r>
              <w:rPr>
                <w:b/>
                <w:color w:val="FF0000"/>
              </w:rPr>
              <w:t xml:space="preserve"> 6 Sep 2011 p. 3655-6)</w:t>
            </w:r>
          </w:p>
        </w:tc>
      </w:tr>
    </w:tbl>
    <w:p/>
    <w:p>
      <w:pPr>
        <w:sectPr>
          <w:headerReference w:type="even" r:id="rId25"/>
          <w:headerReference w:type="default" r:id="rId26"/>
          <w:headerReference w:type="first" r:id="rId27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58" w:name="_Toc425943728"/>
      <w:r>
        <w:rPr>
          <w:sz w:val="28"/>
        </w:rPr>
        <w:t>Defined terms</w:t>
      </w:r>
      <w:bookmarkEnd w:id="58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order</w:t>
      </w:r>
      <w:r>
        <w:tab/>
        <w:t>3</w:t>
      </w:r>
    </w:p>
    <w:p>
      <w:pPr>
        <w:pStyle w:val="DefinedTerms"/>
      </w:pPr>
      <w:r>
        <w:t>Schedule 1</w:t>
      </w:r>
      <w:r>
        <w:tab/>
        <w:t>3</w:t>
      </w:r>
    </w:p>
    <w:p>
      <w:pPr>
        <w:pStyle w:val="DefinedTerms"/>
      </w:pPr>
      <w:r>
        <w:t>scheme</w:t>
      </w:r>
      <w:r>
        <w:tab/>
        <w:t>3</w:t>
      </w:r>
    </w:p>
    <w:p>
      <w:pPr>
        <w:pStyle w:val="DefinedTerms"/>
      </w:pPr>
      <w:r>
        <w:t>subtracted area</w:t>
      </w:r>
      <w:r>
        <w:tab/>
        <w:t>5(1)</w:t>
      </w:r>
    </w:p>
    <w:p>
      <w:pPr>
        <w:pStyle w:val="DefinedTerms"/>
        <w:sectPr>
          <w:headerReference w:type="even" r:id="rId28"/>
          <w:headerReference w:type="default" r:id="rId29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00-a0-05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07 Sep 2011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07 Sep 2011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07 Sep 2011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00-a0-05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07 Sep 2011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07 Sep 2011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07 Sep 2011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East Perth Redevelopment (Subtracted Area - Stage 2) Regulations 2011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East Perth Redevelopment (Subtracted Area - Stage 2) Regulations 2011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East Perth Redevelopment (Subtracted Area - Stage 2) Regulations 2011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5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East Perth Redevelopment (Subtracted Area - Stage 2) Regulations 2011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East Perth Redevelopment (Subtracted Area - Stage 2) Regulations 2011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East Perth Redevelopment (Subtracted Area - Stage 2) Regulations 2011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57" w:name="Compilation"/>
    <w:bookmarkEnd w:id="57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East Perth Redevelopment (Subtracted Area - Stage 2) Regulations 2011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East Perth Redevelopment (Subtracted Area - Stage 2) Regulations 2011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59" w:name="DefinedTerms"/>
    <w:bookmarkEnd w:id="59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60" w:name="Coversheet"/>
    <w:bookmarkEnd w:id="60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F066C2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F88F74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E44E0D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15A2A1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54AD31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784C55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56E670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006F5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3E2D3D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A1499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3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0F3C3412"/>
    <w:multiLevelType w:val="multilevel"/>
    <w:tmpl w:val="D78487F2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5">
    <w:nsid w:val="138B63E2"/>
    <w:multiLevelType w:val="multilevel"/>
    <w:tmpl w:val="FB266D5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>
    <w:nsid w:val="22FF52EB"/>
    <w:multiLevelType w:val="multilevel"/>
    <w:tmpl w:val="F25E9A04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1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>
    <w:nsid w:val="359138CB"/>
    <w:multiLevelType w:val="multilevel"/>
    <w:tmpl w:val="C868F7A4"/>
    <w:name w:val="TableNumbers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7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9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6"/>
  </w:num>
  <w:num w:numId="2">
    <w:abstractNumId w:val="17"/>
  </w:num>
  <w:num w:numId="3">
    <w:abstractNumId w:val="15"/>
  </w:num>
  <w:num w:numId="4">
    <w:abstractNumId w:val="12"/>
  </w:num>
  <w:num w:numId="5">
    <w:abstractNumId w:val="17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2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57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8100358"/>
    <w:docVar w:name="WAFER_20150727144500" w:val="ResetPageSize,UpdateArrangement,UpdateNTable"/>
    <w:docVar w:name="WAFER_20150727144500_GUID" w:val="ddb72cd0-1662-466a-9b45-4deb5c0684be"/>
    <w:docVar w:name="WAFER_20151118100358" w:val="UsedStyles"/>
    <w:docVar w:name="WAFER_20151118100358_GUID" w:val="8e36ee02-5a1c-47bf-80e4-77635afca388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City"/>
  <w:smartTagType w:namespaceuri="urn:schemas-microsoft-com:office:smarttags" w:name="PlaceName"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3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  <w:noProof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6"/>
      </w:numPr>
    </w:pPr>
  </w:style>
  <w:style w:type="paragraph" w:styleId="ListBullet2">
    <w:name w:val="List Bullet 2"/>
    <w:basedOn w:val="Normal"/>
    <w:autoRedefine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1"/>
      </w:numPr>
    </w:pPr>
  </w:style>
  <w:style w:type="paragraph" w:styleId="ListNumber2">
    <w:name w:val="List Number 2"/>
    <w:basedOn w:val="Normal"/>
    <w:pPr>
      <w:numPr>
        <w:numId w:val="1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1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5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9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uiPriority w:val="39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rPr>
      <w:b/>
      <w:noProof/>
      <w:sz w:val="28"/>
      <w:lang w:eastAsia="en-US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3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  <w:noProof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6"/>
      </w:numPr>
    </w:pPr>
  </w:style>
  <w:style w:type="paragraph" w:styleId="ListBullet2">
    <w:name w:val="List Bullet 2"/>
    <w:basedOn w:val="Normal"/>
    <w:autoRedefine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1"/>
      </w:numPr>
    </w:pPr>
  </w:style>
  <w:style w:type="paragraph" w:styleId="ListNumber2">
    <w:name w:val="List Number 2"/>
    <w:basedOn w:val="Normal"/>
    <w:pPr>
      <w:numPr>
        <w:numId w:val="1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1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5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9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uiPriority w:val="39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rPr>
      <w:b/>
      <w:noProof/>
      <w:sz w:val="28"/>
      <w:lang w:eastAsia="en-US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10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microsoft.com/office/2007/relationships/stylesWithEffects" Target="stylesWithEffects.xml"/><Relationship Id="rId21" Type="http://schemas.openxmlformats.org/officeDocument/2006/relationships/image" Target="media/image2.png"/><Relationship Id="rId34" Type="http://schemas.openxmlformats.org/officeDocument/2006/relationships/header" Target="header1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oter" Target="footer8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footer" Target="footer7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36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759</Words>
  <Characters>3698</Characters>
  <Application>Microsoft Office Word</Application>
  <DocSecurity>0</DocSecurity>
  <Lines>147</Lines>
  <Paragraphs>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 (Regs)</vt:lpstr>
      <vt:lpstr>    Notes</vt:lpstr>
    </vt:vector>
  </TitlesOfParts>
  <Manager/>
  <Company/>
  <LinksUpToDate>false</LinksUpToDate>
  <CharactersWithSpaces>4354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East Perth Redevelopment (Subtracted Area - Stage 2) Regulations 2011 - 00-a0-05</dc:title>
  <dc:subject/>
  <dc:creator/>
  <cp:keywords/>
  <dc:description/>
  <cp:lastModifiedBy>svcMRProcess</cp:lastModifiedBy>
  <cp:revision>4</cp:revision>
  <cp:lastPrinted>2011-06-17T02:17:00Z</cp:lastPrinted>
  <dcterms:created xsi:type="dcterms:W3CDTF">2015-11-18T02:15:00Z</dcterms:created>
  <dcterms:modified xsi:type="dcterms:W3CDTF">2015-11-18T02:15:00Z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mencementDate">
    <vt:lpwstr>20110907</vt:lpwstr>
  </property>
  <property fmtid="{D5CDD505-2E9C-101B-9397-08002B2CF9AE}" pid="3" name="ID">
    <vt:lpwstr>6 Sep 2011 p 3653-5</vt:lpwstr>
  </property>
  <property fmtid="{D5CDD505-2E9C-101B-9397-08002B2CF9AE}" pid="4" name="DocumentType">
    <vt:lpwstr>Reg</vt:lpwstr>
  </property>
  <property fmtid="{D5CDD505-2E9C-101B-9397-08002B2CF9AE}" pid="5" name="AsAtDate">
    <vt:lpwstr>07 Sep 2011</vt:lpwstr>
  </property>
  <property fmtid="{D5CDD505-2E9C-101B-9397-08002B2CF9AE}" pid="6" name="Suffix">
    <vt:lpwstr>00-a0-05</vt:lpwstr>
  </property>
  <property fmtid="{D5CDD505-2E9C-101B-9397-08002B2CF9AE}" pid="7" name="Status">
    <vt:lpwstr>NIF</vt:lpwstr>
  </property>
</Properties>
</file>