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Hope Valley-Wattleup Redevelopment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Hope Valley-Wattleup Redevelopment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_Toc419465315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_Toc419465316 \h </w:instrText>
      </w:r>
      <w:r>
        <w:fldChar w:fldCharType="separate"/>
      </w:r>
      <w:r>
        <w:t>2</w:t>
      </w:r>
      <w:r>
        <w:fldChar w:fldCharType="end"/>
      </w:r>
    </w:p>
    <w:p>
      <w:pPr>
        <w:pStyle w:val="TOC8"/>
        <w:rPr>
          <w:rFonts w:asciiTheme="minorHAnsi" w:eastAsiaTheme="minorEastAsia" w:hAnsiTheme="minorHAnsi" w:cstheme="minorBidi"/>
          <w:szCs w:val="22"/>
        </w:rPr>
      </w:pPr>
      <w:r>
        <w:t>4.</w:t>
      </w:r>
      <w:r>
        <w:tab/>
        <w:t>Redevelopment area defined (Sch. 1)</w:t>
      </w:r>
      <w:r>
        <w:tab/>
      </w:r>
      <w:r>
        <w:fldChar w:fldCharType="begin"/>
      </w:r>
      <w:r>
        <w:instrText xml:space="preserve"> PAGEREF _Toc419465317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Functions</w:t>
      </w:r>
    </w:p>
    <w:p>
      <w:pPr>
        <w:pStyle w:val="TOC8"/>
        <w:rPr>
          <w:rFonts w:asciiTheme="minorHAnsi" w:eastAsiaTheme="minorEastAsia" w:hAnsiTheme="minorHAnsi" w:cstheme="minorBidi"/>
          <w:szCs w:val="22"/>
        </w:rPr>
      </w:pPr>
      <w:r>
        <w:t>5.</w:t>
      </w:r>
      <w:r>
        <w:tab/>
        <w:t>Functions of Authority under this Act</w:t>
      </w:r>
      <w:r>
        <w:tab/>
      </w:r>
      <w:r>
        <w:fldChar w:fldCharType="begin"/>
      </w:r>
      <w:r>
        <w:instrText xml:space="preserve"> PAGEREF _Toc419465319 \h </w:instrText>
      </w:r>
      <w:r>
        <w:fldChar w:fldCharType="separate"/>
      </w:r>
      <w:r>
        <w:t>4</w:t>
      </w:r>
      <w:r>
        <w:fldChar w:fldCharType="end"/>
      </w:r>
    </w:p>
    <w:p>
      <w:pPr>
        <w:pStyle w:val="TOC8"/>
        <w:rPr>
          <w:rFonts w:asciiTheme="minorHAnsi" w:eastAsiaTheme="minorEastAsia" w:hAnsiTheme="minorHAnsi" w:cstheme="minorBidi"/>
          <w:szCs w:val="22"/>
        </w:rPr>
      </w:pPr>
      <w:r>
        <w:t>6.</w:t>
      </w:r>
      <w:r>
        <w:tab/>
        <w:t>Compulsory taking of land</w:t>
      </w:r>
      <w:r>
        <w:tab/>
      </w:r>
      <w:r>
        <w:fldChar w:fldCharType="begin"/>
      </w:r>
      <w:r>
        <w:instrText xml:space="preserve"> PAGEREF _Toc419465320 \h </w:instrText>
      </w:r>
      <w:r>
        <w:fldChar w:fldCharType="separate"/>
      </w:r>
      <w:r>
        <w:t>4</w:t>
      </w:r>
      <w:r>
        <w:fldChar w:fldCharType="end"/>
      </w:r>
    </w:p>
    <w:p>
      <w:pPr>
        <w:pStyle w:val="TOC8"/>
        <w:rPr>
          <w:rFonts w:asciiTheme="minorHAnsi" w:eastAsiaTheme="minorEastAsia" w:hAnsiTheme="minorHAnsi" w:cstheme="minorBidi"/>
          <w:szCs w:val="22"/>
        </w:rPr>
      </w:pPr>
      <w:r>
        <w:t>7.</w:t>
      </w:r>
      <w:r>
        <w:tab/>
        <w:t>Power of Governor to direct transfer to Authority</w:t>
      </w:r>
      <w:r>
        <w:tab/>
      </w:r>
      <w:r>
        <w:fldChar w:fldCharType="begin"/>
      </w:r>
      <w:r>
        <w:instrText xml:space="preserve"> PAGEREF _Toc419465321 \h </w:instrText>
      </w:r>
      <w:r>
        <w:fldChar w:fldCharType="separate"/>
      </w:r>
      <w:r>
        <w:t>4</w:t>
      </w:r>
      <w:r>
        <w:fldChar w:fldCharType="end"/>
      </w:r>
    </w:p>
    <w:p>
      <w:pPr>
        <w:pStyle w:val="TOC8"/>
        <w:rPr>
          <w:rFonts w:asciiTheme="minorHAnsi" w:eastAsiaTheme="minorEastAsia" w:hAnsiTheme="minorHAnsi" w:cstheme="minorBidi"/>
          <w:szCs w:val="22"/>
        </w:rPr>
      </w:pPr>
      <w:r>
        <w:t>8.</w:t>
      </w:r>
      <w:r>
        <w:tab/>
        <w:t>Temporary closure of streets</w:t>
      </w:r>
      <w:r>
        <w:tab/>
      </w:r>
      <w:r>
        <w:fldChar w:fldCharType="begin"/>
      </w:r>
      <w:r>
        <w:instrText xml:space="preserve"> PAGEREF _Toc419465322 \h </w:instrText>
      </w:r>
      <w:r>
        <w:fldChar w:fldCharType="separate"/>
      </w:r>
      <w:r>
        <w:t>5</w:t>
      </w:r>
      <w:r>
        <w:fldChar w:fldCharType="end"/>
      </w:r>
    </w:p>
    <w:p>
      <w:pPr>
        <w:pStyle w:val="TOC8"/>
        <w:rPr>
          <w:rFonts w:asciiTheme="minorHAnsi" w:eastAsiaTheme="minorEastAsia" w:hAnsiTheme="minorHAnsi" w:cstheme="minorBidi"/>
          <w:szCs w:val="22"/>
        </w:rPr>
      </w:pPr>
      <w:r>
        <w:t>9.</w:t>
      </w:r>
      <w:r>
        <w:tab/>
        <w:t>Permanent closure of streets</w:t>
      </w:r>
      <w:r>
        <w:tab/>
      </w:r>
      <w:r>
        <w:fldChar w:fldCharType="begin"/>
      </w:r>
      <w:r>
        <w:instrText xml:space="preserve"> PAGEREF _Toc419465323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Master plan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Authority to comply with master plan</w:t>
      </w:r>
      <w:r>
        <w:tab/>
      </w:r>
      <w:r>
        <w:fldChar w:fldCharType="begin"/>
      </w:r>
      <w:r>
        <w:instrText xml:space="preserve"> PAGEREF _Toc419465326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Preparation and approval of master plan</w:t>
      </w:r>
    </w:p>
    <w:p>
      <w:pPr>
        <w:pStyle w:val="TOC8"/>
        <w:rPr>
          <w:rFonts w:asciiTheme="minorHAnsi" w:eastAsiaTheme="minorEastAsia" w:hAnsiTheme="minorHAnsi" w:cstheme="minorBidi"/>
          <w:szCs w:val="22"/>
        </w:rPr>
      </w:pPr>
      <w:r>
        <w:t>11.</w:t>
      </w:r>
      <w:r>
        <w:tab/>
        <w:t>Contents of master plan</w:t>
      </w:r>
      <w:r>
        <w:tab/>
      </w:r>
      <w:r>
        <w:fldChar w:fldCharType="begin"/>
      </w:r>
      <w:r>
        <w:instrText xml:space="preserve"> PAGEREF _Toc419465328 \h </w:instrText>
      </w:r>
      <w:r>
        <w:fldChar w:fldCharType="separate"/>
      </w:r>
      <w:r>
        <w:t>7</w:t>
      </w:r>
      <w:r>
        <w:fldChar w:fldCharType="end"/>
      </w:r>
    </w:p>
    <w:p>
      <w:pPr>
        <w:pStyle w:val="TOC8"/>
        <w:rPr>
          <w:rFonts w:asciiTheme="minorHAnsi" w:eastAsiaTheme="minorEastAsia" w:hAnsiTheme="minorHAnsi" w:cstheme="minorBidi"/>
          <w:szCs w:val="22"/>
        </w:rPr>
      </w:pPr>
      <w:r>
        <w:t>12.</w:t>
      </w:r>
      <w:r>
        <w:tab/>
        <w:t>Submission of proposed master plan to Commission</w:t>
      </w:r>
      <w:r>
        <w:tab/>
      </w:r>
      <w:r>
        <w:fldChar w:fldCharType="begin"/>
      </w:r>
      <w:r>
        <w:instrText xml:space="preserve"> PAGEREF _Toc419465329 \h </w:instrText>
      </w:r>
      <w:r>
        <w:fldChar w:fldCharType="separate"/>
      </w:r>
      <w:r>
        <w:t>7</w:t>
      </w:r>
      <w:r>
        <w:fldChar w:fldCharType="end"/>
      </w:r>
    </w:p>
    <w:p>
      <w:pPr>
        <w:pStyle w:val="TOC8"/>
        <w:rPr>
          <w:rFonts w:asciiTheme="minorHAnsi" w:eastAsiaTheme="minorEastAsia" w:hAnsiTheme="minorHAnsi" w:cstheme="minorBidi"/>
          <w:szCs w:val="22"/>
        </w:rPr>
      </w:pPr>
      <w:r>
        <w:t>13.</w:t>
      </w:r>
      <w:r>
        <w:tab/>
        <w:t>Proposed master plan to be publicly notified</w:t>
      </w:r>
      <w:r>
        <w:tab/>
      </w:r>
      <w:r>
        <w:fldChar w:fldCharType="begin"/>
      </w:r>
      <w:r>
        <w:instrText xml:space="preserve"> PAGEREF _Toc419465330 \h </w:instrText>
      </w:r>
      <w:r>
        <w:fldChar w:fldCharType="separate"/>
      </w:r>
      <w:r>
        <w:t>8</w:t>
      </w:r>
      <w:r>
        <w:fldChar w:fldCharType="end"/>
      </w:r>
    </w:p>
    <w:p>
      <w:pPr>
        <w:pStyle w:val="TOC8"/>
        <w:rPr>
          <w:rFonts w:asciiTheme="minorHAnsi" w:eastAsiaTheme="minorEastAsia" w:hAnsiTheme="minorHAnsi" w:cstheme="minorBidi"/>
          <w:szCs w:val="22"/>
        </w:rPr>
      </w:pPr>
      <w:r>
        <w:t>14.</w:t>
      </w:r>
      <w:r>
        <w:tab/>
        <w:t>Public submissions about proposed master plan</w:t>
      </w:r>
      <w:r>
        <w:tab/>
      </w:r>
      <w:r>
        <w:fldChar w:fldCharType="begin"/>
      </w:r>
      <w:r>
        <w:instrText xml:space="preserve"> PAGEREF _Toc419465331 \h </w:instrText>
      </w:r>
      <w:r>
        <w:fldChar w:fldCharType="separate"/>
      </w:r>
      <w:r>
        <w:t>9</w:t>
      </w:r>
      <w:r>
        <w:fldChar w:fldCharType="end"/>
      </w:r>
    </w:p>
    <w:p>
      <w:pPr>
        <w:pStyle w:val="TOC8"/>
        <w:rPr>
          <w:rFonts w:asciiTheme="minorHAnsi" w:eastAsiaTheme="minorEastAsia" w:hAnsiTheme="minorHAnsi" w:cstheme="minorBidi"/>
          <w:szCs w:val="22"/>
        </w:rPr>
      </w:pPr>
      <w:r>
        <w:t>15.</w:t>
      </w:r>
      <w:r>
        <w:tab/>
        <w:t>Submission of proposed master plan to Commission and approval by Minister</w:t>
      </w:r>
      <w:r>
        <w:tab/>
      </w:r>
      <w:r>
        <w:fldChar w:fldCharType="begin"/>
      </w:r>
      <w:r>
        <w:instrText xml:space="preserve"> PAGEREF _Toc419465332 \h </w:instrText>
      </w:r>
      <w:r>
        <w:fldChar w:fldCharType="separate"/>
      </w:r>
      <w:r>
        <w:t>10</w:t>
      </w:r>
      <w:r>
        <w:fldChar w:fldCharType="end"/>
      </w:r>
    </w:p>
    <w:p>
      <w:pPr>
        <w:pStyle w:val="TOC8"/>
        <w:rPr>
          <w:rFonts w:asciiTheme="minorHAnsi" w:eastAsiaTheme="minorEastAsia" w:hAnsiTheme="minorHAnsi" w:cstheme="minorBidi"/>
          <w:szCs w:val="22"/>
        </w:rPr>
      </w:pPr>
      <w:r>
        <w:t>16.</w:t>
      </w:r>
      <w:r>
        <w:tab/>
        <w:t>Public notice of approval of master plan and commencement of master plan</w:t>
      </w:r>
      <w:r>
        <w:tab/>
      </w:r>
      <w:r>
        <w:fldChar w:fldCharType="begin"/>
      </w:r>
      <w:r>
        <w:instrText xml:space="preserve"> PAGEREF _Toc419465333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Amendment of master plan</w:t>
      </w:r>
    </w:p>
    <w:p>
      <w:pPr>
        <w:pStyle w:val="TOC8"/>
        <w:rPr>
          <w:rFonts w:asciiTheme="minorHAnsi" w:eastAsiaTheme="minorEastAsia" w:hAnsiTheme="minorHAnsi" w:cstheme="minorBidi"/>
          <w:szCs w:val="22"/>
        </w:rPr>
      </w:pPr>
      <w:r>
        <w:t>17.</w:t>
      </w:r>
      <w:r>
        <w:tab/>
        <w:t>Amendment of master plan</w:t>
      </w:r>
      <w:r>
        <w:tab/>
      </w:r>
      <w:r>
        <w:fldChar w:fldCharType="begin"/>
      </w:r>
      <w:r>
        <w:instrText xml:space="preserve"> PAGEREF _Toc419465335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Role of Environmental Protection Authority in respect of master plans, etc.</w:t>
      </w:r>
    </w:p>
    <w:p>
      <w:pPr>
        <w:pStyle w:val="TOC8"/>
        <w:rPr>
          <w:rFonts w:asciiTheme="minorHAnsi" w:eastAsiaTheme="minorEastAsia" w:hAnsiTheme="minorHAnsi" w:cstheme="minorBidi"/>
          <w:szCs w:val="22"/>
        </w:rPr>
      </w:pPr>
      <w:r>
        <w:t>18.</w:t>
      </w:r>
      <w:r>
        <w:tab/>
        <w:t>Reference of proposed master plans, and proposed amendments to master plans, to EPA</w:t>
      </w:r>
      <w:r>
        <w:tab/>
      </w:r>
      <w:r>
        <w:fldChar w:fldCharType="begin"/>
      </w:r>
      <w:r>
        <w:instrText xml:space="preserve"> PAGEREF _Toc419465337 \h </w:instrText>
      </w:r>
      <w:r>
        <w:fldChar w:fldCharType="separate"/>
      </w:r>
      <w:r>
        <w:t>12</w:t>
      </w:r>
      <w:r>
        <w:fldChar w:fldCharType="end"/>
      </w:r>
    </w:p>
    <w:p>
      <w:pPr>
        <w:pStyle w:val="TOC8"/>
        <w:rPr>
          <w:rFonts w:asciiTheme="minorHAnsi" w:eastAsiaTheme="minorEastAsia" w:hAnsiTheme="minorHAnsi" w:cstheme="minorBidi"/>
          <w:szCs w:val="22"/>
        </w:rPr>
      </w:pPr>
      <w:r>
        <w:t>19.</w:t>
      </w:r>
      <w:r>
        <w:tab/>
        <w:t>Environmental review of proposed master plans, and proposed amendments to master plans, to be undertaken</w:t>
      </w:r>
      <w:r>
        <w:tab/>
      </w:r>
      <w:r>
        <w:fldChar w:fldCharType="begin"/>
      </w:r>
      <w:r>
        <w:instrText xml:space="preserve"> PAGEREF _Toc419465338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Authority’s duties as to environmental issues</w:t>
      </w:r>
      <w:r>
        <w:tab/>
      </w:r>
      <w:r>
        <w:fldChar w:fldCharType="begin"/>
      </w:r>
      <w:r>
        <w:instrText xml:space="preserve"> PAGEREF _Toc419465339 \h </w:instrText>
      </w:r>
      <w:r>
        <w:fldChar w:fldCharType="separate"/>
      </w:r>
      <w:r>
        <w:t>13</w:t>
      </w:r>
      <w:r>
        <w:fldChar w:fldCharType="end"/>
      </w:r>
    </w:p>
    <w:p>
      <w:pPr>
        <w:pStyle w:val="TOC8"/>
        <w:rPr>
          <w:rFonts w:asciiTheme="minorHAnsi" w:eastAsiaTheme="minorEastAsia" w:hAnsiTheme="minorHAnsi" w:cstheme="minorBidi"/>
          <w:szCs w:val="22"/>
        </w:rPr>
      </w:pPr>
      <w:r>
        <w:t>21.</w:t>
      </w:r>
      <w:r>
        <w:tab/>
        <w:t>Approval by Minister of proposed master plans and proposed amendments to master plans</w:t>
      </w:r>
      <w:r>
        <w:tab/>
      </w:r>
      <w:r>
        <w:fldChar w:fldCharType="begin"/>
      </w:r>
      <w:r>
        <w:instrText xml:space="preserve"> PAGEREF _Toc419465340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Effect of master plan</w:t>
      </w:r>
    </w:p>
    <w:p>
      <w:pPr>
        <w:pStyle w:val="TOC8"/>
        <w:rPr>
          <w:rFonts w:asciiTheme="minorHAnsi" w:eastAsiaTheme="minorEastAsia" w:hAnsiTheme="minorHAnsi" w:cstheme="minorBidi"/>
          <w:szCs w:val="22"/>
        </w:rPr>
      </w:pPr>
      <w:r>
        <w:t>22A.</w:t>
      </w:r>
      <w:r>
        <w:tab/>
        <w:t>Master plan’s effect</w:t>
      </w:r>
      <w:r>
        <w:tab/>
      </w:r>
      <w:r>
        <w:fldChar w:fldCharType="begin"/>
      </w:r>
      <w:r>
        <w:instrText xml:space="preserve"> PAGEREF _Toc419465342 \h </w:instrText>
      </w:r>
      <w:r>
        <w:fldChar w:fldCharType="separate"/>
      </w:r>
      <w:r>
        <w:t>15</w:t>
      </w:r>
      <w:r>
        <w:fldChar w:fldCharType="end"/>
      </w:r>
    </w:p>
    <w:p>
      <w:pPr>
        <w:pStyle w:val="TOC8"/>
        <w:rPr>
          <w:rFonts w:asciiTheme="minorHAnsi" w:eastAsiaTheme="minorEastAsia" w:hAnsiTheme="minorHAnsi" w:cstheme="minorBidi"/>
          <w:szCs w:val="22"/>
        </w:rPr>
      </w:pPr>
      <w:r>
        <w:t>22B.</w:t>
      </w:r>
      <w:r>
        <w:tab/>
        <w:t>Contravening a master plan</w:t>
      </w:r>
      <w:r>
        <w:tab/>
      </w:r>
      <w:r>
        <w:fldChar w:fldCharType="begin"/>
      </w:r>
      <w:r>
        <w:instrText xml:space="preserve"> PAGEREF _Toc419465343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control</w:t>
      </w:r>
    </w:p>
    <w:p>
      <w:pPr>
        <w:pStyle w:val="TOC8"/>
        <w:rPr>
          <w:rFonts w:asciiTheme="minorHAnsi" w:eastAsiaTheme="minorEastAsia" w:hAnsiTheme="minorHAnsi" w:cstheme="minorBidi"/>
          <w:szCs w:val="22"/>
        </w:rPr>
      </w:pPr>
      <w:r>
        <w:t>22.</w:t>
      </w:r>
      <w:r>
        <w:tab/>
        <w:t>Crown bound</w:t>
      </w:r>
      <w:r>
        <w:tab/>
      </w:r>
      <w:r>
        <w:fldChar w:fldCharType="begin"/>
      </w:r>
      <w:r>
        <w:instrText xml:space="preserve"> PAGEREF _Toc419465345 \h </w:instrText>
      </w:r>
      <w:r>
        <w:fldChar w:fldCharType="separate"/>
      </w:r>
      <w:r>
        <w:t>16</w:t>
      </w:r>
      <w:r>
        <w:fldChar w:fldCharType="end"/>
      </w:r>
    </w:p>
    <w:p>
      <w:pPr>
        <w:pStyle w:val="TOC8"/>
        <w:rPr>
          <w:rFonts w:asciiTheme="minorHAnsi" w:eastAsiaTheme="minorEastAsia" w:hAnsiTheme="minorHAnsi" w:cstheme="minorBidi"/>
          <w:szCs w:val="22"/>
        </w:rPr>
      </w:pPr>
      <w:r>
        <w:t>23.</w:t>
      </w:r>
      <w:r>
        <w:tab/>
        <w:t>Certain planning schemes cease to apply</w:t>
      </w:r>
      <w:r>
        <w:tab/>
      </w:r>
      <w:r>
        <w:fldChar w:fldCharType="begin"/>
      </w:r>
      <w:r>
        <w:instrText xml:space="preserve"> PAGEREF _Toc419465346 \h </w:instrText>
      </w:r>
      <w:r>
        <w:fldChar w:fldCharType="separate"/>
      </w:r>
      <w:r>
        <w:t>16</w:t>
      </w:r>
      <w:r>
        <w:fldChar w:fldCharType="end"/>
      </w:r>
    </w:p>
    <w:p>
      <w:pPr>
        <w:pStyle w:val="TOC8"/>
        <w:rPr>
          <w:rFonts w:asciiTheme="minorHAnsi" w:eastAsiaTheme="minorEastAsia" w:hAnsiTheme="minorHAnsi" w:cstheme="minorBidi"/>
          <w:szCs w:val="22"/>
        </w:rPr>
      </w:pPr>
      <w:r>
        <w:t>24.</w:t>
      </w:r>
      <w:r>
        <w:tab/>
        <w:t>Saving</w:t>
      </w:r>
      <w:r>
        <w:tab/>
      </w:r>
      <w:r>
        <w:fldChar w:fldCharType="begin"/>
      </w:r>
      <w:r>
        <w:instrText xml:space="preserve"> PAGEREF _Toc419465347 \h </w:instrText>
      </w:r>
      <w:r>
        <w:fldChar w:fldCharType="separate"/>
      </w:r>
      <w:r>
        <w:t>16</w:t>
      </w:r>
      <w:r>
        <w:fldChar w:fldCharType="end"/>
      </w:r>
    </w:p>
    <w:p>
      <w:pPr>
        <w:pStyle w:val="TOC8"/>
        <w:rPr>
          <w:rFonts w:asciiTheme="minorHAnsi" w:eastAsiaTheme="minorEastAsia" w:hAnsiTheme="minorHAnsi" w:cstheme="minorBidi"/>
          <w:szCs w:val="22"/>
        </w:rPr>
      </w:pPr>
      <w:r>
        <w:t>25.</w:t>
      </w:r>
      <w:r>
        <w:tab/>
        <w:t>No development to be undertaken without approval</w:t>
      </w:r>
      <w:r>
        <w:tab/>
      </w:r>
      <w:r>
        <w:fldChar w:fldCharType="begin"/>
      </w:r>
      <w:r>
        <w:instrText xml:space="preserve"> PAGEREF _Toc419465348 \h </w:instrText>
      </w:r>
      <w:r>
        <w:fldChar w:fldCharType="separate"/>
      </w:r>
      <w:r>
        <w:t>17</w:t>
      </w:r>
      <w:r>
        <w:fldChar w:fldCharType="end"/>
      </w:r>
    </w:p>
    <w:p>
      <w:pPr>
        <w:pStyle w:val="TOC8"/>
        <w:rPr>
          <w:rFonts w:asciiTheme="minorHAnsi" w:eastAsiaTheme="minorEastAsia" w:hAnsiTheme="minorHAnsi" w:cstheme="minorBidi"/>
          <w:szCs w:val="22"/>
        </w:rPr>
      </w:pPr>
      <w:r>
        <w:t>26.</w:t>
      </w:r>
      <w:r>
        <w:tab/>
        <w:t>Applying for development approval</w:t>
      </w:r>
      <w:r>
        <w:tab/>
      </w:r>
      <w:r>
        <w:fldChar w:fldCharType="begin"/>
      </w:r>
      <w:r>
        <w:instrText xml:space="preserve"> PAGEREF _Toc419465349 \h </w:instrText>
      </w:r>
      <w:r>
        <w:fldChar w:fldCharType="separate"/>
      </w:r>
      <w:r>
        <w:t>17</w:t>
      </w:r>
      <w:r>
        <w:fldChar w:fldCharType="end"/>
      </w:r>
    </w:p>
    <w:p>
      <w:pPr>
        <w:pStyle w:val="TOC8"/>
        <w:rPr>
          <w:rFonts w:asciiTheme="minorHAnsi" w:eastAsiaTheme="minorEastAsia" w:hAnsiTheme="minorHAnsi" w:cstheme="minorBidi"/>
          <w:szCs w:val="22"/>
        </w:rPr>
      </w:pPr>
      <w:r>
        <w:t>27.</w:t>
      </w:r>
      <w:r>
        <w:tab/>
        <w:t>Consultation with public authorities</w:t>
      </w:r>
      <w:r>
        <w:tab/>
      </w:r>
      <w:r>
        <w:fldChar w:fldCharType="begin"/>
      </w:r>
      <w:r>
        <w:instrText xml:space="preserve"> PAGEREF _Toc419465350 \h </w:instrText>
      </w:r>
      <w:r>
        <w:fldChar w:fldCharType="separate"/>
      </w:r>
      <w:r>
        <w:t>18</w:t>
      </w:r>
      <w:r>
        <w:fldChar w:fldCharType="end"/>
      </w:r>
    </w:p>
    <w:p>
      <w:pPr>
        <w:pStyle w:val="TOC8"/>
        <w:rPr>
          <w:rFonts w:asciiTheme="minorHAnsi" w:eastAsiaTheme="minorEastAsia" w:hAnsiTheme="minorHAnsi" w:cstheme="minorBidi"/>
          <w:szCs w:val="22"/>
        </w:rPr>
      </w:pPr>
      <w:r>
        <w:t>28.</w:t>
      </w:r>
      <w:r>
        <w:tab/>
        <w:t>Commission’s decision as to proposed development</w:t>
      </w:r>
      <w:r>
        <w:tab/>
      </w:r>
      <w:r>
        <w:fldChar w:fldCharType="begin"/>
      </w:r>
      <w:r>
        <w:instrText xml:space="preserve"> PAGEREF _Toc419465351 \h </w:instrText>
      </w:r>
      <w:r>
        <w:fldChar w:fldCharType="separate"/>
      </w:r>
      <w:r>
        <w:t>18</w:t>
      </w:r>
      <w:r>
        <w:fldChar w:fldCharType="end"/>
      </w:r>
    </w:p>
    <w:p>
      <w:pPr>
        <w:pStyle w:val="TOC8"/>
        <w:rPr>
          <w:rFonts w:asciiTheme="minorHAnsi" w:eastAsiaTheme="minorEastAsia" w:hAnsiTheme="minorHAnsi" w:cstheme="minorBidi"/>
          <w:szCs w:val="22"/>
        </w:rPr>
      </w:pPr>
      <w:r>
        <w:t>29.</w:t>
      </w:r>
      <w:r>
        <w:tab/>
        <w:t>Review by SAT of s. 28 decisions</w:t>
      </w:r>
      <w:r>
        <w:tab/>
      </w:r>
      <w:r>
        <w:fldChar w:fldCharType="begin"/>
      </w:r>
      <w:r>
        <w:instrText xml:space="preserve"> PAGEREF _Toc419465352 \h </w:instrText>
      </w:r>
      <w:r>
        <w:fldChar w:fldCharType="separate"/>
      </w:r>
      <w:r>
        <w:t>19</w:t>
      </w:r>
      <w:r>
        <w:fldChar w:fldCharType="end"/>
      </w:r>
    </w:p>
    <w:p>
      <w:pPr>
        <w:pStyle w:val="TOC8"/>
        <w:rPr>
          <w:rFonts w:asciiTheme="minorHAnsi" w:eastAsiaTheme="minorEastAsia" w:hAnsiTheme="minorHAnsi" w:cstheme="minorBidi"/>
          <w:szCs w:val="22"/>
        </w:rPr>
      </w:pPr>
      <w:r>
        <w:t>30.</w:t>
      </w:r>
      <w:r>
        <w:tab/>
        <w:t>Liability of officers for offence committed by body corporate</w:t>
      </w:r>
      <w:r>
        <w:tab/>
      </w:r>
      <w:r>
        <w:fldChar w:fldCharType="begin"/>
      </w:r>
      <w:r>
        <w:instrText xml:space="preserve"> PAGEREF _Toc419465353 \h </w:instrText>
      </w:r>
      <w:r>
        <w:fldChar w:fldCharType="separate"/>
      </w:r>
      <w:r>
        <w:t>19</w:t>
      </w:r>
      <w:r>
        <w:fldChar w:fldCharType="end"/>
      </w:r>
    </w:p>
    <w:p>
      <w:pPr>
        <w:pStyle w:val="TOC8"/>
        <w:rPr>
          <w:rFonts w:asciiTheme="minorHAnsi" w:eastAsiaTheme="minorEastAsia" w:hAnsiTheme="minorHAnsi" w:cstheme="minorBidi"/>
          <w:szCs w:val="22"/>
        </w:rPr>
      </w:pPr>
      <w:r>
        <w:t>31.</w:t>
      </w:r>
      <w:r>
        <w:tab/>
        <w:t>Unlawful development</w:t>
      </w:r>
      <w:r>
        <w:tab/>
      </w:r>
      <w:r>
        <w:fldChar w:fldCharType="begin"/>
      </w:r>
      <w:r>
        <w:instrText xml:space="preserve"> PAGEREF _Toc419465354 \h </w:instrText>
      </w:r>
      <w:r>
        <w:fldChar w:fldCharType="separate"/>
      </w:r>
      <w:r>
        <w:t>20</w:t>
      </w:r>
      <w:r>
        <w:fldChar w:fldCharType="end"/>
      </w:r>
    </w:p>
    <w:p>
      <w:pPr>
        <w:pStyle w:val="TOC8"/>
        <w:rPr>
          <w:rFonts w:asciiTheme="minorHAnsi" w:eastAsiaTheme="minorEastAsia" w:hAnsiTheme="minorHAnsi" w:cstheme="minorBidi"/>
          <w:szCs w:val="22"/>
        </w:rPr>
      </w:pPr>
      <w:r>
        <w:t>32.</w:t>
      </w:r>
      <w:r>
        <w:tab/>
        <w:t>Minister’s powers to ensure environmental conditions are met</w:t>
      </w:r>
      <w:r>
        <w:tab/>
      </w:r>
      <w:r>
        <w:fldChar w:fldCharType="begin"/>
      </w:r>
      <w:r>
        <w:instrText xml:space="preserve"> PAGEREF _Toc419465355 \h </w:instrText>
      </w:r>
      <w:r>
        <w:fldChar w:fldCharType="separate"/>
      </w:r>
      <w:r>
        <w:t>21</w:t>
      </w:r>
      <w:r>
        <w:fldChar w:fldCharType="end"/>
      </w:r>
    </w:p>
    <w:p>
      <w:pPr>
        <w:pStyle w:val="TOC8"/>
        <w:rPr>
          <w:rFonts w:asciiTheme="minorHAnsi" w:eastAsiaTheme="minorEastAsia" w:hAnsiTheme="minorHAnsi" w:cstheme="minorBidi"/>
          <w:szCs w:val="22"/>
        </w:rPr>
      </w:pPr>
      <w:r>
        <w:t>33.</w:t>
      </w:r>
      <w:r>
        <w:tab/>
        <w:t>Compensation for injurious affection etc.</w:t>
      </w:r>
      <w:r>
        <w:tab/>
      </w:r>
      <w:r>
        <w:fldChar w:fldCharType="begin"/>
      </w:r>
      <w:r>
        <w:instrText xml:space="preserve"> PAGEREF _Toc419465356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34.</w:t>
      </w:r>
      <w:r>
        <w:tab/>
        <w:t>Modification of other laws</w:t>
      </w:r>
      <w:r>
        <w:tab/>
      </w:r>
      <w:r>
        <w:fldChar w:fldCharType="begin"/>
      </w:r>
      <w:r>
        <w:instrText xml:space="preserve"> PAGEREF _Toc419465358 \h </w:instrText>
      </w:r>
      <w:r>
        <w:fldChar w:fldCharType="separate"/>
      </w:r>
      <w:r>
        <w:t>25</w:t>
      </w:r>
      <w:r>
        <w:fldChar w:fldCharType="end"/>
      </w:r>
    </w:p>
    <w:p>
      <w:pPr>
        <w:pStyle w:val="TOC8"/>
        <w:rPr>
          <w:rFonts w:asciiTheme="minorHAnsi" w:eastAsiaTheme="minorEastAsia" w:hAnsiTheme="minorHAnsi" w:cstheme="minorBidi"/>
          <w:szCs w:val="22"/>
        </w:rPr>
      </w:pPr>
      <w:r>
        <w:t>35.</w:t>
      </w:r>
      <w:r>
        <w:tab/>
        <w:t>Regulations</w:t>
      </w:r>
      <w:r>
        <w:tab/>
      </w:r>
      <w:r>
        <w:fldChar w:fldCharType="begin"/>
      </w:r>
      <w:r>
        <w:instrText xml:space="preserve"> PAGEREF _Toc419465359 \h </w:instrText>
      </w:r>
      <w:r>
        <w:fldChar w:fldCharType="separate"/>
      </w:r>
      <w:r>
        <w:t>26</w:t>
      </w:r>
      <w:r>
        <w:fldChar w:fldCharType="end"/>
      </w:r>
    </w:p>
    <w:p>
      <w:pPr>
        <w:pStyle w:val="TOC8"/>
        <w:rPr>
          <w:rFonts w:asciiTheme="minorHAnsi" w:eastAsiaTheme="minorEastAsia" w:hAnsiTheme="minorHAnsi" w:cstheme="minorBidi"/>
          <w:szCs w:val="22"/>
        </w:rPr>
      </w:pPr>
      <w:r>
        <w:t>36.</w:t>
      </w:r>
      <w:r>
        <w:tab/>
        <w:t>Review of Act</w:t>
      </w:r>
      <w:r>
        <w:tab/>
      </w:r>
      <w:r>
        <w:fldChar w:fldCharType="begin"/>
      </w:r>
      <w:r>
        <w:instrText xml:space="preserve"> PAGEREF _Toc419465360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37.</w:t>
      </w:r>
      <w:r>
        <w:tab/>
        <w:t xml:space="preserve">Effect of master plan and validity of things done under it before commencement of </w:t>
      </w:r>
      <w:r>
        <w:rPr>
          <w:i/>
        </w:rPr>
        <w:t>Hope Valley-Wattleup Redevelopment Amendment Act 2011</w:t>
      </w:r>
      <w:r>
        <w:tab/>
      </w:r>
      <w:r>
        <w:fldChar w:fldCharType="begin"/>
      </w:r>
      <w:r>
        <w:instrText xml:space="preserve"> PAGEREF _Toc419465362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Redevelopment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_Toc419465365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3" w:name="_Toc378771348"/>
      <w:bookmarkStart w:id="4" w:name="_Toc41946531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78771349"/>
      <w:bookmarkStart w:id="6" w:name="_Toc41946531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Ednotesection"/>
      </w:pPr>
      <w:r>
        <w:t>[</w:t>
      </w:r>
      <w:r>
        <w:rPr>
          <w:b/>
        </w:rPr>
        <w:t>2.</w:t>
      </w:r>
      <w:r>
        <w:tab/>
        <w:t>Deleted: No. 8 of 2011 s. 4.]</w:t>
      </w:r>
    </w:p>
    <w:p>
      <w:pPr>
        <w:pStyle w:val="Heading5"/>
      </w:pPr>
      <w:bookmarkStart w:id="7" w:name="_Toc378771350"/>
      <w:bookmarkStart w:id="8" w:name="_Toc419465316"/>
      <w:r>
        <w:rPr>
          <w:rStyle w:val="CharSectno"/>
        </w:rPr>
        <w:t>3</w:t>
      </w:r>
      <w:r>
        <w:t>.</w:t>
      </w:r>
      <w:r>
        <w:tab/>
        <w:t>Terms used</w:t>
      </w:r>
      <w:bookmarkEnd w:id="7"/>
      <w:bookmarkEnd w:id="8"/>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start"/>
      </w:pPr>
      <w:r>
        <w:tab/>
      </w:r>
      <w:r>
        <w:rPr>
          <w:rStyle w:val="CharDefText"/>
        </w:rPr>
        <w:t>commencement of this Act</w:t>
      </w:r>
      <w:r>
        <w:t xml:space="preserve"> means the day fixed by proclamation under section 2(1)</w:t>
      </w:r>
      <w:r>
        <w:rPr>
          <w:vertAlign w:val="superscript"/>
        </w:rPr>
        <w:t> 2</w:t>
      </w:r>
      <w:r>
        <w:t>;</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Ednotesubsection"/>
      </w:pPr>
      <w:r>
        <w:tab/>
        <w:t>[(2)</w:t>
      </w:r>
      <w:r>
        <w:tab/>
        <w:t>deleted]</w:t>
      </w:r>
    </w:p>
    <w:p>
      <w:pPr>
        <w:pStyle w:val="Footnotesection"/>
      </w:pPr>
      <w:r>
        <w:tab/>
        <w:t>[Section 3 amended: No. 38 of 2005 s. 15; No. 8 of 2011 s. 5.]</w:t>
      </w:r>
    </w:p>
    <w:p>
      <w:pPr>
        <w:pStyle w:val="Heading5"/>
      </w:pPr>
      <w:bookmarkStart w:id="9" w:name="_Toc378771351"/>
      <w:bookmarkStart w:id="10" w:name="_Toc419465317"/>
      <w:r>
        <w:rPr>
          <w:rStyle w:val="CharSectno"/>
        </w:rPr>
        <w:t>4</w:t>
      </w:r>
      <w:r>
        <w:t>.</w:t>
      </w:r>
      <w:r>
        <w:tab/>
        <w:t>Redevelopment area defined (Sch. 1)</w:t>
      </w:r>
      <w:bookmarkEnd w:id="9"/>
      <w:bookmarkEnd w:id="10"/>
    </w:p>
    <w:p>
      <w:pPr>
        <w:pStyle w:val="Subsection"/>
      </w:pPr>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11" w:name="_Toc378771352"/>
      <w:bookmarkStart w:id="12" w:name="_Toc419465318"/>
      <w:r>
        <w:rPr>
          <w:rStyle w:val="CharPartNo"/>
        </w:rPr>
        <w:t>Part 2</w:t>
      </w:r>
      <w:r>
        <w:rPr>
          <w:rStyle w:val="CharDivNo"/>
        </w:rPr>
        <w:t xml:space="preserve"> </w:t>
      </w:r>
      <w:r>
        <w:t>—</w:t>
      </w:r>
      <w:r>
        <w:rPr>
          <w:rStyle w:val="CharDivText"/>
        </w:rPr>
        <w:t xml:space="preserve"> </w:t>
      </w:r>
      <w:r>
        <w:rPr>
          <w:rStyle w:val="CharPartText"/>
        </w:rPr>
        <w:t>Functions</w:t>
      </w:r>
      <w:bookmarkEnd w:id="11"/>
      <w:bookmarkEnd w:id="12"/>
    </w:p>
    <w:p>
      <w:pPr>
        <w:pStyle w:val="Heading5"/>
      </w:pPr>
      <w:bookmarkStart w:id="13" w:name="_Toc378771353"/>
      <w:bookmarkStart w:id="14" w:name="_Toc419465319"/>
      <w:r>
        <w:rPr>
          <w:rStyle w:val="CharSectno"/>
        </w:rPr>
        <w:t>5</w:t>
      </w:r>
      <w:r>
        <w:t>.</w:t>
      </w:r>
      <w:r>
        <w:tab/>
        <w:t>Functions of Authority under this Act</w:t>
      </w:r>
      <w:bookmarkEnd w:id="13"/>
      <w:bookmarkEnd w:id="14"/>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for the purpose of performing a function conferred on it under this Act.</w:t>
      </w:r>
    </w:p>
    <w:p>
      <w:pPr>
        <w:pStyle w:val="Heading5"/>
      </w:pPr>
      <w:bookmarkStart w:id="15" w:name="_Toc378771354"/>
      <w:bookmarkStart w:id="16" w:name="_Toc419465320"/>
      <w:r>
        <w:rPr>
          <w:rStyle w:val="CharSectno"/>
        </w:rPr>
        <w:t>6</w:t>
      </w:r>
      <w:r>
        <w:t>.</w:t>
      </w:r>
      <w:r>
        <w:tab/>
        <w:t>Compulsory taking of land</w:t>
      </w:r>
      <w:bookmarkEnd w:id="15"/>
      <w:bookmarkEnd w:id="16"/>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17" w:name="_Toc378771355"/>
      <w:bookmarkStart w:id="18" w:name="_Toc419465321"/>
      <w:r>
        <w:rPr>
          <w:rStyle w:val="CharSectno"/>
        </w:rPr>
        <w:t>7</w:t>
      </w:r>
      <w:r>
        <w:t>.</w:t>
      </w:r>
      <w:r>
        <w:tab/>
        <w:t>Power of Governor to direct transfer to Authority</w:t>
      </w:r>
      <w:bookmarkEnd w:id="17"/>
      <w:bookmarkEnd w:id="18"/>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9" w:name="_Toc378771356"/>
      <w:bookmarkStart w:id="20" w:name="_Toc419465322"/>
      <w:r>
        <w:rPr>
          <w:rStyle w:val="CharSectno"/>
        </w:rPr>
        <w:t>8</w:t>
      </w:r>
      <w:r>
        <w:t>.</w:t>
      </w:r>
      <w:r>
        <w:tab/>
        <w:t>Temporary closure of streets</w:t>
      </w:r>
      <w:bookmarkEnd w:id="19"/>
      <w:bookmarkEnd w:id="20"/>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Commission has given at least 14 days’ notice of the closure to the chief executive officers of the City of </w:t>
      </w:r>
      <w:smartTag w:uri="urn:schemas-microsoft-com:office:smarttags" w:element="City">
        <w:smartTag w:uri="urn:schemas-microsoft-com:office:smarttags" w:element="country-region">
          <w:r>
            <w:t>Cockburn</w:t>
          </w:r>
        </w:smartTag>
      </w:smartTag>
      <w:r>
        <w:t xml:space="preserve"> or the Town of </w:t>
      </w:r>
      <w:smartTag w:uri="urn:schemas-microsoft-com:office:smarttags" w:element="place">
        <w:smartTag w:uri="urn:schemas-microsoft-com:office:smarttags" w:element="City">
          <w:smartTag w:uri="urn:schemas-microsoft-com:office:smarttags" w:element="country-region">
            <w:r>
              <w:t>Kwinana</w:t>
            </w:r>
          </w:smartTag>
        </w:smartTag>
      </w:smartTag>
      <w:r>
        <w:t>,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No. 38 of 2005 s. 15.]</w:t>
      </w:r>
    </w:p>
    <w:p>
      <w:pPr>
        <w:pStyle w:val="Heading5"/>
      </w:pPr>
      <w:bookmarkStart w:id="21" w:name="_Toc378771357"/>
      <w:bookmarkStart w:id="22" w:name="_Toc419465323"/>
      <w:r>
        <w:rPr>
          <w:rStyle w:val="CharSectno"/>
        </w:rPr>
        <w:t>9</w:t>
      </w:r>
      <w:r>
        <w:t>.</w:t>
      </w:r>
      <w:r>
        <w:tab/>
        <w:t>Permanent closure of streets</w:t>
      </w:r>
      <w:bookmarkEnd w:id="21"/>
      <w:bookmarkEnd w:id="22"/>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i/>
        </w:rPr>
        <w:t>local government</w:t>
      </w:r>
      <w:r>
        <w:t xml:space="preserve"> in that section and in those regulations —</w:t>
      </w:r>
    </w:p>
    <w:p>
      <w:pPr>
        <w:pStyle w:val="Indenta"/>
      </w:pPr>
      <w:r>
        <w:tab/>
        <w:t>(a)</w:t>
      </w:r>
      <w:r>
        <w:tab/>
        <w:t>includes the Commission; and</w:t>
      </w:r>
    </w:p>
    <w:p>
      <w:pPr>
        <w:pStyle w:val="Indenta"/>
      </w:pPr>
      <w:r>
        <w:tab/>
        <w:t>(b)</w:t>
      </w:r>
      <w:r>
        <w:tab/>
        <w:t xml:space="preserve">does not include the City of </w:t>
      </w:r>
      <w:smartTag w:uri="urn:schemas-microsoft-com:office:smarttags" w:element="City">
        <w:smartTag w:uri="urn:schemas-microsoft-com:office:smarttags" w:element="country-region">
          <w:r>
            <w:t>Cockburn</w:t>
          </w:r>
        </w:smartTag>
      </w:smartTag>
      <w:r>
        <w:t xml:space="preserve"> or the Town of </w:t>
      </w:r>
      <w:smartTag w:uri="urn:schemas-microsoft-com:office:smarttags" w:element="place">
        <w:smartTag w:uri="urn:schemas-microsoft-com:office:smarttags" w:element="City">
          <w:smartTag w:uri="urn:schemas-microsoft-com:office:smarttags" w:element="country-region">
            <w:r>
              <w:t>Kwinana</w:t>
            </w:r>
          </w:smartTag>
        </w:smartTag>
      </w:smartTag>
      <w:r>
        <w:t>, or both, as is relevant,</w:t>
      </w:r>
    </w:p>
    <w:p>
      <w:pPr>
        <w:pStyle w:val="Subsection"/>
      </w:pPr>
      <w:r>
        <w:tab/>
      </w:r>
      <w:r>
        <w:tab/>
        <w:t>in relation to any such street.</w:t>
      </w:r>
    </w:p>
    <w:p>
      <w:pPr>
        <w:pStyle w:val="Heading2"/>
      </w:pPr>
      <w:bookmarkStart w:id="23" w:name="_Toc378771358"/>
      <w:bookmarkStart w:id="24" w:name="_Toc419465324"/>
      <w:r>
        <w:rPr>
          <w:rStyle w:val="CharPartNo"/>
        </w:rPr>
        <w:t>Part 3</w:t>
      </w:r>
      <w:r>
        <w:t xml:space="preserve"> — </w:t>
      </w:r>
      <w:r>
        <w:rPr>
          <w:rStyle w:val="CharPartText"/>
        </w:rPr>
        <w:t>Master plan</w:t>
      </w:r>
      <w:bookmarkEnd w:id="23"/>
      <w:bookmarkEnd w:id="24"/>
    </w:p>
    <w:p>
      <w:pPr>
        <w:pStyle w:val="Heading3"/>
      </w:pPr>
      <w:bookmarkStart w:id="25" w:name="_Toc378771359"/>
      <w:bookmarkStart w:id="26" w:name="_Toc419465325"/>
      <w:r>
        <w:rPr>
          <w:rStyle w:val="CharDivNo"/>
        </w:rPr>
        <w:t>Division 1</w:t>
      </w:r>
      <w:r>
        <w:t xml:space="preserve"> — </w:t>
      </w:r>
      <w:r>
        <w:rPr>
          <w:rStyle w:val="CharDivText"/>
        </w:rPr>
        <w:t>General</w:t>
      </w:r>
      <w:bookmarkEnd w:id="25"/>
      <w:bookmarkEnd w:id="26"/>
    </w:p>
    <w:p>
      <w:pPr>
        <w:pStyle w:val="Heading5"/>
      </w:pPr>
      <w:bookmarkStart w:id="27" w:name="_Toc378771360"/>
      <w:bookmarkStart w:id="28" w:name="_Toc419465326"/>
      <w:r>
        <w:rPr>
          <w:rStyle w:val="CharSectno"/>
        </w:rPr>
        <w:t>10</w:t>
      </w:r>
      <w:r>
        <w:t>.</w:t>
      </w:r>
      <w:r>
        <w:tab/>
        <w:t>Authority to comply with master plan</w:t>
      </w:r>
      <w:bookmarkEnd w:id="27"/>
      <w:bookmarkEnd w:id="28"/>
    </w:p>
    <w:p>
      <w:pPr>
        <w:pStyle w:val="Subsection"/>
      </w:pPr>
      <w:r>
        <w:tab/>
        <w:t>(1)</w:t>
      </w:r>
      <w:r>
        <w:tab/>
        <w:t>The Authority must perform its functions under this Act in accordance with any master plan.</w:t>
      </w:r>
    </w:p>
    <w:p>
      <w:pPr>
        <w:pStyle w:val="Subsection"/>
      </w:pPr>
      <w:r>
        <w:tab/>
        <w:t>(2)</w:t>
      </w:r>
      <w:r>
        <w:tab/>
        <w:t>A copy of the master plan is to be kept in the offices of the Authority and is to be available for inspection by the public during office hours free of charge.</w:t>
      </w:r>
    </w:p>
    <w:p>
      <w:pPr>
        <w:pStyle w:val="Footnotesection"/>
      </w:pPr>
      <w:r>
        <w:tab/>
        <w:t>[Section 10 amended: No. 8 of 2011 s. 6.]</w:t>
      </w:r>
    </w:p>
    <w:p>
      <w:pPr>
        <w:pStyle w:val="Heading3"/>
      </w:pPr>
      <w:bookmarkStart w:id="29" w:name="_Toc378771361"/>
      <w:bookmarkStart w:id="30" w:name="_Toc419465327"/>
      <w:r>
        <w:rPr>
          <w:rStyle w:val="CharDivNo"/>
        </w:rPr>
        <w:t>Division 2</w:t>
      </w:r>
      <w:r>
        <w:t xml:space="preserve"> — </w:t>
      </w:r>
      <w:r>
        <w:rPr>
          <w:rStyle w:val="CharDivText"/>
        </w:rPr>
        <w:t>Preparation and approval of master plan</w:t>
      </w:r>
      <w:bookmarkEnd w:id="29"/>
      <w:bookmarkEnd w:id="30"/>
    </w:p>
    <w:p>
      <w:pPr>
        <w:pStyle w:val="Heading5"/>
      </w:pPr>
      <w:bookmarkStart w:id="31" w:name="_Toc378771362"/>
      <w:bookmarkStart w:id="32" w:name="_Toc419465328"/>
      <w:r>
        <w:rPr>
          <w:rStyle w:val="CharSectno"/>
        </w:rPr>
        <w:t>11</w:t>
      </w:r>
      <w:r>
        <w:t>.</w:t>
      </w:r>
      <w:r>
        <w:tab/>
        <w:t>Contents of master plan</w:t>
      </w:r>
      <w:bookmarkEnd w:id="31"/>
      <w:bookmarkEnd w:id="32"/>
      <w:r>
        <w:t xml:space="preserve"> </w:t>
      </w:r>
    </w:p>
    <w:p>
      <w:pPr>
        <w:pStyle w:val="Subsection"/>
      </w:pPr>
      <w:r>
        <w:tab/>
        <w:t>(1)</w:t>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Subsection"/>
      </w:pPr>
      <w:r>
        <w:tab/>
        <w:t>(2)</w:t>
      </w:r>
      <w:r>
        <w:tab/>
        <w:t>A master plan must not be inconsistent with any regulations made under this Act.</w:t>
      </w:r>
    </w:p>
    <w:p>
      <w:pPr>
        <w:pStyle w:val="Subsection"/>
      </w:pPr>
      <w:r>
        <w:tab/>
        <w:t>(3)</w:t>
      </w:r>
      <w:r>
        <w:tab/>
        <w:t>If a provision in a master plan is inconsistent with regulations made under this Act, the provision is void to the extent of the inconsistency.</w:t>
      </w:r>
    </w:p>
    <w:p>
      <w:pPr>
        <w:pStyle w:val="Footnotesection"/>
      </w:pPr>
      <w:r>
        <w:tab/>
        <w:t>[Section 11 amended: No. 38 of 2005 s. 15; No. 8 of 2011 s. 7.]</w:t>
      </w:r>
    </w:p>
    <w:p>
      <w:pPr>
        <w:pStyle w:val="Heading5"/>
      </w:pPr>
      <w:bookmarkStart w:id="33" w:name="_Toc378771363"/>
      <w:bookmarkStart w:id="34" w:name="_Toc419465329"/>
      <w:r>
        <w:rPr>
          <w:rStyle w:val="CharSectno"/>
        </w:rPr>
        <w:t>12</w:t>
      </w:r>
      <w:r>
        <w:t>.</w:t>
      </w:r>
      <w:r>
        <w:tab/>
        <w:t>Submission of proposed master plan to Commission</w:t>
      </w:r>
      <w:bookmarkEnd w:id="33"/>
      <w:bookmarkEnd w:id="34"/>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 xml:space="preserve">after consultation with the City of </w:t>
      </w:r>
      <w:smartTag w:uri="urn:schemas-microsoft-com:office:smarttags" w:element="City">
        <w:smartTag w:uri="urn:schemas-microsoft-com:office:smarttags" w:element="country-region">
          <w:r>
            <w:t>Cockburn</w:t>
          </w:r>
        </w:smartTag>
      </w:smartTag>
      <w:r>
        <w:t xml:space="preserve"> and the Town of </w:t>
      </w:r>
      <w:smartTag w:uri="urn:schemas-microsoft-com:office:smarttags" w:element="place">
        <w:smartTag w:uri="urn:schemas-microsoft-com:office:smarttags" w:element="City">
          <w:smartTag w:uri="urn:schemas-microsoft-com:office:smarttags" w:element="country-region">
            <w:r>
              <w:t>Kwinana</w:t>
            </w:r>
          </w:smartTag>
        </w:smartTag>
      </w:smartTag>
      <w:r>
        <w:t xml:space="preserve">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35" w:name="_Toc378771364"/>
      <w:bookmarkStart w:id="36" w:name="_Toc419465330"/>
      <w:r>
        <w:rPr>
          <w:rStyle w:val="CharSectno"/>
        </w:rPr>
        <w:t>13</w:t>
      </w:r>
      <w:r>
        <w:t>.</w:t>
      </w:r>
      <w:r>
        <w:tab/>
        <w:t>Proposed master plan to be publicly notified</w:t>
      </w:r>
      <w:bookmarkEnd w:id="35"/>
      <w:bookmarkEnd w:id="36"/>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37" w:name="_Toc378771365"/>
      <w:bookmarkStart w:id="38" w:name="_Toc419465331"/>
      <w:r>
        <w:rPr>
          <w:rStyle w:val="CharSectno"/>
        </w:rPr>
        <w:t>14</w:t>
      </w:r>
      <w:r>
        <w:t>.</w:t>
      </w:r>
      <w:r>
        <w:tab/>
        <w:t>Public submissions about proposed master plan</w:t>
      </w:r>
      <w:bookmarkEnd w:id="37"/>
      <w:bookmarkEnd w:id="38"/>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39" w:name="_Toc378771366"/>
      <w:bookmarkStart w:id="40" w:name="_Toc419465332"/>
      <w:r>
        <w:rPr>
          <w:rStyle w:val="CharSectno"/>
        </w:rPr>
        <w:t>15</w:t>
      </w:r>
      <w:r>
        <w:t>.</w:t>
      </w:r>
      <w:r>
        <w:tab/>
        <w:t>Submission of proposed master plan to Commission and approval by Minister</w:t>
      </w:r>
      <w:bookmarkEnd w:id="39"/>
      <w:bookmarkEnd w:id="40"/>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No. 77 of 2006 Sch. 1 cl. 84.]</w:t>
      </w:r>
    </w:p>
    <w:p>
      <w:pPr>
        <w:pStyle w:val="Heading5"/>
      </w:pPr>
      <w:bookmarkStart w:id="41" w:name="_Toc378771367"/>
      <w:bookmarkStart w:id="42" w:name="_Toc419465333"/>
      <w:r>
        <w:rPr>
          <w:rStyle w:val="CharSectno"/>
        </w:rPr>
        <w:t>16</w:t>
      </w:r>
      <w:r>
        <w:t>.</w:t>
      </w:r>
      <w:r>
        <w:tab/>
        <w:t>Public notice of approval of master plan and commencement of master plan</w:t>
      </w:r>
      <w:bookmarkEnd w:id="41"/>
      <w:bookmarkEnd w:id="42"/>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43" w:name="_Toc378771368"/>
      <w:bookmarkStart w:id="44" w:name="_Toc419465334"/>
      <w:r>
        <w:rPr>
          <w:rStyle w:val="CharDivNo"/>
        </w:rPr>
        <w:t>Division 3</w:t>
      </w:r>
      <w:r>
        <w:t xml:space="preserve"> — </w:t>
      </w:r>
      <w:r>
        <w:rPr>
          <w:rStyle w:val="CharDivText"/>
        </w:rPr>
        <w:t>Amendment of master plan</w:t>
      </w:r>
      <w:bookmarkEnd w:id="43"/>
      <w:bookmarkEnd w:id="44"/>
    </w:p>
    <w:p>
      <w:pPr>
        <w:pStyle w:val="Heading5"/>
      </w:pPr>
      <w:bookmarkStart w:id="45" w:name="_Toc378771369"/>
      <w:bookmarkStart w:id="46" w:name="_Toc419465335"/>
      <w:r>
        <w:rPr>
          <w:rStyle w:val="CharSectno"/>
        </w:rPr>
        <w:t>17</w:t>
      </w:r>
      <w:r>
        <w:t>.</w:t>
      </w:r>
      <w:r>
        <w:tab/>
        <w:t>Amendment of master plan</w:t>
      </w:r>
      <w:bookmarkEnd w:id="45"/>
      <w:bookmarkEnd w:id="46"/>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47" w:name="_Toc378771370"/>
      <w:bookmarkStart w:id="48" w:name="_Toc419465336"/>
      <w:r>
        <w:rPr>
          <w:rStyle w:val="CharDivNo"/>
        </w:rPr>
        <w:t>Division 4</w:t>
      </w:r>
      <w:r>
        <w:t xml:space="preserve"> — </w:t>
      </w:r>
      <w:r>
        <w:rPr>
          <w:rStyle w:val="CharDivText"/>
        </w:rPr>
        <w:t>Role of Environmental Protection Authority in respect of master plans, etc.</w:t>
      </w:r>
      <w:bookmarkEnd w:id="47"/>
      <w:bookmarkEnd w:id="48"/>
    </w:p>
    <w:p>
      <w:pPr>
        <w:pStyle w:val="Heading5"/>
      </w:pPr>
      <w:bookmarkStart w:id="49" w:name="_Toc378771371"/>
      <w:bookmarkStart w:id="50" w:name="_Toc419465337"/>
      <w:r>
        <w:rPr>
          <w:rStyle w:val="CharSectno"/>
        </w:rPr>
        <w:t>18</w:t>
      </w:r>
      <w:r>
        <w:t>.</w:t>
      </w:r>
      <w:r>
        <w:tab/>
        <w:t>Reference of proposed master plans, and proposed amendments to master plans, to EPA</w:t>
      </w:r>
      <w:bookmarkEnd w:id="49"/>
      <w:bookmarkEnd w:id="50"/>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51" w:name="_Toc378771372"/>
      <w:bookmarkStart w:id="52" w:name="_Toc419465338"/>
      <w:r>
        <w:rPr>
          <w:rStyle w:val="CharSectno"/>
        </w:rPr>
        <w:t>19</w:t>
      </w:r>
      <w:r>
        <w:t>.</w:t>
      </w:r>
      <w:r>
        <w:tab/>
        <w:t>Environmental review of proposed master plans, and proposed amendments to master plans, to be undertaken</w:t>
      </w:r>
      <w:bookmarkEnd w:id="51"/>
      <w:bookmarkEnd w:id="52"/>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53" w:name="_Toc378771373"/>
      <w:bookmarkStart w:id="54" w:name="_Toc419465339"/>
      <w:r>
        <w:rPr>
          <w:rStyle w:val="CharSectno"/>
        </w:rPr>
        <w:t>20</w:t>
      </w:r>
      <w:r>
        <w:t>.</w:t>
      </w:r>
      <w:r>
        <w:tab/>
        <w:t>Authority’s duties as to environmental issues</w:t>
      </w:r>
      <w:bookmarkEnd w:id="53"/>
      <w:bookmarkEnd w:id="54"/>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55" w:name="_Toc378771374"/>
      <w:bookmarkStart w:id="56" w:name="_Toc419465340"/>
      <w:r>
        <w:rPr>
          <w:rStyle w:val="CharSectno"/>
        </w:rPr>
        <w:t>21</w:t>
      </w:r>
      <w:r>
        <w:t>.</w:t>
      </w:r>
      <w:r>
        <w:tab/>
        <w:t>Approval by Minister of proposed master plans and proposed amendments to master plans</w:t>
      </w:r>
      <w:bookmarkEnd w:id="55"/>
      <w:bookmarkEnd w:id="56"/>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 or</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3"/>
      </w:pPr>
      <w:bookmarkStart w:id="57" w:name="_Toc378771375"/>
      <w:bookmarkStart w:id="58" w:name="_Toc419465341"/>
      <w:r>
        <w:rPr>
          <w:rStyle w:val="CharDivNo"/>
        </w:rPr>
        <w:t>Division 5</w:t>
      </w:r>
      <w:r>
        <w:t> — </w:t>
      </w:r>
      <w:r>
        <w:rPr>
          <w:rStyle w:val="CharDivText"/>
        </w:rPr>
        <w:t>Effect of master plan</w:t>
      </w:r>
      <w:bookmarkEnd w:id="57"/>
      <w:bookmarkEnd w:id="58"/>
    </w:p>
    <w:p>
      <w:pPr>
        <w:pStyle w:val="Footnoteheading"/>
      </w:pPr>
      <w:r>
        <w:tab/>
        <w:t>[Heading inserted: No. 8 of 2011 s. 8.]</w:t>
      </w:r>
    </w:p>
    <w:p>
      <w:pPr>
        <w:pStyle w:val="Heading5"/>
      </w:pPr>
      <w:bookmarkStart w:id="59" w:name="_Toc378771376"/>
      <w:bookmarkStart w:id="60" w:name="_Toc419465342"/>
      <w:r>
        <w:rPr>
          <w:rStyle w:val="CharSectno"/>
        </w:rPr>
        <w:t>22A</w:t>
      </w:r>
      <w:r>
        <w:t>.</w:t>
      </w:r>
      <w:r>
        <w:tab/>
        <w:t>Master plan’s effect</w:t>
      </w:r>
      <w:bookmarkEnd w:id="59"/>
      <w:bookmarkEnd w:id="60"/>
    </w:p>
    <w:p>
      <w:pPr>
        <w:pStyle w:val="Subsection"/>
      </w:pPr>
      <w:r>
        <w:tab/>
        <w:t>(1)</w:t>
      </w:r>
      <w:r>
        <w:tab/>
        <w:t>A master plan has legislative effect.</w:t>
      </w:r>
    </w:p>
    <w:p>
      <w:pPr>
        <w:pStyle w:val="Subsection"/>
      </w:pPr>
      <w:r>
        <w:tab/>
        <w:t>(2)</w:t>
      </w:r>
      <w:r>
        <w:tab/>
        <w:t xml:space="preserve">To avoid doubt, a master plan is, for all purposes including those of the </w:t>
      </w:r>
      <w:r>
        <w:rPr>
          <w:i/>
        </w:rPr>
        <w:t>Interpretation Act 1984</w:t>
      </w:r>
      <w:r>
        <w:rPr>
          <w:iCs/>
        </w:rPr>
        <w:t>,</w:t>
      </w:r>
      <w:r>
        <w:t xml:space="preserve"> subsidiary legislation made under this Act.</w:t>
      </w:r>
    </w:p>
    <w:p>
      <w:pPr>
        <w:pStyle w:val="Subsection"/>
      </w:pPr>
      <w:r>
        <w:tab/>
        <w:t>(3)</w:t>
      </w:r>
      <w:r>
        <w:tab/>
        <w:t xml:space="preserve">The </w:t>
      </w:r>
      <w:r>
        <w:rPr>
          <w:i/>
        </w:rPr>
        <w:t>Interpretation Act 1984</w:t>
      </w:r>
      <w:r>
        <w:t xml:space="preserve"> section 41 does not apply to a master plan.</w:t>
      </w:r>
    </w:p>
    <w:p>
      <w:pPr>
        <w:pStyle w:val="Footnotesection"/>
      </w:pPr>
      <w:r>
        <w:tab/>
        <w:t>[Section 22A inserted: No. 8 of 2011 s. 8.]</w:t>
      </w:r>
    </w:p>
    <w:p>
      <w:pPr>
        <w:pStyle w:val="Heading5"/>
      </w:pPr>
      <w:bookmarkStart w:id="61" w:name="_Toc378771377"/>
      <w:bookmarkStart w:id="62" w:name="_Toc419465343"/>
      <w:r>
        <w:rPr>
          <w:rStyle w:val="CharSectno"/>
        </w:rPr>
        <w:t>22B</w:t>
      </w:r>
      <w:r>
        <w:t>.</w:t>
      </w:r>
      <w:r>
        <w:tab/>
        <w:t>Contravening a master plan</w:t>
      </w:r>
      <w:bookmarkEnd w:id="61"/>
      <w:bookmarkEnd w:id="62"/>
    </w:p>
    <w:p>
      <w:pPr>
        <w:pStyle w:val="Subsection"/>
      </w:pPr>
      <w:r>
        <w:tab/>
      </w:r>
      <w:r>
        <w:tab/>
        <w:t>A person must not contravene a master plan.</w:t>
      </w:r>
    </w:p>
    <w:p>
      <w:pPr>
        <w:pStyle w:val="Penstart"/>
      </w:pPr>
      <w:r>
        <w:tab/>
        <w:t>Penalty: $50 000, and a daily penalty of $5 000.</w:t>
      </w:r>
    </w:p>
    <w:p>
      <w:pPr>
        <w:pStyle w:val="Footnotesection"/>
      </w:pPr>
      <w:r>
        <w:tab/>
        <w:t>[Section 22B inserted: No. 8 of 2011 s. 8.]</w:t>
      </w:r>
    </w:p>
    <w:p>
      <w:pPr>
        <w:pStyle w:val="Heading2"/>
      </w:pPr>
      <w:bookmarkStart w:id="63" w:name="_Toc378771378"/>
      <w:bookmarkStart w:id="64" w:name="_Toc419465344"/>
      <w:r>
        <w:rPr>
          <w:rStyle w:val="CharPartNo"/>
        </w:rPr>
        <w:t>Part 4</w:t>
      </w:r>
      <w:r>
        <w:rPr>
          <w:rStyle w:val="CharDivNo"/>
        </w:rPr>
        <w:t xml:space="preserve"> </w:t>
      </w:r>
      <w:r>
        <w:t>—</w:t>
      </w:r>
      <w:r>
        <w:rPr>
          <w:rStyle w:val="CharDivText"/>
        </w:rPr>
        <w:t xml:space="preserve"> </w:t>
      </w:r>
      <w:r>
        <w:rPr>
          <w:rStyle w:val="CharPartText"/>
        </w:rPr>
        <w:t>Development control</w:t>
      </w:r>
      <w:bookmarkEnd w:id="63"/>
      <w:bookmarkEnd w:id="64"/>
    </w:p>
    <w:p>
      <w:pPr>
        <w:pStyle w:val="Heading5"/>
      </w:pPr>
      <w:bookmarkStart w:id="65" w:name="_Toc378771379"/>
      <w:bookmarkStart w:id="66" w:name="_Toc419465345"/>
      <w:r>
        <w:rPr>
          <w:rStyle w:val="CharSectno"/>
        </w:rPr>
        <w:t>22</w:t>
      </w:r>
      <w:r>
        <w:t>.</w:t>
      </w:r>
      <w:r>
        <w:tab/>
        <w:t>Crown bound</w:t>
      </w:r>
      <w:bookmarkEnd w:id="65"/>
      <w:bookmarkEnd w:id="66"/>
    </w:p>
    <w:p>
      <w:pPr>
        <w:pStyle w:val="Subsection"/>
      </w:pPr>
      <w:r>
        <w:tab/>
      </w:r>
      <w:r>
        <w:tab/>
        <w:t>This Part binds the Crown.</w:t>
      </w:r>
    </w:p>
    <w:p>
      <w:pPr>
        <w:pStyle w:val="Heading5"/>
      </w:pPr>
      <w:bookmarkStart w:id="67" w:name="_Toc378771380"/>
      <w:bookmarkStart w:id="68" w:name="_Toc419465346"/>
      <w:r>
        <w:rPr>
          <w:rStyle w:val="CharSectno"/>
        </w:rPr>
        <w:t>23</w:t>
      </w:r>
      <w:r>
        <w:t>.</w:t>
      </w:r>
      <w:r>
        <w:tab/>
        <w:t>Certain planning schemes cease to apply</w:t>
      </w:r>
      <w:bookmarkEnd w:id="67"/>
      <w:bookmarkEnd w:id="68"/>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3</w:t>
      </w:r>
      <w:r>
        <w:rPr>
          <w:iCs/>
        </w:rPr>
        <w:t xml:space="preserve"> that</w:t>
      </w:r>
      <w:r>
        <w:t xml:space="preserve"> is in operation in the redevelopment area immediately before the commencement of this Act; and</w:t>
      </w:r>
    </w:p>
    <w:p>
      <w:pPr>
        <w:pStyle w:val="Defpar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No. 38 of 2005 s. 15; No. 28 of 2010 s. 32.]</w:t>
      </w:r>
    </w:p>
    <w:p>
      <w:pPr>
        <w:pStyle w:val="Heading5"/>
      </w:pPr>
      <w:bookmarkStart w:id="69" w:name="_Toc378771381"/>
      <w:bookmarkStart w:id="70" w:name="_Toc419465347"/>
      <w:r>
        <w:rPr>
          <w:rStyle w:val="CharSectno"/>
        </w:rPr>
        <w:t>24</w:t>
      </w:r>
      <w:r>
        <w:t>.</w:t>
      </w:r>
      <w:r>
        <w:tab/>
        <w:t>Saving</w:t>
      </w:r>
      <w:bookmarkEnd w:id="69"/>
      <w:bookmarkEnd w:id="70"/>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71" w:name="_Toc378771382"/>
      <w:bookmarkStart w:id="72" w:name="_Toc419465348"/>
      <w:r>
        <w:rPr>
          <w:rStyle w:val="CharSectno"/>
        </w:rPr>
        <w:t>25</w:t>
      </w:r>
      <w:r>
        <w:t>.</w:t>
      </w:r>
      <w:r>
        <w:tab/>
        <w:t>No development to be undertaken without approval</w:t>
      </w:r>
      <w:bookmarkEnd w:id="71"/>
      <w:bookmarkEnd w:id="72"/>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73" w:name="_Toc378771383"/>
      <w:bookmarkStart w:id="74" w:name="_Toc419465349"/>
      <w:r>
        <w:rPr>
          <w:rStyle w:val="CharSectno"/>
        </w:rPr>
        <w:t>26</w:t>
      </w:r>
      <w:r>
        <w:t>.</w:t>
      </w:r>
      <w:r>
        <w:tab/>
        <w:t>Applying for development approval</w:t>
      </w:r>
      <w:bookmarkEnd w:id="73"/>
      <w:bookmarkEnd w:id="74"/>
    </w:p>
    <w:p>
      <w:pPr>
        <w:pStyle w:val="Subsection"/>
      </w:pPr>
      <w:r>
        <w:tab/>
        <w:t>(1)</w:t>
      </w:r>
      <w:r>
        <w:tab/>
        <w:t xml:space="preserve">An application for approval under section 25 is to be made in the prescribed form with the prescribed fee (if any) to the City of </w:t>
      </w:r>
      <w:smartTag w:uri="urn:schemas-microsoft-com:office:smarttags" w:element="country-region">
        <w:r>
          <w:t>Cockburn</w:t>
        </w:r>
      </w:smartTag>
      <w:r>
        <w:t xml:space="preserve"> or the Town of </w:t>
      </w:r>
      <w:smartTag w:uri="urn:schemas-microsoft-com:office:smarttags" w:element="place">
        <w:smartTag w:uri="urn:schemas-microsoft-com:office:smarttags" w:element="country-region">
          <w:r>
            <w:t>Kwinana</w:t>
          </w:r>
        </w:smartTag>
      </w:smartTag>
      <w:r>
        <w:t>,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75" w:name="_Toc378771384"/>
      <w:bookmarkStart w:id="76" w:name="_Toc419465350"/>
      <w:r>
        <w:rPr>
          <w:rStyle w:val="CharSectno"/>
        </w:rPr>
        <w:t>27</w:t>
      </w:r>
      <w:r>
        <w:t>.</w:t>
      </w:r>
      <w:r>
        <w:tab/>
        <w:t>Consultation with public authorities</w:t>
      </w:r>
      <w:bookmarkEnd w:id="75"/>
      <w:bookmarkEnd w:id="76"/>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77" w:name="_Toc378771385"/>
      <w:bookmarkStart w:id="78" w:name="_Toc419465351"/>
      <w:r>
        <w:rPr>
          <w:rStyle w:val="CharSectno"/>
        </w:rPr>
        <w:t>28</w:t>
      </w:r>
      <w:r>
        <w:t>.</w:t>
      </w:r>
      <w:r>
        <w:tab/>
        <w:t>Commission’s decision as to proposed development</w:t>
      </w:r>
      <w:bookmarkEnd w:id="77"/>
      <w:bookmarkEnd w:id="78"/>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 and</w:t>
      </w:r>
    </w:p>
    <w:p>
      <w:pPr>
        <w:pStyle w:val="Ednotepara"/>
        <w:spacing w:before="80"/>
        <w:ind w:left="1610" w:hanging="1610"/>
      </w:pPr>
      <w:r>
        <w:tab/>
        <w:t>[(b)</w:t>
      </w:r>
      <w:r>
        <w:tab/>
        <w:t>deleted]</w:t>
      </w:r>
    </w:p>
    <w:p>
      <w:pPr>
        <w:pStyle w:val="Indenta"/>
        <w:rPr>
          <w:i/>
        </w:rPr>
      </w:pPr>
      <w:r>
        <w:tab/>
        <w:t>(c)</w:t>
      </w:r>
      <w:r>
        <w:tab/>
        <w:t>any relevant environmental protection policy approved under Part III of the EP Act; and</w:t>
      </w:r>
    </w:p>
    <w:p>
      <w:pPr>
        <w:pStyle w:val="Indenta"/>
      </w:pPr>
      <w:r>
        <w:tab/>
        <w:t>(d)</w:t>
      </w:r>
      <w:r>
        <w:tab/>
        <w:t>recommendations under section 26(4); and</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Footnotesection"/>
      </w:pPr>
      <w:r>
        <w:tab/>
        <w:t>[Section 28 amended: No. 8 of 2011 s. 9.]</w:t>
      </w:r>
    </w:p>
    <w:p>
      <w:pPr>
        <w:pStyle w:val="Heading5"/>
      </w:pPr>
      <w:bookmarkStart w:id="79" w:name="_Toc378771386"/>
      <w:bookmarkStart w:id="80" w:name="_Toc419465352"/>
      <w:r>
        <w:rPr>
          <w:rStyle w:val="CharSectno"/>
        </w:rPr>
        <w:t>29</w:t>
      </w:r>
      <w:r>
        <w:t>.</w:t>
      </w:r>
      <w:r>
        <w:tab/>
        <w:t>Review by SAT of s. 28 decisions</w:t>
      </w:r>
      <w:bookmarkEnd w:id="79"/>
      <w:bookmarkEnd w:id="80"/>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No. 55 of 2004 s. 514; No. 38 of 2005 s. 15.]</w:t>
      </w:r>
    </w:p>
    <w:p>
      <w:pPr>
        <w:pStyle w:val="Heading5"/>
      </w:pPr>
      <w:bookmarkStart w:id="81" w:name="_Toc378771387"/>
      <w:bookmarkStart w:id="82" w:name="_Toc419465353"/>
      <w:r>
        <w:rPr>
          <w:rStyle w:val="CharSectno"/>
        </w:rPr>
        <w:t>30</w:t>
      </w:r>
      <w:r>
        <w:t>.</w:t>
      </w:r>
      <w:r>
        <w:tab/>
        <w:t>Liability of officers for offence committed by body corporate</w:t>
      </w:r>
      <w:bookmarkEnd w:id="81"/>
      <w:bookmarkEnd w:id="82"/>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 and</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 and</w:t>
      </w:r>
    </w:p>
    <w:p>
      <w:pPr>
        <w:pStyle w:val="Defpara"/>
      </w:pPr>
      <w:r>
        <w:tab/>
        <w:t>(c)</w:t>
      </w:r>
      <w:r>
        <w:tab/>
        <w:t>an official manager or a deputy official manager of the body corporate; and</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t>and any other person, by whatever name called and whether or not a director of the body corporate, who is concerned, or takes part, in the management of the body corporate.</w:t>
      </w:r>
    </w:p>
    <w:p>
      <w:pPr>
        <w:pStyle w:val="Heading5"/>
      </w:pPr>
      <w:bookmarkStart w:id="83" w:name="_Toc378771388"/>
      <w:bookmarkStart w:id="84" w:name="_Toc419465354"/>
      <w:r>
        <w:rPr>
          <w:rStyle w:val="CharSectno"/>
        </w:rPr>
        <w:t>31</w:t>
      </w:r>
      <w:r>
        <w:t>.</w:t>
      </w:r>
      <w:r>
        <w:tab/>
        <w:t>Unlawful development</w:t>
      </w:r>
      <w:bookmarkEnd w:id="83"/>
      <w:bookmarkEnd w:id="84"/>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No. 24 of 2002 s. 25; No. 55 of 2004 s. 515; No. 38 of 2005 s. 15.]</w:t>
      </w:r>
    </w:p>
    <w:p>
      <w:pPr>
        <w:pStyle w:val="Heading5"/>
      </w:pPr>
      <w:bookmarkStart w:id="85" w:name="_Toc378771389"/>
      <w:bookmarkStart w:id="86" w:name="_Toc419465355"/>
      <w:r>
        <w:rPr>
          <w:rStyle w:val="CharSectno"/>
        </w:rPr>
        <w:t>32</w:t>
      </w:r>
      <w:r>
        <w:t>.</w:t>
      </w:r>
      <w:r>
        <w:tab/>
        <w:t>Minister’s powers to ensure environmental conditions are met</w:t>
      </w:r>
      <w:bookmarkEnd w:id="85"/>
      <w:bookmarkEnd w:id="86"/>
    </w:p>
    <w:p>
      <w:pPr>
        <w:pStyle w:val="Subsection"/>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No. 54 of 2003 s. 68(3).]</w:t>
      </w:r>
    </w:p>
    <w:p>
      <w:pPr>
        <w:pStyle w:val="Heading5"/>
      </w:pPr>
      <w:bookmarkStart w:id="87" w:name="_Toc378771390"/>
      <w:bookmarkStart w:id="88" w:name="_Toc419465356"/>
      <w:r>
        <w:rPr>
          <w:rStyle w:val="CharSectno"/>
        </w:rPr>
        <w:t>33</w:t>
      </w:r>
      <w:r>
        <w:t>.</w:t>
      </w:r>
      <w:r>
        <w:tab/>
        <w:t>Compensation for injurious affection etc.</w:t>
      </w:r>
      <w:bookmarkEnd w:id="87"/>
      <w:bookmarkEnd w:id="8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 and</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No. 38 of 2005 s. 15.]</w:t>
      </w:r>
    </w:p>
    <w:p>
      <w:pPr>
        <w:pStyle w:val="Heading2"/>
      </w:pPr>
      <w:bookmarkStart w:id="89" w:name="_Toc378771391"/>
      <w:bookmarkStart w:id="90" w:name="_Toc419465357"/>
      <w:r>
        <w:rPr>
          <w:rStyle w:val="CharPartNo"/>
        </w:rPr>
        <w:t>Part 5</w:t>
      </w:r>
      <w:r>
        <w:rPr>
          <w:rStyle w:val="CharDivNo"/>
        </w:rPr>
        <w:t xml:space="preserve"> </w:t>
      </w:r>
      <w:r>
        <w:t>—</w:t>
      </w:r>
      <w:r>
        <w:rPr>
          <w:rStyle w:val="CharDivText"/>
        </w:rPr>
        <w:t xml:space="preserve"> </w:t>
      </w:r>
      <w:r>
        <w:rPr>
          <w:rStyle w:val="CharPartText"/>
        </w:rPr>
        <w:t>General</w:t>
      </w:r>
      <w:bookmarkEnd w:id="89"/>
      <w:bookmarkEnd w:id="90"/>
    </w:p>
    <w:p>
      <w:pPr>
        <w:pStyle w:val="Heading5"/>
      </w:pPr>
      <w:bookmarkStart w:id="91" w:name="_Toc378771392"/>
      <w:bookmarkStart w:id="92" w:name="_Toc419465358"/>
      <w:r>
        <w:rPr>
          <w:rStyle w:val="CharSectno"/>
        </w:rPr>
        <w:t>34</w:t>
      </w:r>
      <w:r>
        <w:t>.</w:t>
      </w:r>
      <w:r>
        <w:tab/>
        <w:t>Modification of other laws</w:t>
      </w:r>
      <w:bookmarkEnd w:id="91"/>
      <w:bookmarkEnd w:id="92"/>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 and</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 or</w:t>
      </w:r>
    </w:p>
    <w:p>
      <w:pPr>
        <w:pStyle w:val="Indenti"/>
      </w:pPr>
      <w:r>
        <w:tab/>
        <w:t>(ii)</w:t>
      </w:r>
      <w:r>
        <w:tab/>
        <w:t>a specified area rate; or</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spacing w:before="60"/>
      </w:pPr>
      <w:r>
        <w:tab/>
        <w:t>(a)</w:t>
      </w:r>
      <w:r>
        <w:tab/>
        <w:t>a development approved under Part 4; or</w:t>
      </w:r>
    </w:p>
    <w:p>
      <w:pPr>
        <w:pStyle w:val="Defpara"/>
        <w:spacing w:before="60"/>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spacing w:before="100"/>
        <w:ind w:left="890" w:hanging="890"/>
      </w:pPr>
      <w:r>
        <w:tab/>
        <w:t>[Section 34 amended: No. 38 of 2005 s. 15.]</w:t>
      </w:r>
    </w:p>
    <w:p>
      <w:pPr>
        <w:pStyle w:val="Heading5"/>
      </w:pPr>
      <w:bookmarkStart w:id="93" w:name="_Toc378771393"/>
      <w:bookmarkStart w:id="94" w:name="_Toc419465359"/>
      <w:r>
        <w:rPr>
          <w:rStyle w:val="CharSectno"/>
        </w:rPr>
        <w:t>35</w:t>
      </w:r>
      <w:r>
        <w:t>.</w:t>
      </w:r>
      <w:r>
        <w:tab/>
        <w:t>Regulations</w:t>
      </w:r>
      <w:bookmarkEnd w:id="93"/>
      <w:bookmarkEnd w:id="94"/>
    </w:p>
    <w:p>
      <w:pPr>
        <w:pStyle w:val="Subsection"/>
        <w:spacing w:before="150"/>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spacing w:before="150"/>
      </w:pPr>
      <w:r>
        <w:tab/>
        <w:t>(2)</w:t>
      </w:r>
      <w:r>
        <w:tab/>
        <w:t xml:space="preserve">Without limiting subsection (1), regulations may provide for — </w:t>
      </w:r>
    </w:p>
    <w:p>
      <w:pPr>
        <w:pStyle w:val="Indenta"/>
        <w:spacing w:before="60"/>
      </w:pPr>
      <w:r>
        <w:tab/>
        <w:t>(a)</w:t>
      </w:r>
      <w:r>
        <w:tab/>
        <w:t>the procedure to be followed in applications for approval under Part 4; and</w:t>
      </w:r>
    </w:p>
    <w:p>
      <w:pPr>
        <w:pStyle w:val="Indenta"/>
        <w:spacing w:before="60"/>
      </w:pPr>
      <w:r>
        <w:tab/>
        <w:t>(b)</w:t>
      </w:r>
      <w:r>
        <w:tab/>
        <w:t>the imposition and payment of fees and charges in connection with those applications.</w:t>
      </w:r>
    </w:p>
    <w:p>
      <w:pPr>
        <w:pStyle w:val="Heading5"/>
      </w:pPr>
      <w:bookmarkStart w:id="95" w:name="_Toc378771394"/>
      <w:bookmarkStart w:id="96" w:name="_Toc419465360"/>
      <w:r>
        <w:rPr>
          <w:rStyle w:val="CharSectno"/>
        </w:rPr>
        <w:t>36</w:t>
      </w:r>
      <w:r>
        <w:t>.</w:t>
      </w:r>
      <w:r>
        <w:tab/>
        <w:t>Review of Act</w:t>
      </w:r>
      <w:bookmarkEnd w:id="95"/>
      <w:bookmarkEnd w:id="96"/>
    </w:p>
    <w:p>
      <w:pPr>
        <w:pStyle w:val="Subsection"/>
        <w:spacing w:before="150"/>
      </w:pPr>
      <w:r>
        <w:tab/>
        <w:t>(1)</w:t>
      </w:r>
      <w:r>
        <w:tab/>
        <w:t>The Minister is to carry out a review of the operation and effectiveness of this Act as soon as is practicable after the expiration of 5 years from the commencement of this Act.</w:t>
      </w:r>
    </w:p>
    <w:p>
      <w:pPr>
        <w:pStyle w:val="Subsection"/>
        <w:keepNext/>
        <w:spacing w:before="150"/>
      </w:pPr>
      <w:r>
        <w:tab/>
        <w:t>(2)</w:t>
      </w:r>
      <w:r>
        <w:tab/>
        <w:t xml:space="preserve">In the course of the review the Minister is to consider and have regard to — </w:t>
      </w:r>
    </w:p>
    <w:p>
      <w:pPr>
        <w:pStyle w:val="Indenta"/>
        <w:spacing w:before="60"/>
      </w:pPr>
      <w:r>
        <w:tab/>
        <w:t>(a)</w:t>
      </w:r>
      <w:r>
        <w:tab/>
        <w:t>the need for the continuation of this Act; and</w:t>
      </w:r>
    </w:p>
    <w:p>
      <w:pPr>
        <w:pStyle w:val="Indenta"/>
        <w:spacing w:before="60"/>
      </w:pPr>
      <w:r>
        <w:tab/>
        <w:t>(b)</w:t>
      </w:r>
      <w:r>
        <w:tab/>
        <w:t>any other matters that appear to the Minister to be relevant to the operation and effectiveness of this Act.</w:t>
      </w:r>
    </w:p>
    <w:p>
      <w:pPr>
        <w:pStyle w:val="Heading2"/>
      </w:pPr>
      <w:bookmarkStart w:id="97" w:name="_Toc378771395"/>
      <w:bookmarkStart w:id="98" w:name="_Toc419465361"/>
      <w:r>
        <w:rPr>
          <w:rStyle w:val="CharPartNo"/>
        </w:rPr>
        <w:t>Part 6</w:t>
      </w:r>
      <w:r>
        <w:rPr>
          <w:rStyle w:val="CharDivNo"/>
        </w:rPr>
        <w:t> </w:t>
      </w:r>
      <w:r>
        <w:t>—</w:t>
      </w:r>
      <w:r>
        <w:rPr>
          <w:rStyle w:val="CharDivText"/>
        </w:rPr>
        <w:t> </w:t>
      </w:r>
      <w:r>
        <w:rPr>
          <w:rStyle w:val="CharPartText"/>
        </w:rPr>
        <w:t>Miscellaneous provisions</w:t>
      </w:r>
      <w:bookmarkEnd w:id="97"/>
      <w:bookmarkEnd w:id="98"/>
    </w:p>
    <w:p>
      <w:pPr>
        <w:pStyle w:val="Footnoteheading"/>
      </w:pPr>
      <w:r>
        <w:tab/>
        <w:t>[Heading inserted: No. 8 of 2011 s. 10.]</w:t>
      </w:r>
    </w:p>
    <w:p>
      <w:pPr>
        <w:pStyle w:val="Heading5"/>
      </w:pPr>
      <w:bookmarkStart w:id="99" w:name="_Toc378771396"/>
      <w:bookmarkStart w:id="100" w:name="_Toc419465362"/>
      <w:r>
        <w:rPr>
          <w:rStyle w:val="CharSectno"/>
        </w:rPr>
        <w:t>37</w:t>
      </w:r>
      <w:r>
        <w:t>.</w:t>
      </w:r>
      <w:r>
        <w:tab/>
        <w:t xml:space="preserve">Effect of master plan and validity of things done under it before commencement of </w:t>
      </w:r>
      <w:r>
        <w:rPr>
          <w:i/>
        </w:rPr>
        <w:t>Hope Valley-Wattleup Redevelopment Amendment Act 2011</w:t>
      </w:r>
      <w:bookmarkEnd w:id="99"/>
      <w:bookmarkEnd w:id="100"/>
    </w:p>
    <w:p>
      <w:pPr>
        <w:pStyle w:val="Subsection"/>
      </w:pPr>
      <w:r>
        <w:tab/>
        <w:t>(1)</w:t>
      </w:r>
      <w:r>
        <w:tab/>
        <w:t>In this section —</w:t>
      </w:r>
    </w:p>
    <w:p>
      <w:pPr>
        <w:pStyle w:val="Defstart"/>
      </w:pPr>
      <w:r>
        <w:tab/>
      </w:r>
      <w:r>
        <w:rPr>
          <w:rStyle w:val="CharDefText"/>
        </w:rPr>
        <w:t>commencement day</w:t>
      </w:r>
      <w:r>
        <w:t xml:space="preserve"> means the day on which the </w:t>
      </w:r>
      <w:r>
        <w:rPr>
          <w:i/>
        </w:rPr>
        <w:t>Hope Valley</w:t>
      </w:r>
      <w:r>
        <w:rPr>
          <w:i/>
        </w:rPr>
        <w:noBreakHyphen/>
        <w:t>Wattleup Redevelopment Amendment Act 2011</w:t>
      </w:r>
      <w:r>
        <w:t>, other than sections 1 and 2 of it, comes into operation</w:t>
      </w:r>
      <w:r>
        <w:rPr>
          <w:vertAlign w:val="superscript"/>
        </w:rPr>
        <w:t> 1</w:t>
      </w:r>
      <w:r>
        <w:t>.</w:t>
      </w:r>
    </w:p>
    <w:p>
      <w:pPr>
        <w:pStyle w:val="Subsection"/>
      </w:pPr>
      <w:r>
        <w:tab/>
        <w:t>(2)</w:t>
      </w:r>
      <w:r>
        <w:tab/>
        <w:t>If a master plan came into operation before the commencement day, it is taken to have had legislative effect from and including the day it came into operation until but not including the commencement day.</w:t>
      </w:r>
    </w:p>
    <w:p>
      <w:pPr>
        <w:pStyle w:val="Subsection"/>
      </w:pPr>
      <w:r>
        <w:tab/>
        <w:t>(3)</w:t>
      </w:r>
      <w:r>
        <w:tab/>
        <w:t>An act done or omission made pursuant to a master plan before the commencement day has, and is taken to always have had, the same validity as it would have had if subsection (2) had been in operation at the time of the act or omission.</w:t>
      </w:r>
    </w:p>
    <w:p>
      <w:pPr>
        <w:pStyle w:val="Footnotesection"/>
      </w:pPr>
      <w:r>
        <w:tab/>
        <w:t>[Section 37 inserted: No. 8 of 2011 s. 10.]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1" w:name="_Toc378771397"/>
      <w:bookmarkStart w:id="102" w:name="_Toc419465363"/>
      <w:r>
        <w:rPr>
          <w:rStyle w:val="CharSchNo"/>
        </w:rPr>
        <w:t>Schedule 1</w:t>
      </w:r>
      <w:r>
        <w:t xml:space="preserve"> — </w:t>
      </w:r>
      <w:r>
        <w:rPr>
          <w:rStyle w:val="CharSchText"/>
        </w:rPr>
        <w:t>Redevelopment area</w:t>
      </w:r>
      <w:bookmarkEnd w:id="101"/>
      <w:bookmarkEnd w:id="102"/>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rPr>
        <w:drawing>
          <wp:inline distT="0" distB="0" distL="0" distR="0">
            <wp:extent cx="4500880" cy="6210935"/>
            <wp:effectExtent l="0" t="0" r="0" b="0"/>
            <wp:docPr id="2" name="Picture 2"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pe2"/>
                    <pic:cNvPicPr>
                      <a:picLocks noChangeAspect="1" noChangeArrowheads="1"/>
                    </pic:cNvPicPr>
                  </pic:nvPicPr>
                  <pic:blipFill>
                    <a:blip r:embed="rId24" cstate="print">
                      <a:extLst>
                        <a:ext uri="{28A0092B-C50C-407E-A947-70E740481C1C}">
                          <a14:useLocalDpi xmlns:a14="http://schemas.microsoft.com/office/drawing/2010/main" val="0"/>
                        </a:ext>
                      </a:extLst>
                    </a:blip>
                    <a:srcRect t="3120" b="990"/>
                    <a:stretch>
                      <a:fillRect/>
                    </a:stretch>
                  </pic:blipFill>
                  <pic:spPr bwMode="auto">
                    <a:xfrm>
                      <a:off x="0" y="0"/>
                      <a:ext cx="4500880" cy="6210935"/>
                    </a:xfrm>
                    <a:prstGeom prst="rect">
                      <a:avLst/>
                    </a:prstGeom>
                    <a:noFill/>
                    <a:ln>
                      <a:noFill/>
                    </a:ln>
                  </pic:spPr>
                </pic:pic>
              </a:graphicData>
            </a:graphic>
          </wp:inline>
        </w:drawing>
      </w:r>
    </w:p>
    <w:p>
      <w:pPr>
        <w:pStyle w:val="CentredBaseLine"/>
        <w:jc w:val="center"/>
      </w:pPr>
      <w:r>
        <w:rPr>
          <w:noProof/>
        </w:rPr>
        <w:drawing>
          <wp:inline distT="0" distB="0" distL="0" distR="0">
            <wp:extent cx="937895" cy="166370"/>
            <wp:effectExtent l="0" t="0" r="0" b="508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4" w:name="_Toc378771398"/>
      <w:bookmarkStart w:id="105" w:name="_Toc419465364"/>
      <w:r>
        <w:t>Notes</w:t>
      </w:r>
      <w:bookmarkEnd w:id="104"/>
      <w:bookmarkEnd w:id="10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5 August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Hope Valley-Wattleup Redevelopment Act 2000</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 w:name="_Toc378771399"/>
      <w:bookmarkStart w:id="107" w:name="_Toc419465365"/>
      <w:r>
        <w:rPr>
          <w:snapToGrid w:val="0"/>
        </w:rPr>
        <w:t>Compilation table</w:t>
      </w:r>
      <w:bookmarkEnd w:id="106"/>
      <w:bookmarkEnd w:id="10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Hope Valley</w:t>
            </w:r>
            <w:r>
              <w:rPr>
                <w:i/>
                <w:snapToGrid w:val="0"/>
              </w:rPr>
              <w:noBreakHyphen/>
              <w:t>Wattleup Redevelopment Act 2000</w:t>
            </w:r>
          </w:p>
        </w:tc>
        <w:tc>
          <w:tcPr>
            <w:tcW w:w="1134" w:type="dxa"/>
            <w:tcBorders>
              <w:top w:val="single" w:sz="8" w:space="0" w:color="auto"/>
            </w:tcBorders>
          </w:tcPr>
          <w:p>
            <w:pPr>
              <w:pStyle w:val="nTable"/>
              <w:spacing w:after="40"/>
            </w:pPr>
            <w:r>
              <w:t>77 of 2000</w:t>
            </w:r>
          </w:p>
        </w:tc>
        <w:tc>
          <w:tcPr>
            <w:tcW w:w="1134" w:type="dxa"/>
            <w:tcBorders>
              <w:top w:val="single" w:sz="8" w:space="0" w:color="auto"/>
            </w:tcBorders>
          </w:tcPr>
          <w:p>
            <w:pPr>
              <w:pStyle w:val="nTable"/>
              <w:spacing w:after="40"/>
            </w:pPr>
            <w:r>
              <w:t>7 Dec 2000</w:t>
            </w:r>
          </w:p>
        </w:tc>
        <w:tc>
          <w:tcPr>
            <w:tcW w:w="2552" w:type="dxa"/>
            <w:tcBorders>
              <w:top w:val="single" w:sz="8" w:space="0" w:color="auto"/>
            </w:tcBorders>
          </w:tcPr>
          <w:p>
            <w:pPr>
              <w:pStyle w:val="nTable"/>
              <w:spacing w:after="40"/>
            </w:pPr>
            <w:r>
              <w:t>s. 1 and 2: 7 Dec 2000;</w:t>
            </w:r>
            <w:r>
              <w:br/>
              <w:t xml:space="preserve">s. 3(2): 7 Dec 2000 (see s. 2(3)); </w:t>
            </w:r>
            <w:r>
              <w:br/>
              <w:t xml:space="preserve">Act other than s. 1, 2 and 3(2): 1 Jan 2001 (see s. 2(1) and </w:t>
            </w:r>
            <w:r>
              <w:rPr>
                <w:i/>
              </w:rPr>
              <w:t>Gazette</w:t>
            </w:r>
            <w:r>
              <w:t xml:space="preserve"> 29 Dec 2000 p. 7904)</w:t>
            </w:r>
          </w:p>
        </w:tc>
      </w:tr>
      <w:tr>
        <w:tc>
          <w:tcPr>
            <w:tcW w:w="2268" w:type="dxa"/>
          </w:tcPr>
          <w:p>
            <w:pPr>
              <w:pStyle w:val="nTable"/>
              <w:spacing w:after="40"/>
              <w:rPr>
                <w:snapToGrid w:val="0"/>
              </w:rPr>
            </w:pPr>
            <w:r>
              <w:rPr>
                <w:i/>
                <w:snapToGrid w:val="0"/>
              </w:rPr>
              <w:t>Planning Appeals Amendment Act 2002</w:t>
            </w:r>
            <w:r>
              <w:rPr>
                <w:snapToGrid w:val="0"/>
              </w:rPr>
              <w:t xml:space="preserve"> s. 25</w:t>
            </w:r>
          </w:p>
        </w:tc>
        <w:tc>
          <w:tcPr>
            <w:tcW w:w="1134" w:type="dxa"/>
          </w:tcPr>
          <w:p>
            <w:pPr>
              <w:pStyle w:val="nTable"/>
              <w:spacing w:after="40"/>
            </w:pPr>
            <w:r>
              <w:t>24 of 2002</w:t>
            </w:r>
          </w:p>
        </w:tc>
        <w:tc>
          <w:tcPr>
            <w:tcW w:w="1134" w:type="dxa"/>
          </w:tcPr>
          <w:p>
            <w:pPr>
              <w:pStyle w:val="nTable"/>
              <w:spacing w:after="40"/>
            </w:pPr>
            <w:r>
              <w:t>24 Sep 2002</w:t>
            </w:r>
          </w:p>
        </w:tc>
        <w:tc>
          <w:tcPr>
            <w:tcW w:w="2552" w:type="dxa"/>
          </w:tcPr>
          <w:p>
            <w:pPr>
              <w:pStyle w:val="nTable"/>
              <w:spacing w:after="40"/>
            </w:pPr>
            <w:r>
              <w:t xml:space="preserve">18 Apr 2003 (see s. 2 and </w:t>
            </w:r>
            <w:r>
              <w:rPr>
                <w:i/>
              </w:rPr>
              <w:t>Gazette</w:t>
            </w:r>
            <w:r>
              <w:t> 17 Apr 2003 p. 1243)</w:t>
            </w:r>
          </w:p>
        </w:tc>
      </w:tr>
      <w:tr>
        <w:tc>
          <w:tcPr>
            <w:tcW w:w="2268" w:type="dxa"/>
          </w:tcPr>
          <w:p>
            <w:pPr>
              <w:pStyle w:val="nTable"/>
              <w:spacing w:after="40"/>
              <w:rPr>
                <w:i/>
                <w:snapToGrid w:val="0"/>
              </w:rPr>
            </w:pPr>
            <w:r>
              <w:rPr>
                <w:i/>
                <w:snapToGrid w:val="0"/>
              </w:rPr>
              <w:t xml:space="preserve">Environmental Protection Amendment Act 2003 </w:t>
            </w:r>
            <w:r>
              <w:rPr>
                <w:snapToGrid w:val="0"/>
              </w:rPr>
              <w:t>s. 68(3)</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19 Nov 2003 (see s. 2 and </w:t>
            </w:r>
            <w:r>
              <w:rPr>
                <w:i/>
              </w:rPr>
              <w:t>Gazette</w:t>
            </w:r>
            <w: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62</w:t>
            </w:r>
            <w:r>
              <w:rPr>
                <w:rFonts w:ascii="Times" w:hAnsi="Times"/>
                <w:vertAlign w:val="superscript"/>
              </w:rPr>
              <w:t> </w:t>
            </w:r>
            <w:r>
              <w:rPr>
                <w:vertAlign w:val="superscript"/>
              </w:rPr>
              <w:t>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rFonts w:ascii="Times" w:hAnsi="Times"/>
                <w:i/>
                <w:iCs/>
                <w:snapToGrid w:val="0"/>
              </w:rPr>
              <w:t>Planning and Development (Consequential and Transitional Provisions) Act 2005</w:t>
            </w:r>
            <w:r>
              <w:rPr>
                <w:rFonts w:ascii="Times" w:hAnsi="Times"/>
              </w:rPr>
              <w:t xml:space="preserve"> s. 15</w:t>
            </w:r>
          </w:p>
        </w:tc>
        <w:tc>
          <w:tcPr>
            <w:tcW w:w="1134" w:type="dxa"/>
            <w:tcBorders>
              <w:top w:val="nil"/>
              <w:bottom w:val="nil"/>
            </w:tcBorders>
          </w:tcPr>
          <w:p>
            <w:pPr>
              <w:pStyle w:val="nTable"/>
              <w:spacing w:after="40"/>
              <w:rPr>
                <w:rFonts w:ascii="Times" w:hAnsi="Times"/>
              </w:rPr>
            </w:pPr>
            <w:r>
              <w:rPr>
                <w:rFonts w:ascii="Times" w:hAnsi="Times"/>
                <w:snapToGrid w:val="0"/>
              </w:rPr>
              <w:t>38 of 2005</w:t>
            </w:r>
          </w:p>
        </w:tc>
        <w:tc>
          <w:tcPr>
            <w:tcW w:w="1134" w:type="dxa"/>
            <w:tcBorders>
              <w:top w:val="nil"/>
              <w:bottom w:val="nil"/>
            </w:tcBorders>
          </w:tcPr>
          <w:p>
            <w:pPr>
              <w:pStyle w:val="nTable"/>
              <w:spacing w:after="40"/>
              <w:rPr>
                <w:rFonts w:ascii="Times" w:hAnsi="Times"/>
              </w:rPr>
            </w:pPr>
            <w:r>
              <w:rPr>
                <w:rFonts w:ascii="Times" w:hAnsi="Times"/>
              </w:rPr>
              <w:t>12 Dec 2005</w:t>
            </w:r>
          </w:p>
        </w:tc>
        <w:tc>
          <w:tcPr>
            <w:tcW w:w="2552" w:type="dxa"/>
            <w:tcBorders>
              <w:top w:val="nil"/>
              <w:bottom w:val="nil"/>
            </w:tcBorders>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rPr>
            </w:pPr>
            <w:r>
              <w:rPr>
                <w:rFonts w:ascii="Times" w:hAnsi="Times"/>
                <w:b/>
                <w:bCs/>
              </w:rPr>
              <w:t xml:space="preserve">Reprint 1:  The </w:t>
            </w:r>
            <w:r>
              <w:rPr>
                <w:b/>
                <w:bCs/>
                <w:i/>
                <w:snapToGrid w:val="0"/>
              </w:rPr>
              <w:t>Hope Valley</w:t>
            </w:r>
            <w:r>
              <w:rPr>
                <w:b/>
                <w:bCs/>
                <w:i/>
                <w:snapToGrid w:val="0"/>
              </w:rPr>
              <w:noBreakHyphen/>
              <w:t xml:space="preserve">Wattleup Redevelopment Act 2000 </w:t>
            </w:r>
            <w:r>
              <w:rPr>
                <w:rFonts w:ascii="Times" w:hAnsi="Times"/>
                <w:b/>
                <w:bCs/>
              </w:rPr>
              <w:t>as at 1 Sep 2006</w:t>
            </w:r>
            <w:r>
              <w:rPr>
                <w:rFonts w:ascii="Times" w:hAnsi="Times"/>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i/>
                <w:snapToGrid w:val="0"/>
              </w:rPr>
              <w:t xml:space="preserve">Financial Legislation Amendment and Repeal Act 2006 </w:t>
            </w:r>
            <w:r>
              <w:rPr>
                <w:iCs/>
                <w:snapToGrid w:val="0"/>
              </w:rPr>
              <w:t>Sch. 1 cl. 84</w:t>
            </w:r>
          </w:p>
        </w:tc>
        <w:tc>
          <w:tcPr>
            <w:tcW w:w="1134" w:type="dxa"/>
            <w:tcBorders>
              <w:top w:val="nil"/>
              <w:bottom w:val="nil"/>
            </w:tcBorders>
          </w:tcPr>
          <w:p>
            <w:pPr>
              <w:pStyle w:val="nTable"/>
              <w:spacing w:after="40"/>
              <w:rPr>
                <w:rFonts w:ascii="Times" w:hAnsi="Times"/>
              </w:rPr>
            </w:pPr>
            <w:r>
              <w:rPr>
                <w:snapToGrid w:val="0"/>
              </w:rPr>
              <w:t xml:space="preserve">77 of 2006 </w:t>
            </w:r>
          </w:p>
        </w:tc>
        <w:tc>
          <w:tcPr>
            <w:tcW w:w="1134" w:type="dxa"/>
            <w:tcBorders>
              <w:top w:val="nil"/>
              <w:bottom w:val="nil"/>
            </w:tcBorders>
          </w:tcPr>
          <w:p>
            <w:pPr>
              <w:pStyle w:val="nTable"/>
              <w:spacing w:after="40"/>
              <w:rPr>
                <w:rFonts w:ascii="Times" w:hAnsi="Times"/>
              </w:rPr>
            </w:pPr>
            <w:r>
              <w:rPr>
                <w:snapToGrid w:val="0"/>
              </w:rPr>
              <w:t>21 Dec 2006</w:t>
            </w:r>
          </w:p>
        </w:tc>
        <w:tc>
          <w:tcPr>
            <w:tcW w:w="2552" w:type="dxa"/>
            <w:tcBorders>
              <w:top w:val="nil"/>
              <w:bottom w:val="nil"/>
            </w:tcBorders>
          </w:tcPr>
          <w:p>
            <w:pPr>
              <w:pStyle w:val="nTable"/>
              <w:spacing w:after="40"/>
              <w:rPr>
                <w:rFonts w:ascii="Times" w:hAnsi="Times"/>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Approvals and Related Reforms (No. 4) (Planning) Act 2010</w:t>
            </w:r>
            <w:r>
              <w:t xml:space="preserve"> s. 32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Hope Valley-Wattleup Redevelopment Amendment Act 2011</w:t>
            </w:r>
          </w:p>
        </w:tc>
        <w:tc>
          <w:tcPr>
            <w:tcW w:w="1134" w:type="dxa"/>
            <w:tcBorders>
              <w:top w:val="nil"/>
              <w:bottom w:val="nil"/>
            </w:tcBorders>
            <w:shd w:val="clear" w:color="auto" w:fill="auto"/>
          </w:tcPr>
          <w:p>
            <w:pPr>
              <w:pStyle w:val="nTable"/>
              <w:spacing w:after="40"/>
              <w:rPr>
                <w:snapToGrid w:val="0"/>
              </w:rPr>
            </w:pPr>
            <w:r>
              <w:rPr>
                <w:snapToGrid w:val="0"/>
              </w:rPr>
              <w:t>8 of 2011</w:t>
            </w:r>
          </w:p>
        </w:tc>
        <w:tc>
          <w:tcPr>
            <w:tcW w:w="1134" w:type="dxa"/>
            <w:tcBorders>
              <w:top w:val="nil"/>
              <w:bottom w:val="nil"/>
            </w:tcBorders>
            <w:shd w:val="clear" w:color="auto" w:fill="auto"/>
          </w:tcPr>
          <w:p>
            <w:pPr>
              <w:pStyle w:val="nTable"/>
              <w:spacing w:after="40"/>
              <w:rPr>
                <w:snapToGrid w:val="0"/>
              </w:rPr>
            </w:pPr>
            <w:r>
              <w:rPr>
                <w:snapToGrid w:val="0"/>
              </w:rPr>
              <w:t>2 May 2011</w:t>
            </w:r>
          </w:p>
        </w:tc>
        <w:tc>
          <w:tcPr>
            <w:tcW w:w="2552" w:type="dxa"/>
            <w:tcBorders>
              <w:top w:val="nil"/>
              <w:bottom w:val="nil"/>
            </w:tcBorders>
            <w:shd w:val="clear" w:color="auto" w:fill="auto"/>
          </w:tcPr>
          <w:p>
            <w:pPr>
              <w:pStyle w:val="nTable"/>
              <w:spacing w:after="40"/>
              <w:rPr>
                <w:snapToGrid w:val="0"/>
              </w:rPr>
            </w:pPr>
            <w:r>
              <w:rPr>
                <w:snapToGrid w:val="0"/>
              </w:rPr>
              <w:t>s. 1 and 2: 2 May 2011 (see s. 2(a));</w:t>
            </w:r>
            <w:r>
              <w:rPr>
                <w:snapToGrid w:val="0"/>
              </w:rPr>
              <w:br/>
              <w:t>Act other than s. 1 and 2: 3 May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shd w:val="clear" w:color="auto" w:fill="auto"/>
          </w:tcPr>
          <w:p>
            <w:pPr>
              <w:pStyle w:val="nTable"/>
              <w:spacing w:after="40"/>
              <w:rPr>
                <w:snapToGrid w:val="0"/>
              </w:rPr>
            </w:pPr>
            <w:r>
              <w:rPr>
                <w:rFonts w:ascii="Times" w:hAnsi="Times"/>
                <w:b/>
                <w:bCs/>
              </w:rPr>
              <w:t xml:space="preserve">Reprint 2:  The </w:t>
            </w:r>
            <w:r>
              <w:rPr>
                <w:b/>
                <w:bCs/>
                <w:i/>
                <w:snapToGrid w:val="0"/>
              </w:rPr>
              <w:t>Hope Valley</w:t>
            </w:r>
            <w:r>
              <w:rPr>
                <w:b/>
                <w:bCs/>
                <w:i/>
                <w:snapToGrid w:val="0"/>
              </w:rPr>
              <w:noBreakHyphen/>
              <w:t xml:space="preserve">Wattleup Redevelopment Act 2000 </w:t>
            </w:r>
            <w:r>
              <w:rPr>
                <w:rFonts w:ascii="Times" w:hAnsi="Times"/>
                <w:b/>
                <w:bCs/>
              </w:rPr>
              <w:t>as at 5 Aug 2011</w:t>
            </w:r>
            <w:r>
              <w:rPr>
                <w:rFonts w:ascii="Times" w:hAnsi="Times"/>
              </w:rPr>
              <w:t xml:space="preserve"> (includes amendments listed above)</w:t>
            </w:r>
          </w:p>
        </w:tc>
      </w:tr>
    </w:tbl>
    <w:p>
      <w:pPr>
        <w:pStyle w:val="nSubsection"/>
        <w:spacing w:before="160"/>
        <w:rPr>
          <w:vertAlign w:val="superscript"/>
        </w:rPr>
      </w:pPr>
      <w:r>
        <w:rPr>
          <w:vertAlign w:val="superscript"/>
        </w:rPr>
        <w:t>2</w:t>
      </w:r>
      <w:r>
        <w:tab/>
        <w:t>The day fixed by proclamation under s. 2(1) was</w:t>
      </w:r>
      <w:r>
        <w:rPr>
          <w:vertAlign w:val="superscript"/>
        </w:rPr>
        <w:t xml:space="preserve"> </w:t>
      </w:r>
      <w:r>
        <w:rPr>
          <w:sz w:val="19"/>
        </w:rPr>
        <w:t>1 Jan 2001 (</w:t>
      </w:r>
      <w:r>
        <w:rPr>
          <w:i/>
          <w:sz w:val="19"/>
        </w:rPr>
        <w:t>Gazette</w:t>
      </w:r>
      <w:r>
        <w:rPr>
          <w:sz w:val="19"/>
        </w:rPr>
        <w:t xml:space="preserve"> 29 Dec 2000 p. 7904)</w:t>
      </w:r>
    </w:p>
    <w:p>
      <w:pPr>
        <w:pStyle w:val="nSubsection"/>
      </w:pPr>
      <w:r>
        <w:rPr>
          <w:vertAlign w:val="superscript"/>
        </w:rPr>
        <w:t>3</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assessed scheme</w:t>
      </w:r>
      <w:r>
        <w:tab/>
        <w:t>32(1)</w:t>
      </w:r>
    </w:p>
    <w:p>
      <w:pPr>
        <w:pStyle w:val="DefinedTerms"/>
      </w:pPr>
      <w:r>
        <w:t>Authority</w:t>
      </w:r>
      <w:r>
        <w:tab/>
        <w:t>3(1)</w:t>
      </w:r>
    </w:p>
    <w:p>
      <w:pPr>
        <w:pStyle w:val="DefinedTerms"/>
      </w:pPr>
      <w:r>
        <w:t>commencement day</w:t>
      </w:r>
      <w:r>
        <w:tab/>
        <w:t>37(1)</w:t>
      </w:r>
    </w:p>
    <w:p>
      <w:pPr>
        <w:pStyle w:val="DefinedTerms"/>
      </w:pPr>
      <w:r>
        <w:t>commencement of this Act</w:t>
      </w:r>
      <w:r>
        <w:tab/>
        <w:t>3(1)</w:t>
      </w:r>
    </w:p>
    <w:p>
      <w:pPr>
        <w:pStyle w:val="DefinedTerms"/>
      </w:pPr>
      <w:r>
        <w:t>Commission</w:t>
      </w:r>
      <w:r>
        <w:tab/>
        <w:t>3(1)</w:t>
      </w:r>
    </w:p>
    <w:p>
      <w:pPr>
        <w:pStyle w:val="DefinedTerms"/>
      </w:pPr>
      <w:r>
        <w:t>development</w:t>
      </w:r>
      <w:r>
        <w:tab/>
        <w:t>3(1), 34(4)</w:t>
      </w:r>
    </w:p>
    <w:p>
      <w:pPr>
        <w:pStyle w:val="DefinedTerms"/>
      </w:pPr>
      <w:r>
        <w:t>environmental condition</w:t>
      </w:r>
      <w:r>
        <w:tab/>
        <w:t>32(1)</w:t>
      </w:r>
    </w:p>
    <w:p>
      <w:pPr>
        <w:pStyle w:val="DefinedTerms"/>
      </w:pPr>
      <w:r>
        <w:t>EP Act</w:t>
      </w:r>
      <w:r>
        <w:tab/>
        <w:t>3(1)</w:t>
      </w:r>
    </w:p>
    <w:p>
      <w:pPr>
        <w:pStyle w:val="DefinedTerms"/>
      </w:pPr>
      <w:r>
        <w:t>EPA</w:t>
      </w:r>
      <w:r>
        <w:tab/>
        <w:t>3(1)</w:t>
      </w:r>
    </w:p>
    <w:p>
      <w:pPr>
        <w:pStyle w:val="DefinedTerms"/>
      </w:pPr>
      <w:r>
        <w:t>master plan</w:t>
      </w:r>
      <w:r>
        <w:tab/>
        <w:t>3(1)</w:t>
      </w:r>
    </w:p>
    <w:p>
      <w:pPr>
        <w:pStyle w:val="DefinedTerms"/>
      </w:pPr>
      <w:r>
        <w:t>Metropolitan Region Scheme</w:t>
      </w:r>
      <w:r>
        <w:tab/>
        <w:t>3(1)</w:t>
      </w:r>
    </w:p>
    <w:p>
      <w:pPr>
        <w:pStyle w:val="DefinedTerms"/>
      </w:pPr>
      <w:r>
        <w:t>Minister for the Environment</w:t>
      </w:r>
      <w:r>
        <w:tab/>
        <w:t>3(1)</w:t>
      </w:r>
    </w:p>
    <w:p>
      <w:pPr>
        <w:pStyle w:val="DefinedTerms"/>
      </w:pPr>
      <w:r>
        <w:t>officer</w:t>
      </w:r>
      <w:r>
        <w:tab/>
        <w:t>30(2)</w:t>
      </w:r>
    </w:p>
    <w:p>
      <w:pPr>
        <w:pStyle w:val="DefinedTerms"/>
      </w:pPr>
      <w:r>
        <w:t>planning schemes</w:t>
      </w:r>
      <w:r>
        <w:tab/>
        <w:t>23(3)</w:t>
      </w:r>
    </w:p>
    <w:p>
      <w:pPr>
        <w:pStyle w:val="DefinedTerms"/>
      </w:pPr>
      <w:r>
        <w:t>public authority</w:t>
      </w:r>
      <w:r>
        <w:tab/>
        <w:t>3(1)</w:t>
      </w:r>
    </w:p>
    <w:p>
      <w:pPr>
        <w:pStyle w:val="DefinedTerms"/>
      </w:pPr>
      <w:r>
        <w:t>rateable land</w:t>
      </w:r>
      <w:r>
        <w:tab/>
        <w:t>34(4)</w:t>
      </w:r>
    </w:p>
    <w:p>
      <w:pPr>
        <w:pStyle w:val="DefinedTerms"/>
      </w:pPr>
      <w:r>
        <w:t>redevelopment area</w:t>
      </w:r>
      <w:r>
        <w:tab/>
        <w:t>3(1)</w:t>
      </w:r>
    </w:p>
    <w:p>
      <w:pPr>
        <w:pStyle w:val="DefinedTerms"/>
      </w:pPr>
      <w:r>
        <w:t>street</w:t>
      </w:r>
      <w:r>
        <w:tab/>
        <w:t>8(4)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Hope Valley-Wattleup Redevelopment Act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029"/>
    <w:docVar w:name="WAFER_20140129150018" w:val="RemoveTocBookmarks,RemoveUnusedBookmarks,RemoveLanguageTags,UsedStyles,ResetPageSize,UpdateArrangement"/>
    <w:docVar w:name="WAFER_20140129150018_GUID" w:val="c8252104-9414-4316-b92b-07020f9ae71d"/>
    <w:docVar w:name="WAFER_20140129150025" w:val="RemoveTocBookmarks,RunningHeaders"/>
    <w:docVar w:name="WAFER_20140129150025_GUID" w:val="2a86c22f-95c4-4ab1-ba8b-e6649320aad8"/>
    <w:docVar w:name="WAFER_20150515143452" w:val="ResetPageSize,UpdateArrangement,UpdateNTable"/>
    <w:docVar w:name="WAFER_20150515143452_GUID" w:val="dcbea64c-893c-45a0-b440-4ad39c69d183"/>
    <w:docVar w:name="WAFER_20151105133029" w:val="UpdateStyles,UsedStyles"/>
    <w:docVar w:name="WAFER_20151105133029_GUID" w:val="f6574efa-5784-4358-ac0d-7699ddebc2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PlaceTyp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7323</Words>
  <Characters>34785</Characters>
  <Application>Microsoft Office Word</Application>
  <DocSecurity>0</DocSecurity>
  <Lines>966</Lines>
  <Paragraphs>569</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41539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2000 - 02-a0-05</dc:title>
  <dc:subject/>
  <dc:creator/>
  <cp:keywords/>
  <dc:description/>
  <cp:lastModifiedBy>svcMRProcess</cp:lastModifiedBy>
  <cp:revision>4</cp:revision>
  <cp:lastPrinted>2011-08-26T03:02:00Z</cp:lastPrinted>
  <dcterms:created xsi:type="dcterms:W3CDTF">2019-01-22T01:55:00Z</dcterms:created>
  <dcterms:modified xsi:type="dcterms:W3CDTF">2019-01-22T01:55:00Z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20110805</vt:lpwstr>
  </property>
  <property fmtid="{D5CDD505-2E9C-101B-9397-08002B2CF9AE}" pid="4" name="DocumentType">
    <vt:lpwstr>Act</vt:lpwstr>
  </property>
  <property fmtid="{D5CDD505-2E9C-101B-9397-08002B2CF9AE}" pid="5" name="OwlsUID">
    <vt:i4>2064</vt:i4>
  </property>
  <property fmtid="{D5CDD505-2E9C-101B-9397-08002B2CF9AE}" pid="6" name="ReprintNo">
    <vt:lpwstr>2</vt:lpwstr>
  </property>
  <property fmtid="{D5CDD505-2E9C-101B-9397-08002B2CF9AE}" pid="7" name="ReprintedAsAt">
    <vt:filetime>2011-08-04T16:00:00Z</vt:filetime>
  </property>
  <property fmtid="{D5CDD505-2E9C-101B-9397-08002B2CF9AE}" pid="8" name="AsAtDate">
    <vt:lpwstr>05 Aug 2011</vt:lpwstr>
  </property>
  <property fmtid="{D5CDD505-2E9C-101B-9397-08002B2CF9AE}" pid="9" name="Suffix">
    <vt:lpwstr>02-a0-05</vt:lpwstr>
  </property>
</Properties>
</file>