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Taxi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Taxi Act 1994</w:t>
      </w:r>
      <w:r>
        <w:fldChar w:fldCharType="end"/>
      </w:r>
    </w:p>
    <w:p>
      <w:pPr>
        <w:pStyle w:val="Arrangement"/>
        <w:spacing w:after="240"/>
        <w:ind w:left="2302" w:right="2302"/>
      </w:pPr>
      <w:r>
        <w:t>CONTENTS</w:t>
      </w:r>
    </w:p>
    <w:p>
      <w:pPr>
        <w:pStyle w:val="TOC2"/>
        <w:tabs>
          <w:tab w:val="right" w:leader="dot" w:pos="7086"/>
        </w:tabs>
        <w:rPr>
          <w:b w:val="0"/>
          <w:noProof/>
          <w:sz w:val="24"/>
          <w:szCs w:val="24"/>
        </w:rPr>
      </w:pPr>
      <w:r>
        <w:fldChar w:fldCharType="begin"/>
      </w:r>
      <w:r>
        <w:instrText xml:space="preserve"> TOC \o "1-3" \t "Heading 4,3,Heading 5,4, Heading 6,6,yScheduleHeading,5,yScheduleHeading 2,5,yHeading 2,7,yHeading 3,7,yHeading 6,6" \n 2-3 \t " yHeading 4,3,yHeading 5,4,nHeading 3,4" \n 2-3  \* MERGEFORMAT </w:instrText>
      </w:r>
      <w: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_Toc131835849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_Toc131835850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_Toc131835851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Operations within control area</w:t>
      </w:r>
      <w:r>
        <w:rPr>
          <w:noProof/>
        </w:rPr>
        <w:tab/>
      </w:r>
      <w:r>
        <w:rPr>
          <w:noProof/>
        </w:rPr>
        <w:fldChar w:fldCharType="begin"/>
      </w:r>
      <w:r>
        <w:rPr>
          <w:noProof/>
        </w:rPr>
        <w:instrText xml:space="preserve"> PAGEREF _Toc131835852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rPr>
      </w:pPr>
      <w:r>
        <w:rPr>
          <w:noProof/>
          <w:szCs w:val="30"/>
        </w:rPr>
        <w:t>Part 2 — Administration</w:t>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Directions</w:t>
      </w:r>
      <w:r>
        <w:rPr>
          <w:noProof/>
        </w:rPr>
        <w:tab/>
      </w:r>
      <w:r>
        <w:rPr>
          <w:noProof/>
        </w:rPr>
        <w:fldChar w:fldCharType="begin"/>
      </w:r>
      <w:r>
        <w:rPr>
          <w:noProof/>
        </w:rPr>
        <w:instrText xml:space="preserve"> PAGEREF _Toc131835854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Delegatory power of Minister and Director General</w:t>
      </w:r>
      <w:r>
        <w:rPr>
          <w:noProof/>
        </w:rPr>
        <w:tab/>
      </w:r>
      <w:r>
        <w:rPr>
          <w:noProof/>
        </w:rPr>
        <w:fldChar w:fldCharType="begin"/>
      </w:r>
      <w:r>
        <w:rPr>
          <w:noProof/>
        </w:rPr>
        <w:instrText xml:space="preserve"> PAGEREF _Toc131835855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Director General to advise Minister</w:t>
      </w:r>
      <w:r>
        <w:rPr>
          <w:noProof/>
        </w:rPr>
        <w:tab/>
      </w:r>
      <w:r>
        <w:rPr>
          <w:noProof/>
        </w:rPr>
        <w:fldChar w:fldCharType="begin"/>
      </w:r>
      <w:r>
        <w:rPr>
          <w:noProof/>
        </w:rPr>
        <w:instrText xml:space="preserve"> PAGEREF _Toc131835856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Taxi Industry Board</w:t>
      </w:r>
      <w:r>
        <w:rPr>
          <w:noProof/>
        </w:rPr>
        <w:tab/>
      </w:r>
      <w:r>
        <w:rPr>
          <w:noProof/>
        </w:rPr>
        <w:fldChar w:fldCharType="begin"/>
      </w:r>
      <w:r>
        <w:rPr>
          <w:noProof/>
        </w:rPr>
        <w:instrText xml:space="preserve"> PAGEREF _Toc131835857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Tenure of office</w:t>
      </w:r>
      <w:r>
        <w:rPr>
          <w:noProof/>
        </w:rPr>
        <w:tab/>
      </w:r>
      <w:r>
        <w:rPr>
          <w:noProof/>
        </w:rPr>
        <w:fldChar w:fldCharType="begin"/>
      </w:r>
      <w:r>
        <w:rPr>
          <w:noProof/>
        </w:rPr>
        <w:instrText xml:space="preserve"> PAGEREF _Toc131835858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Chairperson</w:t>
      </w:r>
      <w:r>
        <w:rPr>
          <w:noProof/>
        </w:rPr>
        <w:tab/>
      </w:r>
      <w:r>
        <w:rPr>
          <w:noProof/>
        </w:rPr>
        <w:fldChar w:fldCharType="begin"/>
      </w:r>
      <w:r>
        <w:rPr>
          <w:noProof/>
        </w:rPr>
        <w:instrText xml:space="preserve"> PAGEREF _Toc131835859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Meetings</w:t>
      </w:r>
      <w:r>
        <w:rPr>
          <w:noProof/>
        </w:rPr>
        <w:tab/>
      </w:r>
      <w:r>
        <w:rPr>
          <w:noProof/>
        </w:rPr>
        <w:fldChar w:fldCharType="begin"/>
      </w:r>
      <w:r>
        <w:rPr>
          <w:noProof/>
        </w:rPr>
        <w:instrText xml:space="preserve"> PAGEREF _Toc131835860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Remuneration and allowances</w:t>
      </w:r>
      <w:r>
        <w:rPr>
          <w:noProof/>
        </w:rPr>
        <w:tab/>
      </w:r>
      <w:r>
        <w:rPr>
          <w:noProof/>
        </w:rPr>
        <w:fldChar w:fldCharType="begin"/>
      </w:r>
      <w:r>
        <w:rPr>
          <w:noProof/>
        </w:rPr>
        <w:instrText xml:space="preserve"> PAGEREF _Toc131835861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Funding of Board</w:t>
      </w:r>
      <w:r>
        <w:rPr>
          <w:noProof/>
        </w:rPr>
        <w:tab/>
      </w:r>
      <w:r>
        <w:rPr>
          <w:noProof/>
        </w:rPr>
        <w:fldChar w:fldCharType="begin"/>
      </w:r>
      <w:r>
        <w:rPr>
          <w:noProof/>
        </w:rPr>
        <w:instrText xml:space="preserve"> PAGEREF _Toc131835862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Functions of Board</w:t>
      </w:r>
      <w:r>
        <w:rPr>
          <w:noProof/>
        </w:rPr>
        <w:tab/>
      </w:r>
      <w:r>
        <w:rPr>
          <w:noProof/>
        </w:rPr>
        <w:fldChar w:fldCharType="begin"/>
      </w:r>
      <w:r>
        <w:rPr>
          <w:noProof/>
        </w:rPr>
        <w:instrText xml:space="preserve"> PAGEREF _Toc131835863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szCs w:val="24"/>
        </w:rPr>
      </w:pPr>
      <w:r>
        <w:rPr>
          <w:noProof/>
          <w:szCs w:val="30"/>
        </w:rPr>
        <w:t>Part 3 — Operation of taxis</w:t>
      </w:r>
    </w:p>
    <w:p>
      <w:pPr>
        <w:pStyle w:val="TOC3"/>
        <w:rPr>
          <w:b w:val="0"/>
          <w:noProof/>
          <w:sz w:val="24"/>
          <w:szCs w:val="24"/>
        </w:rPr>
      </w:pPr>
      <w:r>
        <w:rPr>
          <w:noProof/>
          <w:szCs w:val="26"/>
        </w:rPr>
        <w:t>Division 1</w:t>
      </w:r>
      <w:r>
        <w:rPr>
          <w:noProof/>
          <w:snapToGrid w:val="0"/>
          <w:szCs w:val="26"/>
        </w:rPr>
        <w:t> — </w:t>
      </w:r>
      <w:r>
        <w:rPr>
          <w:noProof/>
          <w:szCs w:val="26"/>
        </w:rPr>
        <w:t>Taxi plates</w:t>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Taxi plates</w:t>
      </w:r>
      <w:r>
        <w:rPr>
          <w:noProof/>
        </w:rPr>
        <w:tab/>
      </w:r>
      <w:r>
        <w:rPr>
          <w:noProof/>
        </w:rPr>
        <w:fldChar w:fldCharType="begin"/>
      </w:r>
      <w:r>
        <w:rPr>
          <w:noProof/>
        </w:rPr>
        <w:instrText xml:space="preserve"> PAGEREF _Toc131835866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Taxi plates offered for sale by public tender</w:t>
      </w:r>
      <w:r>
        <w:rPr>
          <w:noProof/>
        </w:rPr>
        <w:tab/>
      </w:r>
      <w:r>
        <w:rPr>
          <w:noProof/>
        </w:rPr>
        <w:fldChar w:fldCharType="begin"/>
      </w:r>
      <w:r>
        <w:rPr>
          <w:noProof/>
        </w:rPr>
        <w:instrText xml:space="preserve"> PAGEREF _Toc131835867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Form of tender</w:t>
      </w:r>
      <w:r>
        <w:rPr>
          <w:noProof/>
        </w:rPr>
        <w:tab/>
      </w:r>
      <w:r>
        <w:rPr>
          <w:noProof/>
        </w:rPr>
        <w:fldChar w:fldCharType="begin"/>
      </w:r>
      <w:r>
        <w:rPr>
          <w:noProof/>
        </w:rPr>
        <w:instrText xml:space="preserve"> PAGEREF _Toc131835868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Issue of taxi plates</w:t>
      </w:r>
      <w:r>
        <w:rPr>
          <w:noProof/>
        </w:rPr>
        <w:tab/>
      </w:r>
      <w:r>
        <w:rPr>
          <w:noProof/>
        </w:rPr>
        <w:fldChar w:fldCharType="begin"/>
      </w:r>
      <w:r>
        <w:rPr>
          <w:noProof/>
        </w:rPr>
        <w:instrText xml:space="preserve"> PAGEREF _Toc131835869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Annual fees for taxi plates</w:t>
      </w:r>
      <w:r>
        <w:rPr>
          <w:noProof/>
        </w:rPr>
        <w:tab/>
      </w:r>
      <w:r>
        <w:rPr>
          <w:noProof/>
        </w:rPr>
        <w:fldChar w:fldCharType="begin"/>
      </w:r>
      <w:r>
        <w:rPr>
          <w:noProof/>
        </w:rPr>
        <w:instrText xml:space="preserve"> PAGEREF _Toc131835870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19A.</w:t>
      </w:r>
      <w:r>
        <w:rPr>
          <w:noProof/>
          <w:sz w:val="24"/>
          <w:szCs w:val="24"/>
        </w:rPr>
        <w:tab/>
      </w:r>
      <w:r>
        <w:rPr>
          <w:noProof/>
          <w:szCs w:val="24"/>
        </w:rPr>
        <w:t>Periodic payments for leased taxi plates</w:t>
      </w:r>
      <w:r>
        <w:rPr>
          <w:noProof/>
        </w:rPr>
        <w:tab/>
      </w:r>
      <w:r>
        <w:rPr>
          <w:noProof/>
        </w:rPr>
        <w:fldChar w:fldCharType="begin"/>
      </w:r>
      <w:r>
        <w:rPr>
          <w:noProof/>
        </w:rPr>
        <w:instrText xml:space="preserve"> PAGEREF _Toc131835871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Conditions</w:t>
      </w:r>
      <w:r>
        <w:rPr>
          <w:noProof/>
        </w:rPr>
        <w:tab/>
      </w:r>
      <w:r>
        <w:rPr>
          <w:noProof/>
        </w:rPr>
        <w:fldChar w:fldCharType="begin"/>
      </w:r>
      <w:r>
        <w:rPr>
          <w:noProof/>
        </w:rPr>
        <w:instrText xml:space="preserve"> PAGEREF _Toc131835872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Use of taxi plates</w:t>
      </w:r>
      <w:r>
        <w:rPr>
          <w:noProof/>
        </w:rPr>
        <w:tab/>
      </w:r>
      <w:r>
        <w:rPr>
          <w:noProof/>
        </w:rPr>
        <w:fldChar w:fldCharType="begin"/>
      </w:r>
      <w:r>
        <w:rPr>
          <w:noProof/>
        </w:rPr>
        <w:instrText xml:space="preserve"> PAGEREF _Toc131835873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Variation of conditions</w:t>
      </w:r>
      <w:r>
        <w:rPr>
          <w:noProof/>
        </w:rPr>
        <w:tab/>
      </w:r>
      <w:r>
        <w:rPr>
          <w:noProof/>
        </w:rPr>
        <w:fldChar w:fldCharType="begin"/>
      </w:r>
      <w:r>
        <w:rPr>
          <w:noProof/>
        </w:rPr>
        <w:instrText xml:space="preserve"> PAGEREF _Toc131835874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Divesting and forfeiture of taxi plates</w:t>
      </w:r>
      <w:r>
        <w:rPr>
          <w:noProof/>
        </w:rPr>
        <w:tab/>
      </w:r>
      <w:r>
        <w:rPr>
          <w:noProof/>
        </w:rPr>
        <w:fldChar w:fldCharType="begin"/>
      </w:r>
      <w:r>
        <w:rPr>
          <w:noProof/>
        </w:rPr>
        <w:instrText xml:space="preserve"> PAGEREF _Toc131835875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23A.</w:t>
      </w:r>
      <w:r>
        <w:rPr>
          <w:noProof/>
          <w:sz w:val="24"/>
          <w:szCs w:val="24"/>
        </w:rPr>
        <w:tab/>
      </w:r>
      <w:r>
        <w:rPr>
          <w:noProof/>
          <w:szCs w:val="24"/>
        </w:rPr>
        <w:t>Forfeiture of leased taxi plates</w:t>
      </w:r>
      <w:r>
        <w:rPr>
          <w:noProof/>
        </w:rPr>
        <w:tab/>
      </w:r>
      <w:r>
        <w:rPr>
          <w:noProof/>
        </w:rPr>
        <w:fldChar w:fldCharType="begin"/>
      </w:r>
      <w:r>
        <w:rPr>
          <w:noProof/>
        </w:rPr>
        <w:instrText xml:space="preserve"> PAGEREF _Toc131835876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Transfer of taxi plates</w:t>
      </w:r>
      <w:r>
        <w:rPr>
          <w:noProof/>
        </w:rPr>
        <w:tab/>
      </w:r>
      <w:r>
        <w:rPr>
          <w:noProof/>
        </w:rPr>
        <w:fldChar w:fldCharType="begin"/>
      </w:r>
      <w:r>
        <w:rPr>
          <w:noProof/>
        </w:rPr>
        <w:instrText xml:space="preserve"> PAGEREF _Toc131835877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Return of taxi plates</w:t>
      </w:r>
      <w:r>
        <w:rPr>
          <w:noProof/>
        </w:rPr>
        <w:tab/>
      </w:r>
      <w:r>
        <w:rPr>
          <w:noProof/>
        </w:rPr>
        <w:fldChar w:fldCharType="begin"/>
      </w:r>
      <w:r>
        <w:rPr>
          <w:noProof/>
        </w:rPr>
        <w:instrText xml:space="preserve"> PAGEREF _Toc131835878 \h </w:instrText>
      </w:r>
      <w:r>
        <w:rPr>
          <w:noProof/>
        </w:rPr>
      </w:r>
      <w:r>
        <w:rPr>
          <w:noProof/>
        </w:rPr>
        <w:fldChar w:fldCharType="separate"/>
      </w:r>
      <w:r>
        <w:rPr>
          <w:noProof/>
        </w:rPr>
        <w:t>21</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Registration of providers of taxi dispatch services</w:t>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Taxi dispatch service</w:t>
      </w:r>
      <w:r>
        <w:rPr>
          <w:noProof/>
        </w:rPr>
        <w:tab/>
      </w:r>
      <w:r>
        <w:rPr>
          <w:noProof/>
        </w:rPr>
        <w:fldChar w:fldCharType="begin"/>
      </w:r>
      <w:r>
        <w:rPr>
          <w:noProof/>
        </w:rPr>
        <w:instrText xml:space="preserve"> PAGEREF _Toc131835880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Application for registration</w:t>
      </w:r>
      <w:r>
        <w:rPr>
          <w:noProof/>
        </w:rPr>
        <w:tab/>
      </w:r>
      <w:r>
        <w:rPr>
          <w:noProof/>
        </w:rPr>
        <w:fldChar w:fldCharType="begin"/>
      </w:r>
      <w:r>
        <w:rPr>
          <w:noProof/>
        </w:rPr>
        <w:instrText xml:space="preserve"> PAGEREF _Toc131835881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Registration</w:t>
      </w:r>
      <w:r>
        <w:rPr>
          <w:noProof/>
        </w:rPr>
        <w:tab/>
      </w:r>
      <w:r>
        <w:rPr>
          <w:noProof/>
        </w:rPr>
        <w:fldChar w:fldCharType="begin"/>
      </w:r>
      <w:r>
        <w:rPr>
          <w:noProof/>
        </w:rPr>
        <w:instrText xml:space="preserve"> PAGEREF _Toc131835882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Conditions</w:t>
      </w:r>
      <w:r>
        <w:rPr>
          <w:noProof/>
        </w:rPr>
        <w:tab/>
      </w:r>
      <w:r>
        <w:rPr>
          <w:noProof/>
        </w:rPr>
        <w:fldChar w:fldCharType="begin"/>
      </w:r>
      <w:r>
        <w:rPr>
          <w:noProof/>
        </w:rPr>
        <w:instrText xml:space="preserve"> PAGEREF _Toc131835883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Cancellation of registration</w:t>
      </w:r>
      <w:r>
        <w:rPr>
          <w:noProof/>
        </w:rPr>
        <w:tab/>
      </w:r>
      <w:r>
        <w:rPr>
          <w:noProof/>
        </w:rPr>
        <w:fldChar w:fldCharType="begin"/>
      </w:r>
      <w:r>
        <w:rPr>
          <w:noProof/>
        </w:rPr>
        <w:instrText xml:space="preserve"> PAGEREF _Toc131835884 \h </w:instrText>
      </w:r>
      <w:r>
        <w:rPr>
          <w:noProof/>
        </w:rPr>
      </w:r>
      <w:r>
        <w:rPr>
          <w:noProof/>
        </w:rPr>
        <w:fldChar w:fldCharType="separate"/>
      </w:r>
      <w:r>
        <w:rPr>
          <w:noProof/>
        </w:rPr>
        <w:t>24</w:t>
      </w:r>
      <w:r>
        <w:rPr>
          <w:noProof/>
        </w:rPr>
        <w:fldChar w:fldCharType="end"/>
      </w:r>
    </w:p>
    <w:p>
      <w:pPr>
        <w:pStyle w:val="TOC2"/>
        <w:tabs>
          <w:tab w:val="right" w:leader="dot" w:pos="7086"/>
        </w:tabs>
        <w:rPr>
          <w:b w:val="0"/>
          <w:noProof/>
          <w:sz w:val="24"/>
          <w:szCs w:val="24"/>
        </w:rPr>
      </w:pPr>
      <w:r>
        <w:rPr>
          <w:noProof/>
          <w:szCs w:val="30"/>
        </w:rPr>
        <w:t>Part 4 — General</w:t>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Authorised officers</w:t>
      </w:r>
      <w:r>
        <w:rPr>
          <w:noProof/>
        </w:rPr>
        <w:tab/>
      </w:r>
      <w:r>
        <w:rPr>
          <w:noProof/>
        </w:rPr>
        <w:fldChar w:fldCharType="begin"/>
      </w:r>
      <w:r>
        <w:rPr>
          <w:noProof/>
        </w:rPr>
        <w:instrText xml:space="preserve"> PAGEREF _Toc131835886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Powers of authorised officers</w:t>
      </w:r>
      <w:r>
        <w:rPr>
          <w:noProof/>
        </w:rPr>
        <w:tab/>
      </w:r>
      <w:r>
        <w:rPr>
          <w:noProof/>
        </w:rPr>
        <w:fldChar w:fldCharType="begin"/>
      </w:r>
      <w:r>
        <w:rPr>
          <w:noProof/>
        </w:rPr>
        <w:instrText xml:space="preserve"> PAGEREF _Toc131835887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Averments</w:t>
      </w:r>
      <w:r>
        <w:rPr>
          <w:noProof/>
        </w:rPr>
        <w:tab/>
      </w:r>
      <w:r>
        <w:rPr>
          <w:noProof/>
        </w:rPr>
        <w:fldChar w:fldCharType="begin"/>
      </w:r>
      <w:r>
        <w:rPr>
          <w:noProof/>
        </w:rPr>
        <w:instrText xml:space="preserve"> PAGEREF _Toc131835888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Bonds held by operators</w:t>
      </w:r>
      <w:r>
        <w:rPr>
          <w:noProof/>
        </w:rPr>
        <w:tab/>
      </w:r>
      <w:r>
        <w:rPr>
          <w:noProof/>
        </w:rPr>
        <w:fldChar w:fldCharType="begin"/>
      </w:r>
      <w:r>
        <w:rPr>
          <w:noProof/>
        </w:rPr>
        <w:instrText xml:space="preserve"> PAGEREF _Toc131835889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Appeals against certain decisions</w:t>
      </w:r>
      <w:r>
        <w:rPr>
          <w:noProof/>
        </w:rPr>
        <w:tab/>
      </w:r>
      <w:r>
        <w:rPr>
          <w:noProof/>
        </w:rPr>
        <w:fldChar w:fldCharType="begin"/>
      </w:r>
      <w:r>
        <w:rPr>
          <w:noProof/>
        </w:rPr>
        <w:instrText xml:space="preserve"> PAGEREF _Toc131835890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Infringement notices</w:t>
      </w:r>
      <w:r>
        <w:rPr>
          <w:noProof/>
        </w:rPr>
        <w:tab/>
      </w:r>
      <w:r>
        <w:rPr>
          <w:noProof/>
        </w:rPr>
        <w:fldChar w:fldCharType="begin"/>
      </w:r>
      <w:r>
        <w:rPr>
          <w:noProof/>
        </w:rPr>
        <w:instrText xml:space="preserve"> PAGEREF _Toc131835891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_Toc131835892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zCs w:val="24"/>
        </w:rPr>
        <w:t>Taxi Industry Development Account</w:t>
      </w:r>
      <w:r>
        <w:rPr>
          <w:noProof/>
        </w:rPr>
        <w:tab/>
      </w:r>
      <w:r>
        <w:rPr>
          <w:noProof/>
        </w:rPr>
        <w:fldChar w:fldCharType="begin"/>
      </w:r>
      <w:r>
        <w:rPr>
          <w:noProof/>
        </w:rPr>
        <w:instrText xml:space="preserve"> PAGEREF _Toc131835893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Surrender of certain taxi plates</w:t>
      </w:r>
      <w:r>
        <w:rPr>
          <w:noProof/>
        </w:rPr>
        <w:tab/>
      </w:r>
      <w:r>
        <w:rPr>
          <w:noProof/>
        </w:rPr>
        <w:fldChar w:fldCharType="begin"/>
      </w:r>
      <w:r>
        <w:rPr>
          <w:noProof/>
        </w:rPr>
        <w:instrText xml:space="preserve"> PAGEREF _Toc131835894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Review of Act</w:t>
      </w:r>
      <w:r>
        <w:rPr>
          <w:noProof/>
        </w:rPr>
        <w:tab/>
      </w:r>
      <w:r>
        <w:rPr>
          <w:noProof/>
        </w:rPr>
        <w:fldChar w:fldCharType="begin"/>
      </w:r>
      <w:r>
        <w:rPr>
          <w:noProof/>
        </w:rPr>
        <w:instrText xml:space="preserve"> PAGEREF _Toc131835895 \h </w:instrText>
      </w:r>
      <w:r>
        <w:rPr>
          <w:noProof/>
        </w:rPr>
      </w:r>
      <w:r>
        <w:rPr>
          <w:noProof/>
        </w:rPr>
        <w:fldChar w:fldCharType="separate"/>
      </w:r>
      <w:r>
        <w:rPr>
          <w:noProof/>
        </w:rPr>
        <w:t>36</w:t>
      </w:r>
      <w:r>
        <w:rPr>
          <w:noProof/>
        </w:rPr>
        <w:fldChar w:fldCharType="end"/>
      </w:r>
    </w:p>
    <w:p>
      <w:pPr>
        <w:pStyle w:val="TOC2"/>
        <w:tabs>
          <w:tab w:val="right" w:leader="dot" w:pos="7086"/>
        </w:tabs>
        <w:rPr>
          <w:b w:val="0"/>
          <w:noProof/>
          <w:sz w:val="24"/>
          <w:szCs w:val="24"/>
        </w:rPr>
      </w:pPr>
      <w:r>
        <w:rPr>
          <w:noProof/>
          <w:szCs w:val="30"/>
        </w:rPr>
        <w:t>Part 5 — Repeal and transitional provisions</w:t>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Repeal</w:t>
      </w:r>
      <w:r>
        <w:rPr>
          <w:noProof/>
        </w:rPr>
        <w:tab/>
      </w:r>
      <w:r>
        <w:rPr>
          <w:noProof/>
        </w:rPr>
        <w:fldChar w:fldCharType="begin"/>
      </w:r>
      <w:r>
        <w:rPr>
          <w:noProof/>
        </w:rPr>
        <w:instrText xml:space="preserve"> PAGEREF _Toc131835897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Transitional</w:t>
      </w:r>
      <w:r>
        <w:rPr>
          <w:noProof/>
        </w:rPr>
        <w:tab/>
      </w:r>
      <w:r>
        <w:rPr>
          <w:noProof/>
        </w:rPr>
        <w:fldChar w:fldCharType="begin"/>
      </w:r>
      <w:r>
        <w:rPr>
          <w:noProof/>
        </w:rPr>
        <w:instrText xml:space="preserve"> PAGEREF _Toc131835898 \h </w:instrText>
      </w:r>
      <w:r>
        <w:rPr>
          <w:noProof/>
        </w:rPr>
      </w:r>
      <w:r>
        <w:rPr>
          <w:noProof/>
        </w:rPr>
        <w:fldChar w:fldCharType="separate"/>
      </w:r>
      <w:r>
        <w:rPr>
          <w:noProof/>
        </w:rPr>
        <w:t>37</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_Toc131835900 \h </w:instrText>
      </w:r>
      <w:r>
        <w:rPr>
          <w:noProof/>
        </w:rPr>
      </w:r>
      <w:r>
        <w:rPr>
          <w:noProof/>
        </w:rPr>
        <w:fldChar w:fldCharType="separate"/>
      </w:r>
      <w:r>
        <w:rPr>
          <w:noProof/>
        </w:rPr>
        <w:t>40</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_Toc131835901 \h </w:instrText>
      </w:r>
      <w:r>
        <w:rPr>
          <w:noProof/>
        </w:rPr>
      </w:r>
      <w:r>
        <w:rPr>
          <w:noProof/>
        </w:rPr>
        <w:fldChar w:fldCharType="separate"/>
      </w:r>
      <w:r>
        <w:rPr>
          <w:noProof/>
        </w:rPr>
        <w:t>41</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1200"/>
      </w:pPr>
      <w:r>
        <w:t xml:space="preserve">Taxi Act 1994 </w:t>
      </w:r>
    </w:p>
    <w:p>
      <w:pPr>
        <w:pStyle w:val="LongTitle"/>
        <w:rPr>
          <w:snapToGrid w:val="0"/>
        </w:rPr>
      </w:pPr>
      <w:r>
        <w:rPr>
          <w:snapToGrid w:val="0"/>
        </w:rPr>
        <w:t xml:space="preserve">An Act to provide for the effective administration of the Taxi Industry, to repeal the </w:t>
      </w:r>
      <w:r>
        <w:rPr>
          <w:i/>
          <w:snapToGrid w:val="0"/>
        </w:rPr>
        <w:t>Taxi</w:t>
      </w:r>
      <w:r>
        <w:rPr>
          <w:i/>
          <w:snapToGrid w:val="0"/>
        </w:rPr>
        <w:noBreakHyphen/>
        <w:t>car Control Act 1985</w:t>
      </w:r>
      <w:r>
        <w:rPr>
          <w:snapToGrid w:val="0"/>
        </w:rPr>
        <w:t xml:space="preserve">, to amend certain other Acts and for related purposes. </w:t>
      </w:r>
    </w:p>
    <w:p>
      <w:pPr>
        <w:pStyle w:val="Heading2"/>
      </w:pPr>
      <w:bookmarkStart w:id="1" w:name="_Toc89758967"/>
      <w:bookmarkStart w:id="2" w:name="_Toc91321510"/>
      <w:bookmarkStart w:id="3" w:name="_Toc92772382"/>
      <w:bookmarkStart w:id="4" w:name="_Toc96919140"/>
      <w:bookmarkStart w:id="5" w:name="_Toc103072724"/>
      <w:bookmarkStart w:id="6" w:name="_Toc107910887"/>
      <w:bookmarkStart w:id="7" w:name="_Toc123640041"/>
      <w:bookmarkStart w:id="8" w:name="_Toc13183584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403945998"/>
      <w:bookmarkStart w:id="10" w:name="_Toc12345114"/>
      <w:bookmarkStart w:id="11" w:name="_Toc131835849"/>
      <w:r>
        <w:rPr>
          <w:rStyle w:val="CharSectno"/>
        </w:rPr>
        <w:t>1</w:t>
      </w:r>
      <w:r>
        <w:rPr>
          <w:snapToGrid w:val="0"/>
        </w:rPr>
        <w:t>.</w:t>
      </w:r>
      <w:r>
        <w:rPr>
          <w:snapToGrid w:val="0"/>
        </w:rPr>
        <w:tab/>
        <w:t>Short title</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12" w:name="_Toc403945999"/>
      <w:bookmarkStart w:id="13" w:name="_Toc12345115"/>
      <w:bookmarkStart w:id="14" w:name="_Toc131835850"/>
      <w:r>
        <w:rPr>
          <w:rStyle w:val="CharSectno"/>
        </w:rPr>
        <w:t>2</w:t>
      </w:r>
      <w:r>
        <w:rPr>
          <w:snapToGrid w:val="0"/>
        </w:rPr>
        <w:t>.</w:t>
      </w:r>
      <w:r>
        <w:rPr>
          <w:snapToGrid w:val="0"/>
        </w:rPr>
        <w:tab/>
        <w:t>Commencement</w:t>
      </w:r>
      <w:bookmarkEnd w:id="12"/>
      <w:bookmarkEnd w:id="13"/>
      <w:bookmarkEnd w:id="14"/>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5" w:name="_Toc403946000"/>
      <w:bookmarkStart w:id="16" w:name="_Toc12345116"/>
      <w:bookmarkStart w:id="17" w:name="_Toc131835851"/>
      <w:r>
        <w:rPr>
          <w:rStyle w:val="CharSectno"/>
        </w:rPr>
        <w:t>3</w:t>
      </w:r>
      <w:r>
        <w:rPr>
          <w:snapToGrid w:val="0"/>
        </w:rPr>
        <w:t>.</w:t>
      </w:r>
      <w:r>
        <w:rPr>
          <w:snapToGrid w:val="0"/>
        </w:rPr>
        <w:tab/>
        <w:t>Interpretation</w:t>
      </w:r>
      <w:bookmarkEnd w:id="15"/>
      <w:bookmarkEnd w:id="16"/>
      <w:bookmarkEnd w:id="1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w:t>
      </w:r>
      <w:r>
        <w:rPr>
          <w:b/>
        </w:rPr>
        <w:t>”</w:t>
      </w:r>
      <w:r>
        <w:t xml:space="preserve"> means approved by the Director General;</w:t>
      </w:r>
    </w:p>
    <w:p>
      <w:pPr>
        <w:pStyle w:val="Defstart"/>
      </w:pPr>
      <w:r>
        <w:rPr>
          <w:b/>
        </w:rPr>
        <w:tab/>
        <w:t>“</w:t>
      </w:r>
      <w:r>
        <w:rPr>
          <w:rStyle w:val="CharDefText"/>
        </w:rPr>
        <w:t>authorised officer</w:t>
      </w:r>
      <w:r>
        <w:rPr>
          <w:b/>
        </w:rPr>
        <w:t>”</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t>“</w:t>
      </w:r>
      <w:r>
        <w:rPr>
          <w:rStyle w:val="CharDefText"/>
        </w:rPr>
        <w:t>Board</w:t>
      </w:r>
      <w:r>
        <w:rPr>
          <w:b/>
        </w:rPr>
        <w:t>”</w:t>
      </w:r>
      <w:r>
        <w:t xml:space="preserve"> means the Taxi Industry Board established under section 8;</w:t>
      </w:r>
    </w:p>
    <w:p>
      <w:pPr>
        <w:pStyle w:val="Defstart"/>
      </w:pPr>
      <w:r>
        <w:rPr>
          <w:b/>
        </w:rPr>
        <w:tab/>
        <w:t>“</w:t>
      </w:r>
      <w:r>
        <w:rPr>
          <w:rStyle w:val="CharDefText"/>
        </w:rPr>
        <w:t>commencement day</w:t>
      </w:r>
      <w:r>
        <w:rPr>
          <w:b/>
        </w:rPr>
        <w:t>”</w:t>
      </w:r>
      <w:r>
        <w:t xml:space="preserve"> means the day on which this Act comes into operation;</w:t>
      </w:r>
    </w:p>
    <w:p>
      <w:pPr>
        <w:pStyle w:val="Defstart"/>
      </w:pPr>
      <w:r>
        <w:rPr>
          <w:b/>
        </w:rPr>
        <w:tab/>
        <w:t>“</w:t>
      </w:r>
      <w:r>
        <w:rPr>
          <w:rStyle w:val="CharDefText"/>
        </w:rPr>
        <w:t>control area</w:t>
      </w:r>
      <w:r>
        <w:rPr>
          <w:b/>
        </w:rPr>
        <w:t>”</w:t>
      </w:r>
      <w:r>
        <w:t xml:space="preserve"> means a part of the State which is prescribed as a control area;</w:t>
      </w:r>
    </w:p>
    <w:p>
      <w:pPr>
        <w:pStyle w:val="Defstart"/>
      </w:pPr>
      <w:r>
        <w:rPr>
          <w:b/>
        </w:rPr>
        <w:tab/>
        <w:t>“</w:t>
      </w:r>
      <w:r>
        <w:rPr>
          <w:rStyle w:val="CharDefText"/>
        </w:rPr>
        <w:t>department</w:t>
      </w:r>
      <w:r>
        <w:rPr>
          <w:b/>
        </w:rPr>
        <w:t>”</w:t>
      </w:r>
      <w:r>
        <w:t xml:space="preserve"> means the department of the Public Service of the State principally assisting the Minister with the administration of this Act</w:t>
      </w:r>
      <w:r>
        <w:rPr>
          <w:i/>
        </w:rPr>
        <w:t>;</w:t>
      </w:r>
      <w:r>
        <w:t xml:space="preserve"> </w:t>
      </w:r>
    </w:p>
    <w:p>
      <w:pPr>
        <w:pStyle w:val="Defstart"/>
      </w:pPr>
      <w:r>
        <w:tab/>
      </w:r>
      <w:r>
        <w:rPr>
          <w:b/>
        </w:rPr>
        <w:t>“</w:t>
      </w:r>
      <w:r>
        <w:rPr>
          <w:rStyle w:val="CharDefText"/>
        </w:rPr>
        <w:t>Director General</w:t>
      </w:r>
      <w:r>
        <w:rPr>
          <w:b/>
        </w:rPr>
        <w:t>”</w:t>
      </w:r>
      <w:r>
        <w:t xml:space="preserve"> means the chief executive officer of the department;</w:t>
      </w:r>
    </w:p>
    <w:p>
      <w:pPr>
        <w:pStyle w:val="Defstart"/>
      </w:pPr>
      <w:r>
        <w:rPr>
          <w:b/>
        </w:rPr>
        <w:tab/>
        <w:t>“</w:t>
      </w:r>
      <w:r>
        <w:rPr>
          <w:rStyle w:val="CharDefText"/>
        </w:rPr>
        <w:t>lease</w:t>
      </w:r>
      <w:r>
        <w:rPr>
          <w:b/>
        </w:rPr>
        <w:t>”</w:t>
      </w:r>
      <w:r>
        <w:t>, in relation to taxi plates, means to acquire, by virtue of a successful application under section 16(2), the right to use the plates for a period specified by the Director General;</w:t>
      </w:r>
    </w:p>
    <w:p>
      <w:pPr>
        <w:pStyle w:val="Defstart"/>
      </w:pPr>
      <w:r>
        <w:tab/>
      </w:r>
      <w:r>
        <w:rPr>
          <w:b/>
        </w:rPr>
        <w:t>“</w:t>
      </w:r>
      <w:r>
        <w:rPr>
          <w:rStyle w:val="CharDefText"/>
        </w:rPr>
        <w:t>lessee</w:t>
      </w:r>
      <w:r>
        <w:rPr>
          <w:b/>
        </w:rPr>
        <w:t>”</w:t>
      </w:r>
      <w:r>
        <w:t>, in relation to taxi plates, means a person who acquires, by virtue of a successful application under section 16(2), the right to use the plates for a period specified by the Director General;</w:t>
      </w:r>
    </w:p>
    <w:p>
      <w:pPr>
        <w:pStyle w:val="Defstart"/>
      </w:pPr>
      <w:r>
        <w:rPr>
          <w:b/>
        </w:rPr>
        <w:tab/>
        <w:t>“</w:t>
      </w:r>
      <w:r>
        <w:rPr>
          <w:rStyle w:val="CharDefText"/>
        </w:rPr>
        <w:t>operate</w:t>
      </w:r>
      <w:r>
        <w:rPr>
          <w:b/>
        </w:rPr>
        <w:t>”</w:t>
      </w:r>
      <w:r>
        <w:t xml:space="preserve"> means — </w:t>
      </w:r>
    </w:p>
    <w:p>
      <w:pPr>
        <w:pStyle w:val="Defpara"/>
      </w:pPr>
      <w:r>
        <w:tab/>
        <w:t>(a)</w:t>
      </w:r>
      <w:r>
        <w:tab/>
        <w:t>to drive a vehicle as a taxi;</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t>“</w:t>
      </w:r>
      <w:r>
        <w:rPr>
          <w:rStyle w:val="CharDefText"/>
        </w:rPr>
        <w:t>operator</w:t>
      </w:r>
      <w:r>
        <w:rPr>
          <w:b/>
        </w:rPr>
        <w:t>”</w:t>
      </w:r>
      <w:r>
        <w:t xml:space="preserve"> means a person who operates a vehicle as a taxi;</w:t>
      </w:r>
    </w:p>
    <w:p>
      <w:pPr>
        <w:pStyle w:val="Defstart"/>
      </w:pPr>
      <w:r>
        <w:rPr>
          <w:b/>
        </w:rPr>
        <w:tab/>
        <w:t>“</w:t>
      </w:r>
      <w:r>
        <w:rPr>
          <w:rStyle w:val="CharDefText"/>
        </w:rPr>
        <w:t>plate holder</w:t>
      </w:r>
      <w:r>
        <w:rPr>
          <w:b/>
        </w:rPr>
        <w:t>”</w:t>
      </w:r>
      <w:r>
        <w:t xml:space="preserve"> means the owner or lessee of taxi plates;</w:t>
      </w:r>
    </w:p>
    <w:p>
      <w:pPr>
        <w:pStyle w:val="Defstart"/>
      </w:pPr>
      <w:r>
        <w:rPr>
          <w:b/>
        </w:rPr>
        <w:tab/>
        <w:t>“</w:t>
      </w:r>
      <w:r>
        <w:rPr>
          <w:rStyle w:val="CharDefText"/>
        </w:rPr>
        <w:t>plate owner’s lease</w:t>
      </w:r>
      <w:r>
        <w:rPr>
          <w:b/>
        </w:rPr>
        <w:t>”</w:t>
      </w:r>
      <w:r>
        <w:t xml:space="preserve"> means the right acquired from the owner of taxi plates to use the plates for a specified period of time;</w:t>
      </w:r>
    </w:p>
    <w:p>
      <w:pPr>
        <w:pStyle w:val="Defstart"/>
      </w:pPr>
      <w:r>
        <w:rPr>
          <w:b/>
        </w:rPr>
        <w:tab/>
        <w:t>“</w:t>
      </w:r>
      <w:r>
        <w:rPr>
          <w:rStyle w:val="CharDefText"/>
        </w:rPr>
        <w:t>registration</w:t>
      </w:r>
      <w:r>
        <w:rPr>
          <w:b/>
        </w:rPr>
        <w:t>”</w:t>
      </w:r>
      <w:r>
        <w:t xml:space="preserve"> means registration as the provider of a taxi dispatch service under section 28;</w:t>
      </w:r>
    </w:p>
    <w:p>
      <w:pPr>
        <w:pStyle w:val="Defstart"/>
      </w:pPr>
      <w:r>
        <w:rPr>
          <w:b/>
        </w:rPr>
        <w:tab/>
        <w:t>“</w:t>
      </w:r>
      <w:r>
        <w:rPr>
          <w:rStyle w:val="CharDefText"/>
        </w:rPr>
        <w:t>repealed Act</w:t>
      </w:r>
      <w:r>
        <w:rPr>
          <w:b/>
        </w:rPr>
        <w:t>”</w:t>
      </w:r>
      <w:r>
        <w:t xml:space="preserve"> means the </w:t>
      </w:r>
      <w:r>
        <w:rPr>
          <w:i/>
        </w:rPr>
        <w:t>Taxi</w:t>
      </w:r>
      <w:r>
        <w:rPr>
          <w:i/>
        </w:rPr>
        <w:noBreakHyphen/>
        <w:t>car Control Act 1985</w:t>
      </w:r>
      <w:r>
        <w:t xml:space="preserve">; </w:t>
      </w:r>
    </w:p>
    <w:p>
      <w:pPr>
        <w:pStyle w:val="Defstart"/>
      </w:pPr>
      <w:r>
        <w:rPr>
          <w:b/>
        </w:rPr>
        <w:tab/>
        <w:t>“</w:t>
      </w:r>
      <w:r>
        <w:rPr>
          <w:rStyle w:val="CharDefText"/>
        </w:rPr>
        <w:t>taxi</w:t>
      </w:r>
      <w:r>
        <w:rPr>
          <w:b/>
        </w:rPr>
        <w:t>”</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t>“</w:t>
      </w:r>
      <w:r>
        <w:rPr>
          <w:rStyle w:val="CharDefText"/>
        </w:rPr>
        <w:t>taxi dispatch service</w:t>
      </w:r>
      <w:r>
        <w:rPr>
          <w:b/>
        </w:rPr>
        <w:t>”</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r>
      <w:r>
        <w:tab/>
        <w:t>for the purpose of arranging for a person who requests a taxi to be provided with one;</w:t>
      </w:r>
    </w:p>
    <w:p>
      <w:pPr>
        <w:pStyle w:val="Defstart"/>
      </w:pPr>
      <w:r>
        <w:tab/>
      </w:r>
      <w:r>
        <w:rPr>
          <w:b/>
        </w:rPr>
        <w:t>“</w:t>
      </w:r>
      <w:r>
        <w:rPr>
          <w:rStyle w:val="CharDefText"/>
        </w:rPr>
        <w:t>Taxi Industry Development Account</w:t>
      </w:r>
      <w:r>
        <w:rPr>
          <w:b/>
        </w:rPr>
        <w:t>”</w:t>
      </w:r>
      <w:r>
        <w:t xml:space="preserve"> means the account established as required by section 41(1);</w:t>
      </w:r>
    </w:p>
    <w:p>
      <w:pPr>
        <w:pStyle w:val="Defstart"/>
      </w:pPr>
      <w:r>
        <w:rPr>
          <w:b/>
        </w:rPr>
        <w:tab/>
        <w:t>“</w:t>
      </w:r>
      <w:r>
        <w:rPr>
          <w:rStyle w:val="CharDefText"/>
        </w:rPr>
        <w:t>taxi plates</w:t>
      </w:r>
      <w:r>
        <w:rPr>
          <w:b/>
        </w:rPr>
        <w:t>”</w:t>
      </w:r>
      <w:r>
        <w:t xml:space="preserve"> means a set of taxi number plates issued under section 18;</w:t>
      </w:r>
    </w:p>
    <w:p>
      <w:pPr>
        <w:pStyle w:val="Defstart"/>
      </w:pPr>
      <w:r>
        <w:rPr>
          <w:b/>
        </w:rPr>
        <w:tab/>
        <w:t>“</w:t>
      </w:r>
      <w:r>
        <w:rPr>
          <w:rStyle w:val="CharDefText"/>
        </w:rPr>
        <w:t>use</w:t>
      </w:r>
      <w:r>
        <w:rPr>
          <w:b/>
        </w:rPr>
        <w:t>”</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w:t>
      </w:r>
    </w:p>
    <w:p>
      <w:pPr>
        <w:pStyle w:val="Indenta"/>
        <w:rPr>
          <w:snapToGrid w:val="0"/>
        </w:rPr>
      </w:pPr>
      <w:r>
        <w:rPr>
          <w:snapToGrid w:val="0"/>
        </w:rPr>
        <w:tab/>
        <w:t>(b)</w:t>
      </w:r>
      <w:r>
        <w:rPr>
          <w:snapToGrid w:val="0"/>
        </w:rPr>
        <w:tab/>
        <w:t xml:space="preserve">the term </w:t>
      </w:r>
      <w:r>
        <w:rPr>
          <w:b/>
          <w:snapToGrid w:val="0"/>
        </w:rPr>
        <w:t>“corporation”</w:t>
      </w:r>
      <w:r>
        <w:rPr>
          <w:snapToGrid w:val="0"/>
        </w:rPr>
        <w:t xml:space="preserve"> includes a company within the meaning of the </w:t>
      </w:r>
      <w:r>
        <w:rPr>
          <w:i/>
          <w:snapToGrid w:val="0"/>
        </w:rPr>
        <w:t>Companies (Co</w:t>
      </w:r>
      <w:r>
        <w:rPr>
          <w:i/>
          <w:snapToGrid w:val="0"/>
        </w:rPr>
        <w:noBreakHyphen/>
        <w:t>operative) Act 1943</w:t>
      </w:r>
      <w:r>
        <w:rPr>
          <w:snapToGrid w:val="0"/>
        </w:rPr>
        <w:t>; and</w:t>
      </w:r>
    </w:p>
    <w:p>
      <w:pPr>
        <w:pStyle w:val="Indenta"/>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 No. 4 of 2006 s. 6.]</w:t>
      </w:r>
    </w:p>
    <w:p>
      <w:pPr>
        <w:pStyle w:val="Heading5"/>
        <w:rPr>
          <w:snapToGrid w:val="0"/>
        </w:rPr>
      </w:pPr>
      <w:bookmarkStart w:id="18" w:name="_Toc403946001"/>
      <w:bookmarkStart w:id="19" w:name="_Toc12345117"/>
      <w:bookmarkStart w:id="20" w:name="_Toc131835852"/>
      <w:r>
        <w:rPr>
          <w:rStyle w:val="CharSectno"/>
        </w:rPr>
        <w:t>4</w:t>
      </w:r>
      <w:r>
        <w:rPr>
          <w:snapToGrid w:val="0"/>
        </w:rPr>
        <w:t>.</w:t>
      </w:r>
      <w:r>
        <w:rPr>
          <w:snapToGrid w:val="0"/>
        </w:rPr>
        <w:tab/>
        <w:t>Operations within control area</w:t>
      </w:r>
      <w:bookmarkEnd w:id="18"/>
      <w:bookmarkEnd w:id="19"/>
      <w:bookmarkEnd w:id="20"/>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21" w:name="_Toc89758972"/>
      <w:bookmarkStart w:id="22" w:name="_Toc91321515"/>
      <w:bookmarkStart w:id="23" w:name="_Toc92772387"/>
      <w:bookmarkStart w:id="24" w:name="_Toc96919145"/>
      <w:bookmarkStart w:id="25" w:name="_Toc103072729"/>
      <w:bookmarkStart w:id="26" w:name="_Toc107910892"/>
      <w:bookmarkStart w:id="27" w:name="_Toc123640046"/>
      <w:bookmarkStart w:id="28" w:name="_Toc131835853"/>
      <w:r>
        <w:rPr>
          <w:rStyle w:val="CharPartNo"/>
        </w:rPr>
        <w:t>Part 2</w:t>
      </w:r>
      <w:r>
        <w:rPr>
          <w:rStyle w:val="CharDivNo"/>
        </w:rPr>
        <w:t> </w:t>
      </w:r>
      <w:r>
        <w:t>—</w:t>
      </w:r>
      <w:r>
        <w:rPr>
          <w:rStyle w:val="CharDivText"/>
        </w:rPr>
        <w:t> </w:t>
      </w:r>
      <w:r>
        <w:rPr>
          <w:rStyle w:val="CharPartText"/>
        </w:rPr>
        <w:t>Administration</w:t>
      </w:r>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403946002"/>
      <w:bookmarkStart w:id="30" w:name="_Toc12345118"/>
      <w:bookmarkStart w:id="31" w:name="_Toc131835854"/>
      <w:r>
        <w:rPr>
          <w:rStyle w:val="CharSectno"/>
        </w:rPr>
        <w:t>5</w:t>
      </w:r>
      <w:r>
        <w:rPr>
          <w:snapToGrid w:val="0"/>
        </w:rPr>
        <w:t>.</w:t>
      </w:r>
      <w:r>
        <w:rPr>
          <w:snapToGrid w:val="0"/>
        </w:rPr>
        <w:tab/>
        <w:t>Directions</w:t>
      </w:r>
      <w:bookmarkEnd w:id="29"/>
      <w:bookmarkEnd w:id="30"/>
      <w:bookmarkEnd w:id="31"/>
      <w:r>
        <w:rPr>
          <w:snapToGrid w:val="0"/>
        </w:rPr>
        <w:t xml:space="preserve"> </w:t>
      </w:r>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 section 66 of the </w:t>
      </w:r>
      <w:r>
        <w:rPr>
          <w:i/>
          <w:snapToGrid w:val="0"/>
        </w:rPr>
        <w:t>Financial Administration and Audit Act 1985.</w:t>
      </w:r>
      <w:r>
        <w:rPr>
          <w:snapToGrid w:val="0"/>
        </w:rPr>
        <w:t xml:space="preserve"> </w:t>
      </w:r>
    </w:p>
    <w:p>
      <w:pPr>
        <w:pStyle w:val="Footnotesection"/>
      </w:pPr>
      <w:r>
        <w:tab/>
        <w:t>[Section 5 amended by No. 7 of 2002 s. 31; No. 5 of 2005 s. 44.]</w:t>
      </w:r>
    </w:p>
    <w:p>
      <w:pPr>
        <w:pStyle w:val="Heading5"/>
        <w:rPr>
          <w:snapToGrid w:val="0"/>
        </w:rPr>
      </w:pPr>
      <w:bookmarkStart w:id="32" w:name="_Toc403946003"/>
      <w:bookmarkStart w:id="33" w:name="_Toc12345119"/>
      <w:bookmarkStart w:id="34" w:name="_Toc131835855"/>
      <w:r>
        <w:rPr>
          <w:rStyle w:val="CharSectno"/>
        </w:rPr>
        <w:t>6</w:t>
      </w:r>
      <w:r>
        <w:rPr>
          <w:snapToGrid w:val="0"/>
        </w:rPr>
        <w:t>.</w:t>
      </w:r>
      <w:r>
        <w:rPr>
          <w:snapToGrid w:val="0"/>
        </w:rPr>
        <w:tab/>
        <w:t>Delegatory power of Minister and Director General</w:t>
      </w:r>
      <w:bookmarkEnd w:id="32"/>
      <w:bookmarkEnd w:id="33"/>
      <w:bookmarkEnd w:id="34"/>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35" w:name="_Toc403946004"/>
      <w:bookmarkStart w:id="36" w:name="_Toc12345120"/>
      <w:bookmarkStart w:id="37" w:name="_Toc131835856"/>
      <w:r>
        <w:rPr>
          <w:rStyle w:val="CharSectno"/>
        </w:rPr>
        <w:t>7</w:t>
      </w:r>
      <w:r>
        <w:rPr>
          <w:snapToGrid w:val="0"/>
        </w:rPr>
        <w:t>.</w:t>
      </w:r>
      <w:r>
        <w:rPr>
          <w:snapToGrid w:val="0"/>
        </w:rPr>
        <w:tab/>
        <w:t>Director General to advise Minister</w:t>
      </w:r>
      <w:bookmarkEnd w:id="35"/>
      <w:bookmarkEnd w:id="36"/>
      <w:bookmarkEnd w:id="37"/>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38" w:name="_Toc403946005"/>
      <w:bookmarkStart w:id="39" w:name="_Toc12345121"/>
      <w:bookmarkStart w:id="40" w:name="_Toc131835857"/>
      <w:r>
        <w:rPr>
          <w:rStyle w:val="CharSectno"/>
        </w:rPr>
        <w:t>8</w:t>
      </w:r>
      <w:r>
        <w:rPr>
          <w:snapToGrid w:val="0"/>
        </w:rPr>
        <w:t>.</w:t>
      </w:r>
      <w:r>
        <w:rPr>
          <w:snapToGrid w:val="0"/>
        </w:rPr>
        <w:tab/>
        <w:t>Taxi Industry Board</w:t>
      </w:r>
      <w:bookmarkEnd w:id="38"/>
      <w:bookmarkEnd w:id="39"/>
      <w:bookmarkEnd w:id="40"/>
      <w:r>
        <w:rPr>
          <w:snapToGrid w:val="0"/>
        </w:rPr>
        <w:t xml:space="preserve"> </w:t>
      </w:r>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41" w:name="_Toc403946006"/>
      <w:bookmarkStart w:id="42" w:name="_Toc12345122"/>
      <w:bookmarkStart w:id="43" w:name="_Toc131835858"/>
      <w:r>
        <w:rPr>
          <w:rStyle w:val="CharSectno"/>
        </w:rPr>
        <w:t>9</w:t>
      </w:r>
      <w:r>
        <w:rPr>
          <w:snapToGrid w:val="0"/>
        </w:rPr>
        <w:t>.</w:t>
      </w:r>
      <w:r>
        <w:rPr>
          <w:snapToGrid w:val="0"/>
        </w:rPr>
        <w:tab/>
        <w:t>Tenure of office</w:t>
      </w:r>
      <w:bookmarkEnd w:id="41"/>
      <w:bookmarkEnd w:id="42"/>
      <w:bookmarkEnd w:id="43"/>
      <w:r>
        <w:rPr>
          <w:snapToGrid w:val="0"/>
        </w:rPr>
        <w:t xml:space="preserve"> </w:t>
      </w:r>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44" w:name="_Toc403946007"/>
      <w:bookmarkStart w:id="45" w:name="_Toc12345123"/>
      <w:bookmarkStart w:id="46" w:name="_Toc131835859"/>
      <w:r>
        <w:rPr>
          <w:rStyle w:val="CharSectno"/>
        </w:rPr>
        <w:t>10</w:t>
      </w:r>
      <w:r>
        <w:rPr>
          <w:snapToGrid w:val="0"/>
        </w:rPr>
        <w:t>.</w:t>
      </w:r>
      <w:r>
        <w:rPr>
          <w:snapToGrid w:val="0"/>
        </w:rPr>
        <w:tab/>
        <w:t>Chairperson</w:t>
      </w:r>
      <w:bookmarkEnd w:id="44"/>
      <w:bookmarkEnd w:id="45"/>
      <w:bookmarkEnd w:id="46"/>
      <w:r>
        <w:rPr>
          <w:snapToGrid w:val="0"/>
        </w:rPr>
        <w:t xml:space="preserve"> </w:t>
      </w:r>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47" w:name="_Toc403946008"/>
      <w:bookmarkStart w:id="48" w:name="_Toc12345124"/>
      <w:bookmarkStart w:id="49" w:name="_Toc131835860"/>
      <w:r>
        <w:rPr>
          <w:rStyle w:val="CharSectno"/>
        </w:rPr>
        <w:t>11</w:t>
      </w:r>
      <w:r>
        <w:rPr>
          <w:snapToGrid w:val="0"/>
        </w:rPr>
        <w:t>.</w:t>
      </w:r>
      <w:r>
        <w:rPr>
          <w:snapToGrid w:val="0"/>
        </w:rPr>
        <w:tab/>
        <w:t>Meetings</w:t>
      </w:r>
      <w:bookmarkEnd w:id="47"/>
      <w:bookmarkEnd w:id="48"/>
      <w:bookmarkEnd w:id="49"/>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50" w:name="_Toc403946009"/>
      <w:bookmarkStart w:id="51" w:name="_Toc12345125"/>
      <w:bookmarkStart w:id="52" w:name="_Toc131835861"/>
      <w:r>
        <w:rPr>
          <w:rStyle w:val="CharSectno"/>
        </w:rPr>
        <w:t>12</w:t>
      </w:r>
      <w:r>
        <w:rPr>
          <w:snapToGrid w:val="0"/>
        </w:rPr>
        <w:t>.</w:t>
      </w:r>
      <w:r>
        <w:rPr>
          <w:snapToGrid w:val="0"/>
        </w:rPr>
        <w:tab/>
        <w:t>Remuneration and allowances</w:t>
      </w:r>
      <w:bookmarkEnd w:id="50"/>
      <w:bookmarkEnd w:id="51"/>
      <w:bookmarkEnd w:id="52"/>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 Minister for Public Sector Management.</w:t>
      </w:r>
    </w:p>
    <w:p>
      <w:pPr>
        <w:pStyle w:val="Heading5"/>
        <w:rPr>
          <w:snapToGrid w:val="0"/>
        </w:rPr>
      </w:pPr>
      <w:bookmarkStart w:id="53" w:name="_Toc403946010"/>
      <w:bookmarkStart w:id="54" w:name="_Toc12345126"/>
      <w:bookmarkStart w:id="55" w:name="_Toc131835862"/>
      <w:r>
        <w:rPr>
          <w:rStyle w:val="CharSectno"/>
        </w:rPr>
        <w:t>13</w:t>
      </w:r>
      <w:r>
        <w:rPr>
          <w:snapToGrid w:val="0"/>
        </w:rPr>
        <w:t>.</w:t>
      </w:r>
      <w:r>
        <w:rPr>
          <w:snapToGrid w:val="0"/>
        </w:rPr>
        <w:tab/>
        <w:t>Funding of Board</w:t>
      </w:r>
      <w:bookmarkEnd w:id="53"/>
      <w:bookmarkEnd w:id="54"/>
      <w:bookmarkEnd w:id="55"/>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56" w:name="_Toc403946011"/>
      <w:bookmarkStart w:id="57" w:name="_Toc12345127"/>
      <w:bookmarkStart w:id="58" w:name="_Toc131835863"/>
      <w:r>
        <w:rPr>
          <w:rStyle w:val="CharSectno"/>
        </w:rPr>
        <w:t>14</w:t>
      </w:r>
      <w:r>
        <w:rPr>
          <w:snapToGrid w:val="0"/>
        </w:rPr>
        <w:t>.</w:t>
      </w:r>
      <w:r>
        <w:rPr>
          <w:snapToGrid w:val="0"/>
        </w:rPr>
        <w:tab/>
        <w:t>Functions of Board</w:t>
      </w:r>
      <w:bookmarkEnd w:id="56"/>
      <w:bookmarkEnd w:id="57"/>
      <w:bookmarkEnd w:id="58"/>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59" w:name="_Toc89758983"/>
      <w:bookmarkStart w:id="60" w:name="_Toc91321526"/>
      <w:bookmarkStart w:id="61" w:name="_Toc92772398"/>
      <w:bookmarkStart w:id="62" w:name="_Toc96919156"/>
      <w:bookmarkStart w:id="63" w:name="_Toc103072740"/>
      <w:bookmarkStart w:id="64" w:name="_Toc107910903"/>
      <w:bookmarkStart w:id="65" w:name="_Toc123640057"/>
      <w:bookmarkStart w:id="66" w:name="_Toc131835864"/>
      <w:r>
        <w:rPr>
          <w:rStyle w:val="CharPartNo"/>
        </w:rPr>
        <w:t>Part 3</w:t>
      </w:r>
      <w:r>
        <w:t> — </w:t>
      </w:r>
      <w:r>
        <w:rPr>
          <w:rStyle w:val="CharPartText"/>
        </w:rPr>
        <w:t>Operation of taxis</w:t>
      </w:r>
      <w:bookmarkEnd w:id="59"/>
      <w:bookmarkEnd w:id="60"/>
      <w:bookmarkEnd w:id="61"/>
      <w:bookmarkEnd w:id="62"/>
      <w:bookmarkEnd w:id="63"/>
      <w:bookmarkEnd w:id="64"/>
      <w:bookmarkEnd w:id="65"/>
      <w:bookmarkEnd w:id="66"/>
      <w:r>
        <w:rPr>
          <w:rStyle w:val="CharPartText"/>
        </w:rPr>
        <w:t xml:space="preserve"> </w:t>
      </w:r>
    </w:p>
    <w:p>
      <w:pPr>
        <w:pStyle w:val="Heading3"/>
        <w:rPr>
          <w:snapToGrid w:val="0"/>
        </w:rPr>
      </w:pPr>
      <w:bookmarkStart w:id="67" w:name="_Toc89758984"/>
      <w:bookmarkStart w:id="68" w:name="_Toc91321527"/>
      <w:bookmarkStart w:id="69" w:name="_Toc92772399"/>
      <w:bookmarkStart w:id="70" w:name="_Toc96919157"/>
      <w:bookmarkStart w:id="71" w:name="_Toc103072741"/>
      <w:bookmarkStart w:id="72" w:name="_Toc107910904"/>
      <w:bookmarkStart w:id="73" w:name="_Toc123640058"/>
      <w:bookmarkStart w:id="74" w:name="_Toc131835865"/>
      <w:r>
        <w:rPr>
          <w:rStyle w:val="CharDivNo"/>
        </w:rPr>
        <w:t>Division 1</w:t>
      </w:r>
      <w:r>
        <w:rPr>
          <w:snapToGrid w:val="0"/>
        </w:rPr>
        <w:t> — </w:t>
      </w:r>
      <w:r>
        <w:rPr>
          <w:rStyle w:val="CharDivText"/>
        </w:rPr>
        <w:t>Taxi plates</w:t>
      </w:r>
      <w:bookmarkEnd w:id="67"/>
      <w:bookmarkEnd w:id="68"/>
      <w:bookmarkEnd w:id="69"/>
      <w:bookmarkEnd w:id="70"/>
      <w:bookmarkEnd w:id="71"/>
      <w:bookmarkEnd w:id="72"/>
      <w:bookmarkEnd w:id="73"/>
      <w:bookmarkEnd w:id="74"/>
      <w:r>
        <w:rPr>
          <w:rStyle w:val="CharDivText"/>
        </w:rPr>
        <w:t xml:space="preserve"> </w:t>
      </w:r>
    </w:p>
    <w:p>
      <w:pPr>
        <w:pStyle w:val="Heading5"/>
        <w:rPr>
          <w:snapToGrid w:val="0"/>
        </w:rPr>
      </w:pPr>
      <w:bookmarkStart w:id="75" w:name="_Toc403946012"/>
      <w:bookmarkStart w:id="76" w:name="_Toc12345128"/>
      <w:bookmarkStart w:id="77" w:name="_Toc131835866"/>
      <w:r>
        <w:rPr>
          <w:rStyle w:val="CharSectno"/>
        </w:rPr>
        <w:t>15</w:t>
      </w:r>
      <w:r>
        <w:rPr>
          <w:snapToGrid w:val="0"/>
        </w:rPr>
        <w:t>.</w:t>
      </w:r>
      <w:r>
        <w:rPr>
          <w:snapToGrid w:val="0"/>
        </w:rPr>
        <w:tab/>
        <w:t>Taxi plates</w:t>
      </w:r>
      <w:bookmarkEnd w:id="75"/>
      <w:bookmarkEnd w:id="76"/>
      <w:bookmarkEnd w:id="77"/>
      <w:r>
        <w:rPr>
          <w:snapToGrid w:val="0"/>
        </w:rPr>
        <w:t xml:space="preserve"> </w:t>
      </w:r>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w:t>
      </w:r>
    </w:p>
    <w:p>
      <w:pPr>
        <w:pStyle w:val="Indenta"/>
        <w:rPr>
          <w:snapToGrid w:val="0"/>
        </w:rPr>
      </w:pPr>
      <w:r>
        <w:rPr>
          <w:snapToGrid w:val="0"/>
        </w:rPr>
        <w:tab/>
        <w:t>(b)</w:t>
      </w:r>
      <w:r>
        <w:rPr>
          <w:snapToGrid w:val="0"/>
        </w:rPr>
        <w:tab/>
        <w:t>the driver of the vehicle;</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rPr>
          <w:snapToGrid w:val="0"/>
        </w:rPr>
      </w:pPr>
      <w:bookmarkStart w:id="78" w:name="_Toc403946013"/>
      <w:bookmarkStart w:id="79" w:name="_Toc12345129"/>
      <w:bookmarkStart w:id="80" w:name="_Toc131835867"/>
      <w:r>
        <w:rPr>
          <w:rStyle w:val="CharSectno"/>
        </w:rPr>
        <w:t>16</w:t>
      </w:r>
      <w:r>
        <w:rPr>
          <w:snapToGrid w:val="0"/>
        </w:rPr>
        <w:t>.</w:t>
      </w:r>
      <w:r>
        <w:rPr>
          <w:snapToGrid w:val="0"/>
        </w:rPr>
        <w:tab/>
        <w:t>Taxi plates offered for sale by public tender</w:t>
      </w:r>
      <w:bookmarkEnd w:id="78"/>
      <w:bookmarkEnd w:id="79"/>
      <w:bookmarkEnd w:id="80"/>
      <w:r>
        <w:rPr>
          <w:snapToGrid w:val="0"/>
        </w:rPr>
        <w:t xml:space="preserve"> </w:t>
      </w:r>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bookmarkStart w:id="81" w:name="_Toc403946014"/>
      <w:bookmarkStart w:id="82" w:name="_Toc12345130"/>
      <w:r>
        <w:tab/>
        <w:t>(2)</w:t>
      </w:r>
      <w:r>
        <w:tab/>
        <w:t xml:space="preserve">Taxi plates shall also be offered for lease, with the invitation to apply to lease taxi plates specifying — </w:t>
      </w:r>
    </w:p>
    <w:p>
      <w:pPr>
        <w:pStyle w:val="Indenta"/>
      </w:pPr>
      <w:r>
        <w:tab/>
        <w:t>(a)</w:t>
      </w:r>
      <w:r>
        <w:tab/>
        <w:t>the criteria to be met by the successful applicant;</w:t>
      </w:r>
    </w:p>
    <w:p>
      <w:pPr>
        <w:pStyle w:val="Indenta"/>
      </w:pPr>
      <w:r>
        <w:tab/>
        <w:t>(b)</w:t>
      </w:r>
      <w:r>
        <w:tab/>
        <w:t>the period for which the plates are offered for lease;</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Taxi plates may be offered for lease under subsection (2) only if the issue of those plates under section 18 would not result in the total number of leased taxi plates issued under that section exceeding the relevant percentage of the total number of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w:t>
      </w:r>
    </w:p>
    <w:p>
      <w:pPr>
        <w:pStyle w:val="Indenta"/>
      </w:pPr>
      <w:r>
        <w:tab/>
        <w:t>(b)</w:t>
      </w:r>
      <w:r>
        <w:tab/>
        <w:t>subject to subsection (7), 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b/>
        </w:rPr>
        <w:t>“</w:t>
      </w:r>
      <w:r>
        <w:rPr>
          <w:rStyle w:val="CharDefText"/>
        </w:rPr>
        <w:t>owner</w:t>
      </w:r>
      <w:r>
        <w:rPr>
          <w:rStyle w:val="CharDefText"/>
        </w:rPr>
        <w:noBreakHyphen/>
        <w:t>driver</w:t>
      </w:r>
      <w:r>
        <w:rPr>
          <w:b/>
        </w:rPr>
        <w:t>”</w:t>
      </w:r>
      <w:r>
        <w:t>);</w:t>
      </w:r>
    </w:p>
    <w:p>
      <w:pPr>
        <w:pStyle w:val="Indenta"/>
      </w:pPr>
      <w:r>
        <w:tab/>
        <w:t>(b)</w:t>
      </w:r>
      <w:r>
        <w:tab/>
        <w:t>each member of the partnership is an individual;</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pPr>
      <w:r>
        <w:tab/>
        <w:t>(i)</w:t>
      </w:r>
      <w:r>
        <w:tab/>
        <w:t>is the owner, or has an interest in the ownership, of taxi plates; or</w:t>
      </w:r>
    </w:p>
    <w:p>
      <w:pPr>
        <w:pStyle w:val="Indenti"/>
      </w:pPr>
      <w:r>
        <w:tab/>
        <w:t>(ii)</w:t>
      </w:r>
      <w:r>
        <w:tab/>
        <w:t>is the lessee of taxi plates.</w:t>
      </w:r>
    </w:p>
    <w:p>
      <w:pPr>
        <w:pStyle w:val="Subsection"/>
      </w:pPr>
      <w:r>
        <w:tab/>
        <w:t>(6)</w:t>
      </w:r>
      <w:r>
        <w:tab/>
        <w:t xml:space="preserve">Without limiting subsection (2)(a), taxi plates may be leased by a corporation only if the Director General is satisfied that — </w:t>
      </w:r>
    </w:p>
    <w:p>
      <w:pPr>
        <w:pStyle w:val="Indenta"/>
      </w:pPr>
      <w:r>
        <w:tab/>
        <w:t>(a)</w:t>
      </w:r>
      <w:r>
        <w:tab/>
        <w:t xml:space="preserve">a director or other person concerned in the management of the corporation, or a shareholder of the corporation, will be the owner and principal driver of the vehicle operated as a taxi using the plates (the </w:t>
      </w:r>
      <w:r>
        <w:rPr>
          <w:b/>
        </w:rPr>
        <w:t>“</w:t>
      </w:r>
      <w:r>
        <w:rPr>
          <w:rStyle w:val="CharDefText"/>
        </w:rPr>
        <w:t>owner</w:t>
      </w:r>
      <w:r>
        <w:rPr>
          <w:rStyle w:val="CharDefText"/>
        </w:rPr>
        <w:noBreakHyphen/>
        <w:t>driver</w:t>
      </w:r>
      <w:r>
        <w:rPr>
          <w:b/>
        </w:rPr>
        <w:t>”</w:t>
      </w:r>
      <w:r>
        <w:t>);</w:t>
      </w:r>
    </w:p>
    <w:p>
      <w:pPr>
        <w:pStyle w:val="Indenta"/>
      </w:pPr>
      <w:r>
        <w:tab/>
        <w:t>(b)</w:t>
      </w:r>
      <w:r>
        <w:tab/>
        <w:t>each shareholder of the corporation is an individual;</w:t>
      </w:r>
    </w:p>
    <w:p>
      <w:pPr>
        <w:pStyle w:val="Indenta"/>
      </w:pPr>
      <w:r>
        <w:tab/>
        <w:t>(c)</w:t>
      </w:r>
      <w:r>
        <w:tab/>
        <w:t>each director or other person concerned in the management of the corporation, and each shareholder of the corporation, is related to the owner</w:t>
      </w:r>
      <w:r>
        <w:noBreakHyphen/>
        <w:t>driver;</w:t>
      </w:r>
    </w:p>
    <w:p>
      <w:pPr>
        <w:pStyle w:val="Indenta"/>
      </w:pPr>
      <w:r>
        <w:tab/>
        <w:t>(d)</w:t>
      </w:r>
      <w:r>
        <w:tab/>
        <w:t xml:space="preserve">the corporation — </w:t>
      </w:r>
    </w:p>
    <w:p>
      <w:pPr>
        <w:pStyle w:val="Indenti"/>
      </w:pPr>
      <w:r>
        <w:tab/>
        <w:t>(i)</w:t>
      </w:r>
      <w:r>
        <w:tab/>
        <w:t>is not the owner, and has no interest in the ownership, of taxi plates; and</w:t>
      </w:r>
    </w:p>
    <w:p>
      <w:pPr>
        <w:pStyle w:val="Indenti"/>
      </w:pPr>
      <w:r>
        <w:tab/>
        <w:t>(ii)</w:t>
      </w:r>
      <w:r>
        <w:tab/>
        <w:t>is not the lessee of taxi plates;</w:t>
      </w:r>
    </w:p>
    <w:p>
      <w:pPr>
        <w:pStyle w:val="Indenta"/>
      </w:pPr>
      <w:r>
        <w:tab/>
      </w:r>
      <w:r>
        <w:tab/>
        <w:t>and</w:t>
      </w:r>
    </w:p>
    <w:p>
      <w:pPr>
        <w:pStyle w:val="Indenta"/>
      </w:pPr>
      <w:r>
        <w:tab/>
        <w:t>(e)</w:t>
      </w:r>
      <w:r>
        <w:tab/>
        <w:t xml:space="preserve">no director or other person concerned in the management of the corporation, or shareholder of the corporation — </w:t>
      </w:r>
    </w:p>
    <w:p>
      <w:pPr>
        <w:pStyle w:val="Indenti"/>
      </w:pPr>
      <w:r>
        <w:tab/>
        <w:t>(i)</w:t>
      </w:r>
      <w:r>
        <w:tab/>
        <w:t>is the owner, or has an interest in the ownership, of taxi plates; or</w:t>
      </w:r>
    </w:p>
    <w:p>
      <w:pPr>
        <w:pStyle w:val="Indenti"/>
      </w:pPr>
      <w:r>
        <w:tab/>
        <w:t>(ii)</w:t>
      </w:r>
      <w:r>
        <w:tab/>
        <w:t>is the lessee of taxi plates.</w:t>
      </w:r>
    </w:p>
    <w:p>
      <w:pPr>
        <w:pStyle w:val="Ednotesubsection"/>
      </w:pPr>
      <w:r>
        <w:tab/>
        <w:t>[(7)</w:t>
      </w:r>
      <w:r>
        <w:tab/>
        <w:t>repealed]</w:t>
      </w:r>
    </w:p>
    <w:p>
      <w:pPr>
        <w:pStyle w:val="Subsection"/>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pPr>
      <w:r>
        <w:tab/>
        <w:t>(a)</w:t>
      </w:r>
      <w:r>
        <w:tab/>
        <w:t>the extent of an applicant’s experience as a taxi driver;</w:t>
      </w:r>
    </w:p>
    <w:p>
      <w:pPr>
        <w:pStyle w:val="Indenta"/>
      </w:pPr>
      <w:r>
        <w:tab/>
        <w:t>(b)</w:t>
      </w:r>
      <w:r>
        <w:tab/>
        <w:t xml:space="preserve">any conviction of an applicant of an offence under this Act or the </w:t>
      </w:r>
      <w:r>
        <w:rPr>
          <w:i/>
        </w:rPr>
        <w:t>Road Traffic Act 1974</w:t>
      </w:r>
      <w:r>
        <w:t xml:space="preserve"> or an Act of another State or a Territory corresponding to either of those Acts;</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w:t>
      </w:r>
      <w:r>
        <w:tab/>
        <w:t xml:space="preserve">In this section — </w:t>
      </w:r>
    </w:p>
    <w:p>
      <w:pPr>
        <w:pStyle w:val="Defstart"/>
      </w:pPr>
      <w:r>
        <w:tab/>
      </w:r>
      <w:r>
        <w:rPr>
          <w:b/>
        </w:rPr>
        <w:t>“</w:t>
      </w:r>
      <w:r>
        <w:rPr>
          <w:rStyle w:val="CharDefText"/>
        </w:rPr>
        <w:t>owner</w:t>
      </w:r>
      <w:r>
        <w:rPr>
          <w:b/>
        </w:rPr>
        <w:t>”</w:t>
      </w:r>
      <w:r>
        <w:t xml:space="preserve">, in relation to a vehicle, has the same meaning as that given in section 5(1) of the </w:t>
      </w:r>
      <w:r>
        <w:rPr>
          <w:i/>
        </w:rPr>
        <w:t>Road Traffic Act 1974</w:t>
      </w:r>
      <w:r>
        <w:t>;</w:t>
      </w:r>
    </w:p>
    <w:p>
      <w:pPr>
        <w:pStyle w:val="Defstart"/>
      </w:pPr>
      <w:r>
        <w:tab/>
        <w:t>“</w:t>
      </w:r>
      <w:r>
        <w:rPr>
          <w:rStyle w:val="CharDefText"/>
        </w:rPr>
        <w:t>related</w:t>
      </w:r>
      <w:r>
        <w:t>”, in relation to an owner</w:t>
      </w:r>
      <w:r>
        <w:noBreakHyphen/>
        <w:t xml:space="preserve">driver, means related by virtue of being — </w:t>
      </w:r>
    </w:p>
    <w:p>
      <w:pPr>
        <w:pStyle w:val="Defpara"/>
      </w:pPr>
      <w:r>
        <w:tab/>
        <w:t>(a)</w:t>
      </w:r>
      <w:r>
        <w:tab/>
        <w:t>the spouse or de facto partner of the owner</w:t>
      </w:r>
      <w:r>
        <w:noBreakHyphen/>
        <w:t>driver;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b/>
        </w:rPr>
        <w:t>“</w:t>
      </w:r>
      <w:r>
        <w:rPr>
          <w:rStyle w:val="CharDefText"/>
        </w:rPr>
        <w:t>relevant percentage</w:t>
      </w:r>
      <w:r>
        <w:rPr>
          <w:b/>
        </w:rPr>
        <w:t>”</w:t>
      </w:r>
      <w:r>
        <w:t xml:space="preserve"> means —</w:t>
      </w:r>
    </w:p>
    <w:p>
      <w:pPr>
        <w:pStyle w:val="Defpara"/>
      </w:pPr>
      <w:r>
        <w:tab/>
        <w:t>(a)</w:t>
      </w:r>
      <w:r>
        <w:tab/>
        <w:t>20%; or</w:t>
      </w:r>
    </w:p>
    <w:p>
      <w:pPr>
        <w:pStyle w:val="Defpara"/>
      </w:pPr>
      <w:r>
        <w:tab/>
        <w:t>(b)</w:t>
      </w:r>
      <w:r>
        <w:tab/>
        <w:t>if another percentage is prescribed by regulation, that other percentage.</w:t>
      </w:r>
    </w:p>
    <w:p>
      <w:pPr>
        <w:pStyle w:val="Subsection"/>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by No. 72 of 2003 s. 5; No. 4 of 2006 s. 7.]</w:t>
      </w:r>
    </w:p>
    <w:p>
      <w:pPr>
        <w:pStyle w:val="Heading5"/>
        <w:rPr>
          <w:snapToGrid w:val="0"/>
        </w:rPr>
      </w:pPr>
      <w:bookmarkStart w:id="83" w:name="_Toc131835868"/>
      <w:r>
        <w:rPr>
          <w:rStyle w:val="CharSectno"/>
        </w:rPr>
        <w:t>17</w:t>
      </w:r>
      <w:r>
        <w:rPr>
          <w:snapToGrid w:val="0"/>
        </w:rPr>
        <w:t>.</w:t>
      </w:r>
      <w:r>
        <w:rPr>
          <w:snapToGrid w:val="0"/>
        </w:rPr>
        <w:tab/>
        <w:t>Form of tender</w:t>
      </w:r>
      <w:bookmarkEnd w:id="81"/>
      <w:bookmarkEnd w:id="82"/>
      <w:bookmarkEnd w:id="83"/>
      <w:r>
        <w:rPr>
          <w:snapToGrid w:val="0"/>
        </w:rPr>
        <w:t xml:space="preserve"> </w:t>
      </w:r>
    </w:p>
    <w:p>
      <w:pPr>
        <w:pStyle w:val="Subsection"/>
        <w:keepNext/>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Subsection"/>
        <w:rPr>
          <w:snapToGrid w:val="0"/>
        </w:rPr>
      </w:pPr>
      <w:r>
        <w:rPr>
          <w:snapToGrid w:val="0"/>
        </w:rPr>
        <w:tab/>
        <w:t>(4)</w:t>
      </w:r>
      <w:r>
        <w:rPr>
          <w:snapToGrid w:val="0"/>
        </w:rPr>
        <w:tab/>
        <w:t>Taxi plates shall not be issued to a tenderer if that tenderer would thereby become the owner of more than 5 sets of taxi plates, either solely or in partnership with another person.</w:t>
      </w:r>
    </w:p>
    <w:p>
      <w:pPr>
        <w:pStyle w:val="Footnotesection"/>
      </w:pPr>
      <w:bookmarkStart w:id="84" w:name="_Toc403946015"/>
      <w:bookmarkStart w:id="85" w:name="_Toc12345131"/>
      <w:r>
        <w:tab/>
        <w:t>[Section 17 amended by No. 72 of 2003 s. 6.]</w:t>
      </w:r>
    </w:p>
    <w:p>
      <w:pPr>
        <w:pStyle w:val="Heading5"/>
        <w:rPr>
          <w:snapToGrid w:val="0"/>
        </w:rPr>
      </w:pPr>
      <w:bookmarkStart w:id="86" w:name="_Toc131835869"/>
      <w:r>
        <w:rPr>
          <w:rStyle w:val="CharSectno"/>
        </w:rPr>
        <w:t>18</w:t>
      </w:r>
      <w:r>
        <w:rPr>
          <w:snapToGrid w:val="0"/>
        </w:rPr>
        <w:t>.</w:t>
      </w:r>
      <w:r>
        <w:rPr>
          <w:snapToGrid w:val="0"/>
        </w:rPr>
        <w:tab/>
        <w:t>Issue of taxi plates</w:t>
      </w:r>
      <w:bookmarkEnd w:id="84"/>
      <w:bookmarkEnd w:id="85"/>
      <w:bookmarkEnd w:id="86"/>
      <w:r>
        <w:rPr>
          <w:snapToGrid w:val="0"/>
        </w:rPr>
        <w:t xml:space="preserve"> </w:t>
      </w:r>
    </w:p>
    <w:p>
      <w:pPr>
        <w:pStyle w:val="Subsection"/>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w:t>
      </w:r>
    </w:p>
    <w:p>
      <w:pPr>
        <w:pStyle w:val="Indenta"/>
        <w:rPr>
          <w:snapToGrid w:val="0"/>
        </w:rPr>
      </w:pPr>
      <w:r>
        <w:rPr>
          <w:snapToGrid w:val="0"/>
        </w:rPr>
        <w:tab/>
        <w:t>(b)</w:t>
      </w:r>
      <w:r>
        <w:rPr>
          <w:snapToGrid w:val="0"/>
        </w:rPr>
        <w:tab/>
        <w:t xml:space="preserve">that all the criteria specified in the invitation to tender or apply have been met; </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operating 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bookmarkStart w:id="87" w:name="_Toc403946016"/>
      <w:bookmarkStart w:id="88" w:name="_Toc12345132"/>
      <w:r>
        <w:tab/>
        <w:t>[Section 18 amended by No. 72 of 2003 s. 7; No. 4 of 2006 s. 8.]</w:t>
      </w:r>
    </w:p>
    <w:p>
      <w:pPr>
        <w:pStyle w:val="Heading5"/>
        <w:rPr>
          <w:snapToGrid w:val="0"/>
        </w:rPr>
      </w:pPr>
      <w:bookmarkStart w:id="89" w:name="_Toc131835870"/>
      <w:r>
        <w:rPr>
          <w:rStyle w:val="CharSectno"/>
        </w:rPr>
        <w:t>19</w:t>
      </w:r>
      <w:r>
        <w:rPr>
          <w:snapToGrid w:val="0"/>
        </w:rPr>
        <w:t>.</w:t>
      </w:r>
      <w:r>
        <w:rPr>
          <w:snapToGrid w:val="0"/>
        </w:rPr>
        <w:tab/>
        <w:t>Annual fees for taxi plates</w:t>
      </w:r>
      <w:bookmarkEnd w:id="87"/>
      <w:bookmarkEnd w:id="88"/>
      <w:bookmarkEnd w:id="89"/>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bookmarkStart w:id="90" w:name="_Toc403946017"/>
      <w:bookmarkStart w:id="91" w:name="_Toc12345133"/>
      <w:r>
        <w:tab/>
        <w:t>[Section 19 amended by No. 72 of 2003 s. 8 and 18.]</w:t>
      </w:r>
    </w:p>
    <w:p>
      <w:pPr>
        <w:pStyle w:val="Heading5"/>
      </w:pPr>
      <w:bookmarkStart w:id="92" w:name="_Toc131835871"/>
      <w:r>
        <w:rPr>
          <w:rStyle w:val="CharSectno"/>
        </w:rPr>
        <w:t>19A</w:t>
      </w:r>
      <w:r>
        <w:t>.</w:t>
      </w:r>
      <w:r>
        <w:tab/>
        <w:t>Periodic payments for leased taxi plates</w:t>
      </w:r>
      <w:bookmarkEnd w:id="92"/>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by No. 72 of 2003 s. 9.]</w:t>
      </w:r>
    </w:p>
    <w:p>
      <w:pPr>
        <w:pStyle w:val="Heading5"/>
        <w:rPr>
          <w:snapToGrid w:val="0"/>
        </w:rPr>
      </w:pPr>
      <w:bookmarkStart w:id="93" w:name="_Toc131835872"/>
      <w:r>
        <w:rPr>
          <w:rStyle w:val="CharSectno"/>
        </w:rPr>
        <w:t>20</w:t>
      </w:r>
      <w:r>
        <w:rPr>
          <w:snapToGrid w:val="0"/>
        </w:rPr>
        <w:t>.</w:t>
      </w:r>
      <w:r>
        <w:rPr>
          <w:snapToGrid w:val="0"/>
        </w:rPr>
        <w:tab/>
        <w:t>Conditions</w:t>
      </w:r>
      <w:bookmarkEnd w:id="90"/>
      <w:bookmarkEnd w:id="91"/>
      <w:bookmarkEnd w:id="93"/>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w:t>
      </w:r>
    </w:p>
    <w:p>
      <w:pPr>
        <w:pStyle w:val="Indenta"/>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repealed]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by No. 72 of 2003 s. 18; No. 55 of 2004 s. 1185.]</w:t>
      </w:r>
    </w:p>
    <w:p>
      <w:pPr>
        <w:pStyle w:val="Heading5"/>
        <w:rPr>
          <w:snapToGrid w:val="0"/>
        </w:rPr>
      </w:pPr>
      <w:bookmarkStart w:id="94" w:name="_Toc403946018"/>
      <w:bookmarkStart w:id="95" w:name="_Toc12345134"/>
      <w:bookmarkStart w:id="96" w:name="_Toc131835873"/>
      <w:r>
        <w:rPr>
          <w:rStyle w:val="CharSectno"/>
        </w:rPr>
        <w:t>21</w:t>
      </w:r>
      <w:r>
        <w:rPr>
          <w:snapToGrid w:val="0"/>
        </w:rPr>
        <w:t>.</w:t>
      </w:r>
      <w:r>
        <w:rPr>
          <w:snapToGrid w:val="0"/>
        </w:rPr>
        <w:tab/>
        <w:t>Use of taxi plates</w:t>
      </w:r>
      <w:bookmarkEnd w:id="94"/>
      <w:bookmarkEnd w:id="95"/>
      <w:bookmarkEnd w:id="96"/>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Footnotesection"/>
      </w:pPr>
      <w:r>
        <w:tab/>
        <w:t>[Section 21 amended by No. 72 of 2003 s. 10 and 18.]</w:t>
      </w:r>
    </w:p>
    <w:p>
      <w:pPr>
        <w:pStyle w:val="Heading5"/>
        <w:rPr>
          <w:snapToGrid w:val="0"/>
        </w:rPr>
      </w:pPr>
      <w:bookmarkStart w:id="97" w:name="_Toc403946019"/>
      <w:bookmarkStart w:id="98" w:name="_Toc12345135"/>
      <w:bookmarkStart w:id="99" w:name="_Toc131835874"/>
      <w:r>
        <w:rPr>
          <w:rStyle w:val="CharSectno"/>
        </w:rPr>
        <w:t>22</w:t>
      </w:r>
      <w:r>
        <w:rPr>
          <w:snapToGrid w:val="0"/>
        </w:rPr>
        <w:t>.</w:t>
      </w:r>
      <w:r>
        <w:rPr>
          <w:snapToGrid w:val="0"/>
        </w:rPr>
        <w:tab/>
        <w:t>Variation of conditions</w:t>
      </w:r>
      <w:bookmarkEnd w:id="97"/>
      <w:bookmarkEnd w:id="98"/>
      <w:bookmarkEnd w:id="99"/>
      <w:r>
        <w:rPr>
          <w:snapToGrid w:val="0"/>
        </w:rPr>
        <w:t xml:space="preserve"> </w:t>
      </w:r>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Ednotesubsection"/>
      </w:pPr>
      <w:r>
        <w:tab/>
        <w:t>[(3)</w:t>
      </w:r>
      <w:r>
        <w:tab/>
        <w:t>repealed]</w:t>
      </w:r>
    </w:p>
    <w:p>
      <w:pPr>
        <w:pStyle w:val="Footnotesection"/>
      </w:pPr>
      <w:r>
        <w:tab/>
        <w:t>[Section 22 amended by No. 72 of 2003 s. 18; No. 55 of 2004 s. 1186.]</w:t>
      </w:r>
    </w:p>
    <w:p>
      <w:pPr>
        <w:pStyle w:val="Heading5"/>
        <w:rPr>
          <w:snapToGrid w:val="0"/>
        </w:rPr>
      </w:pPr>
      <w:bookmarkStart w:id="100" w:name="_Toc403946020"/>
      <w:bookmarkStart w:id="101" w:name="_Toc12345136"/>
      <w:bookmarkStart w:id="102" w:name="_Toc131835875"/>
      <w:r>
        <w:rPr>
          <w:rStyle w:val="CharSectno"/>
        </w:rPr>
        <w:t>23</w:t>
      </w:r>
      <w:r>
        <w:rPr>
          <w:snapToGrid w:val="0"/>
        </w:rPr>
        <w:t>.</w:t>
      </w:r>
      <w:r>
        <w:rPr>
          <w:snapToGrid w:val="0"/>
        </w:rPr>
        <w:tab/>
        <w:t>Divesting and forfeiture of taxi plates</w:t>
      </w:r>
      <w:bookmarkEnd w:id="100"/>
      <w:bookmarkEnd w:id="101"/>
      <w:bookmarkEnd w:id="102"/>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b/>
        </w:rPr>
        <w:t>“</w:t>
      </w:r>
      <w:r>
        <w:rPr>
          <w:rStyle w:val="CharDefText"/>
        </w:rPr>
        <w:t>divestment period</w:t>
      </w:r>
      <w:r>
        <w:rPr>
          <w:b/>
        </w:rPr>
        <w:t>”</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Ednotesubsection"/>
      </w:pPr>
      <w:bookmarkStart w:id="103" w:name="_Toc403946021"/>
      <w:bookmarkStart w:id="104" w:name="_Toc12345137"/>
      <w:r>
        <w:tab/>
        <w:t>[(5)</w:t>
      </w:r>
      <w:r>
        <w:tab/>
        <w:t>repealed]</w:t>
      </w:r>
    </w:p>
    <w:p>
      <w:pPr>
        <w:pStyle w:val="Footnotesection"/>
      </w:pPr>
      <w:r>
        <w:tab/>
        <w:t>[Section 23 amended by No. 72 of 2003 s. 11 and 18; No. 55 of 2004 s. 1187.]</w:t>
      </w:r>
    </w:p>
    <w:p>
      <w:pPr>
        <w:pStyle w:val="Heading5"/>
      </w:pPr>
      <w:bookmarkStart w:id="105" w:name="_Toc131835876"/>
      <w:r>
        <w:rPr>
          <w:rStyle w:val="CharSectno"/>
        </w:rPr>
        <w:t>23A</w:t>
      </w:r>
      <w:r>
        <w:t>.</w:t>
      </w:r>
      <w:r>
        <w:tab/>
        <w:t>Forfeiture of leased taxi plates</w:t>
      </w:r>
      <w:bookmarkEnd w:id="105"/>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by No. 72 of 2003 s. 12.]</w:t>
      </w:r>
    </w:p>
    <w:p>
      <w:pPr>
        <w:pStyle w:val="Heading5"/>
        <w:rPr>
          <w:snapToGrid w:val="0"/>
        </w:rPr>
      </w:pPr>
      <w:bookmarkStart w:id="106" w:name="_Toc131835877"/>
      <w:r>
        <w:rPr>
          <w:rStyle w:val="CharSectno"/>
        </w:rPr>
        <w:t>24</w:t>
      </w:r>
      <w:r>
        <w:rPr>
          <w:snapToGrid w:val="0"/>
        </w:rPr>
        <w:t>.</w:t>
      </w:r>
      <w:r>
        <w:rPr>
          <w:snapToGrid w:val="0"/>
        </w:rPr>
        <w:tab/>
        <w:t>Transfer of taxi plates</w:t>
      </w:r>
      <w:bookmarkEnd w:id="103"/>
      <w:bookmarkEnd w:id="104"/>
      <w:bookmarkEnd w:id="106"/>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Subsection"/>
        <w:rPr>
          <w:snapToGrid w:val="0"/>
        </w:rPr>
      </w:pPr>
      <w:r>
        <w:rPr>
          <w:snapToGrid w:val="0"/>
        </w:rPr>
        <w:tab/>
        <w:t>(3)</w:t>
      </w:r>
      <w:r>
        <w:rPr>
          <w:snapToGrid w:val="0"/>
        </w:rPr>
        <w:tab/>
        <w:t>A transfer of the ownership, or an interest in the ownership, of taxi plates, shall not be approved if the proposed transferee would thereby become the owner of more than 5 sets of taxi plates, either solely or in partnership with another person.</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bookmarkStart w:id="107" w:name="_Toc403946022"/>
      <w:bookmarkStart w:id="108" w:name="_Toc12345138"/>
      <w:r>
        <w:tab/>
        <w:t>(5)</w:t>
      </w:r>
      <w:r>
        <w:tab/>
        <w:t>Taxi plates that are leased are not transferable.</w:t>
      </w:r>
    </w:p>
    <w:p>
      <w:pPr>
        <w:pStyle w:val="Footnotesection"/>
      </w:pPr>
      <w:r>
        <w:tab/>
        <w:t>[Section 24 amended by No. 72 of 2003 s. 13.]</w:t>
      </w:r>
    </w:p>
    <w:p>
      <w:pPr>
        <w:pStyle w:val="Heading5"/>
        <w:rPr>
          <w:snapToGrid w:val="0"/>
        </w:rPr>
      </w:pPr>
      <w:bookmarkStart w:id="109" w:name="_Toc131835878"/>
      <w:r>
        <w:rPr>
          <w:rStyle w:val="CharSectno"/>
        </w:rPr>
        <w:t>25</w:t>
      </w:r>
      <w:r>
        <w:rPr>
          <w:snapToGrid w:val="0"/>
        </w:rPr>
        <w:t>.</w:t>
      </w:r>
      <w:r>
        <w:rPr>
          <w:snapToGrid w:val="0"/>
        </w:rPr>
        <w:tab/>
        <w:t>Return of taxi plates</w:t>
      </w:r>
      <w:bookmarkEnd w:id="107"/>
      <w:bookmarkEnd w:id="108"/>
      <w:bookmarkEnd w:id="109"/>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w:t>
      </w:r>
    </w:p>
    <w:p>
      <w:pPr>
        <w:pStyle w:val="Indenta"/>
      </w:pPr>
      <w:r>
        <w:tab/>
        <w:t>(b)</w:t>
      </w:r>
      <w:r>
        <w:tab/>
        <w:t>the forfeiture of the right to those plates under section 19(2), 19A(2) or 23A; or</w:t>
      </w:r>
    </w:p>
    <w:p>
      <w:pPr>
        <w:pStyle w:val="Indenta"/>
      </w:pPr>
      <w:r>
        <w:tab/>
        <w:t>(c)</w:t>
      </w:r>
      <w:r>
        <w:tab/>
        <w:t>if, as a result of forfeiture under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pPr>
      <w:r>
        <w:tab/>
        <w:t>[Section 25 amended by No. 72 of 2003 s. 14 and 18.]</w:t>
      </w:r>
    </w:p>
    <w:p>
      <w:pPr>
        <w:pStyle w:val="Heading3"/>
        <w:rPr>
          <w:snapToGrid w:val="0"/>
        </w:rPr>
      </w:pPr>
      <w:bookmarkStart w:id="110" w:name="_Toc89758998"/>
      <w:bookmarkStart w:id="111" w:name="_Toc91321541"/>
      <w:bookmarkStart w:id="112" w:name="_Toc92772413"/>
      <w:bookmarkStart w:id="113" w:name="_Toc96919171"/>
      <w:bookmarkStart w:id="114" w:name="_Toc103072755"/>
      <w:bookmarkStart w:id="115" w:name="_Toc107910918"/>
      <w:bookmarkStart w:id="116" w:name="_Toc123640072"/>
      <w:bookmarkStart w:id="117" w:name="_Toc131835879"/>
      <w:r>
        <w:rPr>
          <w:rStyle w:val="CharDivNo"/>
        </w:rPr>
        <w:t>Division 2</w:t>
      </w:r>
      <w:r>
        <w:rPr>
          <w:snapToGrid w:val="0"/>
        </w:rPr>
        <w:t> — </w:t>
      </w:r>
      <w:r>
        <w:rPr>
          <w:rStyle w:val="CharDivText"/>
        </w:rPr>
        <w:t>Registration of providers of taxi dispatch services</w:t>
      </w:r>
      <w:bookmarkEnd w:id="110"/>
      <w:bookmarkEnd w:id="111"/>
      <w:bookmarkEnd w:id="112"/>
      <w:bookmarkEnd w:id="113"/>
      <w:bookmarkEnd w:id="114"/>
      <w:bookmarkEnd w:id="115"/>
      <w:bookmarkEnd w:id="116"/>
      <w:bookmarkEnd w:id="117"/>
      <w:r>
        <w:rPr>
          <w:rStyle w:val="CharDivText"/>
        </w:rPr>
        <w:t xml:space="preserve"> </w:t>
      </w:r>
    </w:p>
    <w:p>
      <w:pPr>
        <w:pStyle w:val="Heading5"/>
        <w:rPr>
          <w:snapToGrid w:val="0"/>
        </w:rPr>
      </w:pPr>
      <w:bookmarkStart w:id="118" w:name="_Toc403946023"/>
      <w:bookmarkStart w:id="119" w:name="_Toc12345139"/>
      <w:bookmarkStart w:id="120" w:name="_Toc131835880"/>
      <w:r>
        <w:rPr>
          <w:rStyle w:val="CharSectno"/>
        </w:rPr>
        <w:t>26</w:t>
      </w:r>
      <w:r>
        <w:rPr>
          <w:snapToGrid w:val="0"/>
        </w:rPr>
        <w:t>.</w:t>
      </w:r>
      <w:r>
        <w:rPr>
          <w:snapToGrid w:val="0"/>
        </w:rPr>
        <w:tab/>
        <w:t>Taxi dispatch service</w:t>
      </w:r>
      <w:bookmarkEnd w:id="118"/>
      <w:bookmarkEnd w:id="119"/>
      <w:bookmarkEnd w:id="120"/>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121" w:name="_Toc403946024"/>
      <w:bookmarkStart w:id="122" w:name="_Toc12345140"/>
      <w:bookmarkStart w:id="123" w:name="_Toc131835881"/>
      <w:r>
        <w:rPr>
          <w:rStyle w:val="CharSectno"/>
        </w:rPr>
        <w:t>27</w:t>
      </w:r>
      <w:r>
        <w:rPr>
          <w:snapToGrid w:val="0"/>
        </w:rPr>
        <w:t>.</w:t>
      </w:r>
      <w:r>
        <w:rPr>
          <w:snapToGrid w:val="0"/>
        </w:rPr>
        <w:tab/>
        <w:t>Application for registration</w:t>
      </w:r>
      <w:bookmarkEnd w:id="121"/>
      <w:bookmarkEnd w:id="122"/>
      <w:bookmarkEnd w:id="123"/>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w:t>
      </w:r>
    </w:p>
    <w:p>
      <w:pPr>
        <w:pStyle w:val="Indenta"/>
        <w:rPr>
          <w:snapToGrid w:val="0"/>
        </w:rPr>
      </w:pPr>
      <w:r>
        <w:rPr>
          <w:snapToGrid w:val="0"/>
        </w:rPr>
        <w:tab/>
        <w:t>(b)</w:t>
      </w:r>
      <w:r>
        <w:rPr>
          <w:snapToGrid w:val="0"/>
        </w:rPr>
        <w:tab/>
        <w:t>where the application is made by a partnership, disclose the name and address of each member of the partnership;</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124" w:name="_Toc403946025"/>
      <w:bookmarkStart w:id="125" w:name="_Toc12345141"/>
      <w:bookmarkStart w:id="126" w:name="_Toc131835882"/>
      <w:r>
        <w:rPr>
          <w:rStyle w:val="CharSectno"/>
        </w:rPr>
        <w:t>28</w:t>
      </w:r>
      <w:r>
        <w:rPr>
          <w:snapToGrid w:val="0"/>
        </w:rPr>
        <w:t>.</w:t>
      </w:r>
      <w:r>
        <w:rPr>
          <w:snapToGrid w:val="0"/>
        </w:rPr>
        <w:tab/>
        <w:t>Registration</w:t>
      </w:r>
      <w:bookmarkEnd w:id="124"/>
      <w:bookmarkEnd w:id="125"/>
      <w:bookmarkEnd w:id="126"/>
      <w:r>
        <w:rPr>
          <w:snapToGrid w:val="0"/>
        </w:rPr>
        <w:t xml:space="preserve"> </w:t>
      </w:r>
    </w:p>
    <w:p>
      <w:pPr>
        <w:pStyle w:val="Subsection"/>
        <w:rPr>
          <w:snapToGrid w:val="0"/>
        </w:rPr>
      </w:pPr>
      <w:r>
        <w:rPr>
          <w:snapToGrid w:val="0"/>
        </w:rPr>
        <w:tab/>
        <w:t>(1)</w:t>
      </w:r>
      <w:r>
        <w:rPr>
          <w:snapToGrid w:val="0"/>
        </w:rPr>
        <w:tab/>
        <w:t>If the Director General is satisfied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127" w:name="_Toc403946026"/>
      <w:bookmarkStart w:id="128" w:name="_Toc12345142"/>
      <w:bookmarkStart w:id="129" w:name="_Toc131835883"/>
      <w:r>
        <w:rPr>
          <w:rStyle w:val="CharSectno"/>
        </w:rPr>
        <w:t>29</w:t>
      </w:r>
      <w:r>
        <w:rPr>
          <w:snapToGrid w:val="0"/>
        </w:rPr>
        <w:t>.</w:t>
      </w:r>
      <w:r>
        <w:rPr>
          <w:snapToGrid w:val="0"/>
        </w:rPr>
        <w:tab/>
        <w:t>Conditions</w:t>
      </w:r>
      <w:bookmarkEnd w:id="127"/>
      <w:bookmarkEnd w:id="128"/>
      <w:bookmarkEnd w:id="129"/>
      <w:r>
        <w:rPr>
          <w:snapToGrid w:val="0"/>
        </w:rPr>
        <w:t xml:space="preserve"> </w:t>
      </w:r>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rPr>
          <w:snapToGrid w:val="0"/>
        </w:rPr>
      </w:pPr>
      <w:bookmarkStart w:id="130" w:name="_Toc403946027"/>
      <w:bookmarkStart w:id="131" w:name="_Toc12345143"/>
      <w:bookmarkStart w:id="132" w:name="_Toc131835884"/>
      <w:r>
        <w:rPr>
          <w:rStyle w:val="CharSectno"/>
        </w:rPr>
        <w:t>30</w:t>
      </w:r>
      <w:r>
        <w:rPr>
          <w:snapToGrid w:val="0"/>
        </w:rPr>
        <w:t>.</w:t>
      </w:r>
      <w:r>
        <w:rPr>
          <w:snapToGrid w:val="0"/>
        </w:rPr>
        <w:tab/>
        <w:t>Cancellation of registration</w:t>
      </w:r>
      <w:bookmarkEnd w:id="130"/>
      <w:bookmarkEnd w:id="131"/>
      <w:bookmarkEnd w:id="132"/>
      <w:r>
        <w:rPr>
          <w:snapToGrid w:val="0"/>
        </w:rPr>
        <w:t xml:space="preserve"> </w:t>
      </w:r>
    </w:p>
    <w:p>
      <w:pPr>
        <w:pStyle w:val="Subsection"/>
        <w:rPr>
          <w:snapToGrid w:val="0"/>
        </w:rPr>
      </w:pPr>
      <w:r>
        <w:rPr>
          <w:snapToGrid w:val="0"/>
        </w:rPr>
        <w:tab/>
        <w:t>(1)</w:t>
      </w:r>
      <w:r>
        <w:rPr>
          <w:snapToGrid w:val="0"/>
        </w:rPr>
        <w:tab/>
        <w:t>Where the Director General believes that the provider of a taxi dispatch service — </w:t>
      </w:r>
    </w:p>
    <w:p>
      <w:pPr>
        <w:pStyle w:val="Indenta"/>
        <w:rPr>
          <w:snapToGrid w:val="0"/>
        </w:rPr>
      </w:pPr>
      <w:r>
        <w:rPr>
          <w:snapToGrid w:val="0"/>
        </w:rPr>
        <w:tab/>
        <w:t>(a)</w:t>
      </w:r>
      <w:r>
        <w:rPr>
          <w:snapToGrid w:val="0"/>
        </w:rPr>
        <w:tab/>
        <w:t>is no longer fit to be registered as such;</w:t>
      </w:r>
    </w:p>
    <w:p>
      <w:pPr>
        <w:pStyle w:val="Indenta"/>
        <w:rPr>
          <w:snapToGrid w:val="0"/>
        </w:rPr>
      </w:pPr>
      <w:r>
        <w:rPr>
          <w:snapToGrid w:val="0"/>
        </w:rPr>
        <w:tab/>
        <w:t>(b)</w:t>
      </w:r>
      <w:r>
        <w:rPr>
          <w:snapToGrid w:val="0"/>
        </w:rPr>
        <w:tab/>
        <w:t>is no longer capable of providing an efficient and reliable taxi dispatch service;</w:t>
      </w:r>
    </w:p>
    <w:p>
      <w:pPr>
        <w:pStyle w:val="Indenta"/>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rPr>
          <w:snapToGrid w:val="0"/>
        </w:rPr>
      </w:pPr>
      <w:r>
        <w:rPr>
          <w:snapToGrid w:val="0"/>
        </w:rPr>
        <w:tab/>
        <w:t>(d)</w:t>
      </w:r>
      <w:r>
        <w:rPr>
          <w:snapToGrid w:val="0"/>
        </w:rPr>
        <w:tab/>
        <w:t>obtained registration by fraud or misrepresentation,</w:t>
      </w:r>
    </w:p>
    <w:p>
      <w:pPr>
        <w:pStyle w:val="Subsection"/>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rPr>
          <w:snapToGrid w:val="0"/>
        </w:rPr>
      </w:pPr>
      <w:r>
        <w:rPr>
          <w:snapToGrid w:val="0"/>
        </w:rPr>
        <w:tab/>
        <w:t>(a)</w:t>
      </w:r>
      <w:r>
        <w:rPr>
          <w:snapToGrid w:val="0"/>
        </w:rPr>
        <w:tab/>
        <w:t>of the provisions of subsection (3); and</w:t>
      </w:r>
    </w:p>
    <w:p>
      <w:pPr>
        <w:pStyle w:val="Indenta"/>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pPr>
      <w:r>
        <w:tab/>
        <w:t>[(4)</w:t>
      </w:r>
      <w:r>
        <w:tab/>
        <w:t>repealed]</w:t>
      </w:r>
    </w:p>
    <w:p>
      <w:pPr>
        <w:pStyle w:val="Subsection"/>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by No. 72 of 2003 s. 15; No. 55 of 2004 s. 1188.]</w:t>
      </w:r>
    </w:p>
    <w:p>
      <w:pPr>
        <w:pStyle w:val="Heading2"/>
      </w:pPr>
      <w:bookmarkStart w:id="133" w:name="_Toc89759004"/>
      <w:bookmarkStart w:id="134" w:name="_Toc91321547"/>
      <w:bookmarkStart w:id="135" w:name="_Toc92772419"/>
      <w:bookmarkStart w:id="136" w:name="_Toc96919177"/>
      <w:bookmarkStart w:id="137" w:name="_Toc103072761"/>
      <w:bookmarkStart w:id="138" w:name="_Toc107910924"/>
      <w:bookmarkStart w:id="139" w:name="_Toc123640078"/>
      <w:bookmarkStart w:id="140" w:name="_Toc131835885"/>
      <w:r>
        <w:rPr>
          <w:rStyle w:val="CharPartNo"/>
        </w:rPr>
        <w:t>Part 4</w:t>
      </w:r>
      <w:r>
        <w:rPr>
          <w:rStyle w:val="CharDivNo"/>
        </w:rPr>
        <w:t> </w:t>
      </w:r>
      <w:r>
        <w:t>—</w:t>
      </w:r>
      <w:r>
        <w:rPr>
          <w:rStyle w:val="CharDivText"/>
        </w:rPr>
        <w:t> </w:t>
      </w:r>
      <w:r>
        <w:rPr>
          <w:rStyle w:val="CharPartText"/>
        </w:rPr>
        <w:t>General</w:t>
      </w:r>
      <w:bookmarkEnd w:id="133"/>
      <w:bookmarkEnd w:id="134"/>
      <w:bookmarkEnd w:id="135"/>
      <w:bookmarkEnd w:id="136"/>
      <w:bookmarkEnd w:id="137"/>
      <w:bookmarkEnd w:id="138"/>
      <w:bookmarkEnd w:id="139"/>
      <w:bookmarkEnd w:id="140"/>
      <w:r>
        <w:rPr>
          <w:rStyle w:val="CharPartText"/>
        </w:rPr>
        <w:t xml:space="preserve"> </w:t>
      </w:r>
    </w:p>
    <w:p>
      <w:pPr>
        <w:pStyle w:val="Heading5"/>
        <w:rPr>
          <w:snapToGrid w:val="0"/>
        </w:rPr>
      </w:pPr>
      <w:bookmarkStart w:id="141" w:name="_Toc403946028"/>
      <w:bookmarkStart w:id="142" w:name="_Toc12345144"/>
      <w:bookmarkStart w:id="143" w:name="_Toc131835886"/>
      <w:r>
        <w:rPr>
          <w:rStyle w:val="CharSectno"/>
        </w:rPr>
        <w:t>31</w:t>
      </w:r>
      <w:r>
        <w:rPr>
          <w:snapToGrid w:val="0"/>
        </w:rPr>
        <w:t>.</w:t>
      </w:r>
      <w:r>
        <w:rPr>
          <w:snapToGrid w:val="0"/>
        </w:rPr>
        <w:tab/>
        <w:t>Authorised officers</w:t>
      </w:r>
      <w:bookmarkEnd w:id="141"/>
      <w:bookmarkEnd w:id="142"/>
      <w:bookmarkEnd w:id="143"/>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144" w:name="_Toc403946029"/>
      <w:bookmarkStart w:id="145" w:name="_Toc12345145"/>
      <w:bookmarkStart w:id="146" w:name="_Toc131835887"/>
      <w:r>
        <w:rPr>
          <w:rStyle w:val="CharSectno"/>
        </w:rPr>
        <w:t>32</w:t>
      </w:r>
      <w:r>
        <w:rPr>
          <w:snapToGrid w:val="0"/>
        </w:rPr>
        <w:t>.</w:t>
      </w:r>
      <w:r>
        <w:rPr>
          <w:snapToGrid w:val="0"/>
        </w:rPr>
        <w:tab/>
        <w:t>Powers of authorised officers</w:t>
      </w:r>
      <w:bookmarkEnd w:id="144"/>
      <w:bookmarkEnd w:id="145"/>
      <w:bookmarkEnd w:id="146"/>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w:t>
      </w:r>
    </w:p>
    <w:p>
      <w:pPr>
        <w:pStyle w:val="Indenta"/>
        <w:rPr>
          <w:snapToGrid w:val="0"/>
        </w:rPr>
      </w:pPr>
      <w:r>
        <w:rPr>
          <w:snapToGrid w:val="0"/>
        </w:rPr>
        <w:tab/>
        <w:t>(b)</w:t>
      </w:r>
      <w:r>
        <w:rPr>
          <w:snapToGrid w:val="0"/>
        </w:rPr>
        <w:tab/>
        <w:t xml:space="preserve">direct the driver to produce for his or her inspection the appropriate driver’s licence issued under the </w:t>
      </w:r>
      <w:r>
        <w:rPr>
          <w:i/>
          <w:snapToGrid w:val="0"/>
        </w:rPr>
        <w:t>Road Traffic Act 1974</w:t>
      </w:r>
      <w:r>
        <w:rPr>
          <w:snapToGrid w:val="0"/>
        </w:rPr>
        <w:t xml:space="preserve">; </w:t>
      </w:r>
    </w:p>
    <w:p>
      <w:pPr>
        <w:pStyle w:val="Indenta"/>
        <w:rPr>
          <w:snapToGrid w:val="0"/>
        </w:rPr>
      </w:pPr>
      <w:r>
        <w:rPr>
          <w:snapToGrid w:val="0"/>
        </w:rPr>
        <w:tab/>
        <w:t>(c)</w:t>
      </w:r>
      <w:r>
        <w:rPr>
          <w:snapToGrid w:val="0"/>
        </w:rPr>
        <w:tab/>
        <w:t>direct any person to alight from, or not to enter, the vehicle;</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by No. 72 of 2003 s. 18.]</w:t>
      </w:r>
    </w:p>
    <w:p>
      <w:pPr>
        <w:pStyle w:val="Heading5"/>
        <w:rPr>
          <w:snapToGrid w:val="0"/>
        </w:rPr>
      </w:pPr>
      <w:bookmarkStart w:id="147" w:name="_Toc403946030"/>
      <w:bookmarkStart w:id="148" w:name="_Toc12345146"/>
      <w:bookmarkStart w:id="149" w:name="_Toc131835888"/>
      <w:r>
        <w:rPr>
          <w:rStyle w:val="CharSectno"/>
        </w:rPr>
        <w:t>33</w:t>
      </w:r>
      <w:r>
        <w:rPr>
          <w:snapToGrid w:val="0"/>
        </w:rPr>
        <w:t>.</w:t>
      </w:r>
      <w:r>
        <w:rPr>
          <w:snapToGrid w:val="0"/>
        </w:rPr>
        <w:tab/>
        <w:t>Averments</w:t>
      </w:r>
      <w:bookmarkEnd w:id="147"/>
      <w:bookmarkEnd w:id="148"/>
      <w:bookmarkEnd w:id="149"/>
      <w:r>
        <w:rPr>
          <w:snapToGrid w:val="0"/>
        </w:rPr>
        <w:t xml:space="preserve"> </w:t>
      </w:r>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w:t>
      </w:r>
    </w:p>
    <w:p>
      <w:pPr>
        <w:pStyle w:val="Indenta"/>
        <w:rPr>
          <w:snapToGrid w:val="0"/>
        </w:rPr>
      </w:pPr>
      <w:r>
        <w:rPr>
          <w:snapToGrid w:val="0"/>
        </w:rPr>
        <w:tab/>
        <w:t>(b)</w:t>
      </w:r>
      <w:r>
        <w:rPr>
          <w:snapToGrid w:val="0"/>
        </w:rPr>
        <w:tab/>
        <w:t>a person is, or was, a</w:t>
      </w:r>
      <w:r>
        <w:t xml:space="preserve"> plate holder</w:t>
      </w:r>
      <w:r>
        <w:rPr>
          <w:snapToGrid w:val="0"/>
        </w:rPr>
        <w:t>;</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by No. 72 of 2003 s. 18; No. 84 of 2004 s. 80.]</w:t>
      </w:r>
    </w:p>
    <w:p>
      <w:pPr>
        <w:pStyle w:val="Ednotesection"/>
      </w:pPr>
      <w:r>
        <w:t>[</w:t>
      </w:r>
      <w:r>
        <w:rPr>
          <w:b/>
        </w:rPr>
        <w:t>34-35.</w:t>
      </w:r>
      <w:r>
        <w:tab/>
        <w:t>Repealed by No. 10 of 1999 s. 9.]</w:t>
      </w:r>
    </w:p>
    <w:p>
      <w:pPr>
        <w:pStyle w:val="Heading5"/>
        <w:rPr>
          <w:snapToGrid w:val="0"/>
        </w:rPr>
      </w:pPr>
      <w:bookmarkStart w:id="150" w:name="_Toc403946033"/>
      <w:bookmarkStart w:id="151" w:name="_Toc12345147"/>
      <w:bookmarkStart w:id="152" w:name="_Toc131835889"/>
      <w:r>
        <w:rPr>
          <w:rStyle w:val="CharSectno"/>
        </w:rPr>
        <w:t>36</w:t>
      </w:r>
      <w:r>
        <w:rPr>
          <w:snapToGrid w:val="0"/>
        </w:rPr>
        <w:t>.</w:t>
      </w:r>
      <w:r>
        <w:rPr>
          <w:snapToGrid w:val="0"/>
        </w:rPr>
        <w:tab/>
        <w:t>Bonds held by operators</w:t>
      </w:r>
      <w:bookmarkEnd w:id="150"/>
      <w:bookmarkEnd w:id="151"/>
      <w:bookmarkEnd w:id="152"/>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bond</w:t>
      </w:r>
      <w:r>
        <w:rPr>
          <w:b/>
        </w:rPr>
        <w:t>”</w:t>
      </w:r>
      <w:r>
        <w:t xml:space="preserve"> means an amount of money paid or payable by a driver to an operator as security for payment of any amount which is, or may become payable by the driver to the operator;</w:t>
      </w:r>
    </w:p>
    <w:p>
      <w:pPr>
        <w:pStyle w:val="Defstart"/>
      </w:pPr>
      <w:r>
        <w:rPr>
          <w:b/>
        </w:rPr>
        <w:tab/>
        <w:t>“</w:t>
      </w:r>
      <w:r>
        <w:rPr>
          <w:rStyle w:val="CharDefText"/>
        </w:rPr>
        <w:t>operator</w:t>
      </w:r>
      <w:r>
        <w:rPr>
          <w:b/>
        </w:rPr>
        <w:t>”</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by No. 4 of 2006 s. 9.]</w:t>
      </w:r>
    </w:p>
    <w:p>
      <w:pPr>
        <w:pStyle w:val="Heading5"/>
        <w:rPr>
          <w:snapToGrid w:val="0"/>
        </w:rPr>
      </w:pPr>
      <w:bookmarkStart w:id="153" w:name="_Toc403946034"/>
      <w:bookmarkStart w:id="154" w:name="_Toc12345148"/>
      <w:bookmarkStart w:id="155" w:name="_Toc131835890"/>
      <w:r>
        <w:rPr>
          <w:rStyle w:val="CharSectno"/>
        </w:rPr>
        <w:t>37</w:t>
      </w:r>
      <w:r>
        <w:rPr>
          <w:snapToGrid w:val="0"/>
        </w:rPr>
        <w:t>.</w:t>
      </w:r>
      <w:r>
        <w:rPr>
          <w:snapToGrid w:val="0"/>
        </w:rPr>
        <w:tab/>
        <w:t>Appeals against certain decisions</w:t>
      </w:r>
      <w:bookmarkEnd w:id="153"/>
      <w:bookmarkEnd w:id="154"/>
      <w:bookmarkEnd w:id="155"/>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Ednotesubsection"/>
      </w:pPr>
      <w:bookmarkStart w:id="156" w:name="_Toc403946035"/>
      <w:bookmarkStart w:id="157" w:name="_Toc12345149"/>
      <w:r>
        <w:tab/>
        <w:t>[(3)</w:t>
      </w:r>
      <w:r>
        <w:tab/>
        <w:t>repealed]</w:t>
      </w:r>
    </w:p>
    <w:p>
      <w:pPr>
        <w:pStyle w:val="Footnotesection"/>
      </w:pPr>
      <w:r>
        <w:tab/>
        <w:t>[Section 37 amended by No. 72 of 2003 s. 16; No. 55 of 2004 s. 1189.]</w:t>
      </w:r>
    </w:p>
    <w:p>
      <w:pPr>
        <w:pStyle w:val="Ednotesection"/>
      </w:pPr>
      <w:bookmarkStart w:id="158" w:name="_Toc403946036"/>
      <w:bookmarkStart w:id="159" w:name="_Toc12345150"/>
      <w:bookmarkEnd w:id="156"/>
      <w:bookmarkEnd w:id="157"/>
      <w:r>
        <w:t>[</w:t>
      </w:r>
      <w:r>
        <w:rPr>
          <w:b/>
          <w:bCs/>
        </w:rPr>
        <w:t>38.</w:t>
      </w:r>
      <w:r>
        <w:tab/>
        <w:t>Repealed by No. 55 of 2004 s. 1190.]</w:t>
      </w:r>
    </w:p>
    <w:p>
      <w:pPr>
        <w:pStyle w:val="Heading5"/>
        <w:rPr>
          <w:snapToGrid w:val="0"/>
        </w:rPr>
      </w:pPr>
      <w:bookmarkStart w:id="160" w:name="_Toc131835891"/>
      <w:r>
        <w:rPr>
          <w:rStyle w:val="CharSectno"/>
        </w:rPr>
        <w:t>39</w:t>
      </w:r>
      <w:r>
        <w:rPr>
          <w:snapToGrid w:val="0"/>
        </w:rPr>
        <w:t>.</w:t>
      </w:r>
      <w:r>
        <w:rPr>
          <w:snapToGrid w:val="0"/>
        </w:rPr>
        <w:tab/>
        <w:t>Infringement notices</w:t>
      </w:r>
      <w:bookmarkEnd w:id="158"/>
      <w:bookmarkEnd w:id="159"/>
      <w:bookmarkEnd w:id="160"/>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161" w:name="_Toc403946037"/>
      <w:bookmarkStart w:id="162" w:name="_Toc12345151"/>
      <w:bookmarkStart w:id="163" w:name="_Toc131835892"/>
      <w:r>
        <w:rPr>
          <w:rStyle w:val="CharSectno"/>
        </w:rPr>
        <w:t>40</w:t>
      </w:r>
      <w:r>
        <w:rPr>
          <w:snapToGrid w:val="0"/>
        </w:rPr>
        <w:t>.</w:t>
      </w:r>
      <w:r>
        <w:rPr>
          <w:snapToGrid w:val="0"/>
        </w:rPr>
        <w:tab/>
        <w:t>Regulations</w:t>
      </w:r>
      <w:bookmarkEnd w:id="161"/>
      <w:bookmarkEnd w:id="162"/>
      <w:bookmarkEnd w:id="163"/>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164" w:name="_Toc403946038"/>
      <w:bookmarkStart w:id="165" w:name="_Toc12345152"/>
      <w:bookmarkStart w:id="166" w:name="_Toc131835893"/>
      <w:r>
        <w:rPr>
          <w:rStyle w:val="CharSectno"/>
        </w:rPr>
        <w:t>41</w:t>
      </w:r>
      <w:r>
        <w:rPr>
          <w:snapToGrid w:val="0"/>
        </w:rPr>
        <w:t>.</w:t>
      </w:r>
      <w:r>
        <w:rPr>
          <w:snapToGrid w:val="0"/>
        </w:rPr>
        <w:tab/>
      </w:r>
      <w:bookmarkEnd w:id="164"/>
      <w:r>
        <w:t>Taxi Industry Development Account</w:t>
      </w:r>
      <w:bookmarkEnd w:id="165"/>
      <w:bookmarkEnd w:id="166"/>
      <w:r>
        <w:rPr>
          <w:snapToGrid w:val="0"/>
        </w:rPr>
        <w:t xml:space="preserve"> </w:t>
      </w:r>
    </w:p>
    <w:p>
      <w:pPr>
        <w:pStyle w:val="Subsection"/>
      </w:pPr>
      <w:r>
        <w:tab/>
        <w:t>(1)</w:t>
      </w:r>
      <w:r>
        <w:tab/>
        <w:t xml:space="preserve">An account called the “Taxi Industry Development Account” is to be established as a trust account under the </w:t>
      </w:r>
      <w:r>
        <w:rPr>
          <w:i/>
        </w:rPr>
        <w:t>Financial Administration and Audit Act 1985</w:t>
      </w:r>
      <w:r>
        <w:t xml:space="preserve"> section 15B.</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all moneys received from the sale</w:t>
      </w:r>
      <w:r>
        <w:t xml:space="preserve"> or lease</w:t>
      </w:r>
      <w:r>
        <w:rPr>
          <w:snapToGrid w:val="0"/>
        </w:rPr>
        <w:t xml:space="preserve"> of taxi plates under this Act;</w:t>
      </w:r>
    </w:p>
    <w:p>
      <w:pPr>
        <w:pStyle w:val="Indenta"/>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repealed]</w:t>
      </w:r>
    </w:p>
    <w:p>
      <w:pPr>
        <w:pStyle w:val="Subsection"/>
        <w:rPr>
          <w:snapToGrid w:val="0"/>
        </w:rPr>
      </w:pPr>
      <w:r>
        <w:rPr>
          <w:snapToGrid w:val="0"/>
        </w:rPr>
        <w:tab/>
        <w:t>(4)</w:t>
      </w:r>
      <w:r>
        <w:rPr>
          <w:snapToGrid w:val="0"/>
        </w:rPr>
        <w:tab/>
        <w:t xml:space="preserve">With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w:t>
      </w:r>
    </w:p>
    <w:p>
      <w:pPr>
        <w:pStyle w:val="Indenta"/>
        <w:rPr>
          <w:snapToGrid w:val="0"/>
        </w:rPr>
      </w:pPr>
      <w:r>
        <w:rPr>
          <w:snapToGrid w:val="0"/>
        </w:rPr>
        <w:tab/>
        <w:t>(b)</w:t>
      </w:r>
      <w:r>
        <w:rPr>
          <w:snapToGrid w:val="0"/>
        </w:rPr>
        <w:tab/>
        <w:t>the funds referred to in section 13;</w:t>
      </w:r>
    </w:p>
    <w:p>
      <w:pPr>
        <w:pStyle w:val="Indenta"/>
        <w:rPr>
          <w:snapToGrid w:val="0"/>
        </w:rPr>
      </w:pPr>
      <w:r>
        <w:rPr>
          <w:snapToGrid w:val="0"/>
        </w:rPr>
        <w:tab/>
        <w:t>(c)</w:t>
      </w:r>
      <w:r>
        <w:rPr>
          <w:snapToGrid w:val="0"/>
        </w:rPr>
        <w:tab/>
        <w:t>grants made under subsection (4);</w:t>
      </w:r>
    </w:p>
    <w:p>
      <w:pPr>
        <w:pStyle w:val="Indenta"/>
        <w:rPr>
          <w:snapToGrid w:val="0"/>
        </w:rPr>
      </w:pPr>
      <w:r>
        <w:rPr>
          <w:snapToGrid w:val="0"/>
        </w:rPr>
        <w:tab/>
        <w:t>(d)</w:t>
      </w:r>
      <w:r>
        <w:rPr>
          <w:snapToGrid w:val="0"/>
        </w:rPr>
        <w:tab/>
        <w:t xml:space="preserve">the amounts payable for any taxi plates surrendered to the Minister under section 43; </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(c), (d) and (e), lawfully incurred for the purposes of, or in meeting the costs and expenses of the administration of, this Act.</w:t>
      </w:r>
    </w:p>
    <w:p>
      <w:pPr>
        <w:pStyle w:val="Footnotesection"/>
      </w:pPr>
      <w:r>
        <w:tab/>
        <w:t>[Section 41 amended by No. 49 of 1996 s. 64; No. 44 of 1998 s. 5; No. 7 of 2002</w:t>
      </w:r>
      <w:r>
        <w:rPr>
          <w:i w:val="0"/>
          <w:vertAlign w:val="superscript"/>
        </w:rPr>
        <w:t> 2</w:t>
      </w:r>
      <w:r>
        <w:t xml:space="preserve"> s. 32(1) to (6) and 35; No. 72 of 2003 s. 17.] </w:t>
      </w:r>
    </w:p>
    <w:p>
      <w:pPr>
        <w:pStyle w:val="Ednotesection"/>
      </w:pPr>
      <w:bookmarkStart w:id="167" w:name="_Toc403946040"/>
      <w:r>
        <w:t>[</w:t>
      </w:r>
      <w:r>
        <w:rPr>
          <w:b/>
        </w:rPr>
        <w:t>42.</w:t>
      </w:r>
      <w:r>
        <w:tab/>
        <w:t>Repealed by No. 7 of 2002 s. 33.]</w:t>
      </w:r>
    </w:p>
    <w:p>
      <w:pPr>
        <w:pStyle w:val="Heading5"/>
        <w:rPr>
          <w:snapToGrid w:val="0"/>
        </w:rPr>
      </w:pPr>
      <w:bookmarkStart w:id="168" w:name="_Toc12345153"/>
      <w:bookmarkStart w:id="169" w:name="_Toc131835894"/>
      <w:r>
        <w:rPr>
          <w:rStyle w:val="CharSectno"/>
        </w:rPr>
        <w:t>43</w:t>
      </w:r>
      <w:r>
        <w:rPr>
          <w:snapToGrid w:val="0"/>
        </w:rPr>
        <w:t>.</w:t>
      </w:r>
      <w:r>
        <w:rPr>
          <w:snapToGrid w:val="0"/>
        </w:rPr>
        <w:tab/>
        <w:t>Surrender of certain taxi plates</w:t>
      </w:r>
      <w:bookmarkEnd w:id="167"/>
      <w:bookmarkEnd w:id="168"/>
      <w:bookmarkEnd w:id="169"/>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keepNext/>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bookmarkStart w:id="170" w:name="_Toc403946042"/>
      <w:r>
        <w:t>[</w:t>
      </w:r>
      <w:r>
        <w:rPr>
          <w:b/>
        </w:rPr>
        <w:t>44.</w:t>
      </w:r>
      <w:r>
        <w:tab/>
        <w:t>Repealed by No. 7 of 2002 s. 34.]</w:t>
      </w:r>
    </w:p>
    <w:p>
      <w:pPr>
        <w:pStyle w:val="Heading5"/>
        <w:rPr>
          <w:snapToGrid w:val="0"/>
        </w:rPr>
      </w:pPr>
      <w:bookmarkStart w:id="171" w:name="_Toc12345154"/>
      <w:bookmarkStart w:id="172" w:name="_Toc131835895"/>
      <w:r>
        <w:rPr>
          <w:rStyle w:val="CharSectno"/>
        </w:rPr>
        <w:t>45</w:t>
      </w:r>
      <w:r>
        <w:rPr>
          <w:snapToGrid w:val="0"/>
        </w:rPr>
        <w:t>.</w:t>
      </w:r>
      <w:r>
        <w:rPr>
          <w:snapToGrid w:val="0"/>
        </w:rPr>
        <w:tab/>
        <w:t>Review of Act</w:t>
      </w:r>
      <w:bookmarkEnd w:id="170"/>
      <w:bookmarkEnd w:id="171"/>
      <w:bookmarkEnd w:id="172"/>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 of the department in relation to this Act;</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173" w:name="_Toc89759016"/>
      <w:bookmarkStart w:id="174" w:name="_Toc91321559"/>
      <w:bookmarkStart w:id="175" w:name="_Toc92772430"/>
      <w:bookmarkStart w:id="176" w:name="_Toc96919188"/>
      <w:bookmarkStart w:id="177" w:name="_Toc103072772"/>
      <w:bookmarkStart w:id="178" w:name="_Toc107910935"/>
      <w:bookmarkStart w:id="179" w:name="_Toc123640089"/>
      <w:bookmarkStart w:id="180" w:name="_Toc131835896"/>
      <w:r>
        <w:rPr>
          <w:rStyle w:val="CharPartNo"/>
        </w:rPr>
        <w:t>Part 5</w:t>
      </w:r>
      <w:r>
        <w:rPr>
          <w:rStyle w:val="CharDivNo"/>
        </w:rPr>
        <w:t> </w:t>
      </w:r>
      <w:r>
        <w:t>—</w:t>
      </w:r>
      <w:r>
        <w:rPr>
          <w:rStyle w:val="CharDivText"/>
        </w:rPr>
        <w:t> </w:t>
      </w:r>
      <w:r>
        <w:rPr>
          <w:rStyle w:val="CharPartText"/>
        </w:rPr>
        <w:t>Repeal and transitional provisions</w:t>
      </w:r>
      <w:bookmarkEnd w:id="173"/>
      <w:bookmarkEnd w:id="174"/>
      <w:bookmarkEnd w:id="175"/>
      <w:bookmarkEnd w:id="176"/>
      <w:bookmarkEnd w:id="177"/>
      <w:bookmarkEnd w:id="178"/>
      <w:bookmarkEnd w:id="179"/>
      <w:bookmarkEnd w:id="180"/>
      <w:r>
        <w:rPr>
          <w:rStyle w:val="CharPartText"/>
        </w:rPr>
        <w:t xml:space="preserve"> </w:t>
      </w:r>
    </w:p>
    <w:p>
      <w:pPr>
        <w:pStyle w:val="Heading5"/>
        <w:rPr>
          <w:snapToGrid w:val="0"/>
        </w:rPr>
      </w:pPr>
      <w:bookmarkStart w:id="181" w:name="_Toc403946043"/>
      <w:bookmarkStart w:id="182" w:name="_Toc12345155"/>
      <w:bookmarkStart w:id="183" w:name="_Toc131835897"/>
      <w:r>
        <w:rPr>
          <w:rStyle w:val="CharSectno"/>
        </w:rPr>
        <w:t>46</w:t>
      </w:r>
      <w:r>
        <w:rPr>
          <w:snapToGrid w:val="0"/>
        </w:rPr>
        <w:t>.</w:t>
      </w:r>
      <w:r>
        <w:rPr>
          <w:snapToGrid w:val="0"/>
        </w:rPr>
        <w:tab/>
        <w:t>Repeal</w:t>
      </w:r>
      <w:bookmarkEnd w:id="181"/>
      <w:bookmarkEnd w:id="182"/>
      <w:bookmarkEnd w:id="183"/>
      <w:r>
        <w:rPr>
          <w:snapToGrid w:val="0"/>
        </w:rPr>
        <w:t xml:space="preserve"> </w:t>
      </w:r>
    </w:p>
    <w:p>
      <w:pPr>
        <w:pStyle w:val="Subsection"/>
        <w:rPr>
          <w:snapToGrid w:val="0"/>
        </w:rPr>
      </w:pPr>
      <w:r>
        <w:rPr>
          <w:snapToGrid w:val="0"/>
        </w:rPr>
        <w:tab/>
      </w:r>
      <w:r>
        <w:rPr>
          <w:snapToGrid w:val="0"/>
        </w:rPr>
        <w:tab/>
        <w:t xml:space="preserve">The </w:t>
      </w:r>
      <w:r>
        <w:rPr>
          <w:i/>
          <w:snapToGrid w:val="0"/>
        </w:rPr>
        <w:t>Taxi</w:t>
      </w:r>
      <w:r>
        <w:rPr>
          <w:i/>
          <w:snapToGrid w:val="0"/>
        </w:rPr>
        <w:noBreakHyphen/>
        <w:t xml:space="preserve">car Control Act 1985 </w:t>
      </w:r>
      <w:r>
        <w:rPr>
          <w:snapToGrid w:val="0"/>
        </w:rPr>
        <w:t>is repealed.</w:t>
      </w:r>
    </w:p>
    <w:p>
      <w:pPr>
        <w:pStyle w:val="Heading5"/>
        <w:rPr>
          <w:snapToGrid w:val="0"/>
        </w:rPr>
      </w:pPr>
      <w:bookmarkStart w:id="184" w:name="_Toc403946044"/>
      <w:bookmarkStart w:id="185" w:name="_Toc12345156"/>
      <w:bookmarkStart w:id="186" w:name="_Toc131835898"/>
      <w:r>
        <w:rPr>
          <w:rStyle w:val="CharSectno"/>
        </w:rPr>
        <w:t>47</w:t>
      </w:r>
      <w:r>
        <w:rPr>
          <w:snapToGrid w:val="0"/>
        </w:rPr>
        <w:t>.</w:t>
      </w:r>
      <w:r>
        <w:rPr>
          <w:snapToGrid w:val="0"/>
        </w:rPr>
        <w:tab/>
        <w:t>Transitional</w:t>
      </w:r>
      <w:bookmarkEnd w:id="184"/>
      <w:bookmarkEnd w:id="185"/>
      <w:bookmarkEnd w:id="186"/>
      <w:r>
        <w:rPr>
          <w:snapToGrid w:val="0"/>
        </w:rPr>
        <w:t xml:space="preserve"> </w:t>
      </w:r>
    </w:p>
    <w:p>
      <w:pPr>
        <w:pStyle w:val="Subsection"/>
        <w:rPr>
          <w:snapToGrid w:val="0"/>
        </w:rPr>
      </w:pPr>
      <w:r>
        <w:rPr>
          <w:snapToGrid w:val="0"/>
        </w:rPr>
        <w:tab/>
        <w:t>(1)</w:t>
      </w:r>
      <w:r>
        <w:rPr>
          <w:snapToGrid w:val="0"/>
        </w:rPr>
        <w:tab/>
        <w:t xml:space="preserve">In this section, unless the contrary intention appears </w:t>
      </w:r>
      <w:r>
        <w:rPr>
          <w:b/>
          <w:snapToGrid w:val="0"/>
        </w:rPr>
        <w:t>“</w:t>
      </w:r>
      <w:r>
        <w:rPr>
          <w:rStyle w:val="CharDefText"/>
        </w:rPr>
        <w:t>former Board</w:t>
      </w:r>
      <w:r>
        <w:rPr>
          <w:b/>
          <w:snapToGrid w:val="0"/>
        </w:rPr>
        <w:t>”</w:t>
      </w:r>
      <w:r>
        <w:rPr>
          <w:snapToGrid w:val="0"/>
        </w:rPr>
        <w:t xml:space="preserve"> means the Taxi Control Board preserved and continued by section 6 of the repealed Act.</w:t>
      </w:r>
    </w:p>
    <w:p>
      <w:pPr>
        <w:pStyle w:val="Subsection"/>
        <w:rPr>
          <w:snapToGrid w:val="0"/>
        </w:rPr>
      </w:pPr>
      <w:r>
        <w:rPr>
          <w:snapToGrid w:val="0"/>
        </w:rPr>
        <w:tab/>
        <w:t>(2)</w:t>
      </w:r>
      <w:r>
        <w:rPr>
          <w:snapToGrid w:val="0"/>
        </w:rPr>
        <w:tab/>
        <w:t>On the commencement day, by virtue of this section — </w:t>
      </w:r>
    </w:p>
    <w:p>
      <w:pPr>
        <w:pStyle w:val="Indenta"/>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w:t>
      </w:r>
    </w:p>
    <w:p>
      <w:pPr>
        <w:pStyle w:val="Indenta"/>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w:t>
      </w:r>
    </w:p>
    <w:p>
      <w:pPr>
        <w:pStyle w:val="Indenta"/>
        <w:rPr>
          <w:snapToGrid w:val="0"/>
        </w:rPr>
      </w:pPr>
      <w:r>
        <w:rPr>
          <w:snapToGrid w:val="0"/>
        </w:rPr>
        <w:tab/>
        <w:t>(c)</w:t>
      </w:r>
      <w:r>
        <w:rPr>
          <w:snapToGrid w:val="0"/>
        </w:rPr>
        <w:tab/>
        <w:t>number plates issued under section 37 of the repealed Act are deemed to be taxi plates under this Act;</w:t>
      </w:r>
    </w:p>
    <w:p>
      <w:pPr>
        <w:pStyle w:val="Indenta"/>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w:t>
      </w:r>
    </w:p>
    <w:p>
      <w:pPr>
        <w:pStyle w:val="Indenta"/>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w:t>
      </w:r>
    </w:p>
    <w:p>
      <w:pPr>
        <w:pStyle w:val="Indenta"/>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t>(g)</w:t>
      </w:r>
      <w:r>
        <w:rPr>
          <w:snapToGrid w:val="0"/>
        </w:rPr>
        <w:tab/>
        <w:t>all rights and liabilities of the former Board, including contingent liabilities, become rights and liabilities of the Minister;</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rPr>
        <w:t xml:space="preserve"> regulating the financial administration, audit and reporting of statutory authorities and shall be deemed to be an annual report for the purposes of section 69 of that Act.</w:t>
      </w:r>
    </w:p>
    <w:p>
      <w:pPr>
        <w:pStyle w:val="Footnotesection"/>
      </w:pPr>
      <w:r>
        <w:tab/>
        <w:t>[Section 47 amended by No. 72 of 2003 s. 18.]</w:t>
      </w:r>
    </w:p>
    <w:p>
      <w:pPr>
        <w:pStyle w:val="Ednotepart"/>
      </w:pPr>
      <w:r>
        <w:t>[Part 6 — Consequential amendments, omitted under the Reprints Act 1984 s. 7(4)(e).]</w:t>
      </w:r>
    </w:p>
    <w:p>
      <w:pPr>
        <w:pStyle w:val="yEdnoteschedule"/>
      </w:pPr>
      <w:r>
        <w:t>[Schedule 1 — Amendments to certain other Acts,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187" w:name="_Toc89759019"/>
      <w:bookmarkStart w:id="188" w:name="_Toc91321562"/>
      <w:bookmarkStart w:id="189" w:name="_Toc92772433"/>
      <w:bookmarkStart w:id="190" w:name="_Toc96919191"/>
      <w:bookmarkStart w:id="191" w:name="_Toc103072775"/>
      <w:bookmarkStart w:id="192" w:name="_Toc107910938"/>
      <w:bookmarkStart w:id="193" w:name="_Toc123640092"/>
      <w:bookmarkStart w:id="194" w:name="_Toc131835899"/>
      <w:r>
        <w:t>Notes</w:t>
      </w:r>
      <w:bookmarkEnd w:id="187"/>
      <w:bookmarkEnd w:id="188"/>
      <w:bookmarkEnd w:id="189"/>
      <w:bookmarkEnd w:id="190"/>
      <w:bookmarkEnd w:id="191"/>
      <w:bookmarkEnd w:id="192"/>
      <w:bookmarkEnd w:id="193"/>
      <w:bookmarkEnd w:id="194"/>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95" w:name="_Toc131835900"/>
      <w:r>
        <w:rPr>
          <w:snapToGrid w:val="0"/>
        </w:rPr>
        <w:t>Compilation table</w:t>
      </w:r>
      <w:bookmarkEnd w:id="195"/>
    </w:p>
    <w:tbl>
      <w:tblPr>
        <w:tblW w:w="0" w:type="auto"/>
        <w:tblInd w:w="28" w:type="dxa"/>
        <w:tblLayout w:type="fixed"/>
        <w:tblCellMar>
          <w:left w:w="56" w:type="dxa"/>
          <w:right w:w="56" w:type="dxa"/>
        </w:tblCellMar>
        <w:tblLook w:val="0000" w:firstRow="0" w:lastRow="0" w:firstColumn="0" w:lastColumn="0" w:noHBand="0" w:noVBand="0"/>
      </w:tblPr>
      <w:tblGrid>
        <w:gridCol w:w="2268"/>
        <w:gridCol w:w="28"/>
        <w:gridCol w:w="1106"/>
        <w:gridCol w:w="28"/>
        <w:gridCol w:w="1106"/>
        <w:gridCol w:w="170"/>
        <w:gridCol w:w="241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80"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before="80"/>
              <w:rPr>
                <w:sz w:val="19"/>
              </w:rPr>
            </w:pPr>
            <w:r>
              <w:rPr>
                <w:i/>
                <w:sz w:val="19"/>
              </w:rPr>
              <w:t>Taxi Act 1994</w:t>
            </w:r>
          </w:p>
        </w:tc>
        <w:tc>
          <w:tcPr>
            <w:tcW w:w="1134" w:type="dxa"/>
            <w:gridSpan w:val="2"/>
          </w:tcPr>
          <w:p>
            <w:pPr>
              <w:pStyle w:val="nTable"/>
              <w:spacing w:before="80"/>
              <w:rPr>
                <w:sz w:val="19"/>
              </w:rPr>
            </w:pPr>
            <w:r>
              <w:rPr>
                <w:sz w:val="19"/>
              </w:rPr>
              <w:t>83 of 1994</w:t>
            </w:r>
          </w:p>
        </w:tc>
        <w:tc>
          <w:tcPr>
            <w:tcW w:w="1134" w:type="dxa"/>
            <w:gridSpan w:val="2"/>
          </w:tcPr>
          <w:p>
            <w:pPr>
              <w:pStyle w:val="nTable"/>
              <w:spacing w:before="80"/>
              <w:rPr>
                <w:sz w:val="19"/>
              </w:rPr>
            </w:pPr>
            <w:r>
              <w:rPr>
                <w:sz w:val="19"/>
              </w:rPr>
              <w:t>20 Dec 1994</w:t>
            </w:r>
          </w:p>
        </w:tc>
        <w:tc>
          <w:tcPr>
            <w:tcW w:w="2580" w:type="dxa"/>
            <w:gridSpan w:val="2"/>
          </w:tcPr>
          <w:p>
            <w:pPr>
              <w:pStyle w:val="nTable"/>
              <w:spacing w:before="80"/>
              <w:rPr>
                <w:sz w:val="19"/>
              </w:rPr>
            </w:pPr>
            <w:r>
              <w:rPr>
                <w:sz w:val="19"/>
              </w:rPr>
              <w:t xml:space="preserve">Act other than Pt. 3 Div. 2: 10 Jan 1995 (see s. 2 and </w:t>
            </w:r>
            <w:r>
              <w:rPr>
                <w:i/>
                <w:sz w:val="19"/>
              </w:rPr>
              <w:t>Gazette</w:t>
            </w:r>
            <w:r>
              <w:rPr>
                <w:sz w:val="19"/>
              </w:rPr>
              <w:t xml:space="preserve"> 10 Jan 1995 p. 73);</w:t>
            </w:r>
            <w:r>
              <w:rPr>
                <w:sz w:val="19"/>
              </w:rPr>
              <w:br/>
              <w:t xml:space="preserve">Pt. 3 Div. 2: 1 Apr 1995 (see s. 2 and </w:t>
            </w:r>
            <w:r>
              <w:rPr>
                <w:i/>
                <w:sz w:val="19"/>
              </w:rPr>
              <w:t>Gazette</w:t>
            </w:r>
            <w:r>
              <w:rPr>
                <w:sz w:val="19"/>
              </w:rPr>
              <w:t xml:space="preserve"> 31 Mar 1995 p. 1150) </w:t>
            </w:r>
          </w:p>
        </w:tc>
      </w:tr>
      <w:tr>
        <w:tc>
          <w:tcPr>
            <w:tcW w:w="2268" w:type="dxa"/>
          </w:tcPr>
          <w:p>
            <w:pPr>
              <w:pStyle w:val="nTable"/>
              <w:spacing w:before="80"/>
              <w:rPr>
                <w:sz w:val="19"/>
              </w:rPr>
            </w:pPr>
            <w:r>
              <w:rPr>
                <w:i/>
                <w:sz w:val="19"/>
              </w:rPr>
              <w:t>Sentencing (Consequential Provisions) Act 1995</w:t>
            </w:r>
            <w:r>
              <w:rPr>
                <w:sz w:val="19"/>
              </w:rPr>
              <w:t xml:space="preserve"> Pt. 76</w:t>
            </w:r>
          </w:p>
        </w:tc>
        <w:tc>
          <w:tcPr>
            <w:tcW w:w="1134" w:type="dxa"/>
            <w:gridSpan w:val="2"/>
          </w:tcPr>
          <w:p>
            <w:pPr>
              <w:pStyle w:val="nTable"/>
              <w:spacing w:before="80"/>
              <w:rPr>
                <w:sz w:val="19"/>
              </w:rPr>
            </w:pPr>
            <w:r>
              <w:rPr>
                <w:sz w:val="19"/>
              </w:rPr>
              <w:t>78 of 1995</w:t>
            </w:r>
          </w:p>
        </w:tc>
        <w:tc>
          <w:tcPr>
            <w:tcW w:w="1134" w:type="dxa"/>
            <w:gridSpan w:val="2"/>
          </w:tcPr>
          <w:p>
            <w:pPr>
              <w:pStyle w:val="nTable"/>
              <w:spacing w:before="80"/>
              <w:rPr>
                <w:sz w:val="19"/>
              </w:rPr>
            </w:pPr>
            <w:r>
              <w:rPr>
                <w:sz w:val="19"/>
              </w:rPr>
              <w:t>16 Jan 1996</w:t>
            </w:r>
          </w:p>
        </w:tc>
        <w:tc>
          <w:tcPr>
            <w:tcW w:w="2580" w:type="dxa"/>
            <w:gridSpan w:val="2"/>
          </w:tcPr>
          <w:p>
            <w:pPr>
              <w:pStyle w:val="nTable"/>
              <w:spacing w:before="8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before="80" w:after="60"/>
              <w:rPr>
                <w:sz w:val="19"/>
              </w:rPr>
            </w:pPr>
            <w:r>
              <w:rPr>
                <w:i/>
                <w:sz w:val="19"/>
              </w:rPr>
              <w:t>Financial Legislation Amendment Act 1996</w:t>
            </w:r>
            <w:r>
              <w:rPr>
                <w:sz w:val="19"/>
              </w:rPr>
              <w:t xml:space="preserve"> s. 64</w:t>
            </w:r>
          </w:p>
        </w:tc>
        <w:tc>
          <w:tcPr>
            <w:tcW w:w="1134" w:type="dxa"/>
            <w:gridSpan w:val="2"/>
          </w:tcPr>
          <w:p>
            <w:pPr>
              <w:pStyle w:val="nTable"/>
              <w:spacing w:before="80" w:after="60"/>
              <w:rPr>
                <w:sz w:val="19"/>
              </w:rPr>
            </w:pPr>
            <w:r>
              <w:rPr>
                <w:sz w:val="19"/>
              </w:rPr>
              <w:t>49 of 1996</w:t>
            </w:r>
          </w:p>
        </w:tc>
        <w:tc>
          <w:tcPr>
            <w:tcW w:w="1134" w:type="dxa"/>
            <w:gridSpan w:val="2"/>
          </w:tcPr>
          <w:p>
            <w:pPr>
              <w:pStyle w:val="nTable"/>
              <w:spacing w:before="80" w:after="60"/>
              <w:rPr>
                <w:sz w:val="19"/>
              </w:rPr>
            </w:pPr>
            <w:r>
              <w:rPr>
                <w:sz w:val="19"/>
              </w:rPr>
              <w:t>25 Oct 1996</w:t>
            </w:r>
          </w:p>
        </w:tc>
        <w:tc>
          <w:tcPr>
            <w:tcW w:w="2580" w:type="dxa"/>
            <w:gridSpan w:val="2"/>
          </w:tcPr>
          <w:p>
            <w:pPr>
              <w:pStyle w:val="nTable"/>
              <w:spacing w:before="80" w:after="60"/>
              <w:rPr>
                <w:sz w:val="19"/>
              </w:rPr>
            </w:pPr>
            <w:r>
              <w:rPr>
                <w:sz w:val="19"/>
              </w:rPr>
              <w:t>25 Oct 1996 (see s. 2(1))</w:t>
            </w:r>
          </w:p>
        </w:tc>
      </w:tr>
      <w:tr>
        <w:tc>
          <w:tcPr>
            <w:tcW w:w="2268" w:type="dxa"/>
          </w:tcPr>
          <w:p>
            <w:pPr>
              <w:pStyle w:val="nTable"/>
              <w:spacing w:before="80"/>
              <w:rPr>
                <w:i/>
                <w:sz w:val="19"/>
              </w:rPr>
            </w:pPr>
            <w:r>
              <w:rPr>
                <w:i/>
                <w:sz w:val="19"/>
              </w:rPr>
              <w:t>Taxi Amendment Act 1998</w:t>
            </w:r>
          </w:p>
        </w:tc>
        <w:tc>
          <w:tcPr>
            <w:tcW w:w="1134" w:type="dxa"/>
            <w:gridSpan w:val="2"/>
          </w:tcPr>
          <w:p>
            <w:pPr>
              <w:pStyle w:val="nTable"/>
              <w:spacing w:before="80"/>
              <w:rPr>
                <w:sz w:val="19"/>
              </w:rPr>
            </w:pPr>
            <w:r>
              <w:rPr>
                <w:sz w:val="19"/>
              </w:rPr>
              <w:t>44 of 1998</w:t>
            </w:r>
          </w:p>
        </w:tc>
        <w:tc>
          <w:tcPr>
            <w:tcW w:w="1134" w:type="dxa"/>
            <w:gridSpan w:val="2"/>
          </w:tcPr>
          <w:p>
            <w:pPr>
              <w:pStyle w:val="nTable"/>
              <w:spacing w:before="80"/>
              <w:rPr>
                <w:sz w:val="19"/>
              </w:rPr>
            </w:pPr>
            <w:r>
              <w:rPr>
                <w:sz w:val="19"/>
              </w:rPr>
              <w:t>19 Nov 1998</w:t>
            </w:r>
          </w:p>
        </w:tc>
        <w:tc>
          <w:tcPr>
            <w:tcW w:w="2580" w:type="dxa"/>
            <w:gridSpan w:val="2"/>
          </w:tcPr>
          <w:p>
            <w:pPr>
              <w:pStyle w:val="nTable"/>
              <w:spacing w:before="80"/>
              <w:rPr>
                <w:sz w:val="19"/>
              </w:rPr>
            </w:pPr>
            <w:r>
              <w:rPr>
                <w:sz w:val="19"/>
              </w:rPr>
              <w:t xml:space="preserve">s. 5: 10 Jan 1995 (see s. 2(3) and </w:t>
            </w:r>
            <w:r>
              <w:rPr>
                <w:i/>
                <w:sz w:val="19"/>
              </w:rPr>
              <w:t>Gazette</w:t>
            </w:r>
            <w:r>
              <w:rPr>
                <w:sz w:val="19"/>
              </w:rPr>
              <w:t xml:space="preserve"> 10 Jan 1995 p. 73);</w:t>
            </w:r>
            <w:r>
              <w:rPr>
                <w:sz w:val="19"/>
              </w:rPr>
              <w:br/>
              <w:t>Act other than s. 4 and 5: 19 Nov 1998 (see s. 2(1));</w:t>
            </w:r>
            <w:r>
              <w:rPr>
                <w:sz w:val="19"/>
              </w:rPr>
              <w:br/>
              <w:t>s. 4: 17 Dec 1998 (see s. 2(2))</w:t>
            </w:r>
          </w:p>
        </w:tc>
      </w:tr>
      <w:tr>
        <w:tc>
          <w:tcPr>
            <w:tcW w:w="2268" w:type="dxa"/>
          </w:tcPr>
          <w:p>
            <w:pPr>
              <w:pStyle w:val="nTable"/>
              <w:spacing w:before="80"/>
              <w:rPr>
                <w:sz w:val="19"/>
              </w:rPr>
            </w:pPr>
            <w:r>
              <w:rPr>
                <w:i/>
                <w:sz w:val="19"/>
              </w:rPr>
              <w:t>Acts Amendment (Criminal Procedure) Act 1999</w:t>
            </w:r>
            <w:r>
              <w:rPr>
                <w:sz w:val="19"/>
              </w:rPr>
              <w:t xml:space="preserve"> s. 9</w:t>
            </w:r>
          </w:p>
        </w:tc>
        <w:tc>
          <w:tcPr>
            <w:tcW w:w="1134" w:type="dxa"/>
            <w:gridSpan w:val="2"/>
          </w:tcPr>
          <w:p>
            <w:pPr>
              <w:pStyle w:val="nTable"/>
              <w:spacing w:before="80"/>
              <w:rPr>
                <w:sz w:val="19"/>
              </w:rPr>
            </w:pPr>
            <w:r>
              <w:rPr>
                <w:sz w:val="19"/>
              </w:rPr>
              <w:t>10 of 1999</w:t>
            </w:r>
          </w:p>
        </w:tc>
        <w:tc>
          <w:tcPr>
            <w:tcW w:w="1134" w:type="dxa"/>
            <w:gridSpan w:val="2"/>
          </w:tcPr>
          <w:p>
            <w:pPr>
              <w:pStyle w:val="nTable"/>
              <w:spacing w:before="80"/>
              <w:rPr>
                <w:sz w:val="19"/>
              </w:rPr>
            </w:pPr>
            <w:r>
              <w:rPr>
                <w:sz w:val="19"/>
              </w:rPr>
              <w:t>5 May 1999</w:t>
            </w:r>
          </w:p>
        </w:tc>
        <w:tc>
          <w:tcPr>
            <w:tcW w:w="2580" w:type="dxa"/>
            <w:gridSpan w:val="2"/>
          </w:tcPr>
          <w:p>
            <w:pPr>
              <w:pStyle w:val="nTable"/>
              <w:spacing w:before="80"/>
              <w:rPr>
                <w:sz w:val="19"/>
              </w:rPr>
            </w:pPr>
            <w:r>
              <w:rPr>
                <w:sz w:val="19"/>
              </w:rPr>
              <w:t xml:space="preserve">1 Oct 1999 (see s. 2 and </w:t>
            </w:r>
            <w:r>
              <w:rPr>
                <w:i/>
                <w:sz w:val="19"/>
              </w:rPr>
              <w:t>Gazette</w:t>
            </w:r>
            <w:r>
              <w:rPr>
                <w:sz w:val="19"/>
              </w:rPr>
              <w:t xml:space="preserve"> 17 Sep 1999 p. 4557)</w:t>
            </w:r>
          </w:p>
        </w:tc>
      </w:tr>
      <w:tr>
        <w:tc>
          <w:tcPr>
            <w:tcW w:w="2268" w:type="dxa"/>
          </w:tcPr>
          <w:p>
            <w:pPr>
              <w:pStyle w:val="nTable"/>
              <w:spacing w:before="80"/>
              <w:rPr>
                <w:i/>
                <w:sz w:val="19"/>
                <w:vertAlign w:val="superscript"/>
              </w:rPr>
            </w:pPr>
            <w:r>
              <w:rPr>
                <w:i/>
                <w:snapToGrid w:val="0"/>
                <w:spacing w:val="6"/>
                <w:sz w:val="19"/>
              </w:rPr>
              <w:t xml:space="preserve">Machinery of Government (Planning and Infrastructure) Amendment Act 2002 </w:t>
            </w:r>
            <w:r>
              <w:rPr>
                <w:snapToGrid w:val="0"/>
                <w:spacing w:val="6"/>
                <w:sz w:val="19"/>
              </w:rPr>
              <w:t>Pt. 8 </w:t>
            </w:r>
            <w:r>
              <w:rPr>
                <w:snapToGrid w:val="0"/>
                <w:spacing w:val="6"/>
                <w:sz w:val="19"/>
                <w:vertAlign w:val="superscript"/>
              </w:rPr>
              <w:t>2</w:t>
            </w:r>
          </w:p>
        </w:tc>
        <w:tc>
          <w:tcPr>
            <w:tcW w:w="1134" w:type="dxa"/>
            <w:gridSpan w:val="2"/>
          </w:tcPr>
          <w:p>
            <w:pPr>
              <w:pStyle w:val="nTable"/>
              <w:spacing w:before="80"/>
              <w:rPr>
                <w:sz w:val="19"/>
              </w:rPr>
            </w:pPr>
            <w:r>
              <w:rPr>
                <w:snapToGrid w:val="0"/>
                <w:sz w:val="19"/>
              </w:rPr>
              <w:t>7 of 2002</w:t>
            </w:r>
          </w:p>
        </w:tc>
        <w:tc>
          <w:tcPr>
            <w:tcW w:w="1134" w:type="dxa"/>
            <w:gridSpan w:val="2"/>
          </w:tcPr>
          <w:p>
            <w:pPr>
              <w:pStyle w:val="nTable"/>
              <w:spacing w:before="80"/>
              <w:rPr>
                <w:sz w:val="19"/>
              </w:rPr>
            </w:pPr>
            <w:r>
              <w:rPr>
                <w:sz w:val="19"/>
              </w:rPr>
              <w:t>19 Jun 2002</w:t>
            </w:r>
          </w:p>
        </w:tc>
        <w:tc>
          <w:tcPr>
            <w:tcW w:w="2580" w:type="dxa"/>
            <w:gridSpan w:val="2"/>
          </w:tcPr>
          <w:p>
            <w:pPr>
              <w:pStyle w:val="nTable"/>
              <w:spacing w:before="80"/>
              <w:rPr>
                <w:sz w:val="19"/>
              </w:rPr>
            </w:pPr>
            <w:r>
              <w:rPr>
                <w:sz w:val="19"/>
              </w:rPr>
              <w:t xml:space="preserve">1 Jul 2002 (see s. 2 and </w:t>
            </w:r>
            <w:r>
              <w:rPr>
                <w:i/>
                <w:sz w:val="19"/>
              </w:rPr>
              <w:t>Gazette</w:t>
            </w:r>
            <w:r>
              <w:rPr>
                <w:sz w:val="19"/>
              </w:rPr>
              <w:t xml:space="preserve"> 28 Jun 2002 p. 3037)</w:t>
            </w:r>
          </w:p>
        </w:tc>
      </w:tr>
      <w:tr>
        <w:trPr>
          <w:cantSplit/>
        </w:trPr>
        <w:tc>
          <w:tcPr>
            <w:tcW w:w="7116" w:type="dxa"/>
            <w:gridSpan w:val="7"/>
          </w:tcPr>
          <w:p>
            <w:pPr>
              <w:pStyle w:val="nTable"/>
              <w:spacing w:before="80"/>
              <w:rPr>
                <w:sz w:val="19"/>
              </w:rPr>
            </w:pPr>
            <w:r>
              <w:rPr>
                <w:b/>
                <w:sz w:val="19"/>
              </w:rPr>
              <w:t xml:space="preserve">Reprint of the </w:t>
            </w:r>
            <w:r>
              <w:rPr>
                <w:b/>
                <w:i/>
                <w:sz w:val="19"/>
              </w:rPr>
              <w:t>Taxi Act 1994</w:t>
            </w:r>
            <w:r>
              <w:rPr>
                <w:b/>
                <w:sz w:val="19"/>
              </w:rPr>
              <w:t xml:space="preserve"> as at 11 Oct 2002</w:t>
            </w:r>
            <w:r>
              <w:rPr>
                <w:sz w:val="19"/>
              </w:rPr>
              <w:t xml:space="preserve"> (includes amendments listed above)</w:t>
            </w:r>
          </w:p>
        </w:tc>
      </w:tr>
      <w:tr>
        <w:trPr>
          <w:cantSplit/>
        </w:trPr>
        <w:tc>
          <w:tcPr>
            <w:tcW w:w="2296" w:type="dxa"/>
            <w:gridSpan w:val="2"/>
          </w:tcPr>
          <w:p>
            <w:pPr>
              <w:pStyle w:val="nTable"/>
              <w:spacing w:before="80"/>
              <w:rPr>
                <w:i/>
                <w:sz w:val="19"/>
              </w:rPr>
            </w:pPr>
            <w:r>
              <w:rPr>
                <w:i/>
                <w:sz w:val="19"/>
              </w:rPr>
              <w:t>Taxi Amendment Act 2003</w:t>
            </w:r>
          </w:p>
        </w:tc>
        <w:tc>
          <w:tcPr>
            <w:tcW w:w="1134" w:type="dxa"/>
            <w:gridSpan w:val="2"/>
          </w:tcPr>
          <w:p>
            <w:pPr>
              <w:pStyle w:val="nTable"/>
              <w:spacing w:before="80"/>
              <w:rPr>
                <w:sz w:val="19"/>
              </w:rPr>
            </w:pPr>
            <w:r>
              <w:rPr>
                <w:sz w:val="19"/>
              </w:rPr>
              <w:t>72 of 2003</w:t>
            </w:r>
          </w:p>
        </w:tc>
        <w:tc>
          <w:tcPr>
            <w:tcW w:w="1276" w:type="dxa"/>
            <w:gridSpan w:val="2"/>
          </w:tcPr>
          <w:p>
            <w:pPr>
              <w:pStyle w:val="nTable"/>
              <w:spacing w:before="80"/>
              <w:rPr>
                <w:sz w:val="19"/>
              </w:rPr>
            </w:pPr>
            <w:r>
              <w:rPr>
                <w:sz w:val="19"/>
              </w:rPr>
              <w:t>15 Dec 2003</w:t>
            </w:r>
          </w:p>
        </w:tc>
        <w:tc>
          <w:tcPr>
            <w:tcW w:w="2410" w:type="dxa"/>
          </w:tcPr>
          <w:p>
            <w:pPr>
              <w:pStyle w:val="nTable"/>
              <w:spacing w:before="80"/>
              <w:rPr>
                <w:sz w:val="19"/>
              </w:rPr>
            </w:pPr>
            <w:r>
              <w:rPr>
                <w:sz w:val="19"/>
              </w:rPr>
              <w:t>15 Dec 2003 (see s. 2)</w:t>
            </w:r>
          </w:p>
        </w:tc>
      </w:tr>
      <w:tr>
        <w:trPr>
          <w:cantSplit/>
        </w:trPr>
        <w:tc>
          <w:tcPr>
            <w:tcW w:w="2296" w:type="dxa"/>
            <w:gridSpan w:val="2"/>
          </w:tcPr>
          <w:p>
            <w:pPr>
              <w:pStyle w:val="nTable"/>
              <w:spacing w:before="80"/>
              <w:rPr>
                <w:i/>
                <w:sz w:val="19"/>
              </w:rPr>
            </w:pPr>
            <w:r>
              <w:rPr>
                <w:i/>
                <w:sz w:val="19"/>
              </w:rPr>
              <w:t>State Administrative Tribunal (Conferral of Jurisdiction) Amendment and Repeal Act 2004</w:t>
            </w:r>
            <w:r>
              <w:rPr>
                <w:iCs/>
                <w:sz w:val="19"/>
              </w:rPr>
              <w:t xml:space="preserve"> Pt. 2 Div. 125</w:t>
            </w:r>
            <w:r>
              <w:rPr>
                <w:iCs/>
                <w:sz w:val="19"/>
                <w:vertAlign w:val="superscript"/>
              </w:rPr>
              <w:t xml:space="preserve"> 5</w:t>
            </w:r>
          </w:p>
        </w:tc>
        <w:tc>
          <w:tcPr>
            <w:tcW w:w="1134" w:type="dxa"/>
            <w:gridSpan w:val="2"/>
          </w:tcPr>
          <w:p>
            <w:pPr>
              <w:pStyle w:val="nTable"/>
              <w:spacing w:before="80"/>
              <w:rPr>
                <w:sz w:val="19"/>
              </w:rPr>
            </w:pPr>
            <w:r>
              <w:rPr>
                <w:sz w:val="19"/>
              </w:rPr>
              <w:t>55 of 2004</w:t>
            </w:r>
          </w:p>
        </w:tc>
        <w:tc>
          <w:tcPr>
            <w:tcW w:w="1276" w:type="dxa"/>
            <w:gridSpan w:val="2"/>
          </w:tcPr>
          <w:p>
            <w:pPr>
              <w:pStyle w:val="nTable"/>
              <w:spacing w:before="80"/>
              <w:rPr>
                <w:sz w:val="19"/>
              </w:rPr>
            </w:pPr>
            <w:r>
              <w:rPr>
                <w:sz w:val="19"/>
              </w:rPr>
              <w:t>24 Nov 2004</w:t>
            </w:r>
          </w:p>
        </w:tc>
        <w:tc>
          <w:tcPr>
            <w:tcW w:w="2410" w:type="dxa"/>
          </w:tcPr>
          <w:p>
            <w:pPr>
              <w:pStyle w:val="nTable"/>
              <w:spacing w:before="80"/>
              <w:rPr>
                <w:sz w:val="19"/>
              </w:rPr>
            </w:pPr>
            <w:r>
              <w:rPr>
                <w:sz w:val="19"/>
              </w:rPr>
              <w:t xml:space="preserve">1 Jan 2005 (see s. 2 and </w:t>
            </w:r>
            <w:r>
              <w:rPr>
                <w:i/>
                <w:iCs/>
                <w:sz w:val="19"/>
              </w:rPr>
              <w:t>Gazette</w:t>
            </w:r>
            <w:r>
              <w:rPr>
                <w:sz w:val="19"/>
              </w:rPr>
              <w:t xml:space="preserve"> 31 Dec 2004 p. 7130)</w:t>
            </w:r>
          </w:p>
        </w:tc>
      </w:tr>
      <w:tr>
        <w:trPr>
          <w:cantSplit/>
        </w:trPr>
        <w:tc>
          <w:tcPr>
            <w:tcW w:w="2296" w:type="dxa"/>
            <w:gridSpan w:val="2"/>
          </w:tcPr>
          <w:p>
            <w:pPr>
              <w:pStyle w:val="nTable"/>
              <w:spacing w:before="8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before="80"/>
              <w:rPr>
                <w:sz w:val="19"/>
              </w:rPr>
            </w:pPr>
            <w:r>
              <w:rPr>
                <w:snapToGrid w:val="0"/>
                <w:sz w:val="19"/>
                <w:lang w:val="en-US"/>
              </w:rPr>
              <w:t>84 of 2004</w:t>
            </w:r>
          </w:p>
        </w:tc>
        <w:tc>
          <w:tcPr>
            <w:tcW w:w="1276" w:type="dxa"/>
            <w:gridSpan w:val="2"/>
          </w:tcPr>
          <w:p>
            <w:pPr>
              <w:pStyle w:val="nTable"/>
              <w:spacing w:before="80"/>
              <w:rPr>
                <w:sz w:val="19"/>
              </w:rPr>
            </w:pPr>
            <w:r>
              <w:rPr>
                <w:sz w:val="19"/>
              </w:rPr>
              <w:t>16 Dec 2004</w:t>
            </w:r>
          </w:p>
        </w:tc>
        <w:tc>
          <w:tcPr>
            <w:tcW w:w="2410" w:type="dxa"/>
          </w:tcPr>
          <w:p>
            <w:pPr>
              <w:pStyle w:val="nTable"/>
              <w:spacing w:before="8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CellMar>
            <w:left w:w="108" w:type="dxa"/>
            <w:right w:w="108" w:type="dxa"/>
          </w:tblCellMar>
        </w:tblPrEx>
        <w:tc>
          <w:tcPr>
            <w:tcW w:w="2296" w:type="dxa"/>
            <w:gridSpan w:val="2"/>
            <w:tcBorders>
              <w:top w:val="nil"/>
              <w:bottom w:val="nil"/>
            </w:tcBorders>
          </w:tcPr>
          <w:p>
            <w:pPr>
              <w:pStyle w:val="nTable"/>
              <w:rPr>
                <w:snapToGrid w:val="0"/>
                <w:sz w:val="19"/>
                <w:lang w:val="en-US"/>
              </w:rPr>
            </w:pPr>
            <w:r>
              <w:rPr>
                <w:i/>
                <w:iCs/>
                <w:snapToGrid w:val="0"/>
                <w:sz w:val="19"/>
                <w:lang w:val="en-US"/>
              </w:rPr>
              <w:t>Financial Administration Legislation Amendment Act 2005</w:t>
            </w:r>
            <w:r>
              <w:rPr>
                <w:snapToGrid w:val="0"/>
                <w:sz w:val="19"/>
                <w:lang w:val="en-US"/>
              </w:rPr>
              <w:t xml:space="preserve"> s. 44</w:t>
            </w:r>
          </w:p>
        </w:tc>
        <w:tc>
          <w:tcPr>
            <w:tcW w:w="1134" w:type="dxa"/>
            <w:gridSpan w:val="2"/>
            <w:tcBorders>
              <w:top w:val="nil"/>
              <w:bottom w:val="nil"/>
            </w:tcBorders>
          </w:tcPr>
          <w:p>
            <w:pPr>
              <w:pStyle w:val="nTable"/>
              <w:rPr>
                <w:snapToGrid w:val="0"/>
                <w:sz w:val="19"/>
                <w:lang w:val="en-US"/>
              </w:rPr>
            </w:pPr>
            <w:r>
              <w:rPr>
                <w:snapToGrid w:val="0"/>
                <w:sz w:val="19"/>
                <w:lang w:val="en-US"/>
              </w:rPr>
              <w:t>5 of 2005</w:t>
            </w:r>
          </w:p>
        </w:tc>
        <w:tc>
          <w:tcPr>
            <w:tcW w:w="1276" w:type="dxa"/>
            <w:gridSpan w:val="2"/>
            <w:tcBorders>
              <w:top w:val="nil"/>
              <w:bottom w:val="nil"/>
            </w:tcBorders>
          </w:tcPr>
          <w:p>
            <w:pPr>
              <w:pStyle w:val="nTable"/>
              <w:ind w:left="12"/>
              <w:rPr>
                <w:snapToGrid w:val="0"/>
                <w:sz w:val="19"/>
                <w:lang w:val="en-US"/>
              </w:rPr>
            </w:pPr>
            <w:r>
              <w:rPr>
                <w:sz w:val="19"/>
              </w:rPr>
              <w:t>27 Jun 2005</w:t>
            </w:r>
          </w:p>
        </w:tc>
        <w:tc>
          <w:tcPr>
            <w:tcW w:w="2412" w:type="dxa"/>
            <w:tcBorders>
              <w:top w:val="nil"/>
              <w:bottom w:val="nil"/>
            </w:tcBorders>
          </w:tcPr>
          <w:p>
            <w:pPr>
              <w:pStyle w:val="nTable"/>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blPrEx>
          <w:tblBorders>
            <w:top w:val="single" w:sz="4" w:space="0" w:color="auto"/>
            <w:bottom w:val="single" w:sz="4" w:space="0" w:color="auto"/>
            <w:insideH w:val="single" w:sz="4" w:space="0" w:color="auto"/>
          </w:tblBorders>
          <w:tblCellMar>
            <w:left w:w="108" w:type="dxa"/>
            <w:right w:w="108" w:type="dxa"/>
          </w:tblCellMar>
        </w:tblPrEx>
        <w:tc>
          <w:tcPr>
            <w:tcW w:w="2296" w:type="dxa"/>
            <w:gridSpan w:val="2"/>
            <w:tcBorders>
              <w:top w:val="nil"/>
              <w:bottom w:val="single" w:sz="4" w:space="0" w:color="auto"/>
            </w:tcBorders>
          </w:tcPr>
          <w:p>
            <w:pPr>
              <w:pStyle w:val="nTable"/>
              <w:rPr>
                <w:snapToGrid w:val="0"/>
                <w:sz w:val="19"/>
                <w:lang w:val="en-US"/>
              </w:rPr>
            </w:pPr>
            <w:r>
              <w:rPr>
                <w:i/>
                <w:iCs/>
                <w:snapToGrid w:val="0"/>
                <w:sz w:val="19"/>
                <w:lang w:val="en-US"/>
              </w:rPr>
              <w:t>Taxi Amendment Act 2006</w:t>
            </w:r>
            <w:r>
              <w:rPr>
                <w:snapToGrid w:val="0"/>
                <w:sz w:val="19"/>
                <w:lang w:val="en-US"/>
              </w:rPr>
              <w:t xml:space="preserve"> Pt. 3</w:t>
            </w:r>
          </w:p>
        </w:tc>
        <w:tc>
          <w:tcPr>
            <w:tcW w:w="1134" w:type="dxa"/>
            <w:gridSpan w:val="2"/>
            <w:tcBorders>
              <w:top w:val="nil"/>
              <w:bottom w:val="single" w:sz="4" w:space="0" w:color="auto"/>
            </w:tcBorders>
          </w:tcPr>
          <w:p>
            <w:pPr>
              <w:pStyle w:val="nTable"/>
              <w:rPr>
                <w:snapToGrid w:val="0"/>
                <w:sz w:val="19"/>
                <w:lang w:val="en-US"/>
              </w:rPr>
            </w:pPr>
            <w:r>
              <w:rPr>
                <w:snapToGrid w:val="0"/>
                <w:sz w:val="19"/>
                <w:lang w:val="en-US"/>
              </w:rPr>
              <w:t>4 of 2006</w:t>
            </w:r>
          </w:p>
        </w:tc>
        <w:tc>
          <w:tcPr>
            <w:tcW w:w="1276" w:type="dxa"/>
            <w:gridSpan w:val="2"/>
            <w:tcBorders>
              <w:top w:val="nil"/>
              <w:bottom w:val="single" w:sz="4" w:space="0" w:color="auto"/>
            </w:tcBorders>
          </w:tcPr>
          <w:p>
            <w:pPr>
              <w:pStyle w:val="nTable"/>
              <w:ind w:left="12"/>
              <w:rPr>
                <w:sz w:val="19"/>
              </w:rPr>
            </w:pPr>
            <w:r>
              <w:rPr>
                <w:sz w:val="19"/>
              </w:rPr>
              <w:t>30 Mar 2006</w:t>
            </w:r>
          </w:p>
        </w:tc>
        <w:tc>
          <w:tcPr>
            <w:tcW w:w="2412" w:type="dxa"/>
            <w:tcBorders>
              <w:top w:val="nil"/>
              <w:bottom w:val="single" w:sz="4" w:space="0" w:color="auto"/>
            </w:tcBorders>
          </w:tcPr>
          <w:p>
            <w:pPr>
              <w:pStyle w:val="nTable"/>
              <w:rPr>
                <w:snapToGrid w:val="0"/>
                <w:sz w:val="19"/>
                <w:lang w:val="en-US"/>
              </w:rPr>
            </w:pPr>
            <w:r>
              <w:rPr>
                <w:snapToGrid w:val="0"/>
                <w:sz w:val="19"/>
                <w:lang w:val="en-US"/>
              </w:rPr>
              <w:t>30 Mar 2006 (see s. 2(1))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96" w:name="_Toc131835901"/>
      <w:r>
        <w:rPr>
          <w:snapToGrid w:val="0"/>
        </w:rPr>
        <w:t>Provisions that have not come into operation</w:t>
      </w:r>
      <w:bookmarkEnd w:id="196"/>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4</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nil"/>
            </w:tcBorders>
          </w:tcPr>
          <w:p>
            <w:pPr>
              <w:pStyle w:val="nTable"/>
              <w:spacing w:after="40"/>
              <w:rPr>
                <w:snapToGrid w:val="0"/>
                <w:sz w:val="19"/>
                <w:lang w:val="en-US"/>
              </w:rPr>
            </w:pPr>
            <w:r>
              <w:rPr>
                <w:sz w:val="19"/>
              </w:rPr>
              <w:t>23 Nov 2004</w:t>
            </w:r>
          </w:p>
        </w:tc>
        <w:tc>
          <w:tcPr>
            <w:tcW w:w="2552"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single" w:sz="4" w:space="0" w:color="auto"/>
            </w:tcBorders>
          </w:tcPr>
          <w:p>
            <w:pPr>
              <w:pStyle w:val="nTable"/>
              <w:spacing w:after="40"/>
              <w:rPr>
                <w:iCs/>
                <w:snapToGrid w:val="0"/>
                <w:sz w:val="19"/>
                <w:lang w:val="en-US"/>
              </w:rPr>
            </w:pPr>
            <w:r>
              <w:rPr>
                <w:i/>
                <w:snapToGrid w:val="0"/>
                <w:sz w:val="19"/>
                <w:lang w:val="en-US"/>
              </w:rPr>
              <w:t>Taxi Amendment Act 2006</w:t>
            </w:r>
            <w:r>
              <w:rPr>
                <w:iCs/>
                <w:snapToGrid w:val="0"/>
                <w:sz w:val="19"/>
                <w:lang w:val="en-US"/>
              </w:rPr>
              <w:t xml:space="preserve"> Pt. 2</w:t>
            </w:r>
            <w:r>
              <w:rPr>
                <w:iCs/>
                <w:snapToGrid w:val="0"/>
                <w:sz w:val="19"/>
                <w:vertAlign w:val="superscript"/>
                <w:lang w:val="en-US"/>
              </w:rPr>
              <w:t> 6</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4 of 2006</w:t>
            </w:r>
          </w:p>
        </w:tc>
        <w:tc>
          <w:tcPr>
            <w:tcW w:w="1134" w:type="dxa"/>
            <w:tcBorders>
              <w:top w:val="nil"/>
              <w:bottom w:val="single" w:sz="4" w:space="0" w:color="auto"/>
            </w:tcBorders>
          </w:tcPr>
          <w:p>
            <w:pPr>
              <w:pStyle w:val="nTable"/>
              <w:spacing w:after="40"/>
              <w:rPr>
                <w:sz w:val="19"/>
              </w:rPr>
            </w:pPr>
            <w:r>
              <w:rPr>
                <w:sz w:val="19"/>
              </w:rPr>
              <w:t>30 Mar 2006</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2(2))</w:t>
            </w:r>
          </w:p>
        </w:tc>
      </w:tr>
    </w:tbl>
    <w:p>
      <w:pPr>
        <w:pStyle w:val="nSubsection"/>
        <w:rPr>
          <w:snapToGrid w:val="0"/>
          <w:spacing w:val="6"/>
        </w:rPr>
      </w:pPr>
      <w:r>
        <w:rPr>
          <w:vertAlign w:val="superscript"/>
        </w:rPr>
        <w:t>2</w:t>
      </w:r>
      <w:r>
        <w:tab/>
        <w:t xml:space="preserve">The </w:t>
      </w:r>
      <w:r>
        <w:rPr>
          <w:i/>
          <w:snapToGrid w:val="0"/>
          <w:spacing w:val="6"/>
        </w:rPr>
        <w:t>Machinery of Government (Planning and Infrastructure) Amendment Act 2002</w:t>
      </w:r>
      <w:r>
        <w:rPr>
          <w:snapToGrid w:val="0"/>
          <w:spacing w:val="6"/>
        </w:rPr>
        <w:t xml:space="preserve"> s. 32(7) and (8) read as follows:</w:t>
      </w:r>
    </w:p>
    <w:p>
      <w:pPr>
        <w:pStyle w:val="MiscOpen"/>
      </w:pPr>
      <w:r>
        <w:t>“</w:t>
      </w:r>
    </w:p>
    <w:p>
      <w:pPr>
        <w:pStyle w:val="nzSubsection"/>
      </w:pPr>
      <w:r>
        <w:tab/>
        <w:t>(7)</w:t>
      </w:r>
      <w:r>
        <w:tab/>
        <w:t xml:space="preserve">The balance of the Taxi Industry Development Fund as it was before this section came into operation is to be the opening balance of the Taxi Industry Development Account established under the </w:t>
      </w:r>
      <w:r>
        <w:rPr>
          <w:i/>
        </w:rPr>
        <w:t>Taxi Act 1994</w:t>
      </w:r>
      <w:r>
        <w:t xml:space="preserve"> section 41(1) as inserted by subsection (1).</w:t>
      </w:r>
    </w:p>
    <w:p>
      <w:pPr>
        <w:pStyle w:val="nzSubsection"/>
      </w:pPr>
      <w:r>
        <w:tab/>
        <w:t>(8)</w:t>
      </w:r>
      <w:r>
        <w:tab/>
        <w:t xml:space="preserve">The amount of that opening balance is to be reflected by a closing entry in the Taxi Industry Development Fund that was, before this section came into operation, required to be maintained as a part of the Trust Fund referred to in the </w:t>
      </w:r>
      <w:r>
        <w:rPr>
          <w:i/>
        </w:rPr>
        <w:t>Financial Administration and Audit Act 1985</w:t>
      </w:r>
      <w:r>
        <w:t xml:space="preserve"> section 9.</w:t>
      </w:r>
    </w:p>
    <w:p>
      <w:pPr>
        <w:pStyle w:val="MiscClose"/>
      </w:pPr>
      <w:r>
        <w:t>”.</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rPr>
          <w:snapToGrid w:val="0"/>
        </w:rPr>
      </w:pPr>
      <w:r>
        <w:rPr>
          <w:vertAlign w:val="superscript"/>
        </w:rPr>
        <w:t>4</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197" w:name="_Toc88630545"/>
      <w:r>
        <w:rPr>
          <w:rStyle w:val="CharSectno"/>
        </w:rPr>
        <w:t>142</w:t>
      </w:r>
      <w:r>
        <w:t>.</w:t>
      </w:r>
      <w:r>
        <w:tab/>
        <w:t>Other amendments to various Acts</w:t>
      </w:r>
      <w:bookmarkEnd w:id="197"/>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49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pPr>
      <w:bookmarkStart w:id="198" w:name="_Toc491766812"/>
      <w:bookmarkStart w:id="199" w:name="_Toc497185934"/>
      <w:bookmarkStart w:id="200" w:name="_Toc88630771"/>
      <w:r>
        <w:t>49.</w:t>
      </w:r>
      <w:r>
        <w:tab/>
      </w:r>
      <w:r>
        <w:rPr>
          <w:i/>
        </w:rPr>
        <w:t>Taxi Act 1994</w:t>
      </w:r>
      <w:bookmarkEnd w:id="198"/>
      <w:bookmarkEnd w:id="199"/>
      <w:bookmarkEnd w:id="200"/>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trPr>
          <w:cantSplit/>
        </w:trPr>
        <w:tc>
          <w:tcPr>
            <w:tcW w:w="1134" w:type="dxa"/>
          </w:tcPr>
          <w:p>
            <w:pPr>
              <w:pStyle w:val="nzTable"/>
            </w:pPr>
            <w:r>
              <w:t>s. 20(4)</w:t>
            </w:r>
          </w:p>
          <w:p>
            <w:pPr>
              <w:pStyle w:val="nzTable"/>
            </w:pPr>
            <w:r>
              <w:t>s. 22(2)</w:t>
            </w:r>
          </w:p>
          <w:p>
            <w:pPr>
              <w:pStyle w:val="nzTable"/>
            </w:pPr>
            <w:r>
              <w:t>s. 23(4)</w:t>
            </w:r>
          </w:p>
          <w:p>
            <w:pPr>
              <w:pStyle w:val="nzTable"/>
            </w:pPr>
            <w:r>
              <w:t>s. 30(3)</w:t>
            </w:r>
          </w:p>
          <w:p>
            <w:pPr>
              <w:pStyle w:val="nzTable"/>
            </w:pPr>
            <w:r>
              <w:t>s. 37(2)</w:t>
            </w:r>
          </w:p>
          <w:p>
            <w:pPr>
              <w:pStyle w:val="nzTable"/>
            </w:pPr>
            <w:r>
              <w:t>s. 38(1)</w:t>
            </w:r>
          </w:p>
        </w:tc>
        <w:tc>
          <w:tcPr>
            <w:tcW w:w="4678" w:type="dxa"/>
          </w:tcPr>
          <w:p>
            <w:pPr>
              <w:pStyle w:val="nzTable"/>
            </w:pPr>
            <w:r>
              <w:t xml:space="preserve">In each provision delete “a Local Court” and insert instead — </w:t>
            </w:r>
          </w:p>
          <w:p>
            <w:pPr>
              <w:pStyle w:val="nzTable"/>
            </w:pPr>
            <w:r>
              <w:t>“    the Magistrates Court    ”.</w:t>
            </w:r>
          </w:p>
        </w:tc>
      </w:tr>
      <w:tr>
        <w:trPr>
          <w:cantSplit/>
        </w:trPr>
        <w:tc>
          <w:tcPr>
            <w:tcW w:w="1134" w:type="dxa"/>
          </w:tcPr>
          <w:p>
            <w:pPr>
              <w:pStyle w:val="nzTable"/>
            </w:pPr>
            <w:r>
              <w:t>s. 20(5)</w:t>
            </w:r>
          </w:p>
          <w:p>
            <w:pPr>
              <w:pStyle w:val="nzTable"/>
            </w:pPr>
            <w:r>
              <w:t>s. 22(3)</w:t>
            </w:r>
          </w:p>
          <w:p>
            <w:pPr>
              <w:pStyle w:val="nzTable"/>
            </w:pPr>
            <w:r>
              <w:t>s. 23(5)</w:t>
            </w:r>
          </w:p>
          <w:p>
            <w:pPr>
              <w:pStyle w:val="nzTable"/>
            </w:pPr>
            <w:r>
              <w:t>s. 30(4)</w:t>
            </w:r>
          </w:p>
          <w:p>
            <w:pPr>
              <w:pStyle w:val="nzTable"/>
            </w:pPr>
            <w:r>
              <w:t>s. 37(3)</w:t>
            </w:r>
          </w:p>
        </w:tc>
        <w:tc>
          <w:tcPr>
            <w:tcW w:w="4678" w:type="dxa"/>
          </w:tcPr>
          <w:p>
            <w:pPr>
              <w:pStyle w:val="nzTable"/>
            </w:pPr>
            <w:r>
              <w:t xml:space="preserve">In each provision delete “A Local Court” and insert instead — </w:t>
            </w:r>
          </w:p>
          <w:p>
            <w:pPr>
              <w:pStyle w:val="nzTable"/>
            </w:pPr>
            <w:r>
              <w:t>“    The Magistrates Court    ”.</w:t>
            </w:r>
          </w:p>
        </w:tc>
      </w:tr>
    </w:tbl>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On the date as at which this compilation was prepared, the </w:t>
      </w:r>
      <w:r>
        <w:rPr>
          <w:i/>
          <w:snapToGrid w:val="0"/>
          <w:lang w:val="en-US"/>
        </w:rPr>
        <w:t>Taxi Amendment Act 2006</w:t>
      </w:r>
      <w:r>
        <w:rPr>
          <w:snapToGrid w:val="0"/>
          <w:lang w:val="en-US"/>
        </w:rPr>
        <w:t xml:space="preserve"> Pt. 2, had</w:t>
      </w:r>
      <w:r>
        <w:rPr>
          <w:snapToGrid w:val="0"/>
        </w:rPr>
        <w:t xml:space="preserve"> not come into operation.  It reads as follows:</w:t>
      </w:r>
    </w:p>
    <w:p>
      <w:pPr>
        <w:pStyle w:val="MiscOpen"/>
        <w:rPr>
          <w:snapToGrid w:val="0"/>
        </w:rPr>
      </w:pPr>
      <w:r>
        <w:rPr>
          <w:snapToGrid w:val="0"/>
        </w:rPr>
        <w:t>“</w:t>
      </w:r>
    </w:p>
    <w:p>
      <w:pPr>
        <w:pStyle w:val="nzHeading2"/>
      </w:pPr>
      <w:bookmarkStart w:id="201" w:name="_Toc114478907"/>
      <w:bookmarkStart w:id="202" w:name="_Toc114546184"/>
      <w:bookmarkStart w:id="203" w:name="_Toc114628593"/>
      <w:bookmarkStart w:id="204" w:name="_Toc115079259"/>
      <w:bookmarkStart w:id="205" w:name="_Toc115149081"/>
      <w:bookmarkStart w:id="206" w:name="_Toc115160357"/>
      <w:bookmarkStart w:id="207" w:name="_Toc115161496"/>
      <w:bookmarkStart w:id="208" w:name="_Toc115164723"/>
      <w:bookmarkStart w:id="209" w:name="_Toc115241358"/>
      <w:bookmarkStart w:id="210" w:name="_Toc115241390"/>
      <w:bookmarkStart w:id="211" w:name="_Toc115241409"/>
      <w:bookmarkStart w:id="212" w:name="_Toc115761823"/>
      <w:bookmarkStart w:id="213" w:name="_Toc115771490"/>
      <w:bookmarkStart w:id="214" w:name="_Toc115775530"/>
      <w:bookmarkStart w:id="215" w:name="_Toc115776534"/>
      <w:bookmarkStart w:id="216" w:name="_Toc115779556"/>
      <w:bookmarkStart w:id="217" w:name="_Toc116028679"/>
      <w:bookmarkStart w:id="218" w:name="_Toc116093949"/>
      <w:bookmarkStart w:id="219" w:name="_Toc116094402"/>
      <w:bookmarkStart w:id="220" w:name="_Toc116105815"/>
      <w:bookmarkStart w:id="221" w:name="_Toc116113898"/>
      <w:bookmarkStart w:id="222" w:name="_Toc116114252"/>
      <w:bookmarkStart w:id="223" w:name="_Toc116127741"/>
      <w:bookmarkStart w:id="224" w:name="_Toc116201548"/>
      <w:bookmarkStart w:id="225" w:name="_Toc116204933"/>
      <w:bookmarkStart w:id="226" w:name="_Toc116206001"/>
      <w:bookmarkStart w:id="227" w:name="_Toc116212110"/>
      <w:bookmarkStart w:id="228" w:name="_Toc116290289"/>
      <w:bookmarkStart w:id="229" w:name="_Toc116290556"/>
      <w:bookmarkStart w:id="230" w:name="_Toc117053829"/>
      <w:bookmarkStart w:id="231" w:name="_Toc117053897"/>
      <w:bookmarkStart w:id="232" w:name="_Toc117062928"/>
      <w:bookmarkStart w:id="233" w:name="_Toc117062989"/>
      <w:bookmarkStart w:id="234" w:name="_Toc117067648"/>
      <w:bookmarkStart w:id="235" w:name="_Toc117067723"/>
      <w:bookmarkStart w:id="236" w:name="_Toc117311642"/>
      <w:bookmarkStart w:id="237" w:name="_Toc117311800"/>
      <w:bookmarkStart w:id="238" w:name="_Toc117323681"/>
      <w:bookmarkStart w:id="239" w:name="_Toc117396581"/>
      <w:bookmarkStart w:id="240" w:name="_Toc117403318"/>
      <w:bookmarkStart w:id="241" w:name="_Toc117404163"/>
      <w:bookmarkStart w:id="242" w:name="_Toc117404980"/>
      <w:bookmarkStart w:id="243" w:name="_Toc117412607"/>
      <w:bookmarkStart w:id="244" w:name="_Toc117412682"/>
      <w:bookmarkStart w:id="245" w:name="_Toc117415016"/>
      <w:bookmarkStart w:id="246" w:name="_Toc117478654"/>
      <w:bookmarkStart w:id="247" w:name="_Toc117492142"/>
      <w:bookmarkStart w:id="248" w:name="_Toc119490402"/>
      <w:bookmarkStart w:id="249" w:name="_Toc130967821"/>
      <w:bookmarkStart w:id="250" w:name="_Toc130967965"/>
      <w:bookmarkStart w:id="251" w:name="_Toc131826399"/>
      <w:bookmarkStart w:id="252" w:name="_Toc114284190"/>
      <w:bookmarkStart w:id="253" w:name="_Toc114379432"/>
      <w:bookmarkStart w:id="254" w:name="_Toc114380442"/>
      <w:bookmarkStart w:id="255" w:name="_Toc114380468"/>
      <w:bookmarkStart w:id="256" w:name="_Toc114383222"/>
      <w:bookmarkStart w:id="257" w:name="_Toc114383495"/>
      <w:bookmarkStart w:id="258" w:name="_Toc114471047"/>
      <w:r>
        <w:rPr>
          <w:rStyle w:val="CharPartNo"/>
        </w:rPr>
        <w:t>Part 2</w:t>
      </w:r>
      <w:r>
        <w:rPr>
          <w:rStyle w:val="CharDivNo"/>
        </w:rPr>
        <w:t> </w:t>
      </w:r>
      <w:r>
        <w:t>—</w:t>
      </w:r>
      <w:r>
        <w:rPr>
          <w:rStyle w:val="CharDivText"/>
        </w:rPr>
        <w:t> </w:t>
      </w:r>
      <w:r>
        <w:rPr>
          <w:rStyle w:val="CharPartText"/>
        </w:rPr>
        <w:t>Amendments about multi</w:t>
      </w:r>
      <w:r>
        <w:rPr>
          <w:rStyle w:val="CharPartText"/>
        </w:rPr>
        <w:noBreakHyphen/>
        <w:t>purpose taxi plates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nzHeading5"/>
      </w:pPr>
      <w:bookmarkStart w:id="259" w:name="_Toc117311643"/>
      <w:bookmarkStart w:id="260" w:name="_Toc130967966"/>
      <w:bookmarkStart w:id="261" w:name="_Toc131826400"/>
      <w:bookmarkEnd w:id="252"/>
      <w:bookmarkEnd w:id="253"/>
      <w:bookmarkEnd w:id="254"/>
      <w:bookmarkEnd w:id="255"/>
      <w:bookmarkEnd w:id="256"/>
      <w:bookmarkEnd w:id="257"/>
      <w:bookmarkEnd w:id="258"/>
      <w:r>
        <w:rPr>
          <w:rStyle w:val="CharSectno"/>
        </w:rPr>
        <w:t>4</w:t>
      </w:r>
      <w:r>
        <w:t>.</w:t>
      </w:r>
      <w:r>
        <w:tab/>
        <w:t>Part 3 Division 3 inserted</w:t>
      </w:r>
      <w:bookmarkEnd w:id="259"/>
      <w:bookmarkEnd w:id="260"/>
      <w:bookmarkEnd w:id="261"/>
    </w:p>
    <w:p>
      <w:pPr>
        <w:pStyle w:val="nzSubsection"/>
      </w:pPr>
      <w:r>
        <w:tab/>
      </w:r>
      <w:r>
        <w:tab/>
        <w:t xml:space="preserve">After section 30 the following Division is inserted in Part 3 — </w:t>
      </w:r>
    </w:p>
    <w:p>
      <w:pPr>
        <w:pStyle w:val="MiscOpen"/>
        <w:ind w:left="426"/>
      </w:pPr>
      <w:bookmarkStart w:id="262" w:name="_Toc114284192"/>
      <w:bookmarkStart w:id="263" w:name="_Toc114379434"/>
      <w:r>
        <w:t xml:space="preserve">“    </w:t>
      </w:r>
    </w:p>
    <w:p>
      <w:pPr>
        <w:pStyle w:val="nzHeading3"/>
      </w:pPr>
      <w:bookmarkStart w:id="264" w:name="_Toc114380444"/>
      <w:bookmarkStart w:id="265" w:name="_Toc114380470"/>
      <w:bookmarkStart w:id="266" w:name="_Toc114383224"/>
      <w:bookmarkStart w:id="267" w:name="_Toc114383497"/>
      <w:bookmarkStart w:id="268" w:name="_Toc114471049"/>
      <w:bookmarkStart w:id="269" w:name="_Toc114478909"/>
      <w:bookmarkStart w:id="270" w:name="_Toc114546186"/>
      <w:bookmarkStart w:id="271" w:name="_Toc114628595"/>
      <w:bookmarkStart w:id="272" w:name="_Toc115079261"/>
      <w:bookmarkStart w:id="273" w:name="_Toc115149083"/>
      <w:bookmarkStart w:id="274" w:name="_Toc115160359"/>
      <w:bookmarkStart w:id="275" w:name="_Toc115161498"/>
      <w:bookmarkStart w:id="276" w:name="_Toc115164725"/>
      <w:bookmarkStart w:id="277" w:name="_Toc115241360"/>
      <w:bookmarkStart w:id="278" w:name="_Toc115241392"/>
      <w:bookmarkStart w:id="279" w:name="_Toc115241411"/>
      <w:bookmarkStart w:id="280" w:name="_Toc115761825"/>
      <w:bookmarkStart w:id="281" w:name="_Toc115771492"/>
      <w:bookmarkStart w:id="282" w:name="_Toc115775532"/>
      <w:bookmarkStart w:id="283" w:name="_Toc115776536"/>
      <w:bookmarkStart w:id="284" w:name="_Toc115779558"/>
      <w:bookmarkStart w:id="285" w:name="_Toc116028681"/>
      <w:bookmarkStart w:id="286" w:name="_Toc116093951"/>
      <w:bookmarkStart w:id="287" w:name="_Toc116094404"/>
      <w:bookmarkStart w:id="288" w:name="_Toc116105817"/>
      <w:bookmarkStart w:id="289" w:name="_Toc116113900"/>
      <w:bookmarkStart w:id="290" w:name="_Toc116114254"/>
      <w:bookmarkStart w:id="291" w:name="_Toc116127743"/>
      <w:bookmarkStart w:id="292" w:name="_Toc116201550"/>
      <w:bookmarkStart w:id="293" w:name="_Toc116204935"/>
      <w:bookmarkStart w:id="294" w:name="_Toc116206003"/>
      <w:bookmarkStart w:id="295" w:name="_Toc116212112"/>
      <w:bookmarkStart w:id="296" w:name="_Toc116290291"/>
      <w:bookmarkStart w:id="297" w:name="_Toc116290558"/>
      <w:bookmarkStart w:id="298" w:name="_Toc117053831"/>
      <w:bookmarkStart w:id="299" w:name="_Toc117053899"/>
      <w:bookmarkStart w:id="300" w:name="_Toc117062930"/>
      <w:bookmarkStart w:id="301" w:name="_Toc117062991"/>
      <w:bookmarkStart w:id="302" w:name="_Toc117067650"/>
      <w:bookmarkStart w:id="303" w:name="_Toc117067725"/>
      <w:bookmarkStart w:id="304" w:name="_Toc117311644"/>
      <w:bookmarkStart w:id="305" w:name="_Toc117311802"/>
      <w:bookmarkStart w:id="306" w:name="_Toc117323683"/>
      <w:bookmarkStart w:id="307" w:name="_Toc117396583"/>
      <w:bookmarkStart w:id="308" w:name="_Toc117403320"/>
      <w:bookmarkStart w:id="309" w:name="_Toc117404165"/>
      <w:bookmarkStart w:id="310" w:name="_Toc117404982"/>
      <w:bookmarkStart w:id="311" w:name="_Toc117412609"/>
      <w:bookmarkStart w:id="312" w:name="_Toc117412684"/>
      <w:bookmarkStart w:id="313" w:name="_Toc117415018"/>
      <w:bookmarkStart w:id="314" w:name="_Toc117478656"/>
      <w:bookmarkStart w:id="315" w:name="_Toc117492144"/>
      <w:bookmarkStart w:id="316" w:name="_Toc119490404"/>
      <w:bookmarkStart w:id="317" w:name="_Toc130967823"/>
      <w:bookmarkStart w:id="318" w:name="_Toc130967967"/>
      <w:bookmarkStart w:id="319" w:name="_Toc131826401"/>
      <w:r>
        <w:rPr>
          <w:rStyle w:val="CharSDivNo"/>
        </w:rPr>
        <w:t>Division 3 — </w:t>
      </w:r>
      <w:r>
        <w:rPr>
          <w:rStyle w:val="CharSDivText"/>
        </w:rPr>
        <w:t>Multi</w:t>
      </w:r>
      <w:r>
        <w:rPr>
          <w:rStyle w:val="CharSDivText"/>
        </w:rPr>
        <w:noBreakHyphen/>
        <w:t>purpose taxi plates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r>
        <w:rPr>
          <w:rStyle w:val="CharSDivText"/>
        </w:rPr>
        <w:t xml:space="preserve"> buy</w:t>
      </w:r>
      <w:r>
        <w:rPr>
          <w:rStyle w:val="CharSDivText"/>
        </w:rPr>
        <w:noBreakHyphen/>
        <w:t>back</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rPr>
          <w:rStyle w:val="CharSDivText"/>
        </w:rPr>
        <w:t xml:space="preserve"> </w:t>
      </w:r>
    </w:p>
    <w:p>
      <w:pPr>
        <w:pStyle w:val="nzHeading5"/>
      </w:pPr>
      <w:bookmarkStart w:id="320" w:name="_Toc130967968"/>
      <w:bookmarkStart w:id="321" w:name="_Toc131826402"/>
      <w:r>
        <w:t>30A.</w:t>
      </w:r>
      <w:r>
        <w:tab/>
        <w:t>Interpretation and application</w:t>
      </w:r>
      <w:bookmarkEnd w:id="320"/>
      <w:bookmarkEnd w:id="321"/>
    </w:p>
    <w:p>
      <w:pPr>
        <w:pStyle w:val="nzSubsection"/>
      </w:pPr>
      <w:r>
        <w:tab/>
        <w:t>(1)</w:t>
      </w:r>
      <w:r>
        <w:tab/>
        <w:t xml:space="preserve">In this Division — </w:t>
      </w:r>
    </w:p>
    <w:p>
      <w:pPr>
        <w:pStyle w:val="nzDefstart"/>
      </w:pPr>
      <w:r>
        <w:rPr>
          <w:rStyle w:val="CharDefText"/>
          <w:b w:val="0"/>
        </w:rPr>
        <w:tab/>
      </w:r>
      <w:r>
        <w:rPr>
          <w:rStyle w:val="CharDefText"/>
        </w:rPr>
        <w:t>“buy</w:t>
      </w:r>
      <w:r>
        <w:rPr>
          <w:rStyle w:val="CharDefText"/>
        </w:rPr>
        <w:noBreakHyphen/>
        <w:t xml:space="preserve">back agreement” </w:t>
      </w:r>
      <w:r>
        <w:t>means an agreement under section 30B;</w:t>
      </w:r>
    </w:p>
    <w:p>
      <w:pPr>
        <w:pStyle w:val="nzDefstart"/>
        <w:rPr>
          <w:bCs/>
        </w:rPr>
      </w:pPr>
      <w:r>
        <w:rPr>
          <w:b/>
        </w:rPr>
        <w:tab/>
        <w:t>“</w:t>
      </w:r>
      <w:r>
        <w:rPr>
          <w:rStyle w:val="CharDefText"/>
        </w:rPr>
        <w:t>eligible operator</w:t>
      </w:r>
      <w:r>
        <w:rPr>
          <w:b/>
        </w:rPr>
        <w:t>”</w:t>
      </w:r>
      <w:r>
        <w:rPr>
          <w:bCs/>
        </w:rPr>
        <w:t xml:space="preserve"> means an operator who operates 10 or more multi</w:t>
      </w:r>
      <w:r>
        <w:rPr>
          <w:bCs/>
        </w:rPr>
        <w:noBreakHyphen/>
        <w:t>purpose taxis that use transferable MPT plates owned by an MPT investor</w:t>
      </w:r>
      <w:r>
        <w:rPr>
          <w:bCs/>
        </w:rPr>
        <w:noBreakHyphen/>
        <w:t xml:space="preserve">owner who — </w:t>
      </w:r>
    </w:p>
    <w:p>
      <w:pPr>
        <w:pStyle w:val="nzDefpara"/>
      </w:pPr>
      <w:r>
        <w:tab/>
        <w:t>(a)</w:t>
      </w:r>
      <w:r>
        <w:tab/>
        <w:t>is not the operator; and</w:t>
      </w:r>
    </w:p>
    <w:p>
      <w:pPr>
        <w:pStyle w:val="nzDefpara"/>
      </w:pPr>
      <w:r>
        <w:tab/>
        <w:t>(b)</w:t>
      </w:r>
      <w:r>
        <w:tab/>
        <w:t>is a party to a buy</w:t>
      </w:r>
      <w:r>
        <w:noBreakHyphen/>
        <w:t>back agreement;</w:t>
      </w:r>
    </w:p>
    <w:p>
      <w:pPr>
        <w:pStyle w:val="nzDefstart"/>
      </w:pPr>
      <w:r>
        <w:rPr>
          <w:b/>
        </w:rPr>
        <w:tab/>
        <w:t>“</w:t>
      </w:r>
      <w:r>
        <w:rPr>
          <w:rStyle w:val="CharDefText"/>
        </w:rPr>
        <w:t>MPT investor</w:t>
      </w:r>
      <w:r>
        <w:rPr>
          <w:rStyle w:val="CharDefText"/>
        </w:rPr>
        <w:noBreakHyphen/>
        <w:t>owner</w:t>
      </w:r>
      <w:r>
        <w:rPr>
          <w:b/>
        </w:rPr>
        <w:t>”</w:t>
      </w:r>
      <w:r>
        <w:t xml:space="preserve"> means a person who — </w:t>
      </w:r>
    </w:p>
    <w:p>
      <w:pPr>
        <w:pStyle w:val="nzDefpara"/>
      </w:pPr>
      <w:r>
        <w:tab/>
        <w:t>(a)</w:t>
      </w:r>
      <w:r>
        <w:tab/>
        <w:t>is the owner, or has an interest in the ownership, of transferable MPT plates; and</w:t>
      </w:r>
    </w:p>
    <w:p>
      <w:pPr>
        <w:pStyle w:val="nzDefpara"/>
      </w:pPr>
      <w:r>
        <w:tab/>
        <w:t>(b)</w:t>
      </w:r>
      <w:r>
        <w:tab/>
        <w:t>is not a driver of the vehicle operated as a multi</w:t>
      </w:r>
      <w:r>
        <w:noBreakHyphen/>
        <w:t>purpose taxi using the plates;</w:t>
      </w:r>
    </w:p>
    <w:p>
      <w:pPr>
        <w:pStyle w:val="nzDefstart"/>
      </w:pPr>
      <w:r>
        <w:rPr>
          <w:b/>
        </w:rPr>
        <w:tab/>
        <w:t>“</w:t>
      </w:r>
      <w:r>
        <w:rPr>
          <w:rStyle w:val="CharDefText"/>
        </w:rPr>
        <w:t>MPT owner</w:t>
      </w:r>
      <w:r>
        <w:rPr>
          <w:rStyle w:val="CharDefText"/>
        </w:rPr>
        <w:noBreakHyphen/>
        <w:t>driver</w:t>
      </w:r>
      <w:r>
        <w:rPr>
          <w:b/>
        </w:rPr>
        <w:t>”</w:t>
      </w:r>
      <w:r>
        <w:t xml:space="preserve"> means a person who — </w:t>
      </w:r>
    </w:p>
    <w:p>
      <w:pPr>
        <w:pStyle w:val="nzDefpara"/>
      </w:pPr>
      <w:r>
        <w:tab/>
        <w:t>(a)</w:t>
      </w:r>
      <w:r>
        <w:tab/>
        <w:t>is the owner, or has an interest in the ownership, of transferable MPT plates; and</w:t>
      </w:r>
    </w:p>
    <w:p>
      <w:pPr>
        <w:pStyle w:val="nzDefpara"/>
      </w:pPr>
      <w:r>
        <w:tab/>
        <w:t>(b)</w:t>
      </w:r>
      <w:r>
        <w:tab/>
        <w:t>is a driver of the vehicle operated as a multi</w:t>
      </w:r>
      <w:r>
        <w:noBreakHyphen/>
        <w:t>purpose taxi using the plates;</w:t>
      </w:r>
    </w:p>
    <w:p>
      <w:pPr>
        <w:pStyle w:val="nzDefstart"/>
      </w:pPr>
      <w:r>
        <w:rPr>
          <w:b/>
        </w:rPr>
        <w:tab/>
        <w:t>“</w:t>
      </w:r>
      <w:r>
        <w:rPr>
          <w:rStyle w:val="CharDefText"/>
        </w:rPr>
        <w:t>multi</w:t>
      </w:r>
      <w:r>
        <w:rPr>
          <w:rStyle w:val="CharDefText"/>
        </w:rPr>
        <w:noBreakHyphen/>
        <w:t>purpose taxi</w:t>
      </w:r>
      <w:r>
        <w:rPr>
          <w:b/>
        </w:rPr>
        <w:t>”</w:t>
      </w:r>
      <w:r>
        <w:t xml:space="preserve"> or </w:t>
      </w:r>
      <w:r>
        <w:rPr>
          <w:b/>
          <w:bCs/>
        </w:rPr>
        <w:t>“</w:t>
      </w:r>
      <w:r>
        <w:rPr>
          <w:rStyle w:val="CharDefText"/>
        </w:rPr>
        <w:t>MPT</w:t>
      </w:r>
      <w:r>
        <w:rPr>
          <w:b/>
          <w:bCs/>
        </w:rPr>
        <w:t>”</w:t>
      </w:r>
      <w:r>
        <w:t xml:space="preserve"> means a taxi that is intended principally for the transport of persons who have a disability and any wheelchairs or other aids required by those persons;</w:t>
      </w:r>
    </w:p>
    <w:p>
      <w:pPr>
        <w:pStyle w:val="nzDefstart"/>
      </w:pPr>
      <w:r>
        <w:rPr>
          <w:b/>
        </w:rPr>
        <w:tab/>
        <w:t>“</w:t>
      </w:r>
      <w:r>
        <w:rPr>
          <w:rStyle w:val="CharDefText"/>
        </w:rPr>
        <w:t>transferable MPT plates</w:t>
      </w:r>
      <w:r>
        <w:rPr>
          <w:b/>
        </w:rPr>
        <w:t>”</w:t>
      </w:r>
      <w:r>
        <w:t xml:space="preserve"> means taxi plates that are — </w:t>
      </w:r>
    </w:p>
    <w:p>
      <w:pPr>
        <w:pStyle w:val="nzDefpara"/>
      </w:pPr>
      <w:r>
        <w:tab/>
        <w:t>(a)</w:t>
      </w:r>
      <w:r>
        <w:tab/>
        <w:t>used on a taxi that operates as a multi</w:t>
      </w:r>
      <w:r>
        <w:noBreakHyphen/>
        <w:t>purpose taxi; and</w:t>
      </w:r>
    </w:p>
    <w:p>
      <w:pPr>
        <w:pStyle w:val="nzDefpara"/>
      </w:pPr>
      <w:r>
        <w:tab/>
        <w:t>(b)</w:t>
      </w:r>
      <w:r>
        <w:tab/>
        <w:t>owned, or an interest in which is owned, by an MPT investor</w:t>
      </w:r>
      <w:r>
        <w:noBreakHyphen/>
        <w:t>owner or an MPT owner</w:t>
      </w:r>
      <w:r>
        <w:noBreakHyphen/>
        <w:t>driver.</w:t>
      </w:r>
    </w:p>
    <w:p>
      <w:pPr>
        <w:pStyle w:val="nzSubsection"/>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nzHeading5"/>
      </w:pPr>
      <w:bookmarkStart w:id="322" w:name="_Toc130967969"/>
      <w:bookmarkStart w:id="323" w:name="_Toc131826403"/>
      <w:r>
        <w:t>30B.</w:t>
      </w:r>
      <w:r>
        <w:tab/>
        <w:t>Buy</w:t>
      </w:r>
      <w:r>
        <w:noBreakHyphen/>
        <w:t>back agreements</w:t>
      </w:r>
      <w:bookmarkEnd w:id="322"/>
      <w:bookmarkEnd w:id="323"/>
    </w:p>
    <w:p>
      <w:pPr>
        <w:pStyle w:val="nzSubsection"/>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nzSubsection"/>
      </w:pPr>
      <w:r>
        <w:tab/>
        <w:t>(2)</w:t>
      </w:r>
      <w:r>
        <w:tab/>
        <w:t>A buy</w:t>
      </w:r>
      <w:r>
        <w:noBreakHyphen/>
        <w:t>back agreement has effect only if the Minister has published a notice under section 30C(2).</w:t>
      </w:r>
    </w:p>
    <w:p>
      <w:pPr>
        <w:pStyle w:val="nzHeading5"/>
      </w:pPr>
      <w:bookmarkStart w:id="324" w:name="_Toc130967970"/>
      <w:bookmarkStart w:id="325" w:name="_Toc131826404"/>
      <w:r>
        <w:t>30C.</w:t>
      </w:r>
      <w:r>
        <w:tab/>
        <w:t>Operation of sections 30D to 30G to be subject to conditions</w:t>
      </w:r>
      <w:bookmarkEnd w:id="324"/>
      <w:bookmarkEnd w:id="325"/>
    </w:p>
    <w:p>
      <w:pPr>
        <w:pStyle w:val="nzSubsection"/>
      </w:pPr>
      <w:r>
        <w:tab/>
        <w:t>(1)</w:t>
      </w:r>
      <w:r>
        <w:tab/>
        <w:t xml:space="preserve">Sections 30D, 30E, 30F and 30G have effect — </w:t>
      </w:r>
    </w:p>
    <w:p>
      <w:pPr>
        <w:pStyle w:val="nzIndenta"/>
      </w:pPr>
      <w:r>
        <w:tab/>
        <w:t>(a)</w:t>
      </w:r>
      <w:r>
        <w:tab/>
        <w:t>only if the Minister publishes a notice under subsection (2); and</w:t>
      </w:r>
    </w:p>
    <w:p>
      <w:pPr>
        <w:pStyle w:val="nzIndenta"/>
      </w:pPr>
      <w:r>
        <w:tab/>
        <w:t>(b)</w:t>
      </w:r>
      <w:r>
        <w:tab/>
        <w:t>on and after the date of publication of the notice, or any later date specified in the notice.</w:t>
      </w:r>
    </w:p>
    <w:p>
      <w:pPr>
        <w:pStyle w:val="nzSubsection"/>
      </w:pPr>
      <w:r>
        <w:tab/>
        <w:t>(2)</w:t>
      </w:r>
      <w:r>
        <w:tab/>
        <w:t xml:space="preserve">If the Minister </w:t>
      </w:r>
      <w:r>
        <w:rPr>
          <w:rStyle w:val="CharDefText"/>
          <w:b w:val="0"/>
        </w:rPr>
        <w:t>is satisfied that, for the effective operation of this Division, a sufficient number of MPT investor</w:t>
      </w:r>
      <w:r>
        <w:rPr>
          <w:rStyle w:val="CharDefText"/>
          <w:b w:val="0"/>
        </w:rPr>
        <w:noBreakHyphen/>
        <w:t>owners and MPT owner</w:t>
      </w:r>
      <w:r>
        <w:rPr>
          <w:rStyle w:val="CharDefText"/>
          <w:b w:val="0"/>
        </w:rPr>
        <w:noBreakHyphen/>
        <w:t>drivers have accepted an offer to enter into a buy</w:t>
      </w:r>
      <w:r>
        <w:rPr>
          <w:rStyle w:val="CharDefText"/>
          <w:b w:val="0"/>
        </w:rPr>
        <w:noBreakHyphen/>
        <w:t xml:space="preserve">back agreement within the time approved by the Minister, the Minister is to </w:t>
      </w:r>
      <w:r>
        <w:t xml:space="preserve">publish a notice in the </w:t>
      </w:r>
      <w:r>
        <w:rPr>
          <w:i/>
          <w:iCs/>
        </w:rPr>
        <w:t>Gazette</w:t>
      </w:r>
      <w:r>
        <w:t xml:space="preserve"> accordingly.</w:t>
      </w:r>
    </w:p>
    <w:p>
      <w:pPr>
        <w:pStyle w:val="nzHeading5"/>
      </w:pPr>
      <w:bookmarkStart w:id="326" w:name="_Toc130967971"/>
      <w:bookmarkStart w:id="327" w:name="_Toc131826405"/>
      <w:r>
        <w:t>30D.</w:t>
      </w:r>
      <w:r>
        <w:tab/>
        <w:t>Certain MPT owner</w:t>
      </w:r>
      <w:r>
        <w:noBreakHyphen/>
        <w:t>drivers and eligible operators to be offered leases of taxi plates for multi</w:t>
      </w:r>
      <w:r>
        <w:noBreakHyphen/>
        <w:t>purpose taxis</w:t>
      </w:r>
      <w:bookmarkEnd w:id="326"/>
      <w:bookmarkEnd w:id="327"/>
    </w:p>
    <w:p>
      <w:pPr>
        <w:pStyle w:val="nzSubsection"/>
      </w:pPr>
      <w:r>
        <w:rPr>
          <w:rStyle w:val="CharDefText"/>
          <w:b w:val="0"/>
        </w:rPr>
        <w:tab/>
        <w:t>(1)</w:t>
      </w:r>
      <w:r>
        <w:rPr>
          <w:rStyle w:val="CharDefText"/>
          <w:b w:val="0"/>
        </w:rPr>
        <w:tab/>
        <w:t>Taxi plates to be used on a multi</w:t>
      </w:r>
      <w:r>
        <w:rPr>
          <w:rStyle w:val="CharDefText"/>
          <w:b w:val="0"/>
        </w:rPr>
        <w:noBreakHyphen/>
        <w:t xml:space="preserve">purpose taxi </w:t>
      </w:r>
      <w:r>
        <w:rPr>
          <w:bCs/>
        </w:rPr>
        <w:t xml:space="preserve">shall, subject to this section, be offered for lease to — </w:t>
      </w:r>
    </w:p>
    <w:p>
      <w:pPr>
        <w:pStyle w:val="nzIndenta"/>
      </w:pPr>
      <w:r>
        <w:tab/>
        <w:t>(a)</w:t>
      </w:r>
      <w:r>
        <w:tab/>
        <w:t>each MPT owner</w:t>
      </w:r>
      <w:r>
        <w:noBreakHyphen/>
        <w:t>driver who is a party to a buy</w:t>
      </w:r>
      <w:r>
        <w:noBreakHyphen/>
        <w:t>back agreement; and</w:t>
      </w:r>
    </w:p>
    <w:p>
      <w:pPr>
        <w:pStyle w:val="nzIndenta"/>
      </w:pPr>
      <w:r>
        <w:tab/>
        <w:t>(b)</w:t>
      </w:r>
      <w:r>
        <w:tab/>
        <w:t>each eligible operator.</w:t>
      </w:r>
    </w:p>
    <w:p>
      <w:pPr>
        <w:pStyle w:val="nzSubsection"/>
      </w:pPr>
      <w:r>
        <w:tab/>
        <w:t>(2)</w:t>
      </w:r>
      <w:r>
        <w:tab/>
        <w:t>One set of taxi plates is to be offered for lease under subsection (1) in respect of each set of transferable MPT plates surrendered and cancelled under this Division.</w:t>
      </w:r>
    </w:p>
    <w:p>
      <w:pPr>
        <w:pStyle w:val="nz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nzSubsection"/>
      </w:pPr>
      <w:r>
        <w:tab/>
        <w:t>(4)</w:t>
      </w:r>
      <w:r>
        <w:tab/>
        <w:t>An offer to lease under this section lapses if it is not accepted within the time specified in the offer.</w:t>
      </w:r>
    </w:p>
    <w:p>
      <w:pPr>
        <w:pStyle w:val="nzSubsection"/>
      </w:pPr>
      <w:r>
        <w:tab/>
        <w:t>(5)</w:t>
      </w:r>
      <w:r>
        <w:tab/>
        <w:t xml:space="preserve">An offer to lease under this section is to specify that — </w:t>
      </w:r>
    </w:p>
    <w:p>
      <w:pPr>
        <w:pStyle w:val="nzIndenta"/>
      </w:pPr>
      <w:r>
        <w:tab/>
        <w:t>(a)</w:t>
      </w:r>
      <w:r>
        <w:tab/>
        <w:t xml:space="preserve">the term of the lease is to be for — </w:t>
      </w:r>
    </w:p>
    <w:p>
      <w:pPr>
        <w:pStyle w:val="nzIndenti"/>
      </w:pPr>
      <w:r>
        <w:tab/>
        <w:t>(i)</w:t>
      </w:r>
      <w:r>
        <w:tab/>
        <w:t>if the offer is made to an MPT owner</w:t>
      </w:r>
      <w:r>
        <w:noBreakHyphen/>
        <w:t>driver or a person referred to in subsection (3) — subject to section 30F(3), the period of 10 years; or</w:t>
      </w:r>
    </w:p>
    <w:p>
      <w:pPr>
        <w:pStyle w:val="nzIndenti"/>
      </w:pPr>
      <w:r>
        <w:tab/>
        <w:t>(ii)</w:t>
      </w:r>
      <w:r>
        <w:tab/>
        <w:t>if the offer is made to an eligible operator — the period referred to in section 30E(2);</w:t>
      </w:r>
    </w:p>
    <w:p>
      <w:pPr>
        <w:pStyle w:val="nzIndenta"/>
      </w:pPr>
      <w:r>
        <w:tab/>
      </w:r>
      <w:r>
        <w:tab/>
        <w:t>and</w:t>
      </w:r>
    </w:p>
    <w:p>
      <w:pPr>
        <w:pStyle w:val="nzIndenta"/>
      </w:pPr>
      <w:r>
        <w:tab/>
        <w:t>(b)</w:t>
      </w:r>
      <w:r>
        <w:tab/>
        <w:t xml:space="preserve">it is to be a condition of the lease that the lessee — </w:t>
      </w:r>
    </w:p>
    <w:p>
      <w:pPr>
        <w:pStyle w:val="nzIndenti"/>
      </w:pPr>
      <w:r>
        <w:tab/>
        <w:t>(i)</w:t>
      </w:r>
      <w:r>
        <w:tab/>
        <w:t>is to operate a vehicle as a multi</w:t>
      </w:r>
      <w:r>
        <w:noBreakHyphen/>
        <w:t>purpose taxi using the leased taxi plates for the period of 3 years; and</w:t>
      </w:r>
    </w:p>
    <w:p>
      <w:pPr>
        <w:pStyle w:val="nzIndenti"/>
      </w:pPr>
      <w:r>
        <w:tab/>
        <w:t>(ii)</w:t>
      </w:r>
      <w:r>
        <w:tab/>
        <w:t>is to provide a bond or other security in a form and of an amount as is approved by the Minister for the due observance of the condition referred to in subparagraph (i).</w:t>
      </w:r>
    </w:p>
    <w:p>
      <w:pPr>
        <w:pStyle w:val="nzSubsection"/>
      </w:pPr>
      <w:r>
        <w:tab/>
        <w:t>(6)</w:t>
      </w:r>
      <w:r>
        <w:tab/>
        <w:t xml:space="preserve">The provision by a lessee of a bond or other security referred to in subsection (5)(b)(ii) does not affect — </w:t>
      </w:r>
    </w:p>
    <w:p>
      <w:pPr>
        <w:pStyle w:val="nzIndenta"/>
      </w:pPr>
      <w:r>
        <w:tab/>
        <w:t>(a)</w:t>
      </w:r>
      <w:r>
        <w:tab/>
        <w:t>the liability of the lessee to any penalty for an offence for a contravention of this Act; or</w:t>
      </w:r>
    </w:p>
    <w:p>
      <w:pPr>
        <w:pStyle w:val="nzIndenta"/>
      </w:pPr>
      <w:r>
        <w:tab/>
        <w:t>(b)</w:t>
      </w:r>
      <w:r>
        <w:tab/>
        <w:t>any other action that might be taken or is required to be taken in relation to any contravention of this Act.</w:t>
      </w:r>
    </w:p>
    <w:p>
      <w:pPr>
        <w:pStyle w:val="nzSubsection"/>
      </w:pPr>
      <w:r>
        <w:tab/>
        <w:t>(7)</w:t>
      </w:r>
      <w:r>
        <w:tab/>
        <w:t>Subject to sections 30E(1) and 30F(1) and (2), section 16(4), (5) and (6) apply in respect of taxi plates offered for lease under this section.</w:t>
      </w:r>
    </w:p>
    <w:p>
      <w:pPr>
        <w:pStyle w:val="nz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nzIndenta"/>
      </w:pPr>
      <w:r>
        <w:tab/>
        <w:t>(a)</w:t>
      </w:r>
      <w:r>
        <w:tab/>
        <w:t>the amount of compensation payable under the agreement is not to be paid; and</w:t>
      </w:r>
    </w:p>
    <w:p>
      <w:pPr>
        <w:pStyle w:val="nzIndenta"/>
      </w:pPr>
      <w:r>
        <w:tab/>
        <w:t>(b)</w:t>
      </w:r>
      <w:r>
        <w:tab/>
        <w:t xml:space="preserve">the person who is the owner, or each person who has an interest in the ownership, of the transferable MPT plates the subject of the agreement continues — </w:t>
      </w:r>
    </w:p>
    <w:p>
      <w:pPr>
        <w:pStyle w:val="nzIndenti"/>
      </w:pPr>
      <w:r>
        <w:tab/>
        <w:t>(i)</w:t>
      </w:r>
      <w:r>
        <w:tab/>
        <w:t>to be the owner, or to have an interest in the ownership, of those transferable MPT plates; and</w:t>
      </w:r>
    </w:p>
    <w:p>
      <w:pPr>
        <w:pStyle w:val="nzIndenti"/>
      </w:pPr>
      <w:r>
        <w:tab/>
        <w:t>(ii)</w:t>
      </w:r>
      <w:r>
        <w:tab/>
        <w:t>to be subject to all of the rights and obligations of such a person under this Act.</w:t>
      </w:r>
    </w:p>
    <w:p>
      <w:pPr>
        <w:pStyle w:val="nzSubsection"/>
      </w:pPr>
      <w:r>
        <w:tab/>
        <w:t>(9)</w:t>
      </w:r>
      <w:r>
        <w:tab/>
        <w:t xml:space="preserve">Subject to sections 30E(1) and 30F(1) and (2), sections 16(2a) and 18(1a), (1b), (2) and (3) apply in respect of taxi plates offered for lease under this section as if — </w:t>
      </w:r>
    </w:p>
    <w:p>
      <w:pPr>
        <w:pStyle w:val="nzIndenta"/>
      </w:pPr>
      <w:r>
        <w:tab/>
        <w:t>(a)</w:t>
      </w:r>
      <w:r>
        <w:tab/>
        <w:t>the acceptance of the offer was an application for the lease of taxi plates; and</w:t>
      </w:r>
    </w:p>
    <w:p>
      <w:pPr>
        <w:pStyle w:val="nzIndenta"/>
      </w:pPr>
      <w:r>
        <w:tab/>
        <w:t>(b)</w:t>
      </w:r>
      <w:r>
        <w:tab/>
        <w:t>the person who accepts the offer was the applicant.</w:t>
      </w:r>
    </w:p>
    <w:p>
      <w:pPr>
        <w:pStyle w:val="nzHeading5"/>
      </w:pPr>
      <w:bookmarkStart w:id="328" w:name="_Toc130967972"/>
      <w:bookmarkStart w:id="329" w:name="_Toc131826406"/>
      <w:r>
        <w:t>30E.</w:t>
      </w:r>
      <w:r>
        <w:tab/>
        <w:t>Leases by eligible operators of taxi plates for multi</w:t>
      </w:r>
      <w:r>
        <w:noBreakHyphen/>
        <w:t>purpose taxis</w:t>
      </w:r>
      <w:bookmarkEnd w:id="328"/>
      <w:bookmarkEnd w:id="329"/>
      <w:r>
        <w:t xml:space="preserve"> </w:t>
      </w:r>
    </w:p>
    <w:p>
      <w:pPr>
        <w:pStyle w:val="nzSubsection"/>
      </w:pPr>
      <w:r>
        <w:tab/>
        <w:t>(1)</w:t>
      </w:r>
      <w:r>
        <w:tab/>
        <w:t>Section 16(4), (5) and (6) do not apply in relation to taxi plates offered for lease under section 30D(1) to an eligible operator.</w:t>
      </w:r>
    </w:p>
    <w:p>
      <w:pPr>
        <w:pStyle w:val="nzSubsection"/>
      </w:pPr>
      <w:r>
        <w:tab/>
        <w:t>(2)</w:t>
      </w:r>
      <w:r>
        <w:tab/>
        <w:t>The term of a lease of taxi plates offered under section 30D(1) to an eligible operator is to be for a period of between 3 and 5 years.</w:t>
      </w:r>
    </w:p>
    <w:p>
      <w:pPr>
        <w:pStyle w:val="nzHeading5"/>
      </w:pPr>
      <w:bookmarkStart w:id="330" w:name="_Toc130967973"/>
      <w:bookmarkStart w:id="331" w:name="_Toc131826407"/>
      <w:r>
        <w:t>30F.</w:t>
      </w:r>
      <w:r>
        <w:tab/>
        <w:t>Leases by certain MPT owner</w:t>
      </w:r>
      <w:r>
        <w:noBreakHyphen/>
        <w:t>drivers and others of taxi plates for multi</w:t>
      </w:r>
      <w:r>
        <w:noBreakHyphen/>
        <w:t>purpose taxis</w:t>
      </w:r>
      <w:bookmarkEnd w:id="330"/>
      <w:bookmarkEnd w:id="331"/>
    </w:p>
    <w:p>
      <w:pPr>
        <w:pStyle w:val="nzSubsection"/>
      </w:pPr>
      <w:r>
        <w:tab/>
        <w:t>(1)</w:t>
      </w:r>
      <w:r>
        <w:tab/>
        <w:t>If an MPT owner</w:t>
      </w:r>
      <w:r>
        <w:noBreakHyphen/>
        <w:t xml:space="preserve">driver — </w:t>
      </w:r>
    </w:p>
    <w:p>
      <w:pPr>
        <w:pStyle w:val="nzIndenta"/>
      </w:pPr>
      <w:r>
        <w:tab/>
        <w:t>(a)</w:t>
      </w:r>
      <w:r>
        <w:tab/>
        <w:t>is a party to a buy</w:t>
      </w:r>
      <w:r>
        <w:noBreakHyphen/>
        <w:t>back agreement;</w:t>
      </w:r>
    </w:p>
    <w:p>
      <w:pPr>
        <w:pStyle w:val="nzIndenta"/>
      </w:pPr>
      <w:r>
        <w:tab/>
        <w:t>(b)</w:t>
      </w:r>
      <w:r>
        <w:tab/>
        <w:t>accepts an offer under section 30D(1) to lease taxi plates; and</w:t>
      </w:r>
    </w:p>
    <w:p>
      <w:pPr>
        <w:pStyle w:val="nzIndenta"/>
      </w:pPr>
      <w:r>
        <w:tab/>
        <w:t>(c)</w:t>
      </w:r>
      <w:r>
        <w:tab/>
        <w:t>is the owner, or has an interest in the ownership, of taxi plates that are not transferable MPT plates,</w:t>
      </w:r>
    </w:p>
    <w:p>
      <w:pPr>
        <w:pStyle w:val="nzSubsection"/>
      </w:pPr>
      <w:r>
        <w:tab/>
      </w:r>
      <w:r>
        <w:tab/>
        <w:t>section 16(4)(b), (5)(d)(i) and (6)(d)(i) and (e)(i) do not apply in relation to the ownership, or interest in the ownership, of the taxi plates referred to in paragraph (c).</w:t>
      </w:r>
    </w:p>
    <w:p>
      <w:pPr>
        <w:pStyle w:val="nzSubsection"/>
      </w:pPr>
      <w:r>
        <w:tab/>
        <w:t>(2)</w:t>
      </w:r>
      <w:r>
        <w:tab/>
        <w:t xml:space="preserve">If a person to whom an offer to lease taxi plates is made under section 30D(3) — </w:t>
      </w:r>
    </w:p>
    <w:p>
      <w:pPr>
        <w:pStyle w:val="nzIndenta"/>
      </w:pPr>
      <w:r>
        <w:tab/>
        <w:t>(a)</w:t>
      </w:r>
      <w:r>
        <w:tab/>
        <w:t>accepts the offer; and</w:t>
      </w:r>
    </w:p>
    <w:p>
      <w:pPr>
        <w:pStyle w:val="nzIndenta"/>
      </w:pPr>
      <w:r>
        <w:tab/>
        <w:t>(b)</w:t>
      </w:r>
      <w:r>
        <w:tab/>
        <w:t>is the owner, or has an interest in the ownership, of taxi plates that are not transferable MPT plates,</w:t>
      </w:r>
    </w:p>
    <w:p>
      <w:pPr>
        <w:pStyle w:val="nzSubsection"/>
      </w:pPr>
      <w:r>
        <w:tab/>
      </w:r>
      <w:r>
        <w:tab/>
        <w:t>section 16(4)(b), (5)(d)(i) and (6)(d)(i) and (e)(i) do not apply in relation to the ownership, or interest in the ownership, of the taxi plates referred to in paragraph (b).</w:t>
      </w:r>
    </w:p>
    <w:p>
      <w:pPr>
        <w:pStyle w:val="nzSubsection"/>
        <w:rPr>
          <w:rFonts w:ascii="Times" w:hAnsi="Times"/>
        </w:rPr>
      </w:pPr>
      <w:r>
        <w:rPr>
          <w:rFonts w:ascii="Times" w:hAnsi="Times"/>
        </w:rPr>
        <w:tab/>
        <w:t>(3)</w:t>
      </w:r>
      <w:r>
        <w:rPr>
          <w:rFonts w:ascii="Times" w:hAnsi="Times"/>
        </w:rPr>
        <w:tab/>
        <w:t xml:space="preserve">The term of a lease of taxi plates offered — </w:t>
      </w:r>
    </w:p>
    <w:p>
      <w:pPr>
        <w:pStyle w:val="nz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nzIndenta"/>
      </w:pPr>
      <w:r>
        <w:tab/>
        <w:t>(b)</w:t>
      </w:r>
      <w:r>
        <w:tab/>
        <w:t>under section 30D(3) to a person referred to in subsection (2),</w:t>
      </w:r>
    </w:p>
    <w:p>
      <w:pPr>
        <w:pStyle w:val="nzSubsection"/>
      </w:pPr>
      <w:r>
        <w:rPr>
          <w:rFonts w:ascii="Times" w:hAnsi="Times"/>
        </w:rPr>
        <w:tab/>
      </w:r>
      <w:r>
        <w:rPr>
          <w:rFonts w:ascii="Times" w:hAnsi="Times"/>
        </w:rPr>
        <w:tab/>
        <w:t>is to be for a period of between 3 and 5 years.</w:t>
      </w:r>
    </w:p>
    <w:p>
      <w:pPr>
        <w:pStyle w:val="nzHeading5"/>
      </w:pPr>
      <w:bookmarkStart w:id="332" w:name="_Toc130967974"/>
      <w:bookmarkStart w:id="333" w:name="_Toc131826408"/>
      <w:r>
        <w:t>30G.</w:t>
      </w:r>
      <w:r>
        <w:tab/>
        <w:t>Payment of compensation to certain parties to buy</w:t>
      </w:r>
      <w:r>
        <w:noBreakHyphen/>
        <w:t>back agreements</w:t>
      </w:r>
      <w:bookmarkEnd w:id="332"/>
      <w:bookmarkEnd w:id="333"/>
    </w:p>
    <w:p>
      <w:pPr>
        <w:pStyle w:val="nzSubsection"/>
      </w:pPr>
      <w:r>
        <w:tab/>
        <w:t>(1)</w:t>
      </w:r>
      <w:r>
        <w:tab/>
        <w:t xml:space="preserve">In this section — </w:t>
      </w:r>
    </w:p>
    <w:p>
      <w:pPr>
        <w:pStyle w:val="nzDefstart"/>
      </w:pPr>
      <w:r>
        <w:rPr>
          <w:b/>
        </w:rPr>
        <w:tab/>
        <w:t>“</w:t>
      </w:r>
      <w:r>
        <w:rPr>
          <w:rStyle w:val="CharDefText"/>
        </w:rPr>
        <w:t>member of the pool</w:t>
      </w:r>
      <w:r>
        <w:rPr>
          <w:b/>
        </w:rPr>
        <w:t>”</w:t>
      </w:r>
      <w:r>
        <w:t xml:space="preserve"> means a person who is a party to a buy</w:t>
      </w:r>
      <w:r>
        <w:noBreakHyphen/>
        <w:t xml:space="preserve">back agreement and who forms part of a notional group comprising — </w:t>
      </w:r>
    </w:p>
    <w:p>
      <w:pPr>
        <w:pStyle w:val="nzDefpara"/>
      </w:pPr>
      <w:r>
        <w:tab/>
        <w:t>(a)</w:t>
      </w:r>
      <w:r>
        <w:tab/>
        <w:t>subject to subsection (2), each MPT owner</w:t>
      </w:r>
      <w:r>
        <w:noBreakHyphen/>
        <w:t>driver who has not accepted an offer under section 30D(1) within the time specified in the offer; and</w:t>
      </w:r>
    </w:p>
    <w:p>
      <w:pPr>
        <w:pStyle w:val="nzDefpara"/>
      </w:pPr>
      <w:r>
        <w:tab/>
        <w:t>(b)</w:t>
      </w:r>
      <w:r>
        <w:tab/>
        <w:t>subject to subsection (3), each MPT investor</w:t>
      </w:r>
      <w:r>
        <w:noBreakHyphen/>
        <w:t>owner.</w:t>
      </w:r>
    </w:p>
    <w:p>
      <w:pPr>
        <w:pStyle w:val="nz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nz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nzSubsection"/>
      </w:pPr>
      <w:r>
        <w:tab/>
        <w:t>(4)</w:t>
      </w:r>
      <w:r>
        <w:tab/>
        <w:t>Despite anything to the contrary in a buy</w:t>
      </w:r>
      <w:r>
        <w:noBreakHyphen/>
        <w:t xml:space="preserve">back agreement — </w:t>
      </w:r>
    </w:p>
    <w:p>
      <w:pPr>
        <w:pStyle w:val="nzIndenta"/>
      </w:pPr>
      <w:r>
        <w:tab/>
        <w:t>(a)</w:t>
      </w:r>
      <w:r>
        <w:tab/>
        <w:t>the amount of compensation payable under the agreement to a member of the pool is not to be paid; and</w:t>
      </w:r>
    </w:p>
    <w:p>
      <w:pPr>
        <w:pStyle w:val="nzIndenta"/>
      </w:pPr>
      <w:r>
        <w:tab/>
        <w:t>(b)</w:t>
      </w:r>
      <w:r>
        <w:tab/>
        <w:t xml:space="preserve">a member of the pool continues — </w:t>
      </w:r>
    </w:p>
    <w:p>
      <w:pPr>
        <w:pStyle w:val="nzIndenti"/>
      </w:pPr>
      <w:r>
        <w:tab/>
        <w:t>(i)</w:t>
      </w:r>
      <w:r>
        <w:tab/>
        <w:t>to be the owner, or to have an interest in the ownership, of the transferable MPT plates the subject of the agreement; and</w:t>
      </w:r>
    </w:p>
    <w:p>
      <w:pPr>
        <w:pStyle w:val="nzIndenti"/>
      </w:pPr>
      <w:r>
        <w:tab/>
        <w:t>(ii)</w:t>
      </w:r>
      <w:r>
        <w:tab/>
        <w:t>to be subject to all of the rights and obligations of such an owner under this Act,</w:t>
      </w:r>
    </w:p>
    <w:p>
      <w:pPr>
        <w:pStyle w:val="nzIndenta"/>
      </w:pPr>
      <w:r>
        <w:tab/>
      </w:r>
      <w:r>
        <w:tab/>
        <w:t xml:space="preserve">until — </w:t>
      </w:r>
    </w:p>
    <w:p>
      <w:pPr>
        <w:pStyle w:val="nzIndenta"/>
      </w:pPr>
      <w:r>
        <w:tab/>
        <w:t>(c)</w:t>
      </w:r>
      <w:r>
        <w:tab/>
        <w:t>a set of taxi plates for a multi</w:t>
      </w:r>
      <w:r>
        <w:noBreakHyphen/>
        <w:t>purpose taxi is issued on lease under section 18; and</w:t>
      </w:r>
    </w:p>
    <w:p>
      <w:pPr>
        <w:pStyle w:val="nzIndenta"/>
      </w:pPr>
      <w:r>
        <w:tab/>
        <w:t>(d)</w:t>
      </w:r>
      <w:r>
        <w:tab/>
        <w:t>the member is selected under subsection (5).</w:t>
      </w:r>
    </w:p>
    <w:p>
      <w:pPr>
        <w:pStyle w:val="nz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nzSubsection"/>
      </w:pPr>
      <w:r>
        <w:tab/>
        <w:t>(6)</w:t>
      </w:r>
      <w:r>
        <w:tab/>
        <w:t xml:space="preserve">A reference in subsections (4)(c) and (5) to the issue of taxi plates on lease does not include a reference to the issue of taxi plates on lease resulting from the acceptance of an </w:t>
      </w:r>
      <w:r>
        <w:rPr>
          <w:bCs/>
        </w:rPr>
        <w:t>offer under section 30D within the time specified in the offer.</w:t>
      </w:r>
    </w:p>
    <w:p>
      <w:pPr>
        <w:pStyle w:val="nz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nzHeading5"/>
      </w:pPr>
      <w:bookmarkStart w:id="334" w:name="_Toc130967975"/>
      <w:bookmarkStart w:id="335" w:name="_Toc131826409"/>
      <w:r>
        <w:t>30H.</w:t>
      </w:r>
      <w:r>
        <w:tab/>
        <w:t>Consolidated Fund charged with payment for plates</w:t>
      </w:r>
      <w:bookmarkEnd w:id="334"/>
      <w:bookmarkEnd w:id="335"/>
    </w:p>
    <w:p>
      <w:pPr>
        <w:pStyle w:val="nzSubsection"/>
      </w:pPr>
      <w:r>
        <w:tab/>
      </w:r>
      <w:r>
        <w:tab/>
        <w:t>Money payable under a buy</w:t>
      </w:r>
      <w:r>
        <w:noBreakHyphen/>
        <w:t>back agreement is to be charged to the Consolidated Fund, which is, to the necessary extent, appropriated accordingly.</w:t>
      </w:r>
    </w:p>
    <w:p>
      <w:pPr>
        <w:pStyle w:val="MiscClose"/>
        <w:ind w:right="435"/>
      </w:pPr>
      <w:r>
        <w:t xml:space="preserve">    ”.</w:t>
      </w:r>
    </w:p>
    <w:p>
      <w:pPr>
        <w:pStyle w:val="nzHeading5"/>
      </w:pPr>
      <w:bookmarkStart w:id="336" w:name="_Toc117311645"/>
      <w:bookmarkStart w:id="337" w:name="_Toc130967976"/>
      <w:bookmarkStart w:id="338" w:name="_Toc131826410"/>
      <w:r>
        <w:rPr>
          <w:rStyle w:val="CharSectno"/>
        </w:rPr>
        <w:t>5</w:t>
      </w:r>
      <w:r>
        <w:t>.</w:t>
      </w:r>
      <w:r>
        <w:tab/>
        <w:t>Amendments consequential to Part 3 Division 3</w:t>
      </w:r>
      <w:bookmarkEnd w:id="336"/>
      <w:bookmarkEnd w:id="337"/>
      <w:bookmarkEnd w:id="338"/>
      <w:r>
        <w:t xml:space="preserve"> </w:t>
      </w:r>
    </w:p>
    <w:p>
      <w:pPr>
        <w:pStyle w:val="nzSubsection"/>
      </w:pPr>
      <w:r>
        <w:tab/>
        <w:t>(1)</w:t>
      </w:r>
      <w:r>
        <w:tab/>
        <w:t xml:space="preserve">Section 3(1) is amended in the definition of “lease” by deleting “acquire, by virtue of a successful application under section 16(2), the right to use the plates for a period specified by the Director General;” and inserting instead — </w:t>
      </w:r>
    </w:p>
    <w:p>
      <w:pPr>
        <w:pStyle w:val="MiscOpen"/>
        <w:ind w:left="600"/>
      </w:pPr>
      <w:r>
        <w:tab/>
        <w:t xml:space="preserve">“    </w:t>
      </w:r>
    </w:p>
    <w:p>
      <w:pPr>
        <w:pStyle w:val="nzDefstart"/>
      </w:pPr>
      <w:r>
        <w:tab/>
      </w:r>
      <w:r>
        <w:tab/>
        <w:t xml:space="preserve">acquire — </w:t>
      </w:r>
    </w:p>
    <w:p>
      <w:pPr>
        <w:pStyle w:val="nzDefpara"/>
      </w:pPr>
      <w:r>
        <w:tab/>
        <w:t>(a)</w:t>
      </w:r>
      <w:r>
        <w:tab/>
        <w:t>by virtue of a successful application under section 16(2), the right to use the plates for a period specified by the Director General; or</w:t>
      </w:r>
    </w:p>
    <w:p>
      <w:pPr>
        <w:pStyle w:val="nzDefpara"/>
      </w:pPr>
      <w:r>
        <w:tab/>
        <w:t>(b)</w:t>
      </w:r>
      <w:r>
        <w:tab/>
        <w:t>the right to use the plates for a period under Part 3 Division 3;</w:t>
      </w:r>
    </w:p>
    <w:p>
      <w:pPr>
        <w:pStyle w:val="MiscClose"/>
        <w:ind w:right="435"/>
      </w:pPr>
      <w:r>
        <w:t xml:space="preserve">    ”.</w:t>
      </w:r>
    </w:p>
    <w:p>
      <w:pPr>
        <w:pStyle w:val="nzSubsection"/>
      </w:pPr>
      <w:r>
        <w:tab/>
        <w:t>(2)</w:t>
      </w:r>
      <w:r>
        <w:tab/>
        <w:t xml:space="preserve">Section 3(1) is amended in the definition of “lessee” by deleting “acquires, by virtue of a successful application under section 16(2), the right to use the plates for a period specified by the Director General;” and inserting instead — </w:t>
      </w:r>
    </w:p>
    <w:p>
      <w:pPr>
        <w:pStyle w:val="MiscOpen"/>
        <w:ind w:left="600"/>
      </w:pPr>
      <w:r>
        <w:tab/>
        <w:t xml:space="preserve">“    </w:t>
      </w:r>
    </w:p>
    <w:p>
      <w:pPr>
        <w:pStyle w:val="nzDefstart"/>
      </w:pPr>
      <w:r>
        <w:tab/>
      </w:r>
      <w:r>
        <w:tab/>
        <w:t xml:space="preserve">acquires — </w:t>
      </w:r>
    </w:p>
    <w:p>
      <w:pPr>
        <w:pStyle w:val="nzDefpara"/>
      </w:pPr>
      <w:r>
        <w:tab/>
        <w:t>(a)</w:t>
      </w:r>
      <w:r>
        <w:tab/>
        <w:t>by virtue of a successful application under section 16(2), the right to use the plates for a period specified by the Director General; or</w:t>
      </w:r>
    </w:p>
    <w:p>
      <w:pPr>
        <w:pStyle w:val="nzDefpara"/>
      </w:pPr>
      <w:r>
        <w:tab/>
        <w:t>(b)</w:t>
      </w:r>
      <w:r>
        <w:tab/>
        <w:t>the right to use the plates for a period under Part 3 Division 3;</w:t>
      </w:r>
    </w:p>
    <w:p>
      <w:pPr>
        <w:pStyle w:val="MiscClose"/>
        <w:ind w:right="435"/>
      </w:pPr>
      <w:r>
        <w:t xml:space="preserve">    ”.</w:t>
      </w:r>
    </w:p>
    <w:p>
      <w:pPr>
        <w:pStyle w:val="nzSubsection"/>
      </w:pPr>
      <w:r>
        <w:tab/>
        <w:t>(3)</w:t>
      </w:r>
      <w:r>
        <w:tab/>
        <w:t xml:space="preserve">After section 25(1)(a) the following paragraph is inserted — </w:t>
      </w:r>
    </w:p>
    <w:p>
      <w:pPr>
        <w:pStyle w:val="MiscOpen"/>
        <w:ind w:left="1340"/>
      </w:pPr>
      <w:r>
        <w:t xml:space="preserve">“    </w:t>
      </w:r>
    </w:p>
    <w:p>
      <w:pPr>
        <w:pStyle w:val="nz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w:t>
      </w:r>
    </w:p>
    <w:p>
      <w:pPr>
        <w:pStyle w:val="MiscClose"/>
        <w:ind w:right="435"/>
      </w:pPr>
      <w:r>
        <w:t xml:space="preserve">    ”.</w:t>
      </w:r>
    </w:p>
    <w:p>
      <w:pPr>
        <w:pStyle w:val="MiscClose"/>
      </w:pPr>
      <w:r>
        <w:t>”.</w:t>
      </w:r>
    </w:p>
    <w:p>
      <w:bookmarkStart w:id="339" w:name="UpToHere"/>
      <w:bookmarkEnd w:id="339"/>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Taxi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56095C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9F003A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362830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A76D576"/>
    <w:lvl w:ilvl="0">
      <w:start w:val="1"/>
      <w:numFmt w:val="decimal"/>
      <w:pStyle w:val="ListNumber2"/>
      <w:lvlText w:val="%1."/>
      <w:lvlJc w:val="left"/>
      <w:pPr>
        <w:tabs>
          <w:tab w:val="num" w:pos="720"/>
        </w:tabs>
        <w:ind w:left="720" w:hanging="360"/>
      </w:pPr>
    </w:lvl>
  </w:abstractNum>
  <w:abstractNum w:abstractNumId="4">
    <w:nsid w:val="FFFFFF80"/>
    <w:multiLevelType w:val="singleLevel"/>
    <w:tmpl w:val="B0CCEF0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2AAE4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87C34D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082EE6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3646FD4"/>
    <w:lvl w:ilvl="0">
      <w:start w:val="1"/>
      <w:numFmt w:val="decimal"/>
      <w:pStyle w:val="ListNumber"/>
      <w:lvlText w:val="%1."/>
      <w:lvlJc w:val="left"/>
      <w:pPr>
        <w:tabs>
          <w:tab w:val="num" w:pos="360"/>
        </w:tabs>
        <w:ind w:left="360" w:hanging="360"/>
      </w:pPr>
    </w:lvl>
  </w:abstractNum>
  <w:abstractNum w:abstractNumId="9">
    <w:nsid w:val="FFFFFF89"/>
    <w:multiLevelType w:val="singleLevel"/>
    <w:tmpl w:val="177AEE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896C8D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5C70B7B8"/>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1914"/>
    <w:docVar w:name="WAFER_20151210161914" w:val="RemoveTrackChanges"/>
    <w:docVar w:name="WAFER_20151210161914_GUID" w:val="6fe6f153-9b95-4c04-9745-820ea9b868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12840</Words>
  <Characters>59454</Characters>
  <Application>Microsoft Office Word</Application>
  <DocSecurity>0</DocSecurity>
  <Lines>1651</Lines>
  <Paragraphs>951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1994 - 01-g0-03</dc:title>
  <dc:subject/>
  <dc:creator/>
  <cp:keywords/>
  <dc:description/>
  <cp:lastModifiedBy>svcMRProcess</cp:lastModifiedBy>
  <cp:revision>4</cp:revision>
  <cp:lastPrinted>2002-10-31T04:00:00Z</cp:lastPrinted>
  <dcterms:created xsi:type="dcterms:W3CDTF">2018-09-09T02:53:00Z</dcterms:created>
  <dcterms:modified xsi:type="dcterms:W3CDTF">2018-09-09T02:53:00Z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CommencementDate">
    <vt:lpwstr>20060330</vt:lpwstr>
  </property>
  <property fmtid="{D5CDD505-2E9C-101B-9397-08002B2CF9AE}" pid="4" name="DocumentType">
    <vt:lpwstr>Act</vt:lpwstr>
  </property>
  <property fmtid="{D5CDD505-2E9C-101B-9397-08002B2CF9AE}" pid="5" name="OwlsUID">
    <vt:i4>811</vt:i4>
  </property>
  <property fmtid="{D5CDD505-2E9C-101B-9397-08002B2CF9AE}" pid="6" name="AsAtDate">
    <vt:lpwstr>30 Mar 2006</vt:lpwstr>
  </property>
  <property fmtid="{D5CDD505-2E9C-101B-9397-08002B2CF9AE}" pid="7" name="Suffix">
    <vt:lpwstr>01-g0-03</vt:lpwstr>
  </property>
</Properties>
</file>