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_Toc135109246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_Toc135109247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_Toc135109248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Operations within control area</w:t>
      </w:r>
      <w:r>
        <w:tab/>
      </w:r>
      <w:r>
        <w:fldChar w:fldCharType="begin"/>
      </w:r>
      <w:r>
        <w:instrText xml:space="preserve"> PAGEREF _Toc135109249 \h </w:instrText>
      </w:r>
      <w:r>
        <w:fldChar w:fldCharType="separate"/>
      </w:r>
      <w:r>
        <w:t>4</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_Toc135109251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Delegatory power of Minister and Director General</w:t>
      </w:r>
      <w:r>
        <w:tab/>
      </w:r>
      <w:r>
        <w:fldChar w:fldCharType="begin"/>
      </w:r>
      <w:r>
        <w:instrText xml:space="preserve"> PAGEREF _Toc135109252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Director General to advise Minister</w:t>
      </w:r>
      <w:r>
        <w:tab/>
      </w:r>
      <w:r>
        <w:fldChar w:fldCharType="begin"/>
      </w:r>
      <w:r>
        <w:instrText xml:space="preserve"> PAGEREF _Toc135109253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Taxi Industry Board</w:t>
      </w:r>
      <w:r>
        <w:tab/>
      </w:r>
      <w:r>
        <w:fldChar w:fldCharType="begin"/>
      </w:r>
      <w:r>
        <w:instrText xml:space="preserve"> PAGEREF _Toc135109254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Tenure of office</w:t>
      </w:r>
      <w:r>
        <w:tab/>
      </w:r>
      <w:r>
        <w:fldChar w:fldCharType="begin"/>
      </w:r>
      <w:r>
        <w:instrText xml:space="preserve"> PAGEREF _Toc135109255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_Toc135109256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Meetings</w:t>
      </w:r>
      <w:r>
        <w:tab/>
      </w:r>
      <w:r>
        <w:fldChar w:fldCharType="begin"/>
      </w:r>
      <w:r>
        <w:instrText xml:space="preserve"> PAGEREF _Toc135109257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_Toc135109258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Funding of Board</w:t>
      </w:r>
      <w:r>
        <w:tab/>
      </w:r>
      <w:r>
        <w:fldChar w:fldCharType="begin"/>
      </w:r>
      <w:r>
        <w:instrText xml:space="preserve"> PAGEREF _Toc135109259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Functions of Board</w:t>
      </w:r>
      <w:r>
        <w:tab/>
      </w:r>
      <w:r>
        <w:fldChar w:fldCharType="begin"/>
      </w:r>
      <w:r>
        <w:instrText xml:space="preserve"> PAGEREF _Toc135109260 \h </w:instrText>
      </w:r>
      <w:r>
        <w:fldChar w:fldCharType="separate"/>
      </w:r>
      <w:r>
        <w:t>8</w:t>
      </w:r>
      <w:r>
        <w:fldChar w:fldCharType="end"/>
      </w:r>
    </w:p>
    <w:p>
      <w:pPr>
        <w:pStyle w:val="TOC2"/>
        <w:tabs>
          <w:tab w:val="right" w:leader="dot" w:pos="7086"/>
        </w:tabs>
        <w:rPr>
          <w:b w:val="0"/>
          <w:sz w:val="24"/>
          <w:szCs w:val="24"/>
        </w:rPr>
      </w:pPr>
      <w:r>
        <w:rPr>
          <w:szCs w:val="30"/>
        </w:rPr>
        <w:t>Part 3 — Operation of taxis</w:t>
      </w:r>
    </w:p>
    <w:p>
      <w:pPr>
        <w:pStyle w:val="TOC4"/>
        <w:tabs>
          <w:tab w:val="right" w:leader="dot" w:pos="7086"/>
        </w:tabs>
        <w:rPr>
          <w:b w:val="0"/>
          <w:sz w:val="24"/>
          <w:szCs w:val="24"/>
        </w:rPr>
      </w:pPr>
      <w:r>
        <w:rPr>
          <w:szCs w:val="26"/>
        </w:rPr>
        <w:t>Division 1</w:t>
      </w:r>
      <w:r>
        <w:rPr>
          <w:snapToGrid w:val="0"/>
          <w:szCs w:val="26"/>
        </w:rPr>
        <w:t> — </w:t>
      </w:r>
      <w:r>
        <w:rPr>
          <w:szCs w:val="26"/>
        </w:rPr>
        <w:t>Taxi plates</w:t>
      </w:r>
    </w:p>
    <w:p>
      <w:pPr>
        <w:pStyle w:val="TOC8"/>
        <w:rPr>
          <w:sz w:val="24"/>
          <w:szCs w:val="24"/>
        </w:rPr>
      </w:pPr>
      <w:r>
        <w:rPr>
          <w:szCs w:val="24"/>
        </w:rPr>
        <w:t>15</w:t>
      </w:r>
      <w:r>
        <w:rPr>
          <w:snapToGrid w:val="0"/>
          <w:szCs w:val="24"/>
        </w:rPr>
        <w:t>.</w:t>
      </w:r>
      <w:r>
        <w:rPr>
          <w:snapToGrid w:val="0"/>
          <w:szCs w:val="24"/>
        </w:rPr>
        <w:tab/>
        <w:t>Taxi plates</w:t>
      </w:r>
      <w:r>
        <w:tab/>
      </w:r>
      <w:r>
        <w:fldChar w:fldCharType="begin"/>
      </w:r>
      <w:r>
        <w:instrText xml:space="preserve"> PAGEREF _Toc135109263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Taxi plates offered for sale by public tender</w:t>
      </w:r>
      <w:r>
        <w:tab/>
      </w:r>
      <w:r>
        <w:fldChar w:fldCharType="begin"/>
      </w:r>
      <w:r>
        <w:instrText xml:space="preserve"> PAGEREF _Toc135109264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Form of tender</w:t>
      </w:r>
      <w:r>
        <w:tab/>
      </w:r>
      <w:r>
        <w:fldChar w:fldCharType="begin"/>
      </w:r>
      <w:r>
        <w:instrText xml:space="preserve"> PAGEREF _Toc135109265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taxi plates</w:t>
      </w:r>
      <w:r>
        <w:tab/>
      </w:r>
      <w:r>
        <w:fldChar w:fldCharType="begin"/>
      </w:r>
      <w:r>
        <w:instrText xml:space="preserve"> PAGEREF _Toc135109266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Annual fees for taxi plates</w:t>
      </w:r>
      <w:r>
        <w:tab/>
      </w:r>
      <w:r>
        <w:fldChar w:fldCharType="begin"/>
      </w:r>
      <w:r>
        <w:instrText xml:space="preserve"> PAGEREF _Toc135109267 \h </w:instrText>
      </w:r>
      <w:r>
        <w:fldChar w:fldCharType="separate"/>
      </w:r>
      <w:r>
        <w:t>15</w:t>
      </w:r>
      <w:r>
        <w:fldChar w:fldCharType="end"/>
      </w:r>
    </w:p>
    <w:p>
      <w:pPr>
        <w:pStyle w:val="TOC8"/>
        <w:rPr>
          <w:sz w:val="24"/>
          <w:szCs w:val="24"/>
        </w:rPr>
      </w:pPr>
      <w:r>
        <w:rPr>
          <w:szCs w:val="24"/>
        </w:rPr>
        <w:t>19A.</w:t>
      </w:r>
      <w:r>
        <w:rPr>
          <w:szCs w:val="24"/>
        </w:rPr>
        <w:tab/>
        <w:t>Periodic payments for leased taxi plates</w:t>
      </w:r>
      <w:r>
        <w:tab/>
      </w:r>
      <w:r>
        <w:fldChar w:fldCharType="begin"/>
      </w:r>
      <w:r>
        <w:instrText xml:space="preserve"> PAGEREF _Toc135109268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Conditions</w:t>
      </w:r>
      <w:r>
        <w:tab/>
      </w:r>
      <w:r>
        <w:fldChar w:fldCharType="begin"/>
      </w:r>
      <w:r>
        <w:instrText xml:space="preserve"> PAGEREF _Toc135109269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Use of taxi plates</w:t>
      </w:r>
      <w:r>
        <w:tab/>
      </w:r>
      <w:r>
        <w:fldChar w:fldCharType="begin"/>
      </w:r>
      <w:r>
        <w:instrText xml:space="preserve"> PAGEREF _Toc135109270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Variation of conditions</w:t>
      </w:r>
      <w:r>
        <w:tab/>
      </w:r>
      <w:r>
        <w:fldChar w:fldCharType="begin"/>
      </w:r>
      <w:r>
        <w:instrText xml:space="preserve"> PAGEREF _Toc135109271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Divesting and forfeiture of taxi plates</w:t>
      </w:r>
      <w:r>
        <w:tab/>
      </w:r>
      <w:r>
        <w:fldChar w:fldCharType="begin"/>
      </w:r>
      <w:r>
        <w:instrText xml:space="preserve"> PAGEREF _Toc135109272 \h </w:instrText>
      </w:r>
      <w:r>
        <w:fldChar w:fldCharType="separate"/>
      </w:r>
      <w:r>
        <w:t>18</w:t>
      </w:r>
      <w:r>
        <w:fldChar w:fldCharType="end"/>
      </w:r>
    </w:p>
    <w:p>
      <w:pPr>
        <w:pStyle w:val="TOC8"/>
        <w:rPr>
          <w:sz w:val="24"/>
          <w:szCs w:val="24"/>
        </w:rPr>
      </w:pPr>
      <w:r>
        <w:rPr>
          <w:szCs w:val="24"/>
        </w:rPr>
        <w:t>23A.</w:t>
      </w:r>
      <w:r>
        <w:rPr>
          <w:szCs w:val="24"/>
        </w:rPr>
        <w:tab/>
        <w:t>Forfeiture of leased taxi plates</w:t>
      </w:r>
      <w:r>
        <w:tab/>
      </w:r>
      <w:r>
        <w:fldChar w:fldCharType="begin"/>
      </w:r>
      <w:r>
        <w:instrText xml:space="preserve"> PAGEREF _Toc135109273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taxi plates</w:t>
      </w:r>
      <w:r>
        <w:tab/>
      </w:r>
      <w:r>
        <w:fldChar w:fldCharType="begin"/>
      </w:r>
      <w:r>
        <w:instrText xml:space="preserve"> PAGEREF _Toc135109274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Return of taxi plates</w:t>
      </w:r>
      <w:r>
        <w:tab/>
      </w:r>
      <w:r>
        <w:fldChar w:fldCharType="begin"/>
      </w:r>
      <w:r>
        <w:instrText xml:space="preserve"> PAGEREF _Toc135109275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of providers of taxi dispatch services</w:t>
      </w:r>
    </w:p>
    <w:p>
      <w:pPr>
        <w:pStyle w:val="TOC8"/>
        <w:rPr>
          <w:sz w:val="24"/>
          <w:szCs w:val="24"/>
        </w:rPr>
      </w:pPr>
      <w:r>
        <w:rPr>
          <w:szCs w:val="24"/>
        </w:rPr>
        <w:t>26</w:t>
      </w:r>
      <w:r>
        <w:rPr>
          <w:snapToGrid w:val="0"/>
          <w:szCs w:val="24"/>
        </w:rPr>
        <w:t>.</w:t>
      </w:r>
      <w:r>
        <w:rPr>
          <w:snapToGrid w:val="0"/>
          <w:szCs w:val="24"/>
        </w:rPr>
        <w:tab/>
        <w:t>Taxi dispatch service</w:t>
      </w:r>
      <w:r>
        <w:tab/>
      </w:r>
      <w:r>
        <w:fldChar w:fldCharType="begin"/>
      </w:r>
      <w:r>
        <w:instrText xml:space="preserve"> PAGEREF _Toc135109277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Application for registration</w:t>
      </w:r>
      <w:r>
        <w:tab/>
      </w:r>
      <w:r>
        <w:fldChar w:fldCharType="begin"/>
      </w:r>
      <w:r>
        <w:instrText xml:space="preserve"> PAGEREF _Toc135109278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_Toc135109279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Conditions</w:t>
      </w:r>
      <w:r>
        <w:tab/>
      </w:r>
      <w:r>
        <w:fldChar w:fldCharType="begin"/>
      </w:r>
      <w:r>
        <w:instrText xml:space="preserve"> PAGEREF _Toc135109280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Cancellation of registration</w:t>
      </w:r>
      <w:r>
        <w:tab/>
      </w:r>
      <w:r>
        <w:fldChar w:fldCharType="begin"/>
      </w:r>
      <w:r>
        <w:instrText xml:space="preserve"> PAGEREF _Toc135109281 \h </w:instrText>
      </w:r>
      <w:r>
        <w:fldChar w:fldCharType="separate"/>
      </w:r>
      <w:r>
        <w:t>24</w:t>
      </w:r>
      <w:r>
        <w:fldChar w:fldCharType="end"/>
      </w:r>
    </w:p>
    <w:p>
      <w:pPr>
        <w:pStyle w:val="TOC4"/>
        <w:tabs>
          <w:tab w:val="right" w:leader="dot" w:pos="7086"/>
        </w:tabs>
        <w:rPr>
          <w:b w:val="0"/>
          <w:sz w:val="24"/>
          <w:szCs w:val="24"/>
        </w:rPr>
      </w:pPr>
      <w:r>
        <w:rPr>
          <w:szCs w:val="26"/>
        </w:rPr>
        <w:t>Division 3</w:t>
      </w:r>
      <w:r>
        <w:rPr>
          <w:sz w:val="24"/>
          <w:szCs w:val="26"/>
        </w:rPr>
        <w:t> — </w:t>
      </w:r>
      <w:r>
        <w:rPr>
          <w:szCs w:val="26"/>
        </w:rPr>
        <w:t>Multi</w:t>
      </w:r>
      <w:r>
        <w:rPr>
          <w:szCs w:val="26"/>
        </w:rPr>
        <w:noBreakHyphen/>
        <w:t>purpose taxi plates buy</w:t>
      </w:r>
      <w:r>
        <w:rPr>
          <w:szCs w:val="26"/>
        </w:rPr>
        <w:noBreakHyphen/>
        <w:t>back</w:t>
      </w:r>
    </w:p>
    <w:p>
      <w:pPr>
        <w:pStyle w:val="TOC8"/>
        <w:rPr>
          <w:sz w:val="24"/>
          <w:szCs w:val="24"/>
        </w:rPr>
      </w:pPr>
      <w:r>
        <w:rPr>
          <w:szCs w:val="24"/>
        </w:rPr>
        <w:t>30A.</w:t>
      </w:r>
      <w:r>
        <w:rPr>
          <w:szCs w:val="24"/>
        </w:rPr>
        <w:tab/>
        <w:t>Interpretation and application</w:t>
      </w:r>
      <w:r>
        <w:tab/>
      </w:r>
      <w:r>
        <w:fldChar w:fldCharType="begin"/>
      </w:r>
      <w:r>
        <w:instrText xml:space="preserve"> PAGEREF _Toc135109283 \h </w:instrText>
      </w:r>
      <w:r>
        <w:fldChar w:fldCharType="separate"/>
      </w:r>
      <w:r>
        <w:t>25</w:t>
      </w:r>
      <w:r>
        <w:fldChar w:fldCharType="end"/>
      </w:r>
    </w:p>
    <w:p>
      <w:pPr>
        <w:pStyle w:val="TOC8"/>
        <w:rPr>
          <w:sz w:val="24"/>
          <w:szCs w:val="24"/>
        </w:rPr>
      </w:pPr>
      <w:r>
        <w:rPr>
          <w:szCs w:val="24"/>
        </w:rPr>
        <w:t>30B.</w:t>
      </w:r>
      <w:r>
        <w:rPr>
          <w:szCs w:val="24"/>
        </w:rPr>
        <w:tab/>
        <w:t>Buy</w:t>
      </w:r>
      <w:r>
        <w:rPr>
          <w:szCs w:val="24"/>
        </w:rPr>
        <w:noBreakHyphen/>
        <w:t>back agreements</w:t>
      </w:r>
      <w:r>
        <w:tab/>
      </w:r>
      <w:r>
        <w:fldChar w:fldCharType="begin"/>
      </w:r>
      <w:r>
        <w:instrText xml:space="preserve"> PAGEREF _Toc135109284 \h </w:instrText>
      </w:r>
      <w:r>
        <w:fldChar w:fldCharType="separate"/>
      </w:r>
      <w:r>
        <w:t>26</w:t>
      </w:r>
      <w:r>
        <w:fldChar w:fldCharType="end"/>
      </w:r>
    </w:p>
    <w:p>
      <w:pPr>
        <w:pStyle w:val="TOC8"/>
        <w:rPr>
          <w:sz w:val="24"/>
          <w:szCs w:val="24"/>
        </w:rPr>
      </w:pPr>
      <w:r>
        <w:rPr>
          <w:szCs w:val="24"/>
        </w:rPr>
        <w:t>30C.</w:t>
      </w:r>
      <w:r>
        <w:rPr>
          <w:szCs w:val="24"/>
        </w:rPr>
        <w:tab/>
        <w:t>Operation of sections 30D to 30G to be subject to conditions</w:t>
      </w:r>
      <w:r>
        <w:tab/>
      </w:r>
      <w:r>
        <w:fldChar w:fldCharType="begin"/>
      </w:r>
      <w:r>
        <w:instrText xml:space="preserve"> PAGEREF _Toc135109285 \h </w:instrText>
      </w:r>
      <w:r>
        <w:fldChar w:fldCharType="separate"/>
      </w:r>
      <w:r>
        <w:t>26</w:t>
      </w:r>
      <w:r>
        <w:fldChar w:fldCharType="end"/>
      </w:r>
    </w:p>
    <w:p>
      <w:pPr>
        <w:pStyle w:val="TOC8"/>
        <w:rPr>
          <w:sz w:val="24"/>
          <w:szCs w:val="24"/>
        </w:rPr>
      </w:pPr>
      <w:r>
        <w:rPr>
          <w:szCs w:val="24"/>
        </w:rPr>
        <w:t>30D.</w:t>
      </w:r>
      <w:r>
        <w:rPr>
          <w:szCs w:val="24"/>
        </w:rPr>
        <w:tab/>
        <w:t>Certain MPT owner</w:t>
      </w:r>
      <w:r>
        <w:rPr>
          <w:szCs w:val="24"/>
        </w:rPr>
        <w:noBreakHyphen/>
        <w:t>drivers and eligible operators to be offered leases of taxi plates for multi</w:t>
      </w:r>
      <w:r>
        <w:rPr>
          <w:szCs w:val="24"/>
        </w:rPr>
        <w:noBreakHyphen/>
        <w:t>purpose taxis</w:t>
      </w:r>
      <w:r>
        <w:tab/>
      </w:r>
      <w:r>
        <w:fldChar w:fldCharType="begin"/>
      </w:r>
      <w:r>
        <w:instrText xml:space="preserve"> PAGEREF _Toc135109286 \h </w:instrText>
      </w:r>
      <w:r>
        <w:fldChar w:fldCharType="separate"/>
      </w:r>
      <w:r>
        <w:t>27</w:t>
      </w:r>
      <w:r>
        <w:fldChar w:fldCharType="end"/>
      </w:r>
    </w:p>
    <w:p>
      <w:pPr>
        <w:pStyle w:val="TOC8"/>
        <w:rPr>
          <w:sz w:val="24"/>
          <w:szCs w:val="24"/>
        </w:rPr>
      </w:pPr>
      <w:r>
        <w:rPr>
          <w:szCs w:val="24"/>
        </w:rPr>
        <w:t>30E.</w:t>
      </w:r>
      <w:r>
        <w:rPr>
          <w:szCs w:val="24"/>
        </w:rPr>
        <w:tab/>
        <w:t>Leases by eligible operators of taxi plates for multi</w:t>
      </w:r>
      <w:r>
        <w:rPr>
          <w:szCs w:val="24"/>
        </w:rPr>
        <w:noBreakHyphen/>
        <w:t>purpose taxis</w:t>
      </w:r>
      <w:r>
        <w:tab/>
      </w:r>
      <w:r>
        <w:fldChar w:fldCharType="begin"/>
      </w:r>
      <w:r>
        <w:instrText xml:space="preserve"> PAGEREF _Toc135109287 \h </w:instrText>
      </w:r>
      <w:r>
        <w:fldChar w:fldCharType="separate"/>
      </w:r>
      <w:r>
        <w:t>29</w:t>
      </w:r>
      <w:r>
        <w:fldChar w:fldCharType="end"/>
      </w:r>
    </w:p>
    <w:p>
      <w:pPr>
        <w:pStyle w:val="TOC8"/>
        <w:rPr>
          <w:sz w:val="24"/>
          <w:szCs w:val="24"/>
        </w:rPr>
      </w:pPr>
      <w:r>
        <w:rPr>
          <w:szCs w:val="24"/>
        </w:rPr>
        <w:t>30F.</w:t>
      </w:r>
      <w:r>
        <w:rPr>
          <w:szCs w:val="24"/>
        </w:rPr>
        <w:tab/>
        <w:t>Leases by certain MPT owner</w:t>
      </w:r>
      <w:r>
        <w:rPr>
          <w:szCs w:val="24"/>
        </w:rPr>
        <w:noBreakHyphen/>
        <w:t>drivers and others of taxi plates for multi</w:t>
      </w:r>
      <w:r>
        <w:rPr>
          <w:szCs w:val="24"/>
        </w:rPr>
        <w:noBreakHyphen/>
        <w:t>purpose taxis</w:t>
      </w:r>
      <w:r>
        <w:tab/>
      </w:r>
      <w:r>
        <w:fldChar w:fldCharType="begin"/>
      </w:r>
      <w:r>
        <w:instrText xml:space="preserve"> PAGEREF _Toc135109288 \h </w:instrText>
      </w:r>
      <w:r>
        <w:fldChar w:fldCharType="separate"/>
      </w:r>
      <w:r>
        <w:t>29</w:t>
      </w:r>
      <w:r>
        <w:fldChar w:fldCharType="end"/>
      </w:r>
    </w:p>
    <w:p>
      <w:pPr>
        <w:pStyle w:val="TOC8"/>
        <w:rPr>
          <w:sz w:val="24"/>
          <w:szCs w:val="24"/>
        </w:rPr>
      </w:pPr>
      <w:r>
        <w:rPr>
          <w:szCs w:val="24"/>
        </w:rPr>
        <w:t>30G.</w:t>
      </w:r>
      <w:r>
        <w:rPr>
          <w:szCs w:val="24"/>
        </w:rPr>
        <w:tab/>
        <w:t>Payment of compensation to certain parties to buy</w:t>
      </w:r>
      <w:r>
        <w:rPr>
          <w:szCs w:val="24"/>
        </w:rPr>
        <w:noBreakHyphen/>
        <w:t>back agreements</w:t>
      </w:r>
      <w:r>
        <w:tab/>
      </w:r>
      <w:r>
        <w:fldChar w:fldCharType="begin"/>
      </w:r>
      <w:r>
        <w:instrText xml:space="preserve"> PAGEREF _Toc135109289 \h </w:instrText>
      </w:r>
      <w:r>
        <w:fldChar w:fldCharType="separate"/>
      </w:r>
      <w:r>
        <w:t>30</w:t>
      </w:r>
      <w:r>
        <w:fldChar w:fldCharType="end"/>
      </w:r>
    </w:p>
    <w:p>
      <w:pPr>
        <w:pStyle w:val="TOC8"/>
        <w:rPr>
          <w:sz w:val="24"/>
          <w:szCs w:val="24"/>
        </w:rPr>
      </w:pPr>
      <w:r>
        <w:rPr>
          <w:szCs w:val="24"/>
        </w:rPr>
        <w:t>30H.</w:t>
      </w:r>
      <w:r>
        <w:rPr>
          <w:szCs w:val="24"/>
        </w:rPr>
        <w:tab/>
        <w:t>Consolidated Fund charged with payment for plates</w:t>
      </w:r>
      <w:r>
        <w:tab/>
      </w:r>
      <w:r>
        <w:fldChar w:fldCharType="begin"/>
      </w:r>
      <w:r>
        <w:instrText xml:space="preserve"> PAGEREF _Toc135109290 \h </w:instrText>
      </w:r>
      <w:r>
        <w:fldChar w:fldCharType="separate"/>
      </w:r>
      <w:r>
        <w:t>32</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31</w:t>
      </w:r>
      <w:r>
        <w:rPr>
          <w:snapToGrid w:val="0"/>
          <w:szCs w:val="24"/>
        </w:rPr>
        <w:t>.</w:t>
      </w:r>
      <w:r>
        <w:rPr>
          <w:snapToGrid w:val="0"/>
          <w:szCs w:val="24"/>
        </w:rPr>
        <w:tab/>
        <w:t>Authorised officers</w:t>
      </w:r>
      <w:r>
        <w:tab/>
      </w:r>
      <w:r>
        <w:fldChar w:fldCharType="begin"/>
      </w:r>
      <w:r>
        <w:instrText xml:space="preserve"> PAGEREF _Toc135109292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Powers of authorised officers</w:t>
      </w:r>
      <w:r>
        <w:tab/>
      </w:r>
      <w:r>
        <w:fldChar w:fldCharType="begin"/>
      </w:r>
      <w:r>
        <w:instrText xml:space="preserve"> PAGEREF _Toc135109293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Averments</w:t>
      </w:r>
      <w:r>
        <w:tab/>
      </w:r>
      <w:r>
        <w:fldChar w:fldCharType="begin"/>
      </w:r>
      <w:r>
        <w:instrText xml:space="preserve"> PAGEREF _Toc135109294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Bonds held by operators</w:t>
      </w:r>
      <w:r>
        <w:tab/>
      </w:r>
      <w:r>
        <w:fldChar w:fldCharType="begin"/>
      </w:r>
      <w:r>
        <w:instrText xml:space="preserve"> PAGEREF _Toc135109295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Appeals against certain decisions</w:t>
      </w:r>
      <w:r>
        <w:tab/>
      </w:r>
      <w:r>
        <w:fldChar w:fldCharType="begin"/>
      </w:r>
      <w:r>
        <w:instrText xml:space="preserve"> PAGEREF _Toc135109296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Infringement notices</w:t>
      </w:r>
      <w:r>
        <w:tab/>
      </w:r>
      <w:r>
        <w:fldChar w:fldCharType="begin"/>
      </w:r>
      <w:r>
        <w:instrText xml:space="preserve"> PAGEREF _Toc135109297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_Toc135109298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r>
      <w:r>
        <w:rPr>
          <w:szCs w:val="24"/>
        </w:rPr>
        <w:t>Taxi Industry Development Account</w:t>
      </w:r>
      <w:r>
        <w:tab/>
      </w:r>
      <w:r>
        <w:fldChar w:fldCharType="begin"/>
      </w:r>
      <w:r>
        <w:instrText xml:space="preserve"> PAGEREF _Toc135109299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Surrender of certain taxi plates</w:t>
      </w:r>
      <w:r>
        <w:tab/>
      </w:r>
      <w:r>
        <w:fldChar w:fldCharType="begin"/>
      </w:r>
      <w:r>
        <w:instrText xml:space="preserve"> PAGEREF _Toc135109300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Review of Act</w:t>
      </w:r>
      <w:r>
        <w:tab/>
      </w:r>
      <w:r>
        <w:fldChar w:fldCharType="begin"/>
      </w:r>
      <w:r>
        <w:instrText xml:space="preserve"> PAGEREF _Toc135109301 \h </w:instrText>
      </w:r>
      <w:r>
        <w:fldChar w:fldCharType="separate"/>
      </w:r>
      <w:r>
        <w:t>43</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46</w:t>
      </w:r>
      <w:r>
        <w:rPr>
          <w:snapToGrid w:val="0"/>
          <w:szCs w:val="24"/>
        </w:rPr>
        <w:t>.</w:t>
      </w:r>
      <w:r>
        <w:rPr>
          <w:snapToGrid w:val="0"/>
          <w:szCs w:val="24"/>
        </w:rPr>
        <w:tab/>
        <w:t>Repeal</w:t>
      </w:r>
      <w:r>
        <w:tab/>
      </w:r>
      <w:r>
        <w:fldChar w:fldCharType="begin"/>
      </w:r>
      <w:r>
        <w:instrText xml:space="preserve"> PAGEREF _Toc135109303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Transitional</w:t>
      </w:r>
      <w:r>
        <w:tab/>
      </w:r>
      <w:r>
        <w:fldChar w:fldCharType="begin"/>
      </w:r>
      <w:r>
        <w:instrText xml:space="preserve"> PAGEREF _Toc135109304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_Toc135109306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_Toc135109307 \h </w:instrText>
      </w:r>
      <w:r>
        <w:fldChar w:fldCharType="separate"/>
      </w:r>
      <w:r>
        <w:t>48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03945998"/>
      <w:bookmarkStart w:id="12" w:name="_Toc12345114"/>
      <w:bookmarkStart w:id="13" w:name="_Toc131835849"/>
      <w:bookmarkStart w:id="14" w:name="_Toc135109246"/>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15" w:name="_Toc403945999"/>
      <w:bookmarkStart w:id="16" w:name="_Toc12345115"/>
      <w:bookmarkStart w:id="17" w:name="_Toc131835850"/>
      <w:bookmarkStart w:id="18" w:name="_Toc135109247"/>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9" w:name="_Toc403946000"/>
      <w:bookmarkStart w:id="20" w:name="_Toc12345116"/>
      <w:bookmarkStart w:id="21" w:name="_Toc131835851"/>
      <w:bookmarkStart w:id="22" w:name="_Toc135109248"/>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r>
        <w:rPr>
          <w:i/>
        </w:rPr>
        <w:t>;</w:t>
      </w:r>
      <w:r>
        <w:t xml:space="preserve">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xml:space="preserve">, in relation to taxi plates, means to acquire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tab/>
      </w:r>
      <w:r>
        <w:rPr>
          <w:b/>
        </w:rPr>
        <w:t>“</w:t>
      </w:r>
      <w:r>
        <w:rPr>
          <w:rStyle w:val="CharDefText"/>
        </w:rPr>
        <w:t>lessee</w:t>
      </w:r>
      <w:r>
        <w:rPr>
          <w:b/>
        </w:rPr>
        <w:t>”</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t>“</w:t>
      </w:r>
      <w:r>
        <w:rPr>
          <w:rStyle w:val="CharDefText"/>
        </w:rPr>
        <w:t>operate</w:t>
      </w:r>
      <w:r>
        <w:rPr>
          <w:b/>
        </w:rPr>
        <w:t>”</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plate owner’s lease</w:t>
      </w:r>
      <w:r>
        <w:rPr>
          <w:b/>
        </w:rPr>
        <w:t>”</w:t>
      </w:r>
      <w:r>
        <w:t xml:space="preserve"> means the right acquired from the owner of taxi plates to use the plates for a specified period of time;</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“corporation”</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w:t>
      </w:r>
    </w:p>
    <w:p>
      <w:pPr>
        <w:pStyle w:val="Heading5"/>
        <w:rPr>
          <w:snapToGrid w:val="0"/>
        </w:rPr>
      </w:pPr>
      <w:bookmarkStart w:id="23" w:name="_Toc403946001"/>
      <w:bookmarkStart w:id="24" w:name="_Toc12345117"/>
      <w:bookmarkStart w:id="25" w:name="_Toc131835852"/>
      <w:bookmarkStart w:id="26" w:name="_Toc135109249"/>
      <w:r>
        <w:rPr>
          <w:rStyle w:val="CharSectno"/>
        </w:rPr>
        <w:t>4</w:t>
      </w:r>
      <w:r>
        <w:rPr>
          <w:snapToGrid w:val="0"/>
        </w:rPr>
        <w:t>.</w:t>
      </w:r>
      <w:r>
        <w:rPr>
          <w:snapToGrid w:val="0"/>
        </w:rPr>
        <w:tab/>
        <w:t>Operations within control area</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27" w:name="_Toc89758972"/>
      <w:bookmarkStart w:id="28" w:name="_Toc91321515"/>
      <w:bookmarkStart w:id="29" w:name="_Toc92772387"/>
      <w:bookmarkStart w:id="30" w:name="_Toc96919145"/>
      <w:bookmarkStart w:id="31" w:name="_Toc103072729"/>
      <w:bookmarkStart w:id="32" w:name="_Toc107910892"/>
      <w:bookmarkStart w:id="33" w:name="_Toc123640046"/>
      <w:bookmarkStart w:id="34" w:name="_Toc131835853"/>
      <w:bookmarkStart w:id="35" w:name="_Toc135106942"/>
      <w:bookmarkStart w:id="36" w:name="_Toc135109250"/>
      <w:r>
        <w:rPr>
          <w:rStyle w:val="CharPartNo"/>
        </w:rPr>
        <w:t>Part 2</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03946002"/>
      <w:bookmarkStart w:id="38" w:name="_Toc12345118"/>
      <w:bookmarkStart w:id="39" w:name="_Toc131835854"/>
      <w:bookmarkStart w:id="40" w:name="_Toc135109251"/>
      <w:r>
        <w:rPr>
          <w:rStyle w:val="CharSectno"/>
        </w:rPr>
        <w:t>5</w:t>
      </w:r>
      <w:r>
        <w:rPr>
          <w:snapToGrid w:val="0"/>
        </w:rPr>
        <w:t>.</w:t>
      </w:r>
      <w:r>
        <w:rPr>
          <w:snapToGrid w:val="0"/>
        </w:rPr>
        <w:tab/>
        <w:t>Directions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 section 66 of the </w:t>
      </w:r>
      <w:r>
        <w:rPr>
          <w:i/>
          <w:snapToGrid w:val="0"/>
        </w:rPr>
        <w:t>Financial Administration and Audit Act 1985.</w:t>
      </w:r>
      <w:r>
        <w:rPr>
          <w:snapToGrid w:val="0"/>
        </w:rPr>
        <w:t xml:space="preserve"> </w:t>
      </w:r>
    </w:p>
    <w:p>
      <w:pPr>
        <w:pStyle w:val="Footnotesection"/>
      </w:pPr>
      <w:r>
        <w:tab/>
        <w:t>[Section 5 amended by No. 7 of 2002 s. 31; No. 5 of 2005 s. 44.]</w:t>
      </w:r>
    </w:p>
    <w:p>
      <w:pPr>
        <w:pStyle w:val="Heading5"/>
        <w:rPr>
          <w:snapToGrid w:val="0"/>
        </w:rPr>
      </w:pPr>
      <w:bookmarkStart w:id="41" w:name="_Toc403946003"/>
      <w:bookmarkStart w:id="42" w:name="_Toc12345119"/>
      <w:bookmarkStart w:id="43" w:name="_Toc131835855"/>
      <w:bookmarkStart w:id="44" w:name="_Toc135109252"/>
      <w:r>
        <w:rPr>
          <w:rStyle w:val="CharSectno"/>
        </w:rPr>
        <w:t>6</w:t>
      </w:r>
      <w:r>
        <w:rPr>
          <w:snapToGrid w:val="0"/>
        </w:rPr>
        <w:t>.</w:t>
      </w:r>
      <w:r>
        <w:rPr>
          <w:snapToGrid w:val="0"/>
        </w:rPr>
        <w:tab/>
        <w:t>Delegatory power of Minister and Director General</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45" w:name="_Toc403946004"/>
      <w:bookmarkStart w:id="46" w:name="_Toc12345120"/>
      <w:bookmarkStart w:id="47" w:name="_Toc131835856"/>
      <w:bookmarkStart w:id="48" w:name="_Toc135109253"/>
      <w:r>
        <w:rPr>
          <w:rStyle w:val="CharSectno"/>
        </w:rPr>
        <w:t>7</w:t>
      </w:r>
      <w:r>
        <w:rPr>
          <w:snapToGrid w:val="0"/>
        </w:rPr>
        <w:t>.</w:t>
      </w:r>
      <w:r>
        <w:rPr>
          <w:snapToGrid w:val="0"/>
        </w:rPr>
        <w:tab/>
        <w:t>Director General to advise Minister</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49" w:name="_Toc403946005"/>
      <w:bookmarkStart w:id="50" w:name="_Toc12345121"/>
      <w:bookmarkStart w:id="51" w:name="_Toc131835857"/>
      <w:bookmarkStart w:id="52" w:name="_Toc135109254"/>
      <w:r>
        <w:rPr>
          <w:rStyle w:val="CharSectno"/>
        </w:rPr>
        <w:t>8</w:t>
      </w:r>
      <w:r>
        <w:rPr>
          <w:snapToGrid w:val="0"/>
        </w:rPr>
        <w:t>.</w:t>
      </w:r>
      <w:r>
        <w:rPr>
          <w:snapToGrid w:val="0"/>
        </w:rPr>
        <w:tab/>
        <w:t>Taxi Industry Board</w:t>
      </w:r>
      <w:bookmarkEnd w:id="49"/>
      <w:bookmarkEnd w:id="50"/>
      <w:bookmarkEnd w:id="51"/>
      <w:bookmarkEnd w:id="52"/>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53" w:name="_Toc403946006"/>
      <w:bookmarkStart w:id="54" w:name="_Toc12345122"/>
      <w:bookmarkStart w:id="55" w:name="_Toc131835858"/>
      <w:bookmarkStart w:id="56" w:name="_Toc135109255"/>
      <w:r>
        <w:rPr>
          <w:rStyle w:val="CharSectno"/>
        </w:rPr>
        <w:t>9</w:t>
      </w:r>
      <w:r>
        <w:rPr>
          <w:snapToGrid w:val="0"/>
        </w:rPr>
        <w:t>.</w:t>
      </w:r>
      <w:r>
        <w:rPr>
          <w:snapToGrid w:val="0"/>
        </w:rPr>
        <w:tab/>
        <w:t>Tenure of office</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57" w:name="_Toc403946007"/>
      <w:bookmarkStart w:id="58" w:name="_Toc12345123"/>
      <w:bookmarkStart w:id="59" w:name="_Toc131835859"/>
      <w:bookmarkStart w:id="60" w:name="_Toc135109256"/>
      <w:r>
        <w:rPr>
          <w:rStyle w:val="CharSectno"/>
        </w:rPr>
        <w:t>10</w:t>
      </w:r>
      <w:r>
        <w:rPr>
          <w:snapToGrid w:val="0"/>
        </w:rPr>
        <w:t>.</w:t>
      </w:r>
      <w:r>
        <w:rPr>
          <w:snapToGrid w:val="0"/>
        </w:rPr>
        <w:tab/>
        <w:t>Chairperson</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61" w:name="_Toc403946008"/>
      <w:bookmarkStart w:id="62" w:name="_Toc12345124"/>
      <w:bookmarkStart w:id="63" w:name="_Toc131835860"/>
      <w:bookmarkStart w:id="64" w:name="_Toc135109257"/>
      <w:r>
        <w:rPr>
          <w:rStyle w:val="CharSectno"/>
        </w:rPr>
        <w:t>11</w:t>
      </w:r>
      <w:r>
        <w:rPr>
          <w:snapToGrid w:val="0"/>
        </w:rPr>
        <w:t>.</w:t>
      </w:r>
      <w:r>
        <w:rPr>
          <w:snapToGrid w:val="0"/>
        </w:rPr>
        <w:tab/>
        <w:t>Meetings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65" w:name="_Toc403946009"/>
      <w:bookmarkStart w:id="66" w:name="_Toc12345125"/>
      <w:bookmarkStart w:id="67" w:name="_Toc131835861"/>
      <w:bookmarkStart w:id="68" w:name="_Toc135109258"/>
      <w:r>
        <w:rPr>
          <w:rStyle w:val="CharSectno"/>
        </w:rPr>
        <w:t>12</w:t>
      </w:r>
      <w:r>
        <w:rPr>
          <w:snapToGrid w:val="0"/>
        </w:rPr>
        <w:t>.</w:t>
      </w:r>
      <w:r>
        <w:rPr>
          <w:snapToGrid w:val="0"/>
        </w:rPr>
        <w:tab/>
        <w:t>Remuneration and allowances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69" w:name="_Toc403946010"/>
      <w:bookmarkStart w:id="70" w:name="_Toc12345126"/>
      <w:bookmarkStart w:id="71" w:name="_Toc131835862"/>
      <w:bookmarkStart w:id="72" w:name="_Toc135109259"/>
      <w:r>
        <w:rPr>
          <w:rStyle w:val="CharSectno"/>
        </w:rPr>
        <w:t>13</w:t>
      </w:r>
      <w:r>
        <w:rPr>
          <w:snapToGrid w:val="0"/>
        </w:rPr>
        <w:t>.</w:t>
      </w:r>
      <w:r>
        <w:rPr>
          <w:snapToGrid w:val="0"/>
        </w:rPr>
        <w:tab/>
        <w:t>Funding of Board</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73" w:name="_Toc403946011"/>
      <w:bookmarkStart w:id="74" w:name="_Toc12345127"/>
      <w:bookmarkStart w:id="75" w:name="_Toc131835863"/>
      <w:bookmarkStart w:id="76" w:name="_Toc135109260"/>
      <w:r>
        <w:rPr>
          <w:rStyle w:val="CharSectno"/>
        </w:rPr>
        <w:t>14</w:t>
      </w:r>
      <w:r>
        <w:rPr>
          <w:snapToGrid w:val="0"/>
        </w:rPr>
        <w:t>.</w:t>
      </w:r>
      <w:r>
        <w:rPr>
          <w:snapToGrid w:val="0"/>
        </w:rPr>
        <w:tab/>
        <w:t>Functions of Board</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77" w:name="_Toc89758983"/>
      <w:bookmarkStart w:id="78" w:name="_Toc91321526"/>
      <w:bookmarkStart w:id="79" w:name="_Toc92772398"/>
      <w:bookmarkStart w:id="80" w:name="_Toc96919156"/>
      <w:bookmarkStart w:id="81" w:name="_Toc103072740"/>
      <w:bookmarkStart w:id="82" w:name="_Toc107910903"/>
      <w:bookmarkStart w:id="83" w:name="_Toc123640057"/>
      <w:bookmarkStart w:id="84" w:name="_Toc131835864"/>
      <w:bookmarkStart w:id="85" w:name="_Toc135106953"/>
      <w:bookmarkStart w:id="86" w:name="_Toc135109261"/>
      <w:r>
        <w:rPr>
          <w:rStyle w:val="CharPartNo"/>
        </w:rPr>
        <w:t>Part 3</w:t>
      </w:r>
      <w:r>
        <w:t> — </w:t>
      </w:r>
      <w:r>
        <w:rPr>
          <w:rStyle w:val="CharPartText"/>
        </w:rPr>
        <w:t>Operation of taxis</w:t>
      </w:r>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3"/>
        <w:rPr>
          <w:snapToGrid w:val="0"/>
        </w:rPr>
      </w:pPr>
      <w:bookmarkStart w:id="87" w:name="_Toc89758984"/>
      <w:bookmarkStart w:id="88" w:name="_Toc91321527"/>
      <w:bookmarkStart w:id="89" w:name="_Toc92772399"/>
      <w:bookmarkStart w:id="90" w:name="_Toc96919157"/>
      <w:bookmarkStart w:id="91" w:name="_Toc103072741"/>
      <w:bookmarkStart w:id="92" w:name="_Toc107910904"/>
      <w:bookmarkStart w:id="93" w:name="_Toc123640058"/>
      <w:bookmarkStart w:id="94" w:name="_Toc131835865"/>
      <w:bookmarkStart w:id="95" w:name="_Toc135106954"/>
      <w:bookmarkStart w:id="96" w:name="_Toc135109262"/>
      <w:r>
        <w:rPr>
          <w:rStyle w:val="CharDivNo"/>
        </w:rPr>
        <w:t>Division 1</w:t>
      </w:r>
      <w:r>
        <w:rPr>
          <w:snapToGrid w:val="0"/>
        </w:rPr>
        <w:t> — </w:t>
      </w:r>
      <w:r>
        <w:rPr>
          <w:rStyle w:val="CharDivText"/>
        </w:rPr>
        <w:t>Taxi plates</w:t>
      </w:r>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403946012"/>
      <w:bookmarkStart w:id="98" w:name="_Toc12345128"/>
      <w:bookmarkStart w:id="99" w:name="_Toc131835866"/>
      <w:bookmarkStart w:id="100" w:name="_Toc135109263"/>
      <w:r>
        <w:rPr>
          <w:rStyle w:val="CharSectno"/>
        </w:rPr>
        <w:t>15</w:t>
      </w:r>
      <w:r>
        <w:rPr>
          <w:snapToGrid w:val="0"/>
        </w:rPr>
        <w:t>.</w:t>
      </w:r>
      <w:r>
        <w:rPr>
          <w:snapToGrid w:val="0"/>
        </w:rPr>
        <w:tab/>
        <w:t>Taxi plates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rPr>
          <w:snapToGrid w:val="0"/>
        </w:rPr>
      </w:pPr>
      <w:bookmarkStart w:id="101" w:name="_Toc403946013"/>
      <w:bookmarkStart w:id="102" w:name="_Toc12345129"/>
      <w:bookmarkStart w:id="103" w:name="_Toc131835867"/>
      <w:bookmarkStart w:id="104" w:name="_Toc135109264"/>
      <w:r>
        <w:rPr>
          <w:rStyle w:val="CharSectno"/>
        </w:rPr>
        <w:t>16</w:t>
      </w:r>
      <w:r>
        <w:rPr>
          <w:snapToGrid w:val="0"/>
        </w:rPr>
        <w:t>.</w:t>
      </w:r>
      <w:r>
        <w:rPr>
          <w:snapToGrid w:val="0"/>
        </w:rPr>
        <w:tab/>
        <w:t>Taxi plates offered for sale by public tender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05" w:name="_Toc403946014"/>
      <w:bookmarkStart w:id="106"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Taxi plates may be offered for lease under subsection (2) only if the issue of those plates under section 18 would not result in the total number of leased taxi plates issued under that section exceeding the relevant percentage of the total number of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pPr>
      <w:r>
        <w:tab/>
        <w:t>(i)</w:t>
      </w:r>
      <w:r>
        <w:tab/>
        <w:t>is the owner, or has an interest in the ownership, of taxi plates; or</w:t>
      </w:r>
    </w:p>
    <w:p>
      <w:pPr>
        <w:pStyle w:val="Indenti"/>
      </w:pPr>
      <w:r>
        <w:tab/>
        <w:t>(ii)</w:t>
      </w:r>
      <w:r>
        <w:tab/>
        <w:t>is the lessee of taxi plates.</w:t>
      </w:r>
    </w:p>
    <w:p>
      <w:pPr>
        <w:pStyle w:val="Subsection"/>
      </w:pPr>
      <w:r>
        <w:tab/>
        <w:t>(6)</w:t>
      </w:r>
      <w:r>
        <w:tab/>
        <w:t xml:space="preserve">Without limiting subsection (2)(a), taxi plates may be leased by a corporation only if the Director General is satisfied that — </w:t>
      </w:r>
    </w:p>
    <w:p>
      <w:pPr>
        <w:pStyle w:val="Indenta"/>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shareholder of the corporation is an individual;</w:t>
      </w:r>
    </w:p>
    <w:p>
      <w:pPr>
        <w:pStyle w:val="Indenta"/>
      </w:pPr>
      <w:r>
        <w:tab/>
        <w:t>(c)</w:t>
      </w:r>
      <w:r>
        <w:tab/>
        <w:t>each director or other person concerned in the management of the corporation, and each shareholder of the corporation, is related to the owner</w:t>
      </w:r>
      <w:r>
        <w:noBreakHyphen/>
        <w:t>driver;</w:t>
      </w:r>
    </w:p>
    <w:p>
      <w:pPr>
        <w:pStyle w:val="Indenta"/>
      </w:pPr>
      <w:r>
        <w:tab/>
        <w:t>(d)</w:t>
      </w:r>
      <w:r>
        <w:tab/>
        <w:t xml:space="preserve">the corporation — </w:t>
      </w:r>
    </w:p>
    <w:p>
      <w:pPr>
        <w:pStyle w:val="Indenti"/>
      </w:pPr>
      <w:r>
        <w:tab/>
        <w:t>(i)</w:t>
      </w:r>
      <w:r>
        <w:tab/>
        <w:t>is not the owner, and has no interest in the ownership, of taxi plates; and</w:t>
      </w:r>
    </w:p>
    <w:p>
      <w:pPr>
        <w:pStyle w:val="Indenti"/>
      </w:pPr>
      <w:r>
        <w:tab/>
        <w:t>(ii)</w:t>
      </w:r>
      <w:r>
        <w:tab/>
        <w:t>is not the lessee of taxi plates;</w:t>
      </w:r>
    </w:p>
    <w:p>
      <w:pPr>
        <w:pStyle w:val="Indenta"/>
      </w:pPr>
      <w:r>
        <w:tab/>
      </w:r>
      <w:r>
        <w:tab/>
        <w:t>and</w:t>
      </w:r>
    </w:p>
    <w:p>
      <w:pPr>
        <w:pStyle w:val="Indenta"/>
      </w:pPr>
      <w:r>
        <w:tab/>
        <w:t>(e)</w:t>
      </w:r>
      <w:r>
        <w:tab/>
        <w:t xml:space="preserve">no director or other person concerned in the management of the corporation, or shareholder of the corporation — </w:t>
      </w:r>
    </w:p>
    <w:p>
      <w:pPr>
        <w:pStyle w:val="Indenti"/>
      </w:pPr>
      <w:r>
        <w:tab/>
        <w:t>(i)</w:t>
      </w:r>
      <w:r>
        <w:tab/>
        <w:t>is the owner, or has an interest in the ownership, of taxi plates; or</w:t>
      </w:r>
    </w:p>
    <w:p>
      <w:pPr>
        <w:pStyle w:val="Indenti"/>
      </w:pPr>
      <w:r>
        <w:tab/>
        <w:t>(ii)</w:t>
      </w:r>
      <w:r>
        <w:tab/>
        <w:t>is the lessee of taxi plates.</w:t>
      </w:r>
    </w:p>
    <w:p>
      <w:pPr>
        <w:pStyle w:val="Ednotesubsection"/>
      </w:pPr>
      <w:r>
        <w:tab/>
        <w:t>[(7)</w:t>
      </w:r>
      <w:r>
        <w:tab/>
        <w:t>repealed]</w:t>
      </w:r>
    </w:p>
    <w:p>
      <w:pPr>
        <w:pStyle w:val="Subsection"/>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t>“</w:t>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20%; or</w:t>
      </w:r>
    </w:p>
    <w:p>
      <w:pPr>
        <w:pStyle w:val="Defpara"/>
      </w:pPr>
      <w:r>
        <w:tab/>
        <w:t>(b)</w:t>
      </w:r>
      <w:r>
        <w:tab/>
        <w:t>if another percentage is prescribed by regulation, that other percentage.</w:t>
      </w:r>
    </w:p>
    <w:p>
      <w:pPr>
        <w:pStyle w:val="Subsection"/>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w:t>
      </w:r>
    </w:p>
    <w:p>
      <w:pPr>
        <w:pStyle w:val="Heading5"/>
        <w:rPr>
          <w:snapToGrid w:val="0"/>
        </w:rPr>
      </w:pPr>
      <w:bookmarkStart w:id="107" w:name="_Toc131835868"/>
      <w:bookmarkStart w:id="108" w:name="_Toc135109265"/>
      <w:r>
        <w:rPr>
          <w:rStyle w:val="CharSectno"/>
        </w:rPr>
        <w:t>17</w:t>
      </w:r>
      <w:r>
        <w:rPr>
          <w:snapToGrid w:val="0"/>
        </w:rPr>
        <w:t>.</w:t>
      </w:r>
      <w:r>
        <w:rPr>
          <w:snapToGrid w:val="0"/>
        </w:rPr>
        <w:tab/>
        <w:t>Form of tender</w:t>
      </w:r>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09" w:name="_Toc403946015"/>
      <w:bookmarkStart w:id="110" w:name="_Toc12345131"/>
      <w:r>
        <w:tab/>
        <w:t>[Section 17 amended by No. 72 of 2003 s. 6.]</w:t>
      </w:r>
    </w:p>
    <w:p>
      <w:pPr>
        <w:pStyle w:val="Heading5"/>
        <w:rPr>
          <w:snapToGrid w:val="0"/>
        </w:rPr>
      </w:pPr>
      <w:bookmarkStart w:id="111" w:name="_Toc131835869"/>
      <w:bookmarkStart w:id="112" w:name="_Toc135109266"/>
      <w:r>
        <w:rPr>
          <w:rStyle w:val="CharSectno"/>
        </w:rPr>
        <w:t>18</w:t>
      </w:r>
      <w:r>
        <w:rPr>
          <w:snapToGrid w:val="0"/>
        </w:rPr>
        <w:t>.</w:t>
      </w:r>
      <w:r>
        <w:rPr>
          <w:snapToGrid w:val="0"/>
        </w:rPr>
        <w:tab/>
        <w:t>Issue of taxi plates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operating 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13" w:name="_Toc403946016"/>
      <w:bookmarkStart w:id="114" w:name="_Toc12345132"/>
      <w:r>
        <w:tab/>
        <w:t>[Section 18 amended by No. 72 of 2003 s. 7; No. 4 of 2006 s. 8.]</w:t>
      </w:r>
    </w:p>
    <w:p>
      <w:pPr>
        <w:pStyle w:val="Heading5"/>
        <w:rPr>
          <w:snapToGrid w:val="0"/>
        </w:rPr>
      </w:pPr>
      <w:bookmarkStart w:id="115" w:name="_Toc131835870"/>
      <w:bookmarkStart w:id="116" w:name="_Toc135109267"/>
      <w:r>
        <w:rPr>
          <w:rStyle w:val="CharSectno"/>
        </w:rPr>
        <w:t>19</w:t>
      </w:r>
      <w:r>
        <w:rPr>
          <w:snapToGrid w:val="0"/>
        </w:rPr>
        <w:t>.</w:t>
      </w:r>
      <w:r>
        <w:rPr>
          <w:snapToGrid w:val="0"/>
        </w:rPr>
        <w:tab/>
        <w:t>Annual fees for taxi plates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117" w:name="_Toc403946017"/>
      <w:bookmarkStart w:id="118" w:name="_Toc12345133"/>
      <w:r>
        <w:tab/>
        <w:t>[Section 19 amended by No. 72 of 2003 s. 8 and 18.]</w:t>
      </w:r>
    </w:p>
    <w:p>
      <w:pPr>
        <w:pStyle w:val="Heading5"/>
      </w:pPr>
      <w:bookmarkStart w:id="119" w:name="_Toc131835871"/>
      <w:bookmarkStart w:id="120" w:name="_Toc135109268"/>
      <w:r>
        <w:rPr>
          <w:rStyle w:val="CharSectno"/>
        </w:rPr>
        <w:t>19A</w:t>
      </w:r>
      <w:r>
        <w:t>.</w:t>
      </w:r>
      <w:r>
        <w:tab/>
        <w:t>Periodic payments for leased taxi plates</w:t>
      </w:r>
      <w:bookmarkEnd w:id="119"/>
      <w:bookmarkEnd w:id="120"/>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121" w:name="_Toc131835872"/>
      <w:bookmarkStart w:id="122" w:name="_Toc135109269"/>
      <w:r>
        <w:rPr>
          <w:rStyle w:val="CharSectno"/>
        </w:rPr>
        <w:t>20</w:t>
      </w:r>
      <w:r>
        <w:rPr>
          <w:snapToGrid w:val="0"/>
        </w:rPr>
        <w:t>.</w:t>
      </w:r>
      <w:r>
        <w:rPr>
          <w:snapToGrid w:val="0"/>
        </w:rPr>
        <w:tab/>
        <w:t>Conditions</w:t>
      </w:r>
      <w:bookmarkEnd w:id="117"/>
      <w:bookmarkEnd w:id="118"/>
      <w:bookmarkEnd w:id="121"/>
      <w:bookmarkEnd w:id="122"/>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123" w:name="_Toc403946018"/>
      <w:bookmarkStart w:id="124" w:name="_Toc12345134"/>
      <w:bookmarkStart w:id="125" w:name="_Toc131835873"/>
      <w:bookmarkStart w:id="126" w:name="_Toc135109270"/>
      <w:r>
        <w:rPr>
          <w:rStyle w:val="CharSectno"/>
        </w:rPr>
        <w:t>21</w:t>
      </w:r>
      <w:r>
        <w:rPr>
          <w:snapToGrid w:val="0"/>
        </w:rPr>
        <w:t>.</w:t>
      </w:r>
      <w:r>
        <w:rPr>
          <w:snapToGrid w:val="0"/>
        </w:rPr>
        <w:tab/>
        <w:t>Use of taxi plates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Footnotesection"/>
      </w:pPr>
      <w:r>
        <w:tab/>
        <w:t>[Section 21 amended by No. 72 of 2003 s. 10 and 18.]</w:t>
      </w:r>
    </w:p>
    <w:p>
      <w:pPr>
        <w:pStyle w:val="Heading5"/>
        <w:rPr>
          <w:snapToGrid w:val="0"/>
        </w:rPr>
      </w:pPr>
      <w:bookmarkStart w:id="127" w:name="_Toc403946019"/>
      <w:bookmarkStart w:id="128" w:name="_Toc12345135"/>
      <w:bookmarkStart w:id="129" w:name="_Toc131835874"/>
      <w:bookmarkStart w:id="130" w:name="_Toc135109271"/>
      <w:r>
        <w:rPr>
          <w:rStyle w:val="CharSectno"/>
        </w:rPr>
        <w:t>22</w:t>
      </w:r>
      <w:r>
        <w:rPr>
          <w:snapToGrid w:val="0"/>
        </w:rPr>
        <w:t>.</w:t>
      </w:r>
      <w:r>
        <w:rPr>
          <w:snapToGrid w:val="0"/>
        </w:rPr>
        <w:tab/>
        <w:t>Variation of conditions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Ednotesubsection"/>
      </w:pPr>
      <w:r>
        <w:tab/>
        <w:t>[(3)</w:t>
      </w:r>
      <w:r>
        <w:tab/>
        <w:t>repealed]</w:t>
      </w:r>
    </w:p>
    <w:p>
      <w:pPr>
        <w:pStyle w:val="Footnotesection"/>
      </w:pPr>
      <w:r>
        <w:tab/>
        <w:t>[Section 22 amended by No. 72 of 2003 s. 18; No. 55 of 2004 s. 1186.]</w:t>
      </w:r>
    </w:p>
    <w:p>
      <w:pPr>
        <w:pStyle w:val="Heading5"/>
        <w:rPr>
          <w:snapToGrid w:val="0"/>
        </w:rPr>
      </w:pPr>
      <w:bookmarkStart w:id="131" w:name="_Toc403946020"/>
      <w:bookmarkStart w:id="132" w:name="_Toc12345136"/>
      <w:bookmarkStart w:id="133" w:name="_Toc131835875"/>
      <w:bookmarkStart w:id="134" w:name="_Toc135109272"/>
      <w:r>
        <w:rPr>
          <w:rStyle w:val="CharSectno"/>
        </w:rPr>
        <w:t>23</w:t>
      </w:r>
      <w:r>
        <w:rPr>
          <w:snapToGrid w:val="0"/>
        </w:rPr>
        <w:t>.</w:t>
      </w:r>
      <w:r>
        <w:rPr>
          <w:snapToGrid w:val="0"/>
        </w:rPr>
        <w:tab/>
        <w:t>Divesting and forfeiture of taxi plates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Ednotesubsection"/>
      </w:pPr>
      <w:bookmarkStart w:id="135" w:name="_Toc403946021"/>
      <w:bookmarkStart w:id="136" w:name="_Toc12345137"/>
      <w:r>
        <w:tab/>
        <w:t>[(5)</w:t>
      </w:r>
      <w:r>
        <w:tab/>
        <w:t>repealed]</w:t>
      </w:r>
    </w:p>
    <w:p>
      <w:pPr>
        <w:pStyle w:val="Footnotesection"/>
      </w:pPr>
      <w:r>
        <w:tab/>
        <w:t>[Section 23 amended by No. 72 of 2003 s. 11 and 18; No. 55 of 2004 s. 1187.]</w:t>
      </w:r>
    </w:p>
    <w:p>
      <w:pPr>
        <w:pStyle w:val="Heading5"/>
      </w:pPr>
      <w:bookmarkStart w:id="137" w:name="_Toc131835876"/>
      <w:bookmarkStart w:id="138" w:name="_Toc135109273"/>
      <w:r>
        <w:rPr>
          <w:rStyle w:val="CharSectno"/>
        </w:rPr>
        <w:t>23A</w:t>
      </w:r>
      <w:r>
        <w:t>.</w:t>
      </w:r>
      <w:r>
        <w:tab/>
        <w:t>Forfeiture of leased taxi plates</w:t>
      </w:r>
      <w:bookmarkEnd w:id="137"/>
      <w:bookmarkEnd w:id="138"/>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139" w:name="_Toc131835877"/>
      <w:bookmarkStart w:id="140" w:name="_Toc135109274"/>
      <w:r>
        <w:rPr>
          <w:rStyle w:val="CharSectno"/>
        </w:rPr>
        <w:t>24</w:t>
      </w:r>
      <w:r>
        <w:rPr>
          <w:snapToGrid w:val="0"/>
        </w:rPr>
        <w:t>.</w:t>
      </w:r>
      <w:r>
        <w:rPr>
          <w:snapToGrid w:val="0"/>
        </w:rPr>
        <w:tab/>
        <w:t>Transfer of taxi plates</w:t>
      </w:r>
      <w:bookmarkEnd w:id="135"/>
      <w:bookmarkEnd w:id="136"/>
      <w:bookmarkEnd w:id="139"/>
      <w:bookmarkEnd w:id="140"/>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141" w:name="_Toc403946022"/>
      <w:bookmarkStart w:id="142" w:name="_Toc12345138"/>
      <w:r>
        <w:tab/>
        <w:t>(5)</w:t>
      </w:r>
      <w:r>
        <w:tab/>
        <w:t>Taxi plates that are leased are not transferable.</w:t>
      </w:r>
    </w:p>
    <w:p>
      <w:pPr>
        <w:pStyle w:val="Footnotesection"/>
      </w:pPr>
      <w:r>
        <w:tab/>
        <w:t>[Section 24 amended by No. 72 of 2003 s. 13.]</w:t>
      </w:r>
    </w:p>
    <w:p>
      <w:pPr>
        <w:pStyle w:val="Heading5"/>
        <w:rPr>
          <w:snapToGrid w:val="0"/>
        </w:rPr>
      </w:pPr>
      <w:bookmarkStart w:id="143" w:name="_Toc131835878"/>
      <w:bookmarkStart w:id="144" w:name="_Toc135109275"/>
      <w:r>
        <w:rPr>
          <w:rStyle w:val="CharSectno"/>
        </w:rPr>
        <w:t>25</w:t>
      </w:r>
      <w:r>
        <w:rPr>
          <w:snapToGrid w:val="0"/>
        </w:rPr>
        <w:t>.</w:t>
      </w:r>
      <w:r>
        <w:rPr>
          <w:snapToGrid w:val="0"/>
        </w:rPr>
        <w:tab/>
        <w:t>Return of taxi plates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if, as a result of forfeiture under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pPr>
      <w:r>
        <w:tab/>
        <w:t>[Section 25 amended by No. 72 of 2003 s. 14 and 18; No. 4 of 2006 s. 5(3).]</w:t>
      </w:r>
    </w:p>
    <w:p>
      <w:pPr>
        <w:pStyle w:val="Heading3"/>
        <w:rPr>
          <w:snapToGrid w:val="0"/>
        </w:rPr>
      </w:pPr>
      <w:bookmarkStart w:id="145" w:name="_Toc89758998"/>
      <w:bookmarkStart w:id="146" w:name="_Toc91321541"/>
      <w:bookmarkStart w:id="147" w:name="_Toc92772413"/>
      <w:bookmarkStart w:id="148" w:name="_Toc96919171"/>
      <w:bookmarkStart w:id="149" w:name="_Toc103072755"/>
      <w:bookmarkStart w:id="150" w:name="_Toc107910918"/>
      <w:bookmarkStart w:id="151" w:name="_Toc123640072"/>
      <w:bookmarkStart w:id="152" w:name="_Toc131835879"/>
      <w:bookmarkStart w:id="153" w:name="_Toc135106968"/>
      <w:bookmarkStart w:id="154" w:name="_Toc135109276"/>
      <w:r>
        <w:rPr>
          <w:rStyle w:val="CharDivNo"/>
        </w:rPr>
        <w:t>Division 2</w:t>
      </w:r>
      <w:r>
        <w:rPr>
          <w:snapToGrid w:val="0"/>
        </w:rPr>
        <w:t> — </w:t>
      </w:r>
      <w:r>
        <w:rPr>
          <w:rStyle w:val="CharDivText"/>
        </w:rPr>
        <w:t>Registration of providers of taxi dispatch services</w:t>
      </w:r>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403946023"/>
      <w:bookmarkStart w:id="156" w:name="_Toc12345139"/>
      <w:bookmarkStart w:id="157" w:name="_Toc131835880"/>
      <w:bookmarkStart w:id="158" w:name="_Toc135109277"/>
      <w:r>
        <w:rPr>
          <w:rStyle w:val="CharSectno"/>
        </w:rPr>
        <w:t>26</w:t>
      </w:r>
      <w:r>
        <w:rPr>
          <w:snapToGrid w:val="0"/>
        </w:rPr>
        <w:t>.</w:t>
      </w:r>
      <w:r>
        <w:rPr>
          <w:snapToGrid w:val="0"/>
        </w:rPr>
        <w:tab/>
        <w:t>Taxi dispatch service</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159" w:name="_Toc403946024"/>
      <w:bookmarkStart w:id="160" w:name="_Toc12345140"/>
      <w:bookmarkStart w:id="161" w:name="_Toc131835881"/>
      <w:bookmarkStart w:id="162" w:name="_Toc135109278"/>
      <w:r>
        <w:rPr>
          <w:rStyle w:val="CharSectno"/>
        </w:rPr>
        <w:t>27</w:t>
      </w:r>
      <w:r>
        <w:rPr>
          <w:snapToGrid w:val="0"/>
        </w:rPr>
        <w:t>.</w:t>
      </w:r>
      <w:r>
        <w:rPr>
          <w:snapToGrid w:val="0"/>
        </w:rPr>
        <w:tab/>
        <w:t>Application for registration</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163" w:name="_Toc403946025"/>
      <w:bookmarkStart w:id="164" w:name="_Toc12345141"/>
      <w:bookmarkStart w:id="165" w:name="_Toc131835882"/>
      <w:bookmarkStart w:id="166" w:name="_Toc135109279"/>
      <w:r>
        <w:rPr>
          <w:rStyle w:val="CharSectno"/>
        </w:rPr>
        <w:t>28</w:t>
      </w:r>
      <w:r>
        <w:rPr>
          <w:snapToGrid w:val="0"/>
        </w:rPr>
        <w:t>.</w:t>
      </w:r>
      <w:r>
        <w:rPr>
          <w:snapToGrid w:val="0"/>
        </w:rPr>
        <w:tab/>
        <w:t>Registration</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167" w:name="_Toc403946026"/>
      <w:bookmarkStart w:id="168" w:name="_Toc12345142"/>
      <w:bookmarkStart w:id="169" w:name="_Toc131835883"/>
      <w:bookmarkStart w:id="170" w:name="_Toc135109280"/>
      <w:r>
        <w:rPr>
          <w:rStyle w:val="CharSectno"/>
        </w:rPr>
        <w:t>29</w:t>
      </w:r>
      <w:r>
        <w:rPr>
          <w:snapToGrid w:val="0"/>
        </w:rPr>
        <w:t>.</w:t>
      </w:r>
      <w:r>
        <w:rPr>
          <w:snapToGrid w:val="0"/>
        </w:rPr>
        <w:tab/>
        <w:t>Conditions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171" w:name="_Toc403946027"/>
      <w:bookmarkStart w:id="172" w:name="_Toc12345143"/>
      <w:bookmarkStart w:id="173" w:name="_Toc131835884"/>
      <w:bookmarkStart w:id="174" w:name="_Toc135109281"/>
      <w:r>
        <w:rPr>
          <w:rStyle w:val="CharSectno"/>
        </w:rPr>
        <w:t>30</w:t>
      </w:r>
      <w:r>
        <w:rPr>
          <w:snapToGrid w:val="0"/>
        </w:rPr>
        <w:t>.</w:t>
      </w:r>
      <w:r>
        <w:rPr>
          <w:snapToGrid w:val="0"/>
        </w:rPr>
        <w:tab/>
        <w:t>Cancellation of registration</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pPr>
      <w:r>
        <w:tab/>
        <w:t>[(4)</w:t>
      </w:r>
      <w:r>
        <w:tab/>
        <w:t>repealed]</w:t>
      </w:r>
    </w:p>
    <w:p>
      <w:pPr>
        <w:pStyle w:val="Subsection"/>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175" w:name="_Toc132099347"/>
      <w:bookmarkStart w:id="176" w:name="_Toc135106974"/>
      <w:bookmarkStart w:id="177" w:name="_Toc135109282"/>
      <w:bookmarkStart w:id="178" w:name="_Toc89759004"/>
      <w:bookmarkStart w:id="179" w:name="_Toc91321547"/>
      <w:bookmarkStart w:id="180" w:name="_Toc92772419"/>
      <w:bookmarkStart w:id="181" w:name="_Toc96919177"/>
      <w:bookmarkStart w:id="182" w:name="_Toc103072761"/>
      <w:bookmarkStart w:id="183" w:name="_Toc107910924"/>
      <w:bookmarkStart w:id="184" w:name="_Toc123640078"/>
      <w:bookmarkStart w:id="185"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175"/>
      <w:bookmarkEnd w:id="176"/>
      <w:bookmarkEnd w:id="177"/>
    </w:p>
    <w:p>
      <w:pPr>
        <w:pStyle w:val="Footnoteheading"/>
      </w:pPr>
      <w:r>
        <w:tab/>
        <w:t>[Heading inserted by No. 4 of 2006 s. 4.]</w:t>
      </w:r>
    </w:p>
    <w:p>
      <w:pPr>
        <w:pStyle w:val="Heading5"/>
      </w:pPr>
      <w:bookmarkStart w:id="186" w:name="_Toc132099348"/>
      <w:bookmarkStart w:id="187" w:name="_Toc135109283"/>
      <w:r>
        <w:rPr>
          <w:rStyle w:val="CharSectno"/>
        </w:rPr>
        <w:t>30A</w:t>
      </w:r>
      <w:r>
        <w:t>.</w:t>
      </w:r>
      <w:r>
        <w:tab/>
        <w:t>Interpretation and application</w:t>
      </w:r>
      <w:bookmarkEnd w:id="186"/>
      <w:bookmarkEnd w:id="187"/>
    </w:p>
    <w:p>
      <w:pPr>
        <w:pStyle w:val="Subsection"/>
      </w:pPr>
      <w:r>
        <w:tab/>
        <w:t>(1)</w:t>
      </w:r>
      <w:r>
        <w:tab/>
        <w:t xml:space="preserve">In this Division — </w:t>
      </w:r>
    </w:p>
    <w:p>
      <w:pPr>
        <w:pStyle w:val="Defstart"/>
      </w:pPr>
      <w:r>
        <w:rPr>
          <w:rStyle w:val="CharDefText"/>
          <w:b w:val="0"/>
        </w:rPr>
        <w:tab/>
      </w:r>
      <w:r>
        <w:rPr>
          <w:rStyle w:val="CharDefText"/>
        </w:rPr>
        <w:t>“buy</w:t>
      </w:r>
      <w:r>
        <w:rPr>
          <w:rStyle w:val="CharDefText"/>
        </w:rPr>
        <w:noBreakHyphen/>
        <w:t xml:space="preserve">back agreement” </w:t>
      </w:r>
      <w:r>
        <w:t>means an agreement under section 30B;</w:t>
      </w:r>
    </w:p>
    <w:p>
      <w:pPr>
        <w:pStyle w:val="Defstart"/>
        <w:rPr>
          <w:bCs/>
        </w:rPr>
      </w:pPr>
      <w:r>
        <w:rPr>
          <w:b/>
        </w:rPr>
        <w:tab/>
        <w:t>“</w:t>
      </w:r>
      <w:r>
        <w:rPr>
          <w:rStyle w:val="CharDefText"/>
        </w:rPr>
        <w:t>eligible operator</w:t>
      </w:r>
      <w:r>
        <w:rPr>
          <w:b/>
        </w:rPr>
        <w:t>”</w:t>
      </w:r>
      <w:r>
        <w:rPr>
          <w:bCs/>
        </w:rPr>
        <w:t xml:space="preserve"> means an operator who operates 10 or more multi</w:t>
      </w:r>
      <w:r>
        <w:rPr>
          <w:bCs/>
        </w:rPr>
        <w:noBreakHyphen/>
        <w:t>purpose taxis that use transferable MPT plates owned by an MPT investor</w:t>
      </w:r>
      <w:r>
        <w:rPr>
          <w:bCs/>
        </w:rP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t>“</w:t>
      </w:r>
      <w:r>
        <w:rPr>
          <w:rStyle w:val="CharDefText"/>
        </w:rPr>
        <w:t>MPT investor</w:t>
      </w:r>
      <w:r>
        <w:rPr>
          <w:rStyle w:val="CharDefText"/>
        </w:rPr>
        <w:noBreakHyphen/>
        <w:t>owner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t>“</w:t>
      </w:r>
      <w:r>
        <w:rPr>
          <w:rStyle w:val="CharDefText"/>
        </w:rPr>
        <w:t>MPT owner</w:t>
      </w:r>
      <w:r>
        <w:rPr>
          <w:rStyle w:val="CharDefText"/>
        </w:rPr>
        <w:noBreakHyphen/>
        <w:t>driver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t>“</w:t>
      </w:r>
      <w:r>
        <w:rPr>
          <w:rStyle w:val="CharDefText"/>
        </w:rPr>
        <w:t>multi</w:t>
      </w:r>
      <w:r>
        <w:rPr>
          <w:rStyle w:val="CharDefText"/>
        </w:rPr>
        <w:noBreakHyphen/>
        <w:t>purpose taxi</w:t>
      </w:r>
      <w:r>
        <w:rPr>
          <w:b/>
        </w:rPr>
        <w:t>”</w:t>
      </w:r>
      <w:r>
        <w:t xml:space="preserve"> or </w:t>
      </w:r>
      <w:r>
        <w:rPr>
          <w:b/>
          <w:bCs/>
        </w:rPr>
        <w:t>“</w:t>
      </w:r>
      <w:r>
        <w:rPr>
          <w:rStyle w:val="CharDefText"/>
        </w:rPr>
        <w:t>MPT</w:t>
      </w:r>
      <w:r>
        <w:rPr>
          <w:b/>
          <w:bCs/>
        </w:rPr>
        <w:t>”</w:t>
      </w:r>
      <w:r>
        <w:t xml:space="preserve"> means a taxi that is intended principally for the transport of persons who have a disability and any wheelchairs or other aids required by those persons;</w:t>
      </w:r>
    </w:p>
    <w:p>
      <w:pPr>
        <w:pStyle w:val="Defstart"/>
      </w:pPr>
      <w:r>
        <w:rPr>
          <w:b/>
        </w:rPr>
        <w:tab/>
        <w:t>“</w:t>
      </w:r>
      <w:r>
        <w:rPr>
          <w:rStyle w:val="CharDefText"/>
        </w:rPr>
        <w:t>transferable MPT plates</w:t>
      </w:r>
      <w:r>
        <w:rPr>
          <w:b/>
        </w:rPr>
        <w:t>”</w:t>
      </w:r>
      <w:r>
        <w:t xml:space="preserve"> means taxi plates that are — </w:t>
      </w:r>
    </w:p>
    <w:p>
      <w:pPr>
        <w:pStyle w:val="Defpara"/>
      </w:pPr>
      <w:r>
        <w:tab/>
        <w:t>(a)</w:t>
      </w:r>
      <w:r>
        <w:tab/>
        <w:t>used on a taxi that operates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w:t>
      </w:r>
    </w:p>
    <w:p>
      <w:pPr>
        <w:pStyle w:val="Heading5"/>
      </w:pPr>
      <w:bookmarkStart w:id="188" w:name="_Toc132099349"/>
      <w:bookmarkStart w:id="189" w:name="_Toc135109284"/>
      <w:r>
        <w:rPr>
          <w:rStyle w:val="CharSectno"/>
        </w:rPr>
        <w:t>30B</w:t>
      </w:r>
      <w:r>
        <w:t>.</w:t>
      </w:r>
      <w:r>
        <w:tab/>
        <w:t>Buy</w:t>
      </w:r>
      <w:r>
        <w:noBreakHyphen/>
        <w:t>back agreements</w:t>
      </w:r>
      <w:bookmarkEnd w:id="188"/>
      <w:bookmarkEnd w:id="189"/>
    </w:p>
    <w:p>
      <w:pPr>
        <w:pStyle w:val="Subsection"/>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pPr>
      <w:bookmarkStart w:id="190" w:name="_Toc132099350"/>
      <w:bookmarkStart w:id="191" w:name="_Toc135109285"/>
      <w:r>
        <w:rPr>
          <w:rStyle w:val="CharSectno"/>
        </w:rPr>
        <w:t>30C</w:t>
      </w:r>
      <w:r>
        <w:t>.</w:t>
      </w:r>
      <w:r>
        <w:tab/>
        <w:t>Operation of sections 30D to 30G to be subject to conditions</w:t>
      </w:r>
      <w:bookmarkEnd w:id="190"/>
      <w:bookmarkEnd w:id="191"/>
    </w:p>
    <w:p>
      <w:pPr>
        <w:pStyle w:val="Subsection"/>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pPr>
      <w:r>
        <w:tab/>
        <w:t>(2)</w:t>
      </w:r>
      <w:r>
        <w:tab/>
        <w:t xml:space="preserve">If the Minister </w:t>
      </w:r>
      <w:r>
        <w:rPr>
          <w:rStyle w:val="CharDefText"/>
          <w:b w:val="0"/>
        </w:rPr>
        <w:t>is satisfied that, for the effective operation of this Division, a sufficient number of MPT investor</w:t>
      </w:r>
      <w:r>
        <w:rPr>
          <w:rStyle w:val="CharDefText"/>
          <w:b w:val="0"/>
        </w:rPr>
        <w:noBreakHyphen/>
        <w:t>owners and MPT owner</w:t>
      </w:r>
      <w:r>
        <w:rPr>
          <w:rStyle w:val="CharDefText"/>
          <w:b w:val="0"/>
        </w:rPr>
        <w:noBreakHyphen/>
        <w:t>drivers have accepted an offer to enter into a buy</w:t>
      </w:r>
      <w:r>
        <w:rPr>
          <w:rStyle w:val="CharDefText"/>
          <w:b w:val="0"/>
        </w:rPr>
        <w:noBreakHyphen/>
        <w:t xml:space="preserve">back agreement within the time approved by the Minister, the Minister is to </w:t>
      </w:r>
      <w:r>
        <w:t xml:space="preserve">publish a notice in the </w:t>
      </w:r>
      <w:r>
        <w:rPr>
          <w:i/>
          <w:iCs/>
        </w:rPr>
        <w:t>Gazette</w:t>
      </w:r>
      <w:r>
        <w:t xml:space="preserve"> accordingly.</w:t>
      </w:r>
    </w:p>
    <w:p>
      <w:pPr>
        <w:pStyle w:val="Footnotesection"/>
      </w:pPr>
      <w:r>
        <w:tab/>
        <w:t>[Section 30C inserted by No. 4 of 2006 s. 4.]</w:t>
      </w:r>
    </w:p>
    <w:p>
      <w:pPr>
        <w:pStyle w:val="Heading5"/>
      </w:pPr>
      <w:bookmarkStart w:id="192" w:name="_Toc132099351"/>
      <w:bookmarkStart w:id="193" w:name="_Toc135109286"/>
      <w:r>
        <w:rPr>
          <w:rStyle w:val="CharSectno"/>
        </w:rPr>
        <w:t>30D</w:t>
      </w:r>
      <w:r>
        <w:t>.</w:t>
      </w:r>
      <w:r>
        <w:tab/>
        <w:t>Certain MPT owner</w:t>
      </w:r>
      <w:r>
        <w:noBreakHyphen/>
        <w:t>drivers and eligible operators to be offered leases of taxi plates for multi</w:t>
      </w:r>
      <w:r>
        <w:noBreakHyphen/>
        <w:t>purpose taxis</w:t>
      </w:r>
      <w:bookmarkEnd w:id="192"/>
      <w:bookmarkEnd w:id="193"/>
    </w:p>
    <w:p>
      <w:pPr>
        <w:pStyle w:val="Subsection"/>
      </w:pPr>
      <w:r>
        <w:rPr>
          <w:rStyle w:val="CharDefText"/>
          <w:b w:val="0"/>
        </w:rPr>
        <w:tab/>
        <w:t>(1)</w:t>
      </w:r>
      <w:r>
        <w:rPr>
          <w:rStyle w:val="CharDefText"/>
          <w:b w:val="0"/>
        </w:rPr>
        <w:tab/>
        <w:t>Taxi plates to be used on a multi</w:t>
      </w:r>
      <w:r>
        <w:rPr>
          <w:rStyle w:val="CharDefText"/>
          <w:b w:val="0"/>
        </w:rPr>
        <w:noBreakHyphen/>
        <w:t xml:space="preserve">purpose taxi </w:t>
      </w:r>
      <w:r>
        <w:rPr>
          <w:bCs/>
        </w:rPr>
        <w:t xml:space="preserve">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194" w:name="_Toc132099352"/>
      <w:bookmarkStart w:id="195" w:name="_Toc135109287"/>
      <w:r>
        <w:rPr>
          <w:rStyle w:val="CharSectno"/>
        </w:rPr>
        <w:t>30E</w:t>
      </w:r>
      <w:r>
        <w:t>.</w:t>
      </w:r>
      <w:r>
        <w:tab/>
        <w:t>Leases by eligible operators of taxi plates for multi</w:t>
      </w:r>
      <w:r>
        <w:noBreakHyphen/>
        <w:t>purpose taxis</w:t>
      </w:r>
      <w:bookmarkEnd w:id="194"/>
      <w:bookmarkEnd w:id="195"/>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196" w:name="_Toc132099353"/>
      <w:bookmarkStart w:id="197" w:name="_Toc135109288"/>
      <w:r>
        <w:rPr>
          <w:rStyle w:val="CharSectno"/>
        </w:rPr>
        <w:t>30F</w:t>
      </w:r>
      <w:r>
        <w:t>.</w:t>
      </w:r>
      <w:r>
        <w:tab/>
        <w:t>Leases by certain MPT owner</w:t>
      </w:r>
      <w:r>
        <w:noBreakHyphen/>
        <w:t>drivers and others of taxi plates for multi</w:t>
      </w:r>
      <w:r>
        <w:noBreakHyphen/>
        <w:t>purpose taxis</w:t>
      </w:r>
      <w:bookmarkEnd w:id="196"/>
      <w:bookmarkEnd w:id="197"/>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198" w:name="_Toc132099354"/>
      <w:bookmarkStart w:id="199" w:name="_Toc135109289"/>
      <w:r>
        <w:rPr>
          <w:rStyle w:val="CharSectno"/>
        </w:rPr>
        <w:t>30G</w:t>
      </w:r>
      <w:r>
        <w:t>.</w:t>
      </w:r>
      <w:r>
        <w:tab/>
        <w:t>Payment of compensation to certain parties to buy</w:t>
      </w:r>
      <w:r>
        <w:noBreakHyphen/>
        <w:t>back agreements</w:t>
      </w:r>
      <w:bookmarkEnd w:id="198"/>
      <w:bookmarkEnd w:id="199"/>
    </w:p>
    <w:p>
      <w:pPr>
        <w:pStyle w:val="Subsection"/>
      </w:pPr>
      <w:r>
        <w:tab/>
        <w:t>(1)</w:t>
      </w:r>
      <w:r>
        <w:tab/>
        <w:t xml:space="preserve">In this section — </w:t>
      </w:r>
    </w:p>
    <w:p>
      <w:pPr>
        <w:pStyle w:val="Defstart"/>
      </w:pPr>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Indenta"/>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 xml:space="preserve">A reference in subsections (4)(c) and (5) to the issue of taxi plates on lease does not include a reference to the issue of taxi plates on lease resulting from the acceptance of an </w:t>
      </w:r>
      <w:r>
        <w:rPr>
          <w:bCs/>
        </w:rPr>
        <w:t>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200" w:name="_Toc132099355"/>
      <w:r>
        <w:tab/>
        <w:t>[Section 30G inserted by No. 4 of 2006 s. 4.]</w:t>
      </w:r>
    </w:p>
    <w:p>
      <w:pPr>
        <w:pStyle w:val="Heading5"/>
      </w:pPr>
      <w:bookmarkStart w:id="201" w:name="_Toc135109290"/>
      <w:r>
        <w:rPr>
          <w:rStyle w:val="CharSectno"/>
        </w:rPr>
        <w:t>30H</w:t>
      </w:r>
      <w:r>
        <w:t>.</w:t>
      </w:r>
      <w:r>
        <w:tab/>
        <w:t>Consolidated Fund charged with payment for plates</w:t>
      </w:r>
      <w:bookmarkEnd w:id="200"/>
      <w:bookmarkEnd w:id="201"/>
    </w:p>
    <w:p>
      <w:pPr>
        <w:pStyle w:val="Subsection"/>
      </w:pPr>
      <w:r>
        <w:tab/>
      </w:r>
      <w:r>
        <w:tab/>
        <w:t>Money payable under a buy</w:t>
      </w:r>
      <w:r>
        <w:noBreakHyphen/>
        <w:t>back agreement is to be charged to the Consolidated Fund, which is, to the necessary extent, appropriated accordingly.</w:t>
      </w:r>
    </w:p>
    <w:p>
      <w:pPr>
        <w:pStyle w:val="Footnotesection"/>
      </w:pPr>
      <w:r>
        <w:tab/>
        <w:t>[Section 30H inserted by No. 4 of 2006 s. 4.]</w:t>
      </w:r>
    </w:p>
    <w:p>
      <w:pPr>
        <w:pStyle w:val="Heading2"/>
      </w:pPr>
      <w:bookmarkStart w:id="202" w:name="_Toc135106983"/>
      <w:bookmarkStart w:id="203" w:name="_Toc135109291"/>
      <w:r>
        <w:rPr>
          <w:rStyle w:val="CharPartNo"/>
        </w:rPr>
        <w:t>Part 4</w:t>
      </w:r>
      <w:r>
        <w:rPr>
          <w:rStyle w:val="CharDivNo"/>
        </w:rPr>
        <w:t> </w:t>
      </w:r>
      <w:r>
        <w:t>—</w:t>
      </w:r>
      <w:r>
        <w:rPr>
          <w:rStyle w:val="CharDivText"/>
        </w:rPr>
        <w:t> </w:t>
      </w:r>
      <w:r>
        <w:rPr>
          <w:rStyle w:val="CharPartText"/>
        </w:rPr>
        <w:t>General</w:t>
      </w:r>
      <w:bookmarkEnd w:id="178"/>
      <w:bookmarkEnd w:id="179"/>
      <w:bookmarkEnd w:id="180"/>
      <w:bookmarkEnd w:id="181"/>
      <w:bookmarkEnd w:id="182"/>
      <w:bookmarkEnd w:id="183"/>
      <w:bookmarkEnd w:id="184"/>
      <w:bookmarkEnd w:id="185"/>
      <w:bookmarkEnd w:id="202"/>
      <w:bookmarkEnd w:id="203"/>
      <w:r>
        <w:rPr>
          <w:rStyle w:val="CharPartText"/>
        </w:rPr>
        <w:t xml:space="preserve"> </w:t>
      </w:r>
    </w:p>
    <w:p>
      <w:pPr>
        <w:pStyle w:val="Heading5"/>
        <w:rPr>
          <w:snapToGrid w:val="0"/>
        </w:rPr>
      </w:pPr>
      <w:bookmarkStart w:id="204" w:name="_Toc403946028"/>
      <w:bookmarkStart w:id="205" w:name="_Toc12345144"/>
      <w:bookmarkStart w:id="206" w:name="_Toc131835886"/>
      <w:bookmarkStart w:id="207" w:name="_Toc135109292"/>
      <w:r>
        <w:rPr>
          <w:rStyle w:val="CharSectno"/>
        </w:rPr>
        <w:t>31</w:t>
      </w:r>
      <w:r>
        <w:rPr>
          <w:snapToGrid w:val="0"/>
        </w:rPr>
        <w:t>.</w:t>
      </w:r>
      <w:r>
        <w:rPr>
          <w:snapToGrid w:val="0"/>
        </w:rPr>
        <w:tab/>
        <w:t>Authorised officers</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208" w:name="_Toc403946029"/>
      <w:bookmarkStart w:id="209" w:name="_Toc12345145"/>
      <w:bookmarkStart w:id="210" w:name="_Toc131835887"/>
      <w:bookmarkStart w:id="211" w:name="_Toc135109293"/>
      <w:r>
        <w:rPr>
          <w:rStyle w:val="CharSectno"/>
        </w:rPr>
        <w:t>32</w:t>
      </w:r>
      <w:r>
        <w:rPr>
          <w:snapToGrid w:val="0"/>
        </w:rPr>
        <w:t>.</w:t>
      </w:r>
      <w:r>
        <w:rPr>
          <w:snapToGrid w:val="0"/>
        </w:rPr>
        <w:tab/>
        <w:t>Powers of authorised officers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212" w:name="_Toc403946030"/>
      <w:bookmarkStart w:id="213" w:name="_Toc12345146"/>
      <w:bookmarkStart w:id="214" w:name="_Toc131835888"/>
      <w:bookmarkStart w:id="215" w:name="_Toc135109294"/>
      <w:r>
        <w:rPr>
          <w:rStyle w:val="CharSectno"/>
        </w:rPr>
        <w:t>33</w:t>
      </w:r>
      <w:r>
        <w:rPr>
          <w:snapToGrid w:val="0"/>
        </w:rPr>
        <w:t>.</w:t>
      </w:r>
      <w:r>
        <w:rPr>
          <w:snapToGrid w:val="0"/>
        </w:rPr>
        <w:tab/>
        <w:t>Averments</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34-35.</w:t>
      </w:r>
      <w:r>
        <w:tab/>
        <w:t>Repealed by No. 10 of 1999 s. 9.]</w:t>
      </w:r>
    </w:p>
    <w:p>
      <w:pPr>
        <w:pStyle w:val="Heading5"/>
        <w:rPr>
          <w:snapToGrid w:val="0"/>
        </w:rPr>
      </w:pPr>
      <w:bookmarkStart w:id="216" w:name="_Toc403946033"/>
      <w:bookmarkStart w:id="217" w:name="_Toc12345147"/>
      <w:bookmarkStart w:id="218" w:name="_Toc131835889"/>
      <w:bookmarkStart w:id="219" w:name="_Toc135109295"/>
      <w:r>
        <w:rPr>
          <w:rStyle w:val="CharSectno"/>
        </w:rPr>
        <w:t>36</w:t>
      </w:r>
      <w:r>
        <w:rPr>
          <w:snapToGrid w:val="0"/>
        </w:rPr>
        <w:t>.</w:t>
      </w:r>
      <w:r>
        <w:rPr>
          <w:snapToGrid w:val="0"/>
        </w:rPr>
        <w:tab/>
        <w:t>Bonds held by operators</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220" w:name="_Toc403946034"/>
      <w:bookmarkStart w:id="221" w:name="_Toc12345148"/>
      <w:bookmarkStart w:id="222" w:name="_Toc131835890"/>
      <w:bookmarkStart w:id="223" w:name="_Toc135109296"/>
      <w:r>
        <w:rPr>
          <w:rStyle w:val="CharSectno"/>
        </w:rPr>
        <w:t>37</w:t>
      </w:r>
      <w:r>
        <w:rPr>
          <w:snapToGrid w:val="0"/>
        </w:rPr>
        <w:t>.</w:t>
      </w:r>
      <w:r>
        <w:rPr>
          <w:snapToGrid w:val="0"/>
        </w:rPr>
        <w:tab/>
        <w:t>Appeals against certain decisions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Ednotesubsection"/>
      </w:pPr>
      <w:bookmarkStart w:id="224" w:name="_Toc403946035"/>
      <w:bookmarkStart w:id="225" w:name="_Toc12345149"/>
      <w:r>
        <w:tab/>
        <w:t>[(3)</w:t>
      </w:r>
      <w:r>
        <w:tab/>
        <w:t>repealed]</w:t>
      </w:r>
    </w:p>
    <w:p>
      <w:pPr>
        <w:pStyle w:val="Footnotesection"/>
      </w:pPr>
      <w:r>
        <w:tab/>
        <w:t>[Section 37 amended by No. 72 of 2003 s. 16; No. 55 of 2004 s. 1189.]</w:t>
      </w:r>
    </w:p>
    <w:p>
      <w:pPr>
        <w:pStyle w:val="Ednotesection"/>
      </w:pPr>
      <w:bookmarkStart w:id="226" w:name="_Toc403946036"/>
      <w:bookmarkStart w:id="227" w:name="_Toc12345150"/>
      <w:bookmarkEnd w:id="224"/>
      <w:bookmarkEnd w:id="225"/>
      <w:r>
        <w:t>[</w:t>
      </w:r>
      <w:r>
        <w:rPr>
          <w:b/>
          <w:bCs/>
        </w:rPr>
        <w:t>38.</w:t>
      </w:r>
      <w:r>
        <w:tab/>
        <w:t>Repealed by No. 55 of 2004 s. 1190.]</w:t>
      </w:r>
    </w:p>
    <w:p>
      <w:pPr>
        <w:pStyle w:val="Heading5"/>
        <w:rPr>
          <w:snapToGrid w:val="0"/>
        </w:rPr>
      </w:pPr>
      <w:bookmarkStart w:id="228" w:name="_Toc131835891"/>
      <w:bookmarkStart w:id="229" w:name="_Toc135109297"/>
      <w:r>
        <w:rPr>
          <w:rStyle w:val="CharSectno"/>
        </w:rPr>
        <w:t>39</w:t>
      </w:r>
      <w:r>
        <w:rPr>
          <w:snapToGrid w:val="0"/>
        </w:rPr>
        <w:t>.</w:t>
      </w:r>
      <w:r>
        <w:rPr>
          <w:snapToGrid w:val="0"/>
        </w:rPr>
        <w:tab/>
        <w:t>Infringement notices</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230" w:name="_Toc403946037"/>
      <w:bookmarkStart w:id="231" w:name="_Toc12345151"/>
      <w:bookmarkStart w:id="232" w:name="_Toc131835892"/>
      <w:bookmarkStart w:id="233" w:name="_Toc135109298"/>
      <w:r>
        <w:rPr>
          <w:rStyle w:val="CharSectno"/>
        </w:rPr>
        <w:t>40</w:t>
      </w:r>
      <w:r>
        <w:rPr>
          <w:snapToGrid w:val="0"/>
        </w:rPr>
        <w:t>.</w:t>
      </w:r>
      <w:r>
        <w:rPr>
          <w:snapToGrid w:val="0"/>
        </w:rPr>
        <w:tab/>
        <w:t>Regulations</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234" w:name="_Toc403946038"/>
      <w:bookmarkStart w:id="235" w:name="_Toc12345152"/>
      <w:bookmarkStart w:id="236" w:name="_Toc131835893"/>
      <w:bookmarkStart w:id="237" w:name="_Toc135109299"/>
      <w:r>
        <w:rPr>
          <w:rStyle w:val="CharSectno"/>
        </w:rPr>
        <w:t>41</w:t>
      </w:r>
      <w:r>
        <w:rPr>
          <w:snapToGrid w:val="0"/>
        </w:rPr>
        <w:t>.</w:t>
      </w:r>
      <w:r>
        <w:rPr>
          <w:snapToGrid w:val="0"/>
        </w:rPr>
        <w:tab/>
      </w:r>
      <w:bookmarkEnd w:id="234"/>
      <w:r>
        <w:t>Taxi Industry Development Account</w:t>
      </w:r>
      <w:bookmarkEnd w:id="235"/>
      <w:bookmarkEnd w:id="236"/>
      <w:bookmarkEnd w:id="237"/>
      <w:r>
        <w:rPr>
          <w:snapToGrid w:val="0"/>
        </w:rPr>
        <w:t xml:space="preserve"> </w:t>
      </w:r>
    </w:p>
    <w:p>
      <w:pPr>
        <w:pStyle w:val="Subsection"/>
      </w:pPr>
      <w:r>
        <w:tab/>
        <w:t>(1)</w:t>
      </w:r>
      <w:r>
        <w:tab/>
        <w:t xml:space="preserve">An account called the “Taxi Industry Development Account” is to be established as a trust account under the </w:t>
      </w:r>
      <w:r>
        <w:rPr>
          <w:i/>
        </w:rPr>
        <w:t>Financial Administration and Audit Act 1985</w:t>
      </w:r>
      <w:r>
        <w:t xml:space="preserve"> section 15B.</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all moneys received from the sale</w:t>
      </w:r>
      <w:r>
        <w:t xml:space="preserve"> or lease</w:t>
      </w:r>
      <w:r>
        <w:rPr>
          <w:snapToGrid w:val="0"/>
        </w:rPr>
        <w:t xml:space="preserve"> 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[Section 41 amended by No. 49 of 1996 s. 64; No. 44 of 1998 s. 5; No. 7 of 2002</w:t>
      </w:r>
      <w:r>
        <w:rPr>
          <w:i w:val="0"/>
          <w:vertAlign w:val="superscript"/>
        </w:rPr>
        <w:t> 2</w:t>
      </w:r>
      <w:r>
        <w:t xml:space="preserve"> s. 32(1) to (6) and 35; No. 72 of 2003 s. 17.] </w:t>
      </w:r>
    </w:p>
    <w:p>
      <w:pPr>
        <w:pStyle w:val="Ednotesection"/>
      </w:pPr>
      <w:bookmarkStart w:id="238" w:name="_Toc403946040"/>
      <w:r>
        <w:t>[</w:t>
      </w:r>
      <w:r>
        <w:rPr>
          <w:b/>
        </w:rPr>
        <w:t>42.</w:t>
      </w:r>
      <w:r>
        <w:tab/>
        <w:t>Repealed by No. 7 of 2002 s. 33.]</w:t>
      </w:r>
    </w:p>
    <w:p>
      <w:pPr>
        <w:pStyle w:val="Heading5"/>
        <w:rPr>
          <w:snapToGrid w:val="0"/>
        </w:rPr>
      </w:pPr>
      <w:bookmarkStart w:id="239" w:name="_Toc12345153"/>
      <w:bookmarkStart w:id="240" w:name="_Toc131835894"/>
      <w:bookmarkStart w:id="241" w:name="_Toc135109300"/>
      <w:r>
        <w:rPr>
          <w:rStyle w:val="CharSectno"/>
        </w:rPr>
        <w:t>43</w:t>
      </w:r>
      <w:r>
        <w:rPr>
          <w:snapToGrid w:val="0"/>
        </w:rPr>
        <w:t>.</w:t>
      </w:r>
      <w:r>
        <w:rPr>
          <w:snapToGrid w:val="0"/>
        </w:rPr>
        <w:tab/>
        <w:t>Surrender of certain taxi plates</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242" w:name="_Toc403946042"/>
      <w:r>
        <w:t>[</w:t>
      </w:r>
      <w:r>
        <w:rPr>
          <w:b/>
        </w:rPr>
        <w:t>44.</w:t>
      </w:r>
      <w:r>
        <w:tab/>
        <w:t>Repealed by No. 7 of 2002 s. 34.]</w:t>
      </w:r>
    </w:p>
    <w:p>
      <w:pPr>
        <w:pStyle w:val="Heading5"/>
        <w:rPr>
          <w:snapToGrid w:val="0"/>
        </w:rPr>
      </w:pPr>
      <w:bookmarkStart w:id="243" w:name="_Toc12345154"/>
      <w:bookmarkStart w:id="244" w:name="_Toc131835895"/>
      <w:bookmarkStart w:id="245" w:name="_Toc135109301"/>
      <w:r>
        <w:rPr>
          <w:rStyle w:val="CharSectno"/>
        </w:rPr>
        <w:t>45</w:t>
      </w:r>
      <w:r>
        <w:rPr>
          <w:snapToGrid w:val="0"/>
        </w:rPr>
        <w:t>.</w:t>
      </w:r>
      <w:r>
        <w:rPr>
          <w:snapToGrid w:val="0"/>
        </w:rPr>
        <w:tab/>
        <w:t>Review of Act</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246" w:name="_Toc89759016"/>
      <w:bookmarkStart w:id="247" w:name="_Toc91321559"/>
      <w:bookmarkStart w:id="248" w:name="_Toc92772430"/>
      <w:bookmarkStart w:id="249" w:name="_Toc96919188"/>
      <w:bookmarkStart w:id="250" w:name="_Toc103072772"/>
      <w:bookmarkStart w:id="251" w:name="_Toc107910935"/>
      <w:bookmarkStart w:id="252" w:name="_Toc123640089"/>
      <w:bookmarkStart w:id="253" w:name="_Toc131835896"/>
      <w:bookmarkStart w:id="254" w:name="_Toc135106994"/>
      <w:bookmarkStart w:id="255" w:name="_Toc135109302"/>
      <w:r>
        <w:rPr>
          <w:rStyle w:val="CharPartNo"/>
        </w:rPr>
        <w:t>Part 5</w:t>
      </w:r>
      <w:r>
        <w:rPr>
          <w:rStyle w:val="CharDivNo"/>
        </w:rPr>
        <w:t> </w:t>
      </w:r>
      <w:r>
        <w:t>—</w:t>
      </w:r>
      <w:r>
        <w:rPr>
          <w:rStyle w:val="CharDivText"/>
        </w:rPr>
        <w:t> </w:t>
      </w:r>
      <w:r>
        <w:rPr>
          <w:rStyle w:val="CharPartText"/>
        </w:rPr>
        <w:t>Repeal and transitional provisions</w:t>
      </w:r>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5"/>
        <w:rPr>
          <w:snapToGrid w:val="0"/>
        </w:rPr>
      </w:pPr>
      <w:bookmarkStart w:id="256" w:name="_Toc403946043"/>
      <w:bookmarkStart w:id="257" w:name="_Toc12345155"/>
      <w:bookmarkStart w:id="258" w:name="_Toc131835897"/>
      <w:bookmarkStart w:id="259" w:name="_Toc135109303"/>
      <w:r>
        <w:rPr>
          <w:rStyle w:val="CharSectno"/>
        </w:rPr>
        <w:t>46</w:t>
      </w:r>
      <w:r>
        <w:rPr>
          <w:snapToGrid w:val="0"/>
        </w:rPr>
        <w:t>.</w:t>
      </w:r>
      <w:r>
        <w:rPr>
          <w:snapToGrid w:val="0"/>
        </w:rPr>
        <w:tab/>
        <w:t>Repeal</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 xml:space="preserve">The </w:t>
      </w:r>
      <w:r>
        <w:rPr>
          <w:i/>
          <w:snapToGrid w:val="0"/>
        </w:rPr>
        <w:t>Taxi</w:t>
      </w:r>
      <w:r>
        <w:rPr>
          <w:i/>
          <w:snapToGrid w:val="0"/>
        </w:rPr>
        <w:noBreakHyphen/>
        <w:t xml:space="preserve">car Control Act 1985 </w:t>
      </w:r>
      <w:r>
        <w:rPr>
          <w:snapToGrid w:val="0"/>
        </w:rPr>
        <w:t>is repealed.</w:t>
      </w:r>
    </w:p>
    <w:p>
      <w:pPr>
        <w:pStyle w:val="Heading5"/>
        <w:rPr>
          <w:snapToGrid w:val="0"/>
        </w:rPr>
      </w:pPr>
      <w:bookmarkStart w:id="260" w:name="_Toc403946044"/>
      <w:bookmarkStart w:id="261" w:name="_Toc12345156"/>
      <w:bookmarkStart w:id="262" w:name="_Toc131835898"/>
      <w:bookmarkStart w:id="263" w:name="_Toc135109304"/>
      <w:r>
        <w:rPr>
          <w:rStyle w:val="CharSectno"/>
        </w:rPr>
        <w:t>47</w:t>
      </w:r>
      <w:r>
        <w:rPr>
          <w:snapToGrid w:val="0"/>
        </w:rPr>
        <w:t>.</w:t>
      </w:r>
      <w:r>
        <w:rPr>
          <w:snapToGrid w:val="0"/>
        </w:rPr>
        <w:tab/>
        <w:t>Transitional</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rPr>
          <w:snapToGrid w:val="0"/>
        </w:rPr>
      </w:pPr>
      <w:r>
        <w:rPr>
          <w:snapToGrid w:val="0"/>
        </w:rPr>
        <w:tab/>
        <w:t>(2)</w:t>
      </w:r>
      <w:r>
        <w:rPr>
          <w:snapToGrid w:val="0"/>
        </w:rPr>
        <w:tab/>
        <w:t>On the commencement day, by virtue of this section — </w:t>
      </w:r>
    </w:p>
    <w:p>
      <w:pPr>
        <w:pStyle w:val="Indenta"/>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rPr>
          <w:snapToGrid w:val="0"/>
        </w:rPr>
      </w:pPr>
      <w:r>
        <w:rPr>
          <w:snapToGrid w:val="0"/>
        </w:rPr>
        <w:tab/>
        <w:t>(c)</w:t>
      </w:r>
      <w:r>
        <w:rPr>
          <w:snapToGrid w:val="0"/>
        </w:rPr>
        <w:tab/>
        <w:t>number plates issued under section 37 of the repealed Act are deemed to be taxi plates under this Act;</w:t>
      </w:r>
    </w:p>
    <w:p>
      <w:pPr>
        <w:pStyle w:val="Indenta"/>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pPr>
      <w:r>
        <w:tab/>
        <w:t>[Section 47 amended by No. 72 of 2003 s. 18.]</w:t>
      </w:r>
    </w:p>
    <w:p>
      <w:pPr>
        <w:pStyle w:val="Ednotepart"/>
      </w:pPr>
      <w:r>
        <w:t>[Part 6 — Consequential amendments, omitted under the Reprints Act 1984 s. 7(4)(e).]</w:t>
      </w:r>
    </w:p>
    <w:p>
      <w:pPr>
        <w:pStyle w:val="yEdnoteschedule"/>
      </w:pPr>
      <w:r>
        <w:t>[Schedule 1 — Amendments to certain other Acts,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64" w:name="_Toc89759019"/>
      <w:bookmarkStart w:id="265" w:name="_Toc91321562"/>
      <w:bookmarkStart w:id="266" w:name="_Toc92772433"/>
      <w:bookmarkStart w:id="267" w:name="_Toc96919191"/>
      <w:bookmarkStart w:id="268" w:name="_Toc103072775"/>
      <w:bookmarkStart w:id="269" w:name="_Toc107910938"/>
      <w:bookmarkStart w:id="270" w:name="_Toc123640092"/>
      <w:bookmarkStart w:id="271" w:name="_Toc131835899"/>
      <w:bookmarkStart w:id="272" w:name="_Toc135106997"/>
      <w:bookmarkStart w:id="273" w:name="_Toc135109305"/>
      <w:r>
        <w:t>Notes</w:t>
      </w:r>
      <w:bookmarkEnd w:id="264"/>
      <w:bookmarkEnd w:id="265"/>
      <w:bookmarkEnd w:id="266"/>
      <w:bookmarkEnd w:id="267"/>
      <w:bookmarkEnd w:id="268"/>
      <w:bookmarkEnd w:id="269"/>
      <w:bookmarkEnd w:id="270"/>
      <w:bookmarkEnd w:id="271"/>
      <w:bookmarkEnd w:id="272"/>
      <w:bookmarkEnd w:id="273"/>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4" w:name="_Toc131835900"/>
      <w:bookmarkStart w:id="275" w:name="_Toc135109306"/>
      <w:r>
        <w:rPr>
          <w:snapToGrid w:val="0"/>
        </w:rPr>
        <w:t>Compilation table</w:t>
      </w:r>
      <w:bookmarkEnd w:id="274"/>
      <w:bookmarkEnd w:id="275"/>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170"/>
        <w:gridCol w:w="241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Taxi Act 1994</w:t>
            </w:r>
          </w:p>
        </w:tc>
        <w:tc>
          <w:tcPr>
            <w:tcW w:w="1134" w:type="dxa"/>
            <w:gridSpan w:val="2"/>
          </w:tcPr>
          <w:p>
            <w:pPr>
              <w:pStyle w:val="nTable"/>
              <w:spacing w:before="80"/>
              <w:rPr>
                <w:sz w:val="19"/>
              </w:rPr>
            </w:pPr>
            <w:r>
              <w:rPr>
                <w:sz w:val="19"/>
              </w:rPr>
              <w:t>83 of 1994</w:t>
            </w:r>
          </w:p>
        </w:tc>
        <w:tc>
          <w:tcPr>
            <w:tcW w:w="1134" w:type="dxa"/>
            <w:gridSpan w:val="2"/>
          </w:tcPr>
          <w:p>
            <w:pPr>
              <w:pStyle w:val="nTable"/>
              <w:spacing w:before="80"/>
              <w:rPr>
                <w:sz w:val="19"/>
              </w:rPr>
            </w:pPr>
            <w:r>
              <w:rPr>
                <w:sz w:val="19"/>
              </w:rPr>
              <w:t>20 Dec 1994</w:t>
            </w:r>
          </w:p>
        </w:tc>
        <w:tc>
          <w:tcPr>
            <w:tcW w:w="2580" w:type="dxa"/>
            <w:gridSpan w:val="2"/>
          </w:tcPr>
          <w:p>
            <w:pPr>
              <w:pStyle w:val="nTable"/>
              <w:spacing w:before="8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c>
          <w:tcPr>
            <w:tcW w:w="2268" w:type="dxa"/>
          </w:tcPr>
          <w:p>
            <w:pPr>
              <w:pStyle w:val="nTable"/>
              <w:spacing w:before="80"/>
              <w:rPr>
                <w:sz w:val="19"/>
              </w:rPr>
            </w:pPr>
            <w:r>
              <w:rPr>
                <w:i/>
                <w:sz w:val="19"/>
              </w:rPr>
              <w:t>Sentencing (Consequential Provisions) Act 1995</w:t>
            </w:r>
            <w:r>
              <w:rPr>
                <w:sz w:val="19"/>
              </w:rPr>
              <w:t xml:space="preserve"> Pt. 76</w:t>
            </w:r>
          </w:p>
        </w:tc>
        <w:tc>
          <w:tcPr>
            <w:tcW w:w="1134" w:type="dxa"/>
            <w:gridSpan w:val="2"/>
          </w:tcPr>
          <w:p>
            <w:pPr>
              <w:pStyle w:val="nTable"/>
              <w:spacing w:before="80"/>
              <w:rPr>
                <w:sz w:val="19"/>
              </w:rPr>
            </w:pPr>
            <w:r>
              <w:rPr>
                <w:sz w:val="19"/>
              </w:rPr>
              <w:t>78 of 1995</w:t>
            </w:r>
          </w:p>
        </w:tc>
        <w:tc>
          <w:tcPr>
            <w:tcW w:w="1134" w:type="dxa"/>
            <w:gridSpan w:val="2"/>
          </w:tcPr>
          <w:p>
            <w:pPr>
              <w:pStyle w:val="nTable"/>
              <w:spacing w:before="80"/>
              <w:rPr>
                <w:sz w:val="19"/>
              </w:rPr>
            </w:pPr>
            <w:r>
              <w:rPr>
                <w:sz w:val="19"/>
              </w:rPr>
              <w:t>16 Jan 1996</w:t>
            </w:r>
          </w:p>
        </w:tc>
        <w:tc>
          <w:tcPr>
            <w:tcW w:w="2580" w:type="dxa"/>
            <w:gridSpan w:val="2"/>
          </w:tcPr>
          <w:p>
            <w:pPr>
              <w:pStyle w:val="nTable"/>
              <w:spacing w:before="8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before="80" w:after="60"/>
              <w:rPr>
                <w:sz w:val="19"/>
              </w:rPr>
            </w:pPr>
            <w:r>
              <w:rPr>
                <w:i/>
                <w:sz w:val="19"/>
              </w:rPr>
              <w:t>Financial Legislation Amendment Act 1996</w:t>
            </w:r>
            <w:r>
              <w:rPr>
                <w:sz w:val="19"/>
              </w:rPr>
              <w:t xml:space="preserve"> s. 64</w:t>
            </w:r>
          </w:p>
        </w:tc>
        <w:tc>
          <w:tcPr>
            <w:tcW w:w="1134" w:type="dxa"/>
            <w:gridSpan w:val="2"/>
          </w:tcPr>
          <w:p>
            <w:pPr>
              <w:pStyle w:val="nTable"/>
              <w:spacing w:before="80" w:after="60"/>
              <w:rPr>
                <w:sz w:val="19"/>
              </w:rPr>
            </w:pPr>
            <w:r>
              <w:rPr>
                <w:sz w:val="19"/>
              </w:rPr>
              <w:t>49 of 1996</w:t>
            </w:r>
          </w:p>
        </w:tc>
        <w:tc>
          <w:tcPr>
            <w:tcW w:w="1134" w:type="dxa"/>
            <w:gridSpan w:val="2"/>
          </w:tcPr>
          <w:p>
            <w:pPr>
              <w:pStyle w:val="nTable"/>
              <w:spacing w:before="80" w:after="60"/>
              <w:rPr>
                <w:sz w:val="19"/>
              </w:rPr>
            </w:pPr>
            <w:r>
              <w:rPr>
                <w:sz w:val="19"/>
              </w:rPr>
              <w:t>25 Oct 1996</w:t>
            </w:r>
          </w:p>
        </w:tc>
        <w:tc>
          <w:tcPr>
            <w:tcW w:w="2580" w:type="dxa"/>
            <w:gridSpan w:val="2"/>
          </w:tcPr>
          <w:p>
            <w:pPr>
              <w:pStyle w:val="nTable"/>
              <w:spacing w:before="80" w:after="60"/>
              <w:rPr>
                <w:sz w:val="19"/>
              </w:rPr>
            </w:pPr>
            <w:r>
              <w:rPr>
                <w:sz w:val="19"/>
              </w:rPr>
              <w:t>25 Oct 1996 (see s. 2(1))</w:t>
            </w:r>
          </w:p>
        </w:tc>
      </w:tr>
      <w:tr>
        <w:tc>
          <w:tcPr>
            <w:tcW w:w="2268" w:type="dxa"/>
          </w:tcPr>
          <w:p>
            <w:pPr>
              <w:pStyle w:val="nTable"/>
              <w:spacing w:before="80"/>
              <w:rPr>
                <w:i/>
                <w:sz w:val="19"/>
              </w:rPr>
            </w:pPr>
            <w:r>
              <w:rPr>
                <w:i/>
                <w:sz w:val="19"/>
              </w:rPr>
              <w:t>Taxi Amendment Act 1998</w:t>
            </w:r>
          </w:p>
        </w:tc>
        <w:tc>
          <w:tcPr>
            <w:tcW w:w="1134" w:type="dxa"/>
            <w:gridSpan w:val="2"/>
          </w:tcPr>
          <w:p>
            <w:pPr>
              <w:pStyle w:val="nTable"/>
              <w:spacing w:before="80"/>
              <w:rPr>
                <w:sz w:val="19"/>
              </w:rPr>
            </w:pPr>
            <w:r>
              <w:rPr>
                <w:sz w:val="19"/>
              </w:rPr>
              <w:t>44 of 1998</w:t>
            </w:r>
          </w:p>
        </w:tc>
        <w:tc>
          <w:tcPr>
            <w:tcW w:w="1134" w:type="dxa"/>
            <w:gridSpan w:val="2"/>
          </w:tcPr>
          <w:p>
            <w:pPr>
              <w:pStyle w:val="nTable"/>
              <w:spacing w:before="80"/>
              <w:rPr>
                <w:sz w:val="19"/>
              </w:rPr>
            </w:pPr>
            <w:r>
              <w:rPr>
                <w:sz w:val="19"/>
              </w:rPr>
              <w:t>19 Nov 1998</w:t>
            </w:r>
          </w:p>
        </w:tc>
        <w:tc>
          <w:tcPr>
            <w:tcW w:w="2580" w:type="dxa"/>
            <w:gridSpan w:val="2"/>
          </w:tcPr>
          <w:p>
            <w:pPr>
              <w:pStyle w:val="nTable"/>
              <w:spacing w:before="8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c>
          <w:tcPr>
            <w:tcW w:w="2268" w:type="dxa"/>
          </w:tcPr>
          <w:p>
            <w:pPr>
              <w:pStyle w:val="nTable"/>
              <w:spacing w:before="80"/>
              <w:rPr>
                <w:sz w:val="19"/>
              </w:rPr>
            </w:pPr>
            <w:r>
              <w:rPr>
                <w:i/>
                <w:sz w:val="19"/>
              </w:rPr>
              <w:t>Acts Amendment (Criminal Procedure) Act 1999</w:t>
            </w:r>
            <w:r>
              <w:rPr>
                <w:sz w:val="19"/>
              </w:rPr>
              <w:t xml:space="preserve"> s. 9</w:t>
            </w:r>
          </w:p>
        </w:tc>
        <w:tc>
          <w:tcPr>
            <w:tcW w:w="1134" w:type="dxa"/>
            <w:gridSpan w:val="2"/>
          </w:tcPr>
          <w:p>
            <w:pPr>
              <w:pStyle w:val="nTable"/>
              <w:spacing w:before="80"/>
              <w:rPr>
                <w:sz w:val="19"/>
              </w:rPr>
            </w:pPr>
            <w:r>
              <w:rPr>
                <w:sz w:val="19"/>
              </w:rPr>
              <w:t>10 of 1999</w:t>
            </w:r>
          </w:p>
        </w:tc>
        <w:tc>
          <w:tcPr>
            <w:tcW w:w="1134" w:type="dxa"/>
            <w:gridSpan w:val="2"/>
          </w:tcPr>
          <w:p>
            <w:pPr>
              <w:pStyle w:val="nTable"/>
              <w:spacing w:before="80"/>
              <w:rPr>
                <w:sz w:val="19"/>
              </w:rPr>
            </w:pPr>
            <w:r>
              <w:rPr>
                <w:sz w:val="19"/>
              </w:rPr>
              <w:t>5 May 1999</w:t>
            </w:r>
          </w:p>
        </w:tc>
        <w:tc>
          <w:tcPr>
            <w:tcW w:w="2580" w:type="dxa"/>
            <w:gridSpan w:val="2"/>
          </w:tcPr>
          <w:p>
            <w:pPr>
              <w:pStyle w:val="nTable"/>
              <w:spacing w:before="80"/>
              <w:rPr>
                <w:sz w:val="19"/>
              </w:rPr>
            </w:pPr>
            <w:r>
              <w:rPr>
                <w:sz w:val="19"/>
              </w:rPr>
              <w:t xml:space="preserve">1 Oct 1999 (see s. 2 and </w:t>
            </w:r>
            <w:r>
              <w:rPr>
                <w:i/>
                <w:sz w:val="19"/>
              </w:rPr>
              <w:t>Gazette</w:t>
            </w:r>
            <w:r>
              <w:rPr>
                <w:sz w:val="19"/>
              </w:rPr>
              <w:t xml:space="preserve"> 17 Sep 1999 p. 4557)</w:t>
            </w:r>
          </w:p>
        </w:tc>
      </w:tr>
      <w:tr>
        <w:tc>
          <w:tcPr>
            <w:tcW w:w="2268" w:type="dxa"/>
          </w:tcPr>
          <w:p>
            <w:pPr>
              <w:pStyle w:val="nTable"/>
              <w:spacing w:before="80"/>
              <w:rPr>
                <w:i/>
                <w:sz w:val="19"/>
                <w:vertAlign w:val="superscript"/>
              </w:rPr>
            </w:pPr>
            <w:r>
              <w:rPr>
                <w:i/>
                <w:snapToGrid w:val="0"/>
                <w:spacing w:val="6"/>
                <w:sz w:val="19"/>
              </w:rPr>
              <w:t xml:space="preserve">Machinery of Government (Planning and Infrastructure) Amendment Act 2002 </w:t>
            </w:r>
            <w:r>
              <w:rPr>
                <w:snapToGrid w:val="0"/>
                <w:spacing w:val="6"/>
                <w:sz w:val="19"/>
              </w:rPr>
              <w:t>Pt. 8 </w:t>
            </w:r>
            <w:r>
              <w:rPr>
                <w:snapToGrid w:val="0"/>
                <w:spacing w:val="6"/>
                <w:sz w:val="19"/>
                <w:vertAlign w:val="superscript"/>
              </w:rPr>
              <w:t>2</w:t>
            </w:r>
          </w:p>
        </w:tc>
        <w:tc>
          <w:tcPr>
            <w:tcW w:w="1134" w:type="dxa"/>
            <w:gridSpan w:val="2"/>
          </w:tcPr>
          <w:p>
            <w:pPr>
              <w:pStyle w:val="nTable"/>
              <w:spacing w:before="80"/>
              <w:rPr>
                <w:sz w:val="19"/>
              </w:rPr>
            </w:pPr>
            <w:r>
              <w:rPr>
                <w:snapToGrid w:val="0"/>
                <w:sz w:val="19"/>
              </w:rPr>
              <w:t>7 of 2002</w:t>
            </w:r>
          </w:p>
        </w:tc>
        <w:tc>
          <w:tcPr>
            <w:tcW w:w="1134" w:type="dxa"/>
            <w:gridSpan w:val="2"/>
          </w:tcPr>
          <w:p>
            <w:pPr>
              <w:pStyle w:val="nTable"/>
              <w:spacing w:before="80"/>
              <w:rPr>
                <w:sz w:val="19"/>
              </w:rPr>
            </w:pPr>
            <w:r>
              <w:rPr>
                <w:sz w:val="19"/>
              </w:rPr>
              <w:t>19 Jun 2002</w:t>
            </w:r>
          </w:p>
        </w:tc>
        <w:tc>
          <w:tcPr>
            <w:tcW w:w="2580" w:type="dxa"/>
            <w:gridSpan w:val="2"/>
          </w:tcPr>
          <w:p>
            <w:pPr>
              <w:pStyle w:val="nTable"/>
              <w:spacing w:before="80"/>
              <w:rPr>
                <w:sz w:val="19"/>
              </w:rPr>
            </w:pPr>
            <w:r>
              <w:rPr>
                <w:sz w:val="19"/>
              </w:rPr>
              <w:t xml:space="preserve">1 Jul 2002 (see s. 2 and </w:t>
            </w:r>
            <w:r>
              <w:rPr>
                <w:i/>
                <w:sz w:val="19"/>
              </w:rPr>
              <w:t>Gazette</w:t>
            </w:r>
            <w:r>
              <w:rPr>
                <w:sz w:val="19"/>
              </w:rPr>
              <w:t xml:space="preserve"> 28 Jun 2002 p. 3037)</w:t>
            </w:r>
          </w:p>
        </w:tc>
      </w:tr>
      <w:tr>
        <w:trPr>
          <w:cantSplit/>
        </w:trPr>
        <w:tc>
          <w:tcPr>
            <w:tcW w:w="7116" w:type="dxa"/>
            <w:gridSpan w:val="7"/>
          </w:tcPr>
          <w:p>
            <w:pPr>
              <w:pStyle w:val="nTable"/>
              <w:spacing w:before="8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cantSplit/>
        </w:trPr>
        <w:tc>
          <w:tcPr>
            <w:tcW w:w="2296" w:type="dxa"/>
            <w:gridSpan w:val="2"/>
          </w:tcPr>
          <w:p>
            <w:pPr>
              <w:pStyle w:val="nTable"/>
              <w:spacing w:before="80"/>
              <w:rPr>
                <w:i/>
                <w:sz w:val="19"/>
              </w:rPr>
            </w:pPr>
            <w:r>
              <w:rPr>
                <w:i/>
                <w:sz w:val="19"/>
              </w:rPr>
              <w:t>Taxi Amendment Act 2003</w:t>
            </w:r>
          </w:p>
        </w:tc>
        <w:tc>
          <w:tcPr>
            <w:tcW w:w="1134" w:type="dxa"/>
            <w:gridSpan w:val="2"/>
          </w:tcPr>
          <w:p>
            <w:pPr>
              <w:pStyle w:val="nTable"/>
              <w:spacing w:before="80"/>
              <w:rPr>
                <w:sz w:val="19"/>
              </w:rPr>
            </w:pPr>
            <w:r>
              <w:rPr>
                <w:sz w:val="19"/>
              </w:rPr>
              <w:t>72 of 2003</w:t>
            </w:r>
          </w:p>
        </w:tc>
        <w:tc>
          <w:tcPr>
            <w:tcW w:w="1276" w:type="dxa"/>
            <w:gridSpan w:val="2"/>
          </w:tcPr>
          <w:p>
            <w:pPr>
              <w:pStyle w:val="nTable"/>
              <w:spacing w:before="80"/>
              <w:rPr>
                <w:sz w:val="19"/>
              </w:rPr>
            </w:pPr>
            <w:r>
              <w:rPr>
                <w:sz w:val="19"/>
              </w:rPr>
              <w:t>15 Dec 2003</w:t>
            </w:r>
          </w:p>
        </w:tc>
        <w:tc>
          <w:tcPr>
            <w:tcW w:w="2410" w:type="dxa"/>
          </w:tcPr>
          <w:p>
            <w:pPr>
              <w:pStyle w:val="nTable"/>
              <w:spacing w:before="80"/>
              <w:rPr>
                <w:sz w:val="19"/>
              </w:rPr>
            </w:pPr>
            <w:r>
              <w:rPr>
                <w:sz w:val="19"/>
              </w:rPr>
              <w:t>15 Dec 2003 (see s. 2)</w:t>
            </w:r>
          </w:p>
        </w:tc>
      </w:tr>
      <w:tr>
        <w:trPr>
          <w:cantSplit/>
        </w:trPr>
        <w:tc>
          <w:tcPr>
            <w:tcW w:w="2296" w:type="dxa"/>
            <w:gridSpan w:val="2"/>
          </w:tcPr>
          <w:p>
            <w:pPr>
              <w:pStyle w:val="nTable"/>
              <w:spacing w:before="80"/>
              <w:rPr>
                <w:i/>
                <w:sz w:val="19"/>
              </w:rPr>
            </w:pPr>
            <w:r>
              <w:rPr>
                <w:i/>
                <w:sz w:val="19"/>
              </w:rPr>
              <w:t>State Administrative Tribunal (Conferral of Jurisdiction) Amendment and Repeal Act 2004</w:t>
            </w:r>
            <w:r>
              <w:rPr>
                <w:iCs/>
                <w:sz w:val="19"/>
              </w:rPr>
              <w:t xml:space="preserve"> Pt. 2 Div. 125</w:t>
            </w:r>
            <w:r>
              <w:rPr>
                <w:iCs/>
                <w:sz w:val="19"/>
                <w:vertAlign w:val="superscript"/>
              </w:rPr>
              <w:t xml:space="preserve"> 5</w:t>
            </w:r>
          </w:p>
        </w:tc>
        <w:tc>
          <w:tcPr>
            <w:tcW w:w="1134" w:type="dxa"/>
            <w:gridSpan w:val="2"/>
          </w:tcPr>
          <w:p>
            <w:pPr>
              <w:pStyle w:val="nTable"/>
              <w:spacing w:before="80"/>
              <w:rPr>
                <w:sz w:val="19"/>
              </w:rPr>
            </w:pPr>
            <w:r>
              <w:rPr>
                <w:sz w:val="19"/>
              </w:rPr>
              <w:t>55 of 2004</w:t>
            </w:r>
          </w:p>
        </w:tc>
        <w:tc>
          <w:tcPr>
            <w:tcW w:w="1276" w:type="dxa"/>
            <w:gridSpan w:val="2"/>
          </w:tcPr>
          <w:p>
            <w:pPr>
              <w:pStyle w:val="nTable"/>
              <w:spacing w:before="80"/>
              <w:rPr>
                <w:sz w:val="19"/>
              </w:rPr>
            </w:pPr>
            <w:r>
              <w:rPr>
                <w:sz w:val="19"/>
              </w:rPr>
              <w:t>24 Nov 2004</w:t>
            </w:r>
          </w:p>
        </w:tc>
        <w:tc>
          <w:tcPr>
            <w:tcW w:w="2410" w:type="dxa"/>
          </w:tcPr>
          <w:p>
            <w:pPr>
              <w:pStyle w:val="nTable"/>
              <w:spacing w:before="80"/>
              <w:rPr>
                <w:sz w:val="19"/>
              </w:rPr>
            </w:pPr>
            <w:r>
              <w:rPr>
                <w:sz w:val="19"/>
              </w:rPr>
              <w:t xml:space="preserve">1 Jan 2005 (see s. 2 and </w:t>
            </w:r>
            <w:r>
              <w:rPr>
                <w:i/>
                <w:iCs/>
                <w:sz w:val="19"/>
              </w:rPr>
              <w:t>Gazette</w:t>
            </w:r>
            <w:r>
              <w:rPr>
                <w:sz w:val="19"/>
              </w:rPr>
              <w:t xml:space="preserve"> 31 Dec 2004 p. 7130)</w:t>
            </w:r>
          </w:p>
        </w:tc>
      </w:tr>
      <w:tr>
        <w:trPr>
          <w:cantSplit/>
        </w:trPr>
        <w:tc>
          <w:tcPr>
            <w:tcW w:w="2296" w:type="dxa"/>
            <w:gridSpan w:val="2"/>
          </w:tcPr>
          <w:p>
            <w:pPr>
              <w:pStyle w:val="nTable"/>
              <w:spacing w:before="8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80"/>
              <w:rPr>
                <w:sz w:val="19"/>
              </w:rPr>
            </w:pPr>
            <w:r>
              <w:rPr>
                <w:snapToGrid w:val="0"/>
                <w:sz w:val="19"/>
                <w:lang w:val="en-US"/>
              </w:rPr>
              <w:t>84 of 2004</w:t>
            </w:r>
          </w:p>
        </w:tc>
        <w:tc>
          <w:tcPr>
            <w:tcW w:w="1276" w:type="dxa"/>
            <w:gridSpan w:val="2"/>
          </w:tcPr>
          <w:p>
            <w:pPr>
              <w:pStyle w:val="nTable"/>
              <w:spacing w:before="80"/>
              <w:rPr>
                <w:sz w:val="19"/>
              </w:rPr>
            </w:pPr>
            <w:r>
              <w:rPr>
                <w:sz w:val="19"/>
              </w:rPr>
              <w:t>16 Dec 2004</w:t>
            </w:r>
          </w:p>
        </w:tc>
        <w:tc>
          <w:tcPr>
            <w:tcW w:w="2410" w:type="dxa"/>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CellMar>
            <w:left w:w="108" w:type="dxa"/>
            <w:right w:w="108" w:type="dxa"/>
          </w:tblCellMar>
        </w:tblPrEx>
        <w:tc>
          <w:tcPr>
            <w:tcW w:w="2296" w:type="dxa"/>
            <w:gridSpan w:val="2"/>
            <w:tcBorders>
              <w:top w:val="nil"/>
              <w:bottom w:val="nil"/>
            </w:tcBorders>
          </w:tcPr>
          <w:p>
            <w:pPr>
              <w:pStyle w:val="nTable"/>
              <w:rPr>
                <w:snapToGrid w:val="0"/>
                <w:sz w:val="19"/>
                <w:lang w:val="en-US"/>
              </w:rPr>
            </w:pPr>
            <w:r>
              <w:rPr>
                <w:i/>
                <w:iCs/>
                <w:snapToGrid w:val="0"/>
                <w:sz w:val="19"/>
                <w:lang w:val="en-US"/>
              </w:rPr>
              <w:t>Financial Administration Legislation Amendment Act 2005</w:t>
            </w:r>
            <w:r>
              <w:rPr>
                <w:snapToGrid w:val="0"/>
                <w:sz w:val="19"/>
                <w:lang w:val="en-US"/>
              </w:rPr>
              <w:t xml:space="preserve"> s. 44</w:t>
            </w:r>
          </w:p>
        </w:tc>
        <w:tc>
          <w:tcPr>
            <w:tcW w:w="1134" w:type="dxa"/>
            <w:gridSpan w:val="2"/>
            <w:tcBorders>
              <w:top w:val="nil"/>
              <w:bottom w:val="nil"/>
            </w:tcBorders>
          </w:tcPr>
          <w:p>
            <w:pPr>
              <w:pStyle w:val="nTable"/>
              <w:rPr>
                <w:snapToGrid w:val="0"/>
                <w:sz w:val="19"/>
                <w:lang w:val="en-US"/>
              </w:rPr>
            </w:pPr>
            <w:r>
              <w:rPr>
                <w:snapToGrid w:val="0"/>
                <w:sz w:val="19"/>
                <w:lang w:val="en-US"/>
              </w:rPr>
              <w:t>5 of 2005</w:t>
            </w:r>
          </w:p>
        </w:tc>
        <w:tc>
          <w:tcPr>
            <w:tcW w:w="1276" w:type="dxa"/>
            <w:gridSpan w:val="2"/>
            <w:tcBorders>
              <w:top w:val="nil"/>
              <w:bottom w:val="nil"/>
            </w:tcBorders>
          </w:tcPr>
          <w:p>
            <w:pPr>
              <w:pStyle w:val="nTable"/>
              <w:ind w:left="12"/>
              <w:rPr>
                <w:snapToGrid w:val="0"/>
                <w:sz w:val="19"/>
                <w:lang w:val="en-US"/>
              </w:rPr>
            </w:pPr>
            <w:r>
              <w:rPr>
                <w:sz w:val="19"/>
              </w:rPr>
              <w:t>27 Jun 2005</w:t>
            </w:r>
          </w:p>
        </w:tc>
        <w:tc>
          <w:tcPr>
            <w:tcW w:w="2412"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CellMar>
            <w:left w:w="108" w:type="dxa"/>
            <w:right w:w="108" w:type="dxa"/>
          </w:tblCellMar>
        </w:tblPrEx>
        <w:tc>
          <w:tcPr>
            <w:tcW w:w="2296" w:type="dxa"/>
            <w:gridSpan w:val="2"/>
            <w:tcBorders>
              <w:top w:val="nil"/>
              <w:bottom w:val="single" w:sz="4" w:space="0" w:color="auto"/>
            </w:tcBorders>
          </w:tcPr>
          <w:p>
            <w:pPr>
              <w:pStyle w:val="nTable"/>
              <w:rPr>
                <w:snapToGrid w:val="0"/>
                <w:sz w:val="19"/>
                <w:lang w:val="en-US"/>
              </w:rPr>
            </w:pPr>
            <w:r>
              <w:rPr>
                <w:i/>
                <w:iCs/>
                <w:snapToGrid w:val="0"/>
                <w:sz w:val="19"/>
                <w:lang w:val="en-US"/>
              </w:rPr>
              <w:t>Taxi Amendment Act 2006</w:t>
            </w:r>
            <w:r>
              <w:rPr>
                <w:snapToGrid w:val="0"/>
                <w:sz w:val="19"/>
                <w:lang w:val="en-US"/>
              </w:rPr>
              <w:t xml:space="preserve"> </w:t>
            </w:r>
          </w:p>
        </w:tc>
        <w:tc>
          <w:tcPr>
            <w:tcW w:w="1134" w:type="dxa"/>
            <w:gridSpan w:val="2"/>
            <w:tcBorders>
              <w:top w:val="nil"/>
              <w:bottom w:val="single" w:sz="4" w:space="0" w:color="auto"/>
            </w:tcBorders>
          </w:tcPr>
          <w:p>
            <w:pPr>
              <w:pStyle w:val="nTable"/>
              <w:rPr>
                <w:snapToGrid w:val="0"/>
                <w:sz w:val="19"/>
                <w:lang w:val="en-US"/>
              </w:rPr>
            </w:pPr>
            <w:r>
              <w:rPr>
                <w:snapToGrid w:val="0"/>
                <w:sz w:val="19"/>
                <w:lang w:val="en-US"/>
              </w:rPr>
              <w:t>4 of 2006</w:t>
            </w:r>
          </w:p>
        </w:tc>
        <w:tc>
          <w:tcPr>
            <w:tcW w:w="1276" w:type="dxa"/>
            <w:gridSpan w:val="2"/>
            <w:tcBorders>
              <w:top w:val="nil"/>
              <w:bottom w:val="single" w:sz="4" w:space="0" w:color="auto"/>
            </w:tcBorders>
          </w:tcPr>
          <w:p>
            <w:pPr>
              <w:pStyle w:val="nTable"/>
              <w:ind w:left="12"/>
              <w:rPr>
                <w:sz w:val="19"/>
              </w:rPr>
            </w:pPr>
            <w:r>
              <w:rPr>
                <w:sz w:val="19"/>
              </w:rPr>
              <w:t>30 Mar 2006</w:t>
            </w:r>
          </w:p>
        </w:tc>
        <w:tc>
          <w:tcPr>
            <w:tcW w:w="2412" w:type="dxa"/>
            <w:tcBorders>
              <w:top w:val="nil"/>
              <w:bottom w:val="single" w:sz="4" w:space="0" w:color="auto"/>
            </w:tcBorders>
          </w:tcPr>
          <w:p>
            <w:pPr>
              <w:pStyle w:val="nTable"/>
            </w:pPr>
            <w:r>
              <w:t>Act other than Pt. 2: 30 Mar 2006 (see s. 2(1));</w:t>
            </w:r>
          </w:p>
          <w:p>
            <w:pPr>
              <w:pStyle w:val="nTable"/>
              <w:ind w:right="-106"/>
              <w:rPr>
                <w:snapToGrid w:val="0"/>
                <w:sz w:val="19"/>
                <w:lang w:val="en-US"/>
              </w:rPr>
            </w:pPr>
            <w:r>
              <w:t xml:space="preserve">Pt. 2: 11 May 2006 (see s. 2(2) and </w:t>
            </w:r>
            <w:r>
              <w:rPr>
                <w:i/>
                <w:iCs/>
              </w:rPr>
              <w:t>Gazette</w:t>
            </w:r>
            <w:r>
              <w:t xml:space="preserve"> 11 May 2006 p. 1777)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6" w:name="_Toc131835901"/>
      <w:bookmarkStart w:id="277" w:name="_Toc135109307"/>
      <w:r>
        <w:rPr>
          <w:snapToGrid w:val="0"/>
        </w:rPr>
        <w:t>Provisions that have not come into operation</w:t>
      </w:r>
      <w:bookmarkEnd w:id="276"/>
      <w:bookmarkEnd w:id="27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spacing w:val="6"/>
        </w:rPr>
      </w:pPr>
      <w:r>
        <w:rPr>
          <w:vertAlign w:val="superscript"/>
        </w:rPr>
        <w:t>2</w:t>
      </w:r>
      <w:r>
        <w:tab/>
        <w:t xml:space="preserve">The </w:t>
      </w:r>
      <w:r>
        <w:rPr>
          <w:i/>
          <w:snapToGrid w:val="0"/>
          <w:spacing w:val="6"/>
        </w:rPr>
        <w:t>Machinery of Government (Planning and Infrastructure) Amendment Act 2002</w:t>
      </w:r>
      <w:r>
        <w:rPr>
          <w:snapToGrid w:val="0"/>
          <w:spacing w:val="6"/>
        </w:rPr>
        <w:t xml:space="preserve"> s. 32(7) and (8) read as follows:</w:t>
      </w:r>
    </w:p>
    <w:p>
      <w:pPr>
        <w:pStyle w:val="MiscOpen"/>
      </w:pPr>
      <w:r>
        <w:t>“</w:t>
      </w:r>
    </w:p>
    <w:p>
      <w:pPr>
        <w:pStyle w:val="nzSubsection"/>
      </w:pPr>
      <w:r>
        <w:tab/>
        <w:t>(7)</w:t>
      </w:r>
      <w:r>
        <w:tab/>
        <w:t xml:space="preserve">The balance of the Taxi Industry Development Fund as it was before this section came into operation is to be the opening balance of the Taxi Industry Development Account established under the </w:t>
      </w:r>
      <w:r>
        <w:rPr>
          <w:i/>
        </w:rPr>
        <w:t>Taxi Act 1994</w:t>
      </w:r>
      <w:r>
        <w:t xml:space="preserve"> section 41(1) as inserted by subsection (1).</w:t>
      </w:r>
    </w:p>
    <w:p>
      <w:pPr>
        <w:pStyle w:val="nzSubsection"/>
      </w:pPr>
      <w:r>
        <w:tab/>
        <w:t>(8)</w:t>
      </w:r>
      <w:r>
        <w:tab/>
        <w:t xml:space="preserve">The amount of that opening balance is to be reflected by a closing entry in the Taxi Industry Development Fund that was, before this section came into operation, required to be maintained as a part of the Trust Fund referred to in the </w:t>
      </w:r>
      <w:r>
        <w:rPr>
          <w:i/>
        </w:rPr>
        <w:t>Financial Administration and Audit Act 1985</w:t>
      </w:r>
      <w:r>
        <w:t xml:space="preserve"> section 9.</w:t>
      </w:r>
    </w:p>
    <w:p>
      <w:pPr>
        <w:pStyle w:val="MiscClose"/>
      </w:pPr>
      <w: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78" w:name="_Toc88630545"/>
      <w:r>
        <w:rPr>
          <w:rStyle w:val="CharSectno"/>
        </w:rPr>
        <w:t>142</w:t>
      </w:r>
      <w:r>
        <w:t>.</w:t>
      </w:r>
      <w:r>
        <w:tab/>
        <w:t>Other amendments to various Acts</w:t>
      </w:r>
      <w:bookmarkEnd w:id="27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279" w:name="_Toc491766812"/>
      <w:bookmarkStart w:id="280" w:name="_Toc497185934"/>
      <w:bookmarkStart w:id="281" w:name="_Toc88630771"/>
      <w:r>
        <w:t>49.</w:t>
      </w:r>
      <w:r>
        <w:tab/>
      </w:r>
      <w:r>
        <w:rPr>
          <w:i/>
        </w:rPr>
        <w:t>Taxi Act 1994</w:t>
      </w:r>
      <w:bookmarkEnd w:id="279"/>
      <w:bookmarkEnd w:id="280"/>
      <w:bookmarkEnd w:id="281"/>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20(4)</w:t>
            </w:r>
          </w:p>
          <w:p>
            <w:pPr>
              <w:pStyle w:val="nzTable"/>
            </w:pPr>
            <w:r>
              <w:t>s. 22(2)</w:t>
            </w:r>
          </w:p>
          <w:p>
            <w:pPr>
              <w:pStyle w:val="nzTable"/>
            </w:pPr>
            <w:r>
              <w:t>s. 23(4)</w:t>
            </w:r>
          </w:p>
          <w:p>
            <w:pPr>
              <w:pStyle w:val="nzTable"/>
            </w:pPr>
            <w:r>
              <w:t>s. 30(3)</w:t>
            </w:r>
          </w:p>
          <w:p>
            <w:pPr>
              <w:pStyle w:val="nzTable"/>
            </w:pPr>
            <w:r>
              <w:t>s. 37(2)</w:t>
            </w:r>
          </w:p>
          <w:p>
            <w:pPr>
              <w:pStyle w:val="nzTable"/>
            </w:pPr>
            <w:r>
              <w:t>s. 38(1)</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pPr>
            <w:r>
              <w:t>s. 20(5)</w:t>
            </w:r>
          </w:p>
          <w:p>
            <w:pPr>
              <w:pStyle w:val="nzTable"/>
            </w:pPr>
            <w:r>
              <w:t>s. 22(3)</w:t>
            </w:r>
          </w:p>
          <w:p>
            <w:pPr>
              <w:pStyle w:val="nzTable"/>
            </w:pPr>
            <w:r>
              <w:t>s. 23(5)</w:t>
            </w:r>
          </w:p>
          <w:p>
            <w:pPr>
              <w:pStyle w:val="nzTable"/>
            </w:pPr>
            <w:r>
              <w:t>s. 30(4)</w:t>
            </w:r>
          </w:p>
          <w:p>
            <w:pPr>
              <w:pStyle w:val="nzTable"/>
            </w:pPr>
            <w:r>
              <w:t>s. 37(3)</w:t>
            </w:r>
          </w:p>
        </w:tc>
        <w:tc>
          <w:tcPr>
            <w:tcW w:w="4678" w:type="dxa"/>
          </w:tcPr>
          <w:p>
            <w:pPr>
              <w:pStyle w:val="nzTable"/>
            </w:pPr>
            <w:r>
              <w:t xml:space="preserve">In each provision delete “A Local Court” and insert instead — </w:t>
            </w:r>
          </w:p>
          <w:p>
            <w:pPr>
              <w:pStyle w:val="nzTable"/>
            </w:pPr>
            <w:r>
              <w:t>“    The Magistrates Court    ”.</w:t>
            </w:r>
          </w:p>
        </w:tc>
      </w:tr>
    </w:tbl>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 xml:space="preserve"> </w:t>
    </w:r>
  </w:p>
  <w:p>
    <w:pPr>
      <w:rPr>
        <w:rStyle w:val="CharPageNo"/>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CharPageNo"/>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CharPageNo"/>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0AE8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B60C1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EBC83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5942F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9DA98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80C6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EC7E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862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8C8FD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D836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ECC89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ABA0C17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12891</Words>
  <Characters>59558</Characters>
  <Application>Microsoft Office Word</Application>
  <DocSecurity>0</DocSecurity>
  <Lines>1654</Lines>
  <Paragraphs>953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1994 - 01-h0-02</dc:title>
  <dc:subject/>
  <dc:creator/>
  <cp:keywords/>
  <dc:description/>
  <cp:lastModifiedBy>svcMRProcess</cp:lastModifiedBy>
  <cp:revision>4</cp:revision>
  <cp:lastPrinted>2002-10-31T04:00:00Z</cp:lastPrinted>
  <dcterms:created xsi:type="dcterms:W3CDTF">2018-09-09T02:53:00Z</dcterms:created>
  <dcterms:modified xsi:type="dcterms:W3CDTF">2018-09-09T02:53:00Z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811</vt:i4>
  </property>
  <property fmtid="{D5CDD505-2E9C-101B-9397-08002B2CF9AE}" pid="6" name="AsAtDate">
    <vt:lpwstr>11 May 2006</vt:lpwstr>
  </property>
  <property fmtid="{D5CDD505-2E9C-101B-9397-08002B2CF9AE}" pid="7" name="Suffix">
    <vt:lpwstr>01-h0-02</vt:lpwstr>
  </property>
</Properties>
</file>