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03798" w:rsidRDefault="005D5447">
      <w:pPr>
        <w:pStyle w:val="WA"/>
      </w:pPr>
      <w:bookmarkStart w:id="0" w:name="_GoBack"/>
      <w:bookmarkEnd w:id="0"/>
      <w:r>
        <w:t>Western Australia</w:t>
      </w:r>
    </w:p>
    <w:p w:rsidR="00F03798" w:rsidRDefault="005D5447">
      <w:pPr>
        <w:pStyle w:val="NameofActRegPage1"/>
        <w:spacing w:before="3760" w:after="4200"/>
      </w:pPr>
      <w:r>
        <w:fldChar w:fldCharType="begin"/>
      </w:r>
      <w:r>
        <w:instrText xml:space="preserve"> STYLEREF "Name Of Act/Reg"</w:instrText>
      </w:r>
      <w:r>
        <w:fldChar w:fldCharType="separate"/>
      </w:r>
      <w:r w:rsidR="00D401D0">
        <w:rPr>
          <w:noProof/>
        </w:rPr>
        <w:t>The Broken Hill Proprietary Company Limited (Export of Iron Ore) Act 1965</w:t>
      </w:r>
      <w:r>
        <w:fldChar w:fldCharType="end"/>
      </w:r>
    </w:p>
    <w:p w:rsidR="00F03798" w:rsidRDefault="00F03798">
      <w:pPr>
        <w:jc w:val="center"/>
        <w:rPr>
          <w:b/>
        </w:rPr>
        <w:sectPr w:rsidR="00F03798">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299"/>
        </w:sectPr>
      </w:pPr>
    </w:p>
    <w:p w:rsidR="00F03798" w:rsidRDefault="005D5447">
      <w:pPr>
        <w:pStyle w:val="WA"/>
      </w:pPr>
      <w:r>
        <w:lastRenderedPageBreak/>
        <w:t>Western Australia</w:t>
      </w:r>
    </w:p>
    <w:p w:rsidR="00F03798" w:rsidRDefault="005D5447">
      <w:pPr>
        <w:pStyle w:val="NameofActRegPage1"/>
      </w:pPr>
      <w:r>
        <w:fldChar w:fldCharType="begin"/>
      </w:r>
      <w:r>
        <w:instrText xml:space="preserve"> STYLEREF "Name Of Act/Reg"</w:instrText>
      </w:r>
      <w:r>
        <w:fldChar w:fldCharType="separate"/>
      </w:r>
      <w:r w:rsidR="00D401D0">
        <w:rPr>
          <w:noProof/>
        </w:rPr>
        <w:t>The Broken Hill Proprietary Company Limited (Export of Iron Ore) Act 1965</w:t>
      </w:r>
      <w:r>
        <w:fldChar w:fldCharType="end"/>
      </w:r>
    </w:p>
    <w:p w:rsidR="00F03798" w:rsidRDefault="005D5447">
      <w:pPr>
        <w:pStyle w:val="Arrangement"/>
      </w:pPr>
      <w:r>
        <w:t>CONTENTS</w:t>
      </w:r>
    </w:p>
    <w:p w:rsidR="00F03798" w:rsidRDefault="005D5447">
      <w:pPr>
        <w:pStyle w:val="TOC4"/>
        <w:tabs>
          <w:tab w:val="left" w:pos="1483"/>
        </w:tabs>
        <w:rPr>
          <w:noProof/>
        </w:rPr>
      </w:pPr>
      <w:r>
        <w:fldChar w:fldCharType="begin"/>
      </w:r>
      <w:r>
        <w:instrText xml:space="preserve"> TOC \o "1-3" \t "Heading 5,4" \n 2-3 </w:instrText>
      </w:r>
      <w:r>
        <w:fldChar w:fldCharType="separate"/>
      </w:r>
      <w:r>
        <w:rPr>
          <w:noProof/>
        </w:rPr>
        <w:t>1</w:t>
      </w:r>
      <w:r>
        <w:rPr>
          <w:noProof/>
          <w:snapToGrid w:val="0"/>
        </w:rPr>
        <w:t>.</w:t>
      </w:r>
      <w:r>
        <w:rPr>
          <w:noProof/>
        </w:rPr>
        <w:tab/>
      </w:r>
      <w:r>
        <w:rPr>
          <w:noProof/>
          <w:snapToGrid w:val="0"/>
        </w:rPr>
        <w:t>Short title</w:t>
      </w:r>
      <w:r>
        <w:rPr>
          <w:noProof/>
        </w:rPr>
        <w:tab/>
      </w:r>
      <w:r>
        <w:rPr>
          <w:noProof/>
        </w:rPr>
        <w:fldChar w:fldCharType="begin"/>
      </w:r>
      <w:r>
        <w:rPr>
          <w:noProof/>
        </w:rPr>
        <w:instrText xml:space="preserve"> PAGEREF _Toc411763249 \h </w:instrText>
      </w:r>
      <w:r>
        <w:rPr>
          <w:noProof/>
        </w:rPr>
      </w:r>
      <w:r>
        <w:rPr>
          <w:noProof/>
        </w:rPr>
        <w:fldChar w:fldCharType="separate"/>
      </w:r>
      <w:r w:rsidR="00D401D0">
        <w:rPr>
          <w:noProof/>
        </w:rPr>
        <w:t>1</w:t>
      </w:r>
      <w:r>
        <w:rPr>
          <w:noProof/>
        </w:rPr>
        <w:fldChar w:fldCharType="end"/>
      </w:r>
    </w:p>
    <w:p w:rsidR="00F03798" w:rsidRDefault="005D5447">
      <w:pPr>
        <w:pStyle w:val="TOC4"/>
        <w:tabs>
          <w:tab w:val="left" w:pos="1483"/>
        </w:tabs>
        <w:rPr>
          <w:noProof/>
        </w:rPr>
      </w:pPr>
      <w:r>
        <w:rPr>
          <w:noProof/>
        </w:rPr>
        <w:t>2</w:t>
      </w:r>
      <w:r>
        <w:rPr>
          <w:noProof/>
          <w:snapToGrid w:val="0"/>
        </w:rPr>
        <w:t>.</w:t>
      </w:r>
      <w:r>
        <w:rPr>
          <w:noProof/>
        </w:rPr>
        <w:tab/>
      </w:r>
      <w:r>
        <w:rPr>
          <w:noProof/>
          <w:snapToGrid w:val="0"/>
        </w:rPr>
        <w:t>Interpretation</w:t>
      </w:r>
      <w:r>
        <w:rPr>
          <w:noProof/>
        </w:rPr>
        <w:tab/>
      </w:r>
      <w:r>
        <w:rPr>
          <w:noProof/>
        </w:rPr>
        <w:fldChar w:fldCharType="begin"/>
      </w:r>
      <w:r>
        <w:rPr>
          <w:noProof/>
        </w:rPr>
        <w:instrText xml:space="preserve"> PAGEREF _Toc411763250 \h </w:instrText>
      </w:r>
      <w:r>
        <w:rPr>
          <w:noProof/>
        </w:rPr>
      </w:r>
      <w:r>
        <w:rPr>
          <w:noProof/>
        </w:rPr>
        <w:fldChar w:fldCharType="separate"/>
      </w:r>
      <w:r w:rsidR="00D401D0">
        <w:rPr>
          <w:noProof/>
        </w:rPr>
        <w:t>1</w:t>
      </w:r>
      <w:r>
        <w:rPr>
          <w:noProof/>
        </w:rPr>
        <w:fldChar w:fldCharType="end"/>
      </w:r>
    </w:p>
    <w:p w:rsidR="00F03798" w:rsidRDefault="005D5447">
      <w:pPr>
        <w:pStyle w:val="TOC4"/>
        <w:tabs>
          <w:tab w:val="left" w:pos="1483"/>
        </w:tabs>
        <w:rPr>
          <w:noProof/>
        </w:rPr>
      </w:pPr>
      <w:r>
        <w:rPr>
          <w:noProof/>
        </w:rPr>
        <w:t>3</w:t>
      </w:r>
      <w:r>
        <w:rPr>
          <w:noProof/>
          <w:snapToGrid w:val="0"/>
        </w:rPr>
        <w:t>.</w:t>
      </w:r>
      <w:r>
        <w:rPr>
          <w:noProof/>
        </w:rPr>
        <w:tab/>
      </w:r>
      <w:r>
        <w:rPr>
          <w:noProof/>
          <w:snapToGrid w:val="0"/>
        </w:rPr>
        <w:t>Power of Company to export certain iron ore</w:t>
      </w:r>
      <w:r>
        <w:rPr>
          <w:noProof/>
        </w:rPr>
        <w:tab/>
      </w:r>
      <w:r>
        <w:rPr>
          <w:noProof/>
        </w:rPr>
        <w:fldChar w:fldCharType="begin"/>
      </w:r>
      <w:r>
        <w:rPr>
          <w:noProof/>
        </w:rPr>
        <w:instrText xml:space="preserve"> PAGEREF _Toc411763251 \h </w:instrText>
      </w:r>
      <w:r>
        <w:rPr>
          <w:noProof/>
        </w:rPr>
      </w:r>
      <w:r>
        <w:rPr>
          <w:noProof/>
        </w:rPr>
        <w:fldChar w:fldCharType="separate"/>
      </w:r>
      <w:r w:rsidR="00D401D0">
        <w:rPr>
          <w:noProof/>
        </w:rPr>
        <w:t>1</w:t>
      </w:r>
      <w:r>
        <w:rPr>
          <w:noProof/>
        </w:rPr>
        <w:fldChar w:fldCharType="end"/>
      </w:r>
    </w:p>
    <w:p w:rsidR="00F03798" w:rsidRDefault="005D5447">
      <w:pPr>
        <w:pStyle w:val="TOC2"/>
        <w:tabs>
          <w:tab w:val="right" w:pos="7086"/>
        </w:tabs>
        <w:rPr>
          <w:noProof/>
        </w:rPr>
      </w:pPr>
      <w:r>
        <w:rPr>
          <w:noProof/>
        </w:rPr>
        <w:t>NOTES</w:t>
      </w:r>
    </w:p>
    <w:p w:rsidR="00F03798" w:rsidRDefault="005D5447">
      <w:pPr>
        <w:pStyle w:val="TOC2"/>
      </w:pPr>
      <w:r>
        <w:fldChar w:fldCharType="end"/>
      </w:r>
    </w:p>
    <w:p w:rsidR="00F03798" w:rsidRDefault="005D5447">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F03798" w:rsidRDefault="00F03798">
      <w:pPr>
        <w:pStyle w:val="NoteHeading"/>
        <w:sectPr w:rsidR="00F03798">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299"/>
        </w:sectPr>
      </w:pPr>
    </w:p>
    <w:p w:rsidR="00F03798" w:rsidRDefault="005D5447">
      <w:pPr>
        <w:pStyle w:val="WA"/>
      </w:pPr>
      <w:r>
        <w:lastRenderedPageBreak/>
        <w:t>Western Australia</w:t>
      </w:r>
    </w:p>
    <w:p w:rsidR="00F03798" w:rsidRDefault="005D5447">
      <w:pPr>
        <w:pStyle w:val="NameofActReg"/>
      </w:pPr>
      <w:r>
        <w:t xml:space="preserve">The Broken Hill Proprietary Company Limited (Export of Iron Ore) Act 1965 </w:t>
      </w:r>
    </w:p>
    <w:p w:rsidR="00F03798" w:rsidRDefault="005D5447">
      <w:pPr>
        <w:pStyle w:val="LongTitle"/>
        <w:rPr>
          <w:snapToGrid w:val="0"/>
        </w:rPr>
      </w:pPr>
      <w:r>
        <w:rPr>
          <w:snapToGrid w:val="0"/>
        </w:rPr>
        <w:t xml:space="preserve">An Act to authorize The Broken Hill Proprietary Company Limited to export certain iron ore from The Commonwealth and for incidental purposes. </w:t>
      </w:r>
    </w:p>
    <w:p w:rsidR="00F03798" w:rsidRDefault="005D5447">
      <w:pPr>
        <w:pStyle w:val="AssentNote"/>
      </w:pPr>
      <w:r>
        <w:t xml:space="preserve">[Assented to 8 December 1965. </w:t>
      </w:r>
    </w:p>
    <w:p w:rsidR="00F03798" w:rsidRDefault="005D5447">
      <w:pPr>
        <w:pStyle w:val="Enactment"/>
        <w:rPr>
          <w:snapToGrid w:val="0"/>
        </w:rPr>
      </w:pPr>
      <w:r>
        <w:rPr>
          <w:snapToGrid w:val="0"/>
        </w:rPr>
        <w:t xml:space="preserve">Bet enacted by the Queen’s Most Excellent Majesty, by and with the advice and consent of the Legislative Council and the Legislative Assembly of Western Australia, in this present Parliament assembled, and by the authority of the same, as follows: —  </w:t>
      </w:r>
    </w:p>
    <w:p w:rsidR="00F03798" w:rsidRDefault="005D5447">
      <w:pPr>
        <w:pStyle w:val="Heading5"/>
        <w:rPr>
          <w:snapToGrid w:val="0"/>
        </w:rPr>
      </w:pPr>
      <w:bookmarkStart w:id="1" w:name="_Toc411763249"/>
      <w:r>
        <w:rPr>
          <w:rStyle w:val="CharSectno"/>
        </w:rPr>
        <w:t>1</w:t>
      </w:r>
      <w:r>
        <w:rPr>
          <w:snapToGrid w:val="0"/>
        </w:rPr>
        <w:t>.</w:t>
      </w:r>
      <w:r>
        <w:rPr>
          <w:snapToGrid w:val="0"/>
        </w:rPr>
        <w:tab/>
        <w:t>Short title</w:t>
      </w:r>
      <w:bookmarkEnd w:id="1"/>
      <w:r>
        <w:rPr>
          <w:snapToGrid w:val="0"/>
        </w:rPr>
        <w:t xml:space="preserve"> </w:t>
      </w:r>
    </w:p>
    <w:p w:rsidR="00F03798" w:rsidRDefault="005D5447">
      <w:pPr>
        <w:pStyle w:val="Subsection"/>
        <w:rPr>
          <w:snapToGrid w:val="0"/>
        </w:rPr>
      </w:pPr>
      <w:r>
        <w:rPr>
          <w:snapToGrid w:val="0"/>
        </w:rPr>
        <w:tab/>
      </w:r>
      <w:r>
        <w:rPr>
          <w:snapToGrid w:val="0"/>
        </w:rPr>
        <w:tab/>
        <w:t xml:space="preserve">This Act may be cited as </w:t>
      </w:r>
      <w:r>
        <w:rPr>
          <w:i/>
          <w:snapToGrid w:val="0"/>
        </w:rPr>
        <w:t>The Broken Hill Proprietary Company Limited (Export of Iron Ore) Act 1965</w:t>
      </w:r>
      <w:r>
        <w:rPr>
          <w:snapToGrid w:val="0"/>
        </w:rPr>
        <w:t>.</w:t>
      </w:r>
    </w:p>
    <w:p w:rsidR="00F03798" w:rsidRDefault="005D5447">
      <w:pPr>
        <w:pStyle w:val="Heading5"/>
        <w:rPr>
          <w:snapToGrid w:val="0"/>
        </w:rPr>
      </w:pPr>
      <w:bookmarkStart w:id="2" w:name="_Toc411763250"/>
      <w:r>
        <w:rPr>
          <w:rStyle w:val="CharSectno"/>
        </w:rPr>
        <w:t>2</w:t>
      </w:r>
      <w:r>
        <w:rPr>
          <w:snapToGrid w:val="0"/>
        </w:rPr>
        <w:t>.</w:t>
      </w:r>
      <w:r>
        <w:rPr>
          <w:snapToGrid w:val="0"/>
        </w:rPr>
        <w:tab/>
        <w:t>Interpretation</w:t>
      </w:r>
      <w:bookmarkEnd w:id="2"/>
      <w:r>
        <w:rPr>
          <w:snapToGrid w:val="0"/>
        </w:rPr>
        <w:t xml:space="preserve"> </w:t>
      </w:r>
    </w:p>
    <w:p w:rsidR="00F03798" w:rsidRDefault="005D5447">
      <w:pPr>
        <w:pStyle w:val="Subsection"/>
        <w:rPr>
          <w:snapToGrid w:val="0"/>
        </w:rPr>
      </w:pPr>
      <w:r>
        <w:rPr>
          <w:snapToGrid w:val="0"/>
        </w:rPr>
        <w:tab/>
      </w:r>
      <w:r>
        <w:rPr>
          <w:snapToGrid w:val="0"/>
        </w:rPr>
        <w:tab/>
        <w:t>In this Act, unless the contrary intention appears — </w:t>
      </w:r>
    </w:p>
    <w:p w:rsidR="00F03798" w:rsidRDefault="005D5447">
      <w:pPr>
        <w:pStyle w:val="Defstart"/>
      </w:pPr>
      <w:r>
        <w:rPr>
          <w:b/>
        </w:rPr>
        <w:tab/>
        <w:t>“the Agreements”</w:t>
      </w:r>
      <w:r>
        <w:t xml:space="preserve"> means the respective Agreements set forth in the First Schedule to the </w:t>
      </w:r>
      <w:r>
        <w:rPr>
          <w:i/>
        </w:rPr>
        <w:t>Broken Hill Proprietary Steel Industry Agreement Act 1952</w:t>
      </w:r>
      <w:r>
        <w:t xml:space="preserve">, The Schedule to the </w:t>
      </w:r>
      <w:r>
        <w:rPr>
          <w:i/>
        </w:rPr>
        <w:t>Broken Hill Proprietary Company’s Integrated Steel Works Agreement Act 1960</w:t>
      </w:r>
      <w:r>
        <w:t>, and the Iron Ore (</w:t>
      </w:r>
      <w:r>
        <w:rPr>
          <w:i/>
        </w:rPr>
        <w:t>The Broken Hill Proprietary Company Limited) Agreement Act 1964</w:t>
      </w:r>
      <w:r>
        <w:t>, and if any such Agreement is duly varied, includes the Agreement as so varied from time to time;</w:t>
      </w:r>
    </w:p>
    <w:p w:rsidR="00F03798" w:rsidRDefault="005D5447">
      <w:pPr>
        <w:pStyle w:val="Defstart"/>
      </w:pPr>
      <w:r>
        <w:rPr>
          <w:b/>
        </w:rPr>
        <w:tab/>
        <w:t>“the Company”</w:t>
      </w:r>
      <w:r>
        <w:t xml:space="preserve"> and “the State” in relation to any of the Agreements have the same respective meanings as in that Agreement.</w:t>
      </w:r>
    </w:p>
    <w:p w:rsidR="00F03798" w:rsidRDefault="005D5447">
      <w:pPr>
        <w:pStyle w:val="Heading5"/>
        <w:rPr>
          <w:snapToGrid w:val="0"/>
        </w:rPr>
      </w:pPr>
      <w:bookmarkStart w:id="3" w:name="_Toc411763251"/>
      <w:r>
        <w:rPr>
          <w:rStyle w:val="CharSectno"/>
        </w:rPr>
        <w:t>3</w:t>
      </w:r>
      <w:r>
        <w:rPr>
          <w:snapToGrid w:val="0"/>
        </w:rPr>
        <w:t>.</w:t>
      </w:r>
      <w:r>
        <w:rPr>
          <w:snapToGrid w:val="0"/>
        </w:rPr>
        <w:tab/>
        <w:t>Power of Company to export certain iron ore</w:t>
      </w:r>
      <w:bookmarkEnd w:id="3"/>
      <w:r>
        <w:rPr>
          <w:snapToGrid w:val="0"/>
        </w:rPr>
        <w:t xml:space="preserve"> </w:t>
      </w:r>
    </w:p>
    <w:p w:rsidR="00F03798" w:rsidRDefault="005D5447">
      <w:pPr>
        <w:pStyle w:val="Subsection"/>
        <w:rPr>
          <w:snapToGrid w:val="0"/>
        </w:rPr>
      </w:pPr>
      <w:r>
        <w:rPr>
          <w:snapToGrid w:val="0"/>
        </w:rPr>
        <w:tab/>
      </w:r>
      <w:r>
        <w:rPr>
          <w:snapToGrid w:val="0"/>
        </w:rPr>
        <w:tab/>
        <w:t>Notwithstanding the provisions of each of the Agreements in general and in particular the provisions of paragraph (h) of clause 3 clause 36 and subclause (1) of clause 20, which provisions relate to the export of iron ore by the Company, while the Company duly complies from time to time with the provisions of the Agreements as affected by this Act, the Company — </w:t>
      </w:r>
    </w:p>
    <w:p w:rsidR="00F03798" w:rsidRDefault="005D5447">
      <w:pPr>
        <w:pStyle w:val="Indenta"/>
        <w:rPr>
          <w:snapToGrid w:val="0"/>
        </w:rPr>
      </w:pPr>
      <w:r>
        <w:rPr>
          <w:snapToGrid w:val="0"/>
        </w:rPr>
        <w:tab/>
        <w:t>(a)</w:t>
      </w:r>
      <w:r>
        <w:rPr>
          <w:snapToGrid w:val="0"/>
        </w:rPr>
        <w:tab/>
        <w:t>subject to any license required under the law of The Commonwealth may, from time to time and at any time, export from The Commonwealth any iron ore from any of the deposits that it controls in the State; and</w:t>
      </w:r>
    </w:p>
    <w:p w:rsidR="00F03798" w:rsidRDefault="005D5447">
      <w:pPr>
        <w:pStyle w:val="Indenta"/>
        <w:rPr>
          <w:snapToGrid w:val="0"/>
        </w:rPr>
      </w:pPr>
      <w:r>
        <w:rPr>
          <w:snapToGrid w:val="0"/>
        </w:rPr>
        <w:tab/>
        <w:t>(b)</w:t>
      </w:r>
      <w:r>
        <w:rPr>
          <w:snapToGrid w:val="0"/>
        </w:rPr>
        <w:tab/>
        <w:t>shall pay to the State in respect of the iron ore so exported royalty at the rates provided in respect thereof in subclause (2) of clause 20 previously referred to in this section.</w:t>
      </w:r>
    </w:p>
    <w:p w:rsidR="00F03798" w:rsidRDefault="00F03798">
      <w:pPr>
        <w:rPr>
          <w:rStyle w:val="CharDivText"/>
        </w:rPr>
        <w:sectPr w:rsidR="00F03798">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299"/>
        </w:sectPr>
      </w:pPr>
    </w:p>
    <w:p w:rsidR="00F03798" w:rsidRDefault="005D5447">
      <w:pPr>
        <w:pStyle w:val="nHeading2"/>
      </w:pPr>
      <w:r>
        <w:t>Notes</w:t>
      </w:r>
    </w:p>
    <w:p w:rsidR="00F03798" w:rsidRDefault="005D5447">
      <w:pPr>
        <w:pStyle w:val="nSubsection"/>
        <w:rPr>
          <w:snapToGrid w:val="0"/>
        </w:rPr>
      </w:pPr>
      <w:r>
        <w:rPr>
          <w:snapToGrid w:val="0"/>
          <w:vertAlign w:val="superscript"/>
        </w:rPr>
        <w:t>1.</w:t>
      </w:r>
      <w:r>
        <w:rPr>
          <w:snapToGrid w:val="0"/>
        </w:rPr>
        <w:t xml:space="preserve"> </w:t>
      </w:r>
      <w:r>
        <w:rPr>
          <w:snapToGrid w:val="0"/>
        </w:rPr>
        <w:tab/>
        <w:t xml:space="preserve">This is a compilation of the </w:t>
      </w:r>
      <w:r>
        <w:rPr>
          <w:i/>
          <w:snapToGrid w:val="0"/>
        </w:rPr>
        <w:t>The Broken Hill Proprietary Company Limited (Export of Iron Ore) Act 1965</w:t>
      </w:r>
      <w:r>
        <w:rPr>
          <w:snapToGrid w:val="0"/>
        </w:rPr>
        <w:t xml:space="preserve"> and includes all amendments effected by the other Acts referred to in the following Table.</w:t>
      </w:r>
    </w:p>
    <w:p w:rsidR="00F03798" w:rsidRDefault="005D5447">
      <w:pPr>
        <w:pStyle w:val="nHeading3"/>
        <w:rPr>
          <w:snapToGrid w:val="0"/>
        </w:rPr>
      </w:pPr>
      <w:r>
        <w:rPr>
          <w:snapToGrid w:val="0"/>
        </w:rPr>
        <w:t>Compilation table</w:t>
      </w:r>
    </w:p>
    <w:tbl>
      <w:tblPr>
        <w:tblW w:w="7087"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rsidR="00F03798">
        <w:trPr>
          <w:tblHeader/>
        </w:trPr>
        <w:tc>
          <w:tcPr>
            <w:tcW w:w="2268" w:type="dxa"/>
            <w:tcBorders>
              <w:top w:val="single" w:sz="8" w:space="0" w:color="auto"/>
              <w:bottom w:val="single" w:sz="8" w:space="0" w:color="auto"/>
            </w:tcBorders>
          </w:tcPr>
          <w:p w:rsidR="00F03798" w:rsidRDefault="005D5447">
            <w:pPr>
              <w:pStyle w:val="nTable"/>
              <w:spacing w:before="40" w:after="40"/>
              <w:rPr>
                <w:b/>
                <w:sz w:val="19"/>
              </w:rPr>
            </w:pPr>
            <w:r>
              <w:rPr>
                <w:b/>
                <w:sz w:val="19"/>
              </w:rPr>
              <w:t>Short title</w:t>
            </w:r>
          </w:p>
        </w:tc>
        <w:tc>
          <w:tcPr>
            <w:tcW w:w="1134" w:type="dxa"/>
            <w:tcBorders>
              <w:top w:val="single" w:sz="8" w:space="0" w:color="auto"/>
              <w:bottom w:val="single" w:sz="8" w:space="0" w:color="auto"/>
            </w:tcBorders>
          </w:tcPr>
          <w:p w:rsidR="00F03798" w:rsidRDefault="005D5447">
            <w:pPr>
              <w:pStyle w:val="nTable"/>
              <w:spacing w:before="40" w:after="40"/>
              <w:rPr>
                <w:b/>
                <w:sz w:val="19"/>
              </w:rPr>
            </w:pPr>
            <w:r>
              <w:rPr>
                <w:b/>
                <w:sz w:val="19"/>
              </w:rPr>
              <w:t>Number and year</w:t>
            </w:r>
          </w:p>
        </w:tc>
        <w:tc>
          <w:tcPr>
            <w:tcW w:w="1134" w:type="dxa"/>
            <w:tcBorders>
              <w:top w:val="single" w:sz="8" w:space="0" w:color="auto"/>
              <w:bottom w:val="single" w:sz="8" w:space="0" w:color="auto"/>
            </w:tcBorders>
          </w:tcPr>
          <w:p w:rsidR="00F03798" w:rsidRDefault="005D5447">
            <w:pPr>
              <w:pStyle w:val="nTable"/>
              <w:spacing w:before="40" w:after="40"/>
              <w:rPr>
                <w:b/>
                <w:sz w:val="19"/>
              </w:rPr>
            </w:pPr>
            <w:r>
              <w:rPr>
                <w:b/>
                <w:sz w:val="19"/>
              </w:rPr>
              <w:t>Assent</w:t>
            </w:r>
          </w:p>
        </w:tc>
        <w:tc>
          <w:tcPr>
            <w:tcW w:w="2551" w:type="dxa"/>
            <w:tcBorders>
              <w:top w:val="single" w:sz="8" w:space="0" w:color="auto"/>
              <w:bottom w:val="single" w:sz="8" w:space="0" w:color="auto"/>
            </w:tcBorders>
          </w:tcPr>
          <w:p w:rsidR="00F03798" w:rsidRDefault="005D5447">
            <w:pPr>
              <w:pStyle w:val="nTable"/>
              <w:spacing w:before="40" w:after="40"/>
              <w:rPr>
                <w:b/>
                <w:sz w:val="19"/>
              </w:rPr>
            </w:pPr>
            <w:r>
              <w:rPr>
                <w:b/>
                <w:sz w:val="19"/>
              </w:rPr>
              <w:t>Commencement</w:t>
            </w:r>
          </w:p>
        </w:tc>
      </w:tr>
      <w:tr w:rsidR="00F03798">
        <w:tc>
          <w:tcPr>
            <w:tcW w:w="2268" w:type="dxa"/>
            <w:tcBorders>
              <w:top w:val="single" w:sz="8" w:space="0" w:color="auto"/>
              <w:bottom w:val="single" w:sz="8" w:space="0" w:color="auto"/>
            </w:tcBorders>
          </w:tcPr>
          <w:p w:rsidR="00F03798" w:rsidRDefault="005D5447">
            <w:pPr>
              <w:pStyle w:val="nTable"/>
              <w:spacing w:before="40" w:after="40"/>
              <w:rPr>
                <w:sz w:val="19"/>
              </w:rPr>
            </w:pPr>
            <w:r>
              <w:rPr>
                <w:i/>
                <w:sz w:val="19"/>
              </w:rPr>
              <w:t>The Broken Hill Proprietary Company Limited (Export of Iron Ore) Act 1965</w:t>
            </w:r>
          </w:p>
        </w:tc>
        <w:tc>
          <w:tcPr>
            <w:tcW w:w="1134" w:type="dxa"/>
            <w:tcBorders>
              <w:top w:val="single" w:sz="8" w:space="0" w:color="auto"/>
              <w:bottom w:val="single" w:sz="8" w:space="0" w:color="auto"/>
            </w:tcBorders>
          </w:tcPr>
          <w:p w:rsidR="00F03798" w:rsidRDefault="005D5447">
            <w:pPr>
              <w:pStyle w:val="nTable"/>
              <w:spacing w:before="40" w:after="40"/>
              <w:rPr>
                <w:sz w:val="19"/>
              </w:rPr>
            </w:pPr>
            <w:r>
              <w:rPr>
                <w:sz w:val="19"/>
              </w:rPr>
              <w:t>93 of 1965</w:t>
            </w:r>
          </w:p>
        </w:tc>
        <w:tc>
          <w:tcPr>
            <w:tcW w:w="1134" w:type="dxa"/>
            <w:tcBorders>
              <w:top w:val="single" w:sz="8" w:space="0" w:color="auto"/>
              <w:bottom w:val="single" w:sz="8" w:space="0" w:color="auto"/>
            </w:tcBorders>
          </w:tcPr>
          <w:p w:rsidR="00F03798" w:rsidRDefault="005D5447">
            <w:pPr>
              <w:pStyle w:val="nTable"/>
              <w:spacing w:before="40" w:after="40"/>
              <w:rPr>
                <w:sz w:val="19"/>
              </w:rPr>
            </w:pPr>
            <w:r>
              <w:rPr>
                <w:sz w:val="19"/>
              </w:rPr>
              <w:t>8 Dec 1965</w:t>
            </w:r>
          </w:p>
        </w:tc>
        <w:tc>
          <w:tcPr>
            <w:tcW w:w="2551" w:type="dxa"/>
            <w:tcBorders>
              <w:top w:val="single" w:sz="8" w:space="0" w:color="auto"/>
              <w:bottom w:val="single" w:sz="8" w:space="0" w:color="auto"/>
            </w:tcBorders>
          </w:tcPr>
          <w:p w:rsidR="00F03798" w:rsidRDefault="005D5447">
            <w:pPr>
              <w:pStyle w:val="nTable"/>
              <w:spacing w:before="40" w:after="40"/>
              <w:rPr>
                <w:sz w:val="19"/>
              </w:rPr>
            </w:pPr>
            <w:r>
              <w:rPr>
                <w:sz w:val="19"/>
              </w:rPr>
              <w:t>8 Dec 1965</w:t>
            </w:r>
          </w:p>
        </w:tc>
      </w:tr>
    </w:tbl>
    <w:p w:rsidR="00F03798" w:rsidRDefault="00F03798"/>
    <w:p w:rsidR="00F03798" w:rsidRDefault="00F03798">
      <w:pPr>
        <w:sectPr w:rsidR="00F03798">
          <w:headerReference w:type="even" r:id="rId26"/>
          <w:headerReference w:type="default" r:id="rId27"/>
          <w:headerReference w:type="first" r:id="rId28"/>
          <w:pgSz w:w="11906" w:h="16838" w:code="9"/>
          <w:pgMar w:top="2376" w:right="2405" w:bottom="3542" w:left="2405" w:header="706" w:footer="3380" w:gutter="0"/>
          <w:cols w:space="720"/>
          <w:noEndnote/>
          <w:docGrid w:linePitch="299"/>
        </w:sectPr>
      </w:pPr>
    </w:p>
    <w:p w:rsidR="00F03798" w:rsidRDefault="00F03798"/>
    <w:sectPr w:rsidR="00F03798">
      <w:headerReference w:type="even" r:id="rId29"/>
      <w:headerReference w:type="default" r:id="rId30"/>
      <w:headerReference w:type="first" r:id="rId31"/>
      <w:type w:val="continuous"/>
      <w:pgSz w:w="11906" w:h="16838" w:code="9"/>
      <w:pgMar w:top="2376" w:right="2405" w:bottom="2981" w:left="2405" w:header="720" w:footer="3380" w:gutter="0"/>
      <w:paperSrc w:first="2" w:other="2"/>
      <w:cols w:space="720"/>
      <w:noEndnote/>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03798" w:rsidRDefault="005D5447">
      <w:r>
        <w:separator/>
      </w:r>
    </w:p>
  </w:endnote>
  <w:endnote w:type="continuationSeparator" w:id="0">
    <w:p w:rsidR="00F03798" w:rsidRDefault="005D54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03798" w:rsidRDefault="00F03798">
    <w:pPr>
      <w:pStyle w:val="Footer"/>
      <w:tabs>
        <w:tab w:val="clear" w:pos="4153"/>
        <w:tab w:val="right" w:pos="7088"/>
      </w:tabs>
      <w:rPr>
        <w:rStyle w:val="PageNumber"/>
      </w:rPr>
    </w:pPr>
  </w:p>
  <w:p w:rsidR="00F03798" w:rsidRDefault="005D544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401D0">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401D0">
      <w:rPr>
        <w:rFonts w:ascii="Arial" w:hAnsi="Arial" w:cs="Arial"/>
        <w:sz w:val="20"/>
        <w:lang w:val="en-US"/>
      </w:rPr>
      <w:t>08 Dec 1965</w:t>
    </w:r>
    <w:r>
      <w:rPr>
        <w:rFonts w:ascii="Arial" w:hAnsi="Arial" w:cs="Arial"/>
        <w:sz w:val="20"/>
        <w:lang w:val="en-US"/>
      </w:rPr>
      <w:fldChar w:fldCharType="end"/>
    </w:r>
  </w:p>
  <w:p w:rsidR="00F03798" w:rsidRDefault="005D5447">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03798" w:rsidRDefault="00F03798">
    <w:pPr>
      <w:pStyle w:val="Footer"/>
      <w:tabs>
        <w:tab w:val="clear" w:pos="4153"/>
        <w:tab w:val="right" w:pos="7088"/>
      </w:tabs>
      <w:rPr>
        <w:rStyle w:val="PageNumber"/>
      </w:rPr>
    </w:pPr>
  </w:p>
  <w:p w:rsidR="00F03798" w:rsidRDefault="005D544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401D0">
      <w:rPr>
        <w:rFonts w:ascii="Arial" w:hAnsi="Arial" w:cs="Arial"/>
        <w:sz w:val="20"/>
        <w:lang w:val="en-US"/>
      </w:rPr>
      <w:t>08 Dec 1965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401D0">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r>
  </w:p>
  <w:p w:rsidR="00F03798" w:rsidRDefault="005D5447">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03798" w:rsidRDefault="00F03798">
    <w:pPr>
      <w:pStyle w:val="Footer"/>
      <w:tabs>
        <w:tab w:val="clear" w:pos="4153"/>
        <w:tab w:val="right" w:pos="7088"/>
      </w:tabs>
      <w:rPr>
        <w:rStyle w:val="PageNumber"/>
      </w:rPr>
    </w:pPr>
  </w:p>
  <w:p w:rsidR="00F03798" w:rsidRDefault="005D544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401D0">
      <w:rPr>
        <w:rFonts w:ascii="Arial" w:hAnsi="Arial" w:cs="Arial"/>
        <w:sz w:val="20"/>
        <w:lang w:val="en-US"/>
      </w:rPr>
      <w:t>08 Dec 1965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401D0">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r>
  </w:p>
  <w:p w:rsidR="00F03798" w:rsidRDefault="005D5447">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03798" w:rsidRDefault="00F03798">
    <w:pPr>
      <w:pStyle w:val="Footer"/>
      <w:tabs>
        <w:tab w:val="clear" w:pos="4153"/>
        <w:tab w:val="right" w:pos="7088"/>
      </w:tabs>
      <w:rPr>
        <w:rStyle w:val="PageNumber"/>
      </w:rPr>
    </w:pPr>
  </w:p>
  <w:p w:rsidR="00F03798" w:rsidRDefault="005D544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401D0">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401D0">
      <w:rPr>
        <w:rFonts w:ascii="Arial" w:hAnsi="Arial" w:cs="Arial"/>
        <w:sz w:val="20"/>
        <w:lang w:val="en-US"/>
      </w:rPr>
      <w:t>08 Dec 1965</w:t>
    </w:r>
    <w:r>
      <w:rPr>
        <w:rFonts w:ascii="Arial" w:hAnsi="Arial" w:cs="Arial"/>
        <w:sz w:val="20"/>
        <w:lang w:val="en-US"/>
      </w:rPr>
      <w:fldChar w:fldCharType="end"/>
    </w:r>
  </w:p>
  <w:p w:rsidR="00F03798" w:rsidRDefault="005D5447">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03798" w:rsidRDefault="00F03798">
    <w:pPr>
      <w:pStyle w:val="Footer"/>
      <w:tabs>
        <w:tab w:val="clear" w:pos="4153"/>
        <w:tab w:val="right" w:pos="7088"/>
      </w:tabs>
      <w:rPr>
        <w:rStyle w:val="PageNumber"/>
      </w:rPr>
    </w:pPr>
  </w:p>
  <w:p w:rsidR="00F03798" w:rsidRDefault="005D544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401D0">
      <w:rPr>
        <w:rFonts w:ascii="Arial" w:hAnsi="Arial" w:cs="Arial"/>
        <w:sz w:val="20"/>
        <w:lang w:val="en-US"/>
      </w:rPr>
      <w:t>08 Dec 1965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401D0">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F03798" w:rsidRDefault="005D5447">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03798" w:rsidRDefault="00F03798">
    <w:pPr>
      <w:pStyle w:val="Footer"/>
      <w:tabs>
        <w:tab w:val="clear" w:pos="4153"/>
        <w:tab w:val="right" w:pos="7088"/>
      </w:tabs>
      <w:rPr>
        <w:rStyle w:val="PageNumber"/>
      </w:rPr>
    </w:pPr>
  </w:p>
  <w:p w:rsidR="00F03798" w:rsidRDefault="005D544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401D0">
      <w:rPr>
        <w:rFonts w:ascii="Arial" w:hAnsi="Arial" w:cs="Arial"/>
        <w:sz w:val="20"/>
        <w:lang w:val="en-US"/>
      </w:rPr>
      <w:t>08 Dec 1965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401D0">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D401D0">
      <w:rPr>
        <w:rStyle w:val="PageNumber"/>
        <w:rFonts w:ascii="Arial" w:hAnsi="Arial" w:cs="Arial"/>
        <w:noProof/>
      </w:rPr>
      <w:t>i</w:t>
    </w:r>
    <w:r>
      <w:rPr>
        <w:rStyle w:val="PageNumber"/>
        <w:rFonts w:ascii="Arial" w:hAnsi="Arial" w:cs="Arial"/>
      </w:rPr>
      <w:fldChar w:fldCharType="end"/>
    </w:r>
  </w:p>
  <w:p w:rsidR="00F03798" w:rsidRDefault="005D5447">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03798" w:rsidRDefault="00F03798">
    <w:pPr>
      <w:pStyle w:val="Footer"/>
      <w:tabs>
        <w:tab w:val="clear" w:pos="4153"/>
        <w:tab w:val="right" w:pos="7088"/>
      </w:tabs>
      <w:rPr>
        <w:rStyle w:val="PageNumber"/>
      </w:rPr>
    </w:pPr>
  </w:p>
  <w:p w:rsidR="00F03798" w:rsidRDefault="005D544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D401D0">
      <w:rPr>
        <w:rStyle w:val="CharPageNo"/>
        <w:rFonts w:ascii="Arial" w:hAnsi="Arial"/>
        <w:noProof/>
      </w:rPr>
      <w:t>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401D0">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401D0">
      <w:rPr>
        <w:rFonts w:ascii="Arial" w:hAnsi="Arial" w:cs="Arial"/>
        <w:sz w:val="20"/>
        <w:lang w:val="en-US"/>
      </w:rPr>
      <w:t>08 Dec 1965</w:t>
    </w:r>
    <w:r>
      <w:rPr>
        <w:rFonts w:ascii="Arial" w:hAnsi="Arial" w:cs="Arial"/>
        <w:sz w:val="20"/>
        <w:lang w:val="en-US"/>
      </w:rPr>
      <w:fldChar w:fldCharType="end"/>
    </w:r>
    <w:r>
      <w:rPr>
        <w:rFonts w:ascii="Arial" w:hAnsi="Arial" w:cs="Arial"/>
        <w:sz w:val="20"/>
        <w:lang w:val="en-US"/>
      </w:rPr>
      <w:t xml:space="preserve"> </w:t>
    </w:r>
  </w:p>
  <w:p w:rsidR="00F03798" w:rsidRDefault="005D5447">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03798" w:rsidRDefault="00F03798">
    <w:pPr>
      <w:pStyle w:val="Footer"/>
      <w:tabs>
        <w:tab w:val="clear" w:pos="4153"/>
        <w:tab w:val="right" w:pos="7088"/>
      </w:tabs>
      <w:rPr>
        <w:rStyle w:val="PageNumber"/>
      </w:rPr>
    </w:pPr>
  </w:p>
  <w:p w:rsidR="00F03798" w:rsidRDefault="005D544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401D0">
      <w:rPr>
        <w:rFonts w:ascii="Arial" w:hAnsi="Arial" w:cs="Arial"/>
        <w:sz w:val="20"/>
        <w:lang w:val="en-US"/>
      </w:rPr>
      <w:t>08 Dec 1965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401D0">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D401D0">
      <w:rPr>
        <w:rStyle w:val="CharPageNo"/>
        <w:rFonts w:ascii="Arial" w:hAnsi="Arial"/>
        <w:noProof/>
      </w:rPr>
      <w:t>3</w:t>
    </w:r>
    <w:r>
      <w:rPr>
        <w:rStyle w:val="CharPageNo"/>
        <w:rFonts w:ascii="Arial" w:hAnsi="Arial"/>
      </w:rPr>
      <w:fldChar w:fldCharType="end"/>
    </w:r>
  </w:p>
  <w:p w:rsidR="00F03798" w:rsidRDefault="005D5447">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03798" w:rsidRDefault="00F03798">
    <w:pPr>
      <w:pStyle w:val="Footer"/>
      <w:tabs>
        <w:tab w:val="clear" w:pos="4153"/>
        <w:tab w:val="right" w:pos="7088"/>
      </w:tabs>
      <w:rPr>
        <w:rStyle w:val="PageNumber"/>
      </w:rPr>
    </w:pPr>
  </w:p>
  <w:p w:rsidR="00F03798" w:rsidRDefault="005D544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401D0">
      <w:rPr>
        <w:rFonts w:ascii="Arial" w:hAnsi="Arial" w:cs="Arial"/>
        <w:sz w:val="20"/>
        <w:lang w:val="en-US"/>
      </w:rPr>
      <w:t>08 Dec 1965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401D0">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D401D0">
      <w:rPr>
        <w:rStyle w:val="CharPageNo"/>
        <w:rFonts w:ascii="Arial" w:hAnsi="Arial"/>
        <w:noProof/>
      </w:rPr>
      <w:t>1</w:t>
    </w:r>
    <w:r>
      <w:rPr>
        <w:rStyle w:val="CharPageNo"/>
        <w:rFonts w:ascii="Arial" w:hAnsi="Arial"/>
      </w:rPr>
      <w:fldChar w:fldCharType="end"/>
    </w:r>
  </w:p>
  <w:p w:rsidR="00F03798" w:rsidRDefault="005D5447">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03798" w:rsidRDefault="005D5447">
      <w:r>
        <w:separator/>
      </w:r>
    </w:p>
  </w:footnote>
  <w:footnote w:type="continuationSeparator" w:id="0">
    <w:p w:rsidR="00F03798" w:rsidRDefault="005D544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03798" w:rsidRDefault="005D5447">
    <w:pPr>
      <w:pStyle w:val="headerpartodd"/>
      <w:ind w:left="0" w:firstLine="0"/>
      <w:rPr>
        <w:i/>
      </w:rPr>
    </w:pPr>
    <w:r>
      <w:rPr>
        <w:i/>
      </w:rPr>
      <w:fldChar w:fldCharType="begin"/>
    </w:r>
    <w:r>
      <w:rPr>
        <w:i/>
      </w:rPr>
      <w:instrText xml:space="preserve"> Styleref "Name of Act/Reg" </w:instrText>
    </w:r>
    <w:r>
      <w:rPr>
        <w:i/>
      </w:rPr>
      <w:fldChar w:fldCharType="separate"/>
    </w:r>
    <w:r w:rsidR="00D401D0">
      <w:rPr>
        <w:i/>
        <w:noProof/>
      </w:rPr>
      <w:t>The Broken Hill Proprietary Company Limited (Export of Iron Ore) Act 1965</w:t>
    </w:r>
    <w:r>
      <w:rPr>
        <w:i/>
      </w:rPr>
      <w:fldChar w:fldCharType="end"/>
    </w:r>
  </w:p>
  <w:p w:rsidR="00F03798" w:rsidRDefault="005D5447">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F03798" w:rsidRDefault="005D5447">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F03798" w:rsidRDefault="00F03798">
    <w:pPr>
      <w:pStyle w:val="headerpart"/>
      <w:rPr>
        <w:sz w:val="24"/>
      </w:rPr>
    </w:pPr>
  </w:p>
  <w:p w:rsidR="00F03798" w:rsidRDefault="00F03798">
    <w:pPr>
      <w:pBdr>
        <w:bottom w:val="single" w:sz="6" w:space="1" w:color="auto"/>
      </w:pBdr>
      <w:rPr>
        <w:b/>
      </w:rPr>
    </w:pPr>
  </w:p>
  <w:p w:rsidR="00F03798" w:rsidRDefault="00F0379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401D0" w:rsidRDefault="00D401D0">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401D0" w:rsidRDefault="00D401D0">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F03798">
      <w:trPr>
        <w:cantSplit/>
      </w:trPr>
      <w:tc>
        <w:tcPr>
          <w:tcW w:w="7312" w:type="dxa"/>
          <w:gridSpan w:val="2"/>
        </w:tcPr>
        <w:p w:rsidR="00F03798" w:rsidRDefault="005D5447">
          <w:pPr>
            <w:pStyle w:val="HeaderActNameLeft"/>
          </w:pPr>
          <w:r>
            <w:rPr>
              <w:i w:val="0"/>
            </w:rPr>
            <w:fldChar w:fldCharType="begin"/>
          </w:r>
          <w:r>
            <w:rPr>
              <w:i w:val="0"/>
            </w:rPr>
            <w:instrText xml:space="preserve"> Styleref "Name of Act/Reg" </w:instrText>
          </w:r>
          <w:r>
            <w:rPr>
              <w:i w:val="0"/>
            </w:rPr>
            <w:fldChar w:fldCharType="separate"/>
          </w:r>
          <w:r w:rsidR="00D401D0">
            <w:rPr>
              <w:i w:val="0"/>
              <w:noProof/>
            </w:rPr>
            <w:t>The Broken Hill Proprietary Company Limited (Export of Iron Ore) Act 1965</w:t>
          </w:r>
          <w:r>
            <w:rPr>
              <w:i w:val="0"/>
            </w:rPr>
            <w:fldChar w:fldCharType="end"/>
          </w:r>
        </w:p>
      </w:tc>
    </w:tr>
    <w:tr w:rsidR="00F03798">
      <w:tc>
        <w:tcPr>
          <w:tcW w:w="1548" w:type="dxa"/>
        </w:tcPr>
        <w:p w:rsidR="00F03798" w:rsidRDefault="00F03798">
          <w:pPr>
            <w:pStyle w:val="HeaderNumberLeft"/>
          </w:pPr>
        </w:p>
      </w:tc>
      <w:tc>
        <w:tcPr>
          <w:tcW w:w="5764" w:type="dxa"/>
        </w:tcPr>
        <w:p w:rsidR="00F03798" w:rsidRDefault="00F03798">
          <w:pPr>
            <w:pStyle w:val="HeaderTextLeft"/>
          </w:pPr>
        </w:p>
      </w:tc>
    </w:tr>
    <w:tr w:rsidR="00F03798">
      <w:tc>
        <w:tcPr>
          <w:tcW w:w="1548" w:type="dxa"/>
        </w:tcPr>
        <w:p w:rsidR="00F03798" w:rsidRDefault="00F03798">
          <w:pPr>
            <w:pStyle w:val="HeaderNumberLeft"/>
          </w:pPr>
        </w:p>
      </w:tc>
      <w:tc>
        <w:tcPr>
          <w:tcW w:w="5764" w:type="dxa"/>
        </w:tcPr>
        <w:p w:rsidR="00F03798" w:rsidRDefault="00F03798">
          <w:pPr>
            <w:pStyle w:val="HeaderTextLeft"/>
          </w:pPr>
        </w:p>
      </w:tc>
    </w:tr>
    <w:tr w:rsidR="00F03798">
      <w:trPr>
        <w:cantSplit/>
      </w:trPr>
      <w:tc>
        <w:tcPr>
          <w:tcW w:w="7312" w:type="dxa"/>
          <w:gridSpan w:val="2"/>
        </w:tcPr>
        <w:p w:rsidR="00F03798" w:rsidRDefault="00F03798">
          <w:pPr>
            <w:pStyle w:val="HeaderSectionLeft"/>
          </w:pPr>
        </w:p>
      </w:tc>
    </w:tr>
  </w:tbl>
  <w:p w:rsidR="00F03798" w:rsidRDefault="00F03798">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F03798">
      <w:trPr>
        <w:cantSplit/>
      </w:trPr>
      <w:tc>
        <w:tcPr>
          <w:tcW w:w="7312" w:type="dxa"/>
          <w:gridSpan w:val="2"/>
        </w:tcPr>
        <w:p w:rsidR="00F03798" w:rsidRDefault="005D5447">
          <w:pPr>
            <w:pStyle w:val="HeaderActNameRight"/>
          </w:pPr>
          <w:fldSimple w:instr=" Styleref &quot;Name of Act/Reg&quot; ">
            <w:r w:rsidR="00D401D0">
              <w:rPr>
                <w:noProof/>
              </w:rPr>
              <w:t>The Broken Hill Proprietary Company Limited (Export of Iron Ore) Act 1965</w:t>
            </w:r>
          </w:fldSimple>
        </w:p>
      </w:tc>
    </w:tr>
    <w:tr w:rsidR="00F03798">
      <w:tc>
        <w:tcPr>
          <w:tcW w:w="5760" w:type="dxa"/>
        </w:tcPr>
        <w:p w:rsidR="00F03798" w:rsidRDefault="00F03798">
          <w:pPr>
            <w:pStyle w:val="HeaderTextRight"/>
          </w:pPr>
        </w:p>
      </w:tc>
      <w:tc>
        <w:tcPr>
          <w:tcW w:w="1552" w:type="dxa"/>
        </w:tcPr>
        <w:p w:rsidR="00F03798" w:rsidRDefault="00F03798">
          <w:pPr>
            <w:pStyle w:val="HeaderNumberRight"/>
          </w:pPr>
        </w:p>
      </w:tc>
    </w:tr>
    <w:tr w:rsidR="00F03798">
      <w:tc>
        <w:tcPr>
          <w:tcW w:w="5760" w:type="dxa"/>
        </w:tcPr>
        <w:p w:rsidR="00F03798" w:rsidRDefault="00F03798">
          <w:pPr>
            <w:pStyle w:val="HeaderTextRight"/>
          </w:pPr>
        </w:p>
      </w:tc>
      <w:tc>
        <w:tcPr>
          <w:tcW w:w="1552" w:type="dxa"/>
        </w:tcPr>
        <w:p w:rsidR="00F03798" w:rsidRDefault="00F03798">
          <w:pPr>
            <w:pStyle w:val="HeaderNumberRight"/>
          </w:pPr>
        </w:p>
      </w:tc>
    </w:tr>
    <w:tr w:rsidR="00F03798">
      <w:trPr>
        <w:cantSplit/>
      </w:trPr>
      <w:tc>
        <w:tcPr>
          <w:tcW w:w="7312" w:type="dxa"/>
          <w:gridSpan w:val="2"/>
        </w:tcPr>
        <w:p w:rsidR="00F03798" w:rsidRDefault="00F03798">
          <w:pPr>
            <w:pStyle w:val="HeaderSectionRight"/>
          </w:pPr>
        </w:p>
      </w:tc>
    </w:tr>
  </w:tbl>
  <w:p w:rsidR="00F03798" w:rsidRDefault="00F03798">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03798" w:rsidRDefault="00F03798">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F03798">
      <w:trPr>
        <w:cantSplit/>
      </w:trPr>
      <w:tc>
        <w:tcPr>
          <w:tcW w:w="7312" w:type="dxa"/>
          <w:gridSpan w:val="2"/>
        </w:tcPr>
        <w:p w:rsidR="00F03798" w:rsidRDefault="005D5447">
          <w:pPr>
            <w:pStyle w:val="HeaderActNameLeft"/>
          </w:pPr>
          <w:fldSimple w:instr=" Styleref &quot;Name of Act/Reg&quot; ">
            <w:r w:rsidR="00D401D0">
              <w:rPr>
                <w:noProof/>
              </w:rPr>
              <w:t>The Broken Hill Proprietary Company Limited (Export of Iron Ore) Act 1965</w:t>
            </w:r>
          </w:fldSimple>
        </w:p>
      </w:tc>
    </w:tr>
    <w:tr w:rsidR="00F03798">
      <w:tc>
        <w:tcPr>
          <w:tcW w:w="1305" w:type="dxa"/>
        </w:tcPr>
        <w:p w:rsidR="00F03798" w:rsidRDefault="005D5447">
          <w:pPr>
            <w:pStyle w:val="HeaderNumberLeft"/>
          </w:pPr>
          <w:r>
            <w:fldChar w:fldCharType="begin"/>
          </w:r>
          <w:r>
            <w:instrText xml:space="preserve"> styleref CharPartNo </w:instrText>
          </w:r>
          <w:r>
            <w:fldChar w:fldCharType="end"/>
          </w:r>
        </w:p>
      </w:tc>
      <w:tc>
        <w:tcPr>
          <w:tcW w:w="6007" w:type="dxa"/>
        </w:tcPr>
        <w:p w:rsidR="00F03798" w:rsidRDefault="005D5447">
          <w:pPr>
            <w:pStyle w:val="HeaderTextLeft"/>
          </w:pPr>
          <w:r>
            <w:fldChar w:fldCharType="begin"/>
          </w:r>
          <w:r>
            <w:instrText xml:space="preserve"> styleref CharPartText </w:instrText>
          </w:r>
          <w:r>
            <w:fldChar w:fldCharType="end"/>
          </w:r>
        </w:p>
      </w:tc>
    </w:tr>
    <w:tr w:rsidR="00F03798">
      <w:tc>
        <w:tcPr>
          <w:tcW w:w="1305" w:type="dxa"/>
        </w:tcPr>
        <w:p w:rsidR="00F03798" w:rsidRDefault="005D5447">
          <w:pPr>
            <w:pStyle w:val="HeaderNumberLeft"/>
          </w:pPr>
          <w:r>
            <w:fldChar w:fldCharType="begin"/>
          </w:r>
          <w:r>
            <w:instrText xml:space="preserve"> styleref CharDivNo </w:instrText>
          </w:r>
          <w:r>
            <w:fldChar w:fldCharType="end"/>
          </w:r>
        </w:p>
      </w:tc>
      <w:tc>
        <w:tcPr>
          <w:tcW w:w="6007" w:type="dxa"/>
        </w:tcPr>
        <w:p w:rsidR="00F03798" w:rsidRDefault="005D5447">
          <w:pPr>
            <w:pStyle w:val="HeaderTextLeft"/>
          </w:pPr>
          <w:r>
            <w:fldChar w:fldCharType="begin"/>
          </w:r>
          <w:r>
            <w:instrText xml:space="preserve"> styleref CharDivText </w:instrText>
          </w:r>
          <w:r>
            <w:fldChar w:fldCharType="end"/>
          </w:r>
        </w:p>
      </w:tc>
    </w:tr>
    <w:tr w:rsidR="00F03798">
      <w:trPr>
        <w:cantSplit/>
      </w:trPr>
      <w:tc>
        <w:tcPr>
          <w:tcW w:w="7312" w:type="dxa"/>
          <w:gridSpan w:val="2"/>
        </w:tcPr>
        <w:p w:rsidR="00F03798" w:rsidRDefault="005D5447">
          <w:pPr>
            <w:pStyle w:val="HeaderSectionLeft"/>
          </w:pPr>
          <w:r>
            <w:t xml:space="preserve">s. </w:t>
          </w:r>
          <w:fldSimple w:instr=" styleref CharSectno ">
            <w:r w:rsidR="00D401D0">
              <w:rPr>
                <w:noProof/>
              </w:rPr>
              <w:t>1</w:t>
            </w:r>
          </w:fldSimple>
        </w:p>
      </w:tc>
    </w:tr>
  </w:tbl>
  <w:p w:rsidR="00F03798" w:rsidRDefault="00F03798">
    <w:pPr>
      <w:pStyle w:val="HeaderNumberLeft"/>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F03798">
      <w:trPr>
        <w:cantSplit/>
      </w:trPr>
      <w:tc>
        <w:tcPr>
          <w:tcW w:w="7312" w:type="dxa"/>
          <w:gridSpan w:val="2"/>
        </w:tcPr>
        <w:p w:rsidR="00F03798" w:rsidRDefault="005D5447">
          <w:pPr>
            <w:pStyle w:val="HeaderActNameRight"/>
          </w:pPr>
          <w:fldSimple w:instr=" Styleref &quot;Name of Act/Reg&quot; ">
            <w:r w:rsidR="00D401D0">
              <w:rPr>
                <w:noProof/>
              </w:rPr>
              <w:t>The Broken Hill Proprietary Company Limited (Export of Iron Ore) Act 1965</w:t>
            </w:r>
          </w:fldSimple>
        </w:p>
      </w:tc>
    </w:tr>
    <w:tr w:rsidR="00F03798">
      <w:tc>
        <w:tcPr>
          <w:tcW w:w="5985" w:type="dxa"/>
        </w:tcPr>
        <w:p w:rsidR="00F03798" w:rsidRDefault="005D5447">
          <w:pPr>
            <w:pStyle w:val="HeaderTextRight"/>
          </w:pPr>
          <w:r>
            <w:fldChar w:fldCharType="begin"/>
          </w:r>
          <w:r>
            <w:instrText xml:space="preserve"> styleref CharPartText </w:instrText>
          </w:r>
          <w:r>
            <w:fldChar w:fldCharType="end"/>
          </w:r>
        </w:p>
      </w:tc>
      <w:tc>
        <w:tcPr>
          <w:tcW w:w="1327" w:type="dxa"/>
        </w:tcPr>
        <w:p w:rsidR="00F03798" w:rsidRDefault="005D5447">
          <w:pPr>
            <w:pStyle w:val="HeaderNumberRight"/>
          </w:pPr>
          <w:r>
            <w:fldChar w:fldCharType="begin"/>
          </w:r>
          <w:r>
            <w:instrText xml:space="preserve"> styleref CharPartNo </w:instrText>
          </w:r>
          <w:r>
            <w:fldChar w:fldCharType="end"/>
          </w:r>
        </w:p>
      </w:tc>
    </w:tr>
    <w:tr w:rsidR="00F03798">
      <w:tc>
        <w:tcPr>
          <w:tcW w:w="5985" w:type="dxa"/>
        </w:tcPr>
        <w:p w:rsidR="00F03798" w:rsidRDefault="005D5447">
          <w:pPr>
            <w:pStyle w:val="HeaderTextRight"/>
          </w:pPr>
          <w:r>
            <w:fldChar w:fldCharType="begin"/>
          </w:r>
          <w:r>
            <w:instrText xml:space="preserve"> styleref CharDivText </w:instrText>
          </w:r>
          <w:r>
            <w:fldChar w:fldCharType="end"/>
          </w:r>
        </w:p>
      </w:tc>
      <w:tc>
        <w:tcPr>
          <w:tcW w:w="1327" w:type="dxa"/>
        </w:tcPr>
        <w:p w:rsidR="00F03798" w:rsidRDefault="005D5447">
          <w:pPr>
            <w:pStyle w:val="HeaderNumberRight"/>
          </w:pPr>
          <w:r>
            <w:fldChar w:fldCharType="begin"/>
          </w:r>
          <w:r>
            <w:instrText xml:space="preserve"> styleref CharDivNo </w:instrText>
          </w:r>
          <w:r>
            <w:fldChar w:fldCharType="end"/>
          </w:r>
        </w:p>
      </w:tc>
    </w:tr>
    <w:tr w:rsidR="00F03798">
      <w:trPr>
        <w:cantSplit/>
      </w:trPr>
      <w:tc>
        <w:tcPr>
          <w:tcW w:w="7312" w:type="dxa"/>
          <w:gridSpan w:val="2"/>
        </w:tcPr>
        <w:p w:rsidR="00F03798" w:rsidRDefault="005D5447">
          <w:pPr>
            <w:pStyle w:val="HeaderSectionRight"/>
          </w:pPr>
          <w:r>
            <w:t xml:space="preserve">s. </w:t>
          </w:r>
          <w:fldSimple w:instr=" styleref CharSectno ">
            <w:r w:rsidR="00D401D0">
              <w:rPr>
                <w:noProof/>
              </w:rPr>
              <w:t>1</w:t>
            </w:r>
          </w:fldSimple>
        </w:p>
      </w:tc>
    </w:tr>
  </w:tbl>
  <w:p w:rsidR="00F03798" w:rsidRDefault="00F03798">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03798" w:rsidRDefault="00F03798">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F03798">
      <w:trPr>
        <w:cantSplit/>
      </w:trPr>
      <w:tc>
        <w:tcPr>
          <w:tcW w:w="7312" w:type="dxa"/>
          <w:gridSpan w:val="2"/>
        </w:tcPr>
        <w:p w:rsidR="00F03798" w:rsidRDefault="005D5447">
          <w:pPr>
            <w:pStyle w:val="HeaderActNameLeft"/>
          </w:pPr>
          <w:fldSimple w:instr=" Styleref &quot;Name of Act/Reg&quot; ">
            <w:r w:rsidR="00D401D0">
              <w:rPr>
                <w:noProof/>
              </w:rPr>
              <w:t>The Broken Hill Proprietary Company Limited (Export of Iron Ore) Act 1965</w:t>
            </w:r>
          </w:fldSimple>
        </w:p>
      </w:tc>
    </w:tr>
    <w:tr w:rsidR="00F03798">
      <w:tc>
        <w:tcPr>
          <w:tcW w:w="1548" w:type="dxa"/>
        </w:tcPr>
        <w:p w:rsidR="00F03798" w:rsidRDefault="00F03798">
          <w:pPr>
            <w:pStyle w:val="HeaderNumberLeft"/>
          </w:pPr>
        </w:p>
      </w:tc>
      <w:tc>
        <w:tcPr>
          <w:tcW w:w="5764" w:type="dxa"/>
        </w:tcPr>
        <w:p w:rsidR="00F03798" w:rsidRDefault="00F03798">
          <w:pPr>
            <w:pStyle w:val="HeaderTextLeft"/>
          </w:pPr>
        </w:p>
      </w:tc>
    </w:tr>
    <w:tr w:rsidR="00F03798">
      <w:tc>
        <w:tcPr>
          <w:tcW w:w="1548" w:type="dxa"/>
        </w:tcPr>
        <w:p w:rsidR="00F03798" w:rsidRDefault="00F03798">
          <w:pPr>
            <w:pStyle w:val="HeaderNumberLeft"/>
          </w:pPr>
        </w:p>
      </w:tc>
      <w:tc>
        <w:tcPr>
          <w:tcW w:w="5764" w:type="dxa"/>
        </w:tcPr>
        <w:p w:rsidR="00F03798" w:rsidRDefault="00F03798">
          <w:pPr>
            <w:pStyle w:val="HeaderTextLeft"/>
          </w:pPr>
        </w:p>
      </w:tc>
    </w:tr>
    <w:tr w:rsidR="00F03798">
      <w:trPr>
        <w:cantSplit/>
      </w:trPr>
      <w:tc>
        <w:tcPr>
          <w:tcW w:w="7312" w:type="dxa"/>
          <w:gridSpan w:val="2"/>
        </w:tcPr>
        <w:p w:rsidR="00F03798" w:rsidRDefault="00F03798">
          <w:pPr>
            <w:pStyle w:val="HeaderSectionLeft"/>
          </w:pPr>
        </w:p>
      </w:tc>
    </w:tr>
  </w:tbl>
  <w:p w:rsidR="00F03798" w:rsidRDefault="00F03798">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F03798">
      <w:trPr>
        <w:cantSplit/>
      </w:trPr>
      <w:tc>
        <w:tcPr>
          <w:tcW w:w="7312" w:type="dxa"/>
          <w:gridSpan w:val="2"/>
        </w:tcPr>
        <w:p w:rsidR="00F03798" w:rsidRDefault="005D5447">
          <w:pPr>
            <w:pStyle w:val="HeaderActNameRight"/>
          </w:pPr>
          <w:fldSimple w:instr=" Styleref &quot;Name of Act/Reg&quot; ">
            <w:r w:rsidR="00D401D0">
              <w:rPr>
                <w:noProof/>
              </w:rPr>
              <w:t>The Broken Hill Proprietary Company Limited (Export of Iron Ore) Act 1965</w:t>
            </w:r>
          </w:fldSimple>
        </w:p>
      </w:tc>
    </w:tr>
    <w:tr w:rsidR="00F03798">
      <w:tc>
        <w:tcPr>
          <w:tcW w:w="5760" w:type="dxa"/>
        </w:tcPr>
        <w:p w:rsidR="00F03798" w:rsidRDefault="00F03798">
          <w:pPr>
            <w:pStyle w:val="HeaderTextRight"/>
          </w:pPr>
        </w:p>
      </w:tc>
      <w:tc>
        <w:tcPr>
          <w:tcW w:w="1552" w:type="dxa"/>
        </w:tcPr>
        <w:p w:rsidR="00F03798" w:rsidRDefault="00F03798">
          <w:pPr>
            <w:pStyle w:val="HeaderNumberRight"/>
          </w:pPr>
        </w:p>
      </w:tc>
    </w:tr>
    <w:tr w:rsidR="00F03798">
      <w:tc>
        <w:tcPr>
          <w:tcW w:w="5760" w:type="dxa"/>
        </w:tcPr>
        <w:p w:rsidR="00F03798" w:rsidRDefault="00F03798">
          <w:pPr>
            <w:pStyle w:val="HeaderTextRight"/>
          </w:pPr>
        </w:p>
      </w:tc>
      <w:tc>
        <w:tcPr>
          <w:tcW w:w="1552" w:type="dxa"/>
        </w:tcPr>
        <w:p w:rsidR="00F03798" w:rsidRDefault="00F03798">
          <w:pPr>
            <w:pStyle w:val="HeaderNumberRight"/>
          </w:pPr>
        </w:p>
      </w:tc>
    </w:tr>
    <w:tr w:rsidR="00F03798">
      <w:trPr>
        <w:cantSplit/>
      </w:trPr>
      <w:tc>
        <w:tcPr>
          <w:tcW w:w="7312" w:type="dxa"/>
          <w:gridSpan w:val="2"/>
        </w:tcPr>
        <w:p w:rsidR="00F03798" w:rsidRDefault="00F03798">
          <w:pPr>
            <w:pStyle w:val="HeaderSectionRight"/>
          </w:pPr>
        </w:p>
      </w:tc>
    </w:tr>
  </w:tbl>
  <w:p w:rsidR="00F03798" w:rsidRDefault="00F03798">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03798" w:rsidRDefault="00F03798">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03798" w:rsidRDefault="005D5447">
    <w:pPr>
      <w:pStyle w:val="headerpartodd"/>
      <w:ind w:left="0" w:firstLine="0"/>
      <w:rPr>
        <w:i/>
      </w:rPr>
    </w:pPr>
    <w:r>
      <w:rPr>
        <w:i/>
      </w:rPr>
      <w:fldChar w:fldCharType="begin"/>
    </w:r>
    <w:r>
      <w:rPr>
        <w:i/>
      </w:rPr>
      <w:instrText xml:space="preserve"> Styleref "Name of Act/Reg" </w:instrText>
    </w:r>
    <w:r>
      <w:rPr>
        <w:i/>
      </w:rPr>
      <w:fldChar w:fldCharType="separate"/>
    </w:r>
    <w:r w:rsidR="00D401D0">
      <w:rPr>
        <w:i/>
        <w:noProof/>
      </w:rPr>
      <w:t>The Broken Hill Proprietary Company Limited (Export of Iron Ore) Act 1965</w:t>
    </w:r>
    <w:r>
      <w:rPr>
        <w:i/>
      </w:rPr>
      <w:fldChar w:fldCharType="end"/>
    </w:r>
  </w:p>
  <w:p w:rsidR="00F03798" w:rsidRDefault="00F03798">
    <w:pPr>
      <w:pStyle w:val="headerpartodd"/>
      <w:ind w:left="0" w:firstLine="0"/>
      <w:rPr>
        <w:b w:val="0"/>
        <w:i/>
      </w:rPr>
    </w:pPr>
  </w:p>
  <w:p w:rsidR="00F03798" w:rsidRDefault="00F03798">
    <w:pPr>
      <w:pStyle w:val="headerpart"/>
    </w:pPr>
  </w:p>
  <w:p w:rsidR="00F03798" w:rsidRDefault="00F03798">
    <w:pPr>
      <w:pStyle w:val="headerpart"/>
    </w:pPr>
  </w:p>
  <w:p w:rsidR="00F03798" w:rsidRDefault="00F03798">
    <w:pPr>
      <w:pBdr>
        <w:bottom w:val="single" w:sz="6" w:space="1" w:color="auto"/>
      </w:pBdr>
      <w:rPr>
        <w:b/>
      </w:rPr>
    </w:pPr>
  </w:p>
  <w:p w:rsidR="00F03798" w:rsidRDefault="00F03798">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03798" w:rsidRDefault="005D5447">
    <w:pPr>
      <w:pStyle w:val="headerpartodd"/>
      <w:ind w:left="0" w:firstLine="0"/>
      <w:jc w:val="right"/>
      <w:rPr>
        <w:i/>
      </w:rPr>
    </w:pPr>
    <w:r>
      <w:rPr>
        <w:i/>
      </w:rPr>
      <w:fldChar w:fldCharType="begin"/>
    </w:r>
    <w:r>
      <w:rPr>
        <w:i/>
      </w:rPr>
      <w:instrText xml:space="preserve"> Styleref "Name of Act/Reg" </w:instrText>
    </w:r>
    <w:r>
      <w:rPr>
        <w:i/>
      </w:rPr>
      <w:fldChar w:fldCharType="separate"/>
    </w:r>
    <w:r w:rsidR="00D401D0">
      <w:rPr>
        <w:i/>
        <w:noProof/>
      </w:rPr>
      <w:t>The Broken Hill Proprietary Company Limited (Export of Iron Ore) Act 1965</w:t>
    </w:r>
    <w:r>
      <w:rPr>
        <w:i/>
      </w:rPr>
      <w:fldChar w:fldCharType="end"/>
    </w:r>
  </w:p>
  <w:p w:rsidR="00F03798" w:rsidRDefault="00F03798">
    <w:pPr>
      <w:pStyle w:val="headerpartodd"/>
      <w:ind w:left="0" w:firstLine="0"/>
      <w:jc w:val="right"/>
      <w:rPr>
        <w:b w:val="0"/>
        <w:i/>
      </w:rPr>
    </w:pPr>
  </w:p>
  <w:p w:rsidR="00F03798" w:rsidRDefault="00F03798">
    <w:pPr>
      <w:pStyle w:val="headerpart"/>
      <w:jc w:val="right"/>
    </w:pPr>
  </w:p>
  <w:p w:rsidR="00F03798" w:rsidRDefault="00F03798">
    <w:pPr>
      <w:pStyle w:val="headerpart"/>
      <w:jc w:val="right"/>
      <w:rPr>
        <w:sz w:val="24"/>
      </w:rPr>
    </w:pPr>
  </w:p>
  <w:p w:rsidR="00F03798" w:rsidRDefault="00F03798">
    <w:pPr>
      <w:pBdr>
        <w:bottom w:val="single" w:sz="6" w:space="1" w:color="auto"/>
      </w:pBdr>
      <w:jc w:val="right"/>
      <w:rPr>
        <w:b/>
      </w:rPr>
    </w:pPr>
  </w:p>
  <w:p w:rsidR="00F03798" w:rsidRDefault="00F03798">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03798" w:rsidRDefault="00F0379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FE908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3CA18F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4164D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7869DE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896259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0C01DD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9B255A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2F2941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ECAAD22"/>
    <w:lvl w:ilvl="0">
      <w:start w:val="1"/>
      <w:numFmt w:val="decimal"/>
      <w:pStyle w:val="ListNumber"/>
      <w:lvlText w:val="%1."/>
      <w:lvlJc w:val="left"/>
      <w:pPr>
        <w:tabs>
          <w:tab w:val="num" w:pos="360"/>
        </w:tabs>
        <w:ind w:left="360" w:hanging="360"/>
      </w:pPr>
    </w:lvl>
  </w:abstractNum>
  <w:abstractNum w:abstractNumId="9">
    <w:nsid w:val="FFFFFF89"/>
    <w:multiLevelType w:val="singleLevel"/>
    <w:tmpl w:val="955A0B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F58C99E0"/>
    <w:name w:val="SectionNumbers"/>
    <w:lvl w:ilvl="0">
      <w:start w:val="1"/>
      <w:numFmt w:val="decimal"/>
      <w:pStyle w:val="SectionNumbers"/>
      <w:suff w:val="nothing"/>
      <w:lvlText w:val="%1."/>
      <w:lvlJc w:val="right"/>
      <w:pPr>
        <w:ind w:left="0" w:firstLine="567"/>
      </w:pPr>
    </w:lvl>
    <w:lvl w:ilvl="1">
      <w:start w:val="1"/>
      <w:numFmt w:val="decimal"/>
      <w:suff w:val="nothing"/>
      <w:lvlText w:val="(%2)"/>
      <w:lvlJc w:val="right"/>
      <w:pPr>
        <w:ind w:left="567" w:firstLine="0"/>
      </w:pPr>
    </w:lvl>
    <w:lvl w:ilvl="2">
      <w:start w:val="1"/>
      <w:numFmt w:val="lowerLetter"/>
      <w:lvlText w:val="(%3)"/>
      <w:lvlJc w:val="left"/>
      <w:pPr>
        <w:tabs>
          <w:tab w:val="num" w:pos="1224"/>
        </w:tabs>
        <w:ind w:left="1224" w:hanging="504"/>
      </w:pPr>
    </w:lvl>
    <w:lvl w:ilvl="3">
      <w:start w:val="1"/>
      <w:numFmt w:val="lowerRoman"/>
      <w:lvlText w:val="(%4)"/>
      <w:lvlJc w:val="left"/>
      <w:pPr>
        <w:tabs>
          <w:tab w:val="num" w:pos="1728"/>
        </w:tabs>
        <w:ind w:left="1728" w:hanging="648"/>
      </w:pPr>
    </w:lvl>
    <w:lvl w:ilvl="4">
      <w:start w:val="1"/>
      <w:numFmt w:val="upperRoman"/>
      <w:lvlText w:val="(%5)"/>
      <w:lvlJc w:val="left"/>
      <w:pPr>
        <w:tabs>
          <w:tab w:val="num" w:pos="2232"/>
        </w:tabs>
        <w:ind w:left="2232" w:hanging="792"/>
      </w:pPr>
    </w:lvl>
    <w:lvl w:ilvl="5">
      <w:start w:val="1"/>
      <w:numFmt w:val="upperLetter"/>
      <w:lvlText w:val="(%6)"/>
      <w:lvlJc w:val="left"/>
      <w:pPr>
        <w:tabs>
          <w:tab w:val="num" w:pos="2736"/>
        </w:tabs>
        <w:ind w:left="2736" w:hanging="936"/>
      </w:pPr>
    </w:lvl>
    <w:lvl w:ilvl="6">
      <w:start w:val="1"/>
      <w:numFmt w:val="none"/>
      <w:lvlText w:val=""/>
      <w:lvlJc w:val="left"/>
      <w:pPr>
        <w:tabs>
          <w:tab w:val="num" w:pos="3240"/>
        </w:tabs>
        <w:ind w:left="3240" w:hanging="1080"/>
      </w:pPr>
    </w:lvl>
    <w:lvl w:ilvl="7">
      <w:start w:val="1"/>
      <w:numFmt w:val="none"/>
      <w:lvlText w:val=""/>
      <w:lvlJc w:val="left"/>
      <w:pPr>
        <w:tabs>
          <w:tab w:val="num" w:pos="3744"/>
        </w:tabs>
        <w:ind w:left="3744" w:hanging="1224"/>
      </w:pPr>
    </w:lvl>
    <w:lvl w:ilvl="8">
      <w:start w:val="1"/>
      <w:numFmt w:val="none"/>
      <w:lvlText w:val=""/>
      <w:lvlJc w:val="left"/>
      <w:pPr>
        <w:tabs>
          <w:tab w:val="num" w:pos="4320"/>
        </w:tabs>
        <w:ind w:left="4320" w:hanging="1440"/>
      </w:pPr>
    </w:lvl>
  </w:abstractNum>
  <w:abstractNum w:abstractNumId="13">
    <w:nsid w:val="22FF52EB"/>
    <w:multiLevelType w:val="multilevel"/>
    <w:tmpl w:val="A6FA58E8"/>
    <w:name w:val="DefinitionNumbers"/>
    <w:lvl w:ilvl="0">
      <w:start w:val="1"/>
      <w:numFmt w:val="none"/>
      <w:pStyle w:val="DefinitionNumbers"/>
      <w:lvlText w:val=""/>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440"/>
        </w:tabs>
        <w:ind w:left="1080" w:hanging="360"/>
      </w:pPr>
      <w:rPr>
        <w:rFonts w:hint="default"/>
      </w:rPr>
    </w:lvl>
    <w:lvl w:ilvl="3">
      <w:start w:val="1"/>
      <w:numFmt w:val="upperRoman"/>
      <w:lvlText w:val="(%4)"/>
      <w:lvlJc w:val="left"/>
      <w:pPr>
        <w:tabs>
          <w:tab w:val="num" w:pos="1800"/>
        </w:tabs>
        <w:ind w:left="1440" w:hanging="360"/>
      </w:pPr>
      <w:rPr>
        <w:rFonts w:hint="default"/>
      </w:rPr>
    </w:lvl>
    <w:lvl w:ilvl="4">
      <w:start w:val="1"/>
      <w:numFmt w:val="none"/>
      <w:lvlText w:val=""/>
      <w:lvlJc w:val="left"/>
      <w:pPr>
        <w:tabs>
          <w:tab w:val="num" w:pos="1800"/>
        </w:tabs>
        <w:ind w:left="1800" w:hanging="360"/>
      </w:pPr>
      <w:rPr>
        <w:rFonts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1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0">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1"/>
  </w:num>
  <w:num w:numId="13">
    <w:abstractNumId w:val="20"/>
  </w:num>
  <w:num w:numId="14">
    <w:abstractNumId w:val="12"/>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8"/>
  <w:bordersDoNotSurroundHeader/>
  <w:bordersDoNotSurroundFooter/>
  <w:hideSpellingErrors/>
  <w:defaultTabStop w:val="720"/>
  <w:doNotHyphenateCaps/>
  <w:evenAndOddHeaders/>
  <w:drawingGridHorizontalSpacing w:val="110"/>
  <w:drawingGridVerticalSpacing w:val="299"/>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D5447"/>
    <w:rsid w:val="005D5447"/>
    <w:rsid w:val="00C04508"/>
    <w:rsid w:val="00D401D0"/>
    <w:rsid w:val="00EA5FA1"/>
    <w:rsid w:val="00F0379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2"/>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93"/>
      </w:tabs>
      <w:spacing w:before="220" w:line="260" w:lineRule="atLeast"/>
      <w:ind w:left="893" w:hanging="893"/>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800"/>
      <w:jc w:val="center"/>
    </w:pPr>
    <w:rPr>
      <w:b/>
      <w:snapToGrid w:val="0"/>
      <w:sz w:val="38"/>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3"/>
        <w:tab w:val="left" w:pos="1901"/>
      </w:tabs>
      <w:spacing w:before="80" w:line="260" w:lineRule="atLeast"/>
      <w:ind w:left="1901" w:hanging="1901"/>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sz w:val="24"/>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noProof w:val="0"/>
      <w:sz w:val="18"/>
      <w:lang w:val="en-AU"/>
    </w:rPr>
  </w:style>
  <w:style w:type="character" w:styleId="PageNumber">
    <w:name w:val="page number"/>
    <w:basedOn w:val="DefaultParagraphFont"/>
    <w:semiHidden/>
    <w:rPr>
      <w:noProof w:val="0"/>
      <w:sz w:val="24"/>
      <w:lang w:val="en-AU"/>
    </w:rPr>
  </w:style>
  <w:style w:type="paragraph" w:customStyle="1" w:styleId="Page1">
    <w:name w:val="Page1"/>
    <w:basedOn w:val="Normal"/>
    <w:pPr>
      <w:spacing w:before="5103"/>
    </w:pPr>
    <w:rPr>
      <w:b/>
      <w:sz w:val="34"/>
    </w:rPr>
  </w:style>
  <w:style w:type="paragraph" w:customStyle="1" w:styleId="zPenstart">
    <w:name w:val="zPenstart"/>
    <w:basedOn w:val="Penstart"/>
    <w:pPr>
      <w:pBdr>
        <w:left w:val="threeDEngrave" w:sz="24" w:space="4" w:color="auto"/>
        <w:right w:val="threeDEmboss" w:sz="24" w:space="4" w:color="auto"/>
      </w:pBdr>
      <w:shd w:val="pct12" w:color="808080" w:fill="FFFFFF"/>
    </w:pPr>
  </w:style>
  <w:style w:type="paragraph" w:customStyle="1" w:styleId="Penstart">
    <w:name w:val="Penstart"/>
    <w:basedOn w:val="Normal"/>
    <w:pPr>
      <w:tabs>
        <w:tab w:val="left" w:pos="893"/>
      </w:tabs>
      <w:spacing w:before="80" w:line="260" w:lineRule="atLeast"/>
      <w:ind w:left="893" w:hanging="893"/>
    </w:pPr>
    <w:rPr>
      <w:sz w:val="24"/>
    </w:rPr>
  </w:style>
  <w:style w:type="paragraph" w:customStyle="1" w:styleId="Preamble">
    <w:name w:val="Preamble"/>
    <w:pPr>
      <w:tabs>
        <w:tab w:val="right" w:pos="605"/>
        <w:tab w:val="left" w:pos="893"/>
      </w:tabs>
      <w:spacing w:before="160" w:line="260" w:lineRule="atLeast"/>
    </w:pPr>
    <w:rPr>
      <w:sz w:val="24"/>
      <w:lang w:eastAsia="en-US"/>
    </w:rPr>
  </w:style>
  <w:style w:type="character" w:styleId="Strong">
    <w:name w:val="Strong"/>
    <w:basedOn w:val="DefaultParagraphFont"/>
    <w:qFormat/>
    <w:rPr>
      <w:b/>
      <w:noProof w:val="0"/>
      <w:sz w:val="24"/>
      <w:lang w:val="en-AU"/>
    </w:rPr>
  </w:style>
  <w:style w:type="paragraph" w:customStyle="1" w:styleId="ySubsection">
    <w:name w:val="ySubsection"/>
    <w:basedOn w:val="Subsection"/>
    <w:rPr>
      <w:sz w:val="22"/>
    </w:rPr>
  </w:style>
  <w:style w:type="paragraph" w:customStyle="1" w:styleId="Subsection">
    <w:name w:val="Subsection"/>
    <w:pPr>
      <w:tabs>
        <w:tab w:val="right" w:pos="605"/>
        <w:tab w:val="left" w:pos="893"/>
      </w:tabs>
      <w:spacing w:before="160" w:line="260" w:lineRule="atLeast"/>
      <w:ind w:left="893" w:hanging="893"/>
    </w:pPr>
    <w:rPr>
      <w:sz w:val="24"/>
      <w:lang w:eastAsia="en-US"/>
    </w:rPr>
  </w:style>
  <w:style w:type="paragraph" w:customStyle="1" w:styleId="Tablea">
    <w:name w:val="Table(a)"/>
    <w:aliases w:val="ta"/>
    <w:basedOn w:val="Normal"/>
    <w:pPr>
      <w:ind w:left="284" w:hanging="284"/>
    </w:pPr>
    <w:rPr>
      <w:rFonts w:ascii="NewCenturySchlbk" w:hAnsi="NewCenturySchlbk"/>
      <w:sz w:val="24"/>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sz w:val="24"/>
    </w:rPr>
  </w:style>
  <w:style w:type="paragraph" w:customStyle="1" w:styleId="Table">
    <w:name w:val="Table"/>
    <w:aliases w:val="t"/>
    <w:basedOn w:val="Normal"/>
    <w:pPr>
      <w:spacing w:before="60" w:line="240" w:lineRule="atLeast"/>
    </w:pPr>
    <w:rPr>
      <w:sz w:val="24"/>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93"/>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93"/>
      </w:tabs>
      <w:spacing w:before="80" w:line="260" w:lineRule="atLeast"/>
      <w:ind w:left="1325" w:hanging="1325"/>
    </w:pPr>
    <w:rPr>
      <w:snapToGrid w:val="0"/>
      <w:sz w:val="24"/>
      <w:lang w:eastAsia="en-US"/>
    </w:rPr>
  </w:style>
  <w:style w:type="paragraph" w:customStyle="1" w:styleId="Defitem">
    <w:name w:val="Defitem"/>
    <w:pPr>
      <w:tabs>
        <w:tab w:val="right" w:pos="2808"/>
        <w:tab w:val="left" w:pos="3096"/>
      </w:tabs>
      <w:spacing w:before="80" w:line="260" w:lineRule="atLeast"/>
      <w:ind w:left="3096" w:hanging="3096"/>
    </w:pPr>
    <w:rPr>
      <w:sz w:val="24"/>
      <w:lang w:eastAsia="en-US"/>
    </w:rPr>
  </w:style>
  <w:style w:type="paragraph" w:customStyle="1" w:styleId="Defsubpara">
    <w:name w:val="Defsubpara"/>
    <w:pPr>
      <w:keepLines/>
      <w:tabs>
        <w:tab w:val="right" w:pos="2333"/>
        <w:tab w:val="left" w:pos="2621"/>
      </w:tabs>
      <w:spacing w:before="80" w:line="260" w:lineRule="atLeast"/>
      <w:ind w:left="2621" w:hanging="2621"/>
    </w:pPr>
    <w:rPr>
      <w:sz w:val="24"/>
      <w:lang w:eastAsia="en-US"/>
    </w:rPr>
  </w:style>
  <w:style w:type="character" w:styleId="EndnoteReference">
    <w:name w:val="endnote reference"/>
    <w:basedOn w:val="DefaultParagraphFont"/>
    <w:semiHidden/>
    <w:rPr>
      <w:noProof w:val="0"/>
      <w:sz w:val="24"/>
      <w:vertAlign w:val="superscript"/>
      <w:lang w:val="en-AU"/>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rPr>
      <w:rFonts w:ascii="Tahoma" w:hAnsi="Tahoma"/>
    </w:rPr>
  </w:style>
  <w:style w:type="paragraph" w:customStyle="1" w:styleId="zSubsection">
    <w:name w:val="zSubsection"/>
    <w:basedOn w:val="Subsection"/>
    <w:pPr>
      <w:pBdr>
        <w:left w:val="threeDEngrave" w:sz="24" w:space="4" w:color="auto"/>
        <w:right w:val="threeDEmboss" w:sz="24" w:space="4" w:color="auto"/>
      </w:pBdr>
      <w:shd w:val="pct12" w:color="808080" w:fill="FFFFFF"/>
    </w:pPr>
  </w:style>
  <w:style w:type="character" w:styleId="Hyperlink">
    <w:name w:val="Hyperlink"/>
    <w:basedOn w:val="DefaultParagraphFont"/>
    <w:semiHidden/>
    <w:rPr>
      <w:noProof w:val="0"/>
      <w:color w:val="0000FF"/>
      <w:sz w:val="24"/>
      <w:u w:val="single"/>
      <w:lang w:val="en-AU"/>
    </w:rPr>
  </w:style>
  <w:style w:type="character" w:styleId="FollowedHyperlink">
    <w:name w:val="FollowedHyperlink"/>
    <w:basedOn w:val="DefaultParagraphFont"/>
    <w:semiHidden/>
    <w:rPr>
      <w:noProof w:val="0"/>
      <w:color w:val="800080"/>
      <w:sz w:val="24"/>
      <w:u w:val="single"/>
      <w:lang w:val="en-AU"/>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rPr>
      <w:rFonts w:ascii="NewCenturySchlbk" w:hAnsi="NewCenturySchlbk"/>
      <w:sz w:val="24"/>
    </w:r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3"/>
      </w:numPr>
      <w:spacing w:line="260" w:lineRule="atLeast"/>
    </w:pPr>
    <w:rPr>
      <w:rFonts w:ascii="NewCenturySchlbk" w:hAnsi="NewCenturySchlbk"/>
      <w:sz w:val="24"/>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pPr>
      <w:spacing w:before="600"/>
    </w:pPr>
    <w:rPr>
      <w:b/>
      <w:sz w:val="24"/>
      <w:lang w:eastAsia="en-US"/>
    </w:rPr>
  </w:style>
  <w:style w:type="paragraph" w:styleId="PlainText">
    <w:name w:val="Plain Text"/>
    <w:basedOn w:val="Normal"/>
    <w:semiHidden/>
    <w:rPr>
      <w:rFonts w:ascii="Courier New" w:hAnsi="Courier New"/>
      <w:sz w:val="24"/>
    </w:rPr>
  </w:style>
  <w:style w:type="paragraph" w:styleId="Signature">
    <w:name w:val="Signature"/>
    <w:basedOn w:val="Normal"/>
    <w:semiHidden/>
    <w:pPr>
      <w:ind w:left="4252"/>
    </w:pPr>
    <w:rPr>
      <w:sz w:val="24"/>
    </w:rPr>
  </w:style>
  <w:style w:type="paragraph" w:styleId="List">
    <w:name w:val="List"/>
    <w:basedOn w:val="Normal"/>
    <w:semiHidden/>
    <w:pPr>
      <w:ind w:left="283" w:hanging="283"/>
    </w:pPr>
  </w:style>
  <w:style w:type="paragraph" w:customStyle="1" w:styleId="Indenta">
    <w:name w:val="Indent(a)"/>
    <w:pPr>
      <w:keepLines/>
      <w:tabs>
        <w:tab w:val="right" w:pos="1325"/>
        <w:tab w:val="left" w:pos="1613"/>
      </w:tabs>
      <w:spacing w:before="80" w:line="260" w:lineRule="atLeast"/>
      <w:ind w:left="1613" w:hanging="1613"/>
    </w:pPr>
    <w:rPr>
      <w:sz w:val="24"/>
      <w:lang w:eastAsia="en-US"/>
    </w:rPr>
  </w:style>
  <w:style w:type="paragraph" w:customStyle="1" w:styleId="IndentA0">
    <w:name w:val="Indent(A)"/>
    <w:pPr>
      <w:keepLines/>
      <w:tabs>
        <w:tab w:val="right" w:pos="2621"/>
        <w:tab w:val="left" w:pos="2909"/>
      </w:tabs>
      <w:spacing w:before="80" w:line="260" w:lineRule="atLeast"/>
      <w:ind w:left="2909" w:hanging="2909"/>
    </w:pPr>
    <w:rPr>
      <w:sz w:val="24"/>
      <w:lang w:eastAsia="en-US"/>
    </w:rPr>
  </w:style>
  <w:style w:type="paragraph" w:customStyle="1" w:styleId="Indenti">
    <w:name w:val="Indent(i)"/>
    <w:pPr>
      <w:tabs>
        <w:tab w:val="right" w:pos="2045"/>
        <w:tab w:val="left" w:pos="2333"/>
      </w:tabs>
      <w:spacing w:before="80" w:line="260" w:lineRule="atLeast"/>
      <w:ind w:left="2333" w:hanging="2333"/>
    </w:pPr>
    <w:rPr>
      <w:sz w:val="24"/>
      <w:lang w:eastAsia="en-US"/>
    </w:rPr>
  </w:style>
  <w:style w:type="paragraph" w:customStyle="1" w:styleId="IndentI0">
    <w:name w:val="Indent(I)"/>
    <w:pPr>
      <w:keepLines/>
      <w:tabs>
        <w:tab w:val="right" w:pos="3197"/>
        <w:tab w:val="left" w:pos="3485"/>
      </w:tabs>
      <w:spacing w:before="80" w:line="260" w:lineRule="atLeast"/>
      <w:ind w:left="3485" w:hanging="3485"/>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before="160"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pBdr>
        <w:left w:val="threeDEngrave" w:sz="24" w:space="4" w:color="auto"/>
        <w:right w:val="threeDEmboss" w:sz="24" w:space="4" w:color="auto"/>
      </w:pBdr>
      <w:shd w:val="pct12" w:color="808080" w:fill="FFFFFF"/>
      <w:outlineLvl w:val="9"/>
    </w:pPr>
    <w:rPr>
      <w:sz w:val="36"/>
    </w:rPr>
  </w:style>
  <w:style w:type="paragraph" w:customStyle="1" w:styleId="zHeading2">
    <w:name w:val="zHeading 2"/>
    <w:basedOn w:val="Heading2"/>
    <w:pPr>
      <w:pBdr>
        <w:left w:val="threeDEngrave" w:sz="24" w:space="4" w:color="auto"/>
        <w:right w:val="threeDEmboss" w:sz="24" w:space="4" w:color="auto"/>
      </w:pBdr>
      <w:shd w:val="pct12" w:color="808080" w:fill="FFFFFF"/>
      <w:outlineLvl w:val="9"/>
    </w:pPr>
    <w:rPr>
      <w:sz w:val="32"/>
    </w:rPr>
  </w:style>
  <w:style w:type="paragraph" w:customStyle="1" w:styleId="zHeading3">
    <w:name w:val="zHeading 3"/>
    <w:basedOn w:val="Heading3"/>
    <w:pPr>
      <w:pBdr>
        <w:left w:val="threeDEngrave" w:sz="24" w:space="4" w:color="auto"/>
        <w:right w:val="threeDEmboss" w:sz="24" w:space="4" w:color="auto"/>
      </w:pBdr>
      <w:shd w:val="pct12" w:color="808080" w:fill="FFFFFF"/>
      <w:outlineLvl w:val="9"/>
    </w:pPr>
    <w:rPr>
      <w:sz w:val="28"/>
    </w:rPr>
  </w:style>
  <w:style w:type="paragraph" w:customStyle="1" w:styleId="zHeading4">
    <w:name w:val="zHeading 4"/>
    <w:basedOn w:val="Heading4"/>
    <w:pPr>
      <w:pBdr>
        <w:left w:val="threeDEngrave" w:sz="24" w:space="4" w:color="auto"/>
        <w:right w:val="threeDEmboss" w:sz="24" w:space="4" w:color="auto"/>
      </w:pBdr>
      <w:shd w:val="pct12" w:color="808080" w:fill="FFFFFF"/>
      <w:outlineLvl w:val="9"/>
    </w:pPr>
  </w:style>
  <w:style w:type="paragraph" w:customStyle="1" w:styleId="zHeading5">
    <w:name w:val="zHeading 5"/>
    <w:basedOn w:val="Heading5"/>
    <w:pPr>
      <w:pBdr>
        <w:left w:val="threeDEngrave" w:sz="24" w:space="4" w:color="auto"/>
        <w:right w:val="threeDEmboss" w:sz="24" w:space="4" w:color="auto"/>
      </w:pBdr>
      <w:shd w:val="pct12" w:color="808080" w:fill="FFFFFF"/>
      <w:outlineLvl w:val="9"/>
    </w:pPr>
  </w:style>
  <w:style w:type="paragraph" w:customStyle="1" w:styleId="yHeading2">
    <w:name w:val="yHeading 2"/>
    <w:basedOn w:val="Heading2"/>
    <w:pPr>
      <w:pageBreakBefore w:val="0"/>
      <w:outlineLvl w:val="9"/>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325"/>
        <w:tab w:val="left" w:pos="1613"/>
      </w:tabs>
      <w:spacing w:before="80" w:line="260" w:lineRule="atLeast"/>
      <w:ind w:left="1613" w:hanging="1613"/>
    </w:pPr>
    <w:rPr>
      <w:sz w:val="24"/>
      <w:lang w:eastAsia="en-US"/>
    </w:rPr>
  </w:style>
  <w:style w:type="paragraph" w:customStyle="1" w:styleId="Pensubpara">
    <w:name w:val="Pensubpara"/>
    <w:pPr>
      <w:tabs>
        <w:tab w:val="right" w:pos="2045"/>
        <w:tab w:val="left" w:pos="2333"/>
      </w:tabs>
      <w:spacing w:before="160" w:line="260" w:lineRule="atLeast"/>
      <w:ind w:firstLine="2333"/>
    </w:pPr>
    <w:rPr>
      <w:sz w:val="24"/>
      <w:lang w:eastAsia="en-US"/>
    </w:rPr>
  </w:style>
  <w:style w:type="paragraph" w:customStyle="1" w:styleId="Penitem">
    <w:name w:val="Penitem"/>
    <w:pPr>
      <w:tabs>
        <w:tab w:val="right" w:pos="2765"/>
        <w:tab w:val="left" w:pos="3053"/>
      </w:tabs>
      <w:spacing w:before="80" w:line="260" w:lineRule="atLeast"/>
      <w:ind w:left="3053" w:hanging="3053"/>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Courier New" w:hAnsi="Courier New"/>
      <w:sz w:val="22"/>
      <w:lang w:eastAsia="en-US"/>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pBdr>
        <w:left w:val="threeDEngrave" w:sz="24" w:space="4" w:color="auto"/>
        <w:right w:val="threeDEmboss" w:sz="24" w:space="4" w:color="auto"/>
      </w:pBdr>
      <w:shd w:val="pct12" w:color="808080" w:fill="FFFFFF"/>
    </w:pPr>
  </w:style>
  <w:style w:type="paragraph" w:customStyle="1" w:styleId="zIndentA0">
    <w:name w:val="zIndent(A)"/>
    <w:basedOn w:val="IndentA0"/>
    <w:pPr>
      <w:pBdr>
        <w:left w:val="threeDEngrave" w:sz="24" w:space="4" w:color="auto"/>
        <w:right w:val="threeDEmboss" w:sz="24" w:space="4" w:color="auto"/>
      </w:pBdr>
      <w:shd w:val="pct12" w:color="808080" w:fill="FFFFFF"/>
    </w:pPr>
  </w:style>
  <w:style w:type="paragraph" w:customStyle="1" w:styleId="zIndenti">
    <w:name w:val="zIndent(i)"/>
    <w:basedOn w:val="Indenti"/>
    <w:pPr>
      <w:pBdr>
        <w:left w:val="threeDEngrave" w:sz="24" w:space="4" w:color="auto"/>
        <w:right w:val="threeDEmboss" w:sz="24" w:space="4" w:color="auto"/>
      </w:pBdr>
      <w:shd w:val="pct12" w:color="808080" w:fill="FFFFFF"/>
    </w:pPr>
  </w:style>
  <w:style w:type="paragraph" w:customStyle="1" w:styleId="zIndentI0">
    <w:name w:val="zIndent(I)"/>
    <w:basedOn w:val="IndentI0"/>
    <w:pPr>
      <w:pBdr>
        <w:left w:val="threeDEngrave" w:sz="24" w:space="4" w:color="auto"/>
        <w:right w:val="threeDEmboss" w:sz="24" w:space="4" w:color="auto"/>
      </w:pBdr>
      <w:shd w:val="pct12" w:color="808080" w:fill="FFFFFF"/>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pBdr>
        <w:left w:val="threeDEngrave" w:sz="24" w:space="4" w:color="auto"/>
        <w:right w:val="threeDEmboss" w:sz="24" w:space="4" w:color="auto"/>
      </w:pBdr>
      <w:shd w:val="pct12" w:color="808080" w:fill="FFFFFF"/>
    </w:pPr>
  </w:style>
  <w:style w:type="paragraph" w:customStyle="1" w:styleId="zPensubpara">
    <w:name w:val="zPensubpara"/>
    <w:basedOn w:val="Pensubpara"/>
    <w:pPr>
      <w:pBdr>
        <w:left w:val="threeDEngrave" w:sz="24" w:space="4" w:color="auto"/>
        <w:right w:val="threeDEmboss" w:sz="24" w:space="4" w:color="auto"/>
      </w:pBdr>
      <w:shd w:val="pct12" w:color="808080" w:fill="FFFFFF"/>
    </w:pPr>
  </w:style>
  <w:style w:type="paragraph" w:customStyle="1" w:styleId="zPenitem">
    <w:name w:val="zPenitem"/>
    <w:basedOn w:val="Penitem"/>
    <w:pPr>
      <w:pBdr>
        <w:left w:val="threeDEngrave" w:sz="24" w:space="4" w:color="auto"/>
        <w:right w:val="threeDEmboss" w:sz="24" w:space="4" w:color="auto"/>
      </w:pBdr>
      <w:shd w:val="pct12" w:color="808080" w:fill="FFFFFF"/>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Defstart"/>
    <w:pPr>
      <w:pBdr>
        <w:left w:val="threeDEngrave" w:sz="24" w:space="4" w:color="auto"/>
        <w:right w:val="threeDEmboss" w:sz="24" w:space="4" w:color="auto"/>
      </w:pBdr>
      <w:shd w:val="pct12" w:color="808080" w:fill="FFFFFF"/>
    </w:pPr>
  </w:style>
  <w:style w:type="paragraph" w:customStyle="1" w:styleId="zDefpara">
    <w:name w:val="zDefpara"/>
    <w:basedOn w:val="Defpara"/>
    <w:pPr>
      <w:pBdr>
        <w:left w:val="threeDEngrave" w:sz="24" w:space="4" w:color="auto"/>
        <w:right w:val="threeDEmboss" w:sz="24" w:space="4" w:color="auto"/>
      </w:pBdr>
      <w:shd w:val="pct12" w:color="808080" w:fill="FFFFFF"/>
    </w:pPr>
  </w:style>
  <w:style w:type="paragraph" w:customStyle="1" w:styleId="zDefsubpara">
    <w:name w:val="zDefsubpara"/>
    <w:basedOn w:val="Defsubpara"/>
    <w:pPr>
      <w:pBdr>
        <w:left w:val="threeDEngrave" w:sz="24" w:space="4" w:color="auto"/>
        <w:right w:val="threeDEmboss" w:sz="24" w:space="4" w:color="auto"/>
      </w:pBdr>
      <w:shd w:val="pct12" w:color="808080" w:fill="FFFFFF"/>
    </w:pPr>
  </w:style>
  <w:style w:type="paragraph" w:customStyle="1" w:styleId="zDefitem">
    <w:name w:val="zDefitem"/>
    <w:basedOn w:val="Defitem"/>
    <w:pPr>
      <w:pBdr>
        <w:left w:val="threeDEngrave" w:sz="24" w:space="4" w:color="auto"/>
        <w:right w:val="threeDEmboss" w:sz="24" w:space="4" w:color="auto"/>
      </w:pBdr>
      <w:shd w:val="pct12" w:color="808080" w:fill="FFFFFF"/>
      <w:ind w:hanging="2808"/>
    </w:p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noProof w:val="0"/>
      <w:sz w:val="24"/>
      <w:lang w:val="en-AU"/>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noProof w:val="0"/>
      <w:sz w:val="24"/>
      <w:vertAlign w:val="superscript"/>
      <w:lang w:val="en-AU"/>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rPr>
      <w:sz w:val="24"/>
    </w:rPr>
  </w:style>
  <w:style w:type="paragraph" w:styleId="NoteHeading">
    <w:name w:val="Note Heading"/>
    <w:basedOn w:val="Normal"/>
    <w:next w:val="Normal"/>
    <w:semiHidden/>
    <w:rPr>
      <w:sz w:val="24"/>
    </w:rPr>
  </w:style>
  <w:style w:type="paragraph" w:styleId="Salutation">
    <w:name w:val="Salutation"/>
    <w:basedOn w:val="Normal"/>
    <w:next w:val="Normal"/>
    <w:semiHidden/>
    <w:rPr>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rPr>
      <w:sz w:val="24"/>
    </w:rPr>
  </w:style>
  <w:style w:type="paragraph" w:styleId="TableofFigures">
    <w:name w:val="table of figures"/>
    <w:basedOn w:val="Normal"/>
    <w:next w:val="Normal"/>
    <w:semiHidden/>
    <w:pPr>
      <w:ind w:left="440" w:hanging="440"/>
    </w:pPr>
    <w:rPr>
      <w:sz w:val="24"/>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Pr>
      <w:sz w:val="20"/>
    </w:rPr>
  </w:style>
  <w:style w:type="paragraph" w:customStyle="1" w:styleId="yFootnotesection">
    <w:name w:val="yFootnote(section)"/>
    <w:basedOn w:val="Footnotesection"/>
    <w:rPr>
      <w:sz w:val="22"/>
    </w:rPr>
  </w:style>
  <w:style w:type="paragraph" w:customStyle="1" w:styleId="nDefstart">
    <w:name w:val="nDefstart"/>
    <w:basedOn w:val="Defstart"/>
    <w:rPr>
      <w:sz w:val="20"/>
    </w:rPr>
  </w:style>
  <w:style w:type="paragraph" w:customStyle="1" w:styleId="nDefsubpara">
    <w:name w:val="nDefsubpara"/>
    <w:basedOn w:val="Defsubpara"/>
    <w:rPr>
      <w:sz w:val="20"/>
    </w:rPr>
  </w:style>
  <w:style w:type="paragraph" w:customStyle="1" w:styleId="nEdnoteitem">
    <w:name w:val="nEdnote(item)"/>
    <w:basedOn w:val="Ednoteitem"/>
    <w:rPr>
      <w:sz w:val="20"/>
    </w:rPr>
  </w:style>
  <w:style w:type="paragraph" w:customStyle="1" w:styleId="nEdnotepara">
    <w:name w:val="nEdnote(para)"/>
    <w:basedOn w:val="Ednotepara"/>
    <w:rPr>
      <w:sz w:val="20"/>
    </w:rPr>
  </w:style>
  <w:style w:type="paragraph" w:customStyle="1" w:styleId="nEdnotesection">
    <w:name w:val="nEdnote(section)"/>
    <w:basedOn w:val="Ednotesection"/>
    <w:pPr>
      <w:outlineLvl w:val="9"/>
    </w:pPr>
    <w:rPr>
      <w:sz w:val="20"/>
    </w:rPr>
  </w:style>
  <w:style w:type="paragraph" w:customStyle="1" w:styleId="nEdnotesubpara">
    <w:name w:val="nEdnote(subpara)"/>
    <w:basedOn w:val="Ednotesubpara"/>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customStyle="1" w:styleId="nPenpara">
    <w:name w:val="nPenpara"/>
    <w:basedOn w:val="Penpara"/>
    <w:rPr>
      <w:sz w:val="20"/>
    </w:rPr>
  </w:style>
  <w:style w:type="paragraph" w:customStyle="1" w:styleId="nPenstart">
    <w:name w:val="nPenstart"/>
    <w:basedOn w:val="Penstart"/>
    <w:rPr>
      <w:sz w:val="20"/>
    </w:rPr>
  </w:style>
  <w:style w:type="paragraph" w:customStyle="1" w:styleId="nSubsection">
    <w:name w:val="nSubsection"/>
    <w:basedOn w:val="Subsection"/>
    <w:pPr>
      <w:tabs>
        <w:tab w:val="clear" w:pos="605"/>
        <w:tab w:val="clear" w:pos="893"/>
        <w:tab w:val="left" w:pos="461"/>
      </w:tabs>
      <w:ind w:left="461" w:hanging="461"/>
    </w:pPr>
    <w:rPr>
      <w:sz w:val="20"/>
    </w:rPr>
  </w:style>
  <w:style w:type="paragraph" w:customStyle="1" w:styleId="nzDefpara">
    <w:name w:val="nzDefpara"/>
    <w:basedOn w:val="zDefpara"/>
    <w:rPr>
      <w:sz w:val="20"/>
    </w:rPr>
  </w:style>
  <w:style w:type="paragraph" w:customStyle="1" w:styleId="nzDefstart">
    <w:name w:val="nzDefstart"/>
    <w:basedOn w:val="zDefstart"/>
    <w:rPr>
      <w:sz w:val="20"/>
    </w:rPr>
  </w:style>
  <w:style w:type="paragraph" w:customStyle="1" w:styleId="nzDefsubpara">
    <w:name w:val="nzDefsubpara"/>
    <w:basedOn w:val="zDefsubpara"/>
    <w:rPr>
      <w:sz w:val="20"/>
    </w:rPr>
  </w:style>
  <w:style w:type="paragraph" w:customStyle="1" w:styleId="MiscOpen">
    <w:name w:val="MiscOpen"/>
    <w:pPr>
      <w:keepNext/>
      <w:keepLines/>
      <w:tabs>
        <w:tab w:val="left" w:pos="893"/>
      </w:tabs>
      <w:spacing w:before="160" w:line="260" w:lineRule="atLeast"/>
    </w:pPr>
    <w:rPr>
      <w:sz w:val="22"/>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spacing w:before="160" w:line="260" w:lineRule="atLeast"/>
    </w:pPr>
    <w:rPr>
      <w:sz w:val="24"/>
      <w:lang w:eastAsia="en-US"/>
    </w:rPr>
  </w:style>
  <w:style w:type="paragraph" w:customStyle="1" w:styleId="nzHeading2">
    <w:name w:val="nzHeading 2"/>
    <w:basedOn w:val="zHeading2"/>
    <w:rPr>
      <w:sz w:val="26"/>
    </w:rPr>
  </w:style>
  <w:style w:type="paragraph" w:customStyle="1" w:styleId="nzHeading3">
    <w:name w:val="nzHeading 3"/>
    <w:basedOn w:val="zHeading3"/>
    <w:rPr>
      <w:sz w:val="22"/>
    </w:rPr>
  </w:style>
  <w:style w:type="paragraph" w:customStyle="1" w:styleId="nzHeading4">
    <w:name w:val="nzHeading 4"/>
    <w:basedOn w:val="zHeading4"/>
    <w:rPr>
      <w:sz w:val="20"/>
    </w:rPr>
  </w:style>
  <w:style w:type="paragraph" w:customStyle="1" w:styleId="nzHeading5">
    <w:name w:val="nzHeading 5"/>
    <w:basedOn w:val="zHeading5"/>
    <w:rPr>
      <w:sz w:val="20"/>
    </w:rPr>
  </w:style>
  <w:style w:type="paragraph" w:customStyle="1" w:styleId="nzIndenta">
    <w:name w:val="nzIndent(a)"/>
    <w:basedOn w:val="zIndenta"/>
    <w:rPr>
      <w:sz w:val="20"/>
    </w:rPr>
  </w:style>
  <w:style w:type="paragraph" w:customStyle="1" w:styleId="nzIndentA0">
    <w:name w:val="nzIndent(A)"/>
    <w:basedOn w:val="zIndentA0"/>
    <w:rPr>
      <w:sz w:val="20"/>
    </w:rPr>
  </w:style>
  <w:style w:type="paragraph" w:customStyle="1" w:styleId="nzIndenti">
    <w:name w:val="nzIndent(i)"/>
    <w:basedOn w:val="zIndenti"/>
    <w:rPr>
      <w:sz w:val="20"/>
    </w:rPr>
  </w:style>
  <w:style w:type="paragraph" w:customStyle="1" w:styleId="nzIndentI0">
    <w:name w:val="nzIndent(I)"/>
    <w:basedOn w:val="zIndentI0"/>
    <w:rPr>
      <w:sz w:val="20"/>
    </w:rPr>
  </w:style>
  <w:style w:type="paragraph" w:customStyle="1" w:styleId="nzPenpara">
    <w:name w:val="nzPenpara"/>
    <w:basedOn w:val="zPenpara"/>
    <w:rPr>
      <w:sz w:val="20"/>
    </w:rPr>
  </w:style>
  <w:style w:type="paragraph" w:customStyle="1" w:styleId="nzPenstart">
    <w:name w:val="nzPenstart"/>
    <w:basedOn w:val="zPenstart"/>
    <w:rPr>
      <w:sz w:val="20"/>
    </w:rPr>
  </w:style>
  <w:style w:type="paragraph" w:customStyle="1" w:styleId="nzSubsection">
    <w:name w:val="nzSubsection"/>
    <w:basedOn w:val="zSubsection"/>
    <w:rPr>
      <w:sz w:val="20"/>
    </w:rPr>
  </w:style>
  <w:style w:type="paragraph" w:customStyle="1" w:styleId="MiscellaneousBody">
    <w:name w:val="Miscellaneous Body"/>
    <w:basedOn w:val="MiscellaneousHeading"/>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lang w:eastAsia="en-US"/>
    </w:rPr>
  </w:style>
  <w:style w:type="paragraph" w:customStyle="1" w:styleId="yScheduleHeading">
    <w:name w:val="yScheduleHeading"/>
    <w:basedOn w:val="yHeading2"/>
    <w:pPr>
      <w:pageBreakBefore/>
      <w:outlineLvl w:val="1"/>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2"/>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64"/>
      <w:jc w:val="center"/>
    </w:pPr>
    <w:rPr>
      <w:b/>
      <w:sz w:val="24"/>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rPr>
      <w:sz w:val="22"/>
    </w:rPr>
  </w:style>
  <w:style w:type="paragraph" w:customStyle="1" w:styleId="nTable">
    <w:name w:val="nTable"/>
    <w:basedOn w:val="Table"/>
    <w:rPr>
      <w:sz w:val="18"/>
    </w:rPr>
  </w:style>
  <w:style w:type="paragraph" w:customStyle="1" w:styleId="zTable">
    <w:name w:val="zTable"/>
    <w:basedOn w:val="Normal"/>
    <w:pPr>
      <w:pBdr>
        <w:left w:val="threeDEngrave" w:sz="24" w:space="4" w:color="auto"/>
        <w:right w:val="threeDEmboss" w:sz="24" w:space="4" w:color="auto"/>
      </w:pBdr>
      <w:shd w:val="pct12" w:color="808080" w:fill="auto"/>
    </w:pPr>
    <w:rPr>
      <w:sz w:val="24"/>
    </w:rPr>
  </w:style>
  <w:style w:type="paragraph" w:customStyle="1" w:styleId="nzTable">
    <w:name w:val="nzTable"/>
    <w:basedOn w:val="zTable"/>
  </w:style>
  <w:style w:type="paragraph" w:customStyle="1" w:styleId="zMiscellaneousHeading">
    <w:name w:val="zMiscellaneousHeading"/>
    <w:basedOn w:val="zSubsection"/>
  </w:style>
  <w:style w:type="paragraph" w:customStyle="1" w:styleId="zMiscellaneousBody">
    <w:name w:val="zMiscellaneousBody"/>
    <w:basedOn w:val="zSubsection"/>
  </w:style>
  <w:style w:type="paragraph" w:customStyle="1" w:styleId="zMiscellaneousText">
    <w:name w:val="zMiscellaneousText"/>
    <w:basedOn w:val="zSubsection"/>
  </w:style>
  <w:style w:type="paragraph" w:customStyle="1" w:styleId="yFootnoteheading">
    <w:name w:val="yFootnote(heading)"/>
    <w:basedOn w:val="Footnoteheading"/>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2"/>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93"/>
      </w:tabs>
      <w:spacing w:before="220" w:line="260" w:lineRule="atLeast"/>
      <w:ind w:left="893" w:hanging="893"/>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800"/>
      <w:jc w:val="center"/>
    </w:pPr>
    <w:rPr>
      <w:b/>
      <w:snapToGrid w:val="0"/>
      <w:sz w:val="38"/>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3"/>
        <w:tab w:val="left" w:pos="1901"/>
      </w:tabs>
      <w:spacing w:before="80" w:line="260" w:lineRule="atLeast"/>
      <w:ind w:left="1901" w:hanging="1901"/>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sz w:val="24"/>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noProof w:val="0"/>
      <w:sz w:val="18"/>
      <w:lang w:val="en-AU"/>
    </w:rPr>
  </w:style>
  <w:style w:type="character" w:styleId="PageNumber">
    <w:name w:val="page number"/>
    <w:basedOn w:val="DefaultParagraphFont"/>
    <w:semiHidden/>
    <w:rPr>
      <w:noProof w:val="0"/>
      <w:sz w:val="24"/>
      <w:lang w:val="en-AU"/>
    </w:rPr>
  </w:style>
  <w:style w:type="paragraph" w:customStyle="1" w:styleId="Page1">
    <w:name w:val="Page1"/>
    <w:basedOn w:val="Normal"/>
    <w:pPr>
      <w:spacing w:before="5103"/>
    </w:pPr>
    <w:rPr>
      <w:b/>
      <w:sz w:val="34"/>
    </w:rPr>
  </w:style>
  <w:style w:type="paragraph" w:customStyle="1" w:styleId="zPenstart">
    <w:name w:val="zPenstart"/>
    <w:basedOn w:val="Penstart"/>
    <w:pPr>
      <w:pBdr>
        <w:left w:val="threeDEngrave" w:sz="24" w:space="4" w:color="auto"/>
        <w:right w:val="threeDEmboss" w:sz="24" w:space="4" w:color="auto"/>
      </w:pBdr>
      <w:shd w:val="pct12" w:color="808080" w:fill="FFFFFF"/>
    </w:pPr>
  </w:style>
  <w:style w:type="paragraph" w:customStyle="1" w:styleId="Penstart">
    <w:name w:val="Penstart"/>
    <w:basedOn w:val="Normal"/>
    <w:pPr>
      <w:tabs>
        <w:tab w:val="left" w:pos="893"/>
      </w:tabs>
      <w:spacing w:before="80" w:line="260" w:lineRule="atLeast"/>
      <w:ind w:left="893" w:hanging="893"/>
    </w:pPr>
    <w:rPr>
      <w:sz w:val="24"/>
    </w:rPr>
  </w:style>
  <w:style w:type="paragraph" w:customStyle="1" w:styleId="Preamble">
    <w:name w:val="Preamble"/>
    <w:pPr>
      <w:tabs>
        <w:tab w:val="right" w:pos="605"/>
        <w:tab w:val="left" w:pos="893"/>
      </w:tabs>
      <w:spacing w:before="160" w:line="260" w:lineRule="atLeast"/>
    </w:pPr>
    <w:rPr>
      <w:sz w:val="24"/>
      <w:lang w:eastAsia="en-US"/>
    </w:rPr>
  </w:style>
  <w:style w:type="character" w:styleId="Strong">
    <w:name w:val="Strong"/>
    <w:basedOn w:val="DefaultParagraphFont"/>
    <w:qFormat/>
    <w:rPr>
      <w:b/>
      <w:noProof w:val="0"/>
      <w:sz w:val="24"/>
      <w:lang w:val="en-AU"/>
    </w:rPr>
  </w:style>
  <w:style w:type="paragraph" w:customStyle="1" w:styleId="ySubsection">
    <w:name w:val="ySubsection"/>
    <w:basedOn w:val="Subsection"/>
    <w:rPr>
      <w:sz w:val="22"/>
    </w:rPr>
  </w:style>
  <w:style w:type="paragraph" w:customStyle="1" w:styleId="Subsection">
    <w:name w:val="Subsection"/>
    <w:pPr>
      <w:tabs>
        <w:tab w:val="right" w:pos="605"/>
        <w:tab w:val="left" w:pos="893"/>
      </w:tabs>
      <w:spacing w:before="160" w:line="260" w:lineRule="atLeast"/>
      <w:ind w:left="893" w:hanging="893"/>
    </w:pPr>
    <w:rPr>
      <w:sz w:val="24"/>
      <w:lang w:eastAsia="en-US"/>
    </w:rPr>
  </w:style>
  <w:style w:type="paragraph" w:customStyle="1" w:styleId="Tablea">
    <w:name w:val="Table(a)"/>
    <w:aliases w:val="ta"/>
    <w:basedOn w:val="Normal"/>
    <w:pPr>
      <w:ind w:left="284" w:hanging="284"/>
    </w:pPr>
    <w:rPr>
      <w:rFonts w:ascii="NewCenturySchlbk" w:hAnsi="NewCenturySchlbk"/>
      <w:sz w:val="24"/>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sz w:val="24"/>
    </w:rPr>
  </w:style>
  <w:style w:type="paragraph" w:customStyle="1" w:styleId="Table">
    <w:name w:val="Table"/>
    <w:aliases w:val="t"/>
    <w:basedOn w:val="Normal"/>
    <w:pPr>
      <w:spacing w:before="60" w:line="240" w:lineRule="atLeast"/>
    </w:pPr>
    <w:rPr>
      <w:sz w:val="24"/>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93"/>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93"/>
      </w:tabs>
      <w:spacing w:before="80" w:line="260" w:lineRule="atLeast"/>
      <w:ind w:left="1325" w:hanging="1325"/>
    </w:pPr>
    <w:rPr>
      <w:snapToGrid w:val="0"/>
      <w:sz w:val="24"/>
      <w:lang w:eastAsia="en-US"/>
    </w:rPr>
  </w:style>
  <w:style w:type="paragraph" w:customStyle="1" w:styleId="Defitem">
    <w:name w:val="Defitem"/>
    <w:pPr>
      <w:tabs>
        <w:tab w:val="right" w:pos="2808"/>
        <w:tab w:val="left" w:pos="3096"/>
      </w:tabs>
      <w:spacing w:before="80" w:line="260" w:lineRule="atLeast"/>
      <w:ind w:left="3096" w:hanging="3096"/>
    </w:pPr>
    <w:rPr>
      <w:sz w:val="24"/>
      <w:lang w:eastAsia="en-US"/>
    </w:rPr>
  </w:style>
  <w:style w:type="paragraph" w:customStyle="1" w:styleId="Defsubpara">
    <w:name w:val="Defsubpara"/>
    <w:pPr>
      <w:keepLines/>
      <w:tabs>
        <w:tab w:val="right" w:pos="2333"/>
        <w:tab w:val="left" w:pos="2621"/>
      </w:tabs>
      <w:spacing w:before="80" w:line="260" w:lineRule="atLeast"/>
      <w:ind w:left="2621" w:hanging="2621"/>
    </w:pPr>
    <w:rPr>
      <w:sz w:val="24"/>
      <w:lang w:eastAsia="en-US"/>
    </w:rPr>
  </w:style>
  <w:style w:type="character" w:styleId="EndnoteReference">
    <w:name w:val="endnote reference"/>
    <w:basedOn w:val="DefaultParagraphFont"/>
    <w:semiHidden/>
    <w:rPr>
      <w:noProof w:val="0"/>
      <w:sz w:val="24"/>
      <w:vertAlign w:val="superscript"/>
      <w:lang w:val="en-AU"/>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rPr>
      <w:rFonts w:ascii="Tahoma" w:hAnsi="Tahoma"/>
    </w:rPr>
  </w:style>
  <w:style w:type="paragraph" w:customStyle="1" w:styleId="zSubsection">
    <w:name w:val="zSubsection"/>
    <w:basedOn w:val="Subsection"/>
    <w:pPr>
      <w:pBdr>
        <w:left w:val="threeDEngrave" w:sz="24" w:space="4" w:color="auto"/>
        <w:right w:val="threeDEmboss" w:sz="24" w:space="4" w:color="auto"/>
      </w:pBdr>
      <w:shd w:val="pct12" w:color="808080" w:fill="FFFFFF"/>
    </w:pPr>
  </w:style>
  <w:style w:type="character" w:styleId="Hyperlink">
    <w:name w:val="Hyperlink"/>
    <w:basedOn w:val="DefaultParagraphFont"/>
    <w:semiHidden/>
    <w:rPr>
      <w:noProof w:val="0"/>
      <w:color w:val="0000FF"/>
      <w:sz w:val="24"/>
      <w:u w:val="single"/>
      <w:lang w:val="en-AU"/>
    </w:rPr>
  </w:style>
  <w:style w:type="character" w:styleId="FollowedHyperlink">
    <w:name w:val="FollowedHyperlink"/>
    <w:basedOn w:val="DefaultParagraphFont"/>
    <w:semiHidden/>
    <w:rPr>
      <w:noProof w:val="0"/>
      <w:color w:val="800080"/>
      <w:sz w:val="24"/>
      <w:u w:val="single"/>
      <w:lang w:val="en-AU"/>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rPr>
      <w:rFonts w:ascii="NewCenturySchlbk" w:hAnsi="NewCenturySchlbk"/>
      <w:sz w:val="24"/>
    </w:r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3"/>
      </w:numPr>
      <w:spacing w:line="260" w:lineRule="atLeast"/>
    </w:pPr>
    <w:rPr>
      <w:rFonts w:ascii="NewCenturySchlbk" w:hAnsi="NewCenturySchlbk"/>
      <w:sz w:val="24"/>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pPr>
      <w:spacing w:before="600"/>
    </w:pPr>
    <w:rPr>
      <w:b/>
      <w:sz w:val="24"/>
      <w:lang w:eastAsia="en-US"/>
    </w:rPr>
  </w:style>
  <w:style w:type="paragraph" w:styleId="PlainText">
    <w:name w:val="Plain Text"/>
    <w:basedOn w:val="Normal"/>
    <w:semiHidden/>
    <w:rPr>
      <w:rFonts w:ascii="Courier New" w:hAnsi="Courier New"/>
      <w:sz w:val="24"/>
    </w:rPr>
  </w:style>
  <w:style w:type="paragraph" w:styleId="Signature">
    <w:name w:val="Signature"/>
    <w:basedOn w:val="Normal"/>
    <w:semiHidden/>
    <w:pPr>
      <w:ind w:left="4252"/>
    </w:pPr>
    <w:rPr>
      <w:sz w:val="24"/>
    </w:rPr>
  </w:style>
  <w:style w:type="paragraph" w:styleId="List">
    <w:name w:val="List"/>
    <w:basedOn w:val="Normal"/>
    <w:semiHidden/>
    <w:pPr>
      <w:ind w:left="283" w:hanging="283"/>
    </w:pPr>
  </w:style>
  <w:style w:type="paragraph" w:customStyle="1" w:styleId="Indenta">
    <w:name w:val="Indent(a)"/>
    <w:pPr>
      <w:keepLines/>
      <w:tabs>
        <w:tab w:val="right" w:pos="1325"/>
        <w:tab w:val="left" w:pos="1613"/>
      </w:tabs>
      <w:spacing w:before="80" w:line="260" w:lineRule="atLeast"/>
      <w:ind w:left="1613" w:hanging="1613"/>
    </w:pPr>
    <w:rPr>
      <w:sz w:val="24"/>
      <w:lang w:eastAsia="en-US"/>
    </w:rPr>
  </w:style>
  <w:style w:type="paragraph" w:customStyle="1" w:styleId="IndentA0">
    <w:name w:val="Indent(A)"/>
    <w:pPr>
      <w:keepLines/>
      <w:tabs>
        <w:tab w:val="right" w:pos="2621"/>
        <w:tab w:val="left" w:pos="2909"/>
      </w:tabs>
      <w:spacing w:before="80" w:line="260" w:lineRule="atLeast"/>
      <w:ind w:left="2909" w:hanging="2909"/>
    </w:pPr>
    <w:rPr>
      <w:sz w:val="24"/>
      <w:lang w:eastAsia="en-US"/>
    </w:rPr>
  </w:style>
  <w:style w:type="paragraph" w:customStyle="1" w:styleId="Indenti">
    <w:name w:val="Indent(i)"/>
    <w:pPr>
      <w:tabs>
        <w:tab w:val="right" w:pos="2045"/>
        <w:tab w:val="left" w:pos="2333"/>
      </w:tabs>
      <w:spacing w:before="80" w:line="260" w:lineRule="atLeast"/>
      <w:ind w:left="2333" w:hanging="2333"/>
    </w:pPr>
    <w:rPr>
      <w:sz w:val="24"/>
      <w:lang w:eastAsia="en-US"/>
    </w:rPr>
  </w:style>
  <w:style w:type="paragraph" w:customStyle="1" w:styleId="IndentI0">
    <w:name w:val="Indent(I)"/>
    <w:pPr>
      <w:keepLines/>
      <w:tabs>
        <w:tab w:val="right" w:pos="3197"/>
        <w:tab w:val="left" w:pos="3485"/>
      </w:tabs>
      <w:spacing w:before="80" w:line="260" w:lineRule="atLeast"/>
      <w:ind w:left="3485" w:hanging="3485"/>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before="160"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pBdr>
        <w:left w:val="threeDEngrave" w:sz="24" w:space="4" w:color="auto"/>
        <w:right w:val="threeDEmboss" w:sz="24" w:space="4" w:color="auto"/>
      </w:pBdr>
      <w:shd w:val="pct12" w:color="808080" w:fill="FFFFFF"/>
      <w:outlineLvl w:val="9"/>
    </w:pPr>
    <w:rPr>
      <w:sz w:val="36"/>
    </w:rPr>
  </w:style>
  <w:style w:type="paragraph" w:customStyle="1" w:styleId="zHeading2">
    <w:name w:val="zHeading 2"/>
    <w:basedOn w:val="Heading2"/>
    <w:pPr>
      <w:pBdr>
        <w:left w:val="threeDEngrave" w:sz="24" w:space="4" w:color="auto"/>
        <w:right w:val="threeDEmboss" w:sz="24" w:space="4" w:color="auto"/>
      </w:pBdr>
      <w:shd w:val="pct12" w:color="808080" w:fill="FFFFFF"/>
      <w:outlineLvl w:val="9"/>
    </w:pPr>
    <w:rPr>
      <w:sz w:val="32"/>
    </w:rPr>
  </w:style>
  <w:style w:type="paragraph" w:customStyle="1" w:styleId="zHeading3">
    <w:name w:val="zHeading 3"/>
    <w:basedOn w:val="Heading3"/>
    <w:pPr>
      <w:pBdr>
        <w:left w:val="threeDEngrave" w:sz="24" w:space="4" w:color="auto"/>
        <w:right w:val="threeDEmboss" w:sz="24" w:space="4" w:color="auto"/>
      </w:pBdr>
      <w:shd w:val="pct12" w:color="808080" w:fill="FFFFFF"/>
      <w:outlineLvl w:val="9"/>
    </w:pPr>
    <w:rPr>
      <w:sz w:val="28"/>
    </w:rPr>
  </w:style>
  <w:style w:type="paragraph" w:customStyle="1" w:styleId="zHeading4">
    <w:name w:val="zHeading 4"/>
    <w:basedOn w:val="Heading4"/>
    <w:pPr>
      <w:pBdr>
        <w:left w:val="threeDEngrave" w:sz="24" w:space="4" w:color="auto"/>
        <w:right w:val="threeDEmboss" w:sz="24" w:space="4" w:color="auto"/>
      </w:pBdr>
      <w:shd w:val="pct12" w:color="808080" w:fill="FFFFFF"/>
      <w:outlineLvl w:val="9"/>
    </w:pPr>
  </w:style>
  <w:style w:type="paragraph" w:customStyle="1" w:styleId="zHeading5">
    <w:name w:val="zHeading 5"/>
    <w:basedOn w:val="Heading5"/>
    <w:pPr>
      <w:pBdr>
        <w:left w:val="threeDEngrave" w:sz="24" w:space="4" w:color="auto"/>
        <w:right w:val="threeDEmboss" w:sz="24" w:space="4" w:color="auto"/>
      </w:pBdr>
      <w:shd w:val="pct12" w:color="808080" w:fill="FFFFFF"/>
      <w:outlineLvl w:val="9"/>
    </w:pPr>
  </w:style>
  <w:style w:type="paragraph" w:customStyle="1" w:styleId="yHeading2">
    <w:name w:val="yHeading 2"/>
    <w:basedOn w:val="Heading2"/>
    <w:pPr>
      <w:pageBreakBefore w:val="0"/>
      <w:outlineLvl w:val="9"/>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325"/>
        <w:tab w:val="left" w:pos="1613"/>
      </w:tabs>
      <w:spacing w:before="80" w:line="260" w:lineRule="atLeast"/>
      <w:ind w:left="1613" w:hanging="1613"/>
    </w:pPr>
    <w:rPr>
      <w:sz w:val="24"/>
      <w:lang w:eastAsia="en-US"/>
    </w:rPr>
  </w:style>
  <w:style w:type="paragraph" w:customStyle="1" w:styleId="Pensubpara">
    <w:name w:val="Pensubpara"/>
    <w:pPr>
      <w:tabs>
        <w:tab w:val="right" w:pos="2045"/>
        <w:tab w:val="left" w:pos="2333"/>
      </w:tabs>
      <w:spacing w:before="160" w:line="260" w:lineRule="atLeast"/>
      <w:ind w:firstLine="2333"/>
    </w:pPr>
    <w:rPr>
      <w:sz w:val="24"/>
      <w:lang w:eastAsia="en-US"/>
    </w:rPr>
  </w:style>
  <w:style w:type="paragraph" w:customStyle="1" w:styleId="Penitem">
    <w:name w:val="Penitem"/>
    <w:pPr>
      <w:tabs>
        <w:tab w:val="right" w:pos="2765"/>
        <w:tab w:val="left" w:pos="3053"/>
      </w:tabs>
      <w:spacing w:before="80" w:line="260" w:lineRule="atLeast"/>
      <w:ind w:left="3053" w:hanging="3053"/>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Courier New" w:hAnsi="Courier New"/>
      <w:sz w:val="22"/>
      <w:lang w:eastAsia="en-US"/>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pBdr>
        <w:left w:val="threeDEngrave" w:sz="24" w:space="4" w:color="auto"/>
        <w:right w:val="threeDEmboss" w:sz="24" w:space="4" w:color="auto"/>
      </w:pBdr>
      <w:shd w:val="pct12" w:color="808080" w:fill="FFFFFF"/>
    </w:pPr>
  </w:style>
  <w:style w:type="paragraph" w:customStyle="1" w:styleId="zIndentA0">
    <w:name w:val="zIndent(A)"/>
    <w:basedOn w:val="IndentA0"/>
    <w:pPr>
      <w:pBdr>
        <w:left w:val="threeDEngrave" w:sz="24" w:space="4" w:color="auto"/>
        <w:right w:val="threeDEmboss" w:sz="24" w:space="4" w:color="auto"/>
      </w:pBdr>
      <w:shd w:val="pct12" w:color="808080" w:fill="FFFFFF"/>
    </w:pPr>
  </w:style>
  <w:style w:type="paragraph" w:customStyle="1" w:styleId="zIndenti">
    <w:name w:val="zIndent(i)"/>
    <w:basedOn w:val="Indenti"/>
    <w:pPr>
      <w:pBdr>
        <w:left w:val="threeDEngrave" w:sz="24" w:space="4" w:color="auto"/>
        <w:right w:val="threeDEmboss" w:sz="24" w:space="4" w:color="auto"/>
      </w:pBdr>
      <w:shd w:val="pct12" w:color="808080" w:fill="FFFFFF"/>
    </w:pPr>
  </w:style>
  <w:style w:type="paragraph" w:customStyle="1" w:styleId="zIndentI0">
    <w:name w:val="zIndent(I)"/>
    <w:basedOn w:val="IndentI0"/>
    <w:pPr>
      <w:pBdr>
        <w:left w:val="threeDEngrave" w:sz="24" w:space="4" w:color="auto"/>
        <w:right w:val="threeDEmboss" w:sz="24" w:space="4" w:color="auto"/>
      </w:pBdr>
      <w:shd w:val="pct12" w:color="808080" w:fill="FFFFFF"/>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pBdr>
        <w:left w:val="threeDEngrave" w:sz="24" w:space="4" w:color="auto"/>
        <w:right w:val="threeDEmboss" w:sz="24" w:space="4" w:color="auto"/>
      </w:pBdr>
      <w:shd w:val="pct12" w:color="808080" w:fill="FFFFFF"/>
    </w:pPr>
  </w:style>
  <w:style w:type="paragraph" w:customStyle="1" w:styleId="zPensubpara">
    <w:name w:val="zPensubpara"/>
    <w:basedOn w:val="Pensubpara"/>
    <w:pPr>
      <w:pBdr>
        <w:left w:val="threeDEngrave" w:sz="24" w:space="4" w:color="auto"/>
        <w:right w:val="threeDEmboss" w:sz="24" w:space="4" w:color="auto"/>
      </w:pBdr>
      <w:shd w:val="pct12" w:color="808080" w:fill="FFFFFF"/>
    </w:pPr>
  </w:style>
  <w:style w:type="paragraph" w:customStyle="1" w:styleId="zPenitem">
    <w:name w:val="zPenitem"/>
    <w:basedOn w:val="Penitem"/>
    <w:pPr>
      <w:pBdr>
        <w:left w:val="threeDEngrave" w:sz="24" w:space="4" w:color="auto"/>
        <w:right w:val="threeDEmboss" w:sz="24" w:space="4" w:color="auto"/>
      </w:pBdr>
      <w:shd w:val="pct12" w:color="808080" w:fill="FFFFFF"/>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Defstart"/>
    <w:pPr>
      <w:pBdr>
        <w:left w:val="threeDEngrave" w:sz="24" w:space="4" w:color="auto"/>
        <w:right w:val="threeDEmboss" w:sz="24" w:space="4" w:color="auto"/>
      </w:pBdr>
      <w:shd w:val="pct12" w:color="808080" w:fill="FFFFFF"/>
    </w:pPr>
  </w:style>
  <w:style w:type="paragraph" w:customStyle="1" w:styleId="zDefpara">
    <w:name w:val="zDefpara"/>
    <w:basedOn w:val="Defpara"/>
    <w:pPr>
      <w:pBdr>
        <w:left w:val="threeDEngrave" w:sz="24" w:space="4" w:color="auto"/>
        <w:right w:val="threeDEmboss" w:sz="24" w:space="4" w:color="auto"/>
      </w:pBdr>
      <w:shd w:val="pct12" w:color="808080" w:fill="FFFFFF"/>
    </w:pPr>
  </w:style>
  <w:style w:type="paragraph" w:customStyle="1" w:styleId="zDefsubpara">
    <w:name w:val="zDefsubpara"/>
    <w:basedOn w:val="Defsubpara"/>
    <w:pPr>
      <w:pBdr>
        <w:left w:val="threeDEngrave" w:sz="24" w:space="4" w:color="auto"/>
        <w:right w:val="threeDEmboss" w:sz="24" w:space="4" w:color="auto"/>
      </w:pBdr>
      <w:shd w:val="pct12" w:color="808080" w:fill="FFFFFF"/>
    </w:pPr>
  </w:style>
  <w:style w:type="paragraph" w:customStyle="1" w:styleId="zDefitem">
    <w:name w:val="zDefitem"/>
    <w:basedOn w:val="Defitem"/>
    <w:pPr>
      <w:pBdr>
        <w:left w:val="threeDEngrave" w:sz="24" w:space="4" w:color="auto"/>
        <w:right w:val="threeDEmboss" w:sz="24" w:space="4" w:color="auto"/>
      </w:pBdr>
      <w:shd w:val="pct12" w:color="808080" w:fill="FFFFFF"/>
      <w:ind w:hanging="2808"/>
    </w:p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noProof w:val="0"/>
      <w:sz w:val="24"/>
      <w:lang w:val="en-AU"/>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noProof w:val="0"/>
      <w:sz w:val="24"/>
      <w:vertAlign w:val="superscript"/>
      <w:lang w:val="en-AU"/>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rPr>
      <w:sz w:val="24"/>
    </w:rPr>
  </w:style>
  <w:style w:type="paragraph" w:styleId="NoteHeading">
    <w:name w:val="Note Heading"/>
    <w:basedOn w:val="Normal"/>
    <w:next w:val="Normal"/>
    <w:semiHidden/>
    <w:rPr>
      <w:sz w:val="24"/>
    </w:rPr>
  </w:style>
  <w:style w:type="paragraph" w:styleId="Salutation">
    <w:name w:val="Salutation"/>
    <w:basedOn w:val="Normal"/>
    <w:next w:val="Normal"/>
    <w:semiHidden/>
    <w:rPr>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rPr>
      <w:sz w:val="24"/>
    </w:rPr>
  </w:style>
  <w:style w:type="paragraph" w:styleId="TableofFigures">
    <w:name w:val="table of figures"/>
    <w:basedOn w:val="Normal"/>
    <w:next w:val="Normal"/>
    <w:semiHidden/>
    <w:pPr>
      <w:ind w:left="440" w:hanging="440"/>
    </w:pPr>
    <w:rPr>
      <w:sz w:val="24"/>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Pr>
      <w:sz w:val="20"/>
    </w:rPr>
  </w:style>
  <w:style w:type="paragraph" w:customStyle="1" w:styleId="yFootnotesection">
    <w:name w:val="yFootnote(section)"/>
    <w:basedOn w:val="Footnotesection"/>
    <w:rPr>
      <w:sz w:val="22"/>
    </w:rPr>
  </w:style>
  <w:style w:type="paragraph" w:customStyle="1" w:styleId="nDefstart">
    <w:name w:val="nDefstart"/>
    <w:basedOn w:val="Defstart"/>
    <w:rPr>
      <w:sz w:val="20"/>
    </w:rPr>
  </w:style>
  <w:style w:type="paragraph" w:customStyle="1" w:styleId="nDefsubpara">
    <w:name w:val="nDefsubpara"/>
    <w:basedOn w:val="Defsubpara"/>
    <w:rPr>
      <w:sz w:val="20"/>
    </w:rPr>
  </w:style>
  <w:style w:type="paragraph" w:customStyle="1" w:styleId="nEdnoteitem">
    <w:name w:val="nEdnote(item)"/>
    <w:basedOn w:val="Ednoteitem"/>
    <w:rPr>
      <w:sz w:val="20"/>
    </w:rPr>
  </w:style>
  <w:style w:type="paragraph" w:customStyle="1" w:styleId="nEdnotepara">
    <w:name w:val="nEdnote(para)"/>
    <w:basedOn w:val="Ednotepara"/>
    <w:rPr>
      <w:sz w:val="20"/>
    </w:rPr>
  </w:style>
  <w:style w:type="paragraph" w:customStyle="1" w:styleId="nEdnotesection">
    <w:name w:val="nEdnote(section)"/>
    <w:basedOn w:val="Ednotesection"/>
    <w:pPr>
      <w:outlineLvl w:val="9"/>
    </w:pPr>
    <w:rPr>
      <w:sz w:val="20"/>
    </w:rPr>
  </w:style>
  <w:style w:type="paragraph" w:customStyle="1" w:styleId="nEdnotesubpara">
    <w:name w:val="nEdnote(subpara)"/>
    <w:basedOn w:val="Ednotesubpara"/>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customStyle="1" w:styleId="nPenpara">
    <w:name w:val="nPenpara"/>
    <w:basedOn w:val="Penpara"/>
    <w:rPr>
      <w:sz w:val="20"/>
    </w:rPr>
  </w:style>
  <w:style w:type="paragraph" w:customStyle="1" w:styleId="nPenstart">
    <w:name w:val="nPenstart"/>
    <w:basedOn w:val="Penstart"/>
    <w:rPr>
      <w:sz w:val="20"/>
    </w:rPr>
  </w:style>
  <w:style w:type="paragraph" w:customStyle="1" w:styleId="nSubsection">
    <w:name w:val="nSubsection"/>
    <w:basedOn w:val="Subsection"/>
    <w:pPr>
      <w:tabs>
        <w:tab w:val="clear" w:pos="605"/>
        <w:tab w:val="clear" w:pos="893"/>
        <w:tab w:val="left" w:pos="461"/>
      </w:tabs>
      <w:ind w:left="461" w:hanging="461"/>
    </w:pPr>
    <w:rPr>
      <w:sz w:val="20"/>
    </w:rPr>
  </w:style>
  <w:style w:type="paragraph" w:customStyle="1" w:styleId="nzDefpara">
    <w:name w:val="nzDefpara"/>
    <w:basedOn w:val="zDefpara"/>
    <w:rPr>
      <w:sz w:val="20"/>
    </w:rPr>
  </w:style>
  <w:style w:type="paragraph" w:customStyle="1" w:styleId="nzDefstart">
    <w:name w:val="nzDefstart"/>
    <w:basedOn w:val="zDefstart"/>
    <w:rPr>
      <w:sz w:val="20"/>
    </w:rPr>
  </w:style>
  <w:style w:type="paragraph" w:customStyle="1" w:styleId="nzDefsubpara">
    <w:name w:val="nzDefsubpara"/>
    <w:basedOn w:val="zDefsubpara"/>
    <w:rPr>
      <w:sz w:val="20"/>
    </w:rPr>
  </w:style>
  <w:style w:type="paragraph" w:customStyle="1" w:styleId="MiscOpen">
    <w:name w:val="MiscOpen"/>
    <w:pPr>
      <w:keepNext/>
      <w:keepLines/>
      <w:tabs>
        <w:tab w:val="left" w:pos="893"/>
      </w:tabs>
      <w:spacing w:before="160" w:line="260" w:lineRule="atLeast"/>
    </w:pPr>
    <w:rPr>
      <w:sz w:val="22"/>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spacing w:before="160" w:line="260" w:lineRule="atLeast"/>
    </w:pPr>
    <w:rPr>
      <w:sz w:val="24"/>
      <w:lang w:eastAsia="en-US"/>
    </w:rPr>
  </w:style>
  <w:style w:type="paragraph" w:customStyle="1" w:styleId="nzHeading2">
    <w:name w:val="nzHeading 2"/>
    <w:basedOn w:val="zHeading2"/>
    <w:rPr>
      <w:sz w:val="26"/>
    </w:rPr>
  </w:style>
  <w:style w:type="paragraph" w:customStyle="1" w:styleId="nzHeading3">
    <w:name w:val="nzHeading 3"/>
    <w:basedOn w:val="zHeading3"/>
    <w:rPr>
      <w:sz w:val="22"/>
    </w:rPr>
  </w:style>
  <w:style w:type="paragraph" w:customStyle="1" w:styleId="nzHeading4">
    <w:name w:val="nzHeading 4"/>
    <w:basedOn w:val="zHeading4"/>
    <w:rPr>
      <w:sz w:val="20"/>
    </w:rPr>
  </w:style>
  <w:style w:type="paragraph" w:customStyle="1" w:styleId="nzHeading5">
    <w:name w:val="nzHeading 5"/>
    <w:basedOn w:val="zHeading5"/>
    <w:rPr>
      <w:sz w:val="20"/>
    </w:rPr>
  </w:style>
  <w:style w:type="paragraph" w:customStyle="1" w:styleId="nzIndenta">
    <w:name w:val="nzIndent(a)"/>
    <w:basedOn w:val="zIndenta"/>
    <w:rPr>
      <w:sz w:val="20"/>
    </w:rPr>
  </w:style>
  <w:style w:type="paragraph" w:customStyle="1" w:styleId="nzIndentA0">
    <w:name w:val="nzIndent(A)"/>
    <w:basedOn w:val="zIndentA0"/>
    <w:rPr>
      <w:sz w:val="20"/>
    </w:rPr>
  </w:style>
  <w:style w:type="paragraph" w:customStyle="1" w:styleId="nzIndenti">
    <w:name w:val="nzIndent(i)"/>
    <w:basedOn w:val="zIndenti"/>
    <w:rPr>
      <w:sz w:val="20"/>
    </w:rPr>
  </w:style>
  <w:style w:type="paragraph" w:customStyle="1" w:styleId="nzIndentI0">
    <w:name w:val="nzIndent(I)"/>
    <w:basedOn w:val="zIndentI0"/>
    <w:rPr>
      <w:sz w:val="20"/>
    </w:rPr>
  </w:style>
  <w:style w:type="paragraph" w:customStyle="1" w:styleId="nzPenpara">
    <w:name w:val="nzPenpara"/>
    <w:basedOn w:val="zPenpara"/>
    <w:rPr>
      <w:sz w:val="20"/>
    </w:rPr>
  </w:style>
  <w:style w:type="paragraph" w:customStyle="1" w:styleId="nzPenstart">
    <w:name w:val="nzPenstart"/>
    <w:basedOn w:val="zPenstart"/>
    <w:rPr>
      <w:sz w:val="20"/>
    </w:rPr>
  </w:style>
  <w:style w:type="paragraph" w:customStyle="1" w:styleId="nzSubsection">
    <w:name w:val="nzSubsection"/>
    <w:basedOn w:val="zSubsection"/>
    <w:rPr>
      <w:sz w:val="20"/>
    </w:rPr>
  </w:style>
  <w:style w:type="paragraph" w:customStyle="1" w:styleId="MiscellaneousBody">
    <w:name w:val="Miscellaneous Body"/>
    <w:basedOn w:val="MiscellaneousHeading"/>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lang w:eastAsia="en-US"/>
    </w:rPr>
  </w:style>
  <w:style w:type="paragraph" w:customStyle="1" w:styleId="yScheduleHeading">
    <w:name w:val="yScheduleHeading"/>
    <w:basedOn w:val="yHeading2"/>
    <w:pPr>
      <w:pageBreakBefore/>
      <w:outlineLvl w:val="1"/>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2"/>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64"/>
      <w:jc w:val="center"/>
    </w:pPr>
    <w:rPr>
      <w:b/>
      <w:sz w:val="24"/>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rPr>
      <w:sz w:val="22"/>
    </w:rPr>
  </w:style>
  <w:style w:type="paragraph" w:customStyle="1" w:styleId="nTable">
    <w:name w:val="nTable"/>
    <w:basedOn w:val="Table"/>
    <w:rPr>
      <w:sz w:val="18"/>
    </w:rPr>
  </w:style>
  <w:style w:type="paragraph" w:customStyle="1" w:styleId="zTable">
    <w:name w:val="zTable"/>
    <w:basedOn w:val="Normal"/>
    <w:pPr>
      <w:pBdr>
        <w:left w:val="threeDEngrave" w:sz="24" w:space="4" w:color="auto"/>
        <w:right w:val="threeDEmboss" w:sz="24" w:space="4" w:color="auto"/>
      </w:pBdr>
      <w:shd w:val="pct12" w:color="808080" w:fill="auto"/>
    </w:pPr>
    <w:rPr>
      <w:sz w:val="24"/>
    </w:rPr>
  </w:style>
  <w:style w:type="paragraph" w:customStyle="1" w:styleId="nzTable">
    <w:name w:val="nzTable"/>
    <w:basedOn w:val="zTable"/>
  </w:style>
  <w:style w:type="paragraph" w:customStyle="1" w:styleId="zMiscellaneousHeading">
    <w:name w:val="zMiscellaneousHeading"/>
    <w:basedOn w:val="zSubsection"/>
  </w:style>
  <w:style w:type="paragraph" w:customStyle="1" w:styleId="zMiscellaneousBody">
    <w:name w:val="zMiscellaneousBody"/>
    <w:basedOn w:val="zSubsection"/>
  </w:style>
  <w:style w:type="paragraph" w:customStyle="1" w:styleId="zMiscellaneousText">
    <w:name w:val="zMiscellaneousText"/>
    <w:basedOn w:val="zSubsection"/>
  </w:style>
  <w:style w:type="paragraph" w:customStyle="1" w:styleId="yFootnoteheading">
    <w:name w:val="yFootnote(heading)"/>
    <w:basedOn w:val="Footnoteheading"/>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497</Words>
  <Characters>2447</Characters>
  <Application>Microsoft Office Word</Application>
  <DocSecurity>0</DocSecurity>
  <Lines>87</Lines>
  <Paragraphs>45</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2899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Broken Hill Proprietary Company Limited (Export of Iron Ore) Act 1965 - 00-a0-02</dc:title>
  <dc:subject/>
  <dc:creator>Dave Harrold</dc:creator>
  <cp:keywords/>
  <cp:lastModifiedBy>svcMRProcess</cp:lastModifiedBy>
  <cp:revision>4</cp:revision>
  <cp:lastPrinted>2006-04-18T06:32:00Z</cp:lastPrinted>
  <dcterms:created xsi:type="dcterms:W3CDTF">2013-02-20T18:29:00Z</dcterms:created>
  <dcterms:modified xsi:type="dcterms:W3CDTF">2013-02-20T18:29:00Z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93 of 1965</vt:lpwstr>
  </property>
  <property fmtid="{D5CDD505-2E9C-101B-9397-08002B2CF9AE}" pid="3" name="CommencementDate">
    <vt:lpwstr>19651208</vt:lpwstr>
  </property>
  <property fmtid="{D5CDD505-2E9C-101B-9397-08002B2CF9AE}" pid="4" name="DocumentType">
    <vt:lpwstr>Act</vt:lpwstr>
  </property>
  <property fmtid="{D5CDD505-2E9C-101B-9397-08002B2CF9AE}" pid="5" name="AsAtDate">
    <vt:lpwstr>08 Dec 1965</vt:lpwstr>
  </property>
  <property fmtid="{D5CDD505-2E9C-101B-9397-08002B2CF9AE}" pid="6" name="Suffix">
    <vt:lpwstr>00-a0-02</vt:lpwstr>
  </property>
</Properties>
</file>