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September 2011</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_Toc412556233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_Toc412556234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_Toc412556235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Jervis Bay Territory</w:t>
      </w:r>
      <w:r>
        <w:tab/>
      </w:r>
      <w:r>
        <w:fldChar w:fldCharType="begin"/>
      </w:r>
      <w:r>
        <w:instrText xml:space="preserve"> PAGEREF _Toc412556236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The Agvet Code, and the Agvet Regulations, of this jurisdiction</w:t>
      </w:r>
    </w:p>
    <w:p>
      <w:pPr>
        <w:pStyle w:val="TOC8"/>
        <w:rPr>
          <w:rFonts w:asciiTheme="minorHAnsi" w:eastAsiaTheme="minorEastAsia" w:hAnsiTheme="minorHAnsi" w:cstheme="minorBidi"/>
          <w:szCs w:val="22"/>
        </w:rPr>
      </w:pPr>
      <w:r>
        <w:t>5</w:t>
      </w:r>
      <w:r>
        <w:rPr>
          <w:snapToGrid w:val="0"/>
        </w:rPr>
        <w:t>.</w:t>
      </w:r>
      <w:r>
        <w:rPr>
          <w:snapToGrid w:val="0"/>
        </w:rPr>
        <w:tab/>
        <w:t>Application of Agvet Code in this jurisdiction</w:t>
      </w:r>
      <w:r>
        <w:tab/>
      </w:r>
      <w:r>
        <w:fldChar w:fldCharType="begin"/>
      </w:r>
      <w:r>
        <w:instrText xml:space="preserve"> PAGEREF _Toc412556238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Agvet Regulations in this jurisdiction</w:t>
      </w:r>
      <w:r>
        <w:tab/>
      </w:r>
      <w:r>
        <w:fldChar w:fldCharType="begin"/>
      </w:r>
      <w:r>
        <w:instrText xml:space="preserve"> PAGEREF _Toc412556239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Interpretation of Agvet Code and Agvet Regulations of this jurisdiction</w:t>
      </w:r>
      <w:r>
        <w:tab/>
      </w:r>
      <w:r>
        <w:fldChar w:fldCharType="begin"/>
      </w:r>
      <w:r>
        <w:instrText xml:space="preserve"> PAGEREF _Toc412556240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Ancillary offences (parties to offences, attempts, incitement or conspiracy)</w:t>
      </w:r>
      <w:r>
        <w:tab/>
      </w:r>
      <w:r>
        <w:fldChar w:fldCharType="begin"/>
      </w:r>
      <w:r>
        <w:instrText xml:space="preserve"> PAGEREF _Toc412556241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Citing the Agvet Codes, and the Agvet Regulations, of other jurisdictions</w:t>
      </w:r>
    </w:p>
    <w:p>
      <w:pPr>
        <w:pStyle w:val="TOC8"/>
        <w:rPr>
          <w:rFonts w:asciiTheme="minorHAnsi" w:eastAsiaTheme="minorEastAsia" w:hAnsiTheme="minorHAnsi" w:cstheme="minorBidi"/>
          <w:szCs w:val="22"/>
        </w:rPr>
      </w:pPr>
      <w:r>
        <w:t>9</w:t>
      </w:r>
      <w:r>
        <w:rPr>
          <w:snapToGrid w:val="0"/>
        </w:rPr>
        <w:t>.</w:t>
      </w:r>
      <w:r>
        <w:rPr>
          <w:snapToGrid w:val="0"/>
        </w:rPr>
        <w:tab/>
        <w:t>References to Agvet Codes and Agvet Regulations of other jurisdictions</w:t>
      </w:r>
      <w:r>
        <w:tab/>
      </w:r>
      <w:r>
        <w:fldChar w:fldCharType="begin"/>
      </w:r>
      <w:r>
        <w:instrText xml:space="preserve"> PAGEREF _Toc412556243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References to Agvet Codes and Agvet Regulations</w:t>
      </w:r>
      <w:r>
        <w:tab/>
      </w:r>
      <w:r>
        <w:fldChar w:fldCharType="begin"/>
      </w:r>
      <w:r>
        <w:instrText xml:space="preserve"> PAGEREF _Toc412556244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Application of Agvet Codes to the Crown</w:t>
      </w:r>
    </w:p>
    <w:p>
      <w:pPr>
        <w:pStyle w:val="TOC8"/>
        <w:rPr>
          <w:rFonts w:asciiTheme="minorHAnsi" w:eastAsiaTheme="minorEastAsia" w:hAnsiTheme="minorHAnsi" w:cstheme="minorBidi"/>
          <w:szCs w:val="22"/>
        </w:rPr>
      </w:pPr>
      <w:r>
        <w:t>11</w:t>
      </w:r>
      <w:r>
        <w:rPr>
          <w:snapToGrid w:val="0"/>
        </w:rPr>
        <w:t>.</w:t>
      </w:r>
      <w:r>
        <w:rPr>
          <w:snapToGrid w:val="0"/>
        </w:rPr>
        <w:tab/>
        <w:t>Agvet Code of this jurisdiction binds the Crown</w:t>
      </w:r>
      <w:r>
        <w:tab/>
      </w:r>
      <w:r>
        <w:fldChar w:fldCharType="begin"/>
      </w:r>
      <w:r>
        <w:instrText xml:space="preserve"> PAGEREF _Toc412556246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Agvet Code of other jurisdictions</w:t>
      </w:r>
      <w:r>
        <w:tab/>
      </w:r>
      <w:r>
        <w:fldChar w:fldCharType="begin"/>
      </w:r>
      <w:r>
        <w:instrText xml:space="preserve"> PAGEREF _Toc412556247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Crown not liable to prosecution</w:t>
      </w:r>
      <w:r>
        <w:tab/>
      </w:r>
      <w:r>
        <w:fldChar w:fldCharType="begin"/>
      </w:r>
      <w:r>
        <w:instrText xml:space="preserve"> PAGEREF _Toc412556248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This Part overrides the prerogative</w:t>
      </w:r>
      <w:r>
        <w:tab/>
      </w:r>
      <w:r>
        <w:fldChar w:fldCharType="begin"/>
      </w:r>
      <w:r>
        <w:instrText xml:space="preserve"> PAGEREF _Toc412556249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Application of Commonwealth administrative laws to the Agvet Code and Agvet Regulations of this jurisdiction</w:t>
      </w:r>
    </w:p>
    <w:p>
      <w:pPr>
        <w:pStyle w:val="TOC8"/>
        <w:rPr>
          <w:rFonts w:asciiTheme="minorHAnsi" w:eastAsiaTheme="minorEastAsia" w:hAnsiTheme="minorHAnsi" w:cstheme="minorBidi"/>
          <w:szCs w:val="22"/>
        </w:rPr>
      </w:pPr>
      <w:r>
        <w:t>15.</w:t>
      </w:r>
      <w:r>
        <w:tab/>
        <w:t>Object</w:t>
      </w:r>
      <w:r>
        <w:tab/>
      </w:r>
      <w:r>
        <w:fldChar w:fldCharType="begin"/>
      </w:r>
      <w:r>
        <w:instrText xml:space="preserve"> PAGEREF _Toc412556251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Commonwealth administrative laws in relation to applicable provisions</w:t>
      </w:r>
      <w:r>
        <w:tab/>
      </w:r>
      <w:r>
        <w:fldChar w:fldCharType="begin"/>
      </w:r>
      <w:r>
        <w:instrText xml:space="preserve"> PAGEREF _Toc412556252 \h </w:instrText>
      </w:r>
      <w:r>
        <w:fldChar w:fldCharType="separate"/>
      </w:r>
      <w:r>
        <w:t>13</w:t>
      </w:r>
      <w:r>
        <w:fldChar w:fldCharType="end"/>
      </w:r>
    </w:p>
    <w:p>
      <w:pPr>
        <w:pStyle w:val="TOC8"/>
        <w:rPr>
          <w:rFonts w:asciiTheme="minorHAnsi" w:eastAsiaTheme="minorEastAsia" w:hAnsiTheme="minorHAnsi" w:cstheme="minorBidi"/>
          <w:szCs w:val="22"/>
        </w:rPr>
      </w:pPr>
      <w:r>
        <w:t>17.</w:t>
      </w:r>
      <w:r>
        <w:tab/>
        <w:t>Duties, functions and powers conferred on Commonwealth officers and authorities</w:t>
      </w:r>
      <w:r>
        <w:tab/>
      </w:r>
      <w:r>
        <w:fldChar w:fldCharType="begin"/>
      </w:r>
      <w:r>
        <w:instrText xml:space="preserve"> PAGEREF _Toc412556253 \h </w:instrText>
      </w:r>
      <w:r>
        <w:fldChar w:fldCharType="separate"/>
      </w:r>
      <w:r>
        <w:t>14</w:t>
      </w:r>
      <w:r>
        <w:fldChar w:fldCharType="end"/>
      </w:r>
    </w:p>
    <w:p>
      <w:pPr>
        <w:pStyle w:val="TOC8"/>
        <w:rPr>
          <w:rFonts w:asciiTheme="minorHAnsi" w:eastAsiaTheme="minorEastAsia" w:hAnsiTheme="minorHAnsi" w:cstheme="minorBidi"/>
          <w:szCs w:val="22"/>
        </w:rPr>
      </w:pPr>
      <w:r>
        <w:t>18.</w:t>
      </w:r>
      <w:r>
        <w:tab/>
        <w:t>Reference in Commonwealth administrative law to a provision of another law</w:t>
      </w:r>
      <w:r>
        <w:tab/>
      </w:r>
      <w:r>
        <w:fldChar w:fldCharType="begin"/>
      </w:r>
      <w:r>
        <w:instrText xml:space="preserve"> PAGEREF _Toc412556254 \h </w:instrText>
      </w:r>
      <w:r>
        <w:fldChar w:fldCharType="separate"/>
      </w:r>
      <w:r>
        <w:t>14</w:t>
      </w:r>
      <w:r>
        <w:fldChar w:fldCharType="end"/>
      </w:r>
    </w:p>
    <w:p>
      <w:pPr>
        <w:pStyle w:val="TOC8"/>
        <w:rPr>
          <w:rFonts w:asciiTheme="minorHAnsi" w:eastAsiaTheme="minorEastAsia" w:hAnsiTheme="minorHAnsi" w:cstheme="minorBidi"/>
          <w:szCs w:val="22"/>
        </w:rPr>
      </w:pPr>
      <w:r>
        <w:t>18A.</w:t>
      </w:r>
      <w:r>
        <w:tab/>
        <w:t>Construction of references to Part IVA of Commonwealth AAT Act</w:t>
      </w:r>
      <w:r>
        <w:tab/>
      </w:r>
      <w:r>
        <w:fldChar w:fldCharType="begin"/>
      </w:r>
      <w:r>
        <w:instrText xml:space="preserve"> PAGEREF _Toc412556255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The National Registration Authority for Agricultural and Veterinary Chemicals</w:t>
      </w:r>
    </w:p>
    <w:p>
      <w:pPr>
        <w:pStyle w:val="TOC8"/>
        <w:rPr>
          <w:rFonts w:asciiTheme="minorHAnsi" w:eastAsiaTheme="minorEastAsia" w:hAnsiTheme="minorHAnsi" w:cstheme="minorBidi"/>
          <w:szCs w:val="22"/>
        </w:rPr>
      </w:pPr>
      <w:r>
        <w:t>21</w:t>
      </w:r>
      <w:r>
        <w:rPr>
          <w:snapToGrid w:val="0"/>
        </w:rPr>
        <w:t>.</w:t>
      </w:r>
      <w:r>
        <w:rPr>
          <w:snapToGrid w:val="0"/>
        </w:rPr>
        <w:tab/>
        <w:t xml:space="preserve">Conferral of functions and powers on </w:t>
      </w:r>
      <w:r>
        <w:t>APVMA</w:t>
      </w:r>
      <w:r>
        <w:tab/>
      </w:r>
      <w:r>
        <w:fldChar w:fldCharType="begin"/>
      </w:r>
      <w:r>
        <w:instrText xml:space="preserve"> PAGEREF _Toc412556257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Agreements and arrangements</w:t>
      </w:r>
      <w:r>
        <w:tab/>
      </w:r>
      <w:r>
        <w:fldChar w:fldCharType="begin"/>
      </w:r>
      <w:r>
        <w:instrText xml:space="preserve"> PAGEREF _Toc412556258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Conferral of other functions and powers for purposes of law in this jurisdiction</w:t>
      </w:r>
      <w:r>
        <w:tab/>
      </w:r>
      <w:r>
        <w:fldChar w:fldCharType="begin"/>
      </w:r>
      <w:r>
        <w:instrText xml:space="preserve"> PAGEREF _Toc412556259 \h </w:instrText>
      </w:r>
      <w:r>
        <w:fldChar w:fldCharType="separate"/>
      </w:r>
      <w:r>
        <w:t>17</w:t>
      </w:r>
      <w:r>
        <w:fldChar w:fldCharType="end"/>
      </w:r>
    </w:p>
    <w:p>
      <w:pPr>
        <w:pStyle w:val="TOC8"/>
        <w:rPr>
          <w:rFonts w:asciiTheme="minorHAnsi" w:eastAsiaTheme="minorEastAsia" w:hAnsiTheme="minorHAnsi" w:cstheme="minorBidi"/>
          <w:szCs w:val="22"/>
        </w:rPr>
      </w:pPr>
      <w:r>
        <w:t>23A.</w:t>
      </w:r>
      <w:r>
        <w:tab/>
        <w:t>Consultation with Gene Technology Regulator</w:t>
      </w:r>
      <w:r>
        <w:tab/>
      </w:r>
      <w:r>
        <w:fldChar w:fldCharType="begin"/>
      </w:r>
      <w:r>
        <w:instrText xml:space="preserve"> PAGEREF _Toc412556260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Commonwealth Minister may give directions in exceptional circumstances</w:t>
      </w:r>
      <w:r>
        <w:tab/>
      </w:r>
      <w:r>
        <w:fldChar w:fldCharType="begin"/>
      </w:r>
      <w:r>
        <w:instrText xml:space="preserve"> PAGEREF _Toc412556261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 — Miscellaneous</w:t>
      </w:r>
    </w:p>
    <w:p>
      <w:pPr>
        <w:pStyle w:val="TOC8"/>
        <w:rPr>
          <w:rFonts w:asciiTheme="minorHAnsi" w:eastAsiaTheme="minorEastAsia" w:hAnsiTheme="minorHAnsi" w:cstheme="minorBidi"/>
          <w:szCs w:val="22"/>
        </w:rPr>
      </w:pPr>
      <w:r>
        <w:t>25</w:t>
      </w:r>
      <w:r>
        <w:rPr>
          <w:snapToGrid w:val="0"/>
        </w:rPr>
        <w:t>.</w:t>
      </w:r>
      <w:r>
        <w:rPr>
          <w:snapToGrid w:val="0"/>
        </w:rPr>
        <w:tab/>
        <w:t>Orders</w:t>
      </w:r>
      <w:r>
        <w:tab/>
      </w:r>
      <w:r>
        <w:fldChar w:fldCharType="begin"/>
      </w:r>
      <w:r>
        <w:instrText xml:space="preserve"> PAGEREF _Toc412556263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Manufacturing principles</w:t>
      </w:r>
      <w:r>
        <w:tab/>
      </w:r>
      <w:r>
        <w:fldChar w:fldCharType="begin"/>
      </w:r>
      <w:r>
        <w:instrText xml:space="preserve"> PAGEREF _Toc412556264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Delegation</w:t>
      </w:r>
      <w:r>
        <w:tab/>
      </w:r>
      <w:r>
        <w:fldChar w:fldCharType="begin"/>
      </w:r>
      <w:r>
        <w:instrText xml:space="preserve"> PAGEREF _Toc412556265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Conferral of powers on State officers</w:t>
      </w:r>
      <w:r>
        <w:tab/>
      </w:r>
      <w:r>
        <w:fldChar w:fldCharType="begin"/>
      </w:r>
      <w:r>
        <w:instrText xml:space="preserve"> PAGEREF _Toc412556266 \h </w:instrText>
      </w:r>
      <w:r>
        <w:fldChar w:fldCharType="separate"/>
      </w:r>
      <w:r>
        <w:t>19</w:t>
      </w:r>
      <w:r>
        <w:fldChar w:fldCharType="end"/>
      </w:r>
    </w:p>
    <w:p>
      <w:pPr>
        <w:pStyle w:val="TOC8"/>
        <w:rPr>
          <w:rFonts w:asciiTheme="minorHAnsi" w:eastAsiaTheme="minorEastAsia" w:hAnsiTheme="minorHAnsi" w:cstheme="minorBidi"/>
          <w:szCs w:val="22"/>
        </w:rPr>
      </w:pPr>
      <w:r>
        <w:t>28A.</w:t>
      </w:r>
      <w:r>
        <w:tab/>
        <w:t>Inspectors and analysts</w:t>
      </w:r>
      <w:r>
        <w:tab/>
      </w:r>
      <w:r>
        <w:fldChar w:fldCharType="begin"/>
      </w:r>
      <w:r>
        <w:instrText xml:space="preserve"> PAGEREF _Toc412556267 \h </w:instrText>
      </w:r>
      <w:r>
        <w:fldChar w:fldCharType="separate"/>
      </w:r>
      <w:r>
        <w:t>20</w:t>
      </w:r>
      <w:r>
        <w:fldChar w:fldCharType="end"/>
      </w:r>
    </w:p>
    <w:p>
      <w:pPr>
        <w:pStyle w:val="TOC8"/>
        <w:rPr>
          <w:rFonts w:asciiTheme="minorHAnsi" w:eastAsiaTheme="minorEastAsia" w:hAnsiTheme="minorHAnsi" w:cstheme="minorBidi"/>
          <w:szCs w:val="22"/>
        </w:rPr>
      </w:pPr>
      <w:r>
        <w:t>28B.</w:t>
      </w:r>
      <w:r>
        <w:tab/>
        <w:t>Validation of actions of inspectors and analysts</w:t>
      </w:r>
      <w:r>
        <w:tab/>
      </w:r>
      <w:r>
        <w:fldChar w:fldCharType="begin"/>
      </w:r>
      <w:r>
        <w:instrText xml:space="preserve"> PAGEREF _Toc412556268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fees etc.</w:t>
      </w:r>
      <w:r>
        <w:tab/>
      </w:r>
      <w:r>
        <w:fldChar w:fldCharType="begin"/>
      </w:r>
      <w:r>
        <w:instrText xml:space="preserve"> PAGEREF _Toc412556269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Documents or substances held by previous registering authority may be given to </w:t>
      </w:r>
      <w:r>
        <w:t>APVMA</w:t>
      </w:r>
      <w:r>
        <w:tab/>
      </w:r>
      <w:r>
        <w:fldChar w:fldCharType="begin"/>
      </w:r>
      <w:r>
        <w:instrText xml:space="preserve"> PAGEREF _Toc412556270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Exemptions from liability for damages</w:t>
      </w:r>
      <w:r>
        <w:tab/>
      </w:r>
      <w:r>
        <w:fldChar w:fldCharType="begin"/>
      </w:r>
      <w:r>
        <w:instrText xml:space="preserve"> PAGEREF _Toc412556271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_Toc412556272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Eligible laws</w:t>
      </w:r>
      <w:r>
        <w:tab/>
      </w:r>
      <w:r>
        <w:fldChar w:fldCharType="begin"/>
      </w:r>
      <w:r>
        <w:instrText xml:space="preserve"> PAGEREF _Toc412556273 \h </w:instrText>
      </w:r>
      <w:r>
        <w:fldChar w:fldCharType="separate"/>
      </w:r>
      <w:r>
        <w:t>24</w:t>
      </w:r>
      <w:r>
        <w:fldChar w:fldCharType="end"/>
      </w:r>
    </w:p>
    <w:p>
      <w:pPr>
        <w:pStyle w:val="TOC8"/>
        <w:rPr>
          <w:rFonts w:asciiTheme="minorHAnsi" w:eastAsiaTheme="minorEastAsia" w:hAnsiTheme="minorHAnsi" w:cstheme="minorBidi"/>
          <w:szCs w:val="22"/>
        </w:rPr>
      </w:pPr>
      <w:r>
        <w:t>33A.</w:t>
      </w:r>
      <w:r>
        <w:tab/>
        <w:t xml:space="preserve">Transitional provision — </w:t>
      </w:r>
      <w:r>
        <w:rPr>
          <w:i/>
        </w:rPr>
        <w:t>Agricultural and Veterinary Chemicals (Western Australia) Amendment Act 2001</w:t>
      </w:r>
      <w:r>
        <w:tab/>
      </w:r>
      <w:r>
        <w:fldChar w:fldCharType="begin"/>
      </w:r>
      <w:r>
        <w:instrText xml:space="preserve"> PAGEREF _Toc412556274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_Toc412556275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9 — Imposition of fees</w:t>
      </w:r>
    </w:p>
    <w:p>
      <w:pPr>
        <w:pStyle w:val="TOC8"/>
        <w:rPr>
          <w:rFonts w:asciiTheme="minorHAnsi" w:eastAsiaTheme="minorEastAsia" w:hAnsiTheme="minorHAnsi" w:cstheme="minorBidi"/>
          <w:szCs w:val="22"/>
        </w:rPr>
      </w:pPr>
      <w:r>
        <w:t>35</w:t>
      </w:r>
      <w:r>
        <w:rPr>
          <w:snapToGrid w:val="0"/>
        </w:rPr>
        <w:t>.</w:t>
      </w:r>
      <w:r>
        <w:rPr>
          <w:snapToGrid w:val="0"/>
        </w:rPr>
        <w:tab/>
        <w:t>Fees</w:t>
      </w:r>
      <w:r>
        <w:tab/>
      </w:r>
      <w:r>
        <w:fldChar w:fldCharType="begin"/>
      </w:r>
      <w:r>
        <w:instrText xml:space="preserve"> PAGEREF _Toc412556277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9A — Conferral of functions on Commonwealth Director of Public Prosecutions</w:t>
      </w:r>
    </w:p>
    <w:p>
      <w:pPr>
        <w:pStyle w:val="TOC8"/>
        <w:rPr>
          <w:rFonts w:asciiTheme="minorHAnsi" w:eastAsiaTheme="minorEastAsia" w:hAnsiTheme="minorHAnsi" w:cstheme="minorBidi"/>
          <w:szCs w:val="22"/>
        </w:rPr>
      </w:pPr>
      <w:r>
        <w:t>35A.</w:t>
      </w:r>
      <w:r>
        <w:tab/>
        <w:t>Conferral of functions on Commonwealth Director of Public Prosecutions</w:t>
      </w:r>
      <w:r>
        <w:tab/>
      </w:r>
      <w:r>
        <w:fldChar w:fldCharType="begin"/>
      </w:r>
      <w:r>
        <w:instrText xml:space="preserve"> PAGEREF _Toc412556279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10 — Relationship with other State laws</w:t>
      </w:r>
    </w:p>
    <w:p>
      <w:pPr>
        <w:pStyle w:val="TOC8"/>
        <w:rPr>
          <w:rFonts w:asciiTheme="minorHAnsi" w:eastAsiaTheme="minorEastAsia" w:hAnsiTheme="minorHAnsi" w:cstheme="minorBidi"/>
          <w:szCs w:val="22"/>
        </w:rPr>
      </w:pPr>
      <w:r>
        <w:t>36</w:t>
      </w:r>
      <w:r>
        <w:rPr>
          <w:snapToGrid w:val="0"/>
        </w:rPr>
        <w:t>.</w:t>
      </w:r>
      <w:r>
        <w:rPr>
          <w:snapToGrid w:val="0"/>
        </w:rPr>
        <w:tab/>
        <w:t>Relationship with other State laws</w:t>
      </w:r>
      <w:r>
        <w:tab/>
      </w:r>
      <w:r>
        <w:fldChar w:fldCharType="begin"/>
      </w:r>
      <w:r>
        <w:instrText xml:space="preserve"> PAGEREF _Toc412556281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_Toc412556283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September 2011</w:t>
            </w:r>
            <w:r>
              <w:rPr>
                <w:b/>
                <w:sz w:val="22"/>
              </w:rPr>
              <w:fldChar w:fldCharType="end"/>
            </w:r>
          </w:p>
        </w:tc>
      </w:tr>
    </w:tbl>
    <w:p>
      <w:pPr>
        <w:pStyle w:val="WA"/>
        <w:spacing w:before="12"/>
      </w:pPr>
      <w:r>
        <w:t>Western Australia</w:t>
      </w:r>
    </w:p>
    <w:p>
      <w:pPr>
        <w:pStyle w:val="NameofActReg"/>
      </w:pPr>
      <w:r>
        <w:t>Agricultural and Veterinary Chemicals (</w:t>
      </w:r>
      <w:smartTag w:uri="urn:schemas-microsoft-com:office:smarttags" w:element="State">
        <w:smartTag w:uri="urn:schemas-microsoft-com:office:smarttags" w:element="place">
          <w:r>
            <w:t>Western Australia</w:t>
          </w:r>
        </w:smartTag>
      </w:smartTag>
      <w:r>
        <w:t>) Act 1995</w:t>
      </w:r>
    </w:p>
    <w:p>
      <w:pPr>
        <w:pStyle w:val="LongTitle"/>
        <w:rPr>
          <w:snapToGrid w:val="0"/>
        </w:rPr>
      </w:pPr>
      <w:r>
        <w:rPr>
          <w:snapToGrid w:val="0"/>
        </w:rPr>
        <w:t xml:space="preserve">An Act to apply certain laws of the Commonwealth relating to agricultural and veterinary chemical products as laws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w:t>
      </w:r>
    </w:p>
    <w:p>
      <w:pPr>
        <w:pStyle w:val="Preamble1"/>
        <w:spacing w:before="400"/>
        <w:rPr>
          <w:snapToGrid w:val="0"/>
        </w:rPr>
      </w:pPr>
      <w:r>
        <w:rPr>
          <w:snapToGrid w:val="0"/>
        </w:rPr>
        <w:t>Reasons for enacting this Act</w:t>
      </w:r>
    </w:p>
    <w:p>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pPr>
        <w:pStyle w:val="Preamble3"/>
      </w:pPr>
      <w:r>
        <w:tab/>
        <w:t>2.</w:t>
      </w:r>
      <w:r>
        <w:tab/>
        <w:t>The principle of ecologically sustainable development requires a regulatory system that is designed to ensure that the use of such products today will not impair the prospects of future generations.</w:t>
      </w:r>
    </w:p>
    <w:p>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pPr>
        <w:pStyle w:val="Preamble3"/>
      </w:pPr>
      <w:r>
        <w:tab/>
        <w:t>4.</w:t>
      </w:r>
      <w:r>
        <w:tab/>
        <w:t>It is desirable to establish a regulatory system that is open and accountable and gives opportunity for public input with respect to the regulation of such products.</w:t>
      </w:r>
    </w:p>
    <w:p>
      <w:pPr>
        <w:pStyle w:val="Preamble3"/>
      </w:pPr>
      <w:r>
        <w:tab/>
        <w:t>5.</w:t>
      </w:r>
      <w:r>
        <w:tab/>
        <w:t xml:space="preserve">The system should, so far as practicable, be uniform throughout </w:t>
      </w:r>
      <w:smartTag w:uri="urn:schemas-microsoft-com:office:smarttags" w:element="country-region">
        <w:smartTag w:uri="urn:schemas-microsoft-com:office:smarttags" w:element="place">
          <w:r>
            <w:t>Australia</w:t>
          </w:r>
        </w:smartTag>
      </w:smartTag>
      <w:r>
        <w:t>.</w:t>
      </w:r>
    </w:p>
    <w:p>
      <w:pPr>
        <w:pStyle w:val="Preamble3"/>
      </w:pPr>
      <w:r>
        <w:tab/>
        <w:t>6.</w:t>
      </w:r>
      <w:r>
        <w:tab/>
        <w:t xml:space="preserve">Uniformity could best be achieved by the enactment of legislation by the Parliament of the Commonwealth as a law for the government of the </w:t>
      </w:r>
      <w:smartTag w:uri="urn:schemas-microsoft-com:office:smarttags" w:element="State">
        <w:r>
          <w:t>Australian Capital Territory</w:t>
        </w:r>
      </w:smartTag>
      <w:r>
        <w:t xml:space="preserve"> and the adoption of that legislation by the Parliaments and legislatures of the States and the </w:t>
      </w:r>
      <w:smartTag w:uri="urn:schemas-microsoft-com:office:smarttags" w:element="State">
        <w:smartTag w:uri="urn:schemas-microsoft-com:office:smarttags" w:element="place">
          <w:r>
            <w:t>Northern Territory</w:t>
          </w:r>
        </w:smartTag>
      </w:smartTag>
      <w:r>
        <w:t>.</w:t>
      </w:r>
    </w:p>
    <w:p>
      <w:pPr>
        <w:pStyle w:val="Heading2"/>
        <w:rPr>
          <w:rStyle w:val="CharPartNo"/>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Heading2"/>
      </w:pPr>
      <w:bookmarkStart w:id="3" w:name="_Toc377736522"/>
      <w:bookmarkStart w:id="4" w:name="_Toc412556180"/>
      <w:bookmarkStart w:id="5" w:name="_Toc41255623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736523"/>
      <w:bookmarkStart w:id="7" w:name="_Toc41255623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Agricultural and Veterinary Chemicals (</w:t>
      </w:r>
      <w:smartTag w:uri="urn:schemas-microsoft-com:office:smarttags" w:element="State">
        <w:smartTag w:uri="urn:schemas-microsoft-com:office:smarttags" w:element="place">
          <w:r>
            <w:rPr>
              <w:i/>
              <w:snapToGrid w:val="0"/>
            </w:rPr>
            <w:t>Western Australia</w:t>
          </w:r>
        </w:smartTag>
      </w:smartTag>
      <w:r>
        <w:rPr>
          <w:i/>
          <w:snapToGrid w:val="0"/>
        </w:rPr>
        <w:t>) Act 1995</w:t>
      </w:r>
      <w:r>
        <w:rPr>
          <w:snapToGrid w:val="0"/>
          <w:vertAlign w:val="superscript"/>
        </w:rPr>
        <w:t> 1</w:t>
      </w:r>
      <w:r>
        <w:rPr>
          <w:snapToGrid w:val="0"/>
        </w:rPr>
        <w:t>.</w:t>
      </w:r>
    </w:p>
    <w:p>
      <w:pPr>
        <w:pStyle w:val="Heading5"/>
        <w:rPr>
          <w:snapToGrid w:val="0"/>
        </w:rPr>
      </w:pPr>
      <w:bookmarkStart w:id="8" w:name="_Toc377736524"/>
      <w:bookmarkStart w:id="9" w:name="_Toc412556234"/>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0" w:name="_Toc377736525"/>
      <w:bookmarkStart w:id="11" w:name="_Toc412556235"/>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Agricultural and Veterinary Chemicals Act</w:t>
      </w:r>
      <w:r>
        <w:t xml:space="preserve"> means the </w:t>
      </w:r>
      <w:r>
        <w:rPr>
          <w:i/>
        </w:rPr>
        <w:t>Agricultural and Veterinary Chemicals Act 1994</w:t>
      </w:r>
      <w:r>
        <w:t xml:space="preserve"> of the Commonwealth;</w:t>
      </w:r>
    </w:p>
    <w:p>
      <w:pPr>
        <w:pStyle w:val="Defstart"/>
      </w:pPr>
      <w:r>
        <w:rPr>
          <w:b/>
        </w:rPr>
        <w:tab/>
      </w:r>
      <w:r>
        <w:rPr>
          <w:rStyle w:val="CharDefText"/>
        </w:rPr>
        <w:t>Agricultural and Veterinary Chemicals (Administration) Act</w:t>
      </w:r>
      <w:r>
        <w:t xml:space="preserve"> means the </w:t>
      </w:r>
      <w:r>
        <w:rPr>
          <w:i/>
        </w:rPr>
        <w:t>Agricultural and Veterinary Chemicals (Administration) Act 1992</w:t>
      </w:r>
      <w:r>
        <w:t xml:space="preserve"> of the Commonwealth;</w:t>
      </w:r>
    </w:p>
    <w:p>
      <w:pPr>
        <w:pStyle w:val="Defstart"/>
      </w:pPr>
      <w:r>
        <w:rPr>
          <w:b/>
        </w:rPr>
        <w:tab/>
      </w:r>
      <w:r>
        <w:rPr>
          <w:rStyle w:val="CharDefText"/>
        </w:rPr>
        <w:t>Agricultural and Veterinary Chemicals Code Act</w:t>
      </w:r>
      <w:r>
        <w:t xml:space="preserve"> means the </w:t>
      </w:r>
      <w:r>
        <w:rPr>
          <w:i/>
        </w:rPr>
        <w:t>Agricultural and Veterinary Chemicals Code Act 1994</w:t>
      </w:r>
      <w:r>
        <w:t xml:space="preserve"> of the Commonwealth;</w:t>
      </w:r>
    </w:p>
    <w:p>
      <w:pPr>
        <w:pStyle w:val="Defstart"/>
      </w:pPr>
      <w:r>
        <w:rPr>
          <w:b/>
        </w:rPr>
        <w:tab/>
      </w:r>
      <w:r>
        <w:rPr>
          <w:rStyle w:val="CharDefText"/>
        </w:rPr>
        <w:t>Agvet Code of Western Australia</w:t>
      </w:r>
      <w:r>
        <w:t xml:space="preserve"> means the provisions applying because of section 5;</w:t>
      </w:r>
    </w:p>
    <w:p>
      <w:pPr>
        <w:pStyle w:val="Defstart"/>
      </w:pPr>
      <w:r>
        <w:rPr>
          <w:b/>
        </w:rPr>
        <w:tab/>
      </w:r>
      <w:r>
        <w:rPr>
          <w:rStyle w:val="CharDefText"/>
        </w:rPr>
        <w:t>Agvet Regulations of Western Australia</w:t>
      </w:r>
      <w:r>
        <w:t xml:space="preserve"> means the provisions applying because of section 6;</w:t>
      </w:r>
    </w:p>
    <w:p>
      <w:pPr>
        <w:pStyle w:val="Defstart"/>
      </w:pPr>
      <w:r>
        <w:rPr>
          <w:b/>
        </w:rPr>
        <w:tab/>
      </w:r>
      <w:r>
        <w:rPr>
          <w:rStyle w:val="CharDefText"/>
        </w:rPr>
        <w:t>applicable provision</w:t>
      </w:r>
      <w:r>
        <w:t>, in relation to a jurisdiction, means a provision of —</w:t>
      </w:r>
    </w:p>
    <w:p>
      <w:pPr>
        <w:pStyle w:val="Defpara"/>
      </w:pPr>
      <w:r>
        <w:tab/>
        <w:t>(a)</w:t>
      </w:r>
      <w:r>
        <w:tab/>
        <w:t>the Agvet Code of that jurisdiction; or</w:t>
      </w:r>
    </w:p>
    <w:p>
      <w:pPr>
        <w:pStyle w:val="Defpara"/>
      </w:pPr>
      <w:r>
        <w:tab/>
        <w:t>(b)</w:t>
      </w:r>
      <w:r>
        <w:tab/>
        <w:t>the Agvet Regulations of that jurisdiction; or</w:t>
      </w:r>
    </w:p>
    <w:p>
      <w:pPr>
        <w:pStyle w:val="Defpara"/>
      </w:pPr>
      <w:r>
        <w:tab/>
        <w:t>(c)</w:t>
      </w:r>
      <w:r>
        <w:tab/>
        <w:t>a law of the Commonwealth that applies in that jurisdiction in relation to a provision of or offence against the Agvet Code or Agvet Regulations of that jurisdiction;</w:t>
      </w:r>
    </w:p>
    <w:p>
      <w:pPr>
        <w:pStyle w:val="Defstart"/>
      </w:pPr>
      <w:r>
        <w:rPr>
          <w:b/>
        </w:rPr>
        <w:tab/>
      </w:r>
      <w:r>
        <w:rPr>
          <w:rStyle w:val="CharDefText"/>
        </w:rPr>
        <w:t>APVMA</w:t>
      </w:r>
      <w:r>
        <w:t xml:space="preserve"> means the Australian Pesticides and Veterinary Medicines Authority continued in existence by the Agricultural and Veterinary Chemicals (Administration) Act section 6;</w:t>
      </w:r>
    </w:p>
    <w:p>
      <w:pPr>
        <w:pStyle w:val="Defstart"/>
      </w:pPr>
      <w:r>
        <w:rPr>
          <w:b/>
        </w:rPr>
        <w:tab/>
      </w:r>
      <w:r>
        <w:rPr>
          <w:rStyle w:val="CharDefText"/>
        </w:rPr>
        <w:t>authority</w:t>
      </w:r>
      <w:r>
        <w:t>, in relation to the Commonwealth, has the meaning given in the Agricultural and Veterinary Chemicals Act;</w:t>
      </w:r>
    </w:p>
    <w:p>
      <w:pPr>
        <w:pStyle w:val="Defstart"/>
      </w:pPr>
      <w:r>
        <w:rPr>
          <w:b/>
        </w:rPr>
        <w:tab/>
      </w:r>
      <w:r>
        <w:rPr>
          <w:rStyle w:val="CharDefText"/>
        </w:rPr>
        <w:t>Commonwealth administrative laws</w:t>
      </w:r>
      <w:r>
        <w:t xml:space="preserve"> means —</w:t>
      </w:r>
    </w:p>
    <w:p>
      <w:pPr>
        <w:pStyle w:val="Defpara"/>
      </w:pPr>
      <w:r>
        <w:tab/>
        <w:t>(a)</w:t>
      </w:r>
      <w:r>
        <w:tab/>
        <w:t>the following Acts —</w:t>
      </w:r>
    </w:p>
    <w:p>
      <w:pPr>
        <w:pStyle w:val="Defsubpara"/>
      </w:pPr>
      <w:r>
        <w:tab/>
        <w:t>(i)</w:t>
      </w:r>
      <w:r>
        <w:tab/>
        <w:t xml:space="preserve">the </w:t>
      </w:r>
      <w:r>
        <w:rPr>
          <w:i/>
        </w:rPr>
        <w:t>Administrative Appeals Tribunal Act 1975</w:t>
      </w:r>
      <w:r>
        <w:t xml:space="preserve"> of the Commonwealth;</w:t>
      </w:r>
    </w:p>
    <w:p>
      <w:pPr>
        <w:pStyle w:val="Ednotedefsubpara"/>
        <w:rPr>
          <w:iCs/>
        </w:rPr>
      </w:pPr>
      <w:r>
        <w:rPr>
          <w:iCs/>
        </w:rPr>
        <w:tab/>
        <w:t>[(ii)</w:t>
      </w:r>
      <w:r>
        <w:rPr>
          <w:iCs/>
        </w:rPr>
        <w:tab/>
        <w:t>deleted]</w:t>
      </w:r>
    </w:p>
    <w:p>
      <w:pPr>
        <w:pStyle w:val="Defsubpara"/>
      </w:pPr>
      <w:r>
        <w:tab/>
        <w:t>(iii)</w:t>
      </w:r>
      <w:r>
        <w:tab/>
        <w:t xml:space="preserve">the </w:t>
      </w:r>
      <w:r>
        <w:rPr>
          <w:i/>
        </w:rPr>
        <w:t>Freedom of Information Act 1982</w:t>
      </w:r>
      <w:r>
        <w:t xml:space="preserve"> of the Commonwealth;</w:t>
      </w:r>
    </w:p>
    <w:p>
      <w:pPr>
        <w:pStyle w:val="Defsubpara"/>
      </w:pPr>
      <w:r>
        <w:tab/>
        <w:t>(iv)</w:t>
      </w:r>
      <w:r>
        <w:tab/>
        <w:t xml:space="preserve">the </w:t>
      </w:r>
      <w:r>
        <w:rPr>
          <w:i/>
        </w:rPr>
        <w:t>Ombudsman Act 1976</w:t>
      </w:r>
      <w:r>
        <w:t xml:space="preserve"> of the Commonwealth;</w:t>
      </w:r>
    </w:p>
    <w:p>
      <w:pPr>
        <w:pStyle w:val="Defsubpara"/>
      </w:pPr>
      <w:r>
        <w:tab/>
        <w:t>(v)</w:t>
      </w:r>
      <w:r>
        <w:tab/>
        <w:t xml:space="preserve">the </w:t>
      </w:r>
      <w:r>
        <w:rPr>
          <w:i/>
        </w:rPr>
        <w:t>Privacy Act 1988</w:t>
      </w:r>
      <w:r>
        <w:t xml:space="preserve"> of the Commonwealth;</w:t>
      </w:r>
    </w:p>
    <w:p>
      <w:pPr>
        <w:pStyle w:val="Defpara"/>
      </w:pPr>
      <w:r>
        <w:tab/>
      </w:r>
      <w:r>
        <w:tab/>
        <w:t>and</w:t>
      </w:r>
    </w:p>
    <w:p>
      <w:pPr>
        <w:pStyle w:val="Defpara"/>
      </w:pPr>
      <w:r>
        <w:tab/>
        <w:t>(b)</w:t>
      </w:r>
      <w:r>
        <w:tab/>
        <w:t>the regulations in force under those Acts;</w:t>
      </w:r>
    </w:p>
    <w:p>
      <w:pPr>
        <w:pStyle w:val="Defstart"/>
      </w:pPr>
      <w:r>
        <w:rPr>
          <w:b/>
        </w:rPr>
        <w:tab/>
      </w:r>
      <w:r>
        <w:rPr>
          <w:rStyle w:val="CharDefText"/>
        </w:rPr>
        <w:t>Commonwealth Minister</w:t>
      </w:r>
      <w:r>
        <w:t xml:space="preserve"> means “the Minister” within the meaning of the Agvet Code of the participating Territories;</w:t>
      </w:r>
    </w:p>
    <w:p>
      <w:pPr>
        <w:pStyle w:val="Defstart"/>
      </w:pPr>
      <w:r>
        <w:tab/>
      </w:r>
      <w:r>
        <w:rPr>
          <w:rStyle w:val="CharDefText"/>
        </w:rPr>
        <w:t>confer</w:t>
      </w:r>
      <w:r>
        <w:t xml:space="preserve"> includes impose;</w:t>
      </w:r>
    </w:p>
    <w:p>
      <w:pPr>
        <w:pStyle w:val="Defstart"/>
      </w:pPr>
      <w:r>
        <w:rPr>
          <w:b/>
        </w:rPr>
        <w:tab/>
      </w:r>
      <w:r>
        <w:rPr>
          <w:rStyle w:val="CharDefText"/>
        </w:rPr>
        <w:t>corresponding Act</w:t>
      </w:r>
      <w:r>
        <w:t xml:space="preserve"> means an Act of another jurisdiction that corresponds to this Act;</w:t>
      </w:r>
    </w:p>
    <w:p>
      <w:pPr>
        <w:pStyle w:val="Defstart"/>
      </w:pPr>
      <w:r>
        <w:rPr>
          <w:b/>
        </w:rPr>
        <w:tab/>
      </w:r>
      <w:r>
        <w:rPr>
          <w:rStyle w:val="CharDefText"/>
        </w:rPr>
        <w:t>corresponding law</w:t>
      </w:r>
      <w:r>
        <w:t xml:space="preserve"> means —</w:t>
      </w:r>
    </w:p>
    <w:p>
      <w:pPr>
        <w:pStyle w:val="Defpara"/>
      </w:pPr>
      <w:r>
        <w:tab/>
        <w:t>(a)</w:t>
      </w:r>
      <w:r>
        <w:tab/>
        <w:t>a corresponding Act; or</w:t>
      </w:r>
    </w:p>
    <w:p>
      <w:pPr>
        <w:pStyle w:val="Defpara"/>
      </w:pPr>
      <w:r>
        <w:tab/>
        <w:t>(b)</w:t>
      </w:r>
      <w:r>
        <w:tab/>
        <w:t>regulations made under a corresponding Act; or</w:t>
      </w:r>
    </w:p>
    <w:p>
      <w:pPr>
        <w:pStyle w:val="Defpara"/>
      </w:pPr>
      <w:r>
        <w:tab/>
        <w:t>(c)</w:t>
      </w:r>
      <w:r>
        <w:tab/>
        <w:t>the Agvet Code, Agvet Regulations, or another applicable provision, of another jurisdiction; or</w:t>
      </w:r>
    </w:p>
    <w:p>
      <w:pPr>
        <w:pStyle w:val="Defpara"/>
      </w:pPr>
      <w:r>
        <w:tab/>
        <w:t>(d)</w:t>
      </w:r>
      <w:r>
        <w:tab/>
        <w:t>rules of court made under a corresponding Act;</w:t>
      </w:r>
    </w:p>
    <w:p>
      <w:pPr>
        <w:pStyle w:val="Defstart"/>
      </w:pPr>
      <w:r>
        <w:tab/>
      </w:r>
      <w:r>
        <w:rPr>
          <w:rStyle w:val="CharDefText"/>
        </w:rPr>
        <w:t>function</w:t>
      </w:r>
      <w:r>
        <w:t xml:space="preserve"> includes a duty;</w:t>
      </w:r>
    </w:p>
    <w:p>
      <w:pPr>
        <w:pStyle w:val="Defstart"/>
      </w:pPr>
      <w:r>
        <w:rPr>
          <w:b/>
        </w:rPr>
        <w:tab/>
      </w:r>
      <w:r>
        <w:rPr>
          <w:rStyle w:val="CharDefText"/>
        </w:rPr>
        <w:t>instrument</w:t>
      </w:r>
      <w:r>
        <w:t xml:space="preserve"> means any document whatever, including —</w:t>
      </w:r>
    </w:p>
    <w:p>
      <w:pPr>
        <w:pStyle w:val="Defpara"/>
      </w:pPr>
      <w:r>
        <w:tab/>
        <w:t>(a)</w:t>
      </w:r>
      <w:r>
        <w:tab/>
        <w:t>an Act or an instrument made under an Act; or</w:t>
      </w:r>
    </w:p>
    <w:p>
      <w:pPr>
        <w:pStyle w:val="Defpara"/>
      </w:pPr>
      <w:r>
        <w:tab/>
        <w:t>(b)</w:t>
      </w:r>
      <w:r>
        <w:tab/>
        <w:t>a law of this jurisdiction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or complaint laid, affidavit sworn, or warrant issued, for any purpose; or</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 or the participating Territories;</w:t>
      </w:r>
    </w:p>
    <w:p>
      <w:pPr>
        <w:pStyle w:val="Defstart"/>
      </w:pPr>
      <w:r>
        <w:rPr>
          <w:b/>
        </w:rPr>
        <w:tab/>
      </w:r>
      <w:r>
        <w:rPr>
          <w:rStyle w:val="CharDefText"/>
        </w:rPr>
        <w:t>law</w:t>
      </w:r>
      <w:r>
        <w:t>, in relation to a participating Territory, means a law of, or in force in, that Territory;</w:t>
      </w:r>
    </w:p>
    <w:p>
      <w:pPr>
        <w:pStyle w:val="Defstart"/>
      </w:pPr>
      <w:r>
        <w:rPr>
          <w:b/>
        </w:rPr>
        <w:tab/>
      </w:r>
      <w:r>
        <w:rPr>
          <w:rStyle w:val="CharDefText"/>
        </w:rPr>
        <w:t>officer</w:t>
      </w:r>
      <w:r>
        <w:t>, in relation to the Commonwealth, has the meaning given in the Agricultural and Veterinary Chemicals Act;</w:t>
      </w:r>
    </w:p>
    <w:p>
      <w:pPr>
        <w:pStyle w:val="Defstart"/>
      </w:pPr>
      <w:r>
        <w:rPr>
          <w:b/>
        </w:rPr>
        <w:tab/>
      </w:r>
      <w:r>
        <w:rPr>
          <w:rStyle w:val="CharDefText"/>
        </w:rPr>
        <w:t>participating Territory</w:t>
      </w:r>
      <w:r>
        <w:t xml:space="preserve"> means —</w:t>
      </w:r>
    </w:p>
    <w:p>
      <w:pPr>
        <w:pStyle w:val="Defpara"/>
      </w:pPr>
      <w:r>
        <w:tab/>
        <w:t>(a)</w:t>
      </w:r>
      <w:r>
        <w:tab/>
        <w:t xml:space="preserve">the </w:t>
      </w:r>
      <w:smartTag w:uri="urn:schemas-microsoft-com:office:smarttags" w:element="place">
        <w:smartTag w:uri="urn:schemas-microsoft-com:office:smarttags" w:element="State">
          <w:r>
            <w:t>Australian Capital Territory</w:t>
          </w:r>
        </w:smartTag>
      </w:smartTag>
      <w:r>
        <w:t>; or</w:t>
      </w:r>
    </w:p>
    <w:p>
      <w:pPr>
        <w:pStyle w:val="Defpara"/>
      </w:pPr>
      <w:r>
        <w:tab/>
        <w:t>(b)</w:t>
      </w:r>
      <w:r>
        <w:tab/>
        <w:t>another Territory that is declared by regulations in force under section 25 of the Agricultural and Veterinary Chemicals Act to be a participating Territory;</w:t>
      </w:r>
    </w:p>
    <w:p>
      <w:pPr>
        <w:pStyle w:val="Defstart"/>
      </w:pPr>
      <w:r>
        <w:rPr>
          <w:b/>
        </w:rPr>
        <w:tab/>
      </w:r>
      <w:r>
        <w:rPr>
          <w:rStyle w:val="CharDefText"/>
        </w:rPr>
        <w:t>State</w:t>
      </w:r>
      <w:r>
        <w:t xml:space="preserve"> includes the Northern Territory of Australia;</w:t>
      </w:r>
    </w:p>
    <w:p>
      <w:pPr>
        <w:pStyle w:val="Defstart"/>
      </w:pPr>
      <w:r>
        <w:rPr>
          <w:b/>
        </w:rPr>
        <w:tab/>
      </w:r>
      <w:r>
        <w:rPr>
          <w:rStyle w:val="CharDefText"/>
        </w:rPr>
        <w:t>Territory</w:t>
      </w:r>
      <w:r>
        <w:t xml:space="preserve"> means a Territory referred to in section 122 of the Constitution of the Commonwealth, other than the Northern Territory of Australia, Norfolk Island, the </w:t>
      </w:r>
      <w:smartTag w:uri="urn:schemas-microsoft-com:office:smarttags" w:element="PlaceType">
        <w:r>
          <w:t>Territory</w:t>
        </w:r>
      </w:smartTag>
      <w:r>
        <w:t xml:space="preserve"> of </w:t>
      </w:r>
      <w:smartTag w:uri="urn:schemas-microsoft-com:office:smarttags" w:element="PlaceName">
        <w:r>
          <w:t>Christmas Island</w:t>
        </w:r>
      </w:smartTag>
      <w:r>
        <w:t xml:space="preserve"> or the </w:t>
      </w:r>
      <w:smartTag w:uri="urn:schemas-microsoft-com:office:smarttags" w:element="PlaceType">
        <w:r>
          <w:t>Territory</w:t>
        </w:r>
      </w:smartTag>
      <w:r>
        <w:t xml:space="preserve"> of </w:t>
      </w:r>
      <w:smartTag w:uri="urn:schemas-microsoft-com:office:smarttags" w:element="PlaceName">
        <w:r>
          <w:t>Cocos</w:t>
        </w:r>
      </w:smartTag>
      <w:r>
        <w:t xml:space="preserve"> (Keeling) </w:t>
      </w:r>
      <w:smartTag w:uri="urn:schemas-microsoft-com:office:smarttags" w:element="place">
        <w:r>
          <w:t>Islands</w:t>
        </w:r>
      </w:smartTag>
      <w:r>
        <w:t>;</w:t>
      </w:r>
    </w:p>
    <w:p>
      <w:pPr>
        <w:pStyle w:val="Defstart"/>
      </w:pPr>
      <w:r>
        <w:rPr>
          <w:b/>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[Section 3 amended: No. 21 of 2001 s. 4; No. 84 of 2004 s. 80; No. 8 of 2009 s. 19(2) and (3).]</w:t>
      </w:r>
    </w:p>
    <w:p>
      <w:pPr>
        <w:pStyle w:val="Heading5"/>
        <w:rPr>
          <w:snapToGrid w:val="0"/>
        </w:rPr>
      </w:pPr>
      <w:bookmarkStart w:id="12" w:name="_Toc377736526"/>
      <w:bookmarkStart w:id="13" w:name="_Toc412556236"/>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Jervis</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Type">
          <w:r>
            <w:rPr>
              <w:snapToGrid w:val="0"/>
            </w:rPr>
            <w:t>Territory</w:t>
          </w:r>
        </w:smartTag>
      </w:smartTag>
      <w:bookmarkEnd w:id="12"/>
      <w:bookmarkEnd w:id="13"/>
    </w:p>
    <w:p>
      <w:pPr>
        <w:pStyle w:val="Subsection"/>
        <w:rPr>
          <w:snapToGrid w:val="0"/>
        </w:rPr>
      </w:pPr>
      <w:r>
        <w:rPr>
          <w:snapToGrid w:val="0"/>
        </w:rPr>
        <w:tab/>
      </w:r>
      <w:r>
        <w:rPr>
          <w:snapToGrid w:val="0"/>
        </w:rPr>
        <w:tab/>
        <w:t xml:space="preserve">For the purposes of this Act, and the Agvet Code and the Agvet Regulations of this jurisdiction, the </w:t>
      </w:r>
      <w:smartTag w:uri="urn:schemas-microsoft-com:office:smarttags" w:element="PlaceName">
        <w:r>
          <w:rPr>
            <w:snapToGrid w:val="0"/>
          </w:rPr>
          <w:t>Jervis</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Type">
        <w:r>
          <w:rPr>
            <w:snapToGrid w:val="0"/>
          </w:rPr>
          <w:t>Territory</w:t>
        </w:r>
      </w:smartTag>
      <w:r>
        <w:rPr>
          <w:snapToGrid w:val="0"/>
        </w:rPr>
        <w:t xml:space="preserve"> is taken to be part of the </w:t>
      </w:r>
      <w:smartTag w:uri="urn:schemas-microsoft-com:office:smarttags" w:element="State">
        <w:smartTag w:uri="urn:schemas-microsoft-com:office:smarttags" w:element="place">
          <w:r>
            <w:rPr>
              <w:snapToGrid w:val="0"/>
            </w:rPr>
            <w:t>Australian Capital Territory</w:t>
          </w:r>
        </w:smartTag>
      </w:smartTag>
      <w:r>
        <w:rPr>
          <w:snapToGrid w:val="0"/>
        </w:rPr>
        <w:t>.</w:t>
      </w:r>
    </w:p>
    <w:p>
      <w:pPr>
        <w:pStyle w:val="Heading2"/>
      </w:pPr>
      <w:bookmarkStart w:id="14" w:name="_Toc377736527"/>
      <w:bookmarkStart w:id="15" w:name="_Toc412556185"/>
      <w:bookmarkStart w:id="16" w:name="_Toc412556237"/>
      <w:r>
        <w:rPr>
          <w:rStyle w:val="CharPartNo"/>
        </w:rPr>
        <w:t>Part 2</w:t>
      </w:r>
      <w:r>
        <w:rPr>
          <w:rStyle w:val="CharDivNo"/>
        </w:rPr>
        <w:t> </w:t>
      </w:r>
      <w:r>
        <w:t>—</w:t>
      </w:r>
      <w:r>
        <w:rPr>
          <w:rStyle w:val="CharDivText"/>
        </w:rPr>
        <w:t> </w:t>
      </w:r>
      <w:r>
        <w:rPr>
          <w:rStyle w:val="CharPartText"/>
        </w:rPr>
        <w:t>The Agvet Code, and the Agvet Regulations, of this jurisdiction</w:t>
      </w:r>
      <w:bookmarkEnd w:id="14"/>
      <w:bookmarkEnd w:id="15"/>
      <w:bookmarkEnd w:id="16"/>
    </w:p>
    <w:p>
      <w:pPr>
        <w:pStyle w:val="Heading5"/>
        <w:rPr>
          <w:snapToGrid w:val="0"/>
        </w:rPr>
      </w:pPr>
      <w:bookmarkStart w:id="17" w:name="_Toc377736528"/>
      <w:bookmarkStart w:id="18" w:name="_Toc412556238"/>
      <w:r>
        <w:rPr>
          <w:rStyle w:val="CharSectno"/>
        </w:rPr>
        <w:t>5</w:t>
      </w:r>
      <w:r>
        <w:rPr>
          <w:snapToGrid w:val="0"/>
        </w:rPr>
        <w:t>.</w:t>
      </w:r>
      <w:r>
        <w:rPr>
          <w:snapToGrid w:val="0"/>
        </w:rPr>
        <w:tab/>
        <w:t>Application of Agvet Code in this jurisdiction</w:t>
      </w:r>
      <w:bookmarkEnd w:id="17"/>
      <w:bookmarkEnd w:id="18"/>
    </w:p>
    <w:p>
      <w:pPr>
        <w:pStyle w:val="Subsection"/>
        <w:rPr>
          <w:snapToGrid w:val="0"/>
        </w:rPr>
      </w:pPr>
      <w:r>
        <w:rPr>
          <w:snapToGrid w:val="0"/>
        </w:rPr>
        <w:tab/>
      </w:r>
      <w:r>
        <w:rPr>
          <w:snapToGrid w:val="0"/>
        </w:rPr>
        <w:tab/>
        <w:t>The Code set out in the Schedule to the Agricultural and Veterinary Chemicals Code Act as in force for the time being —</w:t>
      </w:r>
    </w:p>
    <w:p>
      <w:pPr>
        <w:pStyle w:val="Indenta"/>
        <w:rPr>
          <w:snapToGrid w:val="0"/>
        </w:rPr>
      </w:pPr>
      <w:r>
        <w:rPr>
          <w:snapToGrid w:val="0"/>
        </w:rPr>
        <w:tab/>
        <w:t>(a)</w:t>
      </w:r>
      <w:r>
        <w:rPr>
          <w:snapToGrid w:val="0"/>
        </w:rPr>
        <w:tab/>
        <w:t xml:space="preserve">applies as a law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as so applying, may be cited as the Agvet Code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5"/>
        <w:rPr>
          <w:snapToGrid w:val="0"/>
        </w:rPr>
      </w:pPr>
      <w:bookmarkStart w:id="19" w:name="_Toc377736529"/>
      <w:bookmarkStart w:id="20" w:name="_Toc412556239"/>
      <w:r>
        <w:rPr>
          <w:rStyle w:val="CharSectno"/>
        </w:rPr>
        <w:t>6</w:t>
      </w:r>
      <w:r>
        <w:rPr>
          <w:snapToGrid w:val="0"/>
        </w:rPr>
        <w:t>.</w:t>
      </w:r>
      <w:r>
        <w:rPr>
          <w:snapToGrid w:val="0"/>
        </w:rPr>
        <w:tab/>
        <w:t>Application of Agvet Regulations in this jurisdiction</w:t>
      </w:r>
      <w:bookmarkEnd w:id="19"/>
      <w:bookmarkEnd w:id="20"/>
    </w:p>
    <w:p>
      <w:pPr>
        <w:pStyle w:val="Subsection"/>
        <w:rPr>
          <w:snapToGrid w:val="0"/>
        </w:rPr>
      </w:pPr>
      <w:r>
        <w:rPr>
          <w:snapToGrid w:val="0"/>
        </w:rPr>
        <w:tab/>
      </w:r>
      <w:r>
        <w:rPr>
          <w:snapToGrid w:val="0"/>
        </w:rPr>
        <w:tab/>
        <w:t>The regulations in force for the time being under section 6 of the Agricultural and Veterinary Chemicals Code Act —</w:t>
      </w:r>
    </w:p>
    <w:p>
      <w:pPr>
        <w:pStyle w:val="Indenta"/>
        <w:rPr>
          <w:snapToGrid w:val="0"/>
        </w:rPr>
      </w:pPr>
      <w:r>
        <w:rPr>
          <w:snapToGrid w:val="0"/>
        </w:rPr>
        <w:tab/>
        <w:t>(a)</w:t>
      </w:r>
      <w:r>
        <w:rPr>
          <w:snapToGrid w:val="0"/>
        </w:rPr>
        <w:tab/>
        <w:t xml:space="preserve">apply as regulations in force for the purposes of the Agvet Code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as so applying, may be referred to as the Agvet Regulations of Western Australia.</w:t>
      </w:r>
    </w:p>
    <w:p>
      <w:pPr>
        <w:pStyle w:val="Heading5"/>
        <w:rPr>
          <w:snapToGrid w:val="0"/>
        </w:rPr>
      </w:pPr>
      <w:bookmarkStart w:id="21" w:name="_Toc377736530"/>
      <w:bookmarkStart w:id="22" w:name="_Toc412556240"/>
      <w:r>
        <w:rPr>
          <w:rStyle w:val="CharSectno"/>
        </w:rPr>
        <w:t>7</w:t>
      </w:r>
      <w:r>
        <w:rPr>
          <w:snapToGrid w:val="0"/>
        </w:rPr>
        <w:t>.</w:t>
      </w:r>
      <w:r>
        <w:rPr>
          <w:snapToGrid w:val="0"/>
        </w:rPr>
        <w:tab/>
        <w:t>Interpretation of Agvet Code and Agvet Regulations of this jurisdiction</w:t>
      </w:r>
      <w:bookmarkEnd w:id="21"/>
      <w:bookmarkEnd w:id="22"/>
    </w:p>
    <w:p>
      <w:pPr>
        <w:pStyle w:val="Subsection"/>
        <w:rPr>
          <w:snapToGrid w:val="0"/>
        </w:rPr>
      </w:pPr>
      <w:r>
        <w:rPr>
          <w:snapToGrid w:val="0"/>
        </w:rPr>
        <w:tab/>
        <w:t>(1)</w:t>
      </w:r>
      <w:r>
        <w:rPr>
          <w:snapToGrid w:val="0"/>
        </w:rPr>
        <w:tab/>
        <w:t>In the Agvet Code, and the Agvet Regulations, of this jurisdiction —</w:t>
      </w:r>
    </w:p>
    <w:p>
      <w:pPr>
        <w:pStyle w:val="Defstart"/>
      </w:pPr>
      <w:r>
        <w:rPr>
          <w:b/>
        </w:rPr>
        <w:tab/>
      </w:r>
      <w:r>
        <w:rPr>
          <w:rStyle w:val="CharDefText"/>
        </w:rPr>
        <w:t>Minister for this jurisdiction</w:t>
      </w:r>
      <w:r>
        <w:t xml:space="preserve"> means the Minister;</w:t>
      </w:r>
    </w:p>
    <w:p>
      <w:pPr>
        <w:pStyle w:val="Defstart"/>
      </w:pPr>
      <w:r>
        <w:rPr>
          <w:b/>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w:t>
      </w:r>
    </w:p>
    <w:p>
      <w:pPr>
        <w:pStyle w:val="Indenta"/>
        <w:rPr>
          <w:snapToGrid w:val="0"/>
        </w:rPr>
      </w:pPr>
      <w:r>
        <w:rPr>
          <w:snapToGrid w:val="0"/>
        </w:rPr>
        <w:tab/>
        <w:t>(a)</w:t>
      </w:r>
      <w:r>
        <w:rPr>
          <w:snapToGrid w:val="0"/>
        </w:rPr>
        <w:tab/>
        <w:t>the Agvet Code, and the Agvet Regulations, of this jurisdiction; and</w:t>
      </w:r>
    </w:p>
    <w:p>
      <w:pPr>
        <w:pStyle w:val="Indenta"/>
        <w:rPr>
          <w:snapToGrid w:val="0"/>
        </w:rPr>
      </w:pPr>
      <w:r>
        <w:rPr>
          <w:snapToGrid w:val="0"/>
        </w:rPr>
        <w:tab/>
        <w:t>(b)</w:t>
      </w:r>
      <w:r>
        <w:rPr>
          <w:snapToGrid w:val="0"/>
        </w:rPr>
        <w:tab/>
        <w:t>any instrument made, granted or issued under that Code or those regulations.</w:t>
      </w:r>
    </w:p>
    <w:p>
      <w:pPr>
        <w:pStyle w:val="Subsection"/>
        <w:rPr>
          <w:snapToGrid w:val="0"/>
        </w:rPr>
      </w:pPr>
      <w:r>
        <w:rPr>
          <w:snapToGrid w:val="0"/>
        </w:rPr>
        <w:tab/>
        <w:t>(3)</w:t>
      </w:r>
      <w:r>
        <w:rPr>
          <w:snapToGrid w:val="0"/>
        </w:rPr>
        <w:tab/>
        <w:t>For the purposes of subsection (2), the Commonwealth Act mentioned in that subsection applies as if —</w:t>
      </w:r>
    </w:p>
    <w:p>
      <w:pPr>
        <w:pStyle w:val="Indenta"/>
        <w:rPr>
          <w:snapToGrid w:val="0"/>
        </w:rPr>
      </w:pPr>
      <w:r>
        <w:rPr>
          <w:snapToGrid w:val="0"/>
        </w:rPr>
        <w:tab/>
        <w:t>(a)</w:t>
      </w:r>
      <w:r>
        <w:rPr>
          <w:snapToGrid w:val="0"/>
        </w:rPr>
        <w:tab/>
        <w:t>the Agvet Code of this jurisdiction were a Commonwealth Act; and</w:t>
      </w:r>
    </w:p>
    <w:p>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w:t>
      </w:r>
    </w:p>
    <w:p>
      <w:pPr>
        <w:pStyle w:val="Indenta"/>
        <w:rPr>
          <w:snapToGrid w:val="0"/>
        </w:rPr>
      </w:pPr>
      <w:r>
        <w:rPr>
          <w:snapToGrid w:val="0"/>
        </w:rPr>
        <w:tab/>
        <w:t>(a)</w:t>
      </w:r>
      <w:r>
        <w:rPr>
          <w:snapToGrid w:val="0"/>
        </w:rPr>
        <w:tab/>
        <w:t xml:space="preserve">the Agvet Code, or the Agvet Regulations,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any instrument made, granted or issued under that Code or those Regulations.</w:t>
      </w:r>
    </w:p>
    <w:p>
      <w:pPr>
        <w:pStyle w:val="Heading5"/>
        <w:rPr>
          <w:snapToGrid w:val="0"/>
        </w:rPr>
      </w:pPr>
      <w:bookmarkStart w:id="23" w:name="_Toc377736531"/>
      <w:bookmarkStart w:id="24" w:name="_Toc412556241"/>
      <w:r>
        <w:rPr>
          <w:rStyle w:val="CharSectno"/>
        </w:rPr>
        <w:t>8</w:t>
      </w:r>
      <w:r>
        <w:rPr>
          <w:snapToGrid w:val="0"/>
        </w:rPr>
        <w:t>.</w:t>
      </w:r>
      <w:r>
        <w:rPr>
          <w:snapToGrid w:val="0"/>
        </w:rPr>
        <w:tab/>
        <w:t>Ancillary offences (parties to offences, attempts, incitement or conspiracy)</w:t>
      </w:r>
      <w:bookmarkEnd w:id="23"/>
      <w:bookmarkEnd w:id="24"/>
    </w:p>
    <w:p>
      <w:pPr>
        <w:pStyle w:val="Subsection"/>
        <w:rPr>
          <w:snapToGrid w:val="0"/>
        </w:rPr>
      </w:pPr>
      <w:r>
        <w:rPr>
          <w:snapToGrid w:val="0"/>
        </w:rPr>
        <w:tab/>
        <w:t>(1)</w:t>
      </w:r>
      <w:r>
        <w:rPr>
          <w:snapToGrid w:val="0"/>
        </w:rPr>
        <w:tab/>
        <w:t xml:space="preserve">In this section, </w:t>
      </w:r>
      <w:r>
        <w:rPr>
          <w:rStyle w:val="CharDefText"/>
        </w:rPr>
        <w:t>ancillary criminal laws</w:t>
      </w:r>
      <w:r>
        <w:rPr>
          <w:snapToGrid w:val="0"/>
        </w:rPr>
        <w:t xml:space="preserve"> means section 4, Chapters II, LVII and LVIII and section 562 of </w:t>
      </w:r>
      <w:r>
        <w:rPr>
          <w:i/>
          <w:snapToGrid w:val="0"/>
        </w:rPr>
        <w:t>The Criminal Code</w:t>
      </w:r>
      <w:r>
        <w:rPr>
          <w:snapToGrid w:val="0"/>
        </w:rPr>
        <w:t>.</w:t>
      </w:r>
    </w:p>
    <w:p>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w:t>
      </w:r>
    </w:p>
    <w:p>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w:t>
      </w:r>
    </w:p>
    <w:p>
      <w:pPr>
        <w:pStyle w:val="MiscOpen"/>
        <w:tabs>
          <w:tab w:val="clear" w:pos="893"/>
        </w:tabs>
        <w:ind w:left="1616"/>
        <w:rPr>
          <w:snapToGrid w:val="0"/>
        </w:rPr>
      </w:pPr>
      <w:r>
        <w:rPr>
          <w:snapToGrid w:val="0"/>
        </w:rPr>
        <w:t>“</w:t>
      </w:r>
    </w:p>
    <w:p>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pPr>
        <w:pStyle w:val="MiscClose"/>
        <w:rPr>
          <w:snapToGrid w:val="0"/>
        </w:rPr>
      </w:pPr>
      <w:r>
        <w:rPr>
          <w:snapToGrid w:val="0"/>
        </w:rPr>
        <w:t>”.</w:t>
      </w:r>
    </w:p>
    <w:p>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pPr>
        <w:pStyle w:val="Heading2"/>
      </w:pPr>
      <w:bookmarkStart w:id="25" w:name="_Toc377736532"/>
      <w:bookmarkStart w:id="26" w:name="_Toc412556190"/>
      <w:bookmarkStart w:id="27" w:name="_Toc412556242"/>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25"/>
      <w:bookmarkEnd w:id="26"/>
      <w:bookmarkEnd w:id="27"/>
    </w:p>
    <w:p>
      <w:pPr>
        <w:pStyle w:val="Heading5"/>
        <w:rPr>
          <w:snapToGrid w:val="0"/>
        </w:rPr>
      </w:pPr>
      <w:bookmarkStart w:id="28" w:name="_Toc377736533"/>
      <w:bookmarkStart w:id="29" w:name="_Toc412556243"/>
      <w:r>
        <w:rPr>
          <w:rStyle w:val="CharSectno"/>
        </w:rPr>
        <w:t>9</w:t>
      </w:r>
      <w:r>
        <w:rPr>
          <w:snapToGrid w:val="0"/>
        </w:rPr>
        <w:t>.</w:t>
      </w:r>
      <w:r>
        <w:rPr>
          <w:snapToGrid w:val="0"/>
        </w:rPr>
        <w:tab/>
        <w:t>References to Agvet Codes and Agvet Regulations of other jurisdictions</w:t>
      </w:r>
      <w:bookmarkEnd w:id="28"/>
      <w:bookmarkEnd w:id="29"/>
    </w:p>
    <w:p>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pPr>
        <w:pStyle w:val="Heading5"/>
        <w:rPr>
          <w:snapToGrid w:val="0"/>
        </w:rPr>
      </w:pPr>
      <w:bookmarkStart w:id="30" w:name="_Toc377736534"/>
      <w:bookmarkStart w:id="31" w:name="_Toc412556244"/>
      <w:r>
        <w:rPr>
          <w:rStyle w:val="CharSectno"/>
        </w:rPr>
        <w:t>10</w:t>
      </w:r>
      <w:r>
        <w:rPr>
          <w:snapToGrid w:val="0"/>
        </w:rPr>
        <w:t>.</w:t>
      </w:r>
      <w:r>
        <w:rPr>
          <w:snapToGrid w:val="0"/>
        </w:rPr>
        <w:tab/>
        <w:t>References to Agvet Codes and Agvet Regulations</w:t>
      </w:r>
      <w:bookmarkEnd w:id="30"/>
      <w:bookmarkEnd w:id="31"/>
    </w:p>
    <w:p>
      <w:pPr>
        <w:pStyle w:val="Subsection"/>
        <w:rPr>
          <w:snapToGrid w:val="0"/>
        </w:rPr>
      </w:pPr>
      <w:r>
        <w:rPr>
          <w:snapToGrid w:val="0"/>
        </w:rPr>
        <w:tab/>
        <w:t>(1)</w:t>
      </w:r>
      <w:r>
        <w:rPr>
          <w:snapToGrid w:val="0"/>
        </w:rPr>
        <w:tab/>
        <w:t xml:space="preserve">The object of this section is to help ensure that the Agvet Code of this jurisdiction can operate, in appropriate circumstances, as if that Code, together with the Agvet Code of each other jurisdiction, constituted a single national Agvet Code applying throughout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w:t>
      </w:r>
    </w:p>
    <w:p>
      <w:pPr>
        <w:pStyle w:val="Indenta"/>
        <w:rPr>
          <w:snapToGrid w:val="0"/>
        </w:rPr>
      </w:pPr>
      <w:r>
        <w:rPr>
          <w:snapToGrid w:val="0"/>
        </w:rPr>
        <w:tab/>
        <w:t>(a)</w:t>
      </w:r>
      <w:r>
        <w:rPr>
          <w:snapToGrid w:val="0"/>
        </w:rPr>
        <w:tab/>
        <w:t>to be a reference to the Agvet Code, or to the Agvet Regulations, of this jurisdiction; and</w:t>
      </w:r>
    </w:p>
    <w:p>
      <w:pPr>
        <w:pStyle w:val="Indenta"/>
        <w:rPr>
          <w:snapToGrid w:val="0"/>
        </w:rPr>
      </w:pPr>
      <w:r>
        <w:rPr>
          <w:snapToGrid w:val="0"/>
        </w:rPr>
        <w:tab/>
        <w:t>(b)</w:t>
      </w:r>
      <w:r>
        <w:rPr>
          <w:snapToGrid w:val="0"/>
        </w:rPr>
        <w:tab/>
        <w:t>to include a separate reference to the Agvet Code, or to the Agvet Regulations, of each other jurisdiction.</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2"/>
      </w:pPr>
      <w:bookmarkStart w:id="32" w:name="_Toc377736535"/>
      <w:bookmarkStart w:id="33" w:name="_Toc412556193"/>
      <w:bookmarkStart w:id="34" w:name="_Toc412556245"/>
      <w:r>
        <w:rPr>
          <w:rStyle w:val="CharPartNo"/>
        </w:rPr>
        <w:t>Part 4</w:t>
      </w:r>
      <w:r>
        <w:rPr>
          <w:rStyle w:val="CharDivNo"/>
        </w:rPr>
        <w:t> </w:t>
      </w:r>
      <w:r>
        <w:t>—</w:t>
      </w:r>
      <w:r>
        <w:rPr>
          <w:rStyle w:val="CharDivText"/>
        </w:rPr>
        <w:t> </w:t>
      </w:r>
      <w:r>
        <w:rPr>
          <w:rStyle w:val="CharPartText"/>
        </w:rPr>
        <w:t>Application of Agvet Codes to the Crown</w:t>
      </w:r>
      <w:bookmarkEnd w:id="32"/>
      <w:bookmarkEnd w:id="33"/>
      <w:bookmarkEnd w:id="34"/>
    </w:p>
    <w:p>
      <w:pPr>
        <w:pStyle w:val="Heading5"/>
        <w:rPr>
          <w:snapToGrid w:val="0"/>
        </w:rPr>
      </w:pPr>
      <w:bookmarkStart w:id="35" w:name="_Toc377736536"/>
      <w:bookmarkStart w:id="36" w:name="_Toc412556246"/>
      <w:r>
        <w:rPr>
          <w:rStyle w:val="CharSectno"/>
        </w:rPr>
        <w:t>11</w:t>
      </w:r>
      <w:r>
        <w:rPr>
          <w:snapToGrid w:val="0"/>
        </w:rPr>
        <w:t>.</w:t>
      </w:r>
      <w:r>
        <w:rPr>
          <w:snapToGrid w:val="0"/>
        </w:rPr>
        <w:tab/>
        <w:t>Agvet Code of this jurisdiction binds the Crown</w:t>
      </w:r>
      <w:bookmarkEnd w:id="35"/>
      <w:bookmarkEnd w:id="36"/>
    </w:p>
    <w:p>
      <w:pPr>
        <w:pStyle w:val="Subsection"/>
        <w:rPr>
          <w:snapToGrid w:val="0"/>
        </w:rPr>
      </w:pPr>
      <w:r>
        <w:rPr>
          <w:snapToGrid w:val="0"/>
        </w:rPr>
        <w:tab/>
      </w:r>
      <w:r>
        <w:rPr>
          <w:snapToGrid w:val="0"/>
        </w:rPr>
        <w:tab/>
        <w:t>The Agvet Code of this jurisdiction binds the Crown.</w:t>
      </w:r>
    </w:p>
    <w:p>
      <w:pPr>
        <w:pStyle w:val="Heading5"/>
        <w:rPr>
          <w:snapToGrid w:val="0"/>
        </w:rPr>
      </w:pPr>
      <w:bookmarkStart w:id="37" w:name="_Toc377736537"/>
      <w:bookmarkStart w:id="38" w:name="_Toc412556247"/>
      <w:r>
        <w:rPr>
          <w:rStyle w:val="CharSectno"/>
        </w:rPr>
        <w:t>12</w:t>
      </w:r>
      <w:r>
        <w:rPr>
          <w:snapToGrid w:val="0"/>
        </w:rPr>
        <w:t>.</w:t>
      </w:r>
      <w:r>
        <w:rPr>
          <w:snapToGrid w:val="0"/>
        </w:rPr>
        <w:tab/>
        <w:t>Agvet Code of other jurisdictions</w:t>
      </w:r>
      <w:bookmarkEnd w:id="37"/>
      <w:bookmarkEnd w:id="38"/>
    </w:p>
    <w:p>
      <w:pPr>
        <w:pStyle w:val="Subsection"/>
        <w:rPr>
          <w:snapToGrid w:val="0"/>
        </w:rPr>
      </w:pPr>
      <w:r>
        <w:rPr>
          <w:snapToGrid w:val="0"/>
        </w:rPr>
        <w:tab/>
      </w:r>
      <w:r>
        <w:rPr>
          <w:snapToGrid w:val="0"/>
        </w:rPr>
        <w:tab/>
        <w:t>The Agvet Code of each jurisdiction other than this jurisdiction binds the Crown in right of this jurisdiction.</w:t>
      </w:r>
    </w:p>
    <w:p>
      <w:pPr>
        <w:pStyle w:val="Heading5"/>
        <w:rPr>
          <w:snapToGrid w:val="0"/>
        </w:rPr>
      </w:pPr>
      <w:bookmarkStart w:id="39" w:name="_Toc377736538"/>
      <w:bookmarkStart w:id="40" w:name="_Toc412556248"/>
      <w:r>
        <w:rPr>
          <w:rStyle w:val="CharSectno"/>
        </w:rPr>
        <w:t>13</w:t>
      </w:r>
      <w:r>
        <w:rPr>
          <w:snapToGrid w:val="0"/>
        </w:rPr>
        <w:t>.</w:t>
      </w:r>
      <w:r>
        <w:rPr>
          <w:snapToGrid w:val="0"/>
        </w:rPr>
        <w:tab/>
        <w:t>Crown not liable to prosecution</w:t>
      </w:r>
      <w:bookmarkEnd w:id="39"/>
      <w:bookmarkEnd w:id="40"/>
    </w:p>
    <w:p>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pPr>
        <w:pStyle w:val="Heading5"/>
        <w:rPr>
          <w:snapToGrid w:val="0"/>
        </w:rPr>
      </w:pPr>
      <w:bookmarkStart w:id="41" w:name="_Toc377736539"/>
      <w:bookmarkStart w:id="42" w:name="_Toc412556249"/>
      <w:r>
        <w:rPr>
          <w:rStyle w:val="CharSectno"/>
        </w:rPr>
        <w:t>14</w:t>
      </w:r>
      <w:r>
        <w:rPr>
          <w:snapToGrid w:val="0"/>
        </w:rPr>
        <w:t>.</w:t>
      </w:r>
      <w:r>
        <w:rPr>
          <w:snapToGrid w:val="0"/>
        </w:rPr>
        <w:tab/>
        <w:t>This Part overrides the prerogative</w:t>
      </w:r>
      <w:bookmarkEnd w:id="41"/>
      <w:bookmarkEnd w:id="42"/>
    </w:p>
    <w:p>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pPr>
        <w:pStyle w:val="Heading2"/>
      </w:pPr>
      <w:bookmarkStart w:id="43" w:name="_Toc377736540"/>
      <w:bookmarkStart w:id="44" w:name="_Toc412556198"/>
      <w:bookmarkStart w:id="45" w:name="_Toc412556250"/>
      <w:r>
        <w:rPr>
          <w:rStyle w:val="CharPartNo"/>
        </w:rPr>
        <w:t>Part 5</w:t>
      </w:r>
      <w:r>
        <w:t xml:space="preserve"> — </w:t>
      </w:r>
      <w:r>
        <w:rPr>
          <w:rStyle w:val="CharPartText"/>
        </w:rPr>
        <w:t>Application of Commonwealth administrative laws to the Agvet Code and Agvet Regulations of this jurisdiction</w:t>
      </w:r>
      <w:bookmarkEnd w:id="43"/>
      <w:bookmarkEnd w:id="44"/>
      <w:bookmarkEnd w:id="45"/>
    </w:p>
    <w:p>
      <w:pPr>
        <w:pStyle w:val="Footnoteheading"/>
        <w:ind w:left="890"/>
      </w:pPr>
      <w:r>
        <w:tab/>
        <w:t>[Heading inserted: No. 21 of 2001 s. 5.]</w:t>
      </w:r>
    </w:p>
    <w:p>
      <w:pPr>
        <w:pStyle w:val="Heading5"/>
      </w:pPr>
      <w:bookmarkStart w:id="46" w:name="_Toc377736541"/>
      <w:bookmarkStart w:id="47" w:name="_Toc412556251"/>
      <w:r>
        <w:rPr>
          <w:rStyle w:val="CharSectno"/>
        </w:rPr>
        <w:t>15</w:t>
      </w:r>
      <w:r>
        <w:t>.</w:t>
      </w:r>
      <w:r>
        <w:tab/>
        <w:t>Object</w:t>
      </w:r>
      <w:bookmarkEnd w:id="46"/>
      <w:bookmarkEnd w:id="47"/>
    </w:p>
    <w:p>
      <w:pPr>
        <w:pStyle w:val="Subsection"/>
        <w:spacing w:before="100"/>
      </w:pPr>
      <w:r>
        <w:tab/>
      </w:r>
      <w:r>
        <w:tab/>
        <w:t>The object of this Part is to help ensure that the Agvet Code of this jurisdiction and the Agvet Code of each other jurisdiction are administered on a uniform basis.</w:t>
      </w:r>
    </w:p>
    <w:p>
      <w:pPr>
        <w:pStyle w:val="Footnotesection"/>
      </w:pPr>
      <w:r>
        <w:tab/>
        <w:t>[Section 15 inserted: No. 21 of 2001 s. 5.]</w:t>
      </w:r>
    </w:p>
    <w:p>
      <w:pPr>
        <w:pStyle w:val="Heading5"/>
      </w:pPr>
      <w:bookmarkStart w:id="48" w:name="_Toc377736542"/>
      <w:bookmarkStart w:id="49" w:name="_Toc412556252"/>
      <w:r>
        <w:rPr>
          <w:rStyle w:val="CharSectno"/>
        </w:rPr>
        <w:t>16</w:t>
      </w:r>
      <w:r>
        <w:t>.</w:t>
      </w:r>
      <w:r>
        <w:tab/>
        <w:t>Application of Commonwealth administrative laws in relation to applicable provisions</w:t>
      </w:r>
      <w:bookmarkEnd w:id="48"/>
      <w:bookmarkEnd w:id="49"/>
    </w:p>
    <w:p>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pPr>
        <w:pStyle w:val="Subsection"/>
        <w:spacing w:before="100"/>
      </w:pPr>
      <w:r>
        <w:tab/>
        <w:t>(2)</w:t>
      </w:r>
      <w:r>
        <w:tab/>
        <w:t xml:space="preserve">The provisions of the Agvet Code of this jurisdiction that require the APVMA to give brief particulars of reasons for decisions do not affect the obligations of the APVMA under section 28 of the </w:t>
      </w:r>
      <w:r>
        <w:rPr>
          <w:i/>
        </w:rPr>
        <w:t>Administrative Appeals Tribunal Act 1975</w:t>
      </w:r>
      <w:r>
        <w:t xml:space="preserve"> of the Commonwealth as that section applies as a law of this jurisdiction under subsection (1).</w:t>
      </w:r>
    </w:p>
    <w:p>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pPr>
        <w:pStyle w:val="Subsection"/>
        <w:spacing w:before="100"/>
      </w:pPr>
      <w:r>
        <w:tab/>
        <w:t>(4)</w:t>
      </w:r>
      <w:r>
        <w:tab/>
        <w:t>For the purposes of a law of this jurisdiction, a matter arising in relation to the applicable provisions of this jurisdiction —</w:t>
      </w:r>
    </w:p>
    <w:p>
      <w:pPr>
        <w:pStyle w:val="Indenta"/>
      </w:pPr>
      <w:r>
        <w:tab/>
        <w:t>(a)</w:t>
      </w:r>
      <w:r>
        <w:tab/>
        <w:t>is taken to be a matter arising in relation to laws of the Commonwealth in the same way as if those provisions were laws of the Commonwealth; and</w:t>
      </w:r>
    </w:p>
    <w:p>
      <w:pPr>
        <w:pStyle w:val="Indenta"/>
      </w:pPr>
      <w:r>
        <w:tab/>
        <w:t>(b)</w:t>
      </w:r>
      <w:r>
        <w:tab/>
        <w:t>is taken not to be a matter arising in relation to laws of this jurisdiction.</w:t>
      </w:r>
    </w:p>
    <w:p>
      <w:pPr>
        <w:pStyle w:val="Subsection"/>
      </w:pPr>
      <w:r>
        <w:tab/>
        <w:t>(5)</w:t>
      </w:r>
      <w:r>
        <w:tab/>
        <w:t>Subsection (4) has effect for the purposes of a law of this jurisdiction except as prescribed by regulations under section 32.</w:t>
      </w:r>
    </w:p>
    <w:p>
      <w:pPr>
        <w:pStyle w:val="Footnotesection"/>
      </w:pPr>
      <w:r>
        <w:tab/>
        <w:t>[Section 16 inserted: No. 21 of 2001 s. 5; amended: No. 8 of 2009 s. 19(4).]</w:t>
      </w:r>
    </w:p>
    <w:p>
      <w:pPr>
        <w:pStyle w:val="Heading5"/>
      </w:pPr>
      <w:bookmarkStart w:id="50" w:name="_Toc377736543"/>
      <w:bookmarkStart w:id="51" w:name="_Toc412556253"/>
      <w:r>
        <w:rPr>
          <w:rStyle w:val="CharSectno"/>
        </w:rPr>
        <w:t>17</w:t>
      </w:r>
      <w:r>
        <w:t>.</w:t>
      </w:r>
      <w:r>
        <w:tab/>
        <w:t>Duties, functions and powers conferred on Commonwealth officers and authorities</w:t>
      </w:r>
      <w:bookmarkEnd w:id="50"/>
      <w:bookmarkEnd w:id="51"/>
    </w:p>
    <w:p>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pPr>
        <w:pStyle w:val="Footnotesection"/>
      </w:pPr>
      <w:r>
        <w:tab/>
        <w:t>[Section 17 inserted: No. 21 of 2001 s. 5.]</w:t>
      </w:r>
    </w:p>
    <w:p>
      <w:pPr>
        <w:pStyle w:val="Heading5"/>
      </w:pPr>
      <w:bookmarkStart w:id="52" w:name="_Toc377736544"/>
      <w:bookmarkStart w:id="53" w:name="_Toc412556254"/>
      <w:r>
        <w:rPr>
          <w:rStyle w:val="CharSectno"/>
        </w:rPr>
        <w:t>18</w:t>
      </w:r>
      <w:r>
        <w:t>.</w:t>
      </w:r>
      <w:r>
        <w:tab/>
        <w:t>Reference in Commonwealth administrative law to a provision of another law</w:t>
      </w:r>
      <w:bookmarkEnd w:id="52"/>
      <w:bookmarkEnd w:id="53"/>
    </w:p>
    <w:p>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pPr>
        <w:pStyle w:val="Footnotesection"/>
      </w:pPr>
      <w:r>
        <w:tab/>
        <w:t>[Section 18 inserted: No. 21 of 2001 s. 5.]</w:t>
      </w:r>
    </w:p>
    <w:p>
      <w:pPr>
        <w:pStyle w:val="Heading5"/>
      </w:pPr>
      <w:bookmarkStart w:id="54" w:name="_Toc377736545"/>
      <w:bookmarkStart w:id="55" w:name="_Toc412556255"/>
      <w:r>
        <w:rPr>
          <w:rStyle w:val="CharSectno"/>
        </w:rPr>
        <w:t>18A</w:t>
      </w:r>
      <w:r>
        <w:t>.</w:t>
      </w:r>
      <w:r>
        <w:tab/>
        <w:t>Construction of references to Part IVA of Commonwealth AAT Act</w:t>
      </w:r>
      <w:bookmarkEnd w:id="54"/>
      <w:bookmarkEnd w:id="55"/>
    </w:p>
    <w:p>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pPr>
        <w:pStyle w:val="Footnotesection"/>
      </w:pPr>
      <w:r>
        <w:tab/>
        <w:t>[Section 18A inserted: No. 21 of 2001 s. 5.]</w:t>
      </w:r>
    </w:p>
    <w:p>
      <w:pPr>
        <w:pStyle w:val="Ednotepart"/>
        <w:rPr>
          <w:snapToGrid/>
        </w:rPr>
      </w:pPr>
      <w:r>
        <w:rPr>
          <w:snapToGrid/>
        </w:rPr>
        <w:t>[Part 6 (s. 19-20) deleted: No. 21 of 2001 s. 6.]</w:t>
      </w:r>
    </w:p>
    <w:p>
      <w:pPr>
        <w:pStyle w:val="Heading2"/>
      </w:pPr>
      <w:bookmarkStart w:id="56" w:name="_Toc377736546"/>
      <w:bookmarkStart w:id="57" w:name="_Toc412556204"/>
      <w:bookmarkStart w:id="58" w:name="_Toc412556256"/>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56"/>
      <w:bookmarkEnd w:id="57"/>
      <w:bookmarkEnd w:id="58"/>
    </w:p>
    <w:p>
      <w:pPr>
        <w:pStyle w:val="Heading5"/>
        <w:rPr>
          <w:snapToGrid w:val="0"/>
        </w:rPr>
      </w:pPr>
      <w:bookmarkStart w:id="59" w:name="_Toc377736547"/>
      <w:bookmarkStart w:id="60" w:name="_Toc412556257"/>
      <w:r>
        <w:rPr>
          <w:rStyle w:val="CharSectno"/>
        </w:rPr>
        <w:t>21</w:t>
      </w:r>
      <w:r>
        <w:rPr>
          <w:snapToGrid w:val="0"/>
        </w:rPr>
        <w:t>.</w:t>
      </w:r>
      <w:r>
        <w:rPr>
          <w:snapToGrid w:val="0"/>
        </w:rPr>
        <w:tab/>
        <w:t xml:space="preserve">Conferral of functions and powers on </w:t>
      </w:r>
      <w:r>
        <w:t>APVMA</w:t>
      </w:r>
      <w:bookmarkEnd w:id="59"/>
      <w:bookmarkEnd w:id="60"/>
    </w:p>
    <w:p>
      <w:pPr>
        <w:pStyle w:val="Subsection"/>
        <w:rPr>
          <w:snapToGrid w:val="0"/>
        </w:rPr>
      </w:pPr>
      <w:r>
        <w:rPr>
          <w:snapToGrid w:val="0"/>
        </w:rPr>
        <w:tab/>
        <w:t>(1)</w:t>
      </w:r>
      <w:r>
        <w:rPr>
          <w:snapToGrid w:val="0"/>
        </w:rPr>
        <w:tab/>
        <w:t xml:space="preserve">The </w:t>
      </w:r>
      <w:r>
        <w:t>APVMA</w:t>
      </w:r>
      <w:r>
        <w:rPr>
          <w:snapToGrid w:val="0"/>
        </w:rPr>
        <w:t xml:space="preserve"> has the functions and powers conferred or expressed to be conferred on it under this Act or the Agvet Code of this jurisdiction.</w:t>
      </w:r>
    </w:p>
    <w:p>
      <w:pPr>
        <w:pStyle w:val="Subsection"/>
        <w:rPr>
          <w:snapToGrid w:val="0"/>
        </w:rPr>
      </w:pPr>
      <w:r>
        <w:rPr>
          <w:snapToGrid w:val="0"/>
        </w:rPr>
        <w:tab/>
        <w:t>(2)</w:t>
      </w:r>
      <w:r>
        <w:rPr>
          <w:snapToGrid w:val="0"/>
        </w:rPr>
        <w:tab/>
        <w:t xml:space="preserve">In addition to the powers mentioned in subsection (1), the </w:t>
      </w:r>
      <w:r>
        <w:t>APVMA</w:t>
      </w:r>
      <w:r>
        <w:rPr>
          <w:snapToGrid w:val="0"/>
        </w:rPr>
        <w:t xml:space="preserve"> has power to do all things necessary or convenient to be done in connection with the performance of the functions referred to in subsection (1) and, in particular may —</w:t>
      </w:r>
    </w:p>
    <w:p>
      <w:pPr>
        <w:pStyle w:val="Indenta"/>
        <w:rPr>
          <w:snapToGrid w:val="0"/>
        </w:rPr>
      </w:pPr>
      <w:r>
        <w:rPr>
          <w:snapToGrid w:val="0"/>
        </w:rPr>
        <w:tab/>
        <w:t>(a)</w:t>
      </w:r>
      <w:r>
        <w:rPr>
          <w:snapToGrid w:val="0"/>
        </w:rPr>
        <w:tab/>
        <w:t>enter into contracts; and</w:t>
      </w:r>
    </w:p>
    <w:p>
      <w:pPr>
        <w:pStyle w:val="Indenta"/>
        <w:rPr>
          <w:snapToGrid w:val="0"/>
        </w:rPr>
      </w:pPr>
      <w:r>
        <w:rPr>
          <w:snapToGrid w:val="0"/>
        </w:rPr>
        <w:tab/>
        <w:t>(b)</w:t>
      </w:r>
      <w:r>
        <w:rPr>
          <w:snapToGrid w:val="0"/>
        </w:rPr>
        <w:tab/>
        <w:t>acquire, hold and dispose of real and personal property; and</w:t>
      </w:r>
    </w:p>
    <w:p>
      <w:pPr>
        <w:pStyle w:val="Indenta"/>
        <w:rPr>
          <w:snapToGrid w:val="0"/>
        </w:rPr>
      </w:pPr>
      <w:r>
        <w:rPr>
          <w:snapToGrid w:val="0"/>
        </w:rPr>
        <w:tab/>
        <w:t>(c)</w:t>
      </w:r>
      <w:r>
        <w:rPr>
          <w:snapToGrid w:val="0"/>
        </w:rPr>
        <w:tab/>
        <w:t xml:space="preserve">occupy, use and control any land or building owned or held under lease by the Commonwealth, a State or a Territory and made available for the purposes of the </w:t>
      </w:r>
      <w:r>
        <w:t>APVMA</w:t>
      </w:r>
      <w:r>
        <w:rPr>
          <w:snapToGrid w:val="0"/>
        </w:rPr>
        <w:t>; and</w:t>
      </w:r>
    </w:p>
    <w:p>
      <w:pPr>
        <w:pStyle w:val="Indenta"/>
        <w:rPr>
          <w:snapToGrid w:val="0"/>
        </w:rPr>
      </w:pPr>
      <w:r>
        <w:rPr>
          <w:snapToGrid w:val="0"/>
        </w:rPr>
        <w:tab/>
        <w:t>(d)</w:t>
      </w:r>
      <w:r>
        <w:rPr>
          <w:snapToGrid w:val="0"/>
        </w:rPr>
        <w:tab/>
        <w:t>appoint agents and attorneys, and act as agent for other persons; and</w:t>
      </w:r>
    </w:p>
    <w:p>
      <w:pPr>
        <w:pStyle w:val="Indenta"/>
        <w:rPr>
          <w:snapToGrid w:val="0"/>
        </w:rPr>
      </w:pPr>
      <w:r>
        <w:rPr>
          <w:snapToGrid w:val="0"/>
        </w:rPr>
        <w:tab/>
        <w:t>(e)</w:t>
      </w:r>
      <w:r>
        <w:rPr>
          <w:snapToGrid w:val="0"/>
        </w:rPr>
        <w:tab/>
        <w:t>do anything incidental to any of its powers.</w:t>
      </w:r>
    </w:p>
    <w:p>
      <w:pPr>
        <w:pStyle w:val="Footnotesection"/>
      </w:pPr>
      <w:r>
        <w:tab/>
        <w:t>[Section 21 amended: No. 8 of 2009 s. 19(4).]</w:t>
      </w:r>
    </w:p>
    <w:p>
      <w:pPr>
        <w:pStyle w:val="Heading5"/>
        <w:rPr>
          <w:snapToGrid w:val="0"/>
        </w:rPr>
      </w:pPr>
      <w:bookmarkStart w:id="61" w:name="_Toc377736548"/>
      <w:bookmarkStart w:id="62" w:name="_Toc412556258"/>
      <w:r>
        <w:rPr>
          <w:rStyle w:val="CharSectno"/>
        </w:rPr>
        <w:t>22</w:t>
      </w:r>
      <w:r>
        <w:rPr>
          <w:snapToGrid w:val="0"/>
        </w:rPr>
        <w:t>.</w:t>
      </w:r>
      <w:r>
        <w:rPr>
          <w:snapToGrid w:val="0"/>
        </w:rPr>
        <w:tab/>
        <w:t>Agreements and arrangements</w:t>
      </w:r>
      <w:bookmarkEnd w:id="61"/>
      <w:bookmarkEnd w:id="62"/>
    </w:p>
    <w:p>
      <w:pPr>
        <w:pStyle w:val="Subsection"/>
        <w:rPr>
          <w:snapToGrid w:val="0"/>
        </w:rPr>
      </w:pPr>
      <w:r>
        <w:rPr>
          <w:snapToGrid w:val="0"/>
        </w:rPr>
        <w:tab/>
        <w:t>(1)</w:t>
      </w:r>
      <w:r>
        <w:rPr>
          <w:snapToGrid w:val="0"/>
        </w:rPr>
        <w:tab/>
        <w:t xml:space="preserve">The Minister, or a person authorised in writing by the Minister, may enter into an agreement or arrangement with the Commonwealth Minister for the performance of functions or the exercise of powers by the </w:t>
      </w:r>
      <w:r>
        <w:t>APVMA</w:t>
      </w:r>
      <w:r>
        <w:rPr>
          <w:snapToGrid w:val="0"/>
        </w:rPr>
        <w:t xml:space="preserve"> as an agent of the State.</w:t>
      </w:r>
    </w:p>
    <w:p>
      <w:pPr>
        <w:pStyle w:val="Subsection"/>
        <w:rPr>
          <w:snapToGrid w:val="0"/>
        </w:rPr>
      </w:pPr>
      <w:r>
        <w:rPr>
          <w:snapToGrid w:val="0"/>
        </w:rPr>
        <w:tab/>
        <w:t>(2)</w:t>
      </w:r>
      <w:r>
        <w:rPr>
          <w:snapToGrid w:val="0"/>
        </w:rPr>
        <w:tab/>
        <w:t xml:space="preserve">The </w:t>
      </w:r>
      <w:r>
        <w:t>APVMA</w:t>
      </w:r>
      <w:r>
        <w:rPr>
          <w:snapToGrid w:val="0"/>
        </w:rPr>
        <w:t xml:space="preserve"> has the functions and powers mentioned in the agreement or arrangement.</w:t>
      </w:r>
    </w:p>
    <w:p>
      <w:pPr>
        <w:pStyle w:val="Footnotesection"/>
      </w:pPr>
      <w:r>
        <w:tab/>
        <w:t>[Section 22 amended: No. 8 of 2009 s. 19(4).]</w:t>
      </w:r>
    </w:p>
    <w:p>
      <w:pPr>
        <w:pStyle w:val="Heading5"/>
        <w:rPr>
          <w:snapToGrid w:val="0"/>
        </w:rPr>
      </w:pPr>
      <w:bookmarkStart w:id="63" w:name="_Toc377736549"/>
      <w:bookmarkStart w:id="64" w:name="_Toc412556259"/>
      <w:r>
        <w:rPr>
          <w:rStyle w:val="CharSectno"/>
        </w:rPr>
        <w:t>23</w:t>
      </w:r>
      <w:r>
        <w:rPr>
          <w:snapToGrid w:val="0"/>
        </w:rPr>
        <w:t>.</w:t>
      </w:r>
      <w:r>
        <w:rPr>
          <w:snapToGrid w:val="0"/>
        </w:rPr>
        <w:tab/>
        <w:t>Conferral of other functions and powers for purposes of law in this jurisdiction</w:t>
      </w:r>
      <w:bookmarkEnd w:id="63"/>
      <w:bookmarkEnd w:id="64"/>
    </w:p>
    <w:p>
      <w:pPr>
        <w:pStyle w:val="Subsection"/>
        <w:spacing w:before="140"/>
        <w:rPr>
          <w:snapToGrid w:val="0"/>
        </w:rPr>
      </w:pPr>
      <w:r>
        <w:rPr>
          <w:snapToGrid w:val="0"/>
        </w:rPr>
        <w:tab/>
      </w:r>
      <w:r>
        <w:rPr>
          <w:snapToGrid w:val="0"/>
        </w:rPr>
        <w:tab/>
        <w:t xml:space="preserve">The </w:t>
      </w:r>
      <w:r>
        <w:t>APVMA</w:t>
      </w:r>
      <w:r>
        <w:rPr>
          <w:snapToGrid w:val="0"/>
        </w:rPr>
        <w:t xml:space="preserve"> has power to do acts in this jurisdiction in the performance or exercise of any function or power —</w:t>
      </w:r>
    </w:p>
    <w:p>
      <w:pPr>
        <w:pStyle w:val="Indenta"/>
        <w:spacing w:before="60"/>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pPr>
        <w:pStyle w:val="Indenta"/>
        <w:spacing w:before="60"/>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pPr>
        <w:pStyle w:val="Footnotesection"/>
        <w:spacing w:before="100"/>
        <w:ind w:left="890" w:hanging="890"/>
      </w:pPr>
      <w:r>
        <w:tab/>
        <w:t>[Section 23 amended: No. 8 of 2009 s. 19(4).]</w:t>
      </w:r>
    </w:p>
    <w:p>
      <w:pPr>
        <w:pStyle w:val="Heading5"/>
      </w:pPr>
      <w:bookmarkStart w:id="65" w:name="_Toc377736550"/>
      <w:bookmarkStart w:id="66" w:name="_Toc412556260"/>
      <w:r>
        <w:rPr>
          <w:rStyle w:val="CharSectno"/>
        </w:rPr>
        <w:t>23A</w:t>
      </w:r>
      <w:r>
        <w:t>.</w:t>
      </w:r>
      <w:r>
        <w:tab/>
        <w:t>Consultation with Gene Technology Regulator</w:t>
      </w:r>
      <w:bookmarkEnd w:id="65"/>
      <w:bookmarkEnd w:id="66"/>
    </w:p>
    <w:p>
      <w:pPr>
        <w:pStyle w:val="Subsection"/>
        <w:spacing w:before="140"/>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Subsection"/>
        <w:spacing w:before="140"/>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Subsection"/>
        <w:spacing w:before="140"/>
      </w:pPr>
      <w:r>
        <w:tab/>
        <w:t>(3)</w:t>
      </w:r>
      <w:r>
        <w:tab/>
        <w:t>The advice is to be given within the period specified in the notice.</w:t>
      </w:r>
    </w:p>
    <w:p>
      <w:pPr>
        <w:pStyle w:val="Subsection"/>
        <w:spacing w:before="140"/>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Footnotesection"/>
        <w:spacing w:before="100"/>
        <w:ind w:left="890" w:hanging="890"/>
      </w:pPr>
      <w:r>
        <w:tab/>
        <w:t>[Section 23A inserted: No. 20 of 2006 s. 195.]</w:t>
      </w:r>
    </w:p>
    <w:p>
      <w:pPr>
        <w:pStyle w:val="Heading5"/>
        <w:rPr>
          <w:snapToGrid w:val="0"/>
        </w:rPr>
      </w:pPr>
      <w:bookmarkStart w:id="67" w:name="_Toc377736551"/>
      <w:bookmarkStart w:id="68" w:name="_Toc412556261"/>
      <w:r>
        <w:rPr>
          <w:rStyle w:val="CharSectno"/>
        </w:rPr>
        <w:t>24</w:t>
      </w:r>
      <w:r>
        <w:rPr>
          <w:snapToGrid w:val="0"/>
        </w:rPr>
        <w:t>.</w:t>
      </w:r>
      <w:r>
        <w:rPr>
          <w:snapToGrid w:val="0"/>
        </w:rPr>
        <w:tab/>
        <w:t>Commonwealth Minister may give directions in exceptional circumstances</w:t>
      </w:r>
      <w:bookmarkEnd w:id="67"/>
      <w:bookmarkEnd w:id="68"/>
    </w:p>
    <w:p>
      <w:pPr>
        <w:pStyle w:val="Subsection"/>
        <w:rPr>
          <w:snapToGrid w:val="0"/>
        </w:rPr>
      </w:pPr>
      <w:r>
        <w:rPr>
          <w:snapToGrid w:val="0"/>
        </w:rPr>
        <w:tab/>
      </w:r>
      <w:r>
        <w:rPr>
          <w:snapToGrid w:val="0"/>
        </w:rPr>
        <w:tab/>
        <w:t xml:space="preserve">The power of the Commonwealth Minister to give directions to the </w:t>
      </w:r>
      <w:r>
        <w:t>APVMA</w:t>
      </w:r>
      <w:r>
        <w:rPr>
          <w:snapToGrid w:val="0"/>
        </w:rPr>
        <w:t xml:space="preserve"> under section 10 of the Agricultural and Veterinary Chemicals (Administration) Act extends to giving directions in relation to functions and powers of the </w:t>
      </w:r>
      <w:r>
        <w:t>APVMA</w:t>
      </w:r>
      <w:r>
        <w:rPr>
          <w:snapToGrid w:val="0"/>
        </w:rPr>
        <w:t xml:space="preserve"> conferred under the applicable provisions of this jurisdiction, and the section applies accordingly.</w:t>
      </w:r>
    </w:p>
    <w:p>
      <w:pPr>
        <w:pStyle w:val="Footnotesection"/>
      </w:pPr>
      <w:r>
        <w:tab/>
        <w:t>[Section 24 amended: No. 8 of 2009 s. 19(4).]</w:t>
      </w:r>
    </w:p>
    <w:p>
      <w:pPr>
        <w:pStyle w:val="Heading2"/>
      </w:pPr>
      <w:bookmarkStart w:id="69" w:name="_Toc377736552"/>
      <w:bookmarkStart w:id="70" w:name="_Toc412556210"/>
      <w:bookmarkStart w:id="71" w:name="_Toc412556262"/>
      <w:r>
        <w:rPr>
          <w:rStyle w:val="CharPartNo"/>
        </w:rPr>
        <w:t>Part 8</w:t>
      </w:r>
      <w:r>
        <w:rPr>
          <w:rStyle w:val="CharDivNo"/>
        </w:rPr>
        <w:t> </w:t>
      </w:r>
      <w:r>
        <w:t>—</w:t>
      </w:r>
      <w:r>
        <w:rPr>
          <w:rStyle w:val="CharDivText"/>
        </w:rPr>
        <w:t> </w:t>
      </w:r>
      <w:r>
        <w:rPr>
          <w:rStyle w:val="CharPartText"/>
        </w:rPr>
        <w:t>Miscellaneous</w:t>
      </w:r>
      <w:bookmarkEnd w:id="69"/>
      <w:bookmarkEnd w:id="70"/>
      <w:bookmarkEnd w:id="71"/>
    </w:p>
    <w:p>
      <w:pPr>
        <w:pStyle w:val="Heading5"/>
        <w:rPr>
          <w:snapToGrid w:val="0"/>
        </w:rPr>
      </w:pPr>
      <w:bookmarkStart w:id="72" w:name="_Toc377736553"/>
      <w:bookmarkStart w:id="73" w:name="_Toc412556263"/>
      <w:r>
        <w:rPr>
          <w:rStyle w:val="CharSectno"/>
        </w:rPr>
        <w:t>25</w:t>
      </w:r>
      <w:r>
        <w:rPr>
          <w:snapToGrid w:val="0"/>
        </w:rPr>
        <w:t>.</w:t>
      </w:r>
      <w:r>
        <w:rPr>
          <w:snapToGrid w:val="0"/>
        </w:rPr>
        <w:tab/>
        <w:t>Orders</w:t>
      </w:r>
      <w:bookmarkEnd w:id="72"/>
      <w:bookmarkEnd w:id="73"/>
    </w:p>
    <w:p>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pPr>
        <w:pStyle w:val="Heading5"/>
        <w:rPr>
          <w:snapToGrid w:val="0"/>
        </w:rPr>
      </w:pPr>
      <w:bookmarkStart w:id="74" w:name="_Toc377736554"/>
      <w:bookmarkStart w:id="75" w:name="_Toc412556264"/>
      <w:r>
        <w:rPr>
          <w:rStyle w:val="CharSectno"/>
        </w:rPr>
        <w:t>26</w:t>
      </w:r>
      <w:r>
        <w:rPr>
          <w:snapToGrid w:val="0"/>
        </w:rPr>
        <w:t>.</w:t>
      </w:r>
      <w:r>
        <w:rPr>
          <w:snapToGrid w:val="0"/>
        </w:rPr>
        <w:tab/>
        <w:t>Manufacturing principles</w:t>
      </w:r>
      <w:bookmarkEnd w:id="74"/>
      <w:bookmarkEnd w:id="75"/>
    </w:p>
    <w:p>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pPr>
        <w:pStyle w:val="Heading5"/>
        <w:rPr>
          <w:snapToGrid w:val="0"/>
        </w:rPr>
      </w:pPr>
      <w:bookmarkStart w:id="76" w:name="_Toc377736555"/>
      <w:bookmarkStart w:id="77" w:name="_Toc412556265"/>
      <w:r>
        <w:rPr>
          <w:rStyle w:val="CharSectno"/>
        </w:rPr>
        <w:t>27</w:t>
      </w:r>
      <w:r>
        <w:rPr>
          <w:snapToGrid w:val="0"/>
        </w:rPr>
        <w:t>.</w:t>
      </w:r>
      <w:r>
        <w:rPr>
          <w:snapToGrid w:val="0"/>
        </w:rPr>
        <w:tab/>
        <w:t>Delegation</w:t>
      </w:r>
      <w:bookmarkEnd w:id="76"/>
      <w:bookmarkEnd w:id="77"/>
    </w:p>
    <w:p>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pPr>
        <w:pStyle w:val="Heading5"/>
        <w:rPr>
          <w:snapToGrid w:val="0"/>
        </w:rPr>
      </w:pPr>
      <w:bookmarkStart w:id="78" w:name="_Toc377736556"/>
      <w:bookmarkStart w:id="79" w:name="_Toc412556266"/>
      <w:r>
        <w:rPr>
          <w:rStyle w:val="CharSectno"/>
        </w:rPr>
        <w:t>28</w:t>
      </w:r>
      <w:r>
        <w:rPr>
          <w:snapToGrid w:val="0"/>
        </w:rPr>
        <w:t>.</w:t>
      </w:r>
      <w:r>
        <w:rPr>
          <w:snapToGrid w:val="0"/>
        </w:rPr>
        <w:tab/>
        <w:t>Conferral of powers on State officers</w:t>
      </w:r>
      <w:bookmarkEnd w:id="78"/>
      <w:bookmarkEnd w:id="79"/>
    </w:p>
    <w:p>
      <w:pPr>
        <w:pStyle w:val="Subsection"/>
        <w:rPr>
          <w:snapToGrid w:val="0"/>
        </w:rPr>
      </w:pPr>
      <w:r>
        <w:rPr>
          <w:snapToGrid w:val="0"/>
        </w:rPr>
        <w:tab/>
        <w:t>(1)</w:t>
      </w:r>
      <w:r>
        <w:rPr>
          <w:snapToGrid w:val="0"/>
        </w:rPr>
        <w:tab/>
        <w:t xml:space="preserve">If an officer of a Department, administrative unit or authority is authorised, under section 69F of the Agricultural and Veterinary Chemicals (Administration) Act, by the Chief Executive Officer of the </w:t>
      </w:r>
      <w:r>
        <w:t>APVMA</w:t>
      </w:r>
      <w:r>
        <w:rPr>
          <w:snapToGrid w:val="0"/>
        </w:rPr>
        <w:t xml:space="preserve"> to exercise the powers or perform the functions of an inspector for the purposes of a particular relevant law, those powers and functions are conferred on that officer.</w:t>
      </w:r>
    </w:p>
    <w:p>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pPr>
        <w:pStyle w:val="Footnotesection"/>
      </w:pPr>
      <w:r>
        <w:tab/>
        <w:t>[Section 28 amended: No. 8 of 2009 s. 19(4).]</w:t>
      </w:r>
    </w:p>
    <w:p>
      <w:pPr>
        <w:pStyle w:val="Heading5"/>
      </w:pPr>
      <w:bookmarkStart w:id="80" w:name="_Toc377736557"/>
      <w:bookmarkStart w:id="81" w:name="_Toc412556267"/>
      <w:r>
        <w:rPr>
          <w:rStyle w:val="CharSectno"/>
        </w:rPr>
        <w:t>28A</w:t>
      </w:r>
      <w:r>
        <w:t>.</w:t>
      </w:r>
      <w:r>
        <w:tab/>
        <w:t>Inspectors and analysts</w:t>
      </w:r>
      <w:bookmarkEnd w:id="80"/>
      <w:bookmarkEnd w:id="81"/>
    </w:p>
    <w:p>
      <w:pPr>
        <w:pStyle w:val="Subsection"/>
      </w:pPr>
      <w:r>
        <w:tab/>
        <w:t>(1)</w:t>
      </w:r>
      <w:r>
        <w:tab/>
        <w:t>In this section —</w:t>
      </w:r>
    </w:p>
    <w:p>
      <w:pPr>
        <w:pStyle w:val="Defstart"/>
      </w:pPr>
      <w:r>
        <w:tab/>
      </w:r>
      <w:r>
        <w:rPr>
          <w:rStyle w:val="CharDefText"/>
        </w:rPr>
        <w:t>officer</w:t>
      </w:r>
      <w:r>
        <w:t xml:space="preserve"> means —</w:t>
      </w:r>
    </w:p>
    <w:p>
      <w:pPr>
        <w:pStyle w:val="Defpara"/>
      </w:pPr>
      <w:r>
        <w:tab/>
        <w:t>(a)</w:t>
      </w:r>
      <w:r>
        <w:tab/>
        <w:t>an inspector appointed under section 69F(1) of the Agricultural and Veterinary Chemicals (Administration) Act; or</w:t>
      </w:r>
    </w:p>
    <w:p>
      <w:pPr>
        <w:pStyle w:val="Defpara"/>
      </w:pPr>
      <w:r>
        <w:tab/>
        <w:t>(b)</w:t>
      </w:r>
      <w:r>
        <w:tab/>
        <w:t>an analyst approved under section 69G of the Agricultural and Veterinary Chemicals (Administration) Act.</w:t>
      </w:r>
    </w:p>
    <w:p>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pPr>
        <w:pStyle w:val="Footnotesection"/>
      </w:pPr>
      <w:r>
        <w:tab/>
        <w:t>[Section 28A inserted: No. 21 of 2001 s. 7.]</w:t>
      </w:r>
    </w:p>
    <w:p>
      <w:pPr>
        <w:pStyle w:val="Heading5"/>
      </w:pPr>
      <w:bookmarkStart w:id="82" w:name="_Toc377736558"/>
      <w:bookmarkStart w:id="83" w:name="_Toc412556268"/>
      <w:r>
        <w:rPr>
          <w:rStyle w:val="CharSectno"/>
        </w:rPr>
        <w:t>28B</w:t>
      </w:r>
      <w:r>
        <w:t>.</w:t>
      </w:r>
      <w:r>
        <w:tab/>
        <w:t>Validation of actions of inspectors and analysts</w:t>
      </w:r>
      <w:bookmarkEnd w:id="82"/>
      <w:bookmarkEnd w:id="83"/>
    </w:p>
    <w:p>
      <w:pPr>
        <w:pStyle w:val="Subsection"/>
      </w:pPr>
      <w:r>
        <w:tab/>
        <w:t>(1)</w:t>
      </w:r>
      <w:r>
        <w:tab/>
        <w:t>In this section —</w:t>
      </w:r>
    </w:p>
    <w:p>
      <w:pPr>
        <w:pStyle w:val="Defstart"/>
      </w:pPr>
      <w:r>
        <w:tab/>
      </w:r>
      <w:r>
        <w:rPr>
          <w:rStyle w:val="CharDefText"/>
        </w:rPr>
        <w:t>officer</w:t>
      </w:r>
      <w:r>
        <w:t xml:space="preserve"> has the same meaning as in section 28A;</w:t>
      </w:r>
    </w:p>
    <w:p>
      <w:pPr>
        <w:pStyle w:val="Defstart"/>
      </w:pPr>
      <w:r>
        <w:tab/>
      </w:r>
      <w:r>
        <w:rPr>
          <w:rStyle w:val="CharDefText"/>
        </w:rPr>
        <w:t>relevant section</w:t>
      </w:r>
      <w:r>
        <w:t xml:space="preserve"> means section 7 of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Amendment Act 2001</w:t>
      </w:r>
      <w:r>
        <w:t>;</w:t>
      </w:r>
    </w:p>
    <w:p>
      <w:pPr>
        <w:pStyle w:val="Defstart"/>
      </w:pPr>
      <w:r>
        <w:tab/>
      </w:r>
      <w:r>
        <w:rPr>
          <w:rStyle w:val="CharDefText"/>
        </w:rPr>
        <w:t>relevant time</w:t>
      </w:r>
      <w:r>
        <w:t>, in relation to a thing, means the time at which the thing was done or omitted to be done or purported to have been done or omitted to be done.</w:t>
      </w:r>
    </w:p>
    <w:p>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pPr>
        <w:pStyle w:val="PermNoteHeading"/>
      </w:pPr>
      <w:r>
        <w:tab/>
        <w:t>Note:</w:t>
      </w:r>
    </w:p>
    <w:p>
      <w:pPr>
        <w:pStyle w:val="PermNoteText"/>
      </w:pPr>
      <w:r>
        <w:tab/>
      </w:r>
      <w:r>
        <w:tab/>
        <w:t xml:space="preserve">Part 2 of the </w:t>
      </w:r>
      <w:r>
        <w:rPr>
          <w:i/>
        </w:rPr>
        <w:t>Co</w:t>
      </w:r>
      <w:r>
        <w:rPr>
          <w:i/>
        </w:rPr>
        <w:noBreakHyphen/>
        <w:t>operative Schemes (Administrative Actions) Act 2001</w:t>
      </w:r>
      <w:r>
        <w:t xml:space="preserve"> applies to administrative actions taken by an officer as affected by this section.</w:t>
      </w:r>
    </w:p>
    <w:p>
      <w:pPr>
        <w:pStyle w:val="Footnotesection"/>
      </w:pPr>
      <w:r>
        <w:tab/>
        <w:t>[Section 28B inserted: No. 21 of 2001 s. 7.]</w:t>
      </w:r>
    </w:p>
    <w:p>
      <w:pPr>
        <w:pStyle w:val="Heading5"/>
        <w:rPr>
          <w:snapToGrid w:val="0"/>
        </w:rPr>
      </w:pPr>
      <w:bookmarkStart w:id="84" w:name="_Toc377736559"/>
      <w:bookmarkStart w:id="85" w:name="_Toc412556269"/>
      <w:r>
        <w:rPr>
          <w:rStyle w:val="CharSectno"/>
        </w:rPr>
        <w:t>29</w:t>
      </w:r>
      <w:r>
        <w:rPr>
          <w:snapToGrid w:val="0"/>
        </w:rPr>
        <w:t>.</w:t>
      </w:r>
      <w:r>
        <w:rPr>
          <w:snapToGrid w:val="0"/>
        </w:rPr>
        <w:tab/>
        <w:t>Application of fees etc.</w:t>
      </w:r>
      <w:bookmarkEnd w:id="84"/>
      <w:bookmarkEnd w:id="85"/>
    </w:p>
    <w:p>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pPr>
        <w:pStyle w:val="Heading5"/>
        <w:rPr>
          <w:snapToGrid w:val="0"/>
        </w:rPr>
      </w:pPr>
      <w:bookmarkStart w:id="86" w:name="_Toc377736560"/>
      <w:bookmarkStart w:id="87" w:name="_Toc412556270"/>
      <w:r>
        <w:rPr>
          <w:rStyle w:val="CharSectno"/>
        </w:rPr>
        <w:t>30</w:t>
      </w:r>
      <w:r>
        <w:rPr>
          <w:snapToGrid w:val="0"/>
        </w:rPr>
        <w:t>.</w:t>
      </w:r>
      <w:r>
        <w:rPr>
          <w:snapToGrid w:val="0"/>
        </w:rPr>
        <w:tab/>
        <w:t xml:space="preserve">Documents or substances held by previous registering authority may be given to </w:t>
      </w:r>
      <w:r>
        <w:t>APVMA</w:t>
      </w:r>
      <w:bookmarkEnd w:id="86"/>
      <w:bookmarkEnd w:id="87"/>
    </w:p>
    <w:p>
      <w:pPr>
        <w:pStyle w:val="Subsection"/>
        <w:rPr>
          <w:snapToGrid w:val="0"/>
        </w:rPr>
      </w:pPr>
      <w:r>
        <w:rPr>
          <w:snapToGrid w:val="0"/>
        </w:rPr>
        <w:tab/>
      </w:r>
      <w:r>
        <w:rPr>
          <w:snapToGrid w:val="0"/>
        </w:rPr>
        <w:tab/>
        <w:t xml:space="preserve">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w:t>
      </w:r>
      <w:r>
        <w:t>APVMA</w:t>
      </w:r>
      <w:r>
        <w:rPr>
          <w:snapToGrid w:val="0"/>
        </w:rPr>
        <w:t xml:space="preserve"> any documents or substances in its possession or custody that were received by it in the performance of those functions or that otherwise relate to the performance of those functions.</w:t>
      </w:r>
    </w:p>
    <w:p>
      <w:pPr>
        <w:pStyle w:val="Footnotesection"/>
      </w:pPr>
      <w:r>
        <w:tab/>
        <w:t>[Section 30 amended: No. 8 of 2009 s. 19(4).]</w:t>
      </w:r>
    </w:p>
    <w:p>
      <w:pPr>
        <w:pStyle w:val="Heading5"/>
        <w:rPr>
          <w:snapToGrid w:val="0"/>
        </w:rPr>
      </w:pPr>
      <w:bookmarkStart w:id="88" w:name="_Toc377736561"/>
      <w:bookmarkStart w:id="89" w:name="_Toc412556271"/>
      <w:r>
        <w:rPr>
          <w:rStyle w:val="CharSectno"/>
        </w:rPr>
        <w:t>31</w:t>
      </w:r>
      <w:r>
        <w:rPr>
          <w:snapToGrid w:val="0"/>
        </w:rPr>
        <w:t>.</w:t>
      </w:r>
      <w:r>
        <w:rPr>
          <w:snapToGrid w:val="0"/>
        </w:rPr>
        <w:tab/>
        <w:t>Exemptions from liability for damages</w:t>
      </w:r>
      <w:bookmarkEnd w:id="88"/>
      <w:bookmarkEnd w:id="89"/>
    </w:p>
    <w:p>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w:t>
      </w:r>
    </w:p>
    <w:p>
      <w:pPr>
        <w:pStyle w:val="Indenta"/>
        <w:rPr>
          <w:snapToGrid w:val="0"/>
        </w:rPr>
      </w:pPr>
      <w:r>
        <w:rPr>
          <w:snapToGrid w:val="0"/>
        </w:rPr>
        <w:tab/>
        <w:t>(a)</w:t>
      </w:r>
      <w:r>
        <w:rPr>
          <w:snapToGrid w:val="0"/>
        </w:rPr>
        <w:tab/>
        <w:t>the handling of an approved active constituent for a proposed or existing chemical product; or</w:t>
      </w:r>
    </w:p>
    <w:p>
      <w:pPr>
        <w:pStyle w:val="Indenta"/>
        <w:rPr>
          <w:snapToGrid w:val="0"/>
        </w:rPr>
      </w:pPr>
      <w:r>
        <w:rPr>
          <w:snapToGrid w:val="0"/>
        </w:rPr>
        <w:tab/>
        <w:t>(b)</w:t>
      </w:r>
      <w:r>
        <w:rPr>
          <w:snapToGrid w:val="0"/>
        </w:rPr>
        <w:tab/>
        <w:t>the handling of a registered chemical product; or</w:t>
      </w:r>
    </w:p>
    <w:p>
      <w:pPr>
        <w:pStyle w:val="Indenta"/>
        <w:rPr>
          <w:snapToGrid w:val="0"/>
        </w:rPr>
      </w:pPr>
      <w:r>
        <w:rPr>
          <w:snapToGrid w:val="0"/>
        </w:rPr>
        <w:tab/>
        <w:t>(c)</w:t>
      </w:r>
      <w:r>
        <w:rPr>
          <w:snapToGrid w:val="0"/>
        </w:rPr>
        <w:tab/>
        <w:t xml:space="preserve">the handling of an active constituent for a proposed or existing chemical product, or of a chemical product, in respect of which a permit or exemption has been issued or given by the </w:t>
      </w:r>
      <w:r>
        <w:t>APVMA</w:t>
      </w:r>
      <w:r>
        <w:rPr>
          <w:snapToGrid w:val="0"/>
        </w:rPr>
        <w:t>; or</w:t>
      </w:r>
    </w:p>
    <w:p>
      <w:pPr>
        <w:pStyle w:val="Indenta"/>
        <w:rPr>
          <w:snapToGrid w:val="0"/>
        </w:rPr>
      </w:pPr>
      <w:r>
        <w:rPr>
          <w:snapToGrid w:val="0"/>
        </w:rPr>
        <w:tab/>
        <w:t>(d)</w:t>
      </w:r>
      <w:r>
        <w:rPr>
          <w:snapToGrid w:val="0"/>
        </w:rPr>
        <w:tab/>
        <w:t>an inability to use, or to use in a particular manner, an active constituent for a proposed or existing chemical product —</w:t>
      </w:r>
    </w:p>
    <w:p>
      <w:pPr>
        <w:pStyle w:val="Indenti"/>
        <w:rPr>
          <w:snapToGrid w:val="0"/>
        </w:rPr>
      </w:pPr>
      <w:r>
        <w:rPr>
          <w:snapToGrid w:val="0"/>
        </w:rPr>
        <w:tab/>
        <w:t>(i)</w:t>
      </w:r>
      <w:r>
        <w:rPr>
          <w:snapToGrid w:val="0"/>
        </w:rPr>
        <w:tab/>
        <w:t xml:space="preserve">because an approval, permit or exemption permitting its use, or permitting its use in that manner, has been refused by the </w:t>
      </w:r>
      <w:r>
        <w:t>APVMA</w:t>
      </w:r>
      <w:r>
        <w:rPr>
          <w:snapToGrid w:val="0"/>
        </w:rPr>
        <w:t xml:space="preserve"> or such an approval, permit or exemption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an approval, permit or exemption;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 inability to use, or to use in a particular manner, a chemical product —</w:t>
      </w:r>
    </w:p>
    <w:p>
      <w:pPr>
        <w:pStyle w:val="Indenti"/>
        <w:rPr>
          <w:snapToGrid w:val="0"/>
        </w:rPr>
      </w:pPr>
      <w:r>
        <w:rPr>
          <w:snapToGrid w:val="0"/>
        </w:rPr>
        <w:tab/>
        <w:t>(i)</w:t>
      </w:r>
      <w:r>
        <w:rPr>
          <w:snapToGrid w:val="0"/>
        </w:rPr>
        <w:tab/>
        <w:t xml:space="preserve">because a registration, permit or exemption permitting its use, or permitting its use in that manner, has been refused by the </w:t>
      </w:r>
      <w:r>
        <w:t>APVMA</w:t>
      </w:r>
      <w:r>
        <w:rPr>
          <w:snapToGrid w:val="0"/>
        </w:rPr>
        <w:t xml:space="preserve"> or such a registration, permit or exemption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 registration, permit or exemption;</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 xml:space="preserve">the carrying out of a step in the manufacture of a chemical product in respect of which a licence has been issued by the </w:t>
      </w:r>
      <w:r>
        <w:t>APVMA</w:t>
      </w:r>
      <w:r>
        <w:rPr>
          <w:snapToGrid w:val="0"/>
        </w:rPr>
        <w:t>; or</w:t>
      </w:r>
    </w:p>
    <w:p>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w:t>
      </w:r>
    </w:p>
    <w:p>
      <w:pPr>
        <w:pStyle w:val="Indenti"/>
        <w:rPr>
          <w:snapToGrid w:val="0"/>
        </w:rPr>
      </w:pPr>
      <w:r>
        <w:rPr>
          <w:snapToGrid w:val="0"/>
        </w:rPr>
        <w:tab/>
        <w:t>(i)</w:t>
      </w:r>
      <w:r>
        <w:rPr>
          <w:snapToGrid w:val="0"/>
        </w:rPr>
        <w:tab/>
        <w:t xml:space="preserve">because a licence to carry out that step, or to carry out that step in that manner or at those premises, has been refused by the </w:t>
      </w:r>
      <w:r>
        <w:t>APVMA</w:t>
      </w:r>
      <w:r>
        <w:rPr>
          <w:snapToGrid w:val="0"/>
        </w:rPr>
        <w:t xml:space="preserve"> or such a licence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pPr>
        <w:pStyle w:val="Subsection"/>
        <w:rPr>
          <w:snapToGrid w:val="0"/>
        </w:rPr>
      </w:pPr>
      <w:r>
        <w:rPr>
          <w:snapToGrid w:val="0"/>
        </w:rPr>
        <w:tab/>
        <w:t>(2)</w:t>
      </w:r>
      <w:r>
        <w:rPr>
          <w:snapToGrid w:val="0"/>
        </w:rPr>
        <w:tab/>
        <w:t>If an action, suit or other proceeding is brought against a person responsible for the importation, manufacture, supply or handling of —</w:t>
      </w:r>
    </w:p>
    <w:p>
      <w:pPr>
        <w:pStyle w:val="Indenta"/>
        <w:rPr>
          <w:snapToGrid w:val="0"/>
        </w:rPr>
      </w:pPr>
      <w:r>
        <w:rPr>
          <w:snapToGrid w:val="0"/>
        </w:rPr>
        <w:tab/>
        <w:t>(a)</w:t>
      </w:r>
      <w:r>
        <w:rPr>
          <w:snapToGrid w:val="0"/>
        </w:rPr>
        <w:tab/>
        <w:t>an approved active constituent for a proposed or existing chemical product; or</w:t>
      </w:r>
    </w:p>
    <w:p>
      <w:pPr>
        <w:pStyle w:val="Indenta"/>
        <w:rPr>
          <w:snapToGrid w:val="0"/>
        </w:rPr>
      </w:pPr>
      <w:r>
        <w:rPr>
          <w:snapToGrid w:val="0"/>
        </w:rPr>
        <w:tab/>
        <w:t>(b)</w:t>
      </w:r>
      <w:r>
        <w:rPr>
          <w:snapToGrid w:val="0"/>
        </w:rPr>
        <w:tab/>
        <w:t>a registered chemical product; or</w:t>
      </w:r>
    </w:p>
    <w:p>
      <w:pPr>
        <w:pStyle w:val="Indenta"/>
        <w:rPr>
          <w:snapToGrid w:val="0"/>
        </w:rPr>
      </w:pPr>
      <w:r>
        <w:rPr>
          <w:snapToGrid w:val="0"/>
        </w:rPr>
        <w:tab/>
        <w:t>(c)</w:t>
      </w:r>
      <w:r>
        <w:rPr>
          <w:snapToGrid w:val="0"/>
        </w:rPr>
        <w:tab/>
        <w:t xml:space="preserve">an active constituent for a proposed or existing chemical product, or a chemical product, in respect of which the </w:t>
      </w:r>
      <w:r>
        <w:t>APVMA</w:t>
      </w:r>
      <w:r>
        <w:rPr>
          <w:snapToGrid w:val="0"/>
        </w:rPr>
        <w:t xml:space="preserve"> has issued a permit or given an exemption; or</w:t>
      </w:r>
    </w:p>
    <w:p>
      <w:pPr>
        <w:pStyle w:val="Indenta"/>
        <w:rPr>
          <w:snapToGrid w:val="0"/>
        </w:rPr>
      </w:pPr>
      <w:r>
        <w:rPr>
          <w:snapToGrid w:val="0"/>
        </w:rPr>
        <w:tab/>
        <w:t>(d)</w:t>
      </w:r>
      <w:r>
        <w:rPr>
          <w:snapToGrid w:val="0"/>
        </w:rPr>
        <w:tab/>
        <w:t xml:space="preserve">a chemical product in respect of a step in the manufacture of which the </w:t>
      </w:r>
      <w:r>
        <w:t>APVMA</w:t>
      </w:r>
      <w:r>
        <w:rPr>
          <w:snapToGrid w:val="0"/>
        </w:rPr>
        <w:t xml:space="preserve"> has issued a licence,</w:t>
      </w:r>
    </w:p>
    <w:p>
      <w:pPr>
        <w:pStyle w:val="Subsection"/>
        <w:rPr>
          <w:snapToGrid w:val="0"/>
        </w:rPr>
      </w:pPr>
      <w:r>
        <w:rPr>
          <w:snapToGrid w:val="0"/>
        </w:rPr>
        <w:tab/>
      </w:r>
      <w:r>
        <w:rPr>
          <w:snapToGrid w:val="0"/>
        </w:rPr>
        <w:tab/>
        <w:t xml:space="preserve">in relation to any loss or injury directly or indirectly suffered because of the importation, manufacture, supply or handling of the constituent or product, it is not a defence to that action, suit or other proceeding that the </w:t>
      </w:r>
      <w:r>
        <w:t>APVMA</w:t>
      </w:r>
      <w:r>
        <w:rPr>
          <w:snapToGrid w:val="0"/>
        </w:rPr>
        <w:t xml:space="preserve"> has approved the constituent, registered the product, issued a permit or given an exemption in relation to the constituent or the product, or issued a licence in relation to a step in the manufacture of the product.</w:t>
      </w:r>
    </w:p>
    <w:p>
      <w:pPr>
        <w:pStyle w:val="Subsection"/>
        <w:rPr>
          <w:snapToGrid w:val="0"/>
        </w:rPr>
      </w:pPr>
      <w:r>
        <w:rPr>
          <w:snapToGrid w:val="0"/>
        </w:rPr>
        <w:tab/>
        <w:t>(3)</w:t>
      </w:r>
      <w:r>
        <w:rPr>
          <w:snapToGrid w:val="0"/>
        </w:rPr>
        <w:tab/>
        <w:t>Expressions used in this section have the same meanings as they have in the Agvet Code of this jurisdiction.</w:t>
      </w:r>
    </w:p>
    <w:p>
      <w:pPr>
        <w:pStyle w:val="Footnotesection"/>
      </w:pPr>
      <w:r>
        <w:tab/>
        <w:t>[Section 31 amended: No. 8 of 2009 s. 19(4).]</w:t>
      </w:r>
    </w:p>
    <w:p>
      <w:pPr>
        <w:pStyle w:val="Heading5"/>
        <w:rPr>
          <w:snapToGrid w:val="0"/>
        </w:rPr>
      </w:pPr>
      <w:bookmarkStart w:id="90" w:name="_Toc377736562"/>
      <w:bookmarkStart w:id="91" w:name="_Toc412556272"/>
      <w:r>
        <w:rPr>
          <w:rStyle w:val="CharSectno"/>
        </w:rPr>
        <w:t>32</w:t>
      </w:r>
      <w:r>
        <w:rPr>
          <w:snapToGrid w:val="0"/>
        </w:rPr>
        <w:t>.</w:t>
      </w:r>
      <w:r>
        <w:rPr>
          <w:snapToGrid w:val="0"/>
        </w:rPr>
        <w:tab/>
        <w:t>Regulations</w:t>
      </w:r>
      <w:bookmarkEnd w:id="90"/>
      <w:bookmarkEnd w:id="9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2" w:name="_Toc377736563"/>
      <w:bookmarkStart w:id="93" w:name="_Toc412556273"/>
      <w:r>
        <w:rPr>
          <w:rStyle w:val="CharSectno"/>
        </w:rPr>
        <w:t>33</w:t>
      </w:r>
      <w:r>
        <w:rPr>
          <w:snapToGrid w:val="0"/>
        </w:rPr>
        <w:t>.</w:t>
      </w:r>
      <w:r>
        <w:rPr>
          <w:snapToGrid w:val="0"/>
        </w:rPr>
        <w:tab/>
        <w:t>Eligible laws</w:t>
      </w:r>
      <w:bookmarkEnd w:id="92"/>
      <w:bookmarkEnd w:id="93"/>
    </w:p>
    <w:p>
      <w:pPr>
        <w:pStyle w:val="Subsection"/>
        <w:rPr>
          <w:snapToGrid w:val="0"/>
        </w:rPr>
      </w:pPr>
      <w:r>
        <w:rPr>
          <w:snapToGrid w:val="0"/>
        </w:rPr>
        <w:tab/>
      </w:r>
      <w:r>
        <w:rPr>
          <w:snapToGrid w:val="0"/>
        </w:rPr>
        <w:tab/>
        <w:t xml:space="preserve">An enactment may be declared by regulations made under section 32 to be an eligible law of this jurisdiction for the purposes of the definition of </w:t>
      </w:r>
      <w:r>
        <w:rPr>
          <w:b/>
          <w:bCs/>
          <w:i/>
          <w:iCs/>
          <w:snapToGrid w:val="0"/>
        </w:rPr>
        <w:t>permit</w:t>
      </w:r>
      <w:r>
        <w:rPr>
          <w:snapToGrid w:val="0"/>
        </w:rPr>
        <w:t xml:space="preserve"> in section 109 of the Agvet Code of this jurisdiction.</w:t>
      </w:r>
    </w:p>
    <w:p>
      <w:pPr>
        <w:pStyle w:val="Heading5"/>
      </w:pPr>
      <w:bookmarkStart w:id="94" w:name="_Toc377736564"/>
      <w:bookmarkStart w:id="95" w:name="_Toc412556274"/>
      <w:r>
        <w:rPr>
          <w:rStyle w:val="CharSectno"/>
        </w:rPr>
        <w:t>33A</w:t>
      </w:r>
      <w:r>
        <w:t>.</w:t>
      </w:r>
      <w:r>
        <w:tab/>
        <w:t xml:space="preserve">Transitional provision —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Amendment Act 2001</w:t>
      </w:r>
      <w:bookmarkEnd w:id="94"/>
      <w:bookmarkEnd w:id="95"/>
    </w:p>
    <w:p>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pPr>
        <w:pStyle w:val="Footnotesection"/>
      </w:pPr>
      <w:r>
        <w:tab/>
        <w:t>[Section 33A inserted: No. 21 of 2001 s. 8.]</w:t>
      </w:r>
    </w:p>
    <w:p>
      <w:pPr>
        <w:pStyle w:val="Heading5"/>
        <w:rPr>
          <w:snapToGrid w:val="0"/>
        </w:rPr>
      </w:pPr>
      <w:bookmarkStart w:id="96" w:name="_Toc377736565"/>
      <w:bookmarkStart w:id="97" w:name="_Toc412556275"/>
      <w:r>
        <w:rPr>
          <w:rStyle w:val="CharSectno"/>
        </w:rPr>
        <w:t>34</w:t>
      </w:r>
      <w:r>
        <w:rPr>
          <w:snapToGrid w:val="0"/>
        </w:rPr>
        <w:t>.</w:t>
      </w:r>
      <w:r>
        <w:rPr>
          <w:snapToGrid w:val="0"/>
        </w:rPr>
        <w:tab/>
        <w:t>Review of Act</w:t>
      </w:r>
      <w:bookmarkEnd w:id="96"/>
      <w:bookmarkEnd w:id="97"/>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pPr>
        <w:pStyle w:val="Heading2"/>
      </w:pPr>
      <w:bookmarkStart w:id="98" w:name="_Toc377736566"/>
      <w:bookmarkStart w:id="99" w:name="_Toc412556224"/>
      <w:bookmarkStart w:id="100" w:name="_Toc412556276"/>
      <w:r>
        <w:rPr>
          <w:rStyle w:val="CharPartNo"/>
        </w:rPr>
        <w:t>Part 9</w:t>
      </w:r>
      <w:r>
        <w:rPr>
          <w:rStyle w:val="CharDivNo"/>
        </w:rPr>
        <w:t> </w:t>
      </w:r>
      <w:r>
        <w:t>—</w:t>
      </w:r>
      <w:r>
        <w:rPr>
          <w:rStyle w:val="CharDivText"/>
        </w:rPr>
        <w:t> </w:t>
      </w:r>
      <w:r>
        <w:rPr>
          <w:rStyle w:val="CharPartText"/>
        </w:rPr>
        <w:t>Imposition of fees</w:t>
      </w:r>
      <w:bookmarkEnd w:id="98"/>
      <w:bookmarkEnd w:id="99"/>
      <w:bookmarkEnd w:id="100"/>
    </w:p>
    <w:p>
      <w:pPr>
        <w:pStyle w:val="Heading5"/>
        <w:rPr>
          <w:snapToGrid w:val="0"/>
        </w:rPr>
      </w:pPr>
      <w:bookmarkStart w:id="101" w:name="_Toc377736567"/>
      <w:bookmarkStart w:id="102" w:name="_Toc412556277"/>
      <w:r>
        <w:rPr>
          <w:rStyle w:val="CharSectno"/>
        </w:rPr>
        <w:t>35</w:t>
      </w:r>
      <w:r>
        <w:rPr>
          <w:snapToGrid w:val="0"/>
        </w:rPr>
        <w:t>.</w:t>
      </w:r>
      <w:r>
        <w:rPr>
          <w:snapToGrid w:val="0"/>
        </w:rPr>
        <w:tab/>
        <w:t>Fees</w:t>
      </w:r>
      <w:bookmarkEnd w:id="101"/>
      <w:bookmarkEnd w:id="102"/>
    </w:p>
    <w:p>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pPr>
        <w:pStyle w:val="Heading2"/>
      </w:pPr>
      <w:bookmarkStart w:id="103" w:name="_Toc377736568"/>
      <w:bookmarkStart w:id="104" w:name="_Toc412556226"/>
      <w:bookmarkStart w:id="105" w:name="_Toc412556278"/>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103"/>
      <w:bookmarkEnd w:id="104"/>
      <w:bookmarkEnd w:id="105"/>
    </w:p>
    <w:p>
      <w:pPr>
        <w:pStyle w:val="Footnotesection"/>
      </w:pPr>
      <w:r>
        <w:tab/>
        <w:t>[Heading inserted: No. 21 of 2001 s. 9.]</w:t>
      </w:r>
    </w:p>
    <w:p>
      <w:pPr>
        <w:pStyle w:val="Heading5"/>
      </w:pPr>
      <w:bookmarkStart w:id="106" w:name="_Toc377736569"/>
      <w:bookmarkStart w:id="107" w:name="_Toc412556279"/>
      <w:r>
        <w:rPr>
          <w:rStyle w:val="CharSectno"/>
        </w:rPr>
        <w:t>35A</w:t>
      </w:r>
      <w:r>
        <w:t>.</w:t>
      </w:r>
      <w:r>
        <w:tab/>
        <w:t>Conferral of functions on Commonwealth Director of Public Prosecutions</w:t>
      </w:r>
      <w:bookmarkEnd w:id="106"/>
      <w:bookmarkEnd w:id="107"/>
    </w:p>
    <w:p>
      <w:pPr>
        <w:pStyle w:val="Subsection"/>
      </w:pPr>
      <w:r>
        <w:tab/>
      </w:r>
      <w:r>
        <w:tab/>
        <w:t xml:space="preserve">The Director of Public Prosecutions for the Commonwealth (the </w:t>
      </w:r>
      <w:r>
        <w:rPr>
          <w:rStyle w:val="CharDefText"/>
        </w:rPr>
        <w:t>Commonwealth Director</w:t>
      </w:r>
      <w:r>
        <w:t>) may —</w:t>
      </w:r>
    </w:p>
    <w:p>
      <w:pPr>
        <w:pStyle w:val="Indenta"/>
        <w:spacing w:before="100"/>
      </w:pPr>
      <w:r>
        <w:tab/>
        <w:t>(a)</w:t>
      </w:r>
      <w:r>
        <w:tab/>
      </w:r>
      <w:r>
        <w:rPr>
          <w:snapToGrid w:val="0"/>
        </w:rPr>
        <w:t>institute prosecutions on indictment for indictable offences against the Agvet Code, or the Agvet Regulations</w:t>
      </w:r>
      <w:r>
        <w:t>, of this jurisdiction; and</w:t>
      </w:r>
    </w:p>
    <w:p>
      <w:pPr>
        <w:pStyle w:val="Indenta"/>
        <w:spacing w:before="100"/>
      </w:pPr>
      <w:r>
        <w:tab/>
        <w:t>(b)</w:t>
      </w:r>
      <w:r>
        <w:tab/>
        <w:t>carry on prosecutions of the kind referred to in paragraph (a) (except prosecutions instituted by the Attorney General or the Director of Public Prosecutions of the State), whether or not instituted by the Commonwealth Director; and</w:t>
      </w:r>
    </w:p>
    <w:p>
      <w:pPr>
        <w:pStyle w:val="Indenta"/>
        <w:spacing w:before="100"/>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 and</w:t>
      </w:r>
    </w:p>
    <w:p>
      <w:pPr>
        <w:pStyle w:val="Indenta"/>
        <w:spacing w:before="100"/>
      </w:pPr>
      <w:r>
        <w:tab/>
        <w:t>(d)</w:t>
      </w:r>
      <w:r>
        <w:tab/>
        <w:t>institute proceedings for the commitment of persons for trial in respect of indictable offences against the Agvet Code, or the Agvet Regulations, of this jurisdiction; and</w:t>
      </w:r>
    </w:p>
    <w:p>
      <w:pPr>
        <w:pStyle w:val="Indenta"/>
        <w:spacing w:before="100"/>
      </w:pPr>
      <w:r>
        <w:tab/>
        <w:t>(e)</w:t>
      </w:r>
      <w:r>
        <w:tab/>
        <w:t>institute proceedings for the summary conviction of persons in respect of offences against the Agvet Code, or the Agvet Regulations, of this jurisdiction; and</w:t>
      </w:r>
    </w:p>
    <w:p>
      <w:pPr>
        <w:pStyle w:val="Indenta"/>
        <w:spacing w:before="100"/>
      </w:pPr>
      <w:r>
        <w:tab/>
        <w:t>(f)</w:t>
      </w:r>
      <w:r>
        <w:tab/>
        <w:t>carry on proceedings of a kind referred to in paragraph (d) or (e) (whether or not instituted by the Commonwealth Director); and</w:t>
      </w:r>
    </w:p>
    <w:p>
      <w:pPr>
        <w:pStyle w:val="Indenta"/>
        <w:spacing w:before="100"/>
      </w:pPr>
      <w:r>
        <w:tab/>
        <w:t>(g)</w:t>
      </w:r>
      <w:r>
        <w:tab/>
        <w:t>do anything incidental or conducive to the performance of any of the functions referred to in paragraphs (a) to (f).</w:t>
      </w:r>
    </w:p>
    <w:p>
      <w:pPr>
        <w:pStyle w:val="Footnotesection"/>
      </w:pPr>
      <w:r>
        <w:tab/>
        <w:t>[Section 35A inserted: No. 21 of 2001 s. 9.]</w:t>
      </w:r>
    </w:p>
    <w:p>
      <w:pPr>
        <w:pStyle w:val="Heading2"/>
      </w:pPr>
      <w:bookmarkStart w:id="108" w:name="_Toc377736570"/>
      <w:bookmarkStart w:id="109" w:name="_Toc412556228"/>
      <w:bookmarkStart w:id="110" w:name="_Toc412556280"/>
      <w:r>
        <w:rPr>
          <w:rStyle w:val="CharPartNo"/>
        </w:rPr>
        <w:t>Part 10</w:t>
      </w:r>
      <w:r>
        <w:rPr>
          <w:rStyle w:val="CharDivNo"/>
        </w:rPr>
        <w:t> </w:t>
      </w:r>
      <w:r>
        <w:t>—</w:t>
      </w:r>
      <w:r>
        <w:rPr>
          <w:rStyle w:val="CharDivText"/>
        </w:rPr>
        <w:t> </w:t>
      </w:r>
      <w:r>
        <w:rPr>
          <w:rStyle w:val="CharPartText"/>
        </w:rPr>
        <w:t>Relationship with other State laws</w:t>
      </w:r>
      <w:bookmarkEnd w:id="108"/>
      <w:bookmarkEnd w:id="109"/>
      <w:bookmarkEnd w:id="110"/>
    </w:p>
    <w:p>
      <w:pPr>
        <w:pStyle w:val="Heading5"/>
        <w:rPr>
          <w:snapToGrid w:val="0"/>
        </w:rPr>
      </w:pPr>
      <w:bookmarkStart w:id="111" w:name="_Toc377736571"/>
      <w:bookmarkStart w:id="112" w:name="_Toc412556281"/>
      <w:r>
        <w:rPr>
          <w:rStyle w:val="CharSectno"/>
        </w:rPr>
        <w:t>36</w:t>
      </w:r>
      <w:r>
        <w:rPr>
          <w:snapToGrid w:val="0"/>
        </w:rPr>
        <w:t>.</w:t>
      </w:r>
      <w:r>
        <w:rPr>
          <w:snapToGrid w:val="0"/>
        </w:rPr>
        <w:tab/>
        <w:t>Relationship with other State laws</w:t>
      </w:r>
      <w:bookmarkEnd w:id="111"/>
      <w:bookmarkEnd w:id="112"/>
    </w:p>
    <w:p>
      <w:pPr>
        <w:pStyle w:val="Subsection"/>
        <w:rPr>
          <w:snapToGrid w:val="0"/>
        </w:rPr>
      </w:pPr>
      <w:r>
        <w:rPr>
          <w:snapToGrid w:val="0"/>
        </w:rPr>
        <w:tab/>
        <w:t>(1)</w:t>
      </w:r>
      <w:r>
        <w:rPr>
          <w:snapToGrid w:val="0"/>
        </w:rPr>
        <w:tab/>
        <w:t xml:space="preserve">In this section, </w:t>
      </w:r>
      <w:r>
        <w:rPr>
          <w:rStyle w:val="CharDefText"/>
        </w:rPr>
        <w:t>Agvet Code</w:t>
      </w:r>
      <w:r>
        <w:rPr>
          <w:snapToGrid w:val="0"/>
        </w:rPr>
        <w:t xml:space="preserve"> means the Agvet Code of this jurisdiction and includes the Agvet Regulations of this jurisdiction.</w:t>
      </w:r>
    </w:p>
    <w:p>
      <w:pPr>
        <w:pStyle w:val="Ednotesubsection"/>
      </w:pPr>
      <w:r>
        <w:tab/>
        <w:t>[(2)</w:t>
      </w:r>
      <w:r>
        <w:tab/>
        <w:t>deleted]</w:t>
      </w:r>
    </w:p>
    <w:p>
      <w:pPr>
        <w:pStyle w:val="Subsection"/>
        <w:rPr>
          <w:snapToGrid w:val="0"/>
        </w:rPr>
      </w:pPr>
      <w:r>
        <w:rPr>
          <w:snapToGrid w:val="0"/>
        </w:rPr>
        <w:tab/>
        <w:t>(3)</w:t>
      </w:r>
      <w:r>
        <w:rPr>
          <w:snapToGrid w:val="0"/>
        </w:rPr>
        <w:tab/>
        <w:t>Despite any other provision of this Act or the Agvet Code, regulations made under section 32 may provide —</w:t>
      </w:r>
    </w:p>
    <w:p>
      <w:pPr>
        <w:pStyle w:val="Indenta"/>
        <w:rPr>
          <w:snapToGrid w:val="0"/>
        </w:rPr>
      </w:pPr>
      <w:r>
        <w:rPr>
          <w:snapToGrid w:val="0"/>
        </w:rPr>
        <w:tab/>
        <w:t>(a)</w:t>
      </w:r>
      <w:r>
        <w:rPr>
          <w:snapToGrid w:val="0"/>
        </w:rPr>
        <w:tab/>
        <w:t>that a specified enactment has effect despite the Agvet Code, or a specified provision of the Agvet Code; or</w:t>
      </w:r>
    </w:p>
    <w:p>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pPr>
        <w:pStyle w:val="Footnotesection"/>
      </w:pPr>
      <w:r>
        <w:tab/>
        <w:t>[Section 36 amended: No. 4 of 2000 s. 3.]</w:t>
      </w:r>
    </w:p>
    <w:p>
      <w:pPr>
        <w:pStyle w:val="Ednotepart"/>
      </w:pPr>
      <w:r>
        <w:t>[Part 11 omitted under the Reprints Act 1984 s. 7(4)(e).]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4" w:bottom="3544" w:left="2404" w:header="709" w:footer="3380" w:gutter="0"/>
          <w:cols w:space="720"/>
          <w:noEndnote/>
          <w:docGrid w:linePitch="326"/>
        </w:sectPr>
      </w:pPr>
    </w:p>
    <w:p>
      <w:pPr>
        <w:pStyle w:val="nHeading2"/>
      </w:pPr>
      <w:bookmarkStart w:id="113" w:name="_Toc377736572"/>
      <w:bookmarkStart w:id="114" w:name="_Toc412556230"/>
      <w:bookmarkStart w:id="115" w:name="_Toc412556282"/>
      <w:r>
        <w:t>Notes</w:t>
      </w:r>
      <w:bookmarkEnd w:id="113"/>
      <w:bookmarkEnd w:id="114"/>
      <w:bookmarkEnd w:id="115"/>
    </w:p>
    <w:p>
      <w:pPr>
        <w:pStyle w:val="nSubsection"/>
        <w:rPr>
          <w:snapToGrid w:val="0"/>
        </w:rPr>
      </w:pPr>
      <w:r>
        <w:rPr>
          <w:snapToGrid w:val="0"/>
          <w:vertAlign w:val="superscript"/>
        </w:rPr>
        <w:t>1</w:t>
      </w:r>
      <w:r>
        <w:rPr>
          <w:snapToGrid w:val="0"/>
        </w:rPr>
        <w:tab/>
        <w:t xml:space="preserve">This reprint is a compilation as at 9 September 2011 of the </w:t>
      </w:r>
      <w:r>
        <w:rPr>
          <w:i/>
          <w:noProof/>
          <w:snapToGrid w:val="0"/>
        </w:rPr>
        <w:t>Agricultural and Veterinary Chemicals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1995</w:t>
      </w:r>
      <w:r>
        <w:rPr>
          <w:snapToGrid w:val="0"/>
        </w:rPr>
        <w:t xml:space="preserve"> and includes the amendments made by the other written laws referred to in the following table</w:t>
      </w:r>
      <w:r>
        <w:t xml:space="preserve"> </w:t>
      </w:r>
      <w:r>
        <w:rPr>
          <w:vertAlign w:val="superscript"/>
        </w:rPr>
        <w:t>2</w:t>
      </w:r>
      <w:r>
        <w:rPr>
          <w:snapToGrid w:val="0"/>
        </w:rPr>
        <w:t>.  The table also contains information about any reprint.</w:t>
      </w:r>
    </w:p>
    <w:p>
      <w:pPr>
        <w:pStyle w:val="nHeading3"/>
        <w:rPr>
          <w:snapToGrid w:val="0"/>
        </w:rPr>
      </w:pPr>
      <w:bookmarkStart w:id="116" w:name="_Toc377736573"/>
      <w:bookmarkStart w:id="117" w:name="_Toc412556283"/>
      <w:r>
        <w:rPr>
          <w:snapToGrid w:val="0"/>
        </w:rPr>
        <w:t>Compilation table</w:t>
      </w:r>
      <w:bookmarkEnd w:id="116"/>
      <w:bookmarkEnd w:id="117"/>
    </w:p>
    <w:tbl>
      <w:tblPr>
        <w:tblW w:w="7088" w:type="dxa"/>
        <w:tblInd w:w="77"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p>
        </w:tc>
        <w:tc>
          <w:tcPr>
            <w:tcW w:w="1134" w:type="dxa"/>
          </w:tcPr>
          <w:p>
            <w:pPr>
              <w:pStyle w:val="nTable"/>
              <w:spacing w:after="40"/>
            </w:pPr>
            <w:r>
              <w:t>3 of 1995</w:t>
            </w:r>
          </w:p>
        </w:tc>
        <w:tc>
          <w:tcPr>
            <w:tcW w:w="1134" w:type="dxa"/>
          </w:tcPr>
          <w:p>
            <w:pPr>
              <w:pStyle w:val="nTable"/>
              <w:spacing w:after="40"/>
            </w:pPr>
            <w:r>
              <w:t>17 May 1995</w:t>
            </w:r>
          </w:p>
        </w:tc>
        <w:tc>
          <w:tcPr>
            <w:tcW w:w="2552" w:type="dxa"/>
          </w:tcPr>
          <w:p>
            <w:pPr>
              <w:pStyle w:val="nTable"/>
              <w:spacing w:after="40"/>
            </w:pPr>
            <w:r>
              <w:t>s. 1 and 2: 17 May 1995;</w:t>
            </w:r>
            <w:r>
              <w:br/>
              <w:t xml:space="preserve">Act other than s. 1 and 2: 24 Jun 1995 (see s. 2 and </w:t>
            </w:r>
            <w:r>
              <w:rPr>
                <w:i/>
              </w:rPr>
              <w:t>Gazette</w:t>
            </w:r>
            <w:r>
              <w:t xml:space="preserve"> 23 Jun 1995 p. 2419)</w:t>
            </w:r>
          </w:p>
        </w:tc>
      </w:tr>
      <w:tr>
        <w:trPr>
          <w:cantSplit/>
        </w:trPr>
        <w:tc>
          <w:tcPr>
            <w:tcW w:w="2268" w:type="dxa"/>
          </w:tcPr>
          <w:p>
            <w:pPr>
              <w:pStyle w:val="nTable"/>
              <w:spacing w:after="40"/>
              <w:ind w:right="113"/>
              <w:rPr>
                <w:i/>
              </w:rPr>
            </w:pPr>
            <w:r>
              <w:rPr>
                <w:i/>
              </w:rPr>
              <w:t>Agricultural and Veterinary Chemicals (</w:t>
            </w:r>
            <w:smartTag w:uri="urn:schemas-microsoft-com:office:smarttags" w:element="State">
              <w:smartTag w:uri="urn:schemas-microsoft-com:office:smarttags" w:element="place">
                <w:r>
                  <w:rPr>
                    <w:i/>
                  </w:rPr>
                  <w:t>Western Australia</w:t>
                </w:r>
              </w:smartTag>
            </w:smartTag>
            <w:r>
              <w:rPr>
                <w:i/>
              </w:rPr>
              <w:t>) Amendment Act 2000</w:t>
            </w:r>
          </w:p>
        </w:tc>
        <w:tc>
          <w:tcPr>
            <w:tcW w:w="1134" w:type="dxa"/>
          </w:tcPr>
          <w:p>
            <w:pPr>
              <w:pStyle w:val="nTable"/>
              <w:spacing w:after="40"/>
            </w:pPr>
            <w:r>
              <w:t>4 of 2000</w:t>
            </w:r>
          </w:p>
        </w:tc>
        <w:tc>
          <w:tcPr>
            <w:tcW w:w="1134" w:type="dxa"/>
          </w:tcPr>
          <w:p>
            <w:pPr>
              <w:pStyle w:val="nTable"/>
              <w:spacing w:after="40"/>
            </w:pPr>
            <w:r>
              <w:t>10 Apr 2000</w:t>
            </w:r>
          </w:p>
        </w:tc>
        <w:tc>
          <w:tcPr>
            <w:tcW w:w="2552" w:type="dxa"/>
          </w:tcPr>
          <w:p>
            <w:pPr>
              <w:pStyle w:val="nTable"/>
              <w:spacing w:after="40"/>
            </w:pPr>
            <w:r>
              <w:t>10 Apr 2000 (see s. 2)</w:t>
            </w:r>
          </w:p>
        </w:tc>
      </w:tr>
      <w:tr>
        <w:trPr>
          <w:cantSplit/>
        </w:trPr>
        <w:tc>
          <w:tcPr>
            <w:tcW w:w="2268" w:type="dxa"/>
          </w:tcPr>
          <w:p>
            <w:pPr>
              <w:pStyle w:val="nTable"/>
              <w:spacing w:after="40"/>
              <w:ind w:right="113"/>
            </w:pPr>
            <w:r>
              <w:rPr>
                <w:i/>
              </w:rPr>
              <w:t>Agricultural and Veterinary Chemicals (</w:t>
            </w:r>
            <w:smartTag w:uri="urn:schemas-microsoft-com:office:smarttags" w:element="State">
              <w:smartTag w:uri="urn:schemas-microsoft-com:office:smarttags" w:element="place">
                <w:r>
                  <w:rPr>
                    <w:i/>
                  </w:rPr>
                  <w:t>Western Australia</w:t>
                </w:r>
              </w:smartTag>
            </w:smartTag>
            <w:r>
              <w:rPr>
                <w:i/>
              </w:rPr>
              <w:t>) Amendment Act 2001</w:t>
            </w:r>
          </w:p>
        </w:tc>
        <w:tc>
          <w:tcPr>
            <w:tcW w:w="1134" w:type="dxa"/>
          </w:tcPr>
          <w:p>
            <w:pPr>
              <w:pStyle w:val="nTable"/>
              <w:spacing w:after="40"/>
            </w:pPr>
            <w:r>
              <w:t>21 of 2001</w:t>
            </w:r>
          </w:p>
        </w:tc>
        <w:tc>
          <w:tcPr>
            <w:tcW w:w="1134" w:type="dxa"/>
          </w:tcPr>
          <w:p>
            <w:pPr>
              <w:pStyle w:val="nTable"/>
              <w:spacing w:after="40"/>
            </w:pPr>
            <w:r>
              <w:t>26 Nov 2001</w:t>
            </w:r>
          </w:p>
        </w:tc>
        <w:tc>
          <w:tcPr>
            <w:tcW w:w="2552" w:type="dxa"/>
          </w:tcPr>
          <w:p>
            <w:pPr>
              <w:pStyle w:val="nTable"/>
              <w:spacing w:after="40"/>
              <w:rPr>
                <w:vertAlign w:val="superscript"/>
              </w:rPr>
            </w:pPr>
            <w:r>
              <w:t>Act other than s. 4(b), 5, 7 and 8: 26 Nov 2001 (see s. 2(1));</w:t>
            </w:r>
            <w:r>
              <w:br/>
              <w:t xml:space="preserve">s. 4(b), 5, 7 and 8: 30 Jan 2002 (see s. 2(2) and </w:t>
            </w:r>
            <w:r>
              <w:rPr>
                <w:i/>
              </w:rPr>
              <w:t>Gazette</w:t>
            </w:r>
            <w:r>
              <w:t xml:space="preserve"> 29 Jan 2002 p. 475)</w:t>
            </w:r>
          </w:p>
        </w:tc>
      </w:tr>
      <w:tr>
        <w:trPr>
          <w:cantSplit/>
        </w:trPr>
        <w:tc>
          <w:tcPr>
            <w:tcW w:w="7088" w:type="dxa"/>
            <w:gridSpan w:val="4"/>
          </w:tcPr>
          <w:p>
            <w:pPr>
              <w:pStyle w:val="nTable"/>
              <w:spacing w:after="40"/>
            </w:pPr>
            <w:r>
              <w:rPr>
                <w:b/>
              </w:rPr>
              <w:t xml:space="preserve">Reprint of the </w:t>
            </w:r>
            <w:r>
              <w:rPr>
                <w:b/>
                <w:i/>
              </w:rPr>
              <w:t>Agricultural and Veterinary Chemicals (</w:t>
            </w:r>
            <w:smartTag w:uri="urn:schemas-microsoft-com:office:smarttags" w:element="State">
              <w:smartTag w:uri="urn:schemas-microsoft-com:office:smarttags" w:element="place">
                <w:r>
                  <w:rPr>
                    <w:b/>
                    <w:i/>
                  </w:rPr>
                  <w:t>Western Australia</w:t>
                </w:r>
              </w:smartTag>
            </w:smartTag>
            <w:r>
              <w:rPr>
                <w:b/>
                <w:i/>
              </w:rPr>
              <w:t xml:space="preserve">) Act 1995 </w:t>
            </w:r>
            <w:r>
              <w:rPr>
                <w:b/>
              </w:rPr>
              <w:t xml:space="preserve">as at 1 Mar 2002 </w:t>
            </w:r>
            <w:r>
              <w:t>(includes amendments listed above)</w:t>
            </w:r>
          </w:p>
        </w:tc>
      </w:tr>
      <w:tr>
        <w:trPr>
          <w:cantSplit/>
        </w:trPr>
        <w:tc>
          <w:tcPr>
            <w:tcW w:w="226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vertAlign w:val="superscript"/>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rPr>
              <w:t>Gene Technology Act 2006</w:t>
            </w:r>
            <w:r>
              <w:rPr>
                <w:iCs/>
              </w:rPr>
              <w:t xml:space="preserve"> Pt. 13 </w:t>
            </w:r>
          </w:p>
        </w:tc>
        <w:tc>
          <w:tcPr>
            <w:tcW w:w="1134" w:type="dxa"/>
          </w:tcPr>
          <w:p>
            <w:pPr>
              <w:pStyle w:val="nTable"/>
              <w:spacing w:after="40"/>
              <w:rPr>
                <w:snapToGrid w:val="0"/>
              </w:rPr>
            </w:pPr>
            <w:r>
              <w:t>20 of 2006</w:t>
            </w:r>
          </w:p>
        </w:tc>
        <w:tc>
          <w:tcPr>
            <w:tcW w:w="1134" w:type="dxa"/>
          </w:tcPr>
          <w:p>
            <w:pPr>
              <w:pStyle w:val="nTable"/>
              <w:spacing w:after="40"/>
            </w:pPr>
            <w:r>
              <w:t>9 Jun 2006</w:t>
            </w:r>
          </w:p>
        </w:tc>
        <w:tc>
          <w:tcPr>
            <w:tcW w:w="2552" w:type="dxa"/>
          </w:tcPr>
          <w:p>
            <w:pPr>
              <w:pStyle w:val="nTable"/>
              <w:spacing w:after="40"/>
              <w:rPr>
                <w:snapToGrid w:val="0"/>
              </w:rPr>
            </w:pPr>
            <w:r>
              <w:t xml:space="preserve">28 Jul 2007 (see s. 2 and </w:t>
            </w:r>
            <w:r>
              <w:rPr>
                <w:i/>
                <w:iCs/>
              </w:rPr>
              <w:t>Gazette</w:t>
            </w:r>
            <w:r>
              <w:t xml:space="preserve"> 27 Jul 2007 p. 3735)</w:t>
            </w:r>
          </w:p>
        </w:tc>
      </w:tr>
      <w:tr>
        <w:trPr>
          <w:cantSplit/>
        </w:trPr>
        <w:tc>
          <w:tcPr>
            <w:tcW w:w="2268" w:type="dxa"/>
            <w:shd w:val="clear" w:color="auto" w:fill="auto"/>
          </w:tcPr>
          <w:p>
            <w:pPr>
              <w:pStyle w:val="nTable"/>
              <w:spacing w:after="40"/>
              <w:ind w:right="113"/>
              <w:rPr>
                <w:i/>
              </w:rPr>
            </w:pPr>
            <w:r>
              <w:rPr>
                <w:i/>
              </w:rPr>
              <w:t>Statutes (Repeals and Miscellaneous Amendments) Act 2009</w:t>
            </w:r>
            <w:r>
              <w:rPr>
                <w:iCs/>
              </w:rPr>
              <w:t xml:space="preserve"> s. 19</w:t>
            </w:r>
          </w:p>
        </w:tc>
        <w:tc>
          <w:tcPr>
            <w:tcW w:w="1134"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52" w:type="dxa"/>
            <w:shd w:val="clear" w:color="auto" w:fill="auto"/>
          </w:tcPr>
          <w:p>
            <w:pPr>
              <w:pStyle w:val="nTable"/>
              <w:spacing w:after="40"/>
            </w:pPr>
            <w:r>
              <w:t>22 May 2009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2: The </w:t>
            </w:r>
            <w:r>
              <w:rPr>
                <w:b/>
                <w:i/>
              </w:rPr>
              <w:t>Agricultural and Veterinary Chemicals (</w:t>
            </w:r>
            <w:smartTag w:uri="urn:schemas-microsoft-com:office:smarttags" w:element="State">
              <w:smartTag w:uri="urn:schemas-microsoft-com:office:smarttags" w:element="place">
                <w:r>
                  <w:rPr>
                    <w:b/>
                    <w:i/>
                  </w:rPr>
                  <w:t>Western Australia</w:t>
                </w:r>
              </w:smartTag>
            </w:smartTag>
            <w:r>
              <w:rPr>
                <w:b/>
                <w:i/>
              </w:rPr>
              <w:t xml:space="preserve">) Act 1995 </w:t>
            </w:r>
            <w:r>
              <w:rPr>
                <w:b/>
              </w:rPr>
              <w:t xml:space="preserve">as at 9 Sep 2011 </w:t>
            </w:r>
            <w:r>
              <w:t>(includes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had not come into operation when it was deleted by the </w:t>
      </w:r>
      <w:r>
        <w:rPr>
          <w:i/>
          <w:iCs/>
          <w:snapToGrid w:val="0"/>
        </w:rPr>
        <w:t xml:space="preserve">Statutes (Repeals and Miscellaneous Amendments) Act 2009 </w:t>
      </w:r>
      <w:r>
        <w:rPr>
          <w:snapToGrid w:val="0"/>
        </w:rPr>
        <w:t>s. 16.</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19" w:name="_Toc412556284"/>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and Veterinary Chemicals (Administration) Act</w:t>
      </w:r>
      <w:r>
        <w:tab/>
        <w:t>3</w:t>
      </w:r>
    </w:p>
    <w:p>
      <w:pPr>
        <w:pStyle w:val="DefinedTerms"/>
      </w:pPr>
      <w:r>
        <w:t>Agricultural and Veterinary Chemicals Act</w:t>
      </w:r>
      <w:r>
        <w:tab/>
        <w:t>3</w:t>
      </w:r>
    </w:p>
    <w:p>
      <w:pPr>
        <w:pStyle w:val="DefinedTerms"/>
      </w:pPr>
      <w:r>
        <w:t>Agricultural and Veterinary Chemicals Code Act</w:t>
      </w:r>
      <w:r>
        <w:tab/>
        <w:t>3</w:t>
      </w:r>
    </w:p>
    <w:p>
      <w:pPr>
        <w:pStyle w:val="DefinedTerms"/>
      </w:pPr>
      <w:r>
        <w:t>Agvet Code</w:t>
      </w:r>
      <w:r>
        <w:tab/>
        <w:t>36(1)</w:t>
      </w:r>
    </w:p>
    <w:p>
      <w:pPr>
        <w:pStyle w:val="DefinedTerms"/>
      </w:pPr>
      <w:r>
        <w:t>Agvet Code of Western Australia</w:t>
      </w:r>
      <w:r>
        <w:tab/>
        <w:t>3</w:t>
      </w:r>
    </w:p>
    <w:p>
      <w:pPr>
        <w:pStyle w:val="DefinedTerms"/>
      </w:pPr>
      <w:r>
        <w:t>Agvet Regulations of Western Australia</w:t>
      </w:r>
      <w:r>
        <w:tab/>
        <w:t>3</w:t>
      </w:r>
    </w:p>
    <w:p>
      <w:pPr>
        <w:pStyle w:val="DefinedTerms"/>
      </w:pPr>
      <w:r>
        <w:t>ancillary criminal laws</w:t>
      </w:r>
      <w:r>
        <w:tab/>
        <w:t>8(1)</w:t>
      </w:r>
    </w:p>
    <w:p>
      <w:pPr>
        <w:pStyle w:val="DefinedTerms"/>
      </w:pPr>
      <w:r>
        <w:t>applicable provision</w:t>
      </w:r>
      <w:r>
        <w:tab/>
        <w:t>3</w:t>
      </w:r>
    </w:p>
    <w:p>
      <w:pPr>
        <w:pStyle w:val="DefinedTerms"/>
      </w:pPr>
      <w:r>
        <w:t>APVMA</w:t>
      </w:r>
      <w:r>
        <w:tab/>
        <w:t>3</w:t>
      </w:r>
    </w:p>
    <w:p>
      <w:pPr>
        <w:pStyle w:val="DefinedTerms"/>
      </w:pPr>
      <w:r>
        <w:t>authority</w:t>
      </w:r>
      <w:r>
        <w:tab/>
        <w:t>3</w:t>
      </w:r>
    </w:p>
    <w:p>
      <w:pPr>
        <w:pStyle w:val="DefinedTerms"/>
      </w:pPr>
      <w:r>
        <w:t>Commonwealth administrative laws</w:t>
      </w:r>
      <w:r>
        <w:tab/>
        <w:t>3</w:t>
      </w:r>
    </w:p>
    <w:p>
      <w:pPr>
        <w:pStyle w:val="DefinedTerms"/>
      </w:pPr>
      <w:r>
        <w:t>Commonwealth Director</w:t>
      </w:r>
      <w:r>
        <w:tab/>
        <w:t>35A</w:t>
      </w:r>
    </w:p>
    <w:p>
      <w:pPr>
        <w:pStyle w:val="DefinedTerms"/>
      </w:pPr>
      <w:r>
        <w:t>Commonwealth Minister</w:t>
      </w:r>
      <w:r>
        <w:tab/>
        <w:t>3</w:t>
      </w:r>
    </w:p>
    <w:p>
      <w:pPr>
        <w:pStyle w:val="DefinedTerms"/>
      </w:pPr>
      <w:r>
        <w:t>confer</w:t>
      </w:r>
      <w:r>
        <w:tab/>
        <w:t>3</w:t>
      </w:r>
    </w:p>
    <w:p>
      <w:pPr>
        <w:pStyle w:val="DefinedTerms"/>
      </w:pPr>
      <w:r>
        <w:t>corresponding Act</w:t>
      </w:r>
      <w:r>
        <w:tab/>
        <w:t>3</w:t>
      </w:r>
    </w:p>
    <w:p>
      <w:pPr>
        <w:pStyle w:val="DefinedTerms"/>
      </w:pPr>
      <w:r>
        <w:t>corresponding law</w:t>
      </w:r>
      <w:r>
        <w:tab/>
        <w:t>3</w:t>
      </w:r>
    </w:p>
    <w:p>
      <w:pPr>
        <w:pStyle w:val="DefinedTerms"/>
      </w:pPr>
      <w:r>
        <w:t>function</w:t>
      </w:r>
      <w:r>
        <w:tab/>
        <w:t>3</w:t>
      </w:r>
    </w:p>
    <w:p>
      <w:pPr>
        <w:pStyle w:val="DefinedTerms"/>
      </w:pPr>
      <w:r>
        <w:t>instrument</w:t>
      </w:r>
      <w:r>
        <w:tab/>
        <w:t>3</w:t>
      </w:r>
    </w:p>
    <w:p>
      <w:pPr>
        <w:pStyle w:val="DefinedTerms"/>
      </w:pPr>
      <w:r>
        <w:t>jurisdiction</w:t>
      </w:r>
      <w:r>
        <w:tab/>
        <w:t>3</w:t>
      </w:r>
    </w:p>
    <w:p>
      <w:pPr>
        <w:pStyle w:val="DefinedTerms"/>
      </w:pPr>
      <w:r>
        <w:t>law</w:t>
      </w:r>
      <w:r>
        <w:tab/>
        <w:t>3</w:t>
      </w:r>
    </w:p>
    <w:p>
      <w:pPr>
        <w:pStyle w:val="DefinedTerms"/>
      </w:pPr>
      <w:r>
        <w:t>Minister for this jurisdiction</w:t>
      </w:r>
      <w:r>
        <w:tab/>
        <w:t>7(1)</w:t>
      </w:r>
    </w:p>
    <w:p>
      <w:pPr>
        <w:pStyle w:val="DefinedTerms"/>
      </w:pPr>
      <w:r>
        <w:t>officer</w:t>
      </w:r>
      <w:r>
        <w:tab/>
        <w:t>3, 28A(1), 28B(1)</w:t>
      </w:r>
    </w:p>
    <w:p>
      <w:pPr>
        <w:pStyle w:val="DefinedTerms"/>
      </w:pPr>
      <w:r>
        <w:t>participating Territory</w:t>
      </w:r>
      <w:r>
        <w:tab/>
        <w:t>3</w:t>
      </w:r>
    </w:p>
    <w:p>
      <w:pPr>
        <w:pStyle w:val="DefinedTerms"/>
      </w:pPr>
      <w:r>
        <w:t>relevant section</w:t>
      </w:r>
      <w:r>
        <w:tab/>
        <w:t>28B(1)</w:t>
      </w:r>
    </w:p>
    <w:p>
      <w:pPr>
        <w:pStyle w:val="DefinedTerms"/>
      </w:pPr>
      <w:r>
        <w:t>relevant time</w:t>
      </w:r>
      <w:r>
        <w:tab/>
        <w:t>28B(1)</w:t>
      </w:r>
    </w:p>
    <w:p>
      <w:pPr>
        <w:pStyle w:val="DefinedTerms"/>
      </w:pPr>
      <w:r>
        <w:t>State</w:t>
      </w:r>
      <w:r>
        <w:tab/>
        <w:t>3</w:t>
      </w:r>
    </w:p>
    <w:p>
      <w:pPr>
        <w:pStyle w:val="DefinedTerms"/>
      </w:pPr>
      <w:r>
        <w:t>Territory</w:t>
      </w:r>
      <w:r>
        <w:tab/>
        <w:t>3</w:t>
      </w:r>
    </w:p>
    <w:p>
      <w:pPr>
        <w:pStyle w:val="DefinedTerms"/>
      </w:pPr>
      <w:r>
        <w:t>this jurisdiction</w:t>
      </w:r>
      <w:r>
        <w:tab/>
        <w:t>3, 7(1)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and Veterinary Chemicals (Western Australia)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and Veterinary Chemicals (Western Australia)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and Veterinary Chemicals (Western Australia)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ED88C"/>
    <w:lvl w:ilvl="0">
      <w:start w:val="1"/>
      <w:numFmt w:val="decimal"/>
      <w:lvlText w:val="%1."/>
      <w:lvlJc w:val="left"/>
      <w:pPr>
        <w:tabs>
          <w:tab w:val="num" w:pos="1800"/>
        </w:tabs>
        <w:ind w:left="1800" w:hanging="360"/>
      </w:pPr>
    </w:lvl>
  </w:abstractNum>
  <w:abstractNum w:abstractNumId="1">
    <w:nsid w:val="FFFFFF7D"/>
    <w:multiLevelType w:val="singleLevel"/>
    <w:tmpl w:val="4CDCF906"/>
    <w:lvl w:ilvl="0">
      <w:start w:val="1"/>
      <w:numFmt w:val="decimal"/>
      <w:lvlText w:val="%1."/>
      <w:lvlJc w:val="left"/>
      <w:pPr>
        <w:tabs>
          <w:tab w:val="num" w:pos="1440"/>
        </w:tabs>
        <w:ind w:left="1440" w:hanging="360"/>
      </w:pPr>
    </w:lvl>
  </w:abstractNum>
  <w:abstractNum w:abstractNumId="2">
    <w:nsid w:val="FFFFFF7E"/>
    <w:multiLevelType w:val="singleLevel"/>
    <w:tmpl w:val="EDBA94AE"/>
    <w:lvl w:ilvl="0">
      <w:start w:val="1"/>
      <w:numFmt w:val="decimal"/>
      <w:lvlText w:val="%1."/>
      <w:lvlJc w:val="left"/>
      <w:pPr>
        <w:tabs>
          <w:tab w:val="num" w:pos="1080"/>
        </w:tabs>
        <w:ind w:left="1080" w:hanging="360"/>
      </w:pPr>
    </w:lvl>
  </w:abstractNum>
  <w:abstractNum w:abstractNumId="3">
    <w:nsid w:val="FFFFFF7F"/>
    <w:multiLevelType w:val="singleLevel"/>
    <w:tmpl w:val="7A487996"/>
    <w:lvl w:ilvl="0">
      <w:start w:val="1"/>
      <w:numFmt w:val="decimal"/>
      <w:lvlText w:val="%1."/>
      <w:lvlJc w:val="left"/>
      <w:pPr>
        <w:tabs>
          <w:tab w:val="num" w:pos="720"/>
        </w:tabs>
        <w:ind w:left="720" w:hanging="360"/>
      </w:pPr>
    </w:lvl>
  </w:abstractNum>
  <w:abstractNum w:abstractNumId="4">
    <w:nsid w:val="FFFFFF80"/>
    <w:multiLevelType w:val="singleLevel"/>
    <w:tmpl w:val="FFA4FB0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5A8A7C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0921E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A6669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93A37D6"/>
    <w:lvl w:ilvl="0">
      <w:start w:val="1"/>
      <w:numFmt w:val="decimal"/>
      <w:lvlText w:val="%1."/>
      <w:lvlJc w:val="left"/>
      <w:pPr>
        <w:tabs>
          <w:tab w:val="num" w:pos="360"/>
        </w:tabs>
        <w:ind w:left="360" w:hanging="360"/>
      </w:pPr>
    </w:lvl>
  </w:abstractNum>
  <w:abstractNum w:abstractNumId="9">
    <w:nsid w:val="FFFFFF89"/>
    <w:multiLevelType w:val="singleLevel"/>
    <w:tmpl w:val="8DEE562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68D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302"/>
    <w:docVar w:name="WAFER_20140117150355" w:val="RemoveTocBookmarks,RemoveUnusedBookmarks,RemoveLanguageTags,UsedStyles,ResetPageSize,UpdateArrangement"/>
    <w:docVar w:name="WAFER_20140117150355_GUID" w:val="1fa0c7da-ce31-4491-b469-4d16781a0e16"/>
    <w:docVar w:name="WAFER_20140117153818" w:val="RemoveTocBookmarks,RunningHeaders"/>
    <w:docVar w:name="WAFER_20140117153818_GUID" w:val="cf7e48d1-447d-4cd2-ab2d-0a81592220a6"/>
    <w:docVar w:name="WAFER_20150224154644" w:val="ResetPageSize,UpdateArrangement,UpdateNTable"/>
    <w:docVar w:name="WAFER_20150224154644_GUID" w:val="81f6d7cf-30ac-4a9a-920a-33dcdb581393"/>
    <w:docVar w:name="WAFER_20151102110842" w:val="UpdateStyles"/>
    <w:docVar w:name="WAFER_20151102110842_GUID" w:val="5dadf126-0015-4df6-a400-48136737c370"/>
    <w:docVar w:name="WAFER_20151102114302" w:val="UsedStyles"/>
    <w:docVar w:name="WAFER_20151102114302_GUID" w:val="c7ab2585-bd63-4b0c-a8a1-531f16bb1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6371</Words>
  <Characters>32114</Characters>
  <Application>Microsoft Office Word</Application>
  <DocSecurity>0</DocSecurity>
  <Lines>917</Lines>
  <Paragraphs>499</Paragraphs>
  <ScaleCrop>false</ScaleCrop>
  <HeadingPairs>
    <vt:vector size="2" baseType="variant">
      <vt:variant>
        <vt:lpstr>Title</vt:lpstr>
      </vt:variant>
      <vt:variant>
        <vt:i4>1</vt:i4>
      </vt:variant>
    </vt:vector>
  </HeadingPairs>
  <TitlesOfParts>
    <vt:vector size="1" baseType="lpstr">
      <vt:lpstr>Agricultural And Veterinary Chemicals (Western Australia) Act 1995</vt:lpstr>
    </vt:vector>
  </TitlesOfParts>
  <Manager/>
  <Company/>
  <LinksUpToDate>false</LinksUpToDate>
  <CharactersWithSpaces>37986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1995 - 02-a0-06</dc:title>
  <dc:subject/>
  <dc:creator/>
  <cp:keywords/>
  <dc:description/>
  <cp:lastModifiedBy>svcMRProcess</cp:lastModifiedBy>
  <cp:revision>4</cp:revision>
  <cp:lastPrinted>2015-11-02T03:10:00Z</cp:lastPrinted>
  <dcterms:created xsi:type="dcterms:W3CDTF">2019-01-21T07:40:00Z</dcterms:created>
  <dcterms:modified xsi:type="dcterms:W3CDTF">2019-01-21T07:40:00Z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20110909</vt:lpwstr>
  </property>
  <property fmtid="{D5CDD505-2E9C-101B-9397-08002B2CF9AE}" pid="4" name="DocumentType">
    <vt:lpwstr>Act</vt:lpwstr>
  </property>
  <property fmtid="{D5CDD505-2E9C-101B-9397-08002B2CF9AE}" pid="5" name="OwlsUID">
    <vt:i4>12</vt:i4>
  </property>
  <property fmtid="{D5CDD505-2E9C-101B-9397-08002B2CF9AE}" pid="6" name="ReprintNo">
    <vt:lpwstr>2</vt:lpwstr>
  </property>
  <property fmtid="{D5CDD505-2E9C-101B-9397-08002B2CF9AE}" pid="7" name="ReprintedAsAt">
    <vt:filetime>2011-09-08T16:00:00Z</vt:filetime>
  </property>
  <property fmtid="{D5CDD505-2E9C-101B-9397-08002B2CF9AE}" pid="8" name="AsAtDate">
    <vt:lpwstr>09 Sep 2011</vt:lpwstr>
  </property>
  <property fmtid="{D5CDD505-2E9C-101B-9397-08002B2CF9AE}" pid="9" name="Suffix">
    <vt:lpwstr>02-a0-06</vt:lpwstr>
  </property>
</Properties>
</file>