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Debt Collectors Licensing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September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_Toc416444465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_Toc416444466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_Toc416444467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_Toc416444468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Licensing of debt collectors</w:t>
      </w:r>
      <w:r>
        <w:tab/>
      </w:r>
      <w:r>
        <w:fldChar w:fldCharType="begin"/>
      </w:r>
      <w:r>
        <w:instrText xml:space="preserve"> PAGEREF _Toc416444469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Licensees not to assume additional powers</w:t>
      </w:r>
      <w:r>
        <w:tab/>
      </w:r>
      <w:r>
        <w:fldChar w:fldCharType="begin"/>
      </w:r>
      <w:r>
        <w:instrText xml:space="preserve"> PAGEREF _Toc416444470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w:t>
      </w:r>
      <w:r>
        <w:tab/>
      </w:r>
      <w:r>
        <w:fldChar w:fldCharType="begin"/>
      </w:r>
      <w:r>
        <w:instrText xml:space="preserve"> PAGEREF _Toc416444471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licences</w:t>
      </w:r>
      <w:r>
        <w:tab/>
      </w:r>
      <w:r>
        <w:fldChar w:fldCharType="begin"/>
      </w:r>
      <w:r>
        <w:instrText xml:space="preserve"> PAGEREF _Toc416444472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Grounds on which licence refused</w:t>
      </w:r>
      <w:r>
        <w:tab/>
      </w:r>
      <w:r>
        <w:fldChar w:fldCharType="begin"/>
      </w:r>
      <w:r>
        <w:instrText xml:space="preserve"> PAGEREF _Toc416444473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Cancellation of licence</w:t>
      </w:r>
      <w:r>
        <w:tab/>
      </w:r>
      <w:r>
        <w:fldChar w:fldCharType="begin"/>
      </w:r>
      <w:r>
        <w:instrText xml:space="preserve"> PAGEREF _Toc416444474 \h </w:instrText>
      </w:r>
      <w:r>
        <w:fldChar w:fldCharType="separate"/>
      </w:r>
      <w:r>
        <w:t>7</w:t>
      </w:r>
      <w:r>
        <w:fldChar w:fldCharType="end"/>
      </w:r>
    </w:p>
    <w:p>
      <w:pPr>
        <w:pStyle w:val="TOC8"/>
        <w:rPr>
          <w:rFonts w:asciiTheme="minorHAnsi" w:eastAsiaTheme="minorEastAsia" w:hAnsiTheme="minorHAnsi" w:cstheme="minorBidi"/>
          <w:szCs w:val="22"/>
        </w:rPr>
      </w:pPr>
      <w:r>
        <w:t>11.</w:t>
      </w:r>
      <w:r>
        <w:tab/>
        <w:t>Review of Commissioner’s decision</w:t>
      </w:r>
      <w:r>
        <w:tab/>
      </w:r>
      <w:r>
        <w:fldChar w:fldCharType="begin"/>
      </w:r>
      <w:r>
        <w:instrText xml:space="preserve"> PAGEREF _Toc416444475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to be kept by Commissioner</w:t>
      </w:r>
      <w:r>
        <w:tab/>
      </w:r>
      <w:r>
        <w:fldChar w:fldCharType="begin"/>
      </w:r>
      <w:r>
        <w:instrText xml:space="preserve"> PAGEREF _Toc416444476 \h </w:instrText>
      </w:r>
      <w:r>
        <w:fldChar w:fldCharType="separate"/>
      </w:r>
      <w:r>
        <w:t>9</w:t>
      </w:r>
      <w:r>
        <w:fldChar w:fldCharType="end"/>
      </w:r>
    </w:p>
    <w:p>
      <w:pPr>
        <w:pStyle w:val="TOC8"/>
        <w:rPr>
          <w:rFonts w:asciiTheme="minorHAnsi" w:eastAsiaTheme="minorEastAsia" w:hAnsiTheme="minorHAnsi" w:cstheme="minorBidi"/>
          <w:szCs w:val="22"/>
        </w:rPr>
      </w:pPr>
      <w:r>
        <w:t>12A.</w:t>
      </w:r>
      <w:r>
        <w:tab/>
        <w:t>Matters to be included in annual report</w:t>
      </w:r>
      <w:r>
        <w:tab/>
      </w:r>
      <w:r>
        <w:fldChar w:fldCharType="begin"/>
      </w:r>
      <w:r>
        <w:instrText xml:space="preserve"> PAGEREF _Toc416444477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Unlicensed persons not to recover fees etc.</w:t>
      </w:r>
      <w:r>
        <w:tab/>
      </w:r>
      <w:r>
        <w:fldChar w:fldCharType="begin"/>
      </w:r>
      <w:r>
        <w:instrText xml:space="preserve"> PAGEREF _Toc416444478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of furnishing incorrect information in applications etc.</w:t>
      </w:r>
      <w:r>
        <w:tab/>
      </w:r>
      <w:r>
        <w:fldChar w:fldCharType="begin"/>
      </w:r>
      <w:r>
        <w:instrText xml:space="preserve"> PAGEREF _Toc416444479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of debt collectors in respect of trust money</w:t>
      </w:r>
      <w:r>
        <w:tab/>
      </w:r>
      <w:r>
        <w:fldChar w:fldCharType="begin"/>
      </w:r>
      <w:r>
        <w:instrText xml:space="preserve"> PAGEREF _Toc416444480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of bank Manager</w:t>
      </w:r>
      <w:r>
        <w:tab/>
      </w:r>
      <w:r>
        <w:fldChar w:fldCharType="begin"/>
      </w:r>
      <w:r>
        <w:instrText xml:space="preserve"> PAGEREF _Toc416444481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of debt collector as to accounts</w:t>
      </w:r>
      <w:r>
        <w:tab/>
      </w:r>
      <w:r>
        <w:fldChar w:fldCharType="begin"/>
      </w:r>
      <w:r>
        <w:instrText xml:space="preserve"> PAGEREF _Toc416444482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records</w:t>
      </w:r>
      <w:r>
        <w:tab/>
      </w:r>
      <w:r>
        <w:fldChar w:fldCharType="begin"/>
      </w:r>
      <w:r>
        <w:instrText xml:space="preserve"> PAGEREF _Toc416444483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appoint auditor to audit trust accounts</w:t>
      </w:r>
      <w:r>
        <w:tab/>
      </w:r>
      <w:r>
        <w:fldChar w:fldCharType="begin"/>
      </w:r>
      <w:r>
        <w:instrText xml:space="preserve"> PAGEREF _Toc416444484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Fidelity bond</w:t>
      </w:r>
      <w:r>
        <w:tab/>
      </w:r>
      <w:r>
        <w:fldChar w:fldCharType="begin"/>
      </w:r>
      <w:r>
        <w:instrText xml:space="preserve"> PAGEREF _Toc416444485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Termination of fidelity bond</w:t>
      </w:r>
      <w:r>
        <w:tab/>
      </w:r>
      <w:r>
        <w:fldChar w:fldCharType="begin"/>
      </w:r>
      <w:r>
        <w:instrText xml:space="preserve"> PAGEREF _Toc416444486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Penalty for offences generally</w:t>
      </w:r>
      <w:r>
        <w:tab/>
      </w:r>
      <w:r>
        <w:fldChar w:fldCharType="begin"/>
      </w:r>
      <w:r>
        <w:instrText xml:space="preserve"> PAGEREF _Toc416444487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 by corporation</w:t>
      </w:r>
      <w:r>
        <w:tab/>
      </w:r>
      <w:r>
        <w:fldChar w:fldCharType="begin"/>
      </w:r>
      <w:r>
        <w:instrText xml:space="preserve"> PAGEREF _Toc416444488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Evidentiary provision</w:t>
      </w:r>
      <w:r>
        <w:tab/>
      </w:r>
      <w:r>
        <w:fldChar w:fldCharType="begin"/>
      </w:r>
      <w:r>
        <w:instrText xml:space="preserve"> PAGEREF _Toc416444489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Saving of remedies</w:t>
      </w:r>
      <w:r>
        <w:tab/>
      </w:r>
      <w:r>
        <w:fldChar w:fldCharType="begin"/>
      </w:r>
      <w:r>
        <w:instrText xml:space="preserve"> PAGEREF _Toc416444490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_Toc416444491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_Toc416444493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_Toc416444494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September 2011</w:t>
            </w:r>
          </w:p>
        </w:tc>
      </w:tr>
    </w:tbl>
    <w:p>
      <w:pPr>
        <w:pStyle w:val="WA"/>
        <w:spacing w:before="12"/>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3" w:name="_Toc378164744"/>
      <w:bookmarkStart w:id="4" w:name="_Toc41644446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378164745"/>
      <w:bookmarkStart w:id="6" w:name="_Toc41644446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378164746"/>
      <w:bookmarkStart w:id="8" w:name="_Toc416444467"/>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by No. 26 of 1999 s. 73(2); No. 55 of 2004 s. 220; </w:t>
      </w:r>
      <w:r>
        <w:rPr>
          <w:spacing w:val="-4"/>
        </w:rPr>
        <w:t>No. 58 of 2010 s. 181</w:t>
      </w:r>
      <w:r>
        <w:t>.]</w:t>
      </w:r>
    </w:p>
    <w:p>
      <w:pPr>
        <w:pStyle w:val="Heading5"/>
        <w:rPr>
          <w:snapToGrid w:val="0"/>
        </w:rPr>
      </w:pPr>
      <w:bookmarkStart w:id="9" w:name="_Toc378164747"/>
      <w:bookmarkStart w:id="10" w:name="_Toc416444468"/>
      <w:r>
        <w:rPr>
          <w:rStyle w:val="CharSectno"/>
        </w:rPr>
        <w:t>4</w:t>
      </w:r>
      <w:r>
        <w:rPr>
          <w:snapToGrid w:val="0"/>
        </w:rPr>
        <w:t>.</w:t>
      </w:r>
      <w:r>
        <w:rPr>
          <w:snapToGrid w:val="0"/>
        </w:rPr>
        <w:tab/>
        <w:t>Application of Act</w:t>
      </w:r>
      <w:bookmarkEnd w:id="9"/>
      <w:bookmarkEnd w:id="10"/>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11" w:name="_Toc378164748"/>
      <w:bookmarkStart w:id="12" w:name="_Toc416444469"/>
      <w:r>
        <w:rPr>
          <w:rStyle w:val="CharSectno"/>
        </w:rPr>
        <w:t>5</w:t>
      </w:r>
      <w:r>
        <w:rPr>
          <w:snapToGrid w:val="0"/>
        </w:rPr>
        <w:t>.</w:t>
      </w:r>
      <w:r>
        <w:rPr>
          <w:snapToGrid w:val="0"/>
        </w:rPr>
        <w:tab/>
        <w:t>Licensing of debt collectors</w:t>
      </w:r>
      <w:bookmarkEnd w:id="11"/>
      <w:bookmarkEnd w:id="12"/>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3" w:name="_Toc378164749"/>
      <w:bookmarkStart w:id="14" w:name="_Toc416444470"/>
      <w:r>
        <w:rPr>
          <w:rStyle w:val="CharSectno"/>
        </w:rPr>
        <w:t>6</w:t>
      </w:r>
      <w:r>
        <w:rPr>
          <w:snapToGrid w:val="0"/>
        </w:rPr>
        <w:t>.</w:t>
      </w:r>
      <w:r>
        <w:rPr>
          <w:snapToGrid w:val="0"/>
        </w:rPr>
        <w:tab/>
        <w:t>Licensees not to assume additional powers</w:t>
      </w:r>
      <w:bookmarkEnd w:id="13"/>
      <w:bookmarkEnd w:id="14"/>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15" w:name="_Toc378164750"/>
      <w:bookmarkStart w:id="16" w:name="_Toc416444471"/>
      <w:r>
        <w:rPr>
          <w:rStyle w:val="CharSectno"/>
        </w:rPr>
        <w:t>7</w:t>
      </w:r>
      <w:r>
        <w:rPr>
          <w:snapToGrid w:val="0"/>
        </w:rPr>
        <w:t>.</w:t>
      </w:r>
      <w:r>
        <w:rPr>
          <w:snapToGrid w:val="0"/>
        </w:rPr>
        <w:tab/>
        <w:t>Licences</w:t>
      </w:r>
      <w:bookmarkEnd w:id="15"/>
      <w:bookmarkEnd w:id="16"/>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Subsection"/>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17" w:name="_Toc378164751"/>
      <w:bookmarkStart w:id="18" w:name="_Toc416444472"/>
      <w:r>
        <w:rPr>
          <w:rStyle w:val="CharSectno"/>
        </w:rPr>
        <w:t>8</w:t>
      </w:r>
      <w:r>
        <w:rPr>
          <w:snapToGrid w:val="0"/>
        </w:rPr>
        <w:t>.</w:t>
      </w:r>
      <w:r>
        <w:rPr>
          <w:snapToGrid w:val="0"/>
        </w:rPr>
        <w:tab/>
        <w:t>Application for licences</w:t>
      </w:r>
      <w:bookmarkEnd w:id="17"/>
      <w:bookmarkEnd w:id="18"/>
      <w:r>
        <w:rPr>
          <w:snapToGrid w:val="0"/>
        </w:rPr>
        <w:t xml:space="preserve"> </w:t>
      </w:r>
    </w:p>
    <w:p>
      <w:pPr>
        <w:pStyle w:val="Subsection"/>
        <w:rPr>
          <w:snapToGrid w:val="0"/>
        </w:rPr>
      </w:pPr>
      <w:r>
        <w:rPr>
          <w:snapToGrid w:val="0"/>
        </w:rPr>
        <w:tab/>
        <w:t>(1)</w:t>
      </w:r>
      <w:r>
        <w:rPr>
          <w:snapToGrid w:val="0"/>
        </w:rPr>
        <w:tab/>
        <w:t>A person who desires to obtain a licence or renewal thereof shall make application in the form prescribed.</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by No. 21 of 1966 s. 2; No. 55 of 2004 s. 221; No. 19 of 2010 s. 51.] </w:t>
      </w:r>
    </w:p>
    <w:p>
      <w:pPr>
        <w:pStyle w:val="Heading5"/>
        <w:rPr>
          <w:snapToGrid w:val="0"/>
        </w:rPr>
      </w:pPr>
      <w:bookmarkStart w:id="19" w:name="_Toc378164752"/>
      <w:bookmarkStart w:id="20" w:name="_Toc416444473"/>
      <w:r>
        <w:rPr>
          <w:rStyle w:val="CharSectno"/>
        </w:rPr>
        <w:t>9</w:t>
      </w:r>
      <w:r>
        <w:rPr>
          <w:snapToGrid w:val="0"/>
        </w:rPr>
        <w:t>.</w:t>
      </w:r>
      <w:r>
        <w:rPr>
          <w:snapToGrid w:val="0"/>
        </w:rPr>
        <w:tab/>
        <w:t>Grounds on which licence refused</w:t>
      </w:r>
      <w:bookmarkEnd w:id="19"/>
      <w:bookmarkEnd w:id="20"/>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1" w:name="_Toc378164753"/>
      <w:bookmarkStart w:id="22" w:name="_Toc416444474"/>
      <w:r>
        <w:rPr>
          <w:rStyle w:val="CharSectno"/>
        </w:rPr>
        <w:t>10</w:t>
      </w:r>
      <w:r>
        <w:rPr>
          <w:snapToGrid w:val="0"/>
        </w:rPr>
        <w:t>.</w:t>
      </w:r>
      <w:r>
        <w:rPr>
          <w:snapToGrid w:val="0"/>
        </w:rPr>
        <w:tab/>
        <w:t>Cancellation of licence</w:t>
      </w:r>
      <w:bookmarkEnd w:id="21"/>
      <w:bookmarkEnd w:id="22"/>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23" w:name="_Toc378164754"/>
      <w:bookmarkStart w:id="24" w:name="_Toc416444475"/>
      <w:r>
        <w:rPr>
          <w:rStyle w:val="CharSectno"/>
        </w:rPr>
        <w:t>11</w:t>
      </w:r>
      <w:r>
        <w:t>.</w:t>
      </w:r>
      <w:r>
        <w:tab/>
        <w:t>Review of Commissioner’s decision</w:t>
      </w:r>
      <w:bookmarkEnd w:id="23"/>
      <w:bookmarkEnd w:id="24"/>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25" w:name="_Toc378164755"/>
      <w:bookmarkStart w:id="26" w:name="_Toc416444476"/>
      <w:r>
        <w:rPr>
          <w:rStyle w:val="CharSectno"/>
        </w:rPr>
        <w:t>12</w:t>
      </w:r>
      <w:r>
        <w:rPr>
          <w:snapToGrid w:val="0"/>
        </w:rPr>
        <w:t>.</w:t>
      </w:r>
      <w:r>
        <w:rPr>
          <w:snapToGrid w:val="0"/>
        </w:rPr>
        <w:tab/>
        <w:t>Register to be kept by Commissioner</w:t>
      </w:r>
      <w:bookmarkEnd w:id="25"/>
      <w:bookmarkEnd w:id="26"/>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by No. 55 of 2004 s. 225.]</w:t>
      </w:r>
    </w:p>
    <w:p>
      <w:pPr>
        <w:pStyle w:val="Heading5"/>
      </w:pPr>
      <w:bookmarkStart w:id="27" w:name="_Toc378164756"/>
      <w:bookmarkStart w:id="28" w:name="_Toc416444477"/>
      <w:r>
        <w:rPr>
          <w:rStyle w:val="CharSectno"/>
        </w:rPr>
        <w:t>12A</w:t>
      </w:r>
      <w:r>
        <w:t>.</w:t>
      </w:r>
      <w:r>
        <w:tab/>
        <w:t>Matters to be included in annual report</w:t>
      </w:r>
      <w:bookmarkEnd w:id="27"/>
      <w:bookmarkEnd w:id="28"/>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29" w:name="_Toc378164757"/>
      <w:bookmarkStart w:id="30" w:name="_Toc416444478"/>
      <w:r>
        <w:rPr>
          <w:rStyle w:val="CharSectno"/>
        </w:rPr>
        <w:t>13</w:t>
      </w:r>
      <w:r>
        <w:rPr>
          <w:snapToGrid w:val="0"/>
        </w:rPr>
        <w:t>.</w:t>
      </w:r>
      <w:r>
        <w:rPr>
          <w:snapToGrid w:val="0"/>
        </w:rPr>
        <w:tab/>
        <w:t>Unlicensed persons not to recover fees etc.</w:t>
      </w:r>
      <w:bookmarkEnd w:id="29"/>
      <w:bookmarkEnd w:id="30"/>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31" w:name="_Toc378164758"/>
      <w:bookmarkStart w:id="32" w:name="_Toc416444479"/>
      <w:r>
        <w:rPr>
          <w:rStyle w:val="CharSectno"/>
        </w:rPr>
        <w:t>14</w:t>
      </w:r>
      <w:r>
        <w:rPr>
          <w:snapToGrid w:val="0"/>
        </w:rPr>
        <w:t>.</w:t>
      </w:r>
      <w:r>
        <w:rPr>
          <w:snapToGrid w:val="0"/>
        </w:rPr>
        <w:tab/>
        <w:t>Offence of furnishing incorrect information in applications etc.</w:t>
      </w:r>
      <w:bookmarkEnd w:id="31"/>
      <w:bookmarkEnd w:id="32"/>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33" w:name="_Toc378164759"/>
      <w:bookmarkStart w:id="34" w:name="_Toc416444480"/>
      <w:r>
        <w:rPr>
          <w:rStyle w:val="CharSectno"/>
        </w:rPr>
        <w:t>15</w:t>
      </w:r>
      <w:r>
        <w:rPr>
          <w:snapToGrid w:val="0"/>
        </w:rPr>
        <w:t>.</w:t>
      </w:r>
      <w:r>
        <w:rPr>
          <w:snapToGrid w:val="0"/>
        </w:rPr>
        <w:tab/>
        <w:t>Duty of debt collectors in respect of trust money</w:t>
      </w:r>
      <w:bookmarkEnd w:id="33"/>
      <w:bookmarkEnd w:id="34"/>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by No. 55 of 2004 s. 227.]</w:t>
      </w:r>
    </w:p>
    <w:p>
      <w:pPr>
        <w:pStyle w:val="Heading5"/>
        <w:rPr>
          <w:snapToGrid w:val="0"/>
        </w:rPr>
      </w:pPr>
      <w:bookmarkStart w:id="35" w:name="_Toc378164760"/>
      <w:bookmarkStart w:id="36" w:name="_Toc416444481"/>
      <w:r>
        <w:rPr>
          <w:rStyle w:val="CharSectno"/>
        </w:rPr>
        <w:t>16</w:t>
      </w:r>
      <w:r>
        <w:rPr>
          <w:snapToGrid w:val="0"/>
        </w:rPr>
        <w:t>.</w:t>
      </w:r>
      <w:r>
        <w:rPr>
          <w:snapToGrid w:val="0"/>
        </w:rPr>
        <w:tab/>
        <w:t>Duty of bank Manager</w:t>
      </w:r>
      <w:bookmarkEnd w:id="35"/>
      <w:bookmarkEnd w:id="36"/>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37" w:name="_Toc378164761"/>
      <w:bookmarkStart w:id="38" w:name="_Toc416444482"/>
      <w:r>
        <w:rPr>
          <w:rStyle w:val="CharSectno"/>
        </w:rPr>
        <w:t>17</w:t>
      </w:r>
      <w:r>
        <w:rPr>
          <w:snapToGrid w:val="0"/>
        </w:rPr>
        <w:t>.</w:t>
      </w:r>
      <w:r>
        <w:rPr>
          <w:snapToGrid w:val="0"/>
        </w:rPr>
        <w:tab/>
        <w:t>Duty of debt collector as to accounts</w:t>
      </w:r>
      <w:bookmarkEnd w:id="37"/>
      <w:bookmarkEnd w:id="38"/>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39" w:name="_Toc378164762"/>
      <w:bookmarkStart w:id="40" w:name="_Toc416444483"/>
      <w:r>
        <w:rPr>
          <w:rStyle w:val="CharSectno"/>
        </w:rPr>
        <w:t>18</w:t>
      </w:r>
      <w:r>
        <w:rPr>
          <w:snapToGrid w:val="0"/>
        </w:rPr>
        <w:t>.</w:t>
      </w:r>
      <w:r>
        <w:rPr>
          <w:snapToGrid w:val="0"/>
        </w:rPr>
        <w:tab/>
        <w:t>Inspection of records</w:t>
      </w:r>
      <w:bookmarkEnd w:id="39"/>
      <w:bookmarkEnd w:id="40"/>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41" w:name="_Toc378164763"/>
      <w:bookmarkStart w:id="42" w:name="_Toc416444484"/>
      <w:r>
        <w:rPr>
          <w:rStyle w:val="CharSectno"/>
        </w:rPr>
        <w:t>19</w:t>
      </w:r>
      <w:r>
        <w:rPr>
          <w:snapToGrid w:val="0"/>
        </w:rPr>
        <w:t>.</w:t>
      </w:r>
      <w:r>
        <w:rPr>
          <w:snapToGrid w:val="0"/>
        </w:rPr>
        <w:tab/>
        <w:t>Minister may appoint auditor to audit trust accounts</w:t>
      </w:r>
      <w:bookmarkEnd w:id="41"/>
      <w:bookmarkEnd w:id="42"/>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Sch. 1 cl. 44.] </w:t>
      </w:r>
    </w:p>
    <w:p>
      <w:pPr>
        <w:pStyle w:val="Heading5"/>
        <w:spacing w:before="180"/>
        <w:rPr>
          <w:snapToGrid w:val="0"/>
        </w:rPr>
      </w:pPr>
      <w:bookmarkStart w:id="43" w:name="_Toc378164764"/>
      <w:bookmarkStart w:id="44" w:name="_Toc416444485"/>
      <w:r>
        <w:rPr>
          <w:rStyle w:val="CharSectno"/>
        </w:rPr>
        <w:t>20</w:t>
      </w:r>
      <w:r>
        <w:rPr>
          <w:snapToGrid w:val="0"/>
        </w:rPr>
        <w:t>.</w:t>
      </w:r>
      <w:r>
        <w:rPr>
          <w:snapToGrid w:val="0"/>
        </w:rPr>
        <w:tab/>
        <w:t>Fidelity bond</w:t>
      </w:r>
      <w:bookmarkEnd w:id="43"/>
      <w:bookmarkEnd w:id="44"/>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45" w:name="_Toc378164765"/>
      <w:bookmarkStart w:id="46" w:name="_Toc416444486"/>
      <w:r>
        <w:rPr>
          <w:rStyle w:val="CharSectno"/>
        </w:rPr>
        <w:t>21</w:t>
      </w:r>
      <w:r>
        <w:rPr>
          <w:snapToGrid w:val="0"/>
        </w:rPr>
        <w:t>.</w:t>
      </w:r>
      <w:r>
        <w:rPr>
          <w:snapToGrid w:val="0"/>
        </w:rPr>
        <w:tab/>
        <w:t>Termination of fidelity bond</w:t>
      </w:r>
      <w:bookmarkEnd w:id="45"/>
      <w:bookmarkEnd w:id="46"/>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 No. 19 of 2010 s. 51.]</w:t>
      </w:r>
    </w:p>
    <w:p>
      <w:pPr>
        <w:pStyle w:val="Heading5"/>
        <w:rPr>
          <w:snapToGrid w:val="0"/>
        </w:rPr>
      </w:pPr>
      <w:bookmarkStart w:id="47" w:name="_Toc378164766"/>
      <w:bookmarkStart w:id="48" w:name="_Toc416444487"/>
      <w:r>
        <w:rPr>
          <w:rStyle w:val="CharSectno"/>
        </w:rPr>
        <w:t>22</w:t>
      </w:r>
      <w:r>
        <w:rPr>
          <w:snapToGrid w:val="0"/>
        </w:rPr>
        <w:t>.</w:t>
      </w:r>
      <w:r>
        <w:rPr>
          <w:snapToGrid w:val="0"/>
        </w:rPr>
        <w:tab/>
        <w:t>Penalty for offences generally</w:t>
      </w:r>
      <w:bookmarkEnd w:id="47"/>
      <w:bookmarkEnd w:id="4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49" w:name="_Toc378164767"/>
      <w:bookmarkStart w:id="50" w:name="_Toc416444488"/>
      <w:r>
        <w:rPr>
          <w:rStyle w:val="CharSectno"/>
        </w:rPr>
        <w:t>23</w:t>
      </w:r>
      <w:r>
        <w:rPr>
          <w:snapToGrid w:val="0"/>
        </w:rPr>
        <w:t>.</w:t>
      </w:r>
      <w:r>
        <w:rPr>
          <w:snapToGrid w:val="0"/>
        </w:rPr>
        <w:tab/>
        <w:t>Offence by corporation</w:t>
      </w:r>
      <w:bookmarkEnd w:id="49"/>
      <w:bookmarkEnd w:id="50"/>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51" w:name="_Toc378164768"/>
      <w:bookmarkStart w:id="52" w:name="_Toc416444489"/>
      <w:r>
        <w:rPr>
          <w:rStyle w:val="CharSectno"/>
        </w:rPr>
        <w:t>24</w:t>
      </w:r>
      <w:r>
        <w:rPr>
          <w:snapToGrid w:val="0"/>
        </w:rPr>
        <w:t>.</w:t>
      </w:r>
      <w:r>
        <w:rPr>
          <w:snapToGrid w:val="0"/>
        </w:rPr>
        <w:tab/>
        <w:t>Evidentiary provision</w:t>
      </w:r>
      <w:bookmarkEnd w:id="51"/>
      <w:bookmarkEnd w:id="52"/>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53" w:name="_Toc378164769"/>
      <w:bookmarkStart w:id="54" w:name="_Toc416444490"/>
      <w:r>
        <w:rPr>
          <w:rStyle w:val="CharSectno"/>
        </w:rPr>
        <w:t>25</w:t>
      </w:r>
      <w:r>
        <w:rPr>
          <w:snapToGrid w:val="0"/>
        </w:rPr>
        <w:t>.</w:t>
      </w:r>
      <w:r>
        <w:rPr>
          <w:snapToGrid w:val="0"/>
        </w:rPr>
        <w:tab/>
        <w:t>Saving of remedies</w:t>
      </w:r>
      <w:bookmarkEnd w:id="53"/>
      <w:bookmarkEnd w:id="54"/>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55" w:name="_Toc378164770"/>
      <w:bookmarkStart w:id="56" w:name="_Toc416444491"/>
      <w:r>
        <w:rPr>
          <w:rStyle w:val="CharSectno"/>
        </w:rPr>
        <w:t>26</w:t>
      </w:r>
      <w:r>
        <w:rPr>
          <w:snapToGrid w:val="0"/>
        </w:rPr>
        <w:t>.</w:t>
      </w:r>
      <w:r>
        <w:rPr>
          <w:snapToGrid w:val="0"/>
        </w:rPr>
        <w:tab/>
        <w:t>Regulations</w:t>
      </w:r>
      <w:bookmarkEnd w:id="55"/>
      <w:bookmarkEnd w:id="56"/>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pgNumType w:start="1"/>
          <w:cols w:space="720"/>
          <w:noEndnote/>
          <w:titlePg/>
          <w:docGrid w:linePitch="326"/>
        </w:sectPr>
      </w:pPr>
    </w:p>
    <w:p>
      <w:pPr>
        <w:pStyle w:val="nHeading2"/>
      </w:pPr>
      <w:bookmarkStart w:id="57" w:name="_Toc378164771"/>
      <w:bookmarkStart w:id="58" w:name="_Toc416444460"/>
      <w:bookmarkStart w:id="59" w:name="_Toc416444492"/>
      <w:r>
        <w:t>Notes</w:t>
      </w:r>
      <w:bookmarkEnd w:id="57"/>
      <w:bookmarkEnd w:id="58"/>
      <w:bookmarkEnd w:id="59"/>
    </w:p>
    <w:p>
      <w:pPr>
        <w:pStyle w:val="nSubsection"/>
        <w:rPr>
          <w:snapToGrid w:val="0"/>
        </w:rPr>
      </w:pPr>
      <w:r>
        <w:rPr>
          <w:snapToGrid w:val="0"/>
          <w:vertAlign w:val="superscript"/>
        </w:rPr>
        <w:t>1</w:t>
      </w:r>
      <w:r>
        <w:rPr>
          <w:snapToGrid w:val="0"/>
        </w:rPr>
        <w:tab/>
        <w:t xml:space="preserve">This reprint is a compilation as at 23 September 2011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0" w:name="_Toc378164772"/>
      <w:bookmarkStart w:id="61" w:name="_Toc416444493"/>
      <w:r>
        <w:rPr>
          <w:snapToGrid w:val="0"/>
        </w:rPr>
        <w:t>Compilation table</w:t>
      </w:r>
      <w:bookmarkEnd w:id="60"/>
      <w:bookmarkEnd w:id="61"/>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Borders>
              <w:bottom w:val="single" w:sz="4" w:space="0" w:color="auto"/>
            </w:tcBorders>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2" w:name="_Toc378164773"/>
      <w:bookmarkStart w:id="63" w:name="_Toc416444494"/>
      <w:r>
        <w:rPr>
          <w:snapToGrid w:val="0"/>
        </w:rPr>
        <w:t>Provisions that have not come into operation</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5</w:t>
            </w:r>
          </w:p>
        </w:tc>
        <w:tc>
          <w:tcPr>
            <w:tcW w:w="1134" w:type="dxa"/>
            <w:tcBorders>
              <w:top w:val="single" w:sz="8" w:space="0" w:color="auto"/>
              <w:bottom w:val="single" w:sz="4" w:space="0" w:color="auto"/>
            </w:tcBorders>
          </w:tcPr>
          <w:p>
            <w:pPr>
              <w:pStyle w:val="nTable"/>
              <w:keepNext/>
              <w:spacing w:after="40"/>
            </w:pPr>
            <w:r>
              <w:t>56 of 1995</w:t>
            </w:r>
          </w:p>
        </w:tc>
        <w:tc>
          <w:tcPr>
            <w:tcW w:w="1134" w:type="dxa"/>
            <w:tcBorders>
              <w:top w:val="single" w:sz="8" w:space="0" w:color="auto"/>
              <w:bottom w:val="single" w:sz="4" w:space="0" w:color="auto"/>
            </w:tcBorders>
          </w:tcPr>
          <w:p>
            <w:pPr>
              <w:pStyle w:val="nTable"/>
              <w:keepNext/>
              <w:spacing w:after="40"/>
            </w:pPr>
            <w:r>
              <w:t>20 Dec 1995</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keepNext/>
        <w:rPr>
          <w:iCs/>
        </w:rPr>
      </w:pPr>
      <w:r>
        <w:rPr>
          <w:iCs/>
          <w:vertAlign w:val="superscript"/>
        </w:rPr>
        <w:t>4</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Subsection"/>
        <w:keepNext/>
        <w:keepLines/>
        <w:rPr>
          <w:snapToGrid w:val="0"/>
        </w:rPr>
      </w:pPr>
      <w:r>
        <w:rPr>
          <w:snapToGrid w:val="0"/>
          <w:vertAlign w:val="superscript"/>
        </w:rPr>
        <w:t>5</w:t>
      </w:r>
      <w:r>
        <w:rPr>
          <w:snapToGrid w:val="0"/>
        </w:rPr>
        <w:tab/>
        <w:t xml:space="preserve">On the date as at which this reprint was prepared, the </w:t>
      </w:r>
      <w:r>
        <w:rPr>
          <w:i/>
          <w:snapToGrid w:val="0"/>
        </w:rPr>
        <w:t>Business Licensing Amendment Act 1995</w:t>
      </w:r>
      <w:r>
        <w:rPr>
          <w:snapToGrid w:val="0"/>
        </w:rPr>
        <w:t xml:space="preserve"> Pt. 3 had not come into operation.  It reads as follows:</w:t>
      </w:r>
    </w:p>
    <w:p>
      <w:pPr>
        <w:pStyle w:val="BlankOpen"/>
      </w:pP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BlankOpen"/>
      </w:pP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268" w:right="1140" w:hanging="567"/>
      </w:pPr>
      <w:r>
        <w:rPr>
          <w:b/>
        </w:rPr>
        <w:tab/>
      </w:r>
      <w:r>
        <w:rPr>
          <w:b/>
        </w:rPr>
        <w:tab/>
      </w:r>
      <w:r>
        <w:rPr>
          <w:b/>
          <w:i/>
        </w:rPr>
        <w:t>prescribed period</w:t>
      </w:r>
      <w:r>
        <w:rPr>
          <w:b/>
        </w:rPr>
        <w:t xml:space="preserve"> </w:t>
      </w:r>
      <w:r>
        <w:t>means a period of not less than 12 months prescribed by the regulations.</w:t>
      </w:r>
    </w:p>
    <w:p>
      <w:pPr>
        <w:pStyle w:val="BlankClose"/>
      </w:pPr>
    </w:p>
    <w:p>
      <w:pPr>
        <w:pStyle w:val="nzHeading5"/>
        <w:rPr>
          <w:spacing w:val="-2"/>
        </w:rPr>
      </w:pPr>
      <w:r>
        <w:rPr>
          <w:spacing w:val="-2"/>
        </w:rPr>
        <w:t>9.</w:t>
      </w:r>
      <w:r>
        <w:rPr>
          <w:spacing w:val="-2"/>
        </w:rPr>
        <w:tab/>
        <w:t>Section 12A inserted </w:t>
      </w:r>
      <w:r>
        <w:rPr>
          <w:spacing w:val="-2"/>
          <w:vertAlign w:val="superscript"/>
        </w:rPr>
        <w:t>6</w:t>
      </w:r>
    </w:p>
    <w:p>
      <w:pPr>
        <w:pStyle w:val="nzSubsection"/>
      </w:pPr>
      <w:r>
        <w:tab/>
      </w:r>
      <w:r>
        <w:tab/>
        <w:t xml:space="preserve">After section 12 of the principal Act the following section is inserted — </w:t>
      </w:r>
    </w:p>
    <w:p>
      <w:pPr>
        <w:pStyle w:val="BlankOpen"/>
      </w:pP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BlankClose"/>
      </w:pP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pStyle w:val="BlankOpen"/>
      </w:pP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BlankClose"/>
      </w:pPr>
    </w:p>
    <w:p>
      <w:pPr>
        <w:pStyle w:val="BlankClose"/>
      </w:pPr>
    </w:p>
    <w:p>
      <w:pPr>
        <w:pStyle w:val="nSubsection"/>
        <w:rPr>
          <w:snapToGrid w:val="0"/>
        </w:rPr>
      </w:pPr>
      <w:r>
        <w:rPr>
          <w:snapToGrid w:val="0"/>
          <w:vertAlign w:val="superscript"/>
        </w:rPr>
        <w:t>6</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6"/>
          <w:headerReference w:type="default" r:id="rId27"/>
          <w:headerReference w:type="first" r:id="rId28"/>
          <w:pgSz w:w="11907" w:h="16840" w:code="9"/>
          <w:pgMar w:top="2376" w:right="2404" w:bottom="3544" w:left="2404" w:header="709" w:footer="3380" w:gutter="0"/>
          <w:cols w:space="720"/>
          <w:noEndnote/>
          <w:docGrid w:linePitch="326"/>
        </w:sectPr>
      </w:pPr>
    </w:p>
    <w:p>
      <w:pPr>
        <w:pStyle w:val="nHeading2"/>
        <w:rPr>
          <w:sz w:val="28"/>
        </w:rPr>
      </w:pPr>
      <w:bookmarkStart w:id="65" w:name="_Toc416444495"/>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w:t>
      </w:r>
    </w:p>
    <w:p>
      <w:pPr>
        <w:pStyle w:val="DefinedTerms"/>
      </w:pPr>
      <w:r>
        <w:t>Commissioner</w:t>
      </w:r>
      <w:r>
        <w:tab/>
        <w:t>3</w:t>
      </w:r>
    </w:p>
    <w:p>
      <w:pPr>
        <w:pStyle w:val="DefinedTerms"/>
      </w:pPr>
      <w:r>
        <w:t>debt collector</w:t>
      </w:r>
      <w:r>
        <w:tab/>
        <w:t>3</w:t>
      </w:r>
    </w:p>
    <w:p>
      <w:pPr>
        <w:pStyle w:val="DefinedTerms"/>
      </w:pPr>
      <w:r>
        <w:t>licence</w:t>
      </w:r>
      <w:r>
        <w:tab/>
        <w:t>3</w:t>
      </w:r>
    </w:p>
    <w:p>
      <w:pPr>
        <w:pStyle w:val="DefinedTerms"/>
      </w:pPr>
      <w:r>
        <w:t>licensee</w:t>
      </w:r>
      <w:r>
        <w:tab/>
        <w:t>3, 16(2)</w:t>
      </w:r>
    </w:p>
    <w:p>
      <w:pPr>
        <w:pStyle w:val="DefinedTerms"/>
      </w:pPr>
      <w:r>
        <w:t>money</w:t>
      </w:r>
      <w:r>
        <w:tab/>
        <w:t>3</w:t>
      </w:r>
    </w:p>
    <w:p>
      <w:pPr>
        <w:pStyle w:val="DefinedTerms"/>
      </w:pPr>
      <w:r>
        <w:t>money received for or on behalf of any person</w:t>
      </w:r>
      <w:r>
        <w:tab/>
        <w:t>3</w:t>
      </w:r>
    </w:p>
    <w:p>
      <w:pPr>
        <w:pStyle w:val="DefinedTerms"/>
      </w:pPr>
      <w:r>
        <w:t>to pay into a trust account</w:t>
      </w:r>
      <w:r>
        <w:tab/>
        <w:t>3</w:t>
      </w:r>
    </w:p>
    <w:p>
      <w:pPr>
        <w:pStyle w:val="DefinedTerms"/>
      </w:pPr>
      <w:r>
        <w:t>trust account</w:t>
      </w:r>
      <w:r>
        <w:tab/>
        <w:t>3</w:t>
      </w:r>
    </w:p>
    <w:p>
      <w:pPr>
        <w:pStyle w:val="DefinedTerms"/>
      </w:pPr>
      <w:r>
        <w:t>trust money</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511"/>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7174</Words>
  <Characters>32930</Characters>
  <Application>Microsoft Office Word</Application>
  <DocSecurity>0</DocSecurity>
  <Lines>968</Lines>
  <Paragraphs>501</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39603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1964 - 04-a0-04</dc:title>
  <dc:subject/>
  <dc:creator/>
  <cp:keywords/>
  <dc:description/>
  <cp:lastModifiedBy>svcMRProcess</cp:lastModifiedBy>
  <cp:revision>4</cp:revision>
  <cp:lastPrinted>2011-10-04T01:08:00Z</cp:lastPrinted>
  <dcterms:created xsi:type="dcterms:W3CDTF">2015-11-03T05:00:00Z</dcterms:created>
  <dcterms:modified xsi:type="dcterms:W3CDTF">2015-11-03T05:00:00Z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20110923</vt:lpwstr>
  </property>
  <property fmtid="{D5CDD505-2E9C-101B-9397-08002B2CF9AE}" pid="4" name="DocumentType">
    <vt:lpwstr>Act</vt:lpwstr>
  </property>
  <property fmtid="{D5CDD505-2E9C-101B-9397-08002B2CF9AE}" pid="5" name="OwlsUID">
    <vt:i4>212</vt:i4>
  </property>
  <property fmtid="{D5CDD505-2E9C-101B-9397-08002B2CF9AE}" pid="6" name="ReprintNo">
    <vt:lpwstr>4</vt:lpwstr>
  </property>
  <property fmtid="{D5CDD505-2E9C-101B-9397-08002B2CF9AE}" pid="7" name="ReprintedAsAt">
    <vt:filetime>2011-09-22T16:00:00Z</vt:filetime>
  </property>
  <property fmtid="{D5CDD505-2E9C-101B-9397-08002B2CF9AE}" pid="8" name="AsAtDate">
    <vt:lpwstr>23 Sep 2011</vt:lpwstr>
  </property>
  <property fmtid="{D5CDD505-2E9C-101B-9397-08002B2CF9AE}" pid="9" name="Suffix">
    <vt:lpwstr>04-a0-04</vt:lpwstr>
  </property>
</Properties>
</file>