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Petroleum (Submerged Lands) Registration Fees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Registration Fees Act 1982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_Toc424222198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_Toc424222199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to be read with another Act</w:t>
      </w:r>
      <w:r>
        <w:tab/>
      </w:r>
      <w:r>
        <w:fldChar w:fldCharType="begin"/>
      </w:r>
      <w:r>
        <w:instrText xml:space="preserve"> PAGEREF _Toc424222200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Registration fees, imposition of etc.</w:t>
      </w:r>
      <w:r>
        <w:tab/>
      </w:r>
      <w:r>
        <w:fldChar w:fldCharType="begin"/>
      </w:r>
      <w:r>
        <w:instrText xml:space="preserve"> PAGEREF _Toc424222201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Regulations</w:t>
      </w:r>
      <w:r>
        <w:tab/>
      </w:r>
      <w:r>
        <w:fldChar w:fldCharType="begin"/>
      </w:r>
      <w:r>
        <w:instrText xml:space="preserve"> PAGEREF _Toc424222202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_Toc424222204 \h </w:instrText>
      </w:r>
      <w:r>
        <w:fldChar w:fldCharType="separate"/>
      </w:r>
      <w:r>
        <w:t>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720" w:after="840"/>
      </w:pPr>
      <w:r>
        <w:t>Petroleum (Submerged Lands) Registration Fees Act 1982</w:t>
      </w:r>
    </w:p>
    <w:p>
      <w:pPr>
        <w:pStyle w:val="LongTitle"/>
        <w:rPr>
          <w:i/>
          <w:snapToGrid w:val="0"/>
        </w:rPr>
      </w:pPr>
      <w:r>
        <w:rPr>
          <w:snapToGrid w:val="0"/>
        </w:rPr>
        <w:t xml:space="preserve">An Act to provide for the payment of fees in respect of the registration of certain instruments under the </w:t>
      </w:r>
      <w:r>
        <w:rPr>
          <w:i/>
          <w:snapToGrid w:val="0"/>
        </w:rPr>
        <w:t>Petroleum (Submerged Lands) Act 1982.</w:t>
      </w:r>
    </w:p>
    <w:p>
      <w:pPr>
        <w:pStyle w:val="Heading5"/>
        <w:rPr>
          <w:snapToGrid w:val="0"/>
        </w:rPr>
      </w:pPr>
      <w:bookmarkStart w:id="3" w:name="_Toc378239145"/>
      <w:bookmarkStart w:id="4" w:name="_Toc424222198"/>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pPr>
        <w:pStyle w:val="Heading5"/>
        <w:rPr>
          <w:snapToGrid w:val="0"/>
        </w:rPr>
      </w:pPr>
      <w:bookmarkStart w:id="5" w:name="_Toc378239146"/>
      <w:bookmarkStart w:id="6" w:name="_Toc424222199"/>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pPr>
        <w:pStyle w:val="Heading5"/>
        <w:rPr>
          <w:snapToGrid w:val="0"/>
        </w:rPr>
      </w:pPr>
      <w:bookmarkStart w:id="7" w:name="_Toc378239147"/>
      <w:bookmarkStart w:id="8" w:name="_Toc424222200"/>
      <w:r>
        <w:rPr>
          <w:rStyle w:val="CharSectno"/>
        </w:rPr>
        <w:t>3</w:t>
      </w:r>
      <w:r>
        <w:rPr>
          <w:snapToGrid w:val="0"/>
        </w:rPr>
        <w:t>.</w:t>
      </w:r>
      <w:r>
        <w:rPr>
          <w:snapToGrid w:val="0"/>
        </w:rPr>
        <w:tab/>
        <w:t>Act to be read with another Act</w:t>
      </w:r>
      <w:bookmarkEnd w:id="7"/>
      <w:bookmarkEnd w:id="8"/>
    </w:p>
    <w:p>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the </w:t>
      </w:r>
      <w:r>
        <w:rPr>
          <w:rStyle w:val="CharDefText"/>
        </w:rPr>
        <w:t>principal Act</w:t>
      </w:r>
      <w:r>
        <w:rPr>
          <w:snapToGrid w:val="0"/>
        </w:rPr>
        <w:t>).</w:t>
      </w:r>
    </w:p>
    <w:p>
      <w:pPr>
        <w:pStyle w:val="Heading5"/>
        <w:rPr>
          <w:snapToGrid w:val="0"/>
        </w:rPr>
      </w:pPr>
      <w:bookmarkStart w:id="9" w:name="_Toc378239148"/>
      <w:bookmarkStart w:id="10" w:name="_Toc424222201"/>
      <w:r>
        <w:rPr>
          <w:rStyle w:val="CharSectno"/>
        </w:rPr>
        <w:t>4</w:t>
      </w:r>
      <w:r>
        <w:rPr>
          <w:snapToGrid w:val="0"/>
        </w:rPr>
        <w:t>.</w:t>
      </w:r>
      <w:r>
        <w:rPr>
          <w:snapToGrid w:val="0"/>
        </w:rPr>
        <w:tab/>
        <w:t>Registration fees, imposition of etc.</w:t>
      </w:r>
      <w:bookmarkEnd w:id="9"/>
      <w:bookmarkEnd w:id="10"/>
    </w:p>
    <w:p>
      <w:pPr>
        <w:pStyle w:val="Subsection"/>
        <w:rPr>
          <w:snapToGrid w:val="0"/>
        </w:rPr>
      </w:pPr>
      <w:r>
        <w:rPr>
          <w:snapToGrid w:val="0"/>
        </w:rPr>
        <w:tab/>
        <w:t>(1)</w:t>
      </w:r>
      <w:r>
        <w:rPr>
          <w:snapToGrid w:val="0"/>
        </w:rPr>
        <w:tab/>
        <w:t xml:space="preserve">In this section, </w:t>
      </w:r>
      <w:r>
        <w:rPr>
          <w:rStyle w:val="CharDefText"/>
        </w:rPr>
        <w:t>title</w:t>
      </w:r>
      <w:r>
        <w:rPr>
          <w:snapToGrid w:val="0"/>
        </w:rPr>
        <w:t xml:space="preserve"> means a permit, lease, licence, </w:t>
      </w:r>
      <w:r>
        <w:t xml:space="preserve">infrastructure licence, </w:t>
      </w:r>
      <w:r>
        <w:rPr>
          <w:snapToGrid w:val="0"/>
        </w:rPr>
        <w:t>pipeline licence or access authority.</w:t>
      </w:r>
    </w:p>
    <w:p>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w:t>
      </w:r>
    </w:p>
    <w:p>
      <w:pPr>
        <w:pStyle w:val="Indenta"/>
        <w:rPr>
          <w:snapToGrid w:val="0"/>
        </w:rPr>
      </w:pPr>
      <w:r>
        <w:rPr>
          <w:snapToGrid w:val="0"/>
        </w:rPr>
        <w:tab/>
        <w:t>(a)</w:t>
      </w:r>
      <w:r>
        <w:rPr>
          <w:snapToGrid w:val="0"/>
        </w:rPr>
        <w:tab/>
        <w:t>the value of the consideration for the transfer; or</w:t>
      </w:r>
    </w:p>
    <w:p>
      <w:pPr>
        <w:pStyle w:val="Indenta"/>
        <w:rPr>
          <w:snapToGrid w:val="0"/>
        </w:rPr>
      </w:pPr>
      <w:r>
        <w:rPr>
          <w:snapToGrid w:val="0"/>
        </w:rPr>
        <w:tab/>
        <w:t>(b)</w:t>
      </w:r>
      <w:r>
        <w:rPr>
          <w:snapToGrid w:val="0"/>
        </w:rPr>
        <w:tab/>
        <w:t>the value of the title transferred,</w:t>
      </w:r>
    </w:p>
    <w:p>
      <w:pPr>
        <w:pStyle w:val="Subsection"/>
        <w:rPr>
          <w:snapToGrid w:val="0"/>
        </w:rPr>
      </w:pPr>
      <w:r>
        <w:rPr>
          <w:snapToGrid w:val="0"/>
        </w:rPr>
        <w:tab/>
      </w:r>
      <w:r>
        <w:rPr>
          <w:snapToGrid w:val="0"/>
        </w:rPr>
        <w:tab/>
        <w:t>whichever is the greater or, if the amount of that fee is less than the prescribed amount, a fee of the prescribed amount.</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(4)</w:t>
      </w:r>
      <w:r>
        <w:rPr>
          <w:snapToGrid w:val="0"/>
        </w:rPr>
        <w:tab/>
        <w:t>Where —</w:t>
      </w:r>
    </w:p>
    <w:p>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w:t>
      </w:r>
    </w:p>
    <w:p>
      <w:pPr>
        <w:pStyle w:val="Indenti"/>
      </w:pPr>
      <w:r>
        <w:tab/>
        <w:t>(i)</w:t>
      </w:r>
      <w:r>
        <w:tab/>
        <w:t xml:space="preserve">they are related bodies corporate within the meaning of the </w:t>
      </w:r>
      <w:r>
        <w:rPr>
          <w:i/>
        </w:rPr>
        <w:t>Corporations Act 2001</w:t>
      </w:r>
      <w:r>
        <w:t xml:space="preserve"> of the Commonwealth; and</w:t>
      </w:r>
    </w:p>
    <w:p>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the transfer was not executed substantially for the purpose of avoiding or reducing the registration fees that would, but for this subsection, be payable under subsection (2) in respect of the entry of a memorandum of the transfer;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w:t>
      </w:r>
    </w:p>
    <w:p>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pPr>
        <w:pStyle w:val="Indenta"/>
        <w:rPr>
          <w:snapToGrid w:val="0"/>
        </w:rPr>
      </w:pPr>
      <w:r>
        <w:rPr>
          <w:snapToGrid w:val="0"/>
        </w:rPr>
        <w:tab/>
        <w:t>(b)</w:t>
      </w:r>
      <w:r>
        <w:rPr>
          <w:snapToGrid w:val="0"/>
        </w:rPr>
        <w:tab/>
        <w:t>in a case where —</w:t>
      </w:r>
    </w:p>
    <w:p>
      <w:pPr>
        <w:pStyle w:val="Indenti"/>
        <w:rPr>
          <w:snapToGrid w:val="0"/>
        </w:rPr>
      </w:pPr>
      <w:r>
        <w:rPr>
          <w:snapToGrid w:val="0"/>
        </w:rPr>
        <w:tab/>
        <w:t>(i)</w:t>
      </w:r>
      <w:r>
        <w:rPr>
          <w:snapToGrid w:val="0"/>
        </w:rPr>
        <w:tab/>
        <w:t>the value of the interest in a title is greater than the amount applicable under paragraph (a); and</w:t>
      </w:r>
    </w:p>
    <w:p>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pPr>
        <w:pStyle w:val="Indenta"/>
        <w:rPr>
          <w:snapToGrid w:val="0"/>
        </w:rPr>
      </w:pPr>
      <w:r>
        <w:rPr>
          <w:snapToGrid w:val="0"/>
        </w:rPr>
        <w:tab/>
      </w:r>
      <w:r>
        <w:rPr>
          <w:snapToGrid w:val="0"/>
        </w:rPr>
        <w:tab/>
        <w:t>the value of the interest.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pPr>
        <w:pStyle w:val="Subsection"/>
        <w:rPr>
          <w:snapToGrid w:val="0"/>
        </w:rPr>
      </w:pPr>
      <w:r>
        <w:rPr>
          <w:snapToGrid w:val="0"/>
        </w:rPr>
        <w:tab/>
      </w:r>
      <w:r>
        <w:rPr>
          <w:snapToGrid w:val="0"/>
        </w:rPr>
        <w:tab/>
        <w:t>the amount of the fee imposed by subsection (5) in respect of the entry of that approval is the prescribed amount.</w:t>
      </w:r>
    </w:p>
    <w:p>
      <w:pPr>
        <w:pStyle w:val="Subsection"/>
        <w:rPr>
          <w:snapToGrid w:val="0"/>
        </w:rPr>
      </w:pPr>
      <w:r>
        <w:rPr>
          <w:snapToGrid w:val="0"/>
        </w:rPr>
        <w:tab/>
        <w:t>(7)</w:t>
      </w:r>
      <w:r>
        <w:rPr>
          <w:snapToGrid w:val="0"/>
        </w:rPr>
        <w:tab/>
        <w:t>Where —</w:t>
      </w:r>
    </w:p>
    <w:p>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w:t>
      </w:r>
    </w:p>
    <w:p>
      <w:pPr>
        <w:pStyle w:val="Indenti"/>
      </w:pPr>
      <w:r>
        <w:tab/>
        <w:t>(i)</w:t>
      </w:r>
      <w:r>
        <w:tab/>
        <w:t xml:space="preserve">they are related bodies corporate within the meaning of the </w:t>
      </w:r>
      <w:r>
        <w:rPr>
          <w:i/>
        </w:rPr>
        <w:t>Corporations Act 2001</w:t>
      </w:r>
      <w:r>
        <w:t xml:space="preserve"> of the Commonwealth; and</w:t>
      </w:r>
    </w:p>
    <w:p>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the dealing was not entered into substantially for the purpose of avoiding or reducing the registration fees that would, but for this subsection, be payable under subsection (5) in respect of the entry of approval of the dealing;</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pPr>
        <w:pStyle w:val="Subsection"/>
        <w:rPr>
          <w:snapToGrid w:val="0"/>
        </w:rPr>
      </w:pPr>
      <w:r>
        <w:rPr>
          <w:snapToGrid w:val="0"/>
        </w:rPr>
        <w:tab/>
      </w:r>
      <w:r>
        <w:rPr>
          <w:snapToGrid w:val="0"/>
        </w:rPr>
        <w:tab/>
        <w:t>the amount of the fee imposed by subsection (5) in respect of the entry of approval of that dealing is the prescribed amount.</w:t>
      </w:r>
    </w:p>
    <w:p>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pPr>
        <w:pStyle w:val="Footnotesection"/>
      </w:pPr>
      <w:r>
        <w:tab/>
        <w:t>[Section 4 inserted: No. 13 of 1990 s. 4; amended: No. 20 of 2003 s. 39; No. 42 of 2010 s. 185.]</w:t>
      </w:r>
    </w:p>
    <w:p>
      <w:pPr>
        <w:pStyle w:val="Heading5"/>
        <w:rPr>
          <w:snapToGrid w:val="0"/>
        </w:rPr>
      </w:pPr>
      <w:bookmarkStart w:id="11" w:name="_Toc378239149"/>
      <w:bookmarkStart w:id="12" w:name="_Toc424222202"/>
      <w:r>
        <w:rPr>
          <w:rStyle w:val="CharSectno"/>
        </w:rPr>
        <w:t>4A</w:t>
      </w:r>
      <w:r>
        <w:rPr>
          <w:snapToGrid w:val="0"/>
        </w:rPr>
        <w:t>.</w:t>
      </w:r>
      <w:r>
        <w:rPr>
          <w:snapToGrid w:val="0"/>
        </w:rPr>
        <w:tab/>
        <w:t>Regulations</w:t>
      </w:r>
      <w:bookmarkEnd w:id="11"/>
      <w:bookmarkEnd w:id="1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[Section 4A inserted: No. 13 of 1990 s. 5.]</w:t>
      </w:r>
    </w:p>
    <w:p>
      <w:pPr>
        <w:pStyle w:val="Ednotesection"/>
        <w:spacing w:before="400"/>
        <w:ind w:left="890" w:hanging="890"/>
      </w:pPr>
      <w:r>
        <w:t>[</w:t>
      </w:r>
      <w:r>
        <w:rPr>
          <w:rStyle w:val="CharSectno"/>
          <w:b/>
        </w:rPr>
        <w:t>5</w:t>
      </w:r>
      <w:r>
        <w:rPr>
          <w:b/>
        </w:rPr>
        <w:t>.</w:t>
      </w:r>
      <w:r>
        <w:tab/>
        <w:t>Omitted under the Reprints Act 1984 s. 7(4)(f).]</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3" w:name="_Toc378239150"/>
      <w:bookmarkStart w:id="14" w:name="_Toc424222203"/>
      <w:r>
        <w:t>Notes</w:t>
      </w:r>
      <w:bookmarkEnd w:id="13"/>
      <w:bookmarkEnd w:id="14"/>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7 October 2011</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Petroleum (Submerged Lands) Registration Fees Act 1982</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 w:name="_Toc378239151"/>
      <w:bookmarkStart w:id="16" w:name="_Toc424222204"/>
      <w:r>
        <w:rPr>
          <w:snapToGrid w:val="0"/>
        </w:rPr>
        <w:t>Compilation table</w:t>
      </w:r>
      <w:bookmarkEnd w:id="15"/>
      <w:bookmarkEnd w:id="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Pr>
          <w:p>
            <w:pPr>
              <w:pStyle w:val="nTable"/>
              <w:spacing w:after="40"/>
            </w:pPr>
            <w:r>
              <w:rPr>
                <w:i/>
              </w:rPr>
              <w:t xml:space="preserve">Petroleum (Submerged Lands) Registration Fees </w:t>
            </w:r>
            <w:r>
              <w:rPr>
                <w:i/>
              </w:rPr>
              <w:br/>
              <w:t>Act 1982</w:t>
            </w:r>
          </w:p>
        </w:tc>
        <w:tc>
          <w:tcPr>
            <w:tcW w:w="1134" w:type="dxa"/>
          </w:tcPr>
          <w:p>
            <w:pPr>
              <w:pStyle w:val="nTable"/>
              <w:spacing w:after="40"/>
            </w:pPr>
            <w:r>
              <w:t>34 of 1982</w:t>
            </w:r>
          </w:p>
        </w:tc>
        <w:tc>
          <w:tcPr>
            <w:tcW w:w="1134" w:type="dxa"/>
          </w:tcPr>
          <w:p>
            <w:pPr>
              <w:pStyle w:val="nTable"/>
              <w:spacing w:after="40"/>
            </w:pPr>
            <w:r>
              <w:t>27 May 1982</w:t>
            </w:r>
          </w:p>
        </w:tc>
        <w:tc>
          <w:tcPr>
            <w:tcW w:w="2551" w:type="dxa"/>
          </w:tcPr>
          <w:p>
            <w:pPr>
              <w:pStyle w:val="nTable"/>
              <w:spacing w:after="40"/>
            </w:pPr>
            <w:r>
              <w:t xml:space="preserve">14 Feb 1983 (see s. 2(1) and </w:t>
            </w:r>
            <w:r>
              <w:rPr>
                <w:i/>
              </w:rPr>
              <w:t>Gazette</w:t>
            </w:r>
            <w:r>
              <w:t xml:space="preserve"> 25 Feb 1983 p. 740)</w:t>
            </w:r>
          </w:p>
        </w:tc>
      </w:tr>
      <w:tr>
        <w:tc>
          <w:tcPr>
            <w:tcW w:w="2268" w:type="dxa"/>
          </w:tcPr>
          <w:p>
            <w:pPr>
              <w:pStyle w:val="nTable"/>
              <w:spacing w:after="40"/>
              <w:rPr>
                <w:vertAlign w:val="superscript"/>
              </w:rPr>
            </w:pPr>
            <w:r>
              <w:rPr>
                <w:i/>
              </w:rPr>
              <w:t>Petroleum (Submerged Lands) Registration Fees Amendment Act 1990 </w:t>
            </w:r>
            <w:r>
              <w:rPr>
                <w:vertAlign w:val="superscript"/>
              </w:rPr>
              <w:t>2</w:t>
            </w:r>
          </w:p>
        </w:tc>
        <w:tc>
          <w:tcPr>
            <w:tcW w:w="1134" w:type="dxa"/>
          </w:tcPr>
          <w:p>
            <w:pPr>
              <w:pStyle w:val="nTable"/>
              <w:spacing w:after="40"/>
            </w:pPr>
            <w:r>
              <w:t>13 of 1990</w:t>
            </w:r>
          </w:p>
        </w:tc>
        <w:tc>
          <w:tcPr>
            <w:tcW w:w="1134" w:type="dxa"/>
          </w:tcPr>
          <w:p>
            <w:pPr>
              <w:pStyle w:val="nTable"/>
              <w:spacing w:after="40"/>
            </w:pPr>
            <w:r>
              <w:t>31 Jul 1990</w:t>
            </w:r>
          </w:p>
        </w:tc>
        <w:tc>
          <w:tcPr>
            <w:tcW w:w="2551" w:type="dxa"/>
          </w:tcPr>
          <w:p>
            <w:pPr>
              <w:pStyle w:val="nTable"/>
              <w:spacing w:after="40"/>
            </w:pPr>
            <w:r>
              <w:t>s. 1 and 2: 31 Jul 1990;</w:t>
            </w:r>
            <w:r>
              <w:br/>
              <w:t xml:space="preserve">Act other than s. 1 and 2: 1 Oct 1990 (see s. 2 and </w:t>
            </w:r>
            <w:r>
              <w:rPr>
                <w:i/>
              </w:rPr>
              <w:t>Gazette</w:t>
            </w:r>
            <w:r>
              <w:t xml:space="preserve"> 28 Sep 1990 p. 5099)</w:t>
            </w:r>
          </w:p>
        </w:tc>
      </w:tr>
      <w:tr>
        <w:trPr>
          <w:cantSplit/>
        </w:trPr>
        <w:tc>
          <w:tcPr>
            <w:tcW w:w="7087" w:type="dxa"/>
            <w:gridSpan w:val="4"/>
          </w:tcPr>
          <w:p>
            <w:pPr>
              <w:pStyle w:val="nTable"/>
              <w:spacing w:after="40"/>
            </w:pPr>
            <w:r>
              <w:rPr>
                <w:b/>
              </w:rPr>
              <w:t xml:space="preserve">Reprint of the </w:t>
            </w:r>
            <w:r>
              <w:rPr>
                <w:b/>
                <w:i/>
              </w:rPr>
              <w:t xml:space="preserve">Petroleum (Submerged Lands) Registration Fees Act 1982 </w:t>
            </w:r>
            <w:r>
              <w:rPr>
                <w:b/>
              </w:rPr>
              <w:t xml:space="preserve">as at 18 Mar 1992 </w:t>
            </w:r>
            <w:r>
              <w:t>(includes amendments listed above)</w:t>
            </w:r>
          </w:p>
        </w:tc>
      </w:tr>
      <w:tr>
        <w:tc>
          <w:tcPr>
            <w:tcW w:w="2268" w:type="dxa"/>
          </w:tcPr>
          <w:p>
            <w:pPr>
              <w:pStyle w:val="nTable"/>
              <w:spacing w:after="40"/>
              <w:rPr>
                <w:i/>
              </w:rPr>
            </w:pPr>
            <w:r>
              <w:rPr>
                <w:i/>
              </w:rPr>
              <w:t>Corporations (Consequential Amendments) Act (No. 2) 2003</w:t>
            </w:r>
            <w:r>
              <w:t xml:space="preserve"> Pt. 19</w:t>
            </w:r>
          </w:p>
        </w:tc>
        <w:tc>
          <w:tcPr>
            <w:tcW w:w="1134" w:type="dxa"/>
          </w:tcPr>
          <w:p>
            <w:pPr>
              <w:pStyle w:val="nTable"/>
              <w:spacing w:after="40"/>
            </w:pPr>
            <w:r>
              <w:t>20 of 2003</w:t>
            </w:r>
          </w:p>
        </w:tc>
        <w:tc>
          <w:tcPr>
            <w:tcW w:w="1134" w:type="dxa"/>
          </w:tcPr>
          <w:p>
            <w:pPr>
              <w:pStyle w:val="nTable"/>
              <w:spacing w:after="40"/>
            </w:pPr>
            <w:r>
              <w:t>23 Apr 2003</w:t>
            </w:r>
          </w:p>
        </w:tc>
        <w:tc>
          <w:tcPr>
            <w:tcW w:w="2551" w:type="dxa"/>
          </w:tcPr>
          <w:p>
            <w:pPr>
              <w:pStyle w:val="nTable"/>
              <w:spacing w:after="40"/>
            </w:pPr>
            <w:r>
              <w:t xml:space="preserve">15 Jul 2001 (see s. 2(1) and Cwlth </w:t>
            </w:r>
            <w:r>
              <w:rPr>
                <w:i/>
              </w:rPr>
              <w:t>Gazette</w:t>
            </w:r>
            <w:r>
              <w:t xml:space="preserve"> 13 Jul 2001 No. S285)</w:t>
            </w:r>
          </w:p>
        </w:tc>
      </w:tr>
      <w:tr>
        <w:trPr>
          <w:cantSplit/>
        </w:trPr>
        <w:tc>
          <w:tcPr>
            <w:tcW w:w="7087" w:type="dxa"/>
            <w:gridSpan w:val="4"/>
          </w:tcPr>
          <w:p>
            <w:pPr>
              <w:pStyle w:val="nTable"/>
              <w:spacing w:after="40"/>
            </w:pPr>
            <w:r>
              <w:rPr>
                <w:b/>
              </w:rPr>
              <w:t xml:space="preserve">Reprint 2: The </w:t>
            </w:r>
            <w:r>
              <w:rPr>
                <w:b/>
                <w:i/>
              </w:rPr>
              <w:t xml:space="preserve">Petroleum (Submerged Lands) Registration Fees Act 1982 </w:t>
            </w:r>
            <w:r>
              <w:rPr>
                <w:b/>
              </w:rPr>
              <w:t xml:space="preserve">as at 13 Feb 2004 </w:t>
            </w:r>
            <w:r>
              <w:t>(includes amendments listed above)</w:t>
            </w:r>
          </w:p>
        </w:tc>
      </w:tr>
      <w:tr>
        <w:tc>
          <w:tcPr>
            <w:tcW w:w="2268" w:type="dxa"/>
            <w:shd w:val="clear" w:color="auto" w:fill="auto"/>
          </w:tcPr>
          <w:p>
            <w:pPr>
              <w:pStyle w:val="nTable"/>
              <w:spacing w:after="40"/>
              <w:rPr>
                <w:i/>
              </w:rPr>
            </w:pPr>
            <w:r>
              <w:rPr>
                <w:i/>
                <w:iCs/>
                <w:snapToGrid w:val="0"/>
              </w:rPr>
              <w:t xml:space="preserve">Petroleum and Energy Legislation Amendment Act 2010 </w:t>
            </w:r>
            <w:r>
              <w:rPr>
                <w:snapToGrid w:val="0"/>
              </w:rPr>
              <w:t>s. 185</w:t>
            </w:r>
          </w:p>
        </w:tc>
        <w:tc>
          <w:tcPr>
            <w:tcW w:w="1134" w:type="dxa"/>
            <w:shd w:val="clear" w:color="auto" w:fill="auto"/>
          </w:tcPr>
          <w:p>
            <w:pPr>
              <w:pStyle w:val="nTable"/>
              <w:spacing w:after="40"/>
            </w:pPr>
            <w:r>
              <w:t>42 of 2010</w:t>
            </w:r>
          </w:p>
        </w:tc>
        <w:tc>
          <w:tcPr>
            <w:tcW w:w="1134" w:type="dxa"/>
            <w:shd w:val="clear" w:color="auto" w:fill="auto"/>
          </w:tcPr>
          <w:p>
            <w:pPr>
              <w:pStyle w:val="nTable"/>
              <w:spacing w:after="40"/>
            </w:pPr>
            <w:r>
              <w:t>28 Oct 2010</w:t>
            </w:r>
          </w:p>
        </w:tc>
        <w:tc>
          <w:tcPr>
            <w:tcW w:w="2551" w:type="dxa"/>
            <w:shd w:val="clear" w:color="auto" w:fill="auto"/>
          </w:tcPr>
          <w:p>
            <w:pPr>
              <w:pStyle w:val="nTable"/>
              <w:spacing w:after="40"/>
            </w:pPr>
            <w:r>
              <w:t xml:space="preserve">25 May 2011 (see s. 2(b) and </w:t>
            </w:r>
            <w:r>
              <w:rPr>
                <w:i/>
              </w:rPr>
              <w:t>Gazette</w:t>
            </w:r>
            <w:r>
              <w:t xml:space="preserve"> 24 May 2011 p. 1892)</w:t>
            </w:r>
          </w:p>
        </w:tc>
      </w:tr>
      <w:tr>
        <w:tc>
          <w:tcPr>
            <w:tcW w:w="7087" w:type="dxa"/>
            <w:gridSpan w:val="4"/>
            <w:tcBorders>
              <w:bottom w:val="single" w:sz="8" w:space="0" w:color="auto"/>
            </w:tcBorders>
            <w:shd w:val="clear" w:color="auto" w:fill="auto"/>
          </w:tcPr>
          <w:p>
            <w:pPr>
              <w:pStyle w:val="nTable"/>
              <w:spacing w:after="40"/>
            </w:pPr>
            <w:r>
              <w:rPr>
                <w:b/>
              </w:rPr>
              <w:t xml:space="preserve">Reprint 3: The </w:t>
            </w:r>
            <w:r>
              <w:rPr>
                <w:b/>
                <w:i/>
              </w:rPr>
              <w:t xml:space="preserve">Petroleum (Submerged Lands) Registration Fees Act 1982 </w:t>
            </w:r>
            <w:r>
              <w:rPr>
                <w:b/>
              </w:rPr>
              <w:t xml:space="preserve">as at 7 Oct 2011 </w:t>
            </w:r>
            <w:r>
              <w:t>(includes amendments listed above)</w:t>
            </w:r>
          </w:p>
        </w:tc>
      </w:tr>
    </w:tbl>
    <w:p>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w:t>
      </w:r>
    </w:p>
    <w:p>
      <w:pPr>
        <w:pStyle w:val="BlankOpen"/>
        <w:rPr>
          <w:snapToGrid w:val="0"/>
        </w:rPr>
      </w:pPr>
    </w:p>
    <w:p>
      <w:pPr>
        <w:pStyle w:val="nzHeading5"/>
        <w:rPr>
          <w:snapToGrid w:val="0"/>
        </w:rPr>
      </w:pPr>
      <w:r>
        <w:rPr>
          <w:snapToGrid w:val="0"/>
        </w:rPr>
        <w:t>6.</w:t>
      </w:r>
      <w:r>
        <w:rPr>
          <w:snapToGrid w:val="0"/>
        </w:rPr>
        <w:tab/>
        <w:t>Application of principal Act</w:t>
      </w:r>
    </w:p>
    <w:p>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pPr>
        <w:pStyle w:val="BlankClose"/>
        <w:rPr>
          <w:snapToGrid w:val="0"/>
        </w:rPr>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principal Act</w:t>
      </w:r>
      <w:r>
        <w:tab/>
        <w:t>3</w:t>
      </w:r>
    </w:p>
    <w:p>
      <w:pPr>
        <w:pStyle w:val="DefinedTerms"/>
      </w:pPr>
      <w:r>
        <w:t>title</w:t>
      </w:r>
      <w:r>
        <w:tab/>
        <w:t>4(1)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Oct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 w:name="DefinedTerms"/>
    <w:bookmarkEnd w:id="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 w:name="Coversheet"/>
    <w:bookmarkEnd w:id="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Registration Fees Act 1982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1"/>
  </w:num>
  <w:num w:numId="14">
    <w:abstractNumId w:val="16"/>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8"/>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2344"/>
    <w:docVar w:name="WAFER_20140123103021" w:val="RemoveTocBookmarks,RemoveUnusedBookmarks,RemoveLanguageTags,UsedStyles,ResetPageSize,UpdateArrangement"/>
    <w:docVar w:name="WAFER_20140123103021_GUID" w:val="3cd26be3-7849-41fb-8a53-def41082759b"/>
    <w:docVar w:name="WAFER_20140123110937" w:val="RemoveTocBookmarks,RunningHeaders"/>
    <w:docVar w:name="WAFER_20140123110937_GUID" w:val="8ce6ea6c-4be6-424a-8e04-9b15d57789d3"/>
    <w:docVar w:name="WAFER_20150709161107" w:val="ResetPageSize,UpdateArrangement,UpdateNTable"/>
    <w:docVar w:name="WAFER_20150709161107_GUID" w:val="a827d3e9-ba9d-4652-965c-deccf3f27271"/>
    <w:docVar w:name="WAFER_20151109112344" w:val="UpdateStyles,UsedStyles"/>
    <w:docVar w:name="WAFER_20151109112344_GUID" w:val="dc9494b5-ecf2-416d-909e-a6103619dc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1730</Words>
  <Characters>8029</Characters>
  <Application>Microsoft Office Word</Application>
  <DocSecurity>0</DocSecurity>
  <Lines>250</Lines>
  <Paragraphs>130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1982 - 03-a0-06</dc:title>
  <dc:subject/>
  <dc:creator/>
  <cp:keywords/>
  <dc:description/>
  <cp:lastModifiedBy>svcMRProcess</cp:lastModifiedBy>
  <cp:revision>4</cp:revision>
  <cp:lastPrinted>2011-10-18T03:00:00Z</cp:lastPrinted>
  <dcterms:created xsi:type="dcterms:W3CDTF">2019-01-22T08:06:00Z</dcterms:created>
  <dcterms:modified xsi:type="dcterms:W3CDTF">2019-01-22T08:06:00Z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20111007</vt:lpwstr>
  </property>
  <property fmtid="{D5CDD505-2E9C-101B-9397-08002B2CF9AE}" pid="4" name="DocumentType">
    <vt:lpwstr>Act</vt:lpwstr>
  </property>
  <property fmtid="{D5CDD505-2E9C-101B-9397-08002B2CF9AE}" pid="5" name="OwlsUID">
    <vt:i4>603</vt:i4>
  </property>
  <property fmtid="{D5CDD505-2E9C-101B-9397-08002B2CF9AE}" pid="6" name="ReprintNo">
    <vt:lpwstr>3</vt:lpwstr>
  </property>
  <property fmtid="{D5CDD505-2E9C-101B-9397-08002B2CF9AE}" pid="7" name="ReprintedAsAt">
    <vt:filetime>2011-10-06T16:00:00Z</vt:filetime>
  </property>
  <property fmtid="{D5CDD505-2E9C-101B-9397-08002B2CF9AE}" pid="8" name="AsAtDate">
    <vt:lpwstr>07 Oct 2011</vt:lpwstr>
  </property>
  <property fmtid="{D5CDD505-2E9C-101B-9397-08002B2CF9AE}" pid="9" name="Suffix">
    <vt:lpwstr>03-a0-06</vt:lpwstr>
  </property>
</Properties>
</file>