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Tobacco Products Control Act 2006</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t>Tobacco Products Control Act 2006</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_Toc158021775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_Toc158021776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_Toc158021777 \h </w:instrText>
      </w:r>
      <w:r>
        <w:fldChar w:fldCharType="separate"/>
      </w:r>
      <w:r>
        <w:t>2</w:t>
      </w:r>
      <w:r>
        <w:fldChar w:fldCharType="end"/>
      </w:r>
    </w:p>
    <w:p>
      <w:pPr>
        <w:pStyle w:val="TOC8"/>
        <w:rPr>
          <w:sz w:val="24"/>
          <w:szCs w:val="24"/>
        </w:rPr>
      </w:pPr>
      <w:r>
        <w:rPr>
          <w:szCs w:val="24"/>
        </w:rPr>
        <w:t>4.</w:t>
      </w:r>
      <w:r>
        <w:rPr>
          <w:szCs w:val="24"/>
        </w:rPr>
        <w:tab/>
        <w:t>Meanings of terms used in this Act</w:t>
      </w:r>
      <w:r>
        <w:tab/>
      </w:r>
      <w:r>
        <w:fldChar w:fldCharType="begin"/>
      </w:r>
      <w:r>
        <w:instrText xml:space="preserve"> PAGEREF _Toc158021778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_Toc158021779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_Toc158021782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_Toc158021783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_Toc158021784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_Toc158021785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_Toc158021786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_Toc158021787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_Toc158021788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_Toc158021789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_Toc158021790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_Toc158021791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26.</w:t>
      </w:r>
      <w:r>
        <w:rPr>
          <w:szCs w:val="24"/>
        </w:rPr>
        <w:tab/>
        <w:t>Information and advice</w:t>
      </w:r>
      <w:r>
        <w:tab/>
      </w:r>
      <w:r>
        <w:fldChar w:fldCharType="begin"/>
      </w:r>
      <w:r>
        <w:instrText xml:space="preserve"> PAGEREF _Toc158021793 \h </w:instrText>
      </w:r>
      <w:r>
        <w:fldChar w:fldCharType="separate"/>
      </w:r>
      <w:r>
        <w:t>7</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_Toc158021794 \h </w:instrText>
      </w:r>
      <w:r>
        <w:fldChar w:fldCharType="separate"/>
      </w:r>
      <w:r>
        <w:t>7</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_Toc158021795 \h </w:instrText>
      </w:r>
      <w:r>
        <w:fldChar w:fldCharType="separate"/>
      </w:r>
      <w:r>
        <w:t>7</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_Toc158021796 \h </w:instrText>
      </w:r>
      <w:r>
        <w:fldChar w:fldCharType="separate"/>
      </w:r>
      <w:r>
        <w:t>8</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_Toc158021797 \h </w:instrText>
      </w:r>
      <w:r>
        <w:fldChar w:fldCharType="separate"/>
      </w:r>
      <w:r>
        <w:t>8</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_Toc158021799 \h </w:instrText>
      </w:r>
      <w:r>
        <w:fldChar w:fldCharType="separate"/>
      </w:r>
      <w:r>
        <w:t>9</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_Toc158021800 \h </w:instrText>
      </w:r>
      <w:r>
        <w:fldChar w:fldCharType="separate"/>
      </w:r>
      <w:r>
        <w:t>9</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_Toc158021801 \h </w:instrText>
      </w:r>
      <w:r>
        <w:fldChar w:fldCharType="separate"/>
      </w:r>
      <w:r>
        <w:t>11</w:t>
      </w:r>
      <w:r>
        <w:fldChar w:fldCharType="end"/>
      </w:r>
    </w:p>
    <w:p>
      <w:pPr>
        <w:pStyle w:val="TOC8"/>
        <w:rPr>
          <w:sz w:val="24"/>
          <w:szCs w:val="24"/>
        </w:rPr>
      </w:pPr>
      <w:r>
        <w:rPr>
          <w:szCs w:val="24"/>
        </w:rPr>
        <w:t>34.</w:t>
      </w:r>
      <w:r>
        <w:rPr>
          <w:szCs w:val="24"/>
        </w:rPr>
        <w:tab/>
        <w:t>Free samples</w:t>
      </w:r>
      <w:r>
        <w:tab/>
      </w:r>
      <w:r>
        <w:fldChar w:fldCharType="begin"/>
      </w:r>
      <w:r>
        <w:instrText xml:space="preserve"> PAGEREF _Toc158021802 \h </w:instrText>
      </w:r>
      <w:r>
        <w:fldChar w:fldCharType="separate"/>
      </w:r>
      <w:r>
        <w:t>12</w:t>
      </w:r>
      <w:r>
        <w:fldChar w:fldCharType="end"/>
      </w:r>
    </w:p>
    <w:p>
      <w:pPr>
        <w:pStyle w:val="TOC8"/>
        <w:rPr>
          <w:sz w:val="24"/>
          <w:szCs w:val="24"/>
        </w:rPr>
      </w:pPr>
      <w:r>
        <w:rPr>
          <w:szCs w:val="24"/>
        </w:rPr>
        <w:t>35.</w:t>
      </w:r>
      <w:r>
        <w:rPr>
          <w:szCs w:val="24"/>
        </w:rPr>
        <w:tab/>
        <w:t>Sponsorships</w:t>
      </w:r>
      <w:r>
        <w:tab/>
      </w:r>
      <w:r>
        <w:fldChar w:fldCharType="begin"/>
      </w:r>
      <w:r>
        <w:instrText xml:space="preserve"> PAGEREF _Toc158021803 \h </w:instrText>
      </w:r>
      <w:r>
        <w:fldChar w:fldCharType="separate"/>
      </w:r>
      <w:r>
        <w:t>12</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bCs/>
          <w:szCs w:val="24"/>
        </w:rPr>
        <w:t>59.</w:t>
      </w:r>
      <w:r>
        <w:rPr>
          <w:bCs/>
          <w:szCs w:val="24"/>
        </w:rPr>
        <w:tab/>
      </w:r>
      <w:r>
        <w:rPr>
          <w:bCs/>
          <w:snapToGrid w:val="0"/>
          <w:szCs w:val="24"/>
        </w:rPr>
        <w:t>Foundation established</w:t>
      </w:r>
      <w:r>
        <w:tab/>
      </w:r>
      <w:r>
        <w:fldChar w:fldCharType="begin"/>
      </w:r>
      <w:r>
        <w:instrText xml:space="preserve"> PAGEREF _Toc158021806 \h </w:instrText>
      </w:r>
      <w:r>
        <w:fldChar w:fldCharType="separate"/>
      </w:r>
      <w:r>
        <w:t>14</w:t>
      </w:r>
      <w:r>
        <w:fldChar w:fldCharType="end"/>
      </w:r>
    </w:p>
    <w:p>
      <w:pPr>
        <w:pStyle w:val="TOC8"/>
        <w:rPr>
          <w:sz w:val="24"/>
          <w:szCs w:val="24"/>
        </w:rPr>
      </w:pPr>
      <w:r>
        <w:rPr>
          <w:bCs/>
          <w:szCs w:val="24"/>
        </w:rPr>
        <w:t>60.</w:t>
      </w:r>
      <w:r>
        <w:rPr>
          <w:bCs/>
          <w:szCs w:val="24"/>
        </w:rPr>
        <w:tab/>
        <w:t>Agent of the Crown</w:t>
      </w:r>
      <w:r>
        <w:tab/>
      </w:r>
      <w:r>
        <w:fldChar w:fldCharType="begin"/>
      </w:r>
      <w:r>
        <w:instrText xml:space="preserve"> PAGEREF _Toc158021807 \h </w:instrText>
      </w:r>
      <w:r>
        <w:fldChar w:fldCharType="separate"/>
      </w:r>
      <w:r>
        <w:t>14</w:t>
      </w:r>
      <w:r>
        <w:fldChar w:fldCharType="end"/>
      </w:r>
    </w:p>
    <w:p>
      <w:pPr>
        <w:pStyle w:val="TOC8"/>
        <w:rPr>
          <w:sz w:val="24"/>
          <w:szCs w:val="24"/>
        </w:rPr>
      </w:pPr>
      <w:r>
        <w:rPr>
          <w:bCs/>
          <w:szCs w:val="24"/>
        </w:rPr>
        <w:t>61.</w:t>
      </w:r>
      <w:r>
        <w:rPr>
          <w:bCs/>
          <w:szCs w:val="24"/>
        </w:rPr>
        <w:tab/>
      </w:r>
      <w:r>
        <w:rPr>
          <w:bCs/>
          <w:snapToGrid w:val="0"/>
          <w:szCs w:val="24"/>
        </w:rPr>
        <w:t>Membership of Foundation</w:t>
      </w:r>
      <w:r>
        <w:tab/>
      </w:r>
      <w:r>
        <w:fldChar w:fldCharType="begin"/>
      </w:r>
      <w:r>
        <w:instrText xml:space="preserve"> PAGEREF _Toc158021808 \h </w:instrText>
      </w:r>
      <w:r>
        <w:fldChar w:fldCharType="separate"/>
      </w:r>
      <w:r>
        <w:t>14</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_Toc158021809 \h </w:instrText>
      </w:r>
      <w:r>
        <w:fldChar w:fldCharType="separate"/>
      </w:r>
      <w:r>
        <w:t>17</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_Toc158021810 \h </w:instrText>
      </w:r>
      <w:r>
        <w:fldChar w:fldCharType="separate"/>
      </w:r>
      <w:r>
        <w:t>17</w:t>
      </w:r>
      <w:r>
        <w:fldChar w:fldCharType="end"/>
      </w:r>
    </w:p>
    <w:p>
      <w:pPr>
        <w:pStyle w:val="TOC8"/>
        <w:rPr>
          <w:sz w:val="24"/>
          <w:szCs w:val="24"/>
        </w:rPr>
      </w:pPr>
      <w:r>
        <w:rPr>
          <w:szCs w:val="24"/>
        </w:rPr>
        <w:t>64.</w:t>
      </w:r>
      <w:r>
        <w:rPr>
          <w:szCs w:val="24"/>
        </w:rPr>
        <w:tab/>
        <w:t>Functions</w:t>
      </w:r>
      <w:r>
        <w:tab/>
      </w:r>
      <w:r>
        <w:fldChar w:fldCharType="begin"/>
      </w:r>
      <w:r>
        <w:instrText xml:space="preserve"> PAGEREF _Toc158021811 \h </w:instrText>
      </w:r>
      <w:r>
        <w:fldChar w:fldCharType="separate"/>
      </w:r>
      <w:r>
        <w:t>17</w:t>
      </w:r>
      <w:r>
        <w:fldChar w:fldCharType="end"/>
      </w:r>
    </w:p>
    <w:p>
      <w:pPr>
        <w:pStyle w:val="TOC8"/>
        <w:rPr>
          <w:sz w:val="24"/>
          <w:szCs w:val="24"/>
        </w:rPr>
      </w:pPr>
      <w:r>
        <w:rPr>
          <w:szCs w:val="24"/>
        </w:rPr>
        <w:t>65.</w:t>
      </w:r>
      <w:r>
        <w:rPr>
          <w:szCs w:val="24"/>
        </w:rPr>
        <w:tab/>
        <w:t>Powers</w:t>
      </w:r>
      <w:r>
        <w:tab/>
      </w:r>
      <w:r>
        <w:fldChar w:fldCharType="begin"/>
      </w:r>
      <w:r>
        <w:instrText xml:space="preserve"> PAGEREF _Toc158021812 \h </w:instrText>
      </w:r>
      <w:r>
        <w:fldChar w:fldCharType="separate"/>
      </w:r>
      <w:r>
        <w:t>18</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_Toc158021813 \h </w:instrText>
      </w:r>
      <w:r>
        <w:fldChar w:fldCharType="separate"/>
      </w:r>
      <w:r>
        <w:t>19</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_Toc158021814 \h </w:instrText>
      </w:r>
      <w:r>
        <w:fldChar w:fldCharType="separate"/>
      </w:r>
      <w:r>
        <w:t>20</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_Toc158021815 \h </w:instrText>
      </w:r>
      <w:r>
        <w:fldChar w:fldCharType="separate"/>
      </w:r>
      <w:r>
        <w:t>21</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_Toc158021817 \h </w:instrText>
      </w:r>
      <w:r>
        <w:fldChar w:fldCharType="separate"/>
      </w:r>
      <w:r>
        <w:t>22</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_Toc158021818 \h </w:instrText>
      </w:r>
      <w:r>
        <w:fldChar w:fldCharType="separate"/>
      </w:r>
      <w:r>
        <w:t>23</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_Toc158021820 \h </w:instrText>
      </w:r>
      <w:r>
        <w:fldChar w:fldCharType="separate"/>
      </w:r>
      <w:r>
        <w:t>24</w:t>
      </w:r>
      <w:r>
        <w:fldChar w:fldCharType="end"/>
      </w:r>
    </w:p>
    <w:p>
      <w:pPr>
        <w:pStyle w:val="TOC8"/>
        <w:rPr>
          <w:sz w:val="24"/>
          <w:szCs w:val="24"/>
        </w:rPr>
      </w:pPr>
      <w:r>
        <w:rPr>
          <w:szCs w:val="24"/>
        </w:rPr>
        <w:t>72.</w:t>
      </w:r>
      <w:r>
        <w:rPr>
          <w:szCs w:val="24"/>
        </w:rPr>
        <w:tab/>
      </w:r>
      <w:r>
        <w:rPr>
          <w:snapToGrid w:val="0"/>
          <w:szCs w:val="24"/>
        </w:rPr>
        <w:t>Temporary investment of money in</w:t>
      </w:r>
      <w:r>
        <w:rPr>
          <w:szCs w:val="24"/>
        </w:rPr>
        <w:t xml:space="preserve"> Account</w:t>
      </w:r>
      <w:r>
        <w:tab/>
      </w:r>
      <w:r>
        <w:fldChar w:fldCharType="begin"/>
      </w:r>
      <w:r>
        <w:instrText xml:space="preserve"> PAGEREF _Toc158021821 \h </w:instrText>
      </w:r>
      <w:r>
        <w:fldChar w:fldCharType="separate"/>
      </w:r>
      <w:r>
        <w:t>26</w:t>
      </w:r>
      <w:r>
        <w:fldChar w:fldCharType="end"/>
      </w:r>
    </w:p>
    <w:p>
      <w:pPr>
        <w:pStyle w:val="TOC8"/>
        <w:rPr>
          <w:sz w:val="24"/>
          <w:szCs w:val="24"/>
        </w:rPr>
      </w:pPr>
      <w:r>
        <w:rPr>
          <w:szCs w:val="24"/>
        </w:rPr>
        <w:t>73.</w:t>
      </w:r>
      <w:r>
        <w:rPr>
          <w:szCs w:val="24"/>
        </w:rPr>
        <w:tab/>
      </w:r>
      <w:r>
        <w:rPr>
          <w:snapToGrid w:val="0"/>
          <w:szCs w:val="24"/>
        </w:rPr>
        <w:t xml:space="preserve">Application of </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_Toc158021822 \h </w:instrText>
      </w:r>
      <w:r>
        <w:fldChar w:fldCharType="separate"/>
      </w:r>
      <w:r>
        <w:t>27</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_Toc158021824 \h </w:instrText>
      </w:r>
      <w:r>
        <w:fldChar w:fldCharType="separate"/>
      </w:r>
      <w:r>
        <w:t>27</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_Toc158021825 \h </w:instrText>
      </w:r>
      <w:r>
        <w:fldChar w:fldCharType="separate"/>
      </w:r>
      <w:r>
        <w:t>27</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_Toc158021828 \h </w:instrText>
      </w:r>
      <w:r>
        <w:fldChar w:fldCharType="separate"/>
      </w:r>
      <w:r>
        <w:t>28</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_Toc158021829 \h </w:instrText>
      </w:r>
      <w:r>
        <w:fldChar w:fldCharType="separate"/>
      </w:r>
      <w:r>
        <w:t>28</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_Toc158021830 \h </w:instrText>
      </w:r>
      <w:r>
        <w:fldChar w:fldCharType="separate"/>
      </w:r>
      <w:r>
        <w:t>28</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_Toc158021831 \h </w:instrText>
      </w:r>
      <w:r>
        <w:fldChar w:fldCharType="separate"/>
      </w:r>
      <w:r>
        <w:t>29</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_Toc158021832 \h </w:instrText>
      </w:r>
      <w:r>
        <w:fldChar w:fldCharType="separate"/>
      </w:r>
      <w:r>
        <w:t>29</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_Toc158021833 \h </w:instrText>
      </w:r>
      <w:r>
        <w:fldChar w:fldCharType="separate"/>
      </w:r>
      <w:r>
        <w:t>29</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_Toc158021834 \h </w:instrText>
      </w:r>
      <w:r>
        <w:fldChar w:fldCharType="separate"/>
      </w:r>
      <w:r>
        <w:t>30</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_Toc158021835 \h </w:instrText>
      </w:r>
      <w:r>
        <w:fldChar w:fldCharType="separate"/>
      </w:r>
      <w:r>
        <w:t>30</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_Toc158021837 \h </w:instrText>
      </w:r>
      <w:r>
        <w:fldChar w:fldCharType="separate"/>
      </w:r>
      <w:r>
        <w:t>30</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_Toc158021839 \h </w:instrText>
      </w:r>
      <w:r>
        <w:fldChar w:fldCharType="separate"/>
      </w:r>
      <w:r>
        <w:t>31</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_Toc158021840 \h </w:instrText>
      </w:r>
      <w:r>
        <w:fldChar w:fldCharType="separate"/>
      </w:r>
      <w:r>
        <w:t>31</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_Toc158021841 \h </w:instrText>
      </w:r>
      <w:r>
        <w:fldChar w:fldCharType="separate"/>
      </w:r>
      <w:r>
        <w:t>31</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_Toc158021842 \h </w:instrText>
      </w:r>
      <w:r>
        <w:fldChar w:fldCharType="separate"/>
      </w:r>
      <w:r>
        <w:t>32</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_Toc158021843 \h </w:instrText>
      </w:r>
      <w:r>
        <w:fldChar w:fldCharType="separate"/>
      </w:r>
      <w:r>
        <w:t>32</w:t>
      </w:r>
      <w:r>
        <w:fldChar w:fldCharType="end"/>
      </w:r>
    </w:p>
    <w:p>
      <w:pPr>
        <w:pStyle w:val="TOC8"/>
        <w:rPr>
          <w:sz w:val="24"/>
          <w:szCs w:val="24"/>
        </w:rPr>
      </w:pPr>
      <w:r>
        <w:rPr>
          <w:szCs w:val="24"/>
        </w:rPr>
        <w:t>90.</w:t>
      </w:r>
      <w:r>
        <w:rPr>
          <w:szCs w:val="24"/>
        </w:rPr>
        <w:tab/>
        <w:t>Offences</w:t>
      </w:r>
      <w:r>
        <w:tab/>
      </w:r>
      <w:r>
        <w:fldChar w:fldCharType="begin"/>
      </w:r>
      <w:r>
        <w:instrText xml:space="preserve"> PAGEREF _Toc158021844 \h </w:instrText>
      </w:r>
      <w:r>
        <w:fldChar w:fldCharType="separate"/>
      </w:r>
      <w:r>
        <w:t>34</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_Toc158021845 \h </w:instrText>
      </w:r>
      <w:r>
        <w:fldChar w:fldCharType="separate"/>
      </w:r>
      <w:r>
        <w:t>34</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_Toc158021846 \h </w:instrText>
      </w:r>
      <w:r>
        <w:fldChar w:fldCharType="separate"/>
      </w:r>
      <w:r>
        <w:t>35</w:t>
      </w:r>
      <w:r>
        <w:fldChar w:fldCharType="end"/>
      </w:r>
    </w:p>
    <w:p>
      <w:pPr>
        <w:pStyle w:val="TOC8"/>
        <w:rPr>
          <w:sz w:val="24"/>
          <w:szCs w:val="24"/>
        </w:rPr>
      </w:pPr>
      <w:r>
        <w:rPr>
          <w:szCs w:val="24"/>
        </w:rPr>
        <w:t>93.</w:t>
      </w:r>
      <w:r>
        <w:rPr>
          <w:szCs w:val="24"/>
        </w:rPr>
        <w:tab/>
        <w:t>Use of force</w:t>
      </w:r>
      <w:r>
        <w:tab/>
      </w:r>
      <w:r>
        <w:fldChar w:fldCharType="begin"/>
      </w:r>
      <w:r>
        <w:instrText xml:space="preserve"> PAGEREF _Toc158021847 \h </w:instrText>
      </w:r>
      <w:r>
        <w:fldChar w:fldCharType="separate"/>
      </w:r>
      <w:r>
        <w:t>35</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Definitions</w:t>
      </w:r>
      <w:r>
        <w:tab/>
      </w:r>
      <w:r>
        <w:fldChar w:fldCharType="begin"/>
      </w:r>
      <w:r>
        <w:instrText xml:space="preserve"> PAGEREF _Toc158021849 \h </w:instrText>
      </w:r>
      <w:r>
        <w:fldChar w:fldCharType="separate"/>
      </w:r>
      <w:r>
        <w:t>36</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_Toc158021850 \h </w:instrText>
      </w:r>
      <w:r>
        <w:fldChar w:fldCharType="separate"/>
      </w:r>
      <w:r>
        <w:t>36</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_Toc158021851 \h </w:instrText>
      </w:r>
      <w:r>
        <w:fldChar w:fldCharType="separate"/>
      </w:r>
      <w:r>
        <w:t>37</w:t>
      </w:r>
      <w:r>
        <w:fldChar w:fldCharType="end"/>
      </w:r>
    </w:p>
    <w:p>
      <w:pPr>
        <w:pStyle w:val="TOC8"/>
        <w:rPr>
          <w:sz w:val="24"/>
          <w:szCs w:val="24"/>
        </w:rPr>
      </w:pPr>
      <w:r>
        <w:rPr>
          <w:szCs w:val="24"/>
        </w:rPr>
        <w:t>97.</w:t>
      </w:r>
      <w:r>
        <w:rPr>
          <w:szCs w:val="24"/>
        </w:rPr>
        <w:tab/>
        <w:t>Reporting</w:t>
      </w:r>
      <w:r>
        <w:tab/>
      </w:r>
      <w:r>
        <w:fldChar w:fldCharType="begin"/>
      </w:r>
      <w:r>
        <w:instrText xml:space="preserve"> PAGEREF _Toc158021852 \h </w:instrText>
      </w:r>
      <w:r>
        <w:fldChar w:fldCharType="separate"/>
      </w:r>
      <w:r>
        <w:t>37</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Definitions</w:t>
      </w:r>
      <w:r>
        <w:tab/>
      </w:r>
      <w:r>
        <w:fldChar w:fldCharType="begin"/>
      </w:r>
      <w:r>
        <w:instrText xml:space="preserve"> PAGEREF _Toc158021855 \h </w:instrText>
      </w:r>
      <w:r>
        <w:fldChar w:fldCharType="separate"/>
      </w:r>
      <w:r>
        <w:t>38</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_Toc158021856 \h </w:instrText>
      </w:r>
      <w:r>
        <w:fldChar w:fldCharType="separate"/>
      </w:r>
      <w:r>
        <w:t>38</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_Toc158021857 \h </w:instrText>
      </w:r>
      <w:r>
        <w:fldChar w:fldCharType="separate"/>
      </w:r>
      <w:r>
        <w:t>39</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_Toc158021858 \h </w:instrText>
      </w:r>
      <w:r>
        <w:fldChar w:fldCharType="separate"/>
      </w:r>
      <w:r>
        <w:t>39</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_Toc158021859 \h </w:instrText>
      </w:r>
      <w:r>
        <w:fldChar w:fldCharType="separate"/>
      </w:r>
      <w:r>
        <w:t>40</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_Toc158021861 \h </w:instrText>
      </w:r>
      <w:r>
        <w:fldChar w:fldCharType="separate"/>
      </w:r>
      <w:r>
        <w:t>40</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_Toc158021862 \h </w:instrText>
      </w:r>
      <w:r>
        <w:fldChar w:fldCharType="separate"/>
      </w:r>
      <w:r>
        <w:t>40</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_Toc158021863 \h </w:instrText>
      </w:r>
      <w:r>
        <w:fldChar w:fldCharType="separate"/>
      </w:r>
      <w:r>
        <w:t>41</w:t>
      </w:r>
      <w:r>
        <w:fldChar w:fldCharType="end"/>
      </w:r>
    </w:p>
    <w:p>
      <w:pPr>
        <w:pStyle w:val="TOC8"/>
        <w:rPr>
          <w:sz w:val="24"/>
          <w:szCs w:val="24"/>
        </w:rPr>
      </w:pPr>
      <w:r>
        <w:rPr>
          <w:szCs w:val="24"/>
        </w:rPr>
        <w:t>107.</w:t>
      </w:r>
      <w:r>
        <w:rPr>
          <w:szCs w:val="24"/>
        </w:rPr>
        <w:tab/>
        <w:t>Obstruction</w:t>
      </w:r>
      <w:r>
        <w:tab/>
      </w:r>
      <w:r>
        <w:fldChar w:fldCharType="begin"/>
      </w:r>
      <w:r>
        <w:instrText xml:space="preserve"> PAGEREF _Toc158021864 \h </w:instrText>
      </w:r>
      <w:r>
        <w:fldChar w:fldCharType="separate"/>
      </w:r>
      <w:r>
        <w:t>41</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_Toc158021865 \h </w:instrText>
      </w:r>
      <w:r>
        <w:fldChar w:fldCharType="separate"/>
      </w:r>
      <w:r>
        <w:t>41</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_Toc158021866 \h </w:instrText>
      </w:r>
      <w:r>
        <w:fldChar w:fldCharType="separate"/>
      </w:r>
      <w:r>
        <w:t>43</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_Toc158021867 \h </w:instrText>
      </w:r>
      <w:r>
        <w:fldChar w:fldCharType="separate"/>
      </w:r>
      <w:r>
        <w:t>43</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_Toc158021869 \h </w:instrText>
      </w:r>
      <w:r>
        <w:fldChar w:fldCharType="separate"/>
      </w:r>
      <w:r>
        <w:t>44</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_Toc158021870 \h </w:instrText>
      </w:r>
      <w:r>
        <w:fldChar w:fldCharType="separate"/>
      </w:r>
      <w:r>
        <w:t>44</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_Toc158021871 \h </w:instrText>
      </w:r>
      <w:r>
        <w:fldChar w:fldCharType="separate"/>
      </w:r>
      <w:r>
        <w:t>45</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_Toc158021872 \h </w:instrText>
      </w:r>
      <w:r>
        <w:fldChar w:fldCharType="separate"/>
      </w:r>
      <w:r>
        <w:t>46</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_Toc158021874 \h </w:instrText>
      </w:r>
      <w:r>
        <w:fldChar w:fldCharType="separate"/>
      </w:r>
      <w:r>
        <w:t>47</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_Toc158021875 \h </w:instrText>
      </w:r>
      <w:r>
        <w:fldChar w:fldCharType="separate"/>
      </w:r>
      <w:r>
        <w:t>48</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_Toc158021877 \h </w:instrText>
      </w:r>
      <w:r>
        <w:fldChar w:fldCharType="separate"/>
      </w:r>
      <w:r>
        <w:t>48</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_Toc158021878 \h </w:instrText>
      </w:r>
      <w:r>
        <w:fldChar w:fldCharType="separate"/>
      </w:r>
      <w:r>
        <w:t>49</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_Toc158021879 \h </w:instrText>
      </w:r>
      <w:r>
        <w:fldChar w:fldCharType="separate"/>
      </w:r>
      <w:r>
        <w:t>49</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_Toc158021880 \h </w:instrText>
      </w:r>
      <w:r>
        <w:fldChar w:fldCharType="separate"/>
      </w:r>
      <w:r>
        <w:t>49</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_Toc158021882 \h </w:instrText>
      </w:r>
      <w:r>
        <w:fldChar w:fldCharType="separate"/>
      </w:r>
      <w:r>
        <w:t>51</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_Toc158021883 \h </w:instrText>
      </w:r>
      <w:r>
        <w:fldChar w:fldCharType="separate"/>
      </w:r>
      <w:r>
        <w:t>51</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_Toc158021884 \h </w:instrText>
      </w:r>
      <w:r>
        <w:fldChar w:fldCharType="separate"/>
      </w:r>
      <w:r>
        <w:t>52</w:t>
      </w:r>
      <w:r>
        <w:fldChar w:fldCharType="end"/>
      </w:r>
    </w:p>
    <w:p>
      <w:pPr>
        <w:pStyle w:val="TOC8"/>
        <w:rPr>
          <w:sz w:val="24"/>
          <w:szCs w:val="24"/>
        </w:rPr>
      </w:pPr>
      <w:r>
        <w:rPr>
          <w:szCs w:val="24"/>
        </w:rPr>
        <w:t>124.</w:t>
      </w:r>
      <w:r>
        <w:rPr>
          <w:szCs w:val="24"/>
        </w:rPr>
        <w:tab/>
        <w:t>Regulations</w:t>
      </w:r>
      <w:r>
        <w:tab/>
      </w:r>
      <w:r>
        <w:fldChar w:fldCharType="begin"/>
      </w:r>
      <w:r>
        <w:instrText xml:space="preserve"> PAGEREF _Toc158021885 \h </w:instrText>
      </w:r>
      <w:r>
        <w:fldChar w:fldCharType="separate"/>
      </w:r>
      <w:r>
        <w:t>53</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_Toc158021886 \h </w:instrText>
      </w:r>
      <w:r>
        <w:fldChar w:fldCharType="separate"/>
      </w:r>
      <w:r>
        <w:t>54</w:t>
      </w:r>
      <w:r>
        <w:fldChar w:fldCharType="end"/>
      </w:r>
    </w:p>
    <w:p>
      <w:pPr>
        <w:pStyle w:val="TOC8"/>
        <w:rPr>
          <w:sz w:val="24"/>
          <w:szCs w:val="24"/>
        </w:rPr>
      </w:pPr>
      <w:r>
        <w:rPr>
          <w:szCs w:val="24"/>
        </w:rPr>
        <w:t>126.</w:t>
      </w:r>
      <w:r>
        <w:rPr>
          <w:szCs w:val="24"/>
        </w:rPr>
        <w:tab/>
        <w:t>Repeals, transitional provisions, consequential amendments to other Acts</w:t>
      </w:r>
      <w:r>
        <w:tab/>
      </w:r>
      <w:r>
        <w:fldChar w:fldCharType="begin"/>
      </w:r>
      <w:r>
        <w:instrText xml:space="preserve"> PAGEREF _Toc158021887 \h </w:instrText>
      </w:r>
      <w:r>
        <w:fldChar w:fldCharType="separate"/>
      </w:r>
      <w:r>
        <w:t>55</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_Toc158021888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_Toc158021891 \h </w:instrText>
      </w:r>
      <w:r>
        <w:fldChar w:fldCharType="separate"/>
      </w:r>
      <w:r>
        <w:t>56</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_Toc158021892 \h </w:instrText>
      </w:r>
      <w:r>
        <w:fldChar w:fldCharType="separate"/>
      </w:r>
      <w:r>
        <w:t>56</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_Toc158021893 \h </w:instrText>
      </w:r>
      <w:r>
        <w:fldChar w:fldCharType="separate"/>
      </w:r>
      <w:r>
        <w:t>57</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_Toc158021894 \h </w:instrText>
      </w:r>
      <w:r>
        <w:fldChar w:fldCharType="separate"/>
      </w:r>
      <w:r>
        <w:t>57</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_Toc158021895 \h </w:instrText>
      </w:r>
      <w:r>
        <w:fldChar w:fldCharType="separate"/>
      </w:r>
      <w:r>
        <w:t>57</w:t>
      </w:r>
      <w:r>
        <w:fldChar w:fldCharType="end"/>
      </w:r>
    </w:p>
    <w:p>
      <w:pPr>
        <w:pStyle w:val="TOC8"/>
        <w:rPr>
          <w:sz w:val="24"/>
          <w:szCs w:val="24"/>
        </w:rPr>
      </w:pPr>
      <w:r>
        <w:rPr>
          <w:szCs w:val="22"/>
        </w:rPr>
        <w:t>6.</w:t>
      </w:r>
      <w:r>
        <w:rPr>
          <w:szCs w:val="22"/>
        </w:rPr>
        <w:tab/>
        <w:t>Saving</w:t>
      </w:r>
      <w:r>
        <w:tab/>
      </w:r>
      <w:r>
        <w:fldChar w:fldCharType="begin"/>
      </w:r>
      <w:r>
        <w:instrText xml:space="preserve"> PAGEREF _Toc158021896 \h </w:instrText>
      </w:r>
      <w:r>
        <w:fldChar w:fldCharType="separate"/>
      </w:r>
      <w:r>
        <w:t>58</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_Toc158021897 \h </w:instrText>
      </w:r>
      <w:r>
        <w:fldChar w:fldCharType="separate"/>
      </w:r>
      <w:r>
        <w:t>58</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_Toc158021898 \h </w:instrText>
      </w:r>
      <w:r>
        <w:fldChar w:fldCharType="separate"/>
      </w:r>
      <w:r>
        <w:t>58</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_Toc158021899 \h </w:instrText>
      </w:r>
      <w:r>
        <w:fldChar w:fldCharType="separate"/>
      </w:r>
      <w:r>
        <w:t>58</w:t>
      </w:r>
      <w:r>
        <w:fldChar w:fldCharType="end"/>
      </w:r>
    </w:p>
    <w:p>
      <w:pPr>
        <w:pStyle w:val="TOC8"/>
        <w:rPr>
          <w:sz w:val="24"/>
          <w:szCs w:val="24"/>
        </w:rPr>
      </w:pPr>
      <w:r>
        <w:rPr>
          <w:szCs w:val="22"/>
        </w:rPr>
        <w:t>10.</w:t>
      </w:r>
      <w:r>
        <w:rPr>
          <w:szCs w:val="22"/>
        </w:rPr>
        <w:tab/>
        <w:t>Quorum</w:t>
      </w:r>
      <w:r>
        <w:tab/>
      </w:r>
      <w:r>
        <w:fldChar w:fldCharType="begin"/>
      </w:r>
      <w:r>
        <w:instrText xml:space="preserve"> PAGEREF _Toc158021900 \h </w:instrText>
      </w:r>
      <w:r>
        <w:fldChar w:fldCharType="separate"/>
      </w:r>
      <w:r>
        <w:t>59</w:t>
      </w:r>
      <w:r>
        <w:fldChar w:fldCharType="end"/>
      </w:r>
    </w:p>
    <w:p>
      <w:pPr>
        <w:pStyle w:val="TOC8"/>
        <w:rPr>
          <w:sz w:val="24"/>
          <w:szCs w:val="24"/>
        </w:rPr>
      </w:pPr>
      <w:r>
        <w:rPr>
          <w:szCs w:val="22"/>
        </w:rPr>
        <w:t>11.</w:t>
      </w:r>
      <w:r>
        <w:rPr>
          <w:szCs w:val="22"/>
        </w:rPr>
        <w:tab/>
        <w:t>Voting</w:t>
      </w:r>
      <w:r>
        <w:tab/>
      </w:r>
      <w:r>
        <w:fldChar w:fldCharType="begin"/>
      </w:r>
      <w:r>
        <w:instrText xml:space="preserve"> PAGEREF _Toc158021901 \h </w:instrText>
      </w:r>
      <w:r>
        <w:fldChar w:fldCharType="separate"/>
      </w:r>
      <w:r>
        <w:t>59</w:t>
      </w:r>
      <w:r>
        <w:fldChar w:fldCharType="end"/>
      </w:r>
    </w:p>
    <w:p>
      <w:pPr>
        <w:pStyle w:val="TOC8"/>
        <w:rPr>
          <w:sz w:val="24"/>
          <w:szCs w:val="24"/>
        </w:rPr>
      </w:pPr>
      <w:r>
        <w:rPr>
          <w:szCs w:val="22"/>
        </w:rPr>
        <w:t>12.</w:t>
      </w:r>
      <w:r>
        <w:rPr>
          <w:szCs w:val="22"/>
        </w:rPr>
        <w:tab/>
        <w:t>Minutes</w:t>
      </w:r>
      <w:r>
        <w:tab/>
      </w:r>
      <w:r>
        <w:fldChar w:fldCharType="begin"/>
      </w:r>
      <w:r>
        <w:instrText xml:space="preserve"> PAGEREF _Toc158021902 \h </w:instrText>
      </w:r>
      <w:r>
        <w:fldChar w:fldCharType="separate"/>
      </w:r>
      <w:r>
        <w:t>59</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_Toc158021903 \h </w:instrText>
      </w:r>
      <w:r>
        <w:fldChar w:fldCharType="separate"/>
      </w:r>
      <w:r>
        <w:t>59</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_Toc158021904 \h </w:instrText>
      </w:r>
      <w:r>
        <w:fldChar w:fldCharType="separate"/>
      </w:r>
      <w:r>
        <w:t>59</w:t>
      </w:r>
      <w:r>
        <w:fldChar w:fldCharType="end"/>
      </w:r>
    </w:p>
    <w:p>
      <w:pPr>
        <w:pStyle w:val="TOC8"/>
        <w:rPr>
          <w:sz w:val="24"/>
          <w:szCs w:val="24"/>
        </w:rPr>
      </w:pPr>
      <w:r>
        <w:rPr>
          <w:szCs w:val="22"/>
        </w:rPr>
        <w:t>15.</w:t>
      </w:r>
      <w:r>
        <w:rPr>
          <w:szCs w:val="22"/>
        </w:rPr>
        <w:tab/>
        <w:t>Committees</w:t>
      </w:r>
      <w:r>
        <w:tab/>
      </w:r>
      <w:r>
        <w:fldChar w:fldCharType="begin"/>
      </w:r>
      <w:r>
        <w:instrText xml:space="preserve"> PAGEREF _Toc158021905 \h </w:instrText>
      </w:r>
      <w:r>
        <w:fldChar w:fldCharType="separate"/>
      </w:r>
      <w:r>
        <w:t>59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Meaning of “member”</w:t>
      </w:r>
      <w:r>
        <w:tab/>
      </w:r>
      <w:r>
        <w:fldChar w:fldCharType="begin"/>
      </w:r>
      <w:r>
        <w:instrText xml:space="preserve"> PAGEREF _Toc158021907 \h </w:instrText>
      </w:r>
      <w:r>
        <w:fldChar w:fldCharType="separate"/>
      </w:r>
      <w:r>
        <w:t>60</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_Toc158021908 \h </w:instrText>
      </w:r>
      <w:r>
        <w:fldChar w:fldCharType="separate"/>
      </w:r>
      <w:r>
        <w:t>60</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_Toc158021909 \h </w:instrText>
      </w:r>
      <w:r>
        <w:fldChar w:fldCharType="separate"/>
      </w:r>
      <w:r>
        <w:t>60</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_Toc158021910 \h </w:instrText>
      </w:r>
      <w:r>
        <w:fldChar w:fldCharType="separate"/>
      </w:r>
      <w:r>
        <w:t>61</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_Toc158021911 \h </w:instrText>
      </w:r>
      <w:r>
        <w:fldChar w:fldCharType="separate"/>
      </w:r>
      <w:r>
        <w:t>61</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_Toc158021912 \h </w:instrText>
      </w:r>
      <w:r>
        <w:fldChar w:fldCharType="separate"/>
      </w:r>
      <w:r>
        <w:t>61</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1 — Repeals</w:t>
      </w:r>
    </w:p>
    <w:p>
      <w:pPr>
        <w:pStyle w:val="TOC8"/>
        <w:rPr>
          <w:sz w:val="24"/>
          <w:szCs w:val="24"/>
        </w:rPr>
      </w:pPr>
      <w:r>
        <w:rPr>
          <w:szCs w:val="22"/>
        </w:rPr>
        <w:t>1.</w:t>
      </w:r>
      <w:r>
        <w:rPr>
          <w:szCs w:val="22"/>
        </w:rPr>
        <w:tab/>
      </w:r>
      <w:r>
        <w:rPr>
          <w:i/>
          <w:iCs/>
          <w:szCs w:val="22"/>
        </w:rPr>
        <w:t>Tobacco Control Act 1990</w:t>
      </w:r>
      <w:r>
        <w:rPr>
          <w:szCs w:val="22"/>
        </w:rPr>
        <w:t xml:space="preserve"> repealed</w:t>
      </w:r>
      <w:r>
        <w:tab/>
      </w:r>
      <w:r>
        <w:fldChar w:fldCharType="begin"/>
      </w:r>
      <w:r>
        <w:instrText xml:space="preserve"> PAGEREF _Toc158021915 \h </w:instrText>
      </w:r>
      <w:r>
        <w:fldChar w:fldCharType="separate"/>
      </w:r>
      <w:r>
        <w:t>62</w:t>
      </w:r>
      <w:r>
        <w:fldChar w:fldCharType="end"/>
      </w:r>
    </w:p>
    <w:p>
      <w:pPr>
        <w:pStyle w:val="TOC8"/>
        <w:rPr>
          <w:sz w:val="24"/>
          <w:szCs w:val="24"/>
        </w:rPr>
      </w:pPr>
      <w:r>
        <w:rPr>
          <w:szCs w:val="22"/>
        </w:rPr>
        <w:t>2.</w:t>
      </w:r>
      <w:r>
        <w:rPr>
          <w:szCs w:val="22"/>
        </w:rPr>
        <w:tab/>
        <w:t xml:space="preserve">Regulations under the </w:t>
      </w:r>
      <w:r>
        <w:rPr>
          <w:i/>
          <w:iCs/>
          <w:szCs w:val="22"/>
        </w:rPr>
        <w:t>Tobacco Control Act 1990</w:t>
      </w:r>
      <w:r>
        <w:rPr>
          <w:szCs w:val="22"/>
        </w:rPr>
        <w:t xml:space="preserve"> repealed</w:t>
      </w:r>
      <w:r>
        <w:tab/>
      </w:r>
      <w:r>
        <w:fldChar w:fldCharType="begin"/>
      </w:r>
      <w:r>
        <w:instrText xml:space="preserve"> PAGEREF _Toc158021916 \h </w:instrText>
      </w:r>
      <w:r>
        <w:fldChar w:fldCharType="separate"/>
      </w:r>
      <w:r>
        <w:t>62</w:t>
      </w:r>
      <w:r>
        <w:fldChar w:fldCharType="end"/>
      </w:r>
    </w:p>
    <w:p>
      <w:pPr>
        <w:pStyle w:val="TOC8"/>
        <w:rPr>
          <w:sz w:val="24"/>
          <w:szCs w:val="24"/>
        </w:rPr>
      </w:pPr>
      <w:r>
        <w:rPr>
          <w:szCs w:val="22"/>
        </w:rPr>
        <w:t>3.</w:t>
      </w:r>
      <w:r>
        <w:rPr>
          <w:szCs w:val="22"/>
        </w:rPr>
        <w:tab/>
        <w:t xml:space="preserve">Regulations under the </w:t>
      </w:r>
      <w:r>
        <w:rPr>
          <w:i/>
          <w:iCs/>
          <w:szCs w:val="22"/>
        </w:rPr>
        <w:t>Health Act 1911</w:t>
      </w:r>
      <w:r>
        <w:rPr>
          <w:szCs w:val="22"/>
        </w:rPr>
        <w:t xml:space="preserve"> Part IXB repealed</w:t>
      </w:r>
      <w:r>
        <w:tab/>
      </w:r>
      <w:r>
        <w:fldChar w:fldCharType="begin"/>
      </w:r>
      <w:r>
        <w:instrText xml:space="preserve"> PAGEREF _Toc158021917 \h </w:instrText>
      </w:r>
      <w:r>
        <w:fldChar w:fldCharType="separate"/>
      </w:r>
      <w:r>
        <w:t>62</w:t>
      </w:r>
      <w:r>
        <w:fldChar w:fldCharType="end"/>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Interpretation of this Division</w:t>
      </w:r>
      <w:r>
        <w:tab/>
      </w:r>
      <w:r>
        <w:fldChar w:fldCharType="begin"/>
      </w:r>
      <w:r>
        <w:instrText xml:space="preserve"> PAGEREF _Toc158021919 \h </w:instrText>
      </w:r>
      <w:r>
        <w:fldChar w:fldCharType="separate"/>
      </w:r>
      <w:r>
        <w:t>62</w:t>
      </w:r>
      <w:r>
        <w:fldChar w:fldCharType="end"/>
      </w:r>
    </w:p>
    <w:p>
      <w:pPr>
        <w:pStyle w:val="TOC8"/>
        <w:rPr>
          <w:sz w:val="24"/>
          <w:szCs w:val="24"/>
        </w:rPr>
      </w:pPr>
      <w:r>
        <w:rPr>
          <w:szCs w:val="22"/>
        </w:rPr>
        <w:t>5.</w:t>
      </w:r>
      <w:r>
        <w:rPr>
          <w:szCs w:val="22"/>
        </w:rPr>
        <w:tab/>
      </w:r>
      <w:r>
        <w:rPr>
          <w:i/>
          <w:iCs/>
          <w:szCs w:val="22"/>
        </w:rPr>
        <w:t>Interpretation Act 1984</w:t>
      </w:r>
      <w:r>
        <w:rPr>
          <w:szCs w:val="22"/>
        </w:rPr>
        <w:t xml:space="preserve"> not affected</w:t>
      </w:r>
      <w:r>
        <w:tab/>
      </w:r>
      <w:r>
        <w:fldChar w:fldCharType="begin"/>
      </w:r>
      <w:r>
        <w:instrText xml:space="preserve"> PAGEREF _Toc158021920 \h </w:instrText>
      </w:r>
      <w:r>
        <w:fldChar w:fldCharType="separate"/>
      </w:r>
      <w:r>
        <w:t>63</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_Toc158021921 \h </w:instrText>
      </w:r>
      <w:r>
        <w:fldChar w:fldCharType="separate"/>
      </w:r>
      <w:r>
        <w:t>63</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_Toc158021922 \h </w:instrText>
      </w:r>
      <w:r>
        <w:fldChar w:fldCharType="separate"/>
      </w:r>
      <w:r>
        <w:t>64</w:t>
      </w:r>
      <w:r>
        <w:fldChar w:fldCharType="end"/>
      </w:r>
    </w:p>
    <w:p>
      <w:pPr>
        <w:pStyle w:val="TOC8"/>
        <w:rPr>
          <w:sz w:val="24"/>
          <w:szCs w:val="24"/>
        </w:rPr>
      </w:pPr>
      <w:r>
        <w:rPr>
          <w:szCs w:val="22"/>
        </w:rPr>
        <w:t>8.</w:t>
      </w:r>
      <w:r>
        <w:rPr>
          <w:szCs w:val="22"/>
        </w:rPr>
        <w:tab/>
        <w:t>Staff</w:t>
      </w:r>
      <w:r>
        <w:tab/>
      </w:r>
      <w:r>
        <w:fldChar w:fldCharType="begin"/>
      </w:r>
      <w:r>
        <w:instrText xml:space="preserve"> PAGEREF _Toc158021923 \h </w:instrText>
      </w:r>
      <w:r>
        <w:fldChar w:fldCharType="separate"/>
      </w:r>
      <w:r>
        <w:t>64</w:t>
      </w:r>
      <w:r>
        <w:fldChar w:fldCharType="end"/>
      </w:r>
    </w:p>
    <w:p>
      <w:pPr>
        <w:pStyle w:val="TOC8"/>
        <w:rPr>
          <w:sz w:val="24"/>
          <w:szCs w:val="24"/>
        </w:rPr>
      </w:pPr>
      <w:r>
        <w:rPr>
          <w:szCs w:val="22"/>
        </w:rPr>
        <w:t>9.</w:t>
      </w:r>
      <w:r>
        <w:rPr>
          <w:szCs w:val="22"/>
        </w:rPr>
        <w:tab/>
      </w:r>
      <w:r>
        <w:rPr>
          <w:sz w:val="24"/>
          <w:szCs w:val="22"/>
        </w:rPr>
        <w:t>Account</w:t>
      </w:r>
      <w:r>
        <w:tab/>
      </w:r>
      <w:r>
        <w:fldChar w:fldCharType="begin"/>
      </w:r>
      <w:r>
        <w:instrText xml:space="preserve"> PAGEREF _Toc158021924 \h </w:instrText>
      </w:r>
      <w:r>
        <w:fldChar w:fldCharType="separate"/>
      </w:r>
      <w:r>
        <w:t>65</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_Toc158021925 \h </w:instrText>
      </w:r>
      <w:r>
        <w:fldChar w:fldCharType="separate"/>
      </w:r>
      <w:r>
        <w:t>65</w:t>
      </w:r>
      <w:r>
        <w:fldChar w:fldCharType="end"/>
      </w:r>
    </w:p>
    <w:p>
      <w:pPr>
        <w:pStyle w:val="TOC4"/>
        <w:tabs>
          <w:tab w:val="right" w:leader="dot" w:pos="7086"/>
        </w:tabs>
        <w:rPr>
          <w:b w:val="0"/>
          <w:sz w:val="24"/>
          <w:szCs w:val="24"/>
        </w:rPr>
      </w:pPr>
      <w:r>
        <w:rPr>
          <w:szCs w:val="24"/>
        </w:rPr>
        <w:t>Division 3 — Consequential amendments to other Acts</w:t>
      </w:r>
    </w:p>
    <w:p>
      <w:pPr>
        <w:pStyle w:val="TOC8"/>
        <w:rPr>
          <w:sz w:val="24"/>
          <w:szCs w:val="24"/>
        </w:rPr>
      </w:pPr>
      <w:r>
        <w:rPr>
          <w:szCs w:val="22"/>
        </w:rPr>
        <w:t>11.</w:t>
      </w:r>
      <w:r>
        <w:rPr>
          <w:szCs w:val="22"/>
        </w:rPr>
        <w:tab/>
      </w:r>
      <w:r>
        <w:rPr>
          <w:i/>
          <w:iCs/>
          <w:szCs w:val="22"/>
        </w:rPr>
        <w:t>Constitution Acts Amendment Act 1899</w:t>
      </w:r>
      <w:r>
        <w:rPr>
          <w:szCs w:val="22"/>
        </w:rPr>
        <w:t xml:space="preserve"> amended</w:t>
      </w:r>
      <w:r>
        <w:tab/>
      </w:r>
      <w:r>
        <w:fldChar w:fldCharType="begin"/>
      </w:r>
      <w:r>
        <w:instrText xml:space="preserve"> PAGEREF _Toc158021927 \h </w:instrText>
      </w:r>
      <w:r>
        <w:fldChar w:fldCharType="separate"/>
      </w:r>
      <w:r>
        <w:t>65</w:t>
      </w:r>
      <w:r>
        <w:fldChar w:fldCharType="end"/>
      </w:r>
    </w:p>
    <w:p>
      <w:pPr>
        <w:pStyle w:val="TOC8"/>
        <w:rPr>
          <w:sz w:val="24"/>
          <w:szCs w:val="24"/>
        </w:rPr>
      </w:pPr>
      <w:r>
        <w:rPr>
          <w:szCs w:val="22"/>
        </w:rPr>
        <w:t>12.</w:t>
      </w:r>
      <w:r>
        <w:rPr>
          <w:szCs w:val="22"/>
        </w:rPr>
        <w:tab/>
      </w:r>
      <w:r>
        <w:rPr>
          <w:i/>
          <w:iCs/>
          <w:snapToGrid w:val="0"/>
          <w:szCs w:val="22"/>
        </w:rPr>
        <w:t>Health Act 1911</w:t>
      </w:r>
      <w:r>
        <w:rPr>
          <w:snapToGrid w:val="0"/>
          <w:szCs w:val="22"/>
        </w:rPr>
        <w:t xml:space="preserve"> amended</w:t>
      </w:r>
      <w:r>
        <w:tab/>
      </w:r>
      <w:r>
        <w:fldChar w:fldCharType="begin"/>
      </w:r>
      <w:r>
        <w:instrText xml:space="preserve"> PAGEREF _Toc158021928 \h </w:instrText>
      </w:r>
      <w:r>
        <w:fldChar w:fldCharType="separate"/>
      </w:r>
      <w:r>
        <w:t>65</w:t>
      </w:r>
      <w:r>
        <w:fldChar w:fldCharType="end"/>
      </w:r>
    </w:p>
    <w:p>
      <w:pPr>
        <w:pStyle w:val="TOC2"/>
        <w:tabs>
          <w:tab w:val="right" w:leader="dot" w:pos="7086"/>
        </w:tabs>
        <w:rPr>
          <w:b w:val="0"/>
          <w:sz w:val="24"/>
          <w:szCs w:val="24"/>
        </w:rPr>
      </w:pPr>
      <w:r>
        <w:rPr>
          <w:szCs w:val="28"/>
        </w:rPr>
        <w:t>Glossary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_Toc158021931 \h </w:instrText>
      </w:r>
      <w:r>
        <w:fldChar w:fldCharType="separate"/>
      </w:r>
      <w:r>
        <w:t>72</w:t>
      </w:r>
      <w:r>
        <w:fldChar w:fldCharType="end"/>
      </w:r>
    </w:p>
    <w:p>
      <w:pPr>
        <w:pStyle w:val="TOC8"/>
        <w:rPr>
          <w:sz w:val="24"/>
        </w:rPr>
      </w:pPr>
      <w:r>
        <w:tab/>
        <w:t>Provisions that have not come into operation</w:t>
      </w:r>
      <w:r>
        <w:tab/>
      </w:r>
      <w:r>
        <w:fldChar w:fldCharType="begin"/>
      </w:r>
      <w:r>
        <w:instrText xml:space="preserve"> PAGEREF _Toc158021932 \h </w:instrText>
      </w:r>
      <w:r>
        <w:fldChar w:fldCharType="separate"/>
      </w:r>
      <w:r>
        <w:t>72</w:t>
      </w:r>
      <w:r>
        <w:fldChar w:fldCharType="end"/>
      </w:r>
    </w:p>
    <w:p>
      <w:pPr>
        <w:pStyle w:val="TOC2"/>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2" w:name="_Toc105380262"/>
      <w:bookmarkStart w:id="3" w:name="_Toc105381914"/>
      <w:bookmarkStart w:id="4" w:name="_Toc105385526"/>
      <w:bookmarkStart w:id="5" w:name="_Toc105386752"/>
      <w:bookmarkStart w:id="6" w:name="_Toc105387233"/>
      <w:bookmarkStart w:id="7" w:name="_Toc105389899"/>
      <w:bookmarkStart w:id="8" w:name="_Toc105399202"/>
      <w:bookmarkStart w:id="9" w:name="_Toc105399769"/>
      <w:bookmarkStart w:id="10" w:name="_Toc105409471"/>
      <w:bookmarkStart w:id="11" w:name="_Toc105471978"/>
      <w:bookmarkStart w:id="12" w:name="_Toc105478129"/>
      <w:bookmarkStart w:id="13" w:name="_Toc105479463"/>
      <w:bookmarkStart w:id="14" w:name="_Toc105490751"/>
      <w:bookmarkStart w:id="15" w:name="_Toc105494086"/>
      <w:bookmarkStart w:id="16" w:name="_Toc105563447"/>
      <w:bookmarkStart w:id="17" w:name="_Toc105564075"/>
      <w:bookmarkStart w:id="18" w:name="_Toc105564974"/>
      <w:bookmarkStart w:id="19" w:name="_Toc105575167"/>
      <w:bookmarkStart w:id="20" w:name="_Toc105576545"/>
      <w:bookmarkStart w:id="21" w:name="_Toc105576885"/>
      <w:bookmarkStart w:id="22" w:name="_Toc105577579"/>
      <w:bookmarkStart w:id="23" w:name="_Toc105578177"/>
      <w:bookmarkStart w:id="24" w:name="_Toc105579361"/>
      <w:bookmarkStart w:id="25" w:name="_Toc106073262"/>
      <w:bookmarkStart w:id="26" w:name="_Toc106079483"/>
      <w:bookmarkStart w:id="27" w:name="_Toc106082756"/>
      <w:bookmarkStart w:id="28" w:name="_Toc106091653"/>
      <w:bookmarkStart w:id="29" w:name="_Toc106093385"/>
      <w:bookmarkStart w:id="30" w:name="_Toc106093568"/>
      <w:bookmarkStart w:id="31" w:name="_Toc106094365"/>
      <w:bookmarkStart w:id="32" w:name="_Toc106095974"/>
      <w:bookmarkStart w:id="33" w:name="_Toc106098439"/>
      <w:bookmarkStart w:id="34" w:name="_Toc106161361"/>
      <w:bookmarkStart w:id="35" w:name="_Toc106162201"/>
      <w:bookmarkStart w:id="36" w:name="_Toc106168640"/>
      <w:bookmarkStart w:id="37" w:name="_Toc106171916"/>
      <w:bookmarkStart w:id="38" w:name="_Toc106184540"/>
      <w:bookmarkStart w:id="39" w:name="_Toc106184953"/>
      <w:bookmarkStart w:id="40" w:name="_Toc106186377"/>
      <w:bookmarkStart w:id="41" w:name="_Toc106187425"/>
      <w:bookmarkStart w:id="42" w:name="_Toc106416868"/>
      <w:bookmarkStart w:id="43" w:name="_Toc106438202"/>
      <w:bookmarkStart w:id="44" w:name="_Toc106441737"/>
      <w:bookmarkStart w:id="45" w:name="_Toc106442832"/>
      <w:bookmarkStart w:id="46" w:name="_Toc106510706"/>
      <w:bookmarkStart w:id="47" w:name="_Toc106512211"/>
      <w:bookmarkStart w:id="48" w:name="_Toc106604111"/>
      <w:bookmarkStart w:id="49" w:name="_Toc106608458"/>
      <w:bookmarkStart w:id="50" w:name="_Toc106610464"/>
      <w:bookmarkStart w:id="51" w:name="_Toc106617354"/>
      <w:bookmarkStart w:id="52" w:name="_Toc106618248"/>
      <w:bookmarkStart w:id="53" w:name="_Toc106619246"/>
      <w:bookmarkStart w:id="54" w:name="_Toc106620675"/>
      <w:bookmarkStart w:id="55" w:name="_Toc106621588"/>
      <w:bookmarkStart w:id="56" w:name="_Toc106682748"/>
      <w:bookmarkStart w:id="57" w:name="_Toc106685116"/>
      <w:bookmarkStart w:id="58" w:name="_Toc106686898"/>
      <w:bookmarkStart w:id="59" w:name="_Toc106687299"/>
      <w:bookmarkStart w:id="60" w:name="_Toc106687487"/>
      <w:bookmarkStart w:id="61" w:name="_Toc106687676"/>
      <w:bookmarkStart w:id="62" w:name="_Toc106687869"/>
      <w:bookmarkStart w:id="63" w:name="_Toc106695979"/>
      <w:bookmarkStart w:id="64" w:name="_Toc106696383"/>
      <w:bookmarkStart w:id="65" w:name="_Toc106699859"/>
      <w:bookmarkStart w:id="66" w:name="_Toc106704144"/>
      <w:bookmarkStart w:id="67" w:name="_Toc106775292"/>
      <w:bookmarkStart w:id="68" w:name="_Toc106775756"/>
      <w:bookmarkStart w:id="69" w:name="_Toc107109957"/>
      <w:bookmarkStart w:id="70" w:name="_Toc107111115"/>
      <w:bookmarkStart w:id="71" w:name="_Toc107118229"/>
      <w:bookmarkStart w:id="72" w:name="_Toc107644043"/>
      <w:bookmarkStart w:id="73" w:name="_Toc112830989"/>
      <w:bookmarkStart w:id="74" w:name="_Toc112831184"/>
      <w:bookmarkStart w:id="75" w:name="_Toc112833308"/>
      <w:bookmarkStart w:id="76" w:name="_Toc114569857"/>
      <w:bookmarkStart w:id="77" w:name="_Toc130804941"/>
      <w:bookmarkStart w:id="78" w:name="_Toc130805978"/>
      <w:bookmarkStart w:id="79" w:name="_Toc130811689"/>
      <w:bookmarkStart w:id="80" w:name="_Toc131931415"/>
      <w:bookmarkStart w:id="81" w:name="_Toc131931647"/>
      <w:bookmarkStart w:id="82" w:name="_Toc131932930"/>
      <w:bookmarkStart w:id="83" w:name="_Toc132000913"/>
      <w:bookmarkStart w:id="84" w:name="_Toc133116085"/>
      <w:bookmarkStart w:id="85" w:name="_Toc133119601"/>
      <w:bookmarkStart w:id="86" w:name="_Toc133122050"/>
      <w:bookmarkStart w:id="87" w:name="_Toc141604984"/>
      <w:bookmarkStart w:id="88" w:name="_Toc141696650"/>
      <w:bookmarkStart w:id="89" w:name="_Toc15802177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471793481"/>
      <w:bookmarkStart w:id="91" w:name="_Toc512746194"/>
      <w:bookmarkStart w:id="92" w:name="_Toc515958175"/>
      <w:bookmarkStart w:id="93" w:name="_Toc112830990"/>
      <w:bookmarkStart w:id="94" w:name="_Toc132000914"/>
      <w:bookmarkStart w:id="95" w:name="_Toc158021775"/>
      <w:r>
        <w:rPr>
          <w:rStyle w:val="CharSectno"/>
        </w:rPr>
        <w:t>1</w:t>
      </w:r>
      <w:r>
        <w:rPr>
          <w:snapToGrid w:val="0"/>
        </w:rPr>
        <w:t>.</w:t>
      </w:r>
      <w:r>
        <w:rPr>
          <w:snapToGrid w:val="0"/>
        </w:rPr>
        <w:tab/>
        <w:t>Short title</w:t>
      </w:r>
      <w:bookmarkEnd w:id="90"/>
      <w:bookmarkEnd w:id="91"/>
      <w:bookmarkEnd w:id="92"/>
      <w:bookmarkEnd w:id="93"/>
      <w:bookmarkEnd w:id="94"/>
      <w:bookmarkEnd w:id="95"/>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iCs/>
          <w:snapToGrid w:val="0"/>
        </w:rPr>
        <w:t xml:space="preserve"> </w:t>
      </w:r>
      <w:r>
        <w:rPr>
          <w:iCs/>
          <w:snapToGrid w:val="0"/>
          <w:vertAlign w:val="superscript"/>
        </w:rPr>
        <w:t>1</w:t>
      </w:r>
      <w:r>
        <w:rPr>
          <w:snapToGrid w:val="0"/>
        </w:rPr>
        <w:t>.</w:t>
      </w:r>
    </w:p>
    <w:p>
      <w:pPr>
        <w:pStyle w:val="Heading5"/>
      </w:pPr>
      <w:bookmarkStart w:id="96" w:name="_Toc104887922"/>
      <w:bookmarkStart w:id="97" w:name="_Toc112830991"/>
      <w:bookmarkStart w:id="98" w:name="_Toc132000915"/>
      <w:bookmarkStart w:id="99" w:name="_Toc158021776"/>
      <w:r>
        <w:rPr>
          <w:rStyle w:val="CharSectno"/>
        </w:rPr>
        <w:t>2</w:t>
      </w:r>
      <w:r>
        <w:t>.</w:t>
      </w:r>
      <w:r>
        <w:tab/>
        <w:t>Commencement</w:t>
      </w:r>
      <w:bookmarkEnd w:id="96"/>
      <w:bookmarkEnd w:id="97"/>
      <w:bookmarkEnd w:id="98"/>
      <w:bookmarkEnd w:id="99"/>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00" w:name="_Toc133292814"/>
      <w:bookmarkStart w:id="101" w:name="_Toc158021777"/>
      <w:r>
        <w:rPr>
          <w:rStyle w:val="CharSectno"/>
        </w:rPr>
        <w:t>3</w:t>
      </w:r>
      <w:r>
        <w:t>.</w:t>
      </w:r>
      <w:r>
        <w:tab/>
        <w:t>Purposes of the Act</w:t>
      </w:r>
      <w:bookmarkEnd w:id="100"/>
      <w:bookmarkEnd w:id="101"/>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02" w:name="_Toc133292815"/>
      <w:bookmarkStart w:id="103" w:name="_Toc158021778"/>
      <w:r>
        <w:rPr>
          <w:rStyle w:val="CharSectno"/>
        </w:rPr>
        <w:t>4</w:t>
      </w:r>
      <w:r>
        <w:t>.</w:t>
      </w:r>
      <w:r>
        <w:tab/>
        <w:t>Meanings of terms used in this Act</w:t>
      </w:r>
      <w:bookmarkEnd w:id="102"/>
      <w:bookmarkEnd w:id="103"/>
    </w:p>
    <w:p>
      <w:pPr>
        <w:pStyle w:val="Subsection"/>
      </w:pPr>
      <w:r>
        <w:tab/>
      </w:r>
      <w:r>
        <w:tab/>
        <w:t>The Glossary at the end of this Act defines or affects the meaning of some of the words and expressions used in this Act.</w:t>
      </w:r>
    </w:p>
    <w:p>
      <w:pPr>
        <w:pStyle w:val="Heading5"/>
      </w:pPr>
      <w:bookmarkStart w:id="104" w:name="_Toc133292816"/>
      <w:bookmarkStart w:id="105" w:name="_Toc158021779"/>
      <w:r>
        <w:rPr>
          <w:rStyle w:val="CharSectno"/>
        </w:rPr>
        <w:t>5</w:t>
      </w:r>
      <w:r>
        <w:t>.</w:t>
      </w:r>
      <w:r>
        <w:tab/>
        <w:t>Application to Crown</w:t>
      </w:r>
      <w:bookmarkEnd w:id="104"/>
      <w:bookmarkEnd w:id="105"/>
    </w:p>
    <w:p>
      <w:pPr>
        <w:pStyle w:val="Subsection"/>
      </w:pPr>
      <w:r>
        <w:tab/>
      </w:r>
      <w:r>
        <w:tab/>
        <w:t>This Act binds the Crown.</w:t>
      </w:r>
    </w:p>
    <w:p>
      <w:pPr>
        <w:pStyle w:val="Heading2"/>
      </w:pPr>
      <w:bookmarkStart w:id="106" w:name="_Toc133292817"/>
      <w:bookmarkStart w:id="107" w:name="_Toc141604990"/>
      <w:bookmarkStart w:id="108" w:name="_Toc141696656"/>
      <w:bookmarkStart w:id="109" w:name="_Toc158021780"/>
      <w:r>
        <w:rPr>
          <w:rStyle w:val="CharPartNo"/>
        </w:rPr>
        <w:t>Part 2</w:t>
      </w:r>
      <w:r>
        <w:t> — </w:t>
      </w:r>
      <w:r>
        <w:rPr>
          <w:rStyle w:val="CharPartText"/>
        </w:rPr>
        <w:t>Sale and supply</w:t>
      </w:r>
      <w:bookmarkEnd w:id="106"/>
      <w:bookmarkEnd w:id="107"/>
      <w:bookmarkEnd w:id="108"/>
      <w:bookmarkEnd w:id="109"/>
    </w:p>
    <w:p>
      <w:pPr>
        <w:pStyle w:val="Heading3"/>
      </w:pPr>
      <w:bookmarkStart w:id="110" w:name="_Toc133292818"/>
      <w:bookmarkStart w:id="111" w:name="_Toc141604991"/>
      <w:bookmarkStart w:id="112" w:name="_Toc141696657"/>
      <w:bookmarkStart w:id="113" w:name="_Toc158021781"/>
      <w:r>
        <w:rPr>
          <w:rStyle w:val="CharDivNo"/>
        </w:rPr>
        <w:t>Division 1</w:t>
      </w:r>
      <w:r>
        <w:t> — </w:t>
      </w:r>
      <w:r>
        <w:rPr>
          <w:rStyle w:val="CharDivText"/>
        </w:rPr>
        <w:t>Supply to people under 18</w:t>
      </w:r>
      <w:bookmarkEnd w:id="110"/>
      <w:bookmarkEnd w:id="111"/>
      <w:bookmarkEnd w:id="112"/>
      <w:bookmarkEnd w:id="113"/>
    </w:p>
    <w:p>
      <w:pPr>
        <w:pStyle w:val="Heading5"/>
        <w:rPr>
          <w:snapToGrid w:val="0"/>
        </w:rPr>
      </w:pPr>
      <w:bookmarkStart w:id="114" w:name="_Toc133292819"/>
      <w:bookmarkStart w:id="115" w:name="_Toc158021782"/>
      <w:r>
        <w:rPr>
          <w:rStyle w:val="CharSectno"/>
        </w:rPr>
        <w:t>6</w:t>
      </w:r>
      <w:r>
        <w:t>.</w:t>
      </w:r>
      <w:r>
        <w:tab/>
      </w:r>
      <w:r>
        <w:rPr>
          <w:snapToGrid w:val="0"/>
        </w:rPr>
        <w:t>Supply etc. to people under 18 prohibited</w:t>
      </w:r>
      <w:bookmarkEnd w:id="114"/>
      <w:bookmarkEnd w:id="115"/>
    </w:p>
    <w:p>
      <w:pPr>
        <w:pStyle w:val="Subsection"/>
        <w:rPr>
          <w:snapToGrid w:val="0"/>
        </w:rPr>
      </w:pPr>
      <w:r>
        <w:rPr>
          <w:snapToGrid w:val="0"/>
        </w:rPr>
        <w:tab/>
      </w:r>
      <w:r>
        <w:rPr>
          <w:snapToGrid w:val="0"/>
        </w:rPr>
        <w:tab/>
        <w:t xml:space="preserve">A person must not sell, supply or deliver a tobacco product </w:t>
      </w:r>
      <w:r>
        <w:t>or smoking implement</w:t>
      </w:r>
      <w:r>
        <w:rPr>
          <w:i/>
          <w:iCs/>
        </w:rPr>
        <w:t xml:space="preserve"> </w:t>
      </w:r>
      <w:r>
        <w:rPr>
          <w:snapToGrid w:val="0"/>
        </w:rPr>
        <w:t>to a person who has not reached 18 years of age.</w:t>
      </w:r>
    </w:p>
    <w:p>
      <w:pPr>
        <w:pStyle w:val="Subsection"/>
        <w:ind w:left="1474"/>
      </w:pPr>
      <w:r>
        <w:tab/>
        <w:t>Penalty: see section 115.</w:t>
      </w:r>
    </w:p>
    <w:p>
      <w:pPr>
        <w:pStyle w:val="Heading5"/>
      </w:pPr>
      <w:bookmarkStart w:id="116" w:name="_Toc133292820"/>
      <w:bookmarkStart w:id="117" w:name="_Toc158021783"/>
      <w:r>
        <w:rPr>
          <w:rStyle w:val="CharSectno"/>
        </w:rPr>
        <w:t>7</w:t>
      </w:r>
      <w:r>
        <w:t>.</w:t>
      </w:r>
      <w:r>
        <w:tab/>
        <w:t>Purchase on behalf of people under 18 prohibited</w:t>
      </w:r>
      <w:bookmarkEnd w:id="116"/>
      <w:bookmarkEnd w:id="117"/>
    </w:p>
    <w:p>
      <w:pPr>
        <w:pStyle w:val="Subsection"/>
        <w:rPr>
          <w:snapToGrid w:val="0"/>
        </w:rPr>
      </w:pPr>
      <w:r>
        <w:tab/>
      </w:r>
      <w:r>
        <w:tab/>
        <w:t>A person must not purchase a tobacco product or smoking implement</w:t>
      </w:r>
      <w:r>
        <w:rPr>
          <w:i/>
          <w:iCs/>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18" w:name="_Toc133292821"/>
      <w:bookmarkStart w:id="119" w:name="_Toc158021784"/>
      <w:r>
        <w:rPr>
          <w:rStyle w:val="CharSectno"/>
        </w:rPr>
        <w:t>8</w:t>
      </w:r>
      <w:r>
        <w:t>.</w:t>
      </w:r>
      <w:r>
        <w:tab/>
        <w:t>Vending machines not to be operated by people under 18</w:t>
      </w:r>
      <w:bookmarkEnd w:id="118"/>
      <w:bookmarkEnd w:id="119"/>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20" w:name="_Toc133292822"/>
      <w:bookmarkStart w:id="121" w:name="_Toc158021785"/>
      <w:r>
        <w:rPr>
          <w:rStyle w:val="CharSectno"/>
        </w:rPr>
        <w:t>9</w:t>
      </w:r>
      <w:r>
        <w:t>.</w:t>
      </w:r>
      <w:r>
        <w:tab/>
        <w:t>Indirect sales: proof of age required</w:t>
      </w:r>
      <w:bookmarkEnd w:id="120"/>
      <w:bookmarkEnd w:id="121"/>
    </w:p>
    <w:p>
      <w:pPr>
        <w:pStyle w:val="Subsection"/>
        <w:keepNext/>
        <w:keepLines/>
        <w:spacing w:before="120"/>
      </w:pPr>
      <w:r>
        <w:tab/>
      </w:r>
      <w:r>
        <w:tab/>
        <w:t>A person who is requested to sell a tobacco product or smoking implement</w:t>
      </w:r>
      <w:r>
        <w:rPr>
          <w:i/>
          <w:iCs/>
        </w:rPr>
        <w:t xml:space="preserve"> </w:t>
      </w:r>
      <w:r>
        <w:t>by way of an indirect sale must not authorise or allow the tobacco product or smoking implement</w:t>
      </w:r>
      <w:r>
        <w:rPr>
          <w:i/>
          <w:iCs/>
        </w:rPr>
        <w:t xml:space="preserve"> </w:t>
      </w:r>
      <w:r>
        <w:t>to be delivered unless the person who is to take possession of the tobacco product or smoking implement</w:t>
      </w:r>
      <w:r>
        <w:rPr>
          <w:i/>
          <w:iCs/>
        </w:rPr>
        <w:t xml:space="preserve"> </w:t>
      </w:r>
      <w:r>
        <w:t>produces evidence that he or she has reached 18 years of age.</w:t>
      </w:r>
    </w:p>
    <w:p>
      <w:pPr>
        <w:pStyle w:val="Subsection"/>
        <w:ind w:left="1474"/>
      </w:pPr>
      <w:r>
        <w:tab/>
        <w:t>Penalty: see section 115.</w:t>
      </w:r>
    </w:p>
    <w:p>
      <w:pPr>
        <w:pStyle w:val="Heading5"/>
      </w:pPr>
      <w:bookmarkStart w:id="122" w:name="_Toc133292823"/>
      <w:bookmarkStart w:id="123" w:name="_Toc158021786"/>
      <w:r>
        <w:rPr>
          <w:rStyle w:val="CharSectno"/>
        </w:rPr>
        <w:t>10</w:t>
      </w:r>
      <w:r>
        <w:t>.</w:t>
      </w:r>
      <w:r>
        <w:tab/>
        <w:t>Marking of goods for delivery</w:t>
      </w:r>
      <w:bookmarkEnd w:id="122"/>
      <w:bookmarkEnd w:id="123"/>
    </w:p>
    <w:p>
      <w:pPr>
        <w:pStyle w:val="Subsection"/>
        <w:spacing w:before="120"/>
      </w:pPr>
      <w:r>
        <w:tab/>
      </w:r>
      <w:r>
        <w:tab/>
        <w:t>A person who authorises a tobacco product or smoking implement</w:t>
      </w:r>
      <w:r>
        <w:rPr>
          <w:i/>
          <w:iCs/>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24" w:name="_Toc133292824"/>
      <w:bookmarkStart w:id="125" w:name="_Toc158021787"/>
      <w:r>
        <w:rPr>
          <w:rStyle w:val="CharSectno"/>
        </w:rPr>
        <w:t>11</w:t>
      </w:r>
      <w:r>
        <w:t>.</w:t>
      </w:r>
      <w:r>
        <w:tab/>
        <w:t>Delivery of goods: proof of age required</w:t>
      </w:r>
      <w:bookmarkEnd w:id="124"/>
      <w:bookmarkEnd w:id="125"/>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26" w:name="_Toc133292825"/>
      <w:bookmarkStart w:id="127" w:name="_Toc158021788"/>
      <w:r>
        <w:rPr>
          <w:rStyle w:val="CharSectno"/>
        </w:rPr>
        <w:t>12</w:t>
      </w:r>
      <w:r>
        <w:t>.</w:t>
      </w:r>
      <w:r>
        <w:tab/>
        <w:t>Refusal of supply etc. if no proof of age</w:t>
      </w:r>
      <w:bookmarkEnd w:id="126"/>
      <w:bookmarkEnd w:id="127"/>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bCs/>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iCs/>
        </w:rPr>
        <w:t xml:space="preserve"> </w:t>
      </w:r>
      <w:r>
        <w:t>produces evidence that he or she has reached 18 years of age.</w:t>
      </w:r>
    </w:p>
    <w:p>
      <w:pPr>
        <w:pStyle w:val="Heading5"/>
      </w:pPr>
      <w:bookmarkStart w:id="128" w:name="_Toc133292826"/>
      <w:bookmarkStart w:id="129" w:name="_Toc158021789"/>
      <w:r>
        <w:rPr>
          <w:rStyle w:val="CharSectno"/>
        </w:rPr>
        <w:t>13</w:t>
      </w:r>
      <w:r>
        <w:t>.</w:t>
      </w:r>
      <w:r>
        <w:tab/>
        <w:t>Defence: age of receiver</w:t>
      </w:r>
      <w:bookmarkEnd w:id="128"/>
      <w:bookmarkEnd w:id="129"/>
    </w:p>
    <w:p>
      <w:pPr>
        <w:pStyle w:val="Subsection"/>
      </w:pPr>
      <w:r>
        <w:tab/>
        <w:t>(1)</w:t>
      </w:r>
      <w:r>
        <w:tab/>
        <w:t xml:space="preserve">In this section — </w:t>
      </w:r>
    </w:p>
    <w:p>
      <w:pPr>
        <w:pStyle w:val="Defstart"/>
      </w:pPr>
      <w:r>
        <w:rPr>
          <w:b/>
        </w:rPr>
        <w:tab/>
        <w:t>“</w:t>
      </w:r>
      <w:r>
        <w:rPr>
          <w:rStyle w:val="CharDefText"/>
        </w:rPr>
        <w:t>receiver</w:t>
      </w:r>
      <w:r>
        <w:rPr>
          <w:b/>
        </w:rPr>
        <w:t>”</w:t>
      </w:r>
      <w:r>
        <w:t xml:space="preserve"> means — </w:t>
      </w:r>
    </w:p>
    <w:p>
      <w:pPr>
        <w:pStyle w:val="Defpara"/>
      </w:pPr>
      <w:r>
        <w:tab/>
        <w:t>(a)</w:t>
      </w:r>
      <w:r>
        <w:tab/>
        <w:t>a person to whom a tobacco product or smoking implement</w:t>
      </w:r>
      <w:r>
        <w:rPr>
          <w:i/>
          <w:iCs/>
        </w:rPr>
        <w:t xml:space="preserve"> </w:t>
      </w:r>
      <w:r>
        <w:t>was sold, supplied or delivered;</w:t>
      </w:r>
    </w:p>
    <w:p>
      <w:pPr>
        <w:pStyle w:val="Defpara"/>
      </w:pPr>
      <w:r>
        <w:tab/>
        <w:t>(b)</w:t>
      </w:r>
      <w:r>
        <w:tab/>
        <w:t>a person on whose behalf a tobacco product or smoking implement</w:t>
      </w:r>
      <w:r>
        <w:rPr>
          <w:i/>
          <w:iCs/>
        </w:rPr>
        <w:t xml:space="preserve"> </w:t>
      </w:r>
      <w:r>
        <w:t xml:space="preserve">was purchased; or </w:t>
      </w:r>
    </w:p>
    <w:p>
      <w:pPr>
        <w:pStyle w:val="Defpara"/>
      </w:pPr>
      <w:r>
        <w:tab/>
        <w:t>(c)</w:t>
      </w:r>
      <w:r>
        <w:tab/>
        <w:t>a person who obtained a tobacco product from a vending machine,</w:t>
      </w:r>
    </w:p>
    <w:p>
      <w:pPr>
        <w:pStyle w:val="Defstart"/>
      </w:pPr>
      <w:r>
        <w:tab/>
      </w:r>
      <w:r>
        <w:tab/>
        <w:t>as is relevant to the case;</w:t>
      </w:r>
    </w:p>
    <w:p>
      <w:pPr>
        <w:pStyle w:val="Defstart"/>
      </w:pPr>
      <w:r>
        <w:rPr>
          <w:b/>
        </w:rPr>
        <w:tab/>
        <w:t>“</w:t>
      </w:r>
      <w:r>
        <w:rPr>
          <w:rStyle w:val="CharDefText"/>
        </w:rPr>
        <w:t>relevant time</w:t>
      </w:r>
      <w:r>
        <w:rPr>
          <w:b/>
        </w:rPr>
        <w:t>”</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30" w:name="_Toc133292827"/>
      <w:bookmarkStart w:id="131" w:name="_Toc158021790"/>
      <w:r>
        <w:rPr>
          <w:rStyle w:val="CharSectno"/>
        </w:rPr>
        <w:t>14</w:t>
      </w:r>
      <w:r>
        <w:t>.</w:t>
      </w:r>
      <w:r>
        <w:tab/>
        <w:t>Defence: Australia Post workers</w:t>
      </w:r>
      <w:bookmarkEnd w:id="130"/>
      <w:bookmarkEnd w:id="131"/>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iCs/>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32" w:name="_Toc133292828"/>
      <w:bookmarkStart w:id="133" w:name="_Toc158021791"/>
      <w:r>
        <w:rPr>
          <w:rStyle w:val="CharSectno"/>
        </w:rPr>
        <w:t>15</w:t>
      </w:r>
      <w:r>
        <w:t>.</w:t>
      </w:r>
      <w:r>
        <w:tab/>
        <w:t>Proof of age</w:t>
      </w:r>
      <w:bookmarkEnd w:id="132"/>
      <w:bookmarkEnd w:id="133"/>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34" w:name="_Toc133292829"/>
      <w:bookmarkStart w:id="135" w:name="_Toc141605002"/>
      <w:bookmarkStart w:id="136" w:name="_Toc141696668"/>
      <w:bookmarkStart w:id="137" w:name="_Toc158021792"/>
      <w:r>
        <w:rPr>
          <w:rStyle w:val="CharDivNo"/>
        </w:rPr>
        <w:t>Division 2</w:t>
      </w:r>
      <w:r>
        <w:t> — </w:t>
      </w:r>
      <w:r>
        <w:rPr>
          <w:rStyle w:val="CharDivText"/>
        </w:rPr>
        <w:t>Sale of tobacco products</w:t>
      </w:r>
      <w:bookmarkEnd w:id="134"/>
      <w:bookmarkEnd w:id="135"/>
      <w:bookmarkEnd w:id="136"/>
      <w:bookmarkEnd w:id="137"/>
    </w:p>
    <w:p>
      <w:pPr>
        <w:pStyle w:val="Ednotesection"/>
      </w:pPr>
      <w:r>
        <w:t>[</w:t>
      </w:r>
      <w:r>
        <w:rPr>
          <w:b/>
          <w:bCs/>
        </w:rPr>
        <w:t>16-25.</w:t>
      </w:r>
      <w:r>
        <w:tab/>
        <w:t xml:space="preserve">Have not come into operation </w:t>
      </w:r>
      <w:r>
        <w:rPr>
          <w:i w:val="0"/>
          <w:iCs/>
          <w:vertAlign w:val="superscript"/>
        </w:rPr>
        <w:t>2</w:t>
      </w:r>
      <w:r>
        <w:t>.]</w:t>
      </w:r>
    </w:p>
    <w:p>
      <w:pPr>
        <w:pStyle w:val="Heading5"/>
      </w:pPr>
      <w:bookmarkStart w:id="138" w:name="_Toc133292840"/>
      <w:bookmarkStart w:id="139" w:name="_Toc158021793"/>
      <w:r>
        <w:rPr>
          <w:rStyle w:val="CharSectno"/>
        </w:rPr>
        <w:t>26</w:t>
      </w:r>
      <w:r>
        <w:t>.</w:t>
      </w:r>
      <w:r>
        <w:tab/>
        <w:t>Information and advice</w:t>
      </w:r>
      <w:bookmarkEnd w:id="138"/>
      <w:bookmarkEnd w:id="139"/>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Ednotesubsection"/>
      </w:pPr>
      <w:r>
        <w:t>[</w:t>
      </w:r>
      <w:r>
        <w:tab/>
        <w:t>(2)-(4)</w:t>
      </w:r>
      <w:r>
        <w:tab/>
        <w:t xml:space="preserve">have not come into operation </w:t>
      </w:r>
      <w:r>
        <w:rPr>
          <w:i w:val="0"/>
          <w:iCs/>
          <w:vertAlign w:val="superscript"/>
        </w:rPr>
        <w:t>2</w:t>
      </w:r>
      <w:r>
        <w:t>.]</w:t>
      </w:r>
    </w:p>
    <w:p>
      <w:pPr>
        <w:pStyle w:val="Heading5"/>
      </w:pPr>
      <w:bookmarkStart w:id="140" w:name="_Toc133292841"/>
      <w:bookmarkStart w:id="141" w:name="_Toc158021794"/>
      <w:r>
        <w:rPr>
          <w:rStyle w:val="CharSectno"/>
        </w:rPr>
        <w:t>27</w:t>
      </w:r>
      <w:r>
        <w:t>.</w:t>
      </w:r>
      <w:r>
        <w:tab/>
        <w:t>Vending machines restricted to and at certain premises</w:t>
      </w:r>
      <w:bookmarkEnd w:id="140"/>
      <w:bookmarkEnd w:id="141"/>
    </w:p>
    <w:p>
      <w:pPr>
        <w:pStyle w:val="Subsection"/>
        <w:keepNext/>
        <w:keepLines/>
      </w:pPr>
      <w:r>
        <w:tab/>
        <w:t>(1)</w:t>
      </w:r>
      <w:r>
        <w:tab/>
        <w:t>A person must not place, or authorise or allow to be placed, in any premises a vending machine for operation by members of the public unless the premises are licensed premises</w:t>
      </w:r>
      <w:r>
        <w:rPr>
          <w:iCs/>
        </w:rPr>
        <w:t xml:space="preserve"> or </w:t>
      </w:r>
      <w:r>
        <w:t>a mines amenity.</w:t>
      </w:r>
    </w:p>
    <w:p>
      <w:pPr>
        <w:pStyle w:val="Subsection"/>
        <w:rPr>
          <w:i/>
          <w:iCs/>
        </w:rPr>
      </w:pPr>
      <w:r>
        <w:tab/>
        <w:t>(2)</w:t>
      </w:r>
      <w:r>
        <w:tab/>
        <w:t>A person must not place, or authorise or allow to be placed, in premises that are licensed premises or a mines amenity</w:t>
      </w:r>
      <w:r>
        <w:rPr>
          <w:i/>
          <w:iCs/>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142" w:name="_Toc133292842"/>
      <w:bookmarkStart w:id="143" w:name="_Toc158021795"/>
      <w:r>
        <w:rPr>
          <w:rStyle w:val="CharSectno"/>
        </w:rPr>
        <w:t>28</w:t>
      </w:r>
      <w:r>
        <w:t>.</w:t>
      </w:r>
      <w:r>
        <w:tab/>
        <w:t>Mobile selling of tobacco products</w:t>
      </w:r>
      <w:bookmarkEnd w:id="142"/>
      <w:bookmarkEnd w:id="143"/>
    </w:p>
    <w:p>
      <w:pPr>
        <w:pStyle w:val="Subsection"/>
      </w:pPr>
      <w:r>
        <w:tab/>
        <w:t>(1)</w:t>
      </w:r>
      <w:r>
        <w:tab/>
        <w:t xml:space="preserve">In this section — </w:t>
      </w:r>
    </w:p>
    <w:p>
      <w:pPr>
        <w:pStyle w:val="Defstart"/>
      </w:pPr>
      <w:r>
        <w:rPr>
          <w:b/>
        </w:rPr>
        <w:tab/>
        <w:t>“</w:t>
      </w:r>
      <w:r>
        <w:rPr>
          <w:rStyle w:val="CharDefText"/>
        </w:rPr>
        <w:t>carried by</w:t>
      </w:r>
      <w:r>
        <w:rPr>
          <w:b/>
        </w:rPr>
        <w:t>”</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iCs/>
        </w:rPr>
        <w:t xml:space="preserve"> </w:t>
      </w:r>
      <w:r>
        <w:t xml:space="preserve">another person (the </w:t>
      </w:r>
      <w:r>
        <w:rPr>
          <w:b/>
        </w:rPr>
        <w:t>“</w:t>
      </w:r>
      <w:r>
        <w:rPr>
          <w:rStyle w:val="CharDefText"/>
        </w:rPr>
        <w:t>seller</w:t>
      </w:r>
      <w:r>
        <w:rPr>
          <w:b/>
        </w:rPr>
        <w:t>”</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144" w:name="_Toc133292843"/>
      <w:bookmarkStart w:id="145" w:name="_Toc158021796"/>
      <w:r>
        <w:rPr>
          <w:rStyle w:val="CharSectno"/>
        </w:rPr>
        <w:t>29</w:t>
      </w:r>
      <w:r>
        <w:t>.</w:t>
      </w:r>
      <w:r>
        <w:tab/>
        <w:t>Price discounting not to be advertised</w:t>
      </w:r>
      <w:bookmarkEnd w:id="144"/>
      <w:bookmarkEnd w:id="145"/>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146" w:name="_Toc133292844"/>
      <w:bookmarkStart w:id="147" w:name="_Toc158021797"/>
      <w:r>
        <w:rPr>
          <w:rStyle w:val="CharSectno"/>
        </w:rPr>
        <w:t>30</w:t>
      </w:r>
      <w:r>
        <w:t>.</w:t>
      </w:r>
      <w:r>
        <w:tab/>
      </w:r>
      <w:r>
        <w:rPr>
          <w:snapToGrid w:val="0"/>
        </w:rPr>
        <w:t>Smokeless tobacco</w:t>
      </w:r>
      <w:bookmarkEnd w:id="146"/>
      <w:bookmarkEnd w:id="147"/>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148" w:name="_Toc133292845"/>
      <w:bookmarkStart w:id="149" w:name="_Toc141605008"/>
      <w:bookmarkStart w:id="150" w:name="_Toc141696674"/>
      <w:bookmarkStart w:id="151" w:name="_Toc158021798"/>
      <w:r>
        <w:rPr>
          <w:rStyle w:val="CharPartNo"/>
        </w:rPr>
        <w:t>Part 3</w:t>
      </w:r>
      <w:r>
        <w:rPr>
          <w:rStyle w:val="CharDivNo"/>
        </w:rPr>
        <w:t> </w:t>
      </w:r>
      <w:r>
        <w:t>—</w:t>
      </w:r>
      <w:r>
        <w:rPr>
          <w:rStyle w:val="CharDivText"/>
        </w:rPr>
        <w:t> </w:t>
      </w:r>
      <w:r>
        <w:rPr>
          <w:rStyle w:val="CharPartText"/>
        </w:rPr>
        <w:t>Advertising and promotion</w:t>
      </w:r>
      <w:bookmarkEnd w:id="148"/>
      <w:bookmarkEnd w:id="149"/>
      <w:bookmarkEnd w:id="150"/>
      <w:bookmarkEnd w:id="151"/>
    </w:p>
    <w:p>
      <w:pPr>
        <w:pStyle w:val="Heading5"/>
      </w:pPr>
      <w:bookmarkStart w:id="152" w:name="_Toc133292846"/>
      <w:bookmarkStart w:id="153" w:name="_Toc158021799"/>
      <w:r>
        <w:rPr>
          <w:rStyle w:val="CharSectno"/>
        </w:rPr>
        <w:t>31</w:t>
      </w:r>
      <w:r>
        <w:t>.</w:t>
      </w:r>
      <w:r>
        <w:tab/>
        <w:t>Tobacco advertisements restricted</w:t>
      </w:r>
      <w:bookmarkEnd w:id="152"/>
      <w:bookmarkEnd w:id="153"/>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54" w:name="_Toc133292847"/>
      <w:bookmarkStart w:id="155" w:name="_Toc158021800"/>
      <w:r>
        <w:rPr>
          <w:rStyle w:val="CharSectno"/>
        </w:rPr>
        <w:t>32</w:t>
      </w:r>
      <w:r>
        <w:t>.</w:t>
      </w:r>
      <w:r>
        <w:tab/>
        <w:t>Certain advertisements and information not prohibited</w:t>
      </w:r>
      <w:bookmarkEnd w:id="154"/>
      <w:bookmarkEnd w:id="155"/>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r>
      <w:r>
        <w:rPr>
          <w:szCs w:val="22"/>
        </w:rPr>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iCs/>
        </w:rPr>
        <w:t xml:space="preserve"> </w:t>
      </w:r>
      <w:r>
        <w:t>unless the sole or main purpose of the film, video tape, compact disc or digital versatile disc or live stage performance</w:t>
      </w:r>
      <w:r>
        <w:rPr>
          <w:i/>
          <w:iCs/>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156" w:name="_Toc133292848"/>
      <w:bookmarkStart w:id="157" w:name="_Toc158021801"/>
      <w:r>
        <w:rPr>
          <w:rStyle w:val="CharSectno"/>
        </w:rPr>
        <w:t>33</w:t>
      </w:r>
      <w:r>
        <w:t>.</w:t>
      </w:r>
      <w:r>
        <w:tab/>
        <w:t>Prizes, competitions</w:t>
      </w:r>
      <w:bookmarkEnd w:id="156"/>
      <w:bookmarkEnd w:id="157"/>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158" w:name="_Toc133292849"/>
      <w:bookmarkStart w:id="159" w:name="_Toc158021802"/>
      <w:r>
        <w:rPr>
          <w:rStyle w:val="CharSectno"/>
        </w:rPr>
        <w:t>34</w:t>
      </w:r>
      <w:r>
        <w:t>.</w:t>
      </w:r>
      <w:r>
        <w:tab/>
        <w:t>Free samples</w:t>
      </w:r>
      <w:bookmarkEnd w:id="158"/>
      <w:bookmarkEnd w:id="159"/>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60" w:name="_Toc133292850"/>
      <w:bookmarkStart w:id="161" w:name="_Toc158021803"/>
      <w:r>
        <w:rPr>
          <w:rStyle w:val="CharSectno"/>
        </w:rPr>
        <w:t>35</w:t>
      </w:r>
      <w:r>
        <w:t>.</w:t>
      </w:r>
      <w:r>
        <w:tab/>
        <w:t>Sponsorships</w:t>
      </w:r>
      <w:bookmarkEnd w:id="160"/>
      <w:bookmarkEnd w:id="161"/>
      <w:r>
        <w:t xml:space="preserve"> </w:t>
      </w:r>
    </w:p>
    <w:p>
      <w:pPr>
        <w:pStyle w:val="Subsection"/>
      </w:pPr>
      <w:r>
        <w:tab/>
        <w:t>(1)</w:t>
      </w:r>
      <w:r>
        <w:tab/>
        <w:t xml:space="preserve">In this section — </w:t>
      </w:r>
    </w:p>
    <w:p>
      <w:pPr>
        <w:pStyle w:val="Defstart"/>
      </w:pPr>
      <w:r>
        <w:rPr>
          <w:b/>
        </w:rPr>
        <w:tab/>
        <w:t>“</w:t>
      </w:r>
      <w:r>
        <w:rPr>
          <w:rStyle w:val="CharDefText"/>
        </w:rPr>
        <w:t>sponsorship</w:t>
      </w:r>
      <w:r>
        <w:rPr>
          <w:b/>
        </w:rPr>
        <w:t>”</w:t>
      </w:r>
      <w:r>
        <w:t xml:space="preserve"> </w:t>
      </w:r>
      <w:r>
        <w:rPr>
          <w:bCs/>
        </w:rPr>
        <w:t>includes any of the following</w:t>
      </w:r>
      <w:r>
        <w:t xml:space="preserve">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Ednotepart"/>
      </w:pPr>
      <w:r>
        <w:t xml:space="preserve">[Part 4 has not come into operation </w:t>
      </w:r>
      <w:r>
        <w:rPr>
          <w:i w:val="0"/>
          <w:iCs/>
          <w:vertAlign w:val="superscript"/>
        </w:rPr>
        <w:t>2</w:t>
      </w:r>
      <w:r>
        <w:t>.]</w:t>
      </w:r>
    </w:p>
    <w:p>
      <w:pPr>
        <w:pStyle w:val="Heading2"/>
      </w:pPr>
      <w:bookmarkStart w:id="162" w:name="_Toc133292878"/>
      <w:bookmarkStart w:id="163" w:name="_Toc141605014"/>
      <w:bookmarkStart w:id="164" w:name="_Toc141696680"/>
      <w:bookmarkStart w:id="165" w:name="_Toc158021804"/>
      <w:r>
        <w:rPr>
          <w:rStyle w:val="CharPartNo"/>
        </w:rPr>
        <w:t>Part 5</w:t>
      </w:r>
      <w:r>
        <w:t> — </w:t>
      </w:r>
      <w:r>
        <w:rPr>
          <w:rStyle w:val="CharPartText"/>
        </w:rPr>
        <w:t>Western Australian Health Promotion Foundation and administration</w:t>
      </w:r>
      <w:bookmarkEnd w:id="162"/>
      <w:bookmarkEnd w:id="163"/>
      <w:bookmarkEnd w:id="164"/>
      <w:bookmarkEnd w:id="165"/>
    </w:p>
    <w:p>
      <w:pPr>
        <w:pStyle w:val="Heading3"/>
      </w:pPr>
      <w:bookmarkStart w:id="166" w:name="_Toc133292879"/>
      <w:bookmarkStart w:id="167" w:name="_Toc141605015"/>
      <w:bookmarkStart w:id="168" w:name="_Toc141696681"/>
      <w:bookmarkStart w:id="169" w:name="_Toc158021805"/>
      <w:r>
        <w:rPr>
          <w:rStyle w:val="CharDivNo"/>
        </w:rPr>
        <w:t>Division 1</w:t>
      </w:r>
      <w:r>
        <w:t> — </w:t>
      </w:r>
      <w:r>
        <w:rPr>
          <w:rStyle w:val="CharDivText"/>
        </w:rPr>
        <w:t>The Foundation</w:t>
      </w:r>
      <w:bookmarkEnd w:id="166"/>
      <w:bookmarkEnd w:id="167"/>
      <w:bookmarkEnd w:id="168"/>
      <w:bookmarkEnd w:id="169"/>
    </w:p>
    <w:p>
      <w:pPr>
        <w:pStyle w:val="Heading5"/>
        <w:rPr>
          <w:bCs/>
          <w:snapToGrid w:val="0"/>
        </w:rPr>
      </w:pPr>
      <w:bookmarkStart w:id="170" w:name="_Toc133292880"/>
      <w:bookmarkStart w:id="171" w:name="_Toc158021806"/>
      <w:r>
        <w:rPr>
          <w:rStyle w:val="CharSectno"/>
          <w:bCs/>
        </w:rPr>
        <w:t>59</w:t>
      </w:r>
      <w:r>
        <w:rPr>
          <w:bCs/>
        </w:rPr>
        <w:t>.</w:t>
      </w:r>
      <w:r>
        <w:rPr>
          <w:bCs/>
        </w:rPr>
        <w:tab/>
      </w:r>
      <w:r>
        <w:rPr>
          <w:bCs/>
          <w:snapToGrid w:val="0"/>
        </w:rPr>
        <w:t>Foundation established</w:t>
      </w:r>
      <w:bookmarkEnd w:id="170"/>
      <w:bookmarkEnd w:id="171"/>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rPr>
          <w:bCs/>
        </w:rPr>
      </w:pPr>
      <w:bookmarkStart w:id="172" w:name="_Toc133292881"/>
      <w:bookmarkStart w:id="173" w:name="_Toc158021807"/>
      <w:r>
        <w:rPr>
          <w:rStyle w:val="CharSectno"/>
          <w:bCs/>
        </w:rPr>
        <w:t>60</w:t>
      </w:r>
      <w:r>
        <w:rPr>
          <w:bCs/>
        </w:rPr>
        <w:t>.</w:t>
      </w:r>
      <w:r>
        <w:rPr>
          <w:bCs/>
        </w:rPr>
        <w:tab/>
        <w:t>Agent of the Crown</w:t>
      </w:r>
      <w:bookmarkEnd w:id="172"/>
      <w:bookmarkEnd w:id="173"/>
    </w:p>
    <w:p>
      <w:pPr>
        <w:pStyle w:val="Subsection"/>
      </w:pPr>
      <w:r>
        <w:tab/>
      </w:r>
      <w:r>
        <w:tab/>
        <w:t>The Foundation is an agent of the Crown and enjoys the status, immunities and privileges of the Crown.</w:t>
      </w:r>
    </w:p>
    <w:p>
      <w:pPr>
        <w:pStyle w:val="Heading5"/>
        <w:rPr>
          <w:bCs/>
          <w:snapToGrid w:val="0"/>
        </w:rPr>
      </w:pPr>
      <w:bookmarkStart w:id="174" w:name="_Toc133292882"/>
      <w:bookmarkStart w:id="175" w:name="_Toc158021808"/>
      <w:r>
        <w:rPr>
          <w:rStyle w:val="CharSectno"/>
          <w:bCs/>
        </w:rPr>
        <w:t>61</w:t>
      </w:r>
      <w:r>
        <w:rPr>
          <w:bCs/>
        </w:rPr>
        <w:t>.</w:t>
      </w:r>
      <w:r>
        <w:rPr>
          <w:bCs/>
        </w:rPr>
        <w:tab/>
      </w:r>
      <w:r>
        <w:rPr>
          <w:bCs/>
          <w:snapToGrid w:val="0"/>
        </w:rPr>
        <w:t>Membership of Foundation</w:t>
      </w:r>
      <w:bookmarkEnd w:id="174"/>
      <w:bookmarkEnd w:id="175"/>
      <w:r>
        <w:rPr>
          <w:bCs/>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iCs/>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176" w:name="_Toc133292883"/>
      <w:bookmarkStart w:id="177" w:name="_Toc158021809"/>
      <w:r>
        <w:rPr>
          <w:rStyle w:val="CharSectno"/>
        </w:rPr>
        <w:t>62</w:t>
      </w:r>
      <w:r>
        <w:t>.</w:t>
      </w:r>
      <w:r>
        <w:tab/>
        <w:t>Constitution and proceedings</w:t>
      </w:r>
      <w:bookmarkEnd w:id="176"/>
      <w:bookmarkEnd w:id="177"/>
    </w:p>
    <w:p>
      <w:pPr>
        <w:pStyle w:val="Subsection"/>
        <w:spacing w:before="120"/>
      </w:pPr>
      <w:r>
        <w:tab/>
      </w:r>
      <w:r>
        <w:tab/>
        <w:t>Schedule 1 has effect with respect to the Foundation, members and committees.</w:t>
      </w:r>
    </w:p>
    <w:p>
      <w:pPr>
        <w:pStyle w:val="Heading5"/>
      </w:pPr>
      <w:bookmarkStart w:id="178" w:name="_Toc133292884"/>
      <w:bookmarkStart w:id="179" w:name="_Toc158021810"/>
      <w:r>
        <w:rPr>
          <w:rStyle w:val="CharSectno"/>
        </w:rPr>
        <w:t>63</w:t>
      </w:r>
      <w:r>
        <w:t>.</w:t>
      </w:r>
      <w:r>
        <w:tab/>
        <w:t>Remuneration and allowances</w:t>
      </w:r>
      <w:bookmarkEnd w:id="178"/>
      <w:bookmarkEnd w:id="179"/>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180" w:name="_Toc133292885"/>
      <w:bookmarkStart w:id="181" w:name="_Toc158021811"/>
      <w:r>
        <w:rPr>
          <w:rStyle w:val="CharSectno"/>
        </w:rPr>
        <w:t>64</w:t>
      </w:r>
      <w:r>
        <w:t>.</w:t>
      </w:r>
      <w:r>
        <w:tab/>
        <w:t>Functions</w:t>
      </w:r>
      <w:bookmarkEnd w:id="180"/>
      <w:bookmarkEnd w:id="181"/>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182" w:name="_Toc133292886"/>
      <w:bookmarkStart w:id="183" w:name="_Toc158021812"/>
      <w:r>
        <w:rPr>
          <w:rStyle w:val="CharSectno"/>
        </w:rPr>
        <w:t>65</w:t>
      </w:r>
      <w:r>
        <w:t>.</w:t>
      </w:r>
      <w:r>
        <w:tab/>
        <w:t>Powers</w:t>
      </w:r>
      <w:bookmarkEnd w:id="182"/>
      <w:bookmarkEnd w:id="183"/>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184" w:name="_Toc133292887"/>
      <w:bookmarkStart w:id="185" w:name="_Toc158021813"/>
      <w:r>
        <w:rPr>
          <w:rStyle w:val="CharSectno"/>
        </w:rPr>
        <w:t>66</w:t>
      </w:r>
      <w:r>
        <w:t>.</w:t>
      </w:r>
      <w:r>
        <w:tab/>
        <w:t>Foundation may delegate</w:t>
      </w:r>
      <w:bookmarkEnd w:id="184"/>
      <w:bookmarkEnd w:id="185"/>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186" w:name="_Toc133292888"/>
      <w:bookmarkStart w:id="187" w:name="_Toc158021814"/>
      <w:r>
        <w:rPr>
          <w:rStyle w:val="CharSectno"/>
        </w:rPr>
        <w:t>67</w:t>
      </w:r>
      <w:r>
        <w:t>.</w:t>
      </w:r>
      <w:r>
        <w:tab/>
        <w:t>Minister may give directions</w:t>
      </w:r>
      <w:bookmarkEnd w:id="186"/>
      <w:bookmarkEnd w:id="187"/>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iCs/>
        </w:rPr>
        <w:t xml:space="preserve"> Financial Management Act 2006</w:t>
      </w:r>
      <w:r>
        <w:t xml:space="preserve"> Part 5.</w:t>
      </w:r>
    </w:p>
    <w:p>
      <w:pPr>
        <w:pStyle w:val="Footnotesection"/>
      </w:pPr>
      <w:r>
        <w:tab/>
        <w:t>[Section 67 amended by No. 77 of 2006 s. 17.]</w:t>
      </w:r>
    </w:p>
    <w:p>
      <w:pPr>
        <w:pStyle w:val="Heading5"/>
      </w:pPr>
      <w:bookmarkStart w:id="188" w:name="_Toc133292889"/>
      <w:bookmarkStart w:id="189" w:name="_Toc158021815"/>
      <w:r>
        <w:rPr>
          <w:rStyle w:val="CharSectno"/>
        </w:rPr>
        <w:t>68</w:t>
      </w:r>
      <w:r>
        <w:t>.</w:t>
      </w:r>
      <w:r>
        <w:tab/>
        <w:t>Minister to have access to information</w:t>
      </w:r>
      <w:bookmarkEnd w:id="188"/>
      <w:bookmarkEnd w:id="189"/>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Heading3"/>
      </w:pPr>
      <w:bookmarkStart w:id="190" w:name="_Toc133292890"/>
      <w:bookmarkStart w:id="191" w:name="_Toc141605026"/>
      <w:bookmarkStart w:id="192" w:name="_Toc141696692"/>
      <w:bookmarkStart w:id="193" w:name="_Toc158021816"/>
      <w:r>
        <w:rPr>
          <w:rStyle w:val="CharDivNo"/>
        </w:rPr>
        <w:t>Division 2</w:t>
      </w:r>
      <w:r>
        <w:t> — </w:t>
      </w:r>
      <w:r>
        <w:rPr>
          <w:rStyle w:val="CharDivText"/>
        </w:rPr>
        <w:t>Staff</w:t>
      </w:r>
      <w:bookmarkEnd w:id="190"/>
      <w:bookmarkEnd w:id="191"/>
      <w:bookmarkEnd w:id="192"/>
      <w:bookmarkEnd w:id="193"/>
    </w:p>
    <w:p>
      <w:pPr>
        <w:pStyle w:val="Heading5"/>
        <w:rPr>
          <w:snapToGrid w:val="0"/>
        </w:rPr>
      </w:pPr>
      <w:bookmarkStart w:id="194" w:name="_Toc133292891"/>
      <w:bookmarkStart w:id="195" w:name="_Toc158021817"/>
      <w:r>
        <w:rPr>
          <w:rStyle w:val="CharSectno"/>
        </w:rPr>
        <w:t>69</w:t>
      </w:r>
      <w:r>
        <w:t>.</w:t>
      </w:r>
      <w:r>
        <w:tab/>
      </w:r>
      <w:r>
        <w:rPr>
          <w:snapToGrid w:val="0"/>
        </w:rPr>
        <w:t>Staff of Foundation</w:t>
      </w:r>
      <w:bookmarkEnd w:id="194"/>
      <w:bookmarkEnd w:id="195"/>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196" w:name="_Toc133292892"/>
      <w:bookmarkStart w:id="197" w:name="_Toc158021818"/>
      <w:r>
        <w:rPr>
          <w:rStyle w:val="CharSectno"/>
        </w:rPr>
        <w:t>70</w:t>
      </w:r>
      <w:r>
        <w:t>.</w:t>
      </w:r>
      <w:r>
        <w:tab/>
        <w:t>Use of other government staff, etc.</w:t>
      </w:r>
      <w:bookmarkEnd w:id="196"/>
      <w:bookmarkEnd w:id="197"/>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198" w:name="_Toc133292893"/>
      <w:bookmarkStart w:id="199" w:name="_Toc141605029"/>
      <w:bookmarkStart w:id="200" w:name="_Toc141696695"/>
      <w:bookmarkStart w:id="201" w:name="_Toc158021819"/>
      <w:r>
        <w:rPr>
          <w:rStyle w:val="CharDivNo"/>
        </w:rPr>
        <w:t>Division 3</w:t>
      </w:r>
      <w:r>
        <w:t> — </w:t>
      </w:r>
      <w:r>
        <w:rPr>
          <w:rStyle w:val="CharDivText"/>
        </w:rPr>
        <w:t>Financial provisions</w:t>
      </w:r>
      <w:bookmarkEnd w:id="198"/>
      <w:bookmarkEnd w:id="199"/>
      <w:bookmarkEnd w:id="200"/>
      <w:bookmarkEnd w:id="201"/>
    </w:p>
    <w:p>
      <w:pPr>
        <w:pStyle w:val="Heading5"/>
        <w:rPr>
          <w:snapToGrid w:val="0"/>
        </w:rPr>
      </w:pPr>
      <w:bookmarkStart w:id="202" w:name="_Toc133292894"/>
      <w:bookmarkStart w:id="203" w:name="_Toc158021820"/>
      <w:r>
        <w:rPr>
          <w:rStyle w:val="CharSectno"/>
        </w:rPr>
        <w:t>71</w:t>
      </w:r>
      <w:r>
        <w:t>.</w:t>
      </w:r>
      <w:r>
        <w:tab/>
      </w:r>
      <w:r>
        <w:rPr>
          <w:snapToGrid w:val="0"/>
        </w:rPr>
        <w:t>Funds of Foundation, appropriation</w:t>
      </w:r>
      <w:bookmarkEnd w:id="202"/>
      <w:bookmarkEnd w:id="203"/>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iCs/>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Fund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204" w:name="_Toc133292895"/>
      <w:bookmarkStart w:id="205" w:name="_Toc158021821"/>
      <w:r>
        <w:rPr>
          <w:rStyle w:val="CharSectno"/>
        </w:rPr>
        <w:t>72</w:t>
      </w:r>
      <w:r>
        <w:t>.</w:t>
      </w:r>
      <w:r>
        <w:tab/>
      </w:r>
      <w:r>
        <w:rPr>
          <w:snapToGrid w:val="0"/>
        </w:rPr>
        <w:t>Temporary investment of money in</w:t>
      </w:r>
      <w:bookmarkEnd w:id="204"/>
      <w:r>
        <w:t xml:space="preserve"> Account</w:t>
      </w:r>
      <w:bookmarkEnd w:id="205"/>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iCs/>
        </w:rPr>
        <w:t xml:space="preserve"> Financial Management Act 2006</w:t>
      </w:r>
      <w:r>
        <w:rPr>
          <w:snapToGrid w:val="0"/>
        </w:rPr>
        <w:t>, may lawfully be invested and the Treasurer is to cause all interest derived from that investment to be paid to the credit of the Fund.</w:t>
      </w:r>
    </w:p>
    <w:p>
      <w:pPr>
        <w:pStyle w:val="Footnotesection"/>
      </w:pPr>
      <w:r>
        <w:tab/>
        <w:t>[Section 72 amended by No. 77 of 2006 s. 17.]</w:t>
      </w:r>
    </w:p>
    <w:p>
      <w:pPr>
        <w:pStyle w:val="Heading5"/>
        <w:rPr>
          <w:snapToGrid w:val="0"/>
        </w:rPr>
      </w:pPr>
      <w:bookmarkStart w:id="206" w:name="_Toc133292896"/>
      <w:bookmarkStart w:id="207" w:name="_Toc158021822"/>
      <w:r>
        <w:rPr>
          <w:rStyle w:val="CharSectno"/>
        </w:rPr>
        <w:t>73</w:t>
      </w:r>
      <w:r>
        <w:t>.</w:t>
      </w:r>
      <w:r>
        <w:tab/>
      </w:r>
      <w:r>
        <w:rPr>
          <w:snapToGrid w:val="0"/>
        </w:rPr>
        <w:t xml:space="preserve">Application of </w:t>
      </w:r>
      <w:bookmarkEnd w:id="206"/>
      <w:r>
        <w:rPr>
          <w:i/>
          <w:iCs/>
        </w:rPr>
        <w:t xml:space="preserve"> Financial Management Act 2006</w:t>
      </w:r>
      <w:r>
        <w:t xml:space="preserve"> and </w:t>
      </w:r>
      <w:r>
        <w:rPr>
          <w:i/>
          <w:iCs/>
        </w:rPr>
        <w:t>Auditor General Act 2006</w:t>
      </w:r>
      <w:bookmarkEnd w:id="207"/>
    </w:p>
    <w:p>
      <w:pPr>
        <w:pStyle w:val="Subsection"/>
        <w:rPr>
          <w:snapToGrid w:val="0"/>
        </w:rPr>
      </w:pPr>
      <w:r>
        <w:rPr>
          <w:snapToGrid w:val="0"/>
        </w:rPr>
        <w:tab/>
      </w:r>
      <w:r>
        <w:rPr>
          <w:snapToGrid w:val="0"/>
        </w:rPr>
        <w:tab/>
        <w:t>Subject to this Part, 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208" w:name="_Toc133292897"/>
      <w:bookmarkStart w:id="209" w:name="_Toc141605033"/>
      <w:bookmarkStart w:id="210" w:name="_Toc141696699"/>
      <w:bookmarkStart w:id="211" w:name="_Toc158021823"/>
      <w:r>
        <w:rPr>
          <w:rStyle w:val="CharDivNo"/>
        </w:rPr>
        <w:t>Division 4</w:t>
      </w:r>
      <w:r>
        <w:t> — </w:t>
      </w:r>
      <w:r>
        <w:rPr>
          <w:rStyle w:val="CharDivText"/>
        </w:rPr>
        <w:t>The CEO</w:t>
      </w:r>
      <w:bookmarkEnd w:id="208"/>
      <w:bookmarkEnd w:id="209"/>
      <w:bookmarkEnd w:id="210"/>
      <w:bookmarkEnd w:id="211"/>
    </w:p>
    <w:p>
      <w:pPr>
        <w:pStyle w:val="Heading5"/>
      </w:pPr>
      <w:bookmarkStart w:id="212" w:name="_Toc133292898"/>
      <w:bookmarkStart w:id="213" w:name="_Toc158021824"/>
      <w:r>
        <w:rPr>
          <w:rStyle w:val="CharSectno"/>
        </w:rPr>
        <w:t>74</w:t>
      </w:r>
      <w:r>
        <w:t>.</w:t>
      </w:r>
      <w:r>
        <w:tab/>
        <w:t>CEO may delegate</w:t>
      </w:r>
      <w:bookmarkEnd w:id="212"/>
      <w:bookmarkEnd w:id="213"/>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214" w:name="_Toc133292899"/>
      <w:bookmarkStart w:id="215" w:name="_Toc158021825"/>
      <w:r>
        <w:rPr>
          <w:rStyle w:val="CharSectno"/>
        </w:rPr>
        <w:t>75</w:t>
      </w:r>
      <w:r>
        <w:t>.</w:t>
      </w:r>
      <w:r>
        <w:tab/>
        <w:t>CEO may carry out research etc.</w:t>
      </w:r>
      <w:bookmarkEnd w:id="214"/>
      <w:bookmarkEnd w:id="215"/>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216" w:name="_Toc133292900"/>
      <w:bookmarkStart w:id="217" w:name="_Toc141605036"/>
      <w:bookmarkStart w:id="218" w:name="_Toc141696702"/>
      <w:bookmarkStart w:id="219" w:name="_Toc158021826"/>
      <w:r>
        <w:rPr>
          <w:rStyle w:val="CharPartNo"/>
        </w:rPr>
        <w:t>Part 6</w:t>
      </w:r>
      <w:r>
        <w:t> — </w:t>
      </w:r>
      <w:r>
        <w:rPr>
          <w:rStyle w:val="CharPartText"/>
        </w:rPr>
        <w:t>Investigations</w:t>
      </w:r>
      <w:bookmarkEnd w:id="216"/>
      <w:bookmarkEnd w:id="217"/>
      <w:bookmarkEnd w:id="218"/>
      <w:bookmarkEnd w:id="219"/>
    </w:p>
    <w:p>
      <w:pPr>
        <w:pStyle w:val="Heading3"/>
      </w:pPr>
      <w:bookmarkStart w:id="220" w:name="_Toc133292901"/>
      <w:bookmarkStart w:id="221" w:name="_Toc141605037"/>
      <w:bookmarkStart w:id="222" w:name="_Toc141696703"/>
      <w:bookmarkStart w:id="223" w:name="_Toc158021827"/>
      <w:r>
        <w:rPr>
          <w:rStyle w:val="CharDivNo"/>
        </w:rPr>
        <w:t>Division 1</w:t>
      </w:r>
      <w:r>
        <w:t> — </w:t>
      </w:r>
      <w:r>
        <w:rPr>
          <w:rStyle w:val="CharDivText"/>
        </w:rPr>
        <w:t>Investigators and investigation purposes</w:t>
      </w:r>
      <w:bookmarkEnd w:id="220"/>
      <w:bookmarkEnd w:id="221"/>
      <w:bookmarkEnd w:id="222"/>
      <w:bookmarkEnd w:id="223"/>
    </w:p>
    <w:p>
      <w:pPr>
        <w:pStyle w:val="Heading5"/>
      </w:pPr>
      <w:bookmarkStart w:id="224" w:name="_Toc133292902"/>
      <w:bookmarkStart w:id="225" w:name="_Toc158021828"/>
      <w:r>
        <w:rPr>
          <w:rStyle w:val="CharSectno"/>
        </w:rPr>
        <w:t>76</w:t>
      </w:r>
      <w:r>
        <w:t>.</w:t>
      </w:r>
      <w:r>
        <w:tab/>
        <w:t>Appointment of investigators</w:t>
      </w:r>
      <w:bookmarkEnd w:id="224"/>
      <w:bookmarkEnd w:id="225"/>
    </w:p>
    <w:p>
      <w:pPr>
        <w:pStyle w:val="Subsection"/>
      </w:pPr>
      <w:r>
        <w:tab/>
      </w:r>
      <w:r>
        <w:tab/>
        <w:t xml:space="preserve">The CEO is to appoint by instrument in writing such persons employed in the Public Service under the </w:t>
      </w:r>
      <w:r>
        <w:rPr>
          <w:i/>
          <w:iCs/>
        </w:rPr>
        <w:t>Public Sector Management Act 1994</w:t>
      </w:r>
      <w:r>
        <w:t xml:space="preserve"> Part 3 as the CEO considers necessary to be investigators for the purposes of this Act.</w:t>
      </w:r>
    </w:p>
    <w:p>
      <w:pPr>
        <w:pStyle w:val="Heading5"/>
      </w:pPr>
      <w:bookmarkStart w:id="226" w:name="_Toc133292903"/>
      <w:bookmarkStart w:id="227" w:name="_Toc158021829"/>
      <w:r>
        <w:rPr>
          <w:rStyle w:val="CharSectno"/>
        </w:rPr>
        <w:t>77</w:t>
      </w:r>
      <w:r>
        <w:t>.</w:t>
      </w:r>
      <w:r>
        <w:tab/>
        <w:t>Appointment of restricted investigators</w:t>
      </w:r>
      <w:bookmarkEnd w:id="226"/>
      <w:bookmarkEnd w:id="227"/>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228" w:name="_Toc133292904"/>
      <w:bookmarkStart w:id="229" w:name="_Toc158021830"/>
      <w:r>
        <w:rPr>
          <w:rStyle w:val="CharSectno"/>
        </w:rPr>
        <w:t>78</w:t>
      </w:r>
      <w:r>
        <w:t>.</w:t>
      </w:r>
      <w:r>
        <w:tab/>
        <w:t>Powers of restricted investigators</w:t>
      </w:r>
      <w:bookmarkEnd w:id="228"/>
      <w:bookmarkEnd w:id="229"/>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230" w:name="_Toc133292905"/>
      <w:bookmarkStart w:id="231" w:name="_Toc158021831"/>
      <w:r>
        <w:rPr>
          <w:rStyle w:val="CharSectno"/>
        </w:rPr>
        <w:t>79</w:t>
      </w:r>
      <w:r>
        <w:t>.</w:t>
      </w:r>
      <w:r>
        <w:tab/>
        <w:t>Police have powers of investigator</w:t>
      </w:r>
      <w:bookmarkEnd w:id="230"/>
      <w:bookmarkEnd w:id="231"/>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232" w:name="_Toc133292906"/>
      <w:bookmarkStart w:id="233" w:name="_Toc158021832"/>
      <w:r>
        <w:rPr>
          <w:rStyle w:val="CharSectno"/>
        </w:rPr>
        <w:t>80</w:t>
      </w:r>
      <w:r>
        <w:t>.</w:t>
      </w:r>
      <w:r>
        <w:tab/>
        <w:t>CEO has powers of investigator</w:t>
      </w:r>
      <w:bookmarkEnd w:id="232"/>
      <w:bookmarkEnd w:id="233"/>
    </w:p>
    <w:p>
      <w:pPr>
        <w:pStyle w:val="Subsection"/>
      </w:pPr>
      <w:r>
        <w:tab/>
      </w:r>
      <w:r>
        <w:tab/>
        <w:t>In addition to performing the functions conferred on the CEO under this Act, the CEO may exercise the powers, and perform the functions, of an investigator.</w:t>
      </w:r>
    </w:p>
    <w:p>
      <w:pPr>
        <w:pStyle w:val="Heading5"/>
      </w:pPr>
      <w:bookmarkStart w:id="234" w:name="_Toc133292907"/>
      <w:bookmarkStart w:id="235" w:name="_Toc158021833"/>
      <w:r>
        <w:rPr>
          <w:rStyle w:val="CharSectno"/>
        </w:rPr>
        <w:t>81</w:t>
      </w:r>
      <w:r>
        <w:t>.</w:t>
      </w:r>
      <w:r>
        <w:tab/>
        <w:t>Identity cards</w:t>
      </w:r>
      <w:bookmarkEnd w:id="234"/>
      <w:bookmarkEnd w:id="235"/>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236" w:name="_Toc133292908"/>
      <w:bookmarkStart w:id="237" w:name="_Toc158021834"/>
      <w:r>
        <w:rPr>
          <w:rStyle w:val="CharSectno"/>
        </w:rPr>
        <w:t>82</w:t>
      </w:r>
      <w:r>
        <w:t>.</w:t>
      </w:r>
      <w:r>
        <w:tab/>
        <w:t>Identity card etc. to be shown</w:t>
      </w:r>
      <w:bookmarkEnd w:id="236"/>
      <w:bookmarkEnd w:id="237"/>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238" w:name="_Toc133292909"/>
      <w:bookmarkStart w:id="239" w:name="_Toc158021835"/>
      <w:r>
        <w:rPr>
          <w:rStyle w:val="CharSectno"/>
        </w:rPr>
        <w:t>83</w:t>
      </w:r>
      <w:r>
        <w:t>.</w:t>
      </w:r>
      <w:r>
        <w:tab/>
        <w:t>Investigation purposes</w:t>
      </w:r>
      <w:bookmarkEnd w:id="238"/>
      <w:bookmarkEnd w:id="239"/>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40" w:name="_Toc133292910"/>
      <w:bookmarkStart w:id="241" w:name="_Toc141605046"/>
      <w:bookmarkStart w:id="242" w:name="_Toc141696712"/>
      <w:bookmarkStart w:id="243" w:name="_Toc158021836"/>
      <w:r>
        <w:rPr>
          <w:rStyle w:val="CharDivNo"/>
        </w:rPr>
        <w:t>Division 2</w:t>
      </w:r>
      <w:r>
        <w:t> — </w:t>
      </w:r>
      <w:r>
        <w:rPr>
          <w:rStyle w:val="CharDivText"/>
        </w:rPr>
        <w:t>Obtaining identifying information</w:t>
      </w:r>
      <w:bookmarkEnd w:id="240"/>
      <w:bookmarkEnd w:id="241"/>
      <w:bookmarkEnd w:id="242"/>
      <w:bookmarkEnd w:id="243"/>
    </w:p>
    <w:p>
      <w:pPr>
        <w:pStyle w:val="Heading5"/>
        <w:spacing w:before="180"/>
      </w:pPr>
      <w:bookmarkStart w:id="244" w:name="_Toc133292911"/>
      <w:bookmarkStart w:id="245" w:name="_Toc158021837"/>
      <w:r>
        <w:rPr>
          <w:rStyle w:val="CharSectno"/>
        </w:rPr>
        <w:t>84</w:t>
      </w:r>
      <w:r>
        <w:t>.</w:t>
      </w:r>
      <w:r>
        <w:tab/>
        <w:t>Investigator may ask for name, address, etc.</w:t>
      </w:r>
      <w:bookmarkEnd w:id="244"/>
      <w:bookmarkEnd w:id="245"/>
    </w:p>
    <w:p>
      <w:pPr>
        <w:pStyle w:val="Subsection"/>
        <w:spacing w:before="120"/>
      </w:pPr>
      <w:r>
        <w:tab/>
      </w:r>
      <w:r>
        <w:tab/>
        <w:t xml:space="preserve">The office of investigator is prescribed to be a public officer for the purposes of the </w:t>
      </w:r>
      <w:r>
        <w:rPr>
          <w:i/>
          <w:iCs/>
        </w:rPr>
        <w:t>Criminal Investigation (Identifying People) Act 2002</w:t>
      </w:r>
      <w:r>
        <w:t xml:space="preserve"> and as such may exercise the powers in Part 3 of that Act for investigation purposes.</w:t>
      </w:r>
    </w:p>
    <w:p>
      <w:pPr>
        <w:pStyle w:val="Heading3"/>
      </w:pPr>
      <w:bookmarkStart w:id="246" w:name="_Toc133292912"/>
      <w:bookmarkStart w:id="247" w:name="_Toc141605048"/>
      <w:bookmarkStart w:id="248" w:name="_Toc141696714"/>
      <w:bookmarkStart w:id="249" w:name="_Toc158021838"/>
      <w:r>
        <w:rPr>
          <w:rStyle w:val="CharDivNo"/>
        </w:rPr>
        <w:t>Division 3</w:t>
      </w:r>
      <w:r>
        <w:t> — </w:t>
      </w:r>
      <w:r>
        <w:rPr>
          <w:rStyle w:val="CharDivText"/>
        </w:rPr>
        <w:t>Powers in relation to premises</w:t>
      </w:r>
      <w:bookmarkEnd w:id="246"/>
      <w:bookmarkEnd w:id="247"/>
      <w:bookmarkEnd w:id="248"/>
      <w:bookmarkEnd w:id="249"/>
    </w:p>
    <w:p>
      <w:pPr>
        <w:pStyle w:val="Heading5"/>
      </w:pPr>
      <w:bookmarkStart w:id="250" w:name="_Toc133292913"/>
      <w:bookmarkStart w:id="251" w:name="_Toc158021839"/>
      <w:r>
        <w:rPr>
          <w:rStyle w:val="CharSectno"/>
        </w:rPr>
        <w:t>85</w:t>
      </w:r>
      <w:r>
        <w:t>.</w:t>
      </w:r>
      <w:r>
        <w:tab/>
        <w:t>Power to enter premises</w:t>
      </w:r>
      <w:bookmarkEnd w:id="250"/>
      <w:bookmarkEnd w:id="251"/>
    </w:p>
    <w:p>
      <w:pPr>
        <w:pStyle w:val="Subsection"/>
      </w:pPr>
      <w:r>
        <w:tab/>
      </w:r>
      <w:r>
        <w:tab/>
        <w:t>Subject to section 86, an investigator may, for investigation purposes, enter and remain on premises to exercise the investigator’s powers of investigation.</w:t>
      </w:r>
    </w:p>
    <w:p>
      <w:pPr>
        <w:pStyle w:val="Heading5"/>
      </w:pPr>
      <w:bookmarkStart w:id="252" w:name="_Toc133292914"/>
      <w:bookmarkStart w:id="253" w:name="_Toc158021840"/>
      <w:r>
        <w:rPr>
          <w:rStyle w:val="CharSectno"/>
        </w:rPr>
        <w:t>86</w:t>
      </w:r>
      <w:r>
        <w:t>.</w:t>
      </w:r>
      <w:r>
        <w:tab/>
        <w:t>Residential premises</w:t>
      </w:r>
      <w:bookmarkEnd w:id="252"/>
      <w:bookmarkEnd w:id="253"/>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254" w:name="_Toc133292915"/>
      <w:bookmarkStart w:id="255" w:name="_Toc158021841"/>
      <w:r>
        <w:rPr>
          <w:rStyle w:val="CharSectno"/>
        </w:rPr>
        <w:t>87</w:t>
      </w:r>
      <w:r>
        <w:t>.</w:t>
      </w:r>
      <w:r>
        <w:tab/>
        <w:t>Warrants to enter premises</w:t>
      </w:r>
      <w:bookmarkEnd w:id="254"/>
      <w:bookmarkEnd w:id="255"/>
    </w:p>
    <w:p>
      <w:pPr>
        <w:pStyle w:val="Subsection"/>
      </w:pPr>
      <w:r>
        <w:tab/>
        <w:t>(1)</w:t>
      </w:r>
      <w:r>
        <w:tab/>
        <w:t xml:space="preserve">If a justice or magistrate is satisfied </w:t>
      </w:r>
      <w:r>
        <w:rPr>
          <w:szCs w:val="22"/>
        </w:rPr>
        <w:t>on application supported by evidence</w:t>
      </w:r>
      <w:r>
        <w:t xml:space="preserv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56" w:name="_Toc133292916"/>
      <w:bookmarkStart w:id="257" w:name="_Toc158021842"/>
      <w:r>
        <w:rPr>
          <w:rStyle w:val="CharSectno"/>
        </w:rPr>
        <w:t>88</w:t>
      </w:r>
      <w:r>
        <w:t>.</w:t>
      </w:r>
      <w:r>
        <w:tab/>
        <w:t>Identification, warrant to be shown</w:t>
      </w:r>
      <w:bookmarkEnd w:id="256"/>
      <w:bookmarkEnd w:id="257"/>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58" w:name="_Toc133292917"/>
      <w:bookmarkStart w:id="259" w:name="_Toc158021843"/>
      <w:r>
        <w:rPr>
          <w:rStyle w:val="CharSectno"/>
        </w:rPr>
        <w:t>89</w:t>
      </w:r>
      <w:r>
        <w:t>.</w:t>
      </w:r>
      <w:r>
        <w:tab/>
        <w:t>Powers of investigator relating to premises</w:t>
      </w:r>
      <w:bookmarkEnd w:id="258"/>
      <w:bookmarkEnd w:id="259"/>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iCs/>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60" w:name="_Toc133292918"/>
      <w:bookmarkStart w:id="261" w:name="_Toc158021844"/>
      <w:r>
        <w:rPr>
          <w:rStyle w:val="CharSectno"/>
        </w:rPr>
        <w:t>90</w:t>
      </w:r>
      <w:r>
        <w:t>.</w:t>
      </w:r>
      <w:r>
        <w:tab/>
        <w:t>Offences</w:t>
      </w:r>
      <w:bookmarkEnd w:id="260"/>
      <w:bookmarkEnd w:id="261"/>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62" w:name="_Toc133292919"/>
      <w:bookmarkStart w:id="263" w:name="_Toc158021845"/>
      <w:r>
        <w:rPr>
          <w:rStyle w:val="CharSectno"/>
        </w:rPr>
        <w:t>91</w:t>
      </w:r>
      <w:r>
        <w:t>.</w:t>
      </w:r>
      <w:r>
        <w:tab/>
        <w:t>Taking things from premises</w:t>
      </w:r>
      <w:bookmarkEnd w:id="262"/>
      <w:bookmarkEnd w:id="263"/>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64" w:name="_Toc133292920"/>
      <w:bookmarkStart w:id="265" w:name="_Toc158021846"/>
      <w:r>
        <w:rPr>
          <w:rStyle w:val="CharSectno"/>
        </w:rPr>
        <w:t>92</w:t>
      </w:r>
      <w:r>
        <w:t>.</w:t>
      </w:r>
      <w:r>
        <w:tab/>
        <w:t>Access to, and return of, things taken from premises</w:t>
      </w:r>
      <w:bookmarkEnd w:id="264"/>
      <w:bookmarkEnd w:id="265"/>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266" w:name="_Toc133292921"/>
      <w:bookmarkStart w:id="267" w:name="_Toc158021847"/>
      <w:r>
        <w:rPr>
          <w:rStyle w:val="CharSectno"/>
        </w:rPr>
        <w:t>93</w:t>
      </w:r>
      <w:r>
        <w:t>.</w:t>
      </w:r>
      <w:r>
        <w:tab/>
        <w:t>Use of force</w:t>
      </w:r>
      <w:bookmarkEnd w:id="266"/>
      <w:bookmarkEnd w:id="267"/>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68" w:name="_Toc133292922"/>
      <w:bookmarkStart w:id="269" w:name="_Toc141605058"/>
      <w:bookmarkStart w:id="270" w:name="_Toc141696724"/>
      <w:bookmarkStart w:id="271" w:name="_Toc158021848"/>
      <w:r>
        <w:rPr>
          <w:rStyle w:val="CharDivNo"/>
        </w:rPr>
        <w:t>Division 4</w:t>
      </w:r>
      <w:r>
        <w:t> — </w:t>
      </w:r>
      <w:r>
        <w:rPr>
          <w:rStyle w:val="CharDivText"/>
        </w:rPr>
        <w:t>Compliance surveys and controlled purchase operations</w:t>
      </w:r>
      <w:bookmarkEnd w:id="268"/>
      <w:bookmarkEnd w:id="269"/>
      <w:bookmarkEnd w:id="270"/>
      <w:bookmarkEnd w:id="271"/>
    </w:p>
    <w:p>
      <w:pPr>
        <w:pStyle w:val="Heading5"/>
      </w:pPr>
      <w:bookmarkStart w:id="272" w:name="_Toc133292923"/>
      <w:bookmarkStart w:id="273" w:name="_Toc158021849"/>
      <w:r>
        <w:rPr>
          <w:rStyle w:val="CharSectno"/>
        </w:rPr>
        <w:t>94</w:t>
      </w:r>
      <w:r>
        <w:t>.</w:t>
      </w:r>
      <w:r>
        <w:tab/>
        <w:t>Definitions</w:t>
      </w:r>
      <w:bookmarkEnd w:id="272"/>
      <w:bookmarkEnd w:id="273"/>
    </w:p>
    <w:p>
      <w:pPr>
        <w:pStyle w:val="Subsection"/>
      </w:pPr>
      <w:r>
        <w:tab/>
      </w:r>
      <w:r>
        <w:tab/>
        <w:t xml:space="preserve">In this Division — </w:t>
      </w:r>
    </w:p>
    <w:p>
      <w:pPr>
        <w:pStyle w:val="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Defstart"/>
      </w:pPr>
      <w:r>
        <w:rPr>
          <w:b/>
        </w:rPr>
        <w:tab/>
        <w:t>“</w:t>
      </w:r>
      <w:r>
        <w:rPr>
          <w:rStyle w:val="CharDefText"/>
        </w:rPr>
        <w:t>controlled purchase officer</w:t>
      </w:r>
      <w:r>
        <w:rPr>
          <w:b/>
        </w:rPr>
        <w:t>”</w:t>
      </w:r>
      <w:r>
        <w:t xml:space="preserve"> means a person acting as a controlled purchase officer under this Division;</w:t>
      </w:r>
    </w:p>
    <w:p>
      <w:pPr>
        <w:pStyle w:val="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b/>
          <w:bCs/>
        </w:rPr>
        <w:t>“</w:t>
      </w:r>
      <w:r>
        <w:rPr>
          <w:rStyle w:val="CharDefText"/>
        </w:rPr>
        <w:t>young person offence</w:t>
      </w:r>
      <w:r>
        <w:rPr>
          <w:b/>
          <w:bCs/>
        </w:rPr>
        <w:t>”</w:t>
      </w:r>
      <w:r>
        <w:t xml:space="preserve"> means an offence under section 6, 7, 8(1) or 9.</w:t>
      </w:r>
    </w:p>
    <w:p>
      <w:pPr>
        <w:pStyle w:val="Heading5"/>
      </w:pPr>
      <w:bookmarkStart w:id="274" w:name="_Toc133292924"/>
      <w:bookmarkStart w:id="275" w:name="_Toc158021850"/>
      <w:r>
        <w:rPr>
          <w:rStyle w:val="CharSectno"/>
        </w:rPr>
        <w:t>95</w:t>
      </w:r>
      <w:r>
        <w:t>.</w:t>
      </w:r>
      <w:r>
        <w:tab/>
        <w:t>Controlled purchase officers</w:t>
      </w:r>
      <w:bookmarkEnd w:id="274"/>
      <w:bookmarkEnd w:id="275"/>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76" w:name="_Toc133292925"/>
      <w:bookmarkStart w:id="277" w:name="_Toc158021851"/>
      <w:r>
        <w:rPr>
          <w:rStyle w:val="CharSectno"/>
        </w:rPr>
        <w:t>96</w:t>
      </w:r>
      <w:r>
        <w:t>.</w:t>
      </w:r>
      <w:r>
        <w:tab/>
        <w:t>Compliance surveys and controlled purchase operations</w:t>
      </w:r>
      <w:bookmarkEnd w:id="276"/>
      <w:bookmarkEnd w:id="277"/>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78" w:name="_Toc133292926"/>
      <w:bookmarkStart w:id="279" w:name="_Toc158021852"/>
      <w:r>
        <w:rPr>
          <w:rStyle w:val="CharSectno"/>
        </w:rPr>
        <w:t>97</w:t>
      </w:r>
      <w:r>
        <w:t>.</w:t>
      </w:r>
      <w:r>
        <w:tab/>
        <w:t>Reporting</w:t>
      </w:r>
      <w:bookmarkEnd w:id="278"/>
      <w:bookmarkEnd w:id="279"/>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80" w:name="_Toc133292927"/>
      <w:bookmarkStart w:id="281" w:name="_Toc141605063"/>
      <w:bookmarkStart w:id="282" w:name="_Toc141696729"/>
      <w:bookmarkStart w:id="283" w:name="_Toc158021853"/>
      <w:r>
        <w:rPr>
          <w:rStyle w:val="CharPartNo"/>
        </w:rPr>
        <w:t>Part 7</w:t>
      </w:r>
      <w:r>
        <w:t> — </w:t>
      </w:r>
      <w:r>
        <w:rPr>
          <w:rStyle w:val="CharPartText"/>
        </w:rPr>
        <w:t>Enforcement</w:t>
      </w:r>
      <w:bookmarkEnd w:id="280"/>
      <w:bookmarkEnd w:id="281"/>
      <w:bookmarkEnd w:id="282"/>
      <w:bookmarkEnd w:id="283"/>
    </w:p>
    <w:p>
      <w:pPr>
        <w:pStyle w:val="Heading3"/>
      </w:pPr>
      <w:bookmarkStart w:id="284" w:name="_Toc133292928"/>
      <w:bookmarkStart w:id="285" w:name="_Toc141605064"/>
      <w:bookmarkStart w:id="286" w:name="_Toc141696730"/>
      <w:bookmarkStart w:id="287" w:name="_Toc158021854"/>
      <w:r>
        <w:rPr>
          <w:rStyle w:val="CharDivNo"/>
        </w:rPr>
        <w:t>Division 1</w:t>
      </w:r>
      <w:r>
        <w:t> — </w:t>
      </w:r>
      <w:r>
        <w:rPr>
          <w:rStyle w:val="CharDivText"/>
        </w:rPr>
        <w:t>Young persons with tobacco products or smoking implements</w:t>
      </w:r>
      <w:bookmarkEnd w:id="284"/>
      <w:bookmarkEnd w:id="285"/>
      <w:bookmarkEnd w:id="286"/>
      <w:bookmarkEnd w:id="287"/>
    </w:p>
    <w:p>
      <w:pPr>
        <w:pStyle w:val="Heading5"/>
      </w:pPr>
      <w:bookmarkStart w:id="288" w:name="_Toc133292929"/>
      <w:bookmarkStart w:id="289" w:name="_Toc158021855"/>
      <w:r>
        <w:rPr>
          <w:rStyle w:val="CharSectno"/>
        </w:rPr>
        <w:t>98</w:t>
      </w:r>
      <w:r>
        <w:t>.</w:t>
      </w:r>
      <w:r>
        <w:tab/>
        <w:t>Definitions</w:t>
      </w:r>
      <w:bookmarkEnd w:id="288"/>
      <w:bookmarkEnd w:id="289"/>
    </w:p>
    <w:p>
      <w:pPr>
        <w:pStyle w:val="Subsection"/>
      </w:pPr>
      <w:r>
        <w:tab/>
      </w:r>
      <w:r>
        <w:tab/>
        <w:t xml:space="preserve">In this Division — </w:t>
      </w:r>
    </w:p>
    <w:p>
      <w:pPr>
        <w:pStyle w:val="Defstart"/>
      </w:pPr>
      <w:r>
        <w:tab/>
      </w:r>
      <w:r>
        <w:rPr>
          <w:b/>
          <w:bCs/>
        </w:rPr>
        <w:t>“</w:t>
      </w:r>
      <w:r>
        <w:rPr>
          <w:rStyle w:val="CharDefText"/>
          <w:bCs/>
        </w:rPr>
        <w:t>parent</w:t>
      </w:r>
      <w:r>
        <w:rPr>
          <w:b/>
          <w:bCs/>
        </w:rPr>
        <w: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b/>
          <w:bCs/>
        </w:rPr>
        <w:t>“</w:t>
      </w:r>
      <w:r>
        <w:rPr>
          <w:rStyle w:val="CharDefText"/>
          <w:bCs/>
        </w:rPr>
        <w:t>young person</w:t>
      </w:r>
      <w:r>
        <w:rPr>
          <w:b/>
          <w:bCs/>
        </w:rPr>
        <w:t>”</w:t>
      </w:r>
      <w:r>
        <w:t xml:space="preserve"> means a person who an investigator suspects on reasonable grounds has not reached 18 years of age.</w:t>
      </w:r>
    </w:p>
    <w:p>
      <w:pPr>
        <w:pStyle w:val="Heading5"/>
      </w:pPr>
      <w:bookmarkStart w:id="290" w:name="_Toc133292930"/>
      <w:bookmarkStart w:id="291" w:name="_Toc158021856"/>
      <w:r>
        <w:rPr>
          <w:rStyle w:val="CharSectno"/>
        </w:rPr>
        <w:t>99</w:t>
      </w:r>
      <w:r>
        <w:t>.</w:t>
      </w:r>
      <w:r>
        <w:tab/>
        <w:t>Seizing tobacco products etc. from young persons</w:t>
      </w:r>
      <w:bookmarkEnd w:id="290"/>
      <w:bookmarkEnd w:id="291"/>
    </w:p>
    <w:p>
      <w:pPr>
        <w:pStyle w:val="Subsection"/>
      </w:pPr>
      <w:r>
        <w:tab/>
        <w:t>(1)</w:t>
      </w:r>
      <w:r>
        <w:tab/>
        <w:t>An investigator may seize any tobacco product or smoking implement</w:t>
      </w:r>
      <w:r>
        <w:rPr>
          <w:i/>
          <w:iCs/>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292" w:name="_Toc133292931"/>
      <w:bookmarkStart w:id="293" w:name="_Toc158021857"/>
      <w:r>
        <w:rPr>
          <w:rStyle w:val="CharSectno"/>
        </w:rPr>
        <w:t>100</w:t>
      </w:r>
      <w:r>
        <w:t>.</w:t>
      </w:r>
      <w:r>
        <w:tab/>
        <w:t>Young person to provide information</w:t>
      </w:r>
      <w:bookmarkEnd w:id="292"/>
      <w:bookmarkEnd w:id="293"/>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294" w:name="_Toc133292932"/>
      <w:bookmarkStart w:id="295" w:name="_Toc158021858"/>
      <w:r>
        <w:rPr>
          <w:rStyle w:val="CharSectno"/>
        </w:rPr>
        <w:t>101</w:t>
      </w:r>
      <w:r>
        <w:t>.</w:t>
      </w:r>
      <w:r>
        <w:tab/>
        <w:t>Parent may be informed, approved guide provided</w:t>
      </w:r>
      <w:bookmarkEnd w:id="294"/>
      <w:bookmarkEnd w:id="295"/>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96" w:name="_Toc133292933"/>
      <w:bookmarkStart w:id="297" w:name="_Toc158021859"/>
      <w:r>
        <w:rPr>
          <w:rStyle w:val="CharSectno"/>
        </w:rPr>
        <w:t>102</w:t>
      </w:r>
      <w:r>
        <w:t>.</w:t>
      </w:r>
      <w:r>
        <w:tab/>
        <w:t>Limitation of powers of investigator</w:t>
      </w:r>
      <w:bookmarkEnd w:id="296"/>
      <w:bookmarkEnd w:id="297"/>
    </w:p>
    <w:p>
      <w:pPr>
        <w:pStyle w:val="Subsection"/>
      </w:pPr>
      <w:r>
        <w:tab/>
      </w:r>
      <w:r>
        <w:tab/>
        <w:t>An investigator is not to exercise the powers mentioned in section 84 for the purposes of performing a function under this Division.</w:t>
      </w:r>
    </w:p>
    <w:p>
      <w:pPr>
        <w:pStyle w:val="Heading3"/>
      </w:pPr>
      <w:bookmarkStart w:id="298" w:name="_Toc133292934"/>
      <w:bookmarkStart w:id="299" w:name="_Toc141605070"/>
      <w:bookmarkStart w:id="300" w:name="_Toc141696736"/>
      <w:bookmarkStart w:id="301" w:name="_Toc158021860"/>
      <w:r>
        <w:rPr>
          <w:rStyle w:val="CharDivNo"/>
        </w:rPr>
        <w:t>Division 2</w:t>
      </w:r>
      <w:r>
        <w:t> — </w:t>
      </w:r>
      <w:r>
        <w:rPr>
          <w:rStyle w:val="CharDivText"/>
        </w:rPr>
        <w:t>Offences</w:t>
      </w:r>
      <w:bookmarkEnd w:id="298"/>
      <w:bookmarkEnd w:id="299"/>
      <w:bookmarkEnd w:id="300"/>
      <w:bookmarkEnd w:id="301"/>
    </w:p>
    <w:p>
      <w:pPr>
        <w:pStyle w:val="Heading5"/>
      </w:pPr>
      <w:bookmarkStart w:id="302" w:name="_Toc133292935"/>
      <w:bookmarkStart w:id="303" w:name="_Toc158021861"/>
      <w:r>
        <w:rPr>
          <w:rStyle w:val="CharSectno"/>
        </w:rPr>
        <w:t>103</w:t>
      </w:r>
      <w:r>
        <w:t>.</w:t>
      </w:r>
      <w:r>
        <w:tab/>
        <w:t>False or misleading information: providing to CEO, investigators</w:t>
      </w:r>
      <w:bookmarkEnd w:id="302"/>
      <w:bookmarkEnd w:id="303"/>
    </w:p>
    <w:p>
      <w:pPr>
        <w:pStyle w:val="Subsection"/>
        <w:spacing w:before="120"/>
      </w:pPr>
      <w:r>
        <w:tab/>
        <w:t>(1)</w:t>
      </w:r>
      <w:r>
        <w:tab/>
        <w:t>A person must not provide information under this Act to the CEO, an investigator or a police officer, knowing it to be false or misleading in a material particular.</w:t>
      </w:r>
    </w:p>
    <w:p>
      <w:pPr>
        <w:pStyle w:val="Ednotesubsection"/>
      </w:pPr>
      <w:r>
        <w:tab/>
        <w:t>[(2)</w:t>
      </w:r>
      <w:r>
        <w:tab/>
        <w:t xml:space="preserve">has not come into operation </w:t>
      </w:r>
      <w:r>
        <w:rPr>
          <w:i w:val="0"/>
          <w:iCs/>
          <w:vertAlign w:val="superscript"/>
        </w:rPr>
        <w:t>2</w:t>
      </w:r>
      <w:r>
        <w:t>.]</w:t>
      </w:r>
    </w:p>
    <w:p>
      <w:pPr>
        <w:pStyle w:val="Heading5"/>
      </w:pPr>
      <w:bookmarkStart w:id="304" w:name="_Toc133292936"/>
      <w:bookmarkStart w:id="305" w:name="_Toc158021862"/>
      <w:r>
        <w:rPr>
          <w:rStyle w:val="CharSectno"/>
        </w:rPr>
        <w:t>104</w:t>
      </w:r>
      <w:r>
        <w:t>.</w:t>
      </w:r>
      <w:r>
        <w:tab/>
        <w:t>False information about tobacco products, tobacco control information</w:t>
      </w:r>
      <w:bookmarkEnd w:id="304"/>
      <w:bookmarkEnd w:id="305"/>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Ednotesection"/>
      </w:pPr>
      <w:r>
        <w:t>[</w:t>
      </w:r>
      <w:r>
        <w:rPr>
          <w:b/>
          <w:bCs/>
        </w:rPr>
        <w:t>105.</w:t>
      </w:r>
      <w:r>
        <w:tab/>
        <w:t xml:space="preserve">Has not come into operation </w:t>
      </w:r>
      <w:r>
        <w:rPr>
          <w:i w:val="0"/>
          <w:iCs/>
          <w:vertAlign w:val="superscript"/>
        </w:rPr>
        <w:t>2</w:t>
      </w:r>
      <w:r>
        <w:t>.]</w:t>
      </w:r>
    </w:p>
    <w:p>
      <w:pPr>
        <w:pStyle w:val="Heading5"/>
      </w:pPr>
      <w:bookmarkStart w:id="306" w:name="_Toc133292938"/>
      <w:bookmarkStart w:id="307" w:name="_Toc158021863"/>
      <w:r>
        <w:rPr>
          <w:rStyle w:val="CharSectno"/>
        </w:rPr>
        <w:t>106</w:t>
      </w:r>
      <w:r>
        <w:t>.</w:t>
      </w:r>
      <w:r>
        <w:tab/>
        <w:t>Products resembling tobacco products, packages</w:t>
      </w:r>
      <w:bookmarkEnd w:id="306"/>
      <w:bookmarkEnd w:id="307"/>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308" w:name="_Toc133292939"/>
      <w:bookmarkStart w:id="309" w:name="_Toc158021864"/>
      <w:r>
        <w:rPr>
          <w:rStyle w:val="CharSectno"/>
        </w:rPr>
        <w:t>107</w:t>
      </w:r>
      <w:r>
        <w:t>.</w:t>
      </w:r>
      <w:r>
        <w:tab/>
        <w:t>Obstruction</w:t>
      </w:r>
      <w:bookmarkEnd w:id="308"/>
      <w:bookmarkEnd w:id="309"/>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310" w:name="_Toc133292940"/>
      <w:bookmarkStart w:id="311" w:name="_Toc158021865"/>
      <w:r>
        <w:rPr>
          <w:rStyle w:val="CharSectno"/>
        </w:rPr>
        <w:t>108</w:t>
      </w:r>
      <w:r>
        <w:t>.</w:t>
      </w:r>
      <w:r>
        <w:tab/>
        <w:t>Corporations or employers, conduct on behalf of</w:t>
      </w:r>
      <w:bookmarkEnd w:id="310"/>
      <w:bookmarkEnd w:id="311"/>
    </w:p>
    <w:p>
      <w:pPr>
        <w:pStyle w:val="Subsection"/>
      </w:pPr>
      <w:r>
        <w:tab/>
        <w:t>(1)</w:t>
      </w:r>
      <w:r>
        <w:tab/>
        <w:t xml:space="preserve">In this section — </w:t>
      </w:r>
    </w:p>
    <w:p>
      <w:pPr>
        <w:pStyle w:val="Defstart"/>
      </w:pPr>
      <w:r>
        <w:tab/>
      </w:r>
      <w:r>
        <w:rPr>
          <w:b/>
          <w:bCs/>
        </w:rPr>
        <w:t>“</w:t>
      </w:r>
      <w:r>
        <w:rPr>
          <w:rStyle w:val="CharDefText"/>
        </w:rPr>
        <w:t>director</w:t>
      </w:r>
      <w:r>
        <w:rPr>
          <w:b/>
          <w:bCs/>
        </w:rPr>
        <w:t>”</w:t>
      </w:r>
      <w:r>
        <w:t xml:space="preserve"> of a body corporate, includes a constituent member of a body corporate incorporated for a public purpose by a written law or a law of the Commonwealth, another State or a Territory;</w:t>
      </w:r>
    </w:p>
    <w:p>
      <w:pPr>
        <w:pStyle w:val="Defstart"/>
      </w:pPr>
      <w:r>
        <w:tab/>
      </w:r>
      <w:r>
        <w:rPr>
          <w:b/>
          <w:bCs/>
        </w:rPr>
        <w:t>“</w:t>
      </w:r>
      <w:r>
        <w:rPr>
          <w:rStyle w:val="CharDefText"/>
        </w:rPr>
        <w:t>engaging in conduct</w:t>
      </w:r>
      <w:r>
        <w:rPr>
          <w:b/>
          <w:bCs/>
        </w:rPr>
        <w:t>”</w:t>
      </w:r>
      <w:r>
        <w:t xml:space="preserve"> includes failing or refusing to engage in conduct;</w:t>
      </w:r>
    </w:p>
    <w:p>
      <w:pPr>
        <w:pStyle w:val="Defstart"/>
      </w:pPr>
      <w:r>
        <w:rPr>
          <w:b/>
        </w:rPr>
        <w:tab/>
      </w:r>
      <w:r>
        <w:rPr>
          <w:b/>
          <w:bCs/>
        </w:rPr>
        <w:t>“</w:t>
      </w:r>
      <w:r>
        <w:rPr>
          <w:rStyle w:val="CharDefText"/>
          <w:bCs/>
        </w:rPr>
        <w:t xml:space="preserve">state of </w:t>
      </w:r>
      <w:r>
        <w:rPr>
          <w:rStyle w:val="CharDefText"/>
        </w:rPr>
        <w:t>mind</w:t>
      </w:r>
      <w:r>
        <w:rPr>
          <w:b/>
          <w:bCs/>
        </w:rPr>
        <w:t>”</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312" w:name="_Toc133292941"/>
      <w:bookmarkStart w:id="313" w:name="_Toc158021866"/>
      <w:r>
        <w:rPr>
          <w:rStyle w:val="CharSectno"/>
        </w:rPr>
        <w:t>109</w:t>
      </w:r>
      <w:r>
        <w:t>.</w:t>
      </w:r>
      <w:r>
        <w:tab/>
        <w:t>Liability of the officers of bodies corporate</w:t>
      </w:r>
      <w:bookmarkEnd w:id="312"/>
      <w:bookmarkEnd w:id="313"/>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314" w:name="_Toc133292942"/>
      <w:bookmarkStart w:id="315" w:name="_Toc158021867"/>
      <w:r>
        <w:rPr>
          <w:rStyle w:val="CharSectno"/>
        </w:rPr>
        <w:t>110</w:t>
      </w:r>
      <w:r>
        <w:t>.</w:t>
      </w:r>
      <w:r>
        <w:tab/>
        <w:t>Liability of employers</w:t>
      </w:r>
      <w:bookmarkEnd w:id="314"/>
      <w:bookmarkEnd w:id="315"/>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316" w:name="_Toc133292943"/>
      <w:bookmarkStart w:id="317" w:name="_Toc141605078"/>
      <w:bookmarkStart w:id="318" w:name="_Toc141696744"/>
      <w:bookmarkStart w:id="319" w:name="_Toc158021868"/>
      <w:r>
        <w:rPr>
          <w:rStyle w:val="CharDivNo"/>
        </w:rPr>
        <w:t>Division 3</w:t>
      </w:r>
      <w:r>
        <w:t> — </w:t>
      </w:r>
      <w:r>
        <w:rPr>
          <w:rStyle w:val="CharDivText"/>
        </w:rPr>
        <w:t>Prosecutions</w:t>
      </w:r>
      <w:bookmarkEnd w:id="316"/>
      <w:bookmarkEnd w:id="317"/>
      <w:bookmarkEnd w:id="318"/>
      <w:bookmarkEnd w:id="319"/>
    </w:p>
    <w:p>
      <w:pPr>
        <w:pStyle w:val="Heading5"/>
      </w:pPr>
      <w:bookmarkStart w:id="320" w:name="_Toc133292944"/>
      <w:bookmarkStart w:id="321" w:name="_Toc158021869"/>
      <w:r>
        <w:rPr>
          <w:rStyle w:val="CharSectno"/>
        </w:rPr>
        <w:t>111</w:t>
      </w:r>
      <w:r>
        <w:t>.</w:t>
      </w:r>
      <w:r>
        <w:tab/>
        <w:t>When a prosecution can be commenced</w:t>
      </w:r>
      <w:bookmarkEnd w:id="320"/>
      <w:bookmarkEnd w:id="321"/>
    </w:p>
    <w:p>
      <w:pPr>
        <w:pStyle w:val="Subsection"/>
      </w:pPr>
      <w:r>
        <w:tab/>
      </w:r>
      <w:r>
        <w:tab/>
        <w:t>A prosecution of a person for an offence under this Act must be commenced within 2 years after the date on which the offence was allegedly committed.</w:t>
      </w:r>
    </w:p>
    <w:p>
      <w:pPr>
        <w:pStyle w:val="Heading5"/>
      </w:pPr>
      <w:bookmarkStart w:id="322" w:name="_Toc133292945"/>
      <w:bookmarkStart w:id="323" w:name="_Toc158021870"/>
      <w:r>
        <w:rPr>
          <w:rStyle w:val="CharSectno"/>
        </w:rPr>
        <w:t>112</w:t>
      </w:r>
      <w:r>
        <w:t>.</w:t>
      </w:r>
      <w:r>
        <w:tab/>
        <w:t>Consent to be given for certain prosecutions</w:t>
      </w:r>
      <w:bookmarkEnd w:id="322"/>
      <w:bookmarkEnd w:id="323"/>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324" w:name="_Toc133292946"/>
      <w:bookmarkStart w:id="325" w:name="_Toc158021871"/>
      <w:r>
        <w:rPr>
          <w:rStyle w:val="CharSectno"/>
        </w:rPr>
        <w:t>113</w:t>
      </w:r>
      <w:r>
        <w:t>.</w:t>
      </w:r>
      <w:r>
        <w:tab/>
        <w:t>Evidentiary matters</w:t>
      </w:r>
      <w:bookmarkEnd w:id="324"/>
      <w:bookmarkEnd w:id="325"/>
    </w:p>
    <w:p>
      <w:pPr>
        <w:pStyle w:val="Subsection"/>
      </w:pPr>
      <w:r>
        <w:tab/>
        <w:t>(1)</w:t>
      </w:r>
      <w:r>
        <w:tab/>
        <w:t xml:space="preserve">In proceedings for an offence under this Act, an allegation in the </w:t>
      </w:r>
      <w:r>
        <w:rPr>
          <w:szCs w:val="22"/>
        </w:rPr>
        <w:t>prosecution notice</w:t>
      </w:r>
      <w:r>
        <w:t xml:space="preserv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 xml:space="preserve">that the </w:t>
      </w:r>
      <w:r>
        <w:rPr>
          <w:szCs w:val="22"/>
        </w:rPr>
        <w:t>prosecutor</w:t>
      </w:r>
      <w:r>
        <w:t xml:space="preserve">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rPr>
        <w:t>Liquor Licensing Act 1988</w:t>
      </w:r>
      <w:r>
        <w:t xml:space="preserve"> section 3(1);</w:t>
      </w:r>
    </w:p>
    <w:p>
      <w:pPr>
        <w:pStyle w:val="Indenta"/>
      </w:pPr>
      <w:r>
        <w:tab/>
        <w:t>(h)</w:t>
      </w:r>
      <w:r>
        <w:tab/>
        <w:t xml:space="preserve">that at a specified time a person was a licensee as defined in the </w:t>
      </w:r>
      <w:r>
        <w:rPr>
          <w:i/>
        </w:rPr>
        <w:t>Liquor Licensing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Ednotesubsection"/>
      </w:pPr>
      <w:r>
        <w:tab/>
        <w:t>[(3)</w:t>
      </w:r>
      <w:r>
        <w:tab/>
        <w:t xml:space="preserve">has not come into operation </w:t>
      </w:r>
      <w:r>
        <w:rPr>
          <w:i w:val="0"/>
          <w:iCs/>
          <w:vertAlign w:val="superscript"/>
        </w:rPr>
        <w:t>2</w:t>
      </w:r>
      <w:r>
        <w:t>.]</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26" w:name="_Toc133292947"/>
      <w:bookmarkStart w:id="327" w:name="_Toc158021872"/>
      <w:r>
        <w:rPr>
          <w:rStyle w:val="CharSectno"/>
        </w:rPr>
        <w:t>114</w:t>
      </w:r>
      <w:r>
        <w:t>.</w:t>
      </w:r>
      <w:r>
        <w:tab/>
        <w:t>Evidentiary status of copies and reproductions of documents</w:t>
      </w:r>
      <w:bookmarkEnd w:id="326"/>
      <w:bookmarkEnd w:id="327"/>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328" w:name="_Toc133292948"/>
      <w:bookmarkStart w:id="329" w:name="_Toc141605083"/>
      <w:bookmarkStart w:id="330" w:name="_Toc141696749"/>
      <w:bookmarkStart w:id="331" w:name="_Toc158021873"/>
      <w:r>
        <w:rPr>
          <w:rStyle w:val="CharDivNo"/>
        </w:rPr>
        <w:t>Division 4</w:t>
      </w:r>
      <w:r>
        <w:t> — </w:t>
      </w:r>
      <w:r>
        <w:rPr>
          <w:rStyle w:val="CharDivText"/>
        </w:rPr>
        <w:t>Penalties</w:t>
      </w:r>
      <w:bookmarkEnd w:id="328"/>
      <w:bookmarkEnd w:id="329"/>
      <w:bookmarkEnd w:id="330"/>
      <w:bookmarkEnd w:id="331"/>
    </w:p>
    <w:p>
      <w:pPr>
        <w:pStyle w:val="Heading5"/>
      </w:pPr>
      <w:bookmarkStart w:id="332" w:name="_Toc133292949"/>
      <w:bookmarkStart w:id="333" w:name="_Toc158021874"/>
      <w:r>
        <w:rPr>
          <w:rStyle w:val="CharSectno"/>
        </w:rPr>
        <w:t>115</w:t>
      </w:r>
      <w:r>
        <w:t>.</w:t>
      </w:r>
      <w:r>
        <w:tab/>
        <w:t>General penalties</w:t>
      </w:r>
      <w:bookmarkEnd w:id="332"/>
      <w:bookmarkEnd w:id="333"/>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rPr>
          <w:b/>
        </w:rPr>
      </w:pPr>
      <w:r>
        <w:rPr>
          <w:b/>
        </w:rPr>
        <w:t>Table</w:t>
      </w:r>
    </w:p>
    <w:tbl>
      <w:tblPr>
        <w:tblW w:w="4678" w:type="dxa"/>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rPr>
                <w:bCs/>
              </w:rP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rPr>
                <w:bCs/>
              </w:rP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334" w:name="_Toc133292950"/>
      <w:bookmarkStart w:id="335" w:name="_Toc158021875"/>
      <w:r>
        <w:rPr>
          <w:rStyle w:val="CharSectno"/>
        </w:rPr>
        <w:t>116</w:t>
      </w:r>
      <w:r>
        <w:t>.</w:t>
      </w:r>
      <w:r>
        <w:tab/>
        <w:t>Continuing offences, penalties for</w:t>
      </w:r>
      <w:bookmarkEnd w:id="334"/>
      <w:bookmarkEnd w:id="335"/>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336" w:name="_Toc133292951"/>
      <w:bookmarkStart w:id="337" w:name="_Toc141605086"/>
      <w:bookmarkStart w:id="338" w:name="_Toc141696752"/>
      <w:bookmarkStart w:id="339" w:name="_Toc158021876"/>
      <w:r>
        <w:rPr>
          <w:rStyle w:val="CharDivNo"/>
        </w:rPr>
        <w:t>Division 5</w:t>
      </w:r>
      <w:r>
        <w:t> — </w:t>
      </w:r>
      <w:r>
        <w:rPr>
          <w:rStyle w:val="CharDivText"/>
        </w:rPr>
        <w:t>Seized things and forfeiture</w:t>
      </w:r>
      <w:bookmarkEnd w:id="336"/>
      <w:bookmarkEnd w:id="337"/>
      <w:bookmarkEnd w:id="338"/>
      <w:bookmarkEnd w:id="339"/>
    </w:p>
    <w:p>
      <w:pPr>
        <w:pStyle w:val="Heading5"/>
      </w:pPr>
      <w:bookmarkStart w:id="340" w:name="_Toc133292952"/>
      <w:bookmarkStart w:id="341" w:name="_Toc158021877"/>
      <w:r>
        <w:rPr>
          <w:rStyle w:val="CharSectno"/>
        </w:rPr>
        <w:t>117</w:t>
      </w:r>
      <w:r>
        <w:t>.</w:t>
      </w:r>
      <w:r>
        <w:tab/>
        <w:t>Storage of seized things</w:t>
      </w:r>
      <w:bookmarkEnd w:id="340"/>
      <w:bookmarkEnd w:id="341"/>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342" w:name="_Toc133292953"/>
      <w:bookmarkStart w:id="343" w:name="_Toc158021878"/>
      <w:r>
        <w:rPr>
          <w:rStyle w:val="CharSectno"/>
        </w:rPr>
        <w:t>118</w:t>
      </w:r>
      <w:r>
        <w:t>.</w:t>
      </w:r>
      <w:r>
        <w:tab/>
        <w:t>Expenses of storage payable by convicted person</w:t>
      </w:r>
      <w:bookmarkEnd w:id="342"/>
      <w:bookmarkEnd w:id="343"/>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44" w:name="_Toc133292954"/>
      <w:bookmarkStart w:id="345" w:name="_Toc158021879"/>
      <w:r>
        <w:rPr>
          <w:rStyle w:val="CharSectno"/>
        </w:rPr>
        <w:t>119</w:t>
      </w:r>
      <w:r>
        <w:rPr>
          <w:snapToGrid w:val="0"/>
        </w:rPr>
        <w:t>.</w:t>
      </w:r>
      <w:r>
        <w:rPr>
          <w:snapToGrid w:val="0"/>
        </w:rPr>
        <w:tab/>
        <w:t>Forfeiture on conviction</w:t>
      </w:r>
      <w:bookmarkEnd w:id="344"/>
      <w:bookmarkEnd w:id="345"/>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346" w:name="_Toc133292955"/>
      <w:bookmarkStart w:id="347" w:name="_Toc158021880"/>
      <w:r>
        <w:rPr>
          <w:rStyle w:val="CharSectno"/>
        </w:rPr>
        <w:t>120</w:t>
      </w:r>
      <w:r>
        <w:t>.</w:t>
      </w:r>
      <w:r>
        <w:tab/>
        <w:t>Dealing with unclaimed seized things</w:t>
      </w:r>
      <w:bookmarkEnd w:id="346"/>
      <w:bookmarkEnd w:id="347"/>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348" w:name="_Toc133292956"/>
      <w:bookmarkStart w:id="349" w:name="_Toc141605091"/>
      <w:bookmarkStart w:id="350" w:name="_Toc141696757"/>
      <w:bookmarkStart w:id="351" w:name="_Toc158021881"/>
      <w:r>
        <w:rPr>
          <w:rStyle w:val="CharPartNo"/>
        </w:rPr>
        <w:t>Part 8</w:t>
      </w:r>
      <w:r>
        <w:rPr>
          <w:rStyle w:val="CharDivNo"/>
        </w:rPr>
        <w:t> </w:t>
      </w:r>
      <w:r>
        <w:t>—</w:t>
      </w:r>
      <w:r>
        <w:rPr>
          <w:rStyle w:val="CharDivText"/>
        </w:rPr>
        <w:t> </w:t>
      </w:r>
      <w:r>
        <w:rPr>
          <w:rStyle w:val="CharPartText"/>
        </w:rPr>
        <w:t>Miscellaneous</w:t>
      </w:r>
      <w:bookmarkEnd w:id="348"/>
      <w:bookmarkEnd w:id="349"/>
      <w:bookmarkEnd w:id="350"/>
      <w:bookmarkEnd w:id="351"/>
    </w:p>
    <w:p>
      <w:pPr>
        <w:pStyle w:val="Heading5"/>
      </w:pPr>
      <w:bookmarkStart w:id="352" w:name="_Toc133292957"/>
      <w:bookmarkStart w:id="353" w:name="_Toc158021882"/>
      <w:r>
        <w:rPr>
          <w:rStyle w:val="CharSectno"/>
        </w:rPr>
        <w:t>121</w:t>
      </w:r>
      <w:r>
        <w:t>.</w:t>
      </w:r>
      <w:r>
        <w:tab/>
        <w:t>Protection from liability for wrongdoing</w:t>
      </w:r>
      <w:bookmarkEnd w:id="352"/>
      <w:bookmarkEnd w:id="35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b/>
          <w:bCs/>
        </w:rPr>
        <w:t>“</w:t>
      </w:r>
      <w:r>
        <w:rPr>
          <w:rStyle w:val="CharDefText"/>
          <w:bCs/>
        </w:rPr>
        <w:t>contractor</w:t>
      </w:r>
      <w:r>
        <w:rPr>
          <w:b/>
          <w:bCs/>
        </w:rPr>
        <w:t>”</w:t>
      </w:r>
      <w:r>
        <w:t xml:space="preserve"> means a person who has entered into a contract with the CEO under section 117(2).</w:t>
      </w:r>
    </w:p>
    <w:p>
      <w:pPr>
        <w:pStyle w:val="Heading5"/>
      </w:pPr>
      <w:bookmarkStart w:id="354" w:name="_Toc133292958"/>
      <w:bookmarkStart w:id="355" w:name="_Toc158021883"/>
      <w:r>
        <w:rPr>
          <w:rStyle w:val="CharSectno"/>
        </w:rPr>
        <w:t>122</w:t>
      </w:r>
      <w:r>
        <w:t>.</w:t>
      </w:r>
      <w:r>
        <w:tab/>
        <w:t>Execution of documents by the Foundation</w:t>
      </w:r>
      <w:bookmarkEnd w:id="354"/>
      <w:bookmarkEnd w:id="355"/>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356" w:name="_Toc133292959"/>
      <w:bookmarkStart w:id="357" w:name="_Toc158021884"/>
      <w:r>
        <w:rPr>
          <w:rStyle w:val="CharSectno"/>
        </w:rPr>
        <w:t>123</w:t>
      </w:r>
      <w:r>
        <w:t>.</w:t>
      </w:r>
      <w:r>
        <w:tab/>
        <w:t>Confidentiality</w:t>
      </w:r>
      <w:bookmarkEnd w:id="356"/>
      <w:bookmarkEnd w:id="357"/>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358" w:name="_Toc133292960"/>
      <w:bookmarkStart w:id="359" w:name="_Toc158021885"/>
      <w:r>
        <w:rPr>
          <w:rStyle w:val="CharSectno"/>
        </w:rPr>
        <w:t>124</w:t>
      </w:r>
      <w:r>
        <w:t>.</w:t>
      </w:r>
      <w:r>
        <w:tab/>
        <w:t>Regulations</w:t>
      </w:r>
      <w:bookmarkEnd w:id="358"/>
      <w:bookmarkEnd w:id="3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w:t>
      </w:r>
      <w:r>
        <w:rPr>
          <w:i/>
          <w:iCs/>
        </w:rPr>
        <w:t>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iCs/>
        </w:rPr>
        <w:t>Trade Practices Act 1974</w:t>
      </w:r>
      <w:r>
        <w:t xml:space="preserve"> of the Commonwealth </w:t>
      </w:r>
      <w:r>
        <w:rPr>
          <w:iCs/>
        </w:rPr>
        <w:t xml:space="preserve">in relation to consumer product information standards for tobacco products </w:t>
      </w:r>
      <w:r>
        <w:t>that is in force or existing at the time when the regulations under this section take effect or as in force or existing from time to time.</w:t>
      </w:r>
    </w:p>
    <w:p>
      <w:pPr>
        <w:pStyle w:val="Heading5"/>
      </w:pPr>
      <w:bookmarkStart w:id="360" w:name="_Toc133292961"/>
      <w:bookmarkStart w:id="361" w:name="_Toc158021886"/>
      <w:r>
        <w:rPr>
          <w:rStyle w:val="CharSectno"/>
        </w:rPr>
        <w:t>125</w:t>
      </w:r>
      <w:r>
        <w:t>.</w:t>
      </w:r>
      <w:r>
        <w:tab/>
        <w:t>Regulations about smoking in public places</w:t>
      </w:r>
      <w:bookmarkEnd w:id="360"/>
      <w:bookmarkEnd w:id="361"/>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362" w:name="_Toc133292962"/>
      <w:bookmarkStart w:id="363" w:name="_Toc158021887"/>
      <w:r>
        <w:rPr>
          <w:rStyle w:val="CharSectno"/>
        </w:rPr>
        <w:t>126</w:t>
      </w:r>
      <w:r>
        <w:t>.</w:t>
      </w:r>
      <w:r>
        <w:tab/>
        <w:t>Repeals, transitional provisions, consequential amendments to other Acts</w:t>
      </w:r>
      <w:bookmarkEnd w:id="362"/>
      <w:bookmarkEnd w:id="363"/>
    </w:p>
    <w:p>
      <w:pPr>
        <w:pStyle w:val="Subsection"/>
      </w:pPr>
      <w:r>
        <w:tab/>
      </w:r>
      <w:r>
        <w:tab/>
        <w:t>Schedule 2 has effect.</w:t>
      </w:r>
    </w:p>
    <w:p>
      <w:pPr>
        <w:pStyle w:val="Heading5"/>
      </w:pPr>
      <w:bookmarkStart w:id="364" w:name="_Toc133292963"/>
      <w:bookmarkStart w:id="365" w:name="_Toc158021888"/>
      <w:r>
        <w:rPr>
          <w:rStyle w:val="CharSectno"/>
        </w:rPr>
        <w:t>127</w:t>
      </w:r>
      <w:r>
        <w:t>.</w:t>
      </w:r>
      <w:r>
        <w:tab/>
        <w:t>Review of Act</w:t>
      </w:r>
      <w:bookmarkEnd w:id="364"/>
      <w:bookmarkEnd w:id="365"/>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pgNumType w:start="1"/>
          <w:cols w:space="720"/>
          <w:titlePg/>
          <w:docGrid w:linePitch="326"/>
        </w:sectPr>
      </w:pPr>
      <w:bookmarkStart w:id="366" w:name="_Toc133292964"/>
      <w:bookmarkStart w:id="367" w:name="_Toc119746908"/>
      <w:bookmarkStart w:id="368" w:name="_Toc133119604"/>
    </w:p>
    <w:p>
      <w:pPr>
        <w:pStyle w:val="yScheduleHeading"/>
      </w:pPr>
      <w:bookmarkStart w:id="369" w:name="_Toc141605099"/>
      <w:bookmarkStart w:id="370" w:name="_Toc141696765"/>
      <w:bookmarkStart w:id="371" w:name="_Toc158021889"/>
      <w:r>
        <w:rPr>
          <w:rStyle w:val="CharSchNo"/>
        </w:rPr>
        <w:t>Schedule 1</w:t>
      </w:r>
      <w:r>
        <w:t> — </w:t>
      </w:r>
      <w:r>
        <w:rPr>
          <w:rStyle w:val="CharSchText"/>
        </w:rPr>
        <w:t>Constitution and proceedings of Foundation</w:t>
      </w:r>
      <w:bookmarkEnd w:id="366"/>
      <w:bookmarkEnd w:id="369"/>
      <w:bookmarkEnd w:id="370"/>
      <w:bookmarkEnd w:id="371"/>
    </w:p>
    <w:p>
      <w:pPr>
        <w:pStyle w:val="yHeading3"/>
      </w:pPr>
      <w:bookmarkStart w:id="372" w:name="_Toc133292965"/>
      <w:bookmarkStart w:id="373" w:name="_Toc141605100"/>
      <w:bookmarkStart w:id="374" w:name="_Toc141696766"/>
      <w:bookmarkStart w:id="375" w:name="_Toc158021890"/>
      <w:r>
        <w:rPr>
          <w:rStyle w:val="CharSDivNo"/>
        </w:rPr>
        <w:t>Division 1</w:t>
      </w:r>
      <w:r>
        <w:t> — </w:t>
      </w:r>
      <w:r>
        <w:rPr>
          <w:rStyle w:val="CharSDivText"/>
        </w:rPr>
        <w:t>General provisions</w:t>
      </w:r>
      <w:bookmarkEnd w:id="372"/>
      <w:bookmarkEnd w:id="373"/>
      <w:bookmarkEnd w:id="374"/>
      <w:bookmarkEnd w:id="375"/>
    </w:p>
    <w:p>
      <w:pPr>
        <w:pStyle w:val="yShoulderClause"/>
      </w:pPr>
      <w:r>
        <w:t>[s. 62]</w:t>
      </w:r>
    </w:p>
    <w:p>
      <w:pPr>
        <w:pStyle w:val="yHeading5"/>
        <w:outlineLvl w:val="9"/>
      </w:pPr>
      <w:bookmarkStart w:id="376" w:name="_Toc133292966"/>
      <w:bookmarkStart w:id="377" w:name="_Toc158021891"/>
      <w:r>
        <w:rPr>
          <w:rStyle w:val="CharSClsNo"/>
        </w:rPr>
        <w:t>1</w:t>
      </w:r>
      <w:r>
        <w:t>.</w:t>
      </w:r>
      <w:r>
        <w:tab/>
        <w:t>Term of office</w:t>
      </w:r>
      <w:bookmarkEnd w:id="376"/>
      <w:bookmarkEnd w:id="377"/>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pPr>
      <w:bookmarkStart w:id="378" w:name="_Toc133292967"/>
      <w:bookmarkStart w:id="379" w:name="_Toc158021892"/>
      <w:r>
        <w:rPr>
          <w:rStyle w:val="CharSClsNo"/>
        </w:rPr>
        <w:t>2</w:t>
      </w:r>
      <w:r>
        <w:t>.</w:t>
      </w:r>
      <w:r>
        <w:tab/>
        <w:t>Resignation, removal etc.</w:t>
      </w:r>
      <w:bookmarkEnd w:id="378"/>
      <w:bookmarkEnd w:id="379"/>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t>“</w:t>
      </w:r>
      <w:r>
        <w:rPr>
          <w:rStyle w:val="CharDefText"/>
        </w:rPr>
        <w:t>member</w:t>
      </w:r>
      <w:r>
        <w:rPr>
          <w:b/>
        </w:rPr>
        <w:t>”</w:t>
      </w:r>
      <w:r>
        <w:t xml:space="preserve"> means a member mentioned in section 61(1)(a), (b), (c), (d), (e), (f) or (g);</w:t>
      </w:r>
    </w:p>
    <w:p>
      <w:pPr>
        <w:pStyle w:val="y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yHeading5"/>
      </w:pPr>
      <w:bookmarkStart w:id="380" w:name="_Toc133292968"/>
      <w:bookmarkStart w:id="381" w:name="_Toc158021893"/>
      <w:r>
        <w:rPr>
          <w:rStyle w:val="CharSClsNo"/>
        </w:rPr>
        <w:t>3</w:t>
      </w:r>
      <w:r>
        <w:t>.</w:t>
      </w:r>
      <w:r>
        <w:tab/>
        <w:t>Deputy chairperson</w:t>
      </w:r>
      <w:bookmarkEnd w:id="380"/>
      <w:bookmarkEnd w:id="381"/>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382" w:name="_Toc133292969"/>
      <w:bookmarkStart w:id="383" w:name="_Toc158021894"/>
      <w:r>
        <w:rPr>
          <w:rStyle w:val="CharSClsNo"/>
        </w:rPr>
        <w:t>4</w:t>
      </w:r>
      <w:r>
        <w:t>.</w:t>
      </w:r>
      <w:r>
        <w:tab/>
        <w:t>Leave of absence</w:t>
      </w:r>
      <w:bookmarkEnd w:id="382"/>
      <w:bookmarkEnd w:id="383"/>
    </w:p>
    <w:p>
      <w:pPr>
        <w:pStyle w:val="ySubsection"/>
      </w:pPr>
      <w:r>
        <w:tab/>
      </w:r>
      <w:r>
        <w:tab/>
        <w:t>The Foundation may grant leave of absence to a member on the terms and conditions determined by the Foundation.</w:t>
      </w:r>
    </w:p>
    <w:p>
      <w:pPr>
        <w:pStyle w:val="yHeading5"/>
      </w:pPr>
      <w:bookmarkStart w:id="384" w:name="_Toc133292970"/>
      <w:bookmarkStart w:id="385" w:name="_Toc158021895"/>
      <w:r>
        <w:rPr>
          <w:rStyle w:val="CharSClsNo"/>
        </w:rPr>
        <w:t>5</w:t>
      </w:r>
      <w:r>
        <w:t>.</w:t>
      </w:r>
      <w:r>
        <w:tab/>
        <w:t>Member temporarily unable to act</w:t>
      </w:r>
      <w:bookmarkEnd w:id="384"/>
      <w:bookmarkEnd w:id="385"/>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pPr>
      <w:bookmarkStart w:id="386" w:name="_Toc133292971"/>
      <w:bookmarkStart w:id="387" w:name="_Toc158021896"/>
      <w:r>
        <w:rPr>
          <w:rStyle w:val="CharSClsNo"/>
        </w:rPr>
        <w:t>6</w:t>
      </w:r>
      <w:r>
        <w:t>.</w:t>
      </w:r>
      <w:r>
        <w:tab/>
        <w:t>Saving</w:t>
      </w:r>
      <w:bookmarkEnd w:id="386"/>
      <w:bookmarkEnd w:id="387"/>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pPr>
      <w:bookmarkStart w:id="388" w:name="_Toc133292972"/>
      <w:bookmarkStart w:id="389" w:name="_Toc158021897"/>
      <w:r>
        <w:rPr>
          <w:rStyle w:val="CharSClsNo"/>
        </w:rPr>
        <w:t>7</w:t>
      </w:r>
      <w:r>
        <w:t>.</w:t>
      </w:r>
      <w:r>
        <w:tab/>
        <w:t>Calling of meetings</w:t>
      </w:r>
      <w:bookmarkEnd w:id="388"/>
      <w:bookmarkEnd w:id="389"/>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pPr>
      <w:bookmarkStart w:id="390" w:name="_Toc133292973"/>
      <w:bookmarkStart w:id="391" w:name="_Toc158021898"/>
      <w:r>
        <w:rPr>
          <w:rStyle w:val="CharSClsNo"/>
        </w:rPr>
        <w:t>8</w:t>
      </w:r>
      <w:r>
        <w:t>.</w:t>
      </w:r>
      <w:r>
        <w:tab/>
        <w:t>Presiding officer</w:t>
      </w:r>
      <w:bookmarkEnd w:id="390"/>
      <w:bookmarkEnd w:id="391"/>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392" w:name="_Toc133292974"/>
      <w:bookmarkStart w:id="393" w:name="_Toc158021899"/>
      <w:r>
        <w:rPr>
          <w:rStyle w:val="CharSClsNo"/>
        </w:rPr>
        <w:t>9</w:t>
      </w:r>
      <w:r>
        <w:t>.</w:t>
      </w:r>
      <w:r>
        <w:tab/>
        <w:t>General procedures</w:t>
      </w:r>
      <w:bookmarkEnd w:id="392"/>
      <w:bookmarkEnd w:id="393"/>
    </w:p>
    <w:p>
      <w:pPr>
        <w:pStyle w:val="ySubsection"/>
      </w:pPr>
      <w:r>
        <w:tab/>
      </w:r>
      <w:r>
        <w:tab/>
        <w:t>Subject to this Act, the Foundation may determine its own procedures for the calling of meetings of the Foundation and for the conduct of business at those meetings.</w:t>
      </w:r>
    </w:p>
    <w:p>
      <w:pPr>
        <w:pStyle w:val="yHeading5"/>
      </w:pPr>
      <w:bookmarkStart w:id="394" w:name="_Toc133292975"/>
      <w:bookmarkStart w:id="395" w:name="_Toc158021900"/>
      <w:r>
        <w:rPr>
          <w:rStyle w:val="CharSClsNo"/>
        </w:rPr>
        <w:t>10</w:t>
      </w:r>
      <w:r>
        <w:t>.</w:t>
      </w:r>
      <w:r>
        <w:tab/>
        <w:t>Quorum</w:t>
      </w:r>
      <w:bookmarkEnd w:id="394"/>
      <w:bookmarkEnd w:id="395"/>
    </w:p>
    <w:p>
      <w:pPr>
        <w:pStyle w:val="ySubsection"/>
      </w:pPr>
      <w:r>
        <w:tab/>
      </w:r>
      <w:r>
        <w:tab/>
        <w:t>The quorum for a meeting of the Foundation is 5 members.</w:t>
      </w:r>
    </w:p>
    <w:p>
      <w:pPr>
        <w:pStyle w:val="yHeading5"/>
      </w:pPr>
      <w:bookmarkStart w:id="396" w:name="_Toc133292976"/>
      <w:bookmarkStart w:id="397" w:name="_Toc158021901"/>
      <w:r>
        <w:rPr>
          <w:rStyle w:val="CharSClsNo"/>
        </w:rPr>
        <w:t>11</w:t>
      </w:r>
      <w:r>
        <w:t>.</w:t>
      </w:r>
      <w:r>
        <w:tab/>
        <w:t>Voting</w:t>
      </w:r>
      <w:bookmarkEnd w:id="396"/>
      <w:bookmarkEnd w:id="397"/>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pPr>
      <w:bookmarkStart w:id="398" w:name="_Toc133292977"/>
      <w:bookmarkStart w:id="399" w:name="_Toc158021902"/>
      <w:r>
        <w:rPr>
          <w:rStyle w:val="CharSClsNo"/>
        </w:rPr>
        <w:t>12</w:t>
      </w:r>
      <w:r>
        <w:t>.</w:t>
      </w:r>
      <w:r>
        <w:tab/>
        <w:t>Minutes</w:t>
      </w:r>
      <w:bookmarkEnd w:id="398"/>
      <w:bookmarkEnd w:id="399"/>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pPr>
      <w:bookmarkStart w:id="400" w:name="_Toc133292978"/>
      <w:bookmarkStart w:id="401" w:name="_Toc158021903"/>
      <w:r>
        <w:rPr>
          <w:rStyle w:val="CharSClsNo"/>
        </w:rPr>
        <w:t>13</w:t>
      </w:r>
      <w:r>
        <w:t>.</w:t>
      </w:r>
      <w:r>
        <w:tab/>
        <w:t>Decision without meeting</w:t>
      </w:r>
      <w:bookmarkEnd w:id="400"/>
      <w:bookmarkEnd w:id="401"/>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pPr>
      <w:bookmarkStart w:id="402" w:name="_Toc133292979"/>
      <w:bookmarkStart w:id="403" w:name="_Toc158021904"/>
      <w:r>
        <w:rPr>
          <w:rStyle w:val="CharSClsNo"/>
        </w:rPr>
        <w:t>14</w:t>
      </w:r>
      <w:r>
        <w:t>.</w:t>
      </w:r>
      <w:r>
        <w:tab/>
        <w:t>Holding meetings remotely</w:t>
      </w:r>
      <w:bookmarkEnd w:id="402"/>
      <w:bookmarkEnd w:id="403"/>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pPr>
      <w:bookmarkStart w:id="404" w:name="_Toc133292980"/>
      <w:bookmarkStart w:id="405" w:name="_Toc158021905"/>
      <w:r>
        <w:rPr>
          <w:rStyle w:val="CharSClsNo"/>
        </w:rPr>
        <w:t>15</w:t>
      </w:r>
      <w:r>
        <w:t>.</w:t>
      </w:r>
      <w:r>
        <w:tab/>
        <w:t>Committees</w:t>
      </w:r>
      <w:bookmarkEnd w:id="404"/>
      <w:bookmarkEnd w:id="405"/>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pPr>
      <w:bookmarkStart w:id="406" w:name="_Toc133292981"/>
      <w:bookmarkStart w:id="407" w:name="_Toc141605116"/>
      <w:bookmarkStart w:id="408" w:name="_Toc141696782"/>
      <w:bookmarkStart w:id="409" w:name="_Toc158021906"/>
      <w:r>
        <w:rPr>
          <w:rStyle w:val="CharSDivNo"/>
        </w:rPr>
        <w:t>Division 2</w:t>
      </w:r>
      <w:r>
        <w:t> — </w:t>
      </w:r>
      <w:r>
        <w:rPr>
          <w:rStyle w:val="CharSDivText"/>
        </w:rPr>
        <w:t>Disclosure of interests, etc.</w:t>
      </w:r>
      <w:bookmarkEnd w:id="406"/>
      <w:bookmarkEnd w:id="407"/>
      <w:bookmarkEnd w:id="408"/>
      <w:bookmarkEnd w:id="409"/>
    </w:p>
    <w:p>
      <w:pPr>
        <w:pStyle w:val="yHeading5"/>
      </w:pPr>
      <w:bookmarkStart w:id="410" w:name="_Toc133292982"/>
      <w:bookmarkStart w:id="411" w:name="_Toc158021907"/>
      <w:r>
        <w:rPr>
          <w:rStyle w:val="CharSClsNo"/>
        </w:rPr>
        <w:t>16</w:t>
      </w:r>
      <w:r>
        <w:t>.</w:t>
      </w:r>
      <w:r>
        <w:tab/>
        <w:t>Meaning of “member”</w:t>
      </w:r>
      <w:bookmarkEnd w:id="410"/>
      <w:bookmarkEnd w:id="411"/>
    </w:p>
    <w:p>
      <w:pPr>
        <w:pStyle w:val="ySubsection"/>
      </w:pPr>
      <w:r>
        <w:tab/>
      </w:r>
      <w:r>
        <w:tab/>
        <w:t xml:space="preserve">In this Division — </w:t>
      </w:r>
    </w:p>
    <w:p>
      <w:pPr>
        <w:pStyle w:val="yDefstart"/>
      </w:pPr>
      <w:r>
        <w:tab/>
      </w:r>
      <w:r>
        <w:rPr>
          <w:b/>
        </w:rPr>
        <w:t>“</w:t>
      </w:r>
      <w:r>
        <w:rPr>
          <w:rStyle w:val="CharDefText"/>
        </w:rPr>
        <w:t>member</w:t>
      </w:r>
      <w:r>
        <w:rPr>
          <w:b/>
        </w:rPr>
        <w:t>”</w:t>
      </w:r>
      <w:r>
        <w:t xml:space="preserve"> includes a member of a committee.</w:t>
      </w:r>
    </w:p>
    <w:p>
      <w:pPr>
        <w:pStyle w:val="yHeading5"/>
      </w:pPr>
      <w:bookmarkStart w:id="412" w:name="_Toc133292983"/>
      <w:bookmarkStart w:id="413" w:name="_Toc158021908"/>
      <w:r>
        <w:rPr>
          <w:rStyle w:val="CharSClsNo"/>
        </w:rPr>
        <w:t>17</w:t>
      </w:r>
      <w:r>
        <w:t>.</w:t>
      </w:r>
      <w:r>
        <w:tab/>
        <w:t>Disclosure of interests</w:t>
      </w:r>
      <w:bookmarkEnd w:id="412"/>
      <w:bookmarkEnd w:id="413"/>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pPr>
      <w:bookmarkStart w:id="414" w:name="_Toc133292984"/>
      <w:bookmarkStart w:id="415" w:name="_Toc158021909"/>
      <w:r>
        <w:rPr>
          <w:rStyle w:val="CharSClsNo"/>
        </w:rPr>
        <w:t>18</w:t>
      </w:r>
      <w:r>
        <w:t>.</w:t>
      </w:r>
      <w:r>
        <w:tab/>
        <w:t>Voting by interested members</w:t>
      </w:r>
      <w:bookmarkEnd w:id="414"/>
      <w:bookmarkEnd w:id="415"/>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416" w:name="_Toc133292985"/>
      <w:bookmarkStart w:id="417" w:name="_Toc158021910"/>
      <w:r>
        <w:rPr>
          <w:rStyle w:val="CharSClsNo"/>
        </w:rPr>
        <w:t>19</w:t>
      </w:r>
      <w:r>
        <w:t>.</w:t>
      </w:r>
      <w:r>
        <w:tab/>
        <w:t>Clause 18 may be declared inapplicable</w:t>
      </w:r>
      <w:bookmarkEnd w:id="416"/>
      <w:bookmarkEnd w:id="417"/>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418" w:name="_Toc133292986"/>
      <w:bookmarkStart w:id="419" w:name="_Toc158021911"/>
      <w:r>
        <w:rPr>
          <w:rStyle w:val="CharSClsNo"/>
        </w:rPr>
        <w:t>20</w:t>
      </w:r>
      <w:r>
        <w:t>.</w:t>
      </w:r>
      <w:r>
        <w:tab/>
        <w:t>Quorum where clause 18 applies</w:t>
      </w:r>
      <w:bookmarkEnd w:id="418"/>
      <w:bookmarkEnd w:id="419"/>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pPr>
      <w:bookmarkStart w:id="420" w:name="_Toc133292987"/>
      <w:bookmarkStart w:id="421" w:name="_Toc158021912"/>
      <w:r>
        <w:rPr>
          <w:rStyle w:val="CharSClsNo"/>
        </w:rPr>
        <w:t>21</w:t>
      </w:r>
      <w:r>
        <w:t>.</w:t>
      </w:r>
      <w:r>
        <w:tab/>
        <w:t xml:space="preserve">Minister may declare </w:t>
      </w:r>
      <w:r>
        <w:rPr>
          <w:spacing w:val="-2"/>
        </w:rPr>
        <w:t>c</w:t>
      </w:r>
      <w:r>
        <w:t>lauses 18 and 20 inapplicable</w:t>
      </w:r>
      <w:bookmarkEnd w:id="420"/>
      <w:bookmarkEnd w:id="421"/>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422" w:name="_Toc133292988"/>
      <w:bookmarkStart w:id="423" w:name="_Toc141605123"/>
      <w:bookmarkStart w:id="424" w:name="_Toc141696789"/>
      <w:bookmarkStart w:id="425" w:name="_Toc158021913"/>
      <w:r>
        <w:rPr>
          <w:rStyle w:val="CharSchNo"/>
        </w:rPr>
        <w:t>Schedule 2</w:t>
      </w:r>
      <w:r>
        <w:t> — </w:t>
      </w:r>
      <w:r>
        <w:rPr>
          <w:rStyle w:val="CharSchText"/>
        </w:rPr>
        <w:t>Repeals, transitional provisions, consequential amendments to other Acts</w:t>
      </w:r>
      <w:bookmarkEnd w:id="422"/>
      <w:bookmarkEnd w:id="423"/>
      <w:bookmarkEnd w:id="424"/>
      <w:bookmarkEnd w:id="425"/>
    </w:p>
    <w:p>
      <w:pPr>
        <w:pStyle w:val="yShoulderClause"/>
      </w:pPr>
      <w:r>
        <w:t>[s. 126]</w:t>
      </w:r>
    </w:p>
    <w:p>
      <w:pPr>
        <w:pStyle w:val="yHeading3"/>
      </w:pPr>
      <w:bookmarkStart w:id="426" w:name="_Toc133292989"/>
      <w:bookmarkStart w:id="427" w:name="_Toc141605124"/>
      <w:bookmarkStart w:id="428" w:name="_Toc141696790"/>
      <w:bookmarkStart w:id="429" w:name="_Toc158021914"/>
      <w:r>
        <w:rPr>
          <w:rStyle w:val="CharSDivNo"/>
        </w:rPr>
        <w:t>Division 1</w:t>
      </w:r>
      <w:r>
        <w:t> — </w:t>
      </w:r>
      <w:r>
        <w:rPr>
          <w:rStyle w:val="CharSDivText"/>
        </w:rPr>
        <w:t>Repeals</w:t>
      </w:r>
      <w:bookmarkEnd w:id="426"/>
      <w:bookmarkEnd w:id="427"/>
      <w:bookmarkEnd w:id="428"/>
      <w:bookmarkEnd w:id="429"/>
    </w:p>
    <w:p>
      <w:pPr>
        <w:pStyle w:val="yHeading5"/>
      </w:pPr>
      <w:bookmarkStart w:id="430" w:name="_Toc133292990"/>
      <w:bookmarkStart w:id="431" w:name="_Toc158021915"/>
      <w:r>
        <w:rPr>
          <w:rStyle w:val="CharSClsNo"/>
        </w:rPr>
        <w:t>1</w:t>
      </w:r>
      <w:r>
        <w:t>.</w:t>
      </w:r>
      <w:r>
        <w:tab/>
      </w:r>
      <w:r>
        <w:rPr>
          <w:i/>
          <w:iCs/>
        </w:rPr>
        <w:t>Tobacco Control Act 1990</w:t>
      </w:r>
      <w:r>
        <w:t xml:space="preserve"> repealed</w:t>
      </w:r>
      <w:bookmarkEnd w:id="430"/>
      <w:bookmarkEnd w:id="431"/>
    </w:p>
    <w:p>
      <w:pPr>
        <w:pStyle w:val="ySubsection"/>
      </w:pPr>
      <w:r>
        <w:tab/>
      </w:r>
      <w:r>
        <w:tab/>
        <w:t xml:space="preserve">The </w:t>
      </w:r>
      <w:r>
        <w:rPr>
          <w:i/>
          <w:iCs/>
        </w:rPr>
        <w:t>Tobacco Control Act 1990</w:t>
      </w:r>
      <w:r>
        <w:t xml:space="preserve"> is repealed.</w:t>
      </w:r>
    </w:p>
    <w:p>
      <w:pPr>
        <w:pStyle w:val="yHeading5"/>
      </w:pPr>
      <w:bookmarkStart w:id="432" w:name="_Toc133292991"/>
      <w:bookmarkStart w:id="433" w:name="_Toc158021916"/>
      <w:r>
        <w:rPr>
          <w:rStyle w:val="CharSClsNo"/>
        </w:rPr>
        <w:t>2</w:t>
      </w:r>
      <w:r>
        <w:t>.</w:t>
      </w:r>
      <w:r>
        <w:tab/>
        <w:t xml:space="preserve">Regulations under the </w:t>
      </w:r>
      <w:r>
        <w:rPr>
          <w:i/>
          <w:iCs/>
        </w:rPr>
        <w:t>Tobacco Control Act 1990</w:t>
      </w:r>
      <w:r>
        <w:t xml:space="preserve"> repealed</w:t>
      </w:r>
      <w:bookmarkEnd w:id="432"/>
      <w:bookmarkEnd w:id="433"/>
    </w:p>
    <w:p>
      <w:pPr>
        <w:pStyle w:val="ySubsection"/>
      </w:pPr>
      <w:r>
        <w:tab/>
        <w:t>(1)</w:t>
      </w:r>
      <w:r>
        <w:tab/>
        <w:t xml:space="preserve">The </w:t>
      </w:r>
      <w:r>
        <w:rPr>
          <w:i/>
          <w:iCs/>
        </w:rPr>
        <w:t>Tobacco Control (General) Regulations 1991</w:t>
      </w:r>
      <w:r>
        <w:t xml:space="preserve"> are repealed.</w:t>
      </w:r>
    </w:p>
    <w:p>
      <w:pPr>
        <w:pStyle w:val="ySubsection"/>
      </w:pPr>
      <w:r>
        <w:tab/>
        <w:t>(2)</w:t>
      </w:r>
      <w:r>
        <w:tab/>
        <w:t xml:space="preserve">The </w:t>
      </w:r>
      <w:r>
        <w:rPr>
          <w:i/>
          <w:iCs/>
        </w:rPr>
        <w:t>Tobacco Control (Package Labels) Regulations 1994</w:t>
      </w:r>
      <w:r>
        <w:t xml:space="preserve"> are repealed.</w:t>
      </w:r>
    </w:p>
    <w:p>
      <w:pPr>
        <w:pStyle w:val="ySubsection"/>
      </w:pPr>
      <w:r>
        <w:tab/>
        <w:t>(3)</w:t>
      </w:r>
      <w:r>
        <w:tab/>
        <w:t xml:space="preserve">The </w:t>
      </w:r>
      <w:r>
        <w:rPr>
          <w:i/>
          <w:iCs/>
        </w:rPr>
        <w:t>Tobacco Control (Smokeless Tobacco) Regulations 1991</w:t>
      </w:r>
      <w:r>
        <w:t xml:space="preserve"> are repealed.</w:t>
      </w:r>
    </w:p>
    <w:p>
      <w:pPr>
        <w:pStyle w:val="ySubsection"/>
        <w:rPr>
          <w:iCs/>
        </w:rPr>
      </w:pPr>
      <w:r>
        <w:tab/>
        <w:t>(4)</w:t>
      </w:r>
      <w:r>
        <w:tab/>
        <w:t xml:space="preserve">The </w:t>
      </w:r>
      <w:r>
        <w:rPr>
          <w:i/>
          <w:iCs/>
        </w:rPr>
        <w:t>Tobacco Control (Statement on Vending Machines) Regulations 1991</w:t>
      </w:r>
      <w:r>
        <w:rPr>
          <w:iCs/>
        </w:rPr>
        <w:t xml:space="preserve"> are repealed.</w:t>
      </w:r>
    </w:p>
    <w:p>
      <w:pPr>
        <w:pStyle w:val="yHeading5"/>
      </w:pPr>
      <w:bookmarkStart w:id="434" w:name="_Toc133292992"/>
      <w:bookmarkStart w:id="435" w:name="_Toc158021917"/>
      <w:r>
        <w:rPr>
          <w:rStyle w:val="CharSClsNo"/>
        </w:rPr>
        <w:t>3</w:t>
      </w:r>
      <w:r>
        <w:t>.</w:t>
      </w:r>
      <w:r>
        <w:tab/>
        <w:t xml:space="preserve">Regulations under the </w:t>
      </w:r>
      <w:r>
        <w:rPr>
          <w:i/>
          <w:iCs/>
        </w:rPr>
        <w:t>Health Act 1911</w:t>
      </w:r>
      <w:r>
        <w:t xml:space="preserve"> Part IXB repealed</w:t>
      </w:r>
      <w:bookmarkEnd w:id="434"/>
      <w:bookmarkEnd w:id="435"/>
    </w:p>
    <w:p>
      <w:pPr>
        <w:pStyle w:val="ySubsection"/>
        <w:rPr>
          <w:iCs/>
        </w:rPr>
      </w:pPr>
      <w:r>
        <w:tab/>
        <w:t>(1)</w:t>
      </w:r>
      <w:r>
        <w:tab/>
        <w:t xml:space="preserve">The </w:t>
      </w:r>
      <w:r>
        <w:rPr>
          <w:i/>
          <w:iCs/>
        </w:rPr>
        <w:t>Health (Smoking in Enclosed Public Places) Regulations 2003</w:t>
      </w:r>
      <w:r>
        <w:t xml:space="preserve"> </w:t>
      </w:r>
      <w:r>
        <w:rPr>
          <w:iCs/>
        </w:rPr>
        <w:t>are repealed.</w:t>
      </w:r>
    </w:p>
    <w:p>
      <w:pPr>
        <w:pStyle w:val="ySubsection"/>
        <w:rPr>
          <w:iCs/>
        </w:rPr>
      </w:pPr>
      <w:r>
        <w:tab/>
        <w:t>(2)</w:t>
      </w:r>
      <w:r>
        <w:tab/>
        <w:t xml:space="preserve">The </w:t>
      </w:r>
      <w:r>
        <w:rPr>
          <w:i/>
          <w:iCs/>
        </w:rPr>
        <w:t>Health (Smoking in Enclosed Public Places) Regulations 2004</w:t>
      </w:r>
      <w:r>
        <w:rPr>
          <w:iCs/>
        </w:rPr>
        <w:t xml:space="preserve"> are repealed.</w:t>
      </w:r>
    </w:p>
    <w:p>
      <w:pPr>
        <w:pStyle w:val="yHeading3"/>
      </w:pPr>
      <w:bookmarkStart w:id="436" w:name="_Toc133292993"/>
      <w:bookmarkStart w:id="437" w:name="_Toc141605128"/>
      <w:bookmarkStart w:id="438" w:name="_Toc141696794"/>
      <w:bookmarkStart w:id="439" w:name="_Toc158021918"/>
      <w:r>
        <w:rPr>
          <w:rStyle w:val="CharSDivNo"/>
        </w:rPr>
        <w:t>Division 2</w:t>
      </w:r>
      <w:r>
        <w:t> — </w:t>
      </w:r>
      <w:r>
        <w:rPr>
          <w:rStyle w:val="CharSDivText"/>
        </w:rPr>
        <w:t>Transitional and savings provisions</w:t>
      </w:r>
      <w:bookmarkEnd w:id="436"/>
      <w:bookmarkEnd w:id="437"/>
      <w:bookmarkEnd w:id="438"/>
      <w:bookmarkEnd w:id="439"/>
    </w:p>
    <w:p>
      <w:pPr>
        <w:pStyle w:val="yHeading5"/>
      </w:pPr>
      <w:bookmarkStart w:id="440" w:name="_Toc133292994"/>
      <w:bookmarkStart w:id="441" w:name="_Toc158021919"/>
      <w:r>
        <w:rPr>
          <w:rStyle w:val="CharSClsNo"/>
        </w:rPr>
        <w:t>4</w:t>
      </w:r>
      <w:r>
        <w:t>.</w:t>
      </w:r>
      <w:r>
        <w:tab/>
        <w:t>Interpretation of this Division</w:t>
      </w:r>
      <w:bookmarkEnd w:id="440"/>
      <w:bookmarkEnd w:id="441"/>
    </w:p>
    <w:p>
      <w:pPr>
        <w:pStyle w:val="ySubsection"/>
      </w:pPr>
      <w:r>
        <w:tab/>
      </w:r>
      <w:r>
        <w:tab/>
        <w:t xml:space="preserve">In this Division — </w:t>
      </w:r>
    </w:p>
    <w:p>
      <w:pPr>
        <w:pStyle w:val="yDefstart"/>
        <w:rPr>
          <w:b/>
        </w:rPr>
      </w:pPr>
      <w:r>
        <w:rPr>
          <w:b/>
        </w:rPr>
        <w:tab/>
        <w:t>“</w:t>
      </w:r>
      <w:r>
        <w:rPr>
          <w:rStyle w:val="CharDefText"/>
          <w:bCs/>
        </w:rPr>
        <w:t>commencement day</w:t>
      </w:r>
      <w:r>
        <w:rPr>
          <w:b/>
        </w:rPr>
        <w:t xml:space="preserve">” </w:t>
      </w:r>
      <w:r>
        <w:rPr>
          <w:bCs/>
        </w:rPr>
        <w:t xml:space="preserve">means the day on which </w:t>
      </w:r>
      <w:r>
        <w:t xml:space="preserve">Part 5 </w:t>
      </w:r>
      <w:r>
        <w:rPr>
          <w:bCs/>
        </w:rPr>
        <w:t>comes into operation;</w:t>
      </w:r>
    </w:p>
    <w:p>
      <w:pPr>
        <w:pStyle w:val="yDefstart"/>
        <w:rPr>
          <w:bCs/>
        </w:rPr>
      </w:pPr>
      <w:r>
        <w:rPr>
          <w:b/>
        </w:rPr>
        <w:tab/>
        <w:t>“</w:t>
      </w:r>
      <w:r>
        <w:rPr>
          <w:rStyle w:val="CharDefText"/>
          <w:bCs/>
        </w:rPr>
        <w:t>former Foundation</w:t>
      </w:r>
      <w:r>
        <w:rPr>
          <w:b/>
        </w:rPr>
        <w:t>”</w:t>
      </w:r>
      <w:r>
        <w:rPr>
          <w:bCs/>
        </w:rPr>
        <w:t xml:space="preserve"> means the Western Australian Health Promotion Foundation established under the 1990 Act;</w:t>
      </w:r>
    </w:p>
    <w:p>
      <w:pPr>
        <w:pStyle w:val="yDefstart"/>
        <w:keepNext/>
        <w:keepLines/>
        <w:rPr>
          <w:bCs/>
        </w:rPr>
      </w:pPr>
      <w:r>
        <w:rPr>
          <w:b/>
        </w:rPr>
        <w:tab/>
        <w:t>“</w:t>
      </w:r>
      <w:r>
        <w:rPr>
          <w:rStyle w:val="CharDefText"/>
          <w:bCs/>
        </w:rPr>
        <w:t>new Foundation</w:t>
      </w:r>
      <w:r>
        <w:rPr>
          <w:b/>
        </w:rPr>
        <w:t>”</w:t>
      </w:r>
      <w:r>
        <w:rPr>
          <w:bCs/>
        </w:rPr>
        <w:t xml:space="preserve"> means the Western Australian Health Promotion Foundation established under this Act;</w:t>
      </w:r>
    </w:p>
    <w:p>
      <w:pPr>
        <w:pStyle w:val="yDefstart"/>
        <w:rPr>
          <w:bCs/>
        </w:rPr>
      </w:pPr>
      <w:r>
        <w:rPr>
          <w:b/>
        </w:rPr>
        <w:tab/>
        <w:t>“</w:t>
      </w:r>
      <w:r>
        <w:rPr>
          <w:rStyle w:val="CharDefText"/>
          <w:bCs/>
        </w:rPr>
        <w:t>1990 Act</w:t>
      </w:r>
      <w:r>
        <w:rPr>
          <w:b/>
        </w:rPr>
        <w:t>”</w:t>
      </w:r>
      <w:r>
        <w:rPr>
          <w:bCs/>
        </w:rPr>
        <w:t xml:space="preserve"> means the </w:t>
      </w:r>
      <w:r>
        <w:rPr>
          <w:bCs/>
          <w:i/>
          <w:iCs/>
        </w:rPr>
        <w:t>Tobacco Control Act 1990.</w:t>
      </w:r>
    </w:p>
    <w:p>
      <w:pPr>
        <w:pStyle w:val="yHeading5"/>
      </w:pPr>
      <w:bookmarkStart w:id="442" w:name="_Toc133292995"/>
      <w:bookmarkStart w:id="443" w:name="_Toc158021920"/>
      <w:r>
        <w:rPr>
          <w:rStyle w:val="CharSClsNo"/>
        </w:rPr>
        <w:t>5</w:t>
      </w:r>
      <w:r>
        <w:t>.</w:t>
      </w:r>
      <w:r>
        <w:tab/>
      </w:r>
      <w:r>
        <w:rPr>
          <w:i/>
          <w:iCs/>
        </w:rPr>
        <w:t>Interpretation Act 1984</w:t>
      </w:r>
      <w:r>
        <w:t xml:space="preserve"> not affected</w:t>
      </w:r>
      <w:bookmarkEnd w:id="442"/>
      <w:bookmarkEnd w:id="443"/>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pPr>
      <w:bookmarkStart w:id="444" w:name="_Toc133292996"/>
      <w:bookmarkStart w:id="445" w:name="_Toc158021921"/>
      <w:r>
        <w:rPr>
          <w:rStyle w:val="CharSClsNo"/>
        </w:rPr>
        <w:t>6</w:t>
      </w:r>
      <w:r>
        <w:t>.</w:t>
      </w:r>
      <w:r>
        <w:tab/>
        <w:t>Foundation: transitional and savings provisions</w:t>
      </w:r>
      <w:bookmarkEnd w:id="444"/>
      <w:bookmarkEnd w:id="445"/>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pPr>
      <w:bookmarkStart w:id="446" w:name="_Toc133292997"/>
      <w:bookmarkStart w:id="447" w:name="_Toc158021922"/>
      <w:r>
        <w:rPr>
          <w:rStyle w:val="CharSClsNo"/>
        </w:rPr>
        <w:t>7</w:t>
      </w:r>
      <w:r>
        <w:t>.</w:t>
      </w:r>
      <w:r>
        <w:tab/>
        <w:t>Executive director</w:t>
      </w:r>
      <w:bookmarkEnd w:id="446"/>
      <w:bookmarkEnd w:id="447"/>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pPr>
      <w:bookmarkStart w:id="448" w:name="_Toc133292998"/>
      <w:bookmarkStart w:id="449" w:name="_Toc158021923"/>
      <w:r>
        <w:rPr>
          <w:rStyle w:val="CharSClsNo"/>
        </w:rPr>
        <w:t>8</w:t>
      </w:r>
      <w:r>
        <w:t>.</w:t>
      </w:r>
      <w:r>
        <w:tab/>
        <w:t>Staff</w:t>
      </w:r>
      <w:bookmarkEnd w:id="448"/>
      <w:bookmarkEnd w:id="449"/>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pPr>
      <w:bookmarkStart w:id="450" w:name="_Toc133292999"/>
      <w:bookmarkStart w:id="451" w:name="_Toc158021924"/>
      <w:r>
        <w:rPr>
          <w:rStyle w:val="CharSClsNo"/>
        </w:rPr>
        <w:t>9</w:t>
      </w:r>
      <w:r>
        <w:t>.</w:t>
      </w:r>
      <w:r>
        <w:tab/>
      </w:r>
      <w:bookmarkEnd w:id="450"/>
      <w:r>
        <w:rPr>
          <w:sz w:val="24"/>
        </w:rPr>
        <w:t>Account</w:t>
      </w:r>
      <w:bookmarkEnd w:id="451"/>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pPr>
      <w:bookmarkStart w:id="452" w:name="_Toc133293000"/>
      <w:bookmarkStart w:id="453" w:name="_Toc158021925"/>
      <w:r>
        <w:t>10.</w:t>
      </w:r>
      <w:r>
        <w:tab/>
        <w:t>Powers in relation to transitional provisions</w:t>
      </w:r>
      <w:bookmarkEnd w:id="452"/>
      <w:bookmarkEnd w:id="453"/>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pPr>
      <w:bookmarkStart w:id="454" w:name="_Toc133293001"/>
      <w:bookmarkStart w:id="455" w:name="_Toc141605136"/>
      <w:bookmarkStart w:id="456" w:name="_Toc141696802"/>
      <w:bookmarkStart w:id="457" w:name="_Toc158021926"/>
      <w:r>
        <w:rPr>
          <w:rStyle w:val="CharSDivNo"/>
        </w:rPr>
        <w:t>Division 3</w:t>
      </w:r>
      <w:r>
        <w:t> — </w:t>
      </w:r>
      <w:r>
        <w:rPr>
          <w:rStyle w:val="CharSDivText"/>
        </w:rPr>
        <w:t>Consequential amendments to other Acts</w:t>
      </w:r>
      <w:bookmarkEnd w:id="454"/>
      <w:bookmarkEnd w:id="455"/>
      <w:bookmarkEnd w:id="456"/>
      <w:bookmarkEnd w:id="457"/>
    </w:p>
    <w:p>
      <w:pPr>
        <w:pStyle w:val="yHeading5"/>
      </w:pPr>
      <w:bookmarkStart w:id="458" w:name="_Toc133293002"/>
      <w:bookmarkStart w:id="459" w:name="_Toc158021927"/>
      <w:r>
        <w:rPr>
          <w:rStyle w:val="CharSClsNo"/>
        </w:rPr>
        <w:t>11</w:t>
      </w:r>
      <w:r>
        <w:t>.</w:t>
      </w:r>
      <w:r>
        <w:tab/>
      </w:r>
      <w:r>
        <w:rPr>
          <w:i/>
          <w:iCs/>
        </w:rPr>
        <w:t>Constitution Acts Amendment Act 1899</w:t>
      </w:r>
      <w:r>
        <w:t xml:space="preserve"> amended</w:t>
      </w:r>
      <w:bookmarkEnd w:id="458"/>
      <w:bookmarkEnd w:id="459"/>
    </w:p>
    <w:p>
      <w:pPr>
        <w:pStyle w:val="ySubsection"/>
        <w:spacing w:before="120"/>
      </w:pPr>
      <w:r>
        <w:tab/>
        <w:t>(1)</w:t>
      </w:r>
      <w:r>
        <w:tab/>
        <w:t xml:space="preserve">The amendments in this clause are to the </w:t>
      </w:r>
      <w:r>
        <w:rPr>
          <w:i/>
          <w:iCs/>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iCs/>
        </w:rPr>
        <w:t>Tobacco Products Control Act 2005</w:t>
      </w:r>
      <w:r>
        <w:t>.    ”.</w:t>
      </w:r>
    </w:p>
    <w:p>
      <w:pPr>
        <w:pStyle w:val="yHeading5"/>
        <w:rPr>
          <w:snapToGrid w:val="0"/>
        </w:rPr>
      </w:pPr>
      <w:bookmarkStart w:id="460" w:name="_Toc133293003"/>
      <w:bookmarkStart w:id="461" w:name="_Toc158021928"/>
      <w:r>
        <w:rPr>
          <w:rStyle w:val="CharSClsNo"/>
        </w:rPr>
        <w:t>12</w:t>
      </w:r>
      <w:r>
        <w:t>.</w:t>
      </w:r>
      <w:r>
        <w:tab/>
      </w:r>
      <w:r>
        <w:rPr>
          <w:i/>
          <w:iCs/>
          <w:snapToGrid w:val="0"/>
        </w:rPr>
        <w:t>Health Act 1911</w:t>
      </w:r>
      <w:r>
        <w:rPr>
          <w:snapToGrid w:val="0"/>
        </w:rPr>
        <w:t xml:space="preserve"> amended</w:t>
      </w:r>
      <w:bookmarkEnd w:id="460"/>
      <w:bookmarkEnd w:id="461"/>
    </w:p>
    <w:p>
      <w:pPr>
        <w:pStyle w:val="ySubsection"/>
      </w:pPr>
      <w:r>
        <w:tab/>
        <w:t>(1)</w:t>
      </w:r>
      <w:r>
        <w:tab/>
        <w:t xml:space="preserve">The amendment in this clause is to the </w:t>
      </w:r>
      <w:r>
        <w:rPr>
          <w:i/>
          <w:iCs/>
        </w:rPr>
        <w:t>Health Act 1911</w:t>
      </w:r>
      <w:r>
        <w:t>.</w:t>
      </w:r>
    </w:p>
    <w:p>
      <w:pPr>
        <w:pStyle w:val="ySubsection"/>
      </w:pPr>
      <w:r>
        <w:tab/>
        <w:t>(2)</w:t>
      </w:r>
      <w:r>
        <w:tab/>
        <w:t>Part IXB is repealed.</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62" w:name="_Toc133293004"/>
      <w:bookmarkStart w:id="463" w:name="_Toc141605139"/>
      <w:bookmarkStart w:id="464" w:name="_Toc141696805"/>
      <w:bookmarkStart w:id="465" w:name="_Toc158021929"/>
      <w:r>
        <w:rPr>
          <w:rStyle w:val="CharSchNo"/>
        </w:rPr>
        <w:t>Glossary</w:t>
      </w:r>
      <w:bookmarkEnd w:id="462"/>
      <w:bookmarkEnd w:id="463"/>
      <w:bookmarkEnd w:id="464"/>
      <w:bookmarkEnd w:id="465"/>
    </w:p>
    <w:p>
      <w:pPr>
        <w:pStyle w:val="yShoulderClause"/>
      </w:pPr>
      <w:r>
        <w:t>[s. 4]</w:t>
      </w:r>
    </w:p>
    <w:p>
      <w:pPr>
        <w:pStyle w:val="ySubsection"/>
      </w:pPr>
      <w:r>
        <w:tab/>
        <w:t xml:space="preserve">In this Act — </w:t>
      </w:r>
    </w:p>
    <w:p>
      <w:pPr>
        <w:pStyle w:val="yDefstart"/>
      </w:pPr>
      <w:r>
        <w:rPr>
          <w:b/>
        </w:rPr>
        <w:tab/>
        <w:t>“</w:t>
      </w:r>
      <w:r>
        <w:rPr>
          <w:rStyle w:val="CharDefText"/>
        </w:rPr>
        <w:t>Account</w:t>
      </w:r>
      <w:r>
        <w:rPr>
          <w:b/>
        </w:rPr>
        <w:t>”</w:t>
      </w:r>
      <w:r>
        <w:t xml:space="preserve"> means the Western Australian Health Promotion Account referred to in section 71(3);</w:t>
      </w:r>
    </w:p>
    <w:p>
      <w:pPr>
        <w:pStyle w:val="yDefstart"/>
      </w:pPr>
      <w:r>
        <w:rPr>
          <w:b/>
        </w:rPr>
        <w:tab/>
        <w:t>“</w:t>
      </w:r>
      <w:r>
        <w:rPr>
          <w:rStyle w:val="CharDefText"/>
        </w:rPr>
        <w:t>approved</w:t>
      </w:r>
      <w:r>
        <w:rPr>
          <w:b/>
        </w:rPr>
        <w:t>”</w:t>
      </w:r>
      <w:r>
        <w:t xml:space="preserve"> means approved by the CEO;</w:t>
      </w:r>
    </w:p>
    <w:p>
      <w:pPr>
        <w:pStyle w:val="yDefstart"/>
      </w:pPr>
      <w:r>
        <w:tab/>
      </w:r>
      <w:r>
        <w:rPr>
          <w:b/>
          <w:bCs/>
        </w:rPr>
        <w:t>“</w:t>
      </w:r>
      <w:r>
        <w:rPr>
          <w:rStyle w:val="CharDefText"/>
        </w:rPr>
        <w:t>approved guide</w:t>
      </w:r>
      <w:r>
        <w:rPr>
          <w:b/>
          <w:bCs/>
        </w:rPr>
        <w:t>”</w:t>
      </w:r>
      <w:r>
        <w:t xml:space="preserve"> means a publication under section 26(1);</w:t>
      </w:r>
    </w:p>
    <w:p>
      <w:pPr>
        <w:pStyle w:val="yDefstart"/>
      </w:pPr>
      <w:r>
        <w:tab/>
      </w:r>
      <w:r>
        <w:rPr>
          <w:b/>
          <w:bCs/>
        </w:rPr>
        <w:t>“</w:t>
      </w:r>
      <w:r>
        <w:rPr>
          <w:rStyle w:val="CharDefText"/>
        </w:rPr>
        <w:t>carton</w:t>
      </w:r>
      <w:r>
        <w:rPr>
          <w:b/>
          <w:bCs/>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b/>
          <w:bCs/>
        </w:rPr>
        <w:t>“</w:t>
      </w:r>
      <w:r>
        <w:rPr>
          <w:rStyle w:val="CharDefText"/>
        </w:rPr>
        <w:t>CEO</w:t>
      </w:r>
      <w:r>
        <w:rPr>
          <w:b/>
          <w:bCs/>
        </w:rPr>
        <w:t>”</w:t>
      </w:r>
      <w:r>
        <w:t xml:space="preserve"> means the chief executive officer of the Department as defined in the </w:t>
      </w:r>
      <w:r>
        <w:rPr>
          <w:i/>
        </w:rPr>
        <w:t>Health Legislation Administration Act 1984</w:t>
      </w:r>
      <w:r>
        <w:t xml:space="preserve"> section 3;</w:t>
      </w:r>
    </w:p>
    <w:p>
      <w:pPr>
        <w:pStyle w:val="yDefstart"/>
      </w:pPr>
      <w:r>
        <w:rPr>
          <w:b/>
        </w:rPr>
        <w:tab/>
        <w:t>“</w:t>
      </w:r>
      <w:r>
        <w:rPr>
          <w:rStyle w:val="CharDefText"/>
        </w:rPr>
        <w:t>chairperson</w:t>
      </w:r>
      <w:r>
        <w:rPr>
          <w:b/>
        </w:rPr>
        <w:t>”</w:t>
      </w:r>
      <w:r>
        <w:t xml:space="preserve"> means chairperson of the Foundation;</w:t>
      </w:r>
    </w:p>
    <w:p>
      <w:pPr>
        <w:pStyle w:val="yDefstart"/>
      </w:pPr>
      <w:r>
        <w:tab/>
      </w:r>
      <w:r>
        <w:rPr>
          <w:b/>
          <w:bCs/>
        </w:rPr>
        <w:t>“</w:t>
      </w:r>
      <w:r>
        <w:rPr>
          <w:rStyle w:val="CharDefText"/>
        </w:rPr>
        <w:t>cigar</w:t>
      </w:r>
      <w:r>
        <w:rPr>
          <w:b/>
          <w:bCs/>
        </w:rPr>
        <w:t>”</w:t>
      </w:r>
      <w:r>
        <w:t xml:space="preserve"> means a roll of cut tobacco for smoking, enclosed in tobacco leaf or the leaf of another plant;</w:t>
      </w:r>
    </w:p>
    <w:p>
      <w:pPr>
        <w:pStyle w:val="yDefstart"/>
      </w:pPr>
      <w:r>
        <w:tab/>
      </w:r>
      <w:r>
        <w:rPr>
          <w:b/>
          <w:bCs/>
        </w:rPr>
        <w:t>“</w:t>
      </w:r>
      <w:r>
        <w:rPr>
          <w:rStyle w:val="CharDefText"/>
        </w:rPr>
        <w:t>cigarette</w:t>
      </w:r>
      <w:r>
        <w:rPr>
          <w:b/>
          <w:bCs/>
        </w:rPr>
        <w:t>”</w:t>
      </w:r>
      <w:r>
        <w:t xml:space="preserve"> means a roll of cut tobacco for smoking, enclosed in paper;</w:t>
      </w:r>
    </w:p>
    <w:p>
      <w:pPr>
        <w:pStyle w:val="yDefstart"/>
        <w:rPr>
          <w:bCs/>
        </w:rPr>
      </w:pPr>
      <w:r>
        <w:tab/>
      </w:r>
      <w:r>
        <w:rPr>
          <w:b/>
          <w:bCs/>
        </w:rPr>
        <w:t>“</w:t>
      </w:r>
      <w:r>
        <w:rPr>
          <w:rStyle w:val="CharDefText"/>
        </w:rPr>
        <w:t>committee</w:t>
      </w:r>
      <w:r>
        <w:rPr>
          <w:b/>
          <w:bCs/>
        </w:rPr>
        <w:t>”</w:t>
      </w:r>
      <w:r>
        <w:rPr>
          <w:bCs/>
        </w:rPr>
        <w:t xml:space="preserve"> means a committee established under Schedule </w:t>
      </w:r>
      <w:r>
        <w:t>1</w:t>
      </w:r>
      <w:r>
        <w:rPr>
          <w:bCs/>
        </w:rPr>
        <w:t xml:space="preserve"> clause 15;</w:t>
      </w:r>
    </w:p>
    <w:p>
      <w:pPr>
        <w:pStyle w:val="yDefstart"/>
      </w:pPr>
      <w:r>
        <w:tab/>
      </w:r>
      <w:r>
        <w:rPr>
          <w:b/>
          <w:bCs/>
        </w:rPr>
        <w:t>“</w:t>
      </w:r>
      <w:r>
        <w:rPr>
          <w:rStyle w:val="CharDefText"/>
        </w:rPr>
        <w:t>corresponding law</w:t>
      </w:r>
      <w:r>
        <w:rPr>
          <w:b/>
          <w:bCs/>
        </w:rPr>
        <w:t>”</w:t>
      </w:r>
      <w:r>
        <w:t xml:space="preserve"> means a law of another State or of a Territory or of the Commonwealth that corresponds, or has similar purposes, to this Act;</w:t>
      </w:r>
    </w:p>
    <w:p>
      <w:pPr>
        <w:pStyle w:val="yDefstart"/>
      </w:pPr>
      <w:r>
        <w:rPr>
          <w:b/>
        </w:rPr>
        <w:tab/>
        <w:t>“</w:t>
      </w:r>
      <w:r>
        <w:rPr>
          <w:rStyle w:val="CharDefText"/>
        </w:rPr>
        <w:t>customer</w:t>
      </w:r>
      <w:r>
        <w:rPr>
          <w:b/>
        </w:rPr>
        <w:t>”</w:t>
      </w:r>
      <w:r>
        <w:t xml:space="preserve"> includes a prospective customer;</w:t>
      </w:r>
    </w:p>
    <w:p>
      <w:pPr>
        <w:pStyle w:val="yDefstart"/>
      </w:pPr>
      <w:r>
        <w:tab/>
      </w:r>
      <w:r>
        <w:rPr>
          <w:b/>
          <w:bCs/>
        </w:rPr>
        <w:t>“</w:t>
      </w:r>
      <w:r>
        <w:rPr>
          <w:rStyle w:val="CharDefText"/>
        </w:rPr>
        <w:t>environmental health officer</w:t>
      </w:r>
      <w:r>
        <w:rPr>
          <w:b/>
          <w:bCs/>
        </w:rPr>
        <w:t>”</w:t>
      </w:r>
      <w:r>
        <w:t xml:space="preserve"> has the meaning given to that term in the </w:t>
      </w:r>
      <w:r>
        <w:rPr>
          <w:i/>
        </w:rPr>
        <w:t>Health Act 1911</w:t>
      </w:r>
      <w:r>
        <w:t xml:space="preserve"> section 3(1);</w:t>
      </w:r>
    </w:p>
    <w:p>
      <w:pPr>
        <w:pStyle w:val="yDefstart"/>
      </w:pPr>
      <w:r>
        <w:rPr>
          <w:b/>
        </w:rPr>
        <w:tab/>
        <w:t>“</w:t>
      </w:r>
      <w:r>
        <w:rPr>
          <w:rStyle w:val="CharDefText"/>
        </w:rPr>
        <w:t>executive director</w:t>
      </w:r>
      <w:r>
        <w:rPr>
          <w:b/>
        </w:rPr>
        <w:t>”</w:t>
      </w:r>
      <w:r>
        <w:t xml:space="preserve"> means the executive director of the Foundation mentioned in section 69(1);</w:t>
      </w:r>
    </w:p>
    <w:p>
      <w:pPr>
        <w:pStyle w:val="yDefstart"/>
      </w:pPr>
      <w:r>
        <w:tab/>
      </w:r>
      <w:r>
        <w:rPr>
          <w:b/>
          <w:bCs/>
        </w:rPr>
        <w:t>“Foundation”</w:t>
      </w:r>
      <w:r>
        <w:t xml:space="preserve"> means the Western Australian Health Promotion Foundation established by section 59;</w:t>
      </w:r>
    </w:p>
    <w:p>
      <w:pPr>
        <w:pStyle w:val="yDefstart"/>
      </w:pPr>
      <w:r>
        <w:tab/>
      </w:r>
      <w:r>
        <w:rPr>
          <w:b/>
        </w:rPr>
        <w:t>“</w:t>
      </w:r>
      <w:r>
        <w:rPr>
          <w:rStyle w:val="CharDefText"/>
        </w:rPr>
        <w:t>identity card</w:t>
      </w:r>
      <w:r>
        <w:t>” means an identity card issued to an investigator under section 81;</w:t>
      </w:r>
    </w:p>
    <w:p>
      <w:pPr>
        <w:pStyle w:val="yDefstart"/>
      </w:pPr>
      <w:r>
        <w:tab/>
      </w:r>
      <w:r>
        <w:rPr>
          <w:b/>
        </w:rPr>
        <w:t>“</w:t>
      </w:r>
      <w:r>
        <w:rPr>
          <w:rStyle w:val="CharDefText"/>
        </w:rPr>
        <w:t>indirect sale</w:t>
      </w:r>
      <w:r>
        <w:rPr>
          <w:b/>
          <w:bCs/>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b/>
        </w:rPr>
        <w:t>“</w:t>
      </w:r>
      <w:r>
        <w:rPr>
          <w:rStyle w:val="CharDefText"/>
        </w:rPr>
        <w:t>indirect seller’s licence</w:t>
      </w:r>
      <w:r>
        <w:rPr>
          <w:b/>
          <w:bCs/>
        </w:rPr>
        <w:t>”</w:t>
      </w:r>
      <w:r>
        <w:t xml:space="preserve"> means a licence issued under section 36(1)(c);</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yDefstart"/>
      </w:pPr>
      <w:r>
        <w:tab/>
      </w:r>
      <w:r>
        <w:rPr>
          <w:b/>
        </w:rPr>
        <w:t>“</w:t>
      </w:r>
      <w:r>
        <w:rPr>
          <w:b/>
          <w:bCs/>
        </w:rPr>
        <w:t>investigator</w:t>
      </w:r>
      <w:r>
        <w:rPr>
          <w:b/>
        </w:rPr>
        <w:t>”</w:t>
      </w:r>
      <w:r>
        <w:t xml:space="preserve"> means a person appointed under section 76;</w:t>
      </w:r>
    </w:p>
    <w:p>
      <w:pPr>
        <w:pStyle w:val="yDefstart"/>
      </w:pPr>
      <w:r>
        <w:tab/>
      </w:r>
      <w:r>
        <w:rPr>
          <w:b/>
        </w:rPr>
        <w:t>“</w:t>
      </w:r>
      <w:r>
        <w:rPr>
          <w:b/>
          <w:bCs/>
        </w:rPr>
        <w:t>licence</w:t>
      </w:r>
      <w:r>
        <w:rPr>
          <w:b/>
        </w:rPr>
        <w:t>”</w:t>
      </w:r>
      <w:r>
        <w:t xml:space="preserve"> means a licence issued under this Act;</w:t>
      </w:r>
    </w:p>
    <w:p>
      <w:pPr>
        <w:pStyle w:val="yDefstart"/>
      </w:pPr>
      <w:r>
        <w:tab/>
      </w:r>
      <w:r>
        <w:rPr>
          <w:b/>
        </w:rPr>
        <w:t>“</w:t>
      </w:r>
      <w:r>
        <w:rPr>
          <w:rStyle w:val="CharDefText"/>
        </w:rPr>
        <w:t>licensed</w:t>
      </w:r>
      <w:r>
        <w:rPr>
          <w:rStyle w:val="CharDefText"/>
          <w:b w:val="0"/>
          <w:bCs/>
        </w:rPr>
        <w:t xml:space="preserve"> </w:t>
      </w:r>
      <w:r>
        <w:rPr>
          <w:b/>
          <w:bCs/>
        </w:rPr>
        <w:t>premises</w:t>
      </w:r>
      <w:r>
        <w:rPr>
          <w:b/>
        </w:rPr>
        <w:t>”</w:t>
      </w:r>
      <w:r>
        <w:t xml:space="preserve"> has the meaning given to that term in the </w:t>
      </w:r>
      <w:r>
        <w:rPr>
          <w:i/>
        </w:rPr>
        <w:t>Liquor Licensing Act 1988</w:t>
      </w:r>
      <w:r>
        <w:t xml:space="preserve"> section 3(1);</w:t>
      </w:r>
    </w:p>
    <w:p>
      <w:pPr>
        <w:pStyle w:val="yDefstart"/>
      </w:pPr>
      <w:r>
        <w:tab/>
      </w:r>
      <w:r>
        <w:rPr>
          <w:b/>
        </w:rPr>
        <w:t>“</w:t>
      </w:r>
      <w:r>
        <w:rPr>
          <w:b/>
          <w:bCs/>
        </w:rPr>
        <w:t>member</w:t>
      </w:r>
      <w:r>
        <w:rPr>
          <w:b/>
        </w:rPr>
        <w:t>”</w:t>
      </w:r>
      <w:r>
        <w:t xml:space="preserve"> means a member of the Foundation under section 61;</w:t>
      </w:r>
    </w:p>
    <w:p>
      <w:pPr>
        <w:pStyle w:val="yDefstart"/>
      </w:pPr>
      <w:r>
        <w:tab/>
      </w:r>
      <w:r>
        <w:rPr>
          <w:b/>
        </w:rPr>
        <w:t>“</w:t>
      </w:r>
      <w:r>
        <w:rPr>
          <w:rStyle w:val="CharDefText"/>
        </w:rPr>
        <w:t>mines</w:t>
      </w:r>
      <w:r>
        <w:rPr>
          <w:rStyle w:val="CharDefText"/>
          <w:b w:val="0"/>
          <w:bCs/>
        </w:rPr>
        <w:t xml:space="preserve"> </w:t>
      </w:r>
      <w:r>
        <w:rPr>
          <w:b/>
          <w:bCs/>
        </w:rPr>
        <w:t>amenity</w:t>
      </w:r>
      <w:r>
        <w:rPr>
          <w:b/>
        </w:rPr>
        <w:t>”</w:t>
      </w:r>
      <w:r>
        <w:t xml:space="preserve"> means premises that are set aside as a staff amenity area at a mine as defined in the </w:t>
      </w:r>
      <w:r>
        <w:rPr>
          <w:i/>
        </w:rPr>
        <w:t>Mines Safety and Inspection Act 1994</w:t>
      </w:r>
      <w:r>
        <w:t xml:space="preserve"> section 4(1);</w:t>
      </w:r>
    </w:p>
    <w:p>
      <w:pPr>
        <w:pStyle w:val="yDefstart"/>
        <w:rPr>
          <w:bCs/>
        </w:rPr>
      </w:pPr>
      <w:r>
        <w:tab/>
      </w:r>
      <w:r>
        <w:rPr>
          <w:b/>
        </w:rPr>
        <w:t>“</w:t>
      </w:r>
      <w:r>
        <w:rPr>
          <w:b/>
          <w:bCs/>
        </w:rPr>
        <w:t>officer</w:t>
      </w:r>
      <w:r>
        <w:rPr>
          <w:b/>
        </w:rPr>
        <w:t>”</w:t>
      </w:r>
      <w:r>
        <w:rPr>
          <w:bCs/>
        </w:rPr>
        <w:t xml:space="preserve">, in relation to a body corporate, has the same meaning as in the </w:t>
      </w:r>
      <w:r>
        <w:rPr>
          <w:bCs/>
          <w:i/>
        </w:rPr>
        <w:t>Corporations Act 2001</w:t>
      </w:r>
      <w:r>
        <w:rPr>
          <w:bCs/>
        </w:rPr>
        <w:t xml:space="preserve"> of the Commonwealth but does not include an employee of the body unless the employee is concerned in the management of the body;</w:t>
      </w:r>
    </w:p>
    <w:p>
      <w:pPr>
        <w:pStyle w:val="yDefstart"/>
      </w:pPr>
      <w:r>
        <w:tab/>
      </w:r>
      <w:r>
        <w:rPr>
          <w:b/>
        </w:rPr>
        <w:t>“</w:t>
      </w:r>
      <w:r>
        <w:rPr>
          <w:b/>
          <w:bCs/>
        </w:rPr>
        <w:t>package</w:t>
      </w:r>
      <w:r>
        <w:rPr>
          <w:b/>
        </w:rPr>
        <w:t>”</w:t>
      </w:r>
      <w:r>
        <w:t xml:space="preserve"> means a package containing, or designed to contain, a tobacco product and includes a box, packet, pouch, tin, carton, and a wrapping other than a transparent outer wrapping;</w:t>
      </w:r>
    </w:p>
    <w:p>
      <w:pPr>
        <w:pStyle w:val="yDefstart"/>
      </w:pPr>
      <w:r>
        <w:tab/>
      </w:r>
      <w:r>
        <w:rPr>
          <w:b/>
        </w:rPr>
        <w:t>“</w:t>
      </w:r>
      <w:r>
        <w:rPr>
          <w:rStyle w:val="CharDefText"/>
        </w:rPr>
        <w:t>police officer</w:t>
      </w:r>
      <w:r>
        <w:rPr>
          <w:b/>
        </w:rPr>
        <w:t>”</w:t>
      </w:r>
      <w:r>
        <w:t xml:space="preserve"> means a person appointed under the </w:t>
      </w:r>
      <w:r>
        <w:rPr>
          <w:i/>
          <w:iCs/>
        </w:rPr>
        <w:t>Police Act 1892</w:t>
      </w:r>
      <w:r>
        <w:t xml:space="preserve"> — </w:t>
      </w:r>
    </w:p>
    <w:p>
      <w:pPr>
        <w:pStyle w:val="yDefpara"/>
      </w:pPr>
      <w:r>
        <w:tab/>
        <w:t>(a)</w:t>
      </w:r>
      <w:r>
        <w:tab/>
        <w:t>Part I to be a member of the Police Force;</w:t>
      </w:r>
    </w:p>
    <w:p>
      <w:pPr>
        <w:pStyle w:val="yDefpara"/>
      </w:pPr>
      <w:r>
        <w:tab/>
        <w:t>(b)</w:t>
      </w:r>
      <w:r>
        <w:tab/>
        <w:t>Part III to be a special constable; or</w:t>
      </w:r>
    </w:p>
    <w:p>
      <w:pPr>
        <w:pStyle w:val="yDefpara"/>
      </w:pPr>
      <w:r>
        <w:tab/>
        <w:t>(c)</w:t>
      </w:r>
      <w:r>
        <w:tab/>
        <w:t>section 38A to be an aboriginal aide;</w:t>
      </w:r>
    </w:p>
    <w:p>
      <w:pPr>
        <w:pStyle w:val="yDefstart"/>
      </w:pPr>
      <w:r>
        <w:tab/>
      </w:r>
      <w:r>
        <w:rPr>
          <w:b/>
        </w:rPr>
        <w:t>“</w:t>
      </w:r>
      <w:r>
        <w:rPr>
          <w:rStyle w:val="CharDefText"/>
        </w:rPr>
        <w:t>premises</w:t>
      </w:r>
      <w:r>
        <w:rPr>
          <w:b/>
        </w:rPr>
        <w:t>”</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keepNext/>
      </w:pPr>
      <w:r>
        <w:tab/>
      </w:r>
      <w:r>
        <w:rPr>
          <w:b/>
        </w:rPr>
        <w:t>“</w:t>
      </w:r>
      <w:r>
        <w:rPr>
          <w:rStyle w:val="CharDefText"/>
        </w:rPr>
        <w:t>product</w:t>
      </w:r>
      <w:r>
        <w:rPr>
          <w:rStyle w:val="CharDefText"/>
          <w:b w:val="0"/>
          <w:bCs/>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r>
      <w:r>
        <w:tab/>
        <w:t>but not by the dimensions of the package containing the tobacco product;</w:t>
      </w:r>
    </w:p>
    <w:p>
      <w:pPr>
        <w:pStyle w:val="yDefstart"/>
        <w:rPr>
          <w:bCs/>
        </w:rPr>
      </w:pPr>
      <w:r>
        <w:rPr>
          <w:rStyle w:val="CharDefText"/>
          <w:b w:val="0"/>
        </w:rPr>
        <w:tab/>
      </w:r>
      <w:r>
        <w:rPr>
          <w:rStyle w:val="CharDefText"/>
        </w:rPr>
        <w:t>“</w:t>
      </w:r>
      <w:r>
        <w:rPr>
          <w:b/>
          <w:bCs/>
        </w:rPr>
        <w:t>promote</w:t>
      </w:r>
      <w:r>
        <w:rPr>
          <w:b/>
        </w:rPr>
        <w:t>”</w:t>
      </w:r>
      <w:r>
        <w:rPr>
          <w:bCs/>
        </w:rPr>
        <w:t xml:space="preserve"> in</w:t>
      </w:r>
      <w:r>
        <w:rPr>
          <w:rStyle w:val="CharDefText"/>
          <w:bCs/>
        </w:rPr>
        <w:t xml:space="preserve"> </w:t>
      </w:r>
      <w:r>
        <w:rPr>
          <w:rStyle w:val="CharDefText"/>
          <w:b w:val="0"/>
        </w:rPr>
        <w:t xml:space="preserve">relation to a tobacco product or smoking implement, </w:t>
      </w:r>
      <w:r>
        <w:rPr>
          <w:bCs/>
        </w:rPr>
        <w:t xml:space="preserve">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b/>
        </w:rPr>
        <w:t>“</w:t>
      </w:r>
      <w:r>
        <w:rPr>
          <w:rStyle w:val="CharDefText"/>
        </w:rPr>
        <w:t>public place</w:t>
      </w:r>
      <w:r>
        <w:rPr>
          <w:b/>
        </w:rPr>
        <w:t>”</w:t>
      </w:r>
      <w:r>
        <w:t xml:space="preserve"> means a place or vehicle that</w:t>
      </w:r>
      <w:r>
        <w:rPr>
          <w:b/>
          <w:bCs/>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r>
      <w:r>
        <w:tab/>
        <w:t>whether on payment of money, by virtue of membership of a club or other body, by invitation, or otherwise;</w:t>
      </w:r>
    </w:p>
    <w:p>
      <w:pPr>
        <w:pStyle w:val="yDefstart"/>
      </w:pPr>
      <w:r>
        <w:tab/>
      </w:r>
      <w:r>
        <w:rPr>
          <w:b/>
        </w:rPr>
        <w:t>“</w:t>
      </w:r>
      <w:r>
        <w:rPr>
          <w:rStyle w:val="CharDefText"/>
        </w:rPr>
        <w:t>racing</w:t>
      </w:r>
      <w:r>
        <w:rPr>
          <w:b/>
        </w:rPr>
        <w:t>”</w:t>
      </w:r>
      <w:r>
        <w:t xml:space="preserve"> means horse racing or pacing, dog racing, motor car racing or motorcycle racing;</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keepNext/>
        <w:keepLines/>
      </w:pPr>
      <w:r>
        <w:rPr>
          <w:b/>
        </w:rPr>
        <w:tab/>
        <w:t>“</w:t>
      </w:r>
      <w:r>
        <w:rPr>
          <w:rStyle w:val="CharDefText"/>
        </w:rPr>
        <w:t>registered design</w:t>
      </w:r>
      <w:r>
        <w:rPr>
          <w:b/>
        </w:rPr>
        <w:t>”</w:t>
      </w:r>
      <w:r>
        <w:t xml:space="preserve"> in relation to a tobacco product or smoking implement means a design that is registered under the </w:t>
      </w:r>
      <w:r>
        <w:rPr>
          <w:i/>
          <w:iCs/>
        </w:rPr>
        <w:t>Designs Act 2003</w:t>
      </w:r>
      <w:r>
        <w:t xml:space="preserve"> of the Commonwealth in relation to the tobacco product or smoking implement;</w:t>
      </w:r>
    </w:p>
    <w:p>
      <w:pPr>
        <w:pStyle w:val="yDefstart"/>
        <w:rPr>
          <w:b/>
        </w:rPr>
      </w:pPr>
      <w:r>
        <w:rPr>
          <w:b/>
        </w:rPr>
        <w:tab/>
        <w:t>“</w:t>
      </w:r>
      <w:r>
        <w:rPr>
          <w:rStyle w:val="CharDefText"/>
        </w:rPr>
        <w:t>responsible person</w:t>
      </w:r>
      <w:r>
        <w:rPr>
          <w:b/>
        </w:rPr>
        <w:t>” </w:t>
      </w:r>
      <w:r>
        <w:rPr>
          <w:bCs/>
        </w:rPr>
        <w:t xml:space="preserve">— </w:t>
      </w:r>
    </w:p>
    <w:p>
      <w:pPr>
        <w:pStyle w:val="yDefpara"/>
      </w:pPr>
      <w:r>
        <w:tab/>
        <w:t>(a)</w:t>
      </w:r>
      <w:r>
        <w:tab/>
        <w:t xml:space="preserve">in relation to licensed premises, means a licensee, as defined in the </w:t>
      </w:r>
      <w:r>
        <w:rPr>
          <w:i/>
          <w:iCs/>
        </w:rPr>
        <w:t>Liquor Licensing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b/>
        </w:rPr>
        <w:t>“</w:t>
      </w:r>
      <w:r>
        <w:rPr>
          <w:rStyle w:val="CharDefText"/>
        </w:rPr>
        <w:t>retailer’s licence</w:t>
      </w:r>
      <w:r>
        <w:rPr>
          <w:b/>
        </w:rPr>
        <w:t>”</w:t>
      </w:r>
      <w:r>
        <w:t xml:space="preserve"> means a licence issued under section 36(1)(a);</w:t>
      </w:r>
    </w:p>
    <w:p>
      <w:pPr>
        <w:pStyle w:val="y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yDefstart"/>
      </w:pPr>
      <w:r>
        <w:tab/>
      </w:r>
      <w:r>
        <w:rPr>
          <w:b/>
        </w:rPr>
        <w:t>“</w:t>
      </w:r>
      <w:r>
        <w:rPr>
          <w:rStyle w:val="CharDefText"/>
        </w:rPr>
        <w:t>sell</w:t>
      </w:r>
      <w:r>
        <w:rPr>
          <w:b/>
        </w:rPr>
        <w:t>”</w:t>
      </w:r>
      <w:r>
        <w:t xml:space="preserve"> includes any of the following</w:t>
      </w:r>
      <w:r>
        <w:rPr>
          <w:b/>
          <w:bCs/>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b/>
        </w:rPr>
        <w:t>“</w:t>
      </w:r>
      <w:r>
        <w:rPr>
          <w:rStyle w:val="CharDefText"/>
        </w:rPr>
        <w:t>smoke</w:t>
      </w:r>
      <w:r>
        <w:rPr>
          <w:b/>
        </w:rPr>
        <w:t>”</w:t>
      </w:r>
      <w:r>
        <w:t xml:space="preserve"> (when used as a verb) means smoke, hold, or otherwise have control over, an ignited tobacco product;</w:t>
      </w:r>
    </w:p>
    <w:p>
      <w:pPr>
        <w:pStyle w:val="y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b/>
        </w:rPr>
        <w:t>“</w:t>
      </w:r>
      <w:r>
        <w:rPr>
          <w:rStyle w:val="CharDefText"/>
        </w:rPr>
        <w:t>sporting</w:t>
      </w:r>
      <w:r>
        <w:rPr>
          <w:b/>
        </w:rPr>
        <w:t>”</w:t>
      </w:r>
      <w:r>
        <w:t xml:space="preserve"> includes recreational and other such activities but does not include racing;</w:t>
      </w:r>
    </w:p>
    <w:p>
      <w:pPr>
        <w:pStyle w:val="y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yDefstart"/>
      </w:pPr>
      <w:r>
        <w:tab/>
      </w:r>
      <w:r>
        <w:rPr>
          <w:b/>
        </w:rPr>
        <w:t>“</w:t>
      </w:r>
      <w:r>
        <w:rPr>
          <w:rStyle w:val="CharDefText"/>
        </w:rPr>
        <w:t>tobacco advertisement</w:t>
      </w:r>
      <w:r>
        <w:rPr>
          <w:b/>
        </w:rPr>
        <w: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t>“</w:t>
      </w:r>
      <w:r>
        <w:rPr>
          <w:rStyle w:val="CharDefText"/>
        </w:rPr>
        <w:t>tobacco company</w:t>
      </w:r>
      <w:r>
        <w:rPr>
          <w:b/>
        </w:rPr>
        <w:t>”</w:t>
      </w:r>
      <w:r>
        <w:t xml:space="preserve"> means — </w:t>
      </w:r>
    </w:p>
    <w:p>
      <w:pPr>
        <w:pStyle w:val="yDefpara"/>
        <w:rPr>
          <w:bCs/>
        </w:rPr>
      </w:pPr>
      <w:r>
        <w:tab/>
        <w:t>(a)</w:t>
      </w:r>
      <w:r>
        <w:tab/>
        <w:t>a public company, as defined in the</w:t>
      </w:r>
      <w:r>
        <w:rPr>
          <w:bCs/>
        </w:rPr>
        <w:t xml:space="preserve"> </w:t>
      </w:r>
      <w:r>
        <w:rPr>
          <w:bCs/>
          <w:i/>
        </w:rPr>
        <w:t>Corporations Act 2001</w:t>
      </w:r>
      <w:r>
        <w:rPr>
          <w:bCs/>
        </w:rP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a proprietary company, as defined in the</w:t>
      </w:r>
      <w:r>
        <w:rPr>
          <w:bCs/>
        </w:rPr>
        <w:t xml:space="preserve"> </w:t>
      </w:r>
      <w:r>
        <w:rPr>
          <w:bCs/>
          <w:i/>
        </w:rPr>
        <w:t>Corporations Act 2001</w:t>
      </w:r>
      <w:r>
        <w:rPr>
          <w:bCs/>
        </w:rPr>
        <w:t xml:space="preserve"> of the Commonwealth, that is a subsidiary or related body corporate (within the meaning of that Act) of a company referred to in paragraph (a);</w:t>
      </w:r>
    </w:p>
    <w:p>
      <w:pPr>
        <w:pStyle w:val="yDefstart"/>
      </w:pPr>
      <w:r>
        <w:tab/>
      </w:r>
      <w:r>
        <w:rPr>
          <w:b/>
        </w:rPr>
        <w:t>“</w:t>
      </w:r>
      <w:r>
        <w:rPr>
          <w:rStyle w:val="CharDefText"/>
        </w:rPr>
        <w:t>tobacco product</w:t>
      </w:r>
      <w:r>
        <w:rPr>
          <w:b/>
        </w:rPr>
        <w:t>”</w:t>
      </w:r>
      <w:r>
        <w:t xml:space="preserve"> means any of the following</w:t>
      </w:r>
      <w:r>
        <w:rPr>
          <w:b/>
          <w:bCs/>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r>
      <w:r>
        <w:tab/>
        <w:t xml:space="preserve">but does not include — </w:t>
      </w:r>
    </w:p>
    <w:p>
      <w:pPr>
        <w:pStyle w:val="yDefpara"/>
      </w:pPr>
      <w:r>
        <w:tab/>
        <w:t>(d)</w:t>
      </w:r>
      <w:r>
        <w:tab/>
        <w:t xml:space="preserve">nicotine or a product containing nicotine insofar as the </w:t>
      </w:r>
      <w:r>
        <w:rPr>
          <w:i/>
          <w:iCs/>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b/>
        </w:rPr>
        <w:t>“</w:t>
      </w:r>
      <w:r>
        <w:rPr>
          <w:rStyle w:val="CharDefText"/>
        </w:rPr>
        <w:t>trade mark</w:t>
      </w:r>
      <w:r>
        <w:rPr>
          <w:b/>
        </w:rPr>
        <w:t>”</w:t>
      </w:r>
      <w:r>
        <w:t xml:space="preserve"> has the meaning given to that term in the </w:t>
      </w:r>
      <w:r>
        <w:rPr>
          <w:i/>
          <w:iCs/>
        </w:rPr>
        <w:t>Trade Marks Act 1995</w:t>
      </w:r>
      <w:r>
        <w:t xml:space="preserve"> of the Commonwealth;</w:t>
      </w:r>
    </w:p>
    <w:p>
      <w:pPr>
        <w:pStyle w:val="y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yDefstart"/>
      </w:pPr>
      <w:r>
        <w:tab/>
      </w:r>
      <w:r>
        <w:rPr>
          <w:b/>
        </w:rPr>
        <w:t>“</w:t>
      </w:r>
      <w:r>
        <w:rPr>
          <w:rStyle w:val="CharDefText"/>
        </w:rPr>
        <w:t>vending</w:t>
      </w:r>
      <w:r>
        <w:rPr>
          <w:rStyle w:val="CharDefText"/>
          <w:b w:val="0"/>
          <w:bCs/>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yDefstart"/>
      </w:pPr>
      <w:r>
        <w:tab/>
      </w:r>
      <w:r>
        <w:rPr>
          <w:b/>
        </w:rPr>
        <w:t>“</w:t>
      </w:r>
      <w:r>
        <w:rPr>
          <w:rStyle w:val="CharDefText"/>
        </w:rPr>
        <w:t>wholesale</w:t>
      </w:r>
      <w:r>
        <w:rPr>
          <w:b/>
        </w:rPr>
        <w:t>”</w:t>
      </w:r>
      <w:r>
        <w:t xml:space="preserve"> means a sale, other than by way of retail, in any quantity;</w:t>
      </w:r>
    </w:p>
    <w:p>
      <w:pPr>
        <w:pStyle w:val="yDefstart"/>
      </w:pPr>
      <w:r>
        <w:rPr>
          <w:b/>
        </w:rPr>
        <w:tab/>
        <w:t>“</w:t>
      </w:r>
      <w:r>
        <w:rPr>
          <w:rStyle w:val="CharDefText"/>
        </w:rPr>
        <w:t>wholesaler’s licence</w:t>
      </w:r>
      <w:r>
        <w:rPr>
          <w:b/>
        </w:rPr>
        <w:t>”</w:t>
      </w:r>
      <w:r>
        <w:t xml:space="preserve"> means a licence issued under section 36(1)(b).</w:t>
      </w:r>
    </w:p>
    <w:p>
      <w:pPr>
        <w:pStyle w:val="yFootnotesection"/>
      </w:pPr>
      <w:r>
        <w:tab/>
        <w:t>[Glossary amended by No. 77 of 2006 s. 17.]</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466" w:name="_Toc133122053"/>
      <w:bookmarkStart w:id="467" w:name="_Toc141605140"/>
    </w:p>
    <w:p>
      <w:pPr>
        <w:pStyle w:val="nHeading2"/>
      </w:pPr>
      <w:bookmarkStart w:id="468" w:name="_Toc141696806"/>
      <w:bookmarkStart w:id="469" w:name="_Toc158021930"/>
      <w:r>
        <w:t>Notes</w:t>
      </w:r>
      <w:bookmarkEnd w:id="367"/>
      <w:bookmarkEnd w:id="368"/>
      <w:bookmarkEnd w:id="466"/>
      <w:bookmarkEnd w:id="467"/>
      <w:bookmarkEnd w:id="468"/>
      <w:bookmarkEnd w:id="469"/>
    </w:p>
    <w:p>
      <w:pPr>
        <w:pStyle w:val="nSubsection"/>
        <w:rPr>
          <w:iCs/>
          <w:snapToGrid w:val="0"/>
        </w:rPr>
      </w:pPr>
      <w:r>
        <w:rPr>
          <w:snapToGrid w:val="0"/>
          <w:vertAlign w:val="superscript"/>
        </w:rPr>
        <w:t>1</w:t>
      </w:r>
      <w:r>
        <w:rPr>
          <w:snapToGrid w:val="0"/>
        </w:rPr>
        <w:tab/>
        <w:t xml:space="preserve">This is a compilation of the </w:t>
      </w:r>
      <w:r>
        <w:rPr>
          <w:i/>
          <w:snapToGrid w:val="0"/>
        </w:rPr>
        <w:t>Tobacco Products Control Act 2006</w:t>
      </w:r>
      <w:r>
        <w:rPr>
          <w:iCs/>
          <w:snapToGrid w:val="0"/>
        </w:rPr>
        <w:t xml:space="preserve"> </w:t>
      </w:r>
      <w:r>
        <w:rPr>
          <w:snapToGrid w:val="0"/>
        </w:rPr>
        <w:t xml:space="preserve">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70" w:name="_Toc512403484"/>
      <w:bookmarkStart w:id="471" w:name="_Toc512403627"/>
      <w:bookmarkStart w:id="472" w:name="_Toc36369351"/>
      <w:bookmarkStart w:id="473" w:name="_Toc119746909"/>
      <w:bookmarkStart w:id="474" w:name="_Toc158021931"/>
      <w:r>
        <w:rPr>
          <w:snapToGrid w:val="0"/>
        </w:rPr>
        <w:t>Compilation table</w:t>
      </w:r>
      <w:bookmarkEnd w:id="470"/>
      <w:bookmarkEnd w:id="471"/>
      <w:bookmarkEnd w:id="472"/>
      <w:bookmarkEnd w:id="473"/>
      <w:bookmarkEnd w:id="4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snapToGrid w:val="0"/>
                <w:sz w:val="19"/>
              </w:rPr>
              <w:t>Tobacco Products Control Act 2006</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Act other than s. 16</w:t>
            </w:r>
            <w:r>
              <w:rPr>
                <w:sz w:val="19"/>
              </w:rPr>
              <w:noBreakHyphen/>
              <w:t xml:space="preserve">25, 26(2), (3) &amp;(4), Pt. 4 and s. 103(2), 105 &amp; 113(3): 31 Jul 2006 (see s. 2 and </w:t>
            </w:r>
            <w:r>
              <w:rPr>
                <w:i/>
                <w:iCs/>
                <w:sz w:val="19"/>
              </w:rPr>
              <w:t>Gazette</w:t>
            </w:r>
            <w:r>
              <w:rPr>
                <w:sz w:val="19"/>
              </w:rPr>
              <w:t xml:space="preserve"> 25 Jul 2006 p. 2701)</w:t>
            </w:r>
          </w:p>
        </w:tc>
      </w:tr>
      <w:tr>
        <w:tc>
          <w:tcPr>
            <w:tcW w:w="2268" w:type="dxa"/>
            <w:tcBorders>
              <w:bottom w:val="single" w:sz="4" w:space="0" w:color="auto"/>
            </w:tcBorders>
          </w:tcPr>
          <w:p>
            <w:pPr>
              <w:pStyle w:val="nTable"/>
              <w:spacing w:before="100"/>
              <w:rPr>
                <w:i/>
                <w:snapToGrid w:val="0"/>
                <w:sz w:val="19"/>
              </w:rPr>
            </w:pPr>
            <w:r>
              <w:rPr>
                <w:i/>
                <w:snapToGrid w:val="0"/>
                <w:sz w:val="19"/>
              </w:rPr>
              <w:t>Financial Legislation Amendment and Repeal Act 2006</w:t>
            </w:r>
            <w:r>
              <w:rPr>
                <w:snapToGrid w:val="0"/>
                <w:sz w:val="19"/>
              </w:rPr>
              <w:t xml:space="preserve"> s. 4 and 17</w:t>
            </w:r>
          </w:p>
        </w:tc>
        <w:tc>
          <w:tcPr>
            <w:tcW w:w="1134" w:type="dxa"/>
            <w:tcBorders>
              <w:bottom w:val="single" w:sz="4" w:space="0" w:color="auto"/>
            </w:tcBorders>
          </w:tcPr>
          <w:p>
            <w:pPr>
              <w:pStyle w:val="nTable"/>
              <w:spacing w:before="100"/>
              <w:rPr>
                <w:sz w:val="19"/>
              </w:rPr>
            </w:pPr>
            <w:r>
              <w:rPr>
                <w:sz w:val="19"/>
              </w:rPr>
              <w:t>77 of 2006</w:t>
            </w:r>
          </w:p>
        </w:tc>
        <w:tc>
          <w:tcPr>
            <w:tcW w:w="1134" w:type="dxa"/>
            <w:tcBorders>
              <w:bottom w:val="single" w:sz="4" w:space="0" w:color="auto"/>
            </w:tcBorders>
          </w:tcPr>
          <w:p>
            <w:pPr>
              <w:pStyle w:val="nTable"/>
              <w:spacing w:before="100"/>
              <w:rPr>
                <w:sz w:val="19"/>
              </w:rPr>
            </w:pPr>
            <w:r>
              <w:rPr>
                <w:sz w:val="19"/>
              </w:rPr>
              <w:t>21 Dec 2006</w:t>
            </w:r>
          </w:p>
        </w:tc>
        <w:tc>
          <w:tcPr>
            <w:tcW w:w="2552" w:type="dxa"/>
            <w:tcBorders>
              <w:bottom w:val="single" w:sz="4" w:space="0" w:color="auto"/>
            </w:tcBorders>
          </w:tcPr>
          <w:p>
            <w:pPr>
              <w:pStyle w:val="nTable"/>
              <w:spacing w:before="100"/>
              <w:rPr>
                <w:sz w:val="19"/>
              </w:rPr>
            </w:pPr>
            <w:r>
              <w:rPr>
                <w:sz w:val="19"/>
              </w:rPr>
              <w:t xml:space="preserve">1 Feb 2007 (see s. 2(1) and </w:t>
            </w:r>
            <w:r>
              <w:rPr>
                <w:i/>
                <w:iCs/>
                <w:sz w:val="19"/>
              </w:rPr>
              <w:t>Gazette</w:t>
            </w:r>
            <w:r>
              <w:rPr>
                <w:sz w:val="19"/>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5" w:name="_Toc7405065"/>
      <w:bookmarkStart w:id="476" w:name="_Toc158021932"/>
      <w:r>
        <w:t>Provisions that have not come into operation</w:t>
      </w:r>
      <w:bookmarkEnd w:id="475"/>
      <w:bookmarkEnd w:id="4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68" w:type="dxa"/>
            <w:tcBorders>
              <w:top w:val="single" w:sz="4" w:space="0" w:color="auto"/>
            </w:tcBorders>
          </w:tcPr>
          <w:p>
            <w:pPr>
              <w:pStyle w:val="nTable"/>
              <w:spacing w:before="100"/>
              <w:rPr>
                <w:iCs/>
                <w:sz w:val="19"/>
              </w:rPr>
            </w:pPr>
            <w:r>
              <w:rPr>
                <w:i/>
                <w:snapToGrid w:val="0"/>
                <w:sz w:val="19"/>
              </w:rPr>
              <w:t>Tobacco Products Control Act 2006</w:t>
            </w:r>
            <w:r>
              <w:rPr>
                <w:iCs/>
                <w:snapToGrid w:val="0"/>
                <w:sz w:val="19"/>
              </w:rPr>
              <w:t xml:space="preserve"> s. 16</w:t>
            </w:r>
            <w:r>
              <w:rPr>
                <w:iCs/>
                <w:snapToGrid w:val="0"/>
                <w:sz w:val="19"/>
              </w:rPr>
              <w:noBreakHyphen/>
              <w:t>25, 26(2), (3) and (4), Pt. 4, s. 103(2), 105 and 113(3)</w:t>
            </w:r>
            <w:r>
              <w:rPr>
                <w:iCs/>
                <w:snapToGrid w:val="0"/>
                <w:sz w:val="19"/>
                <w:vertAlign w:val="superscript"/>
              </w:rPr>
              <w:t> 2</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3</w:t>
            </w:r>
          </w:p>
        </w:tc>
        <w:tc>
          <w:tcPr>
            <w:tcW w:w="1134"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Tobacco Products Control Act 2006</w:t>
      </w:r>
      <w:r>
        <w:rPr>
          <w:iCs/>
          <w:snapToGrid w:val="0"/>
        </w:rPr>
        <w:t xml:space="preserve"> </w:t>
      </w:r>
      <w:r>
        <w:rPr>
          <w:iCs/>
          <w:snapToGrid w:val="0"/>
          <w:sz w:val="19"/>
        </w:rPr>
        <w:t>s. 16</w:t>
      </w:r>
      <w:r>
        <w:rPr>
          <w:iCs/>
          <w:snapToGrid w:val="0"/>
          <w:sz w:val="19"/>
        </w:rPr>
        <w:noBreakHyphen/>
        <w:t xml:space="preserve">25, 26(2), (3) and (4), Pt. 4, s. 103(2), 105 and 113(3) </w:t>
      </w:r>
      <w:r>
        <w:rPr>
          <w:snapToGrid w:val="0"/>
        </w:rPr>
        <w:t>had not come into operation.  They read as follows:</w:t>
      </w:r>
    </w:p>
    <w:p>
      <w:pPr>
        <w:pStyle w:val="MiscOpen"/>
        <w:keepNext w:val="0"/>
        <w:spacing w:before="60"/>
        <w:rPr>
          <w:sz w:val="20"/>
        </w:rPr>
      </w:pPr>
      <w:r>
        <w:rPr>
          <w:sz w:val="20"/>
        </w:rPr>
        <w:t>“</w:t>
      </w:r>
    </w:p>
    <w:p>
      <w:pPr>
        <w:pStyle w:val="nzHeading5"/>
      </w:pPr>
      <w:bookmarkStart w:id="477" w:name="_Toc104887930"/>
      <w:bookmarkStart w:id="478" w:name="_Toc112831008"/>
      <w:bookmarkStart w:id="479" w:name="_Toc132000932"/>
      <w:bookmarkStart w:id="480" w:name="_Toc133116104"/>
      <w:bookmarkStart w:id="481" w:name="_Toc133120217"/>
      <w:r>
        <w:rPr>
          <w:rStyle w:val="CharSectno"/>
        </w:rPr>
        <w:t>16</w:t>
      </w:r>
      <w:r>
        <w:t>.</w:t>
      </w:r>
      <w:r>
        <w:tab/>
        <w:t>Retailers of tobacco products to be licensed</w:t>
      </w:r>
      <w:bookmarkEnd w:id="477"/>
      <w:bookmarkEnd w:id="478"/>
      <w:bookmarkEnd w:id="479"/>
      <w:bookmarkEnd w:id="480"/>
      <w:bookmarkEnd w:id="481"/>
    </w:p>
    <w:p>
      <w:pPr>
        <w:pStyle w:val="nzSubsection"/>
      </w:pPr>
      <w:r>
        <w:tab/>
        <w:t>(1)</w:t>
      </w:r>
      <w:r>
        <w:tab/>
        <w:t>A person must not sell a tobacco product by way of retail sale except under the authority of a retailer’s licence.</w:t>
      </w:r>
    </w:p>
    <w:p>
      <w:pPr>
        <w:pStyle w:val="nzPenstart"/>
      </w:pPr>
      <w:r>
        <w:tab/>
        <w:t>Penalty: a fine of $50 000.</w:t>
      </w:r>
    </w:p>
    <w:p>
      <w:pPr>
        <w:pStyle w:val="nzSubsection"/>
      </w:pPr>
      <w:r>
        <w:tab/>
        <w:t>(2)</w:t>
      </w:r>
      <w:r>
        <w:tab/>
        <w:t xml:space="preserve">For the purposes of subsection (1), persons who sell tobacco products by way of retail sale — </w:t>
      </w:r>
    </w:p>
    <w:p>
      <w:pPr>
        <w:pStyle w:val="nzIndenta"/>
      </w:pPr>
      <w:r>
        <w:tab/>
        <w:t>(a)</w:t>
      </w:r>
      <w:r>
        <w:tab/>
        <w:t>include a responsible person in relation to premises that are licensed premises or a mines amenity and at which there is a vending machine; but</w:t>
      </w:r>
    </w:p>
    <w:p>
      <w:pPr>
        <w:pStyle w:val="nzIndenta"/>
      </w:pPr>
      <w:r>
        <w:tab/>
        <w:t>(b)</w:t>
      </w:r>
      <w:r>
        <w:tab/>
        <w:t>do not include an owner of a vending machine that is at premises that are licensed premises or a mines amenity if the owner of the vending machine is not also a responsible person in relation to those premises.</w:t>
      </w:r>
    </w:p>
    <w:p>
      <w:pPr>
        <w:pStyle w:val="nzHeading5"/>
      </w:pPr>
      <w:bookmarkStart w:id="482" w:name="_Toc104887931"/>
      <w:bookmarkStart w:id="483" w:name="_Toc112831009"/>
      <w:bookmarkStart w:id="484" w:name="_Toc132000933"/>
      <w:bookmarkStart w:id="485" w:name="_Toc133116105"/>
      <w:bookmarkStart w:id="486" w:name="_Toc133120218"/>
      <w:r>
        <w:rPr>
          <w:rStyle w:val="CharSectno"/>
        </w:rPr>
        <w:t>17</w:t>
      </w:r>
      <w:r>
        <w:t>.</w:t>
      </w:r>
      <w:r>
        <w:tab/>
        <w:t>Wholesalers of tobacco products to be licensed</w:t>
      </w:r>
      <w:bookmarkEnd w:id="482"/>
      <w:bookmarkEnd w:id="483"/>
      <w:bookmarkEnd w:id="484"/>
      <w:bookmarkEnd w:id="485"/>
      <w:bookmarkEnd w:id="486"/>
    </w:p>
    <w:p>
      <w:pPr>
        <w:pStyle w:val="nzSubsection"/>
      </w:pPr>
      <w:r>
        <w:tab/>
      </w:r>
      <w:r>
        <w:tab/>
        <w:t>A person must not sell a tobacco product by way of wholesale sale except under the authority of a wholesaler’s licence.</w:t>
      </w:r>
    </w:p>
    <w:p>
      <w:pPr>
        <w:pStyle w:val="nzPenstart"/>
      </w:pPr>
      <w:r>
        <w:tab/>
        <w:t>Penalty: see section 115.</w:t>
      </w:r>
    </w:p>
    <w:p>
      <w:pPr>
        <w:pStyle w:val="nzHeading5"/>
      </w:pPr>
      <w:bookmarkStart w:id="487" w:name="_Toc104887932"/>
      <w:bookmarkStart w:id="488" w:name="_Toc112831010"/>
      <w:bookmarkStart w:id="489" w:name="_Toc132000934"/>
      <w:bookmarkStart w:id="490" w:name="_Toc133116106"/>
      <w:bookmarkStart w:id="491" w:name="_Toc133120219"/>
      <w:r>
        <w:rPr>
          <w:rStyle w:val="CharSectno"/>
        </w:rPr>
        <w:t>18</w:t>
      </w:r>
      <w:r>
        <w:t>.</w:t>
      </w:r>
      <w:r>
        <w:tab/>
        <w:t>Indirect sellers of tobacco products to be licensed</w:t>
      </w:r>
      <w:bookmarkEnd w:id="487"/>
      <w:bookmarkEnd w:id="488"/>
      <w:bookmarkEnd w:id="489"/>
      <w:bookmarkEnd w:id="490"/>
      <w:bookmarkEnd w:id="491"/>
    </w:p>
    <w:p>
      <w:pPr>
        <w:pStyle w:val="nzSubsection"/>
      </w:pPr>
      <w:r>
        <w:tab/>
      </w:r>
      <w:r>
        <w:tab/>
        <w:t>A person must not sell a tobacco product by way of indirect sale except under the authority of an indirect seller’s licence.</w:t>
      </w:r>
    </w:p>
    <w:p>
      <w:pPr>
        <w:pStyle w:val="nzPenstart"/>
      </w:pPr>
      <w:r>
        <w:tab/>
        <w:t>Penalty: see section 115.</w:t>
      </w:r>
    </w:p>
    <w:p>
      <w:pPr>
        <w:pStyle w:val="nzHeading5"/>
      </w:pPr>
      <w:bookmarkStart w:id="492" w:name="_Toc104887933"/>
      <w:bookmarkStart w:id="493" w:name="_Toc112831011"/>
      <w:bookmarkStart w:id="494" w:name="_Toc132000935"/>
      <w:bookmarkStart w:id="495" w:name="_Toc133116107"/>
      <w:bookmarkStart w:id="496" w:name="_Toc133120220"/>
      <w:r>
        <w:rPr>
          <w:rStyle w:val="CharSectno"/>
        </w:rPr>
        <w:t>19</w:t>
      </w:r>
      <w:r>
        <w:t>.</w:t>
      </w:r>
      <w:r>
        <w:tab/>
        <w:t>Labelling of tobacco products</w:t>
      </w:r>
      <w:bookmarkEnd w:id="492"/>
      <w:bookmarkEnd w:id="493"/>
      <w:bookmarkEnd w:id="494"/>
      <w:bookmarkEnd w:id="495"/>
      <w:bookmarkEnd w:id="496"/>
    </w:p>
    <w:p>
      <w:pPr>
        <w:pStyle w:val="nz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nzPenstart"/>
      </w:pPr>
      <w:r>
        <w:tab/>
        <w:t>Penalty: see section 115.</w:t>
      </w:r>
    </w:p>
    <w:p>
      <w:pPr>
        <w:pStyle w:val="nzHeading5"/>
      </w:pPr>
      <w:bookmarkStart w:id="497" w:name="_Toc104887934"/>
      <w:bookmarkStart w:id="498" w:name="_Toc112831012"/>
      <w:bookmarkStart w:id="499" w:name="_Toc132000936"/>
      <w:bookmarkStart w:id="500" w:name="_Toc133116108"/>
      <w:bookmarkStart w:id="501" w:name="_Toc133120221"/>
      <w:r>
        <w:rPr>
          <w:rStyle w:val="CharSectno"/>
        </w:rPr>
        <w:t>20</w:t>
      </w:r>
      <w:r>
        <w:t>.</w:t>
      </w:r>
      <w:r>
        <w:tab/>
        <w:t>One retail sale point only</w:t>
      </w:r>
      <w:bookmarkEnd w:id="497"/>
      <w:bookmarkEnd w:id="498"/>
      <w:bookmarkEnd w:id="499"/>
      <w:bookmarkEnd w:id="500"/>
      <w:bookmarkEnd w:id="501"/>
    </w:p>
    <w:p>
      <w:pPr>
        <w:pStyle w:val="nzSubsection"/>
      </w:pPr>
      <w:r>
        <w:tab/>
        <w:t>(1)</w:t>
      </w:r>
      <w:r>
        <w:tab/>
        <w:t>The holder of a retailer’s licence must ensure that tobacco products are not sold at more than one place in the premises specified in the licence.</w:t>
      </w:r>
    </w:p>
    <w:p>
      <w:pPr>
        <w:pStyle w:val="nzPenstart"/>
      </w:pPr>
      <w:r>
        <w:tab/>
        <w:t>Penalty: see section 115.</w:t>
      </w:r>
    </w:p>
    <w:p>
      <w:pPr>
        <w:pStyle w:val="nzSubsection"/>
      </w:pPr>
      <w:r>
        <w:tab/>
        <w:t>(2)</w:t>
      </w:r>
      <w:r>
        <w:tab/>
        <w:t>Subsection (1) does not apply to sales of tobacco products from vending machines.</w:t>
      </w:r>
    </w:p>
    <w:p>
      <w:pPr>
        <w:pStyle w:val="nzHeading5"/>
        <w:rPr>
          <w:snapToGrid w:val="0"/>
        </w:rPr>
      </w:pPr>
      <w:bookmarkStart w:id="502" w:name="_Toc496675353"/>
      <w:bookmarkStart w:id="503" w:name="_Toc526752837"/>
      <w:bookmarkStart w:id="504" w:name="_Toc528482962"/>
      <w:bookmarkStart w:id="505" w:name="_Toc529782368"/>
      <w:bookmarkStart w:id="506" w:name="_Toc86555653"/>
      <w:bookmarkStart w:id="507" w:name="_Toc86555729"/>
      <w:bookmarkStart w:id="508" w:name="_Toc104887935"/>
      <w:bookmarkStart w:id="509" w:name="_Toc112831013"/>
      <w:bookmarkStart w:id="510" w:name="_Toc132000937"/>
      <w:bookmarkStart w:id="511" w:name="_Toc133116109"/>
      <w:bookmarkStart w:id="512" w:name="_Toc133120222"/>
      <w:r>
        <w:rPr>
          <w:rStyle w:val="CharSectno"/>
        </w:rPr>
        <w:t>21</w:t>
      </w:r>
      <w:r>
        <w:t>.</w:t>
      </w:r>
      <w:r>
        <w:tab/>
        <w:t>Retail sale of c</w:t>
      </w:r>
      <w:r>
        <w:rPr>
          <w:snapToGrid w:val="0"/>
        </w:rPr>
        <w:t>igarettes</w:t>
      </w:r>
      <w:bookmarkEnd w:id="502"/>
      <w:bookmarkEnd w:id="503"/>
      <w:bookmarkEnd w:id="504"/>
      <w:bookmarkEnd w:id="505"/>
      <w:bookmarkEnd w:id="506"/>
      <w:bookmarkEnd w:id="507"/>
      <w:bookmarkEnd w:id="508"/>
      <w:bookmarkEnd w:id="509"/>
      <w:bookmarkEnd w:id="510"/>
      <w:bookmarkEnd w:id="511"/>
      <w:bookmarkEnd w:id="512"/>
    </w:p>
    <w:p>
      <w:pPr>
        <w:pStyle w:val="nz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nzPenstart"/>
      </w:pPr>
      <w:r>
        <w:tab/>
        <w:t>Penalty: see section 115.</w:t>
      </w:r>
    </w:p>
    <w:p>
      <w:pPr>
        <w:pStyle w:val="nzHeading5"/>
      </w:pPr>
      <w:bookmarkStart w:id="513" w:name="_Toc104887936"/>
      <w:bookmarkStart w:id="514" w:name="_Toc112831014"/>
      <w:bookmarkStart w:id="515" w:name="_Toc132000938"/>
      <w:bookmarkStart w:id="516" w:name="_Toc133116110"/>
      <w:bookmarkStart w:id="517" w:name="_Toc133120223"/>
      <w:r>
        <w:rPr>
          <w:rStyle w:val="CharSectno"/>
        </w:rPr>
        <w:t>22</w:t>
      </w:r>
      <w:r>
        <w:t>.</w:t>
      </w:r>
      <w:r>
        <w:tab/>
        <w:t>Display of tobacco products</w:t>
      </w:r>
      <w:bookmarkEnd w:id="513"/>
      <w:bookmarkEnd w:id="514"/>
      <w:bookmarkEnd w:id="515"/>
      <w:bookmarkEnd w:id="516"/>
      <w:bookmarkEnd w:id="517"/>
    </w:p>
    <w:p>
      <w:pPr>
        <w:pStyle w:val="nzSubsection"/>
      </w:pPr>
      <w:r>
        <w:tab/>
        <w:t>(1)</w:t>
      </w:r>
      <w:r>
        <w:tab/>
        <w:t>The holder of a retailer’s licence must ensure that tobacco products are not displayed at more than one place in the premises specified in the licence.</w:t>
      </w:r>
    </w:p>
    <w:p>
      <w:pPr>
        <w:pStyle w:val="nz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nzSubsection"/>
        <w:rPr>
          <w:snapToGrid w:val="0"/>
        </w:rPr>
      </w:pPr>
      <w:r>
        <w:tab/>
        <w:t>(3)</w:t>
      </w:r>
      <w:r>
        <w:tab/>
        <w:t>The holder of a retailer’s licence must not display, or authorise or allow to be displayed</w:t>
      </w:r>
      <w:r>
        <w:rPr>
          <w:snapToGrid w:val="0"/>
        </w:rPr>
        <w:t xml:space="preserve"> — </w:t>
      </w:r>
    </w:p>
    <w:p>
      <w:pPr>
        <w:pStyle w:val="nzIndenta"/>
        <w:rPr>
          <w:snapToGrid w:val="0"/>
        </w:rPr>
      </w:pPr>
      <w:r>
        <w:rPr>
          <w:snapToGrid w:val="0"/>
        </w:rPr>
        <w:tab/>
        <w:t>(a)</w:t>
      </w:r>
      <w:r>
        <w:rPr>
          <w:snapToGrid w:val="0"/>
        </w:rPr>
        <w:tab/>
        <w:t xml:space="preserve">a carton or a part of a carton; or </w:t>
      </w:r>
    </w:p>
    <w:p>
      <w:pPr>
        <w:pStyle w:val="nzIndenta"/>
        <w:rPr>
          <w:snapToGrid w:val="0"/>
        </w:rPr>
      </w:pPr>
      <w:r>
        <w:rPr>
          <w:snapToGrid w:val="0"/>
        </w:rPr>
        <w:tab/>
        <w:t>(b)</w:t>
      </w:r>
      <w:r>
        <w:rPr>
          <w:snapToGrid w:val="0"/>
        </w:rPr>
        <w:tab/>
      </w:r>
      <w:r>
        <w:t>any other kind of package</w:t>
      </w:r>
      <w:r>
        <w:rPr>
          <w:snapToGrid w:val="0"/>
        </w:rPr>
        <w:t xml:space="preserve"> that is prescribed.</w:t>
      </w:r>
    </w:p>
    <w:p>
      <w:pPr>
        <w:pStyle w:val="nz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nzPenstart"/>
      </w:pPr>
      <w:r>
        <w:tab/>
        <w:t>Penalty applicable to subsections (1), (2), (3) and (4): see section 115.</w:t>
      </w:r>
    </w:p>
    <w:p>
      <w:pPr>
        <w:pStyle w:val="nzHeading5"/>
      </w:pPr>
      <w:bookmarkStart w:id="518" w:name="_Toc112831015"/>
      <w:bookmarkStart w:id="519" w:name="_Toc132000939"/>
      <w:bookmarkStart w:id="520" w:name="_Toc133116111"/>
      <w:bookmarkStart w:id="521" w:name="_Toc133120224"/>
      <w:r>
        <w:rPr>
          <w:rStyle w:val="CharSectno"/>
        </w:rPr>
        <w:t>23</w:t>
      </w:r>
      <w:r>
        <w:t>.</w:t>
      </w:r>
      <w:r>
        <w:tab/>
        <w:t>Defences in relation to certain display requirements</w:t>
      </w:r>
      <w:bookmarkEnd w:id="518"/>
      <w:bookmarkEnd w:id="519"/>
      <w:bookmarkEnd w:id="520"/>
      <w:bookmarkEnd w:id="521"/>
    </w:p>
    <w:p>
      <w:pPr>
        <w:pStyle w:val="nzSubsection"/>
      </w:pPr>
      <w:r>
        <w:tab/>
        <w:t>(1)</w:t>
      </w:r>
      <w:r>
        <w:tab/>
        <w:t xml:space="preserve">In this section — </w:t>
      </w:r>
    </w:p>
    <w:p>
      <w:pPr>
        <w:pStyle w:val="nzDefstart"/>
      </w:pPr>
      <w:r>
        <w:rPr>
          <w:b/>
        </w:rPr>
        <w:tab/>
        <w:t>“</w:t>
      </w:r>
      <w:r>
        <w:rPr>
          <w:rStyle w:val="CharDefText"/>
        </w:rPr>
        <w:t>50% retailer</w:t>
      </w:r>
      <w:r>
        <w:rPr>
          <w:b/>
        </w:rPr>
        <w:t>”</w:t>
      </w:r>
      <w:r>
        <w:t xml:space="preserve"> means a person who conducts a business selling tobacco products by way of retail sale if — </w:t>
      </w:r>
    </w:p>
    <w:p>
      <w:pPr>
        <w:pStyle w:val="nzDefpara"/>
      </w:pPr>
      <w:r>
        <w:tab/>
        <w:t>(a)</w:t>
      </w:r>
      <w:r>
        <w:tab/>
        <w:t>the person or any other person had been conducting that business on 1 July 2005; and</w:t>
      </w:r>
    </w:p>
    <w:p>
      <w:pPr>
        <w:pStyle w:val="nzDefpara"/>
      </w:pPr>
      <w:r>
        <w:tab/>
        <w:t>(b)</w:t>
      </w:r>
      <w:r>
        <w:tab/>
        <w:t>50% or more of the average gross turnover of the business for the financial year 2004 to 2005 was derived from the sale of tobacco products;</w:t>
      </w:r>
    </w:p>
    <w:p>
      <w:pPr>
        <w:pStyle w:val="nzDefstart"/>
      </w:pPr>
      <w:r>
        <w:rPr>
          <w:b/>
        </w:rPr>
        <w:tab/>
        <w:t>“</w:t>
      </w:r>
      <w:r>
        <w:rPr>
          <w:rStyle w:val="CharDefText"/>
        </w:rPr>
        <w:t>specialist retailer</w:t>
      </w:r>
      <w:r>
        <w:rPr>
          <w:b/>
        </w:rPr>
        <w:t>”</w:t>
      </w:r>
      <w:r>
        <w:t xml:space="preserve"> means a person who conducts a business selling tobacco products by way of retail sale if — </w:t>
      </w:r>
    </w:p>
    <w:p>
      <w:pPr>
        <w:pStyle w:val="nzDefpara"/>
      </w:pPr>
      <w:r>
        <w:tab/>
        <w:t>(a)</w:t>
      </w:r>
      <w:r>
        <w:tab/>
        <w:t xml:space="preserve">the person or any other person had been conducting that business on 1 July 2005; </w:t>
      </w:r>
    </w:p>
    <w:p>
      <w:pPr>
        <w:pStyle w:val="nzDefpara"/>
      </w:pPr>
      <w:r>
        <w:tab/>
        <w:t>(b)</w:t>
      </w:r>
      <w:r>
        <w:tab/>
        <w:t>80% or more of the average gross turnover of the business for the financial year 2004 to 2005 was derived from the sale of tobacco products; and</w:t>
      </w:r>
    </w:p>
    <w:p>
      <w:pPr>
        <w:pStyle w:val="nzDefpara"/>
      </w:pPr>
      <w:r>
        <w:tab/>
        <w:t>(c)</w:t>
      </w:r>
      <w:r>
        <w:tab/>
        <w:t>the business is conducted separately from, not in conjunction with, and not within the premises of, any other business.</w:t>
      </w:r>
    </w:p>
    <w:p>
      <w:pPr>
        <w:pStyle w:val="nzSubsection"/>
      </w:pPr>
      <w:r>
        <w:tab/>
        <w:t>(2)</w:t>
      </w:r>
      <w:r>
        <w:tab/>
        <w:t xml:space="preserve">If a person is charged with an offence under section 22(2) it is a defence to prove that at the time the offence is alleged to have been committed — </w:t>
      </w:r>
    </w:p>
    <w:p>
      <w:pPr>
        <w:pStyle w:val="nzIndenta"/>
      </w:pPr>
      <w:r>
        <w:tab/>
        <w:t>(a)</w:t>
      </w:r>
      <w:r>
        <w:tab/>
        <w:t>the person was a 50% retailer;</w:t>
      </w:r>
    </w:p>
    <w:p>
      <w:pPr>
        <w:pStyle w:val="nz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nzIndenta"/>
      </w:pPr>
      <w:r>
        <w:tab/>
        <w:t>(c)</w:t>
      </w:r>
      <w:r>
        <w:tab/>
        <w:t>the display was located in an area that was separate from an area where goods other than tobacco products were available for sale; and</w:t>
      </w:r>
    </w:p>
    <w:p>
      <w:pPr>
        <w:pStyle w:val="nzIndenta"/>
      </w:pPr>
      <w:r>
        <w:tab/>
        <w:t>(d)</w:t>
      </w:r>
      <w:r>
        <w:tab/>
        <w:t>the display could not be seen from a public place outside the premises specified in the licence.</w:t>
      </w:r>
    </w:p>
    <w:p>
      <w:pPr>
        <w:pStyle w:val="nzSubsection"/>
      </w:pPr>
      <w:r>
        <w:tab/>
        <w:t>(3)</w:t>
      </w:r>
      <w:r>
        <w:tab/>
        <w:t>If a person is charged with an offence under section 22(1) it is a defence to prove that the person was a specialist retailer at the time the offence is alleged to have been committed.</w:t>
      </w:r>
    </w:p>
    <w:p>
      <w:pPr>
        <w:pStyle w:val="nzSubsection"/>
      </w:pPr>
      <w:r>
        <w:tab/>
        <w:t>(4)</w:t>
      </w:r>
      <w:r>
        <w:tab/>
        <w:t xml:space="preserve">If a person is charged with an offence under section 22(2) it is a defence to prove that at the time the offence is alleged to have been committed — </w:t>
      </w:r>
    </w:p>
    <w:p>
      <w:pPr>
        <w:pStyle w:val="nzIndenta"/>
      </w:pPr>
      <w:r>
        <w:tab/>
        <w:t>(a)</w:t>
      </w:r>
      <w:r>
        <w:tab/>
        <w:t>the person was a specialist retailer;</w:t>
      </w:r>
    </w:p>
    <w:p>
      <w:pPr>
        <w:pStyle w:val="nz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nzIndenta"/>
      </w:pPr>
      <w:r>
        <w:tab/>
        <w:t>(c)</w:t>
      </w:r>
      <w:r>
        <w:tab/>
        <w:t>the rest of the display could not be seen from a public place outside the premises specified in the licence.</w:t>
      </w:r>
    </w:p>
    <w:p>
      <w:pPr>
        <w:pStyle w:val="nzHeading5"/>
      </w:pPr>
      <w:bookmarkStart w:id="522" w:name="_Toc104887937"/>
      <w:bookmarkStart w:id="523" w:name="_Toc112831016"/>
      <w:bookmarkStart w:id="524" w:name="_Toc132000940"/>
      <w:bookmarkStart w:id="525" w:name="_Toc133116112"/>
      <w:bookmarkStart w:id="526" w:name="_Toc133120225"/>
      <w:r>
        <w:rPr>
          <w:rStyle w:val="CharSectno"/>
        </w:rPr>
        <w:t>24</w:t>
      </w:r>
      <w:r>
        <w:t>.</w:t>
      </w:r>
      <w:r>
        <w:tab/>
        <w:t>Information about availability, price of tobacco products</w:t>
      </w:r>
      <w:bookmarkEnd w:id="522"/>
      <w:bookmarkEnd w:id="523"/>
      <w:bookmarkEnd w:id="524"/>
      <w:bookmarkEnd w:id="525"/>
      <w:bookmarkEnd w:id="526"/>
    </w:p>
    <w:p>
      <w:pPr>
        <w:pStyle w:val="nz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nz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nzPenstart"/>
      </w:pPr>
      <w:r>
        <w:tab/>
        <w:t>Penalty applicable to subsections (1) and (2): see section 115.</w:t>
      </w:r>
    </w:p>
    <w:p>
      <w:pPr>
        <w:pStyle w:val="nzHeading5"/>
      </w:pPr>
      <w:bookmarkStart w:id="527" w:name="_Toc104887938"/>
      <w:bookmarkStart w:id="528" w:name="_Toc112831017"/>
      <w:bookmarkStart w:id="529" w:name="_Toc132000941"/>
      <w:bookmarkStart w:id="530" w:name="_Toc133116113"/>
      <w:bookmarkStart w:id="531" w:name="_Toc133120226"/>
      <w:r>
        <w:rPr>
          <w:rStyle w:val="CharSectno"/>
        </w:rPr>
        <w:t>25</w:t>
      </w:r>
      <w:r>
        <w:t>.</w:t>
      </w:r>
      <w:r>
        <w:tab/>
        <w:t>Warnings</w:t>
      </w:r>
      <w:bookmarkEnd w:id="527"/>
      <w:bookmarkEnd w:id="528"/>
      <w:bookmarkEnd w:id="529"/>
      <w:bookmarkEnd w:id="530"/>
      <w:bookmarkEnd w:id="531"/>
    </w:p>
    <w:p>
      <w:pPr>
        <w:pStyle w:val="nzSubsection"/>
      </w:pPr>
      <w:r>
        <w:tab/>
        <w:t>(1)</w:t>
      </w:r>
      <w:r>
        <w:tab/>
        <w:t xml:space="preserve">The holder of a retailer’s licence must ensure that there is displayed at the premises specified in the licence signs — </w:t>
      </w:r>
    </w:p>
    <w:p>
      <w:pPr>
        <w:pStyle w:val="nzIndenta"/>
      </w:pPr>
      <w:r>
        <w:tab/>
        <w:t>(a)</w:t>
      </w:r>
      <w:r>
        <w:tab/>
        <w:t>warning customers and employees that it is illegal to sell a tobacco product or smoking implement</w:t>
      </w:r>
      <w:r>
        <w:rPr>
          <w:i/>
          <w:iCs/>
        </w:rPr>
        <w:t xml:space="preserve"> </w:t>
      </w:r>
      <w:r>
        <w:t>to a person who has not reached 18 years of age;</w:t>
      </w:r>
    </w:p>
    <w:p>
      <w:pPr>
        <w:pStyle w:val="nzIndenta"/>
      </w:pPr>
      <w:r>
        <w:tab/>
        <w:t>(b)</w:t>
      </w:r>
      <w:r>
        <w:tab/>
        <w:t>stating the penalty for selling a tobacco product or smoking implement</w:t>
      </w:r>
      <w:r>
        <w:rPr>
          <w:i/>
          <w:iCs/>
        </w:rPr>
        <w:t xml:space="preserve"> </w:t>
      </w:r>
      <w:r>
        <w:t>to a person who has not reached 18 years of age;</w:t>
      </w:r>
    </w:p>
    <w:p>
      <w:pPr>
        <w:pStyle w:val="nzIndenta"/>
      </w:pPr>
      <w:r>
        <w:tab/>
        <w:t>(c)</w:t>
      </w:r>
      <w:r>
        <w:tab/>
        <w:t>advising that proof of age may be requested from purchasers of tobacco products or smoking implements; and</w:t>
      </w:r>
    </w:p>
    <w:p>
      <w:pPr>
        <w:pStyle w:val="nzIndenta"/>
      </w:pPr>
      <w:r>
        <w:tab/>
        <w:t>(d)</w:t>
      </w:r>
      <w:r>
        <w:tab/>
        <w:t>that are in accordance with the regulations.</w:t>
      </w:r>
    </w:p>
    <w:p>
      <w:pPr>
        <w:pStyle w:val="nz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nzIndenta"/>
      </w:pPr>
      <w:r>
        <w:tab/>
        <w:t>(a)</w:t>
      </w:r>
      <w:r>
        <w:tab/>
        <w:t>on the vending machine signs about the purchase of tobacco products that are in accordance with the regulations; and</w:t>
      </w:r>
    </w:p>
    <w:p>
      <w:pPr>
        <w:pStyle w:val="nzIndenta"/>
      </w:pPr>
      <w:r>
        <w:tab/>
        <w:t>(b)</w:t>
      </w:r>
      <w:r>
        <w:tab/>
        <w:t>on the vending machine, a health warning sign that is in accordance with the regulations.</w:t>
      </w:r>
    </w:p>
    <w:p>
      <w:pPr>
        <w:pStyle w:val="nzSubsection"/>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nzSubsection"/>
      </w:pPr>
      <w:r>
        <w:tab/>
        <w:t>(4)</w:t>
      </w:r>
      <w:r>
        <w:tab/>
        <w:t xml:space="preserve">The holder of an indirect seller’s licence must ensure that customers are — </w:t>
      </w:r>
    </w:p>
    <w:p>
      <w:pPr>
        <w:pStyle w:val="nzIndenta"/>
      </w:pPr>
      <w:r>
        <w:tab/>
        <w:t>(a)</w:t>
      </w:r>
      <w:r>
        <w:tab/>
        <w:t>warned that it is illegal to sell or deliver a tobacco product or smoking implement</w:t>
      </w:r>
      <w:r>
        <w:rPr>
          <w:i/>
          <w:iCs/>
        </w:rPr>
        <w:t xml:space="preserve"> </w:t>
      </w:r>
      <w:r>
        <w:t>to a person who has not reached 18 years of age;</w:t>
      </w:r>
    </w:p>
    <w:p>
      <w:pPr>
        <w:pStyle w:val="nzIndenta"/>
      </w:pPr>
      <w:r>
        <w:tab/>
        <w:t>(b)</w:t>
      </w:r>
      <w:r>
        <w:tab/>
        <w:t>informed of the penalty for selling or delivering a tobacco product or smoking implement</w:t>
      </w:r>
      <w:r>
        <w:rPr>
          <w:i/>
          <w:iCs/>
        </w:rPr>
        <w:t xml:space="preserve"> </w:t>
      </w:r>
      <w:r>
        <w:t>to a person who has not reached 18 years of age; and</w:t>
      </w:r>
    </w:p>
    <w:p>
      <w:pPr>
        <w:pStyle w:val="nzIndenta"/>
      </w:pPr>
      <w:r>
        <w:tab/>
        <w:t>(c)</w:t>
      </w:r>
      <w:r>
        <w:tab/>
        <w:t xml:space="preserve">advised that proof of age — </w:t>
      </w:r>
    </w:p>
    <w:p>
      <w:pPr>
        <w:pStyle w:val="nzIndenti"/>
      </w:pPr>
      <w:r>
        <w:tab/>
        <w:t>(i)</w:t>
      </w:r>
      <w:r>
        <w:tab/>
        <w:t>will be requested before a tobacco product or smoking implement</w:t>
      </w:r>
      <w:r>
        <w:rPr>
          <w:i/>
          <w:iCs/>
        </w:rPr>
        <w:t xml:space="preserve"> </w:t>
      </w:r>
      <w:r>
        <w:t>is delivered; and</w:t>
      </w:r>
    </w:p>
    <w:p>
      <w:pPr>
        <w:pStyle w:val="nzIndenti"/>
      </w:pPr>
      <w:r>
        <w:tab/>
        <w:t>(ii)</w:t>
      </w:r>
      <w:r>
        <w:tab/>
        <w:t>may be requested at the time of delivery.</w:t>
      </w:r>
    </w:p>
    <w:p>
      <w:pPr>
        <w:pStyle w:val="nzPenstart"/>
      </w:pPr>
      <w:r>
        <w:tab/>
        <w:t>Penalty applicable to subsections (1), (2), (3) and (4): see section 115.</w:t>
      </w:r>
    </w:p>
    <w:p>
      <w:pPr>
        <w:pStyle w:val="nzHeading5"/>
      </w:pPr>
      <w:bookmarkStart w:id="532" w:name="_Toc104887939"/>
      <w:bookmarkStart w:id="533" w:name="_Toc112831018"/>
      <w:bookmarkStart w:id="534" w:name="_Toc132000942"/>
      <w:bookmarkStart w:id="535" w:name="_Toc133116114"/>
      <w:bookmarkStart w:id="536" w:name="_Toc133120227"/>
      <w:r>
        <w:rPr>
          <w:rStyle w:val="CharSectno"/>
        </w:rPr>
        <w:t>26</w:t>
      </w:r>
      <w:r>
        <w:t>.</w:t>
      </w:r>
      <w:r>
        <w:tab/>
        <w:t>Information and advice</w:t>
      </w:r>
      <w:bookmarkEnd w:id="532"/>
      <w:bookmarkEnd w:id="533"/>
      <w:bookmarkEnd w:id="534"/>
      <w:bookmarkEnd w:id="535"/>
      <w:bookmarkEnd w:id="536"/>
    </w:p>
    <w:p>
      <w:pPr>
        <w:pStyle w:val="nzSubsection"/>
      </w:pPr>
      <w:r>
        <w:tab/>
        <w:t>(2)</w:t>
      </w:r>
      <w:r>
        <w:tab/>
        <w:t xml:space="preserve">The holder of a retailer’s licence must, in accordance with the regulations — </w:t>
      </w:r>
    </w:p>
    <w:p>
      <w:pPr>
        <w:pStyle w:val="nzIndenta"/>
      </w:pPr>
      <w:r>
        <w:tab/>
        <w:t>(a)</w:t>
      </w:r>
      <w:r>
        <w:tab/>
        <w:t>provide a person who purchases a tobacco product from the holder with an approved guide or guides; and</w:t>
      </w:r>
    </w:p>
    <w:p>
      <w:pPr>
        <w:pStyle w:val="nzIndenta"/>
      </w:pPr>
      <w:r>
        <w:tab/>
        <w:t>(b)</w:t>
      </w:r>
      <w:r>
        <w:tab/>
        <w:t>make an approved guide or guides available to a person who purchases a tobacco product from the holder.</w:t>
      </w:r>
    </w:p>
    <w:p>
      <w:pPr>
        <w:pStyle w:val="nzSubsection"/>
      </w:pPr>
      <w:r>
        <w:tab/>
        <w:t>(3)</w:t>
      </w:r>
      <w:r>
        <w:tab/>
        <w:t>A tobacco wholesaler must, in accordance with the regulations, provide holders of retailer’s licences with approved guides.</w:t>
      </w:r>
    </w:p>
    <w:p>
      <w:pPr>
        <w:pStyle w:val="nzPenstart"/>
      </w:pPr>
      <w:r>
        <w:tab/>
        <w:t>Penalty applicable to subsections (2) and (3): see section 115.</w:t>
      </w:r>
    </w:p>
    <w:p>
      <w:pPr>
        <w:pStyle w:val="nzSubsection"/>
      </w:pPr>
      <w:r>
        <w:tab/>
        <w:t>(4)</w:t>
      </w:r>
      <w:r>
        <w:tab/>
        <w:t>Nothing in this section requires an approved guide to be provided or made available if the tobacco product is to be purchased from a vending machine.</w:t>
      </w:r>
    </w:p>
    <w:p>
      <w:pPr>
        <w:pStyle w:val="nzHeading2"/>
      </w:pPr>
      <w:bookmarkStart w:id="537" w:name="_Toc105380295"/>
      <w:bookmarkStart w:id="538" w:name="_Toc105381947"/>
      <w:bookmarkStart w:id="539" w:name="_Toc105385559"/>
      <w:bookmarkStart w:id="540" w:name="_Toc105386785"/>
      <w:bookmarkStart w:id="541" w:name="_Toc105387266"/>
      <w:bookmarkStart w:id="542" w:name="_Toc105389932"/>
      <w:bookmarkStart w:id="543" w:name="_Toc105399235"/>
      <w:bookmarkStart w:id="544" w:name="_Toc105399802"/>
      <w:bookmarkStart w:id="545" w:name="_Toc105409503"/>
      <w:bookmarkStart w:id="546" w:name="_Toc105472010"/>
      <w:bookmarkStart w:id="547" w:name="_Toc105478161"/>
      <w:bookmarkStart w:id="548" w:name="_Toc105479495"/>
      <w:bookmarkStart w:id="549" w:name="_Toc105490783"/>
      <w:bookmarkStart w:id="550" w:name="_Toc105494118"/>
      <w:bookmarkStart w:id="551" w:name="_Toc105563479"/>
      <w:bookmarkStart w:id="552" w:name="_Toc105564107"/>
      <w:bookmarkStart w:id="553" w:name="_Toc105565006"/>
      <w:bookmarkStart w:id="554" w:name="_Toc105575199"/>
      <w:bookmarkStart w:id="555" w:name="_Toc105576577"/>
      <w:bookmarkStart w:id="556" w:name="_Toc105576917"/>
      <w:bookmarkStart w:id="557" w:name="_Toc105577611"/>
      <w:bookmarkStart w:id="558" w:name="_Toc105578209"/>
      <w:bookmarkStart w:id="559" w:name="_Toc105579393"/>
      <w:bookmarkStart w:id="560" w:name="_Toc106073294"/>
      <w:bookmarkStart w:id="561" w:name="_Toc106079523"/>
      <w:bookmarkStart w:id="562" w:name="_Toc106082796"/>
      <w:bookmarkStart w:id="563" w:name="_Toc106091694"/>
      <w:bookmarkStart w:id="564" w:name="_Toc106093426"/>
      <w:bookmarkStart w:id="565" w:name="_Toc106093609"/>
      <w:bookmarkStart w:id="566" w:name="_Toc106094406"/>
      <w:bookmarkStart w:id="567" w:name="_Toc106096015"/>
      <w:bookmarkStart w:id="568" w:name="_Toc106098480"/>
      <w:bookmarkStart w:id="569" w:name="_Toc106161402"/>
      <w:bookmarkStart w:id="570" w:name="_Toc106162242"/>
      <w:bookmarkStart w:id="571" w:name="_Toc106168681"/>
      <w:bookmarkStart w:id="572" w:name="_Toc106171957"/>
      <w:bookmarkStart w:id="573" w:name="_Toc106184581"/>
      <w:bookmarkStart w:id="574" w:name="_Toc106184994"/>
      <w:bookmarkStart w:id="575" w:name="_Toc106186418"/>
      <w:bookmarkStart w:id="576" w:name="_Toc106187466"/>
      <w:bookmarkStart w:id="577" w:name="_Toc106416909"/>
      <w:bookmarkStart w:id="578" w:name="_Toc106438243"/>
      <w:bookmarkStart w:id="579" w:name="_Toc106441778"/>
      <w:bookmarkStart w:id="580" w:name="_Toc106442873"/>
      <w:bookmarkStart w:id="581" w:name="_Toc106510747"/>
      <w:bookmarkStart w:id="582" w:name="_Toc106512252"/>
      <w:bookmarkStart w:id="583" w:name="_Toc106604152"/>
      <w:bookmarkStart w:id="584" w:name="_Toc106608499"/>
      <w:bookmarkStart w:id="585" w:name="_Toc106610505"/>
      <w:bookmarkStart w:id="586" w:name="_Toc106617395"/>
      <w:bookmarkStart w:id="587" w:name="_Toc106618289"/>
      <w:bookmarkStart w:id="588" w:name="_Toc106619287"/>
      <w:bookmarkStart w:id="589" w:name="_Toc106620716"/>
      <w:bookmarkStart w:id="590" w:name="_Toc106621629"/>
      <w:bookmarkStart w:id="591" w:name="_Toc106682789"/>
      <w:bookmarkStart w:id="592" w:name="_Toc106685157"/>
      <w:bookmarkStart w:id="593" w:name="_Toc106686939"/>
      <w:bookmarkStart w:id="594" w:name="_Toc106687340"/>
      <w:bookmarkStart w:id="595" w:name="_Toc106687528"/>
      <w:bookmarkStart w:id="596" w:name="_Toc106687717"/>
      <w:bookmarkStart w:id="597" w:name="_Toc106687910"/>
      <w:bookmarkStart w:id="598" w:name="_Toc106696020"/>
      <w:bookmarkStart w:id="599" w:name="_Toc106696424"/>
      <w:bookmarkStart w:id="600" w:name="_Toc106699900"/>
      <w:bookmarkStart w:id="601" w:name="_Toc106704185"/>
      <w:bookmarkStart w:id="602" w:name="_Toc106775333"/>
      <w:bookmarkStart w:id="603" w:name="_Toc106775797"/>
      <w:bookmarkStart w:id="604" w:name="_Toc107109998"/>
      <w:bookmarkStart w:id="605" w:name="_Toc107111156"/>
      <w:bookmarkStart w:id="606" w:name="_Toc107118270"/>
      <w:bookmarkStart w:id="607" w:name="_Toc107644084"/>
      <w:bookmarkStart w:id="608" w:name="_Toc112831030"/>
      <w:bookmarkStart w:id="609" w:name="_Toc112831225"/>
      <w:bookmarkStart w:id="610" w:name="_Toc112833349"/>
      <w:bookmarkStart w:id="611" w:name="_Toc114569898"/>
      <w:bookmarkStart w:id="612" w:name="_Toc130804981"/>
      <w:bookmarkStart w:id="613" w:name="_Toc130806018"/>
      <w:bookmarkStart w:id="614" w:name="_Toc130811729"/>
      <w:bookmarkStart w:id="615" w:name="_Toc131931455"/>
      <w:bookmarkStart w:id="616" w:name="_Toc131931687"/>
      <w:bookmarkStart w:id="617" w:name="_Toc131932970"/>
      <w:bookmarkStart w:id="618" w:name="_Toc132000953"/>
      <w:bookmarkStart w:id="619" w:name="_Toc133116125"/>
      <w:bookmarkStart w:id="620" w:name="_Toc133120238"/>
      <w:r>
        <w:rPr>
          <w:rStyle w:val="CharPartNo"/>
        </w:rPr>
        <w:t>Part 4</w:t>
      </w:r>
      <w:r>
        <w:t> — </w:t>
      </w:r>
      <w:r>
        <w:rPr>
          <w:rStyle w:val="CharPartText"/>
        </w:rPr>
        <w:t>Licensing</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zHeading3"/>
      </w:pPr>
      <w:bookmarkStart w:id="621" w:name="_Toc105380296"/>
      <w:bookmarkStart w:id="622" w:name="_Toc105381948"/>
      <w:bookmarkStart w:id="623" w:name="_Toc105385560"/>
      <w:bookmarkStart w:id="624" w:name="_Toc105386786"/>
      <w:bookmarkStart w:id="625" w:name="_Toc105387267"/>
      <w:bookmarkStart w:id="626" w:name="_Toc105389933"/>
      <w:bookmarkStart w:id="627" w:name="_Toc105399236"/>
      <w:bookmarkStart w:id="628" w:name="_Toc105399803"/>
      <w:bookmarkStart w:id="629" w:name="_Toc105409504"/>
      <w:bookmarkStart w:id="630" w:name="_Toc105472011"/>
      <w:bookmarkStart w:id="631" w:name="_Toc105478162"/>
      <w:bookmarkStart w:id="632" w:name="_Toc105479496"/>
      <w:bookmarkStart w:id="633" w:name="_Toc105490784"/>
      <w:bookmarkStart w:id="634" w:name="_Toc105494119"/>
      <w:bookmarkStart w:id="635" w:name="_Toc105563480"/>
      <w:bookmarkStart w:id="636" w:name="_Toc105564108"/>
      <w:bookmarkStart w:id="637" w:name="_Toc105565007"/>
      <w:bookmarkStart w:id="638" w:name="_Toc105575200"/>
      <w:bookmarkStart w:id="639" w:name="_Toc105576578"/>
      <w:bookmarkStart w:id="640" w:name="_Toc105576918"/>
      <w:bookmarkStart w:id="641" w:name="_Toc105577612"/>
      <w:bookmarkStart w:id="642" w:name="_Toc105578210"/>
      <w:bookmarkStart w:id="643" w:name="_Toc105579394"/>
      <w:bookmarkStart w:id="644" w:name="_Toc106073295"/>
      <w:bookmarkStart w:id="645" w:name="_Toc106079524"/>
      <w:bookmarkStart w:id="646" w:name="_Toc106082797"/>
      <w:bookmarkStart w:id="647" w:name="_Toc106091695"/>
      <w:bookmarkStart w:id="648" w:name="_Toc106093427"/>
      <w:bookmarkStart w:id="649" w:name="_Toc106093610"/>
      <w:bookmarkStart w:id="650" w:name="_Toc106094407"/>
      <w:bookmarkStart w:id="651" w:name="_Toc106096016"/>
      <w:bookmarkStart w:id="652" w:name="_Toc106098481"/>
      <w:bookmarkStart w:id="653" w:name="_Toc106161403"/>
      <w:bookmarkStart w:id="654" w:name="_Toc106162243"/>
      <w:bookmarkStart w:id="655" w:name="_Toc106168682"/>
      <w:bookmarkStart w:id="656" w:name="_Toc106171958"/>
      <w:bookmarkStart w:id="657" w:name="_Toc106184582"/>
      <w:bookmarkStart w:id="658" w:name="_Toc106184995"/>
      <w:bookmarkStart w:id="659" w:name="_Toc106186419"/>
      <w:bookmarkStart w:id="660" w:name="_Toc106187467"/>
      <w:bookmarkStart w:id="661" w:name="_Toc106416910"/>
      <w:bookmarkStart w:id="662" w:name="_Toc106438244"/>
      <w:bookmarkStart w:id="663" w:name="_Toc106441779"/>
      <w:bookmarkStart w:id="664" w:name="_Toc106442874"/>
      <w:bookmarkStart w:id="665" w:name="_Toc106510748"/>
      <w:bookmarkStart w:id="666" w:name="_Toc106512253"/>
      <w:bookmarkStart w:id="667" w:name="_Toc106604153"/>
      <w:bookmarkStart w:id="668" w:name="_Toc106608500"/>
      <w:bookmarkStart w:id="669" w:name="_Toc106610506"/>
      <w:bookmarkStart w:id="670" w:name="_Toc106617396"/>
      <w:bookmarkStart w:id="671" w:name="_Toc106618290"/>
      <w:bookmarkStart w:id="672" w:name="_Toc106619288"/>
      <w:bookmarkStart w:id="673" w:name="_Toc106620717"/>
      <w:bookmarkStart w:id="674" w:name="_Toc106621630"/>
      <w:bookmarkStart w:id="675" w:name="_Toc106682790"/>
      <w:bookmarkStart w:id="676" w:name="_Toc106685158"/>
      <w:bookmarkStart w:id="677" w:name="_Toc106686940"/>
      <w:bookmarkStart w:id="678" w:name="_Toc106687341"/>
      <w:bookmarkStart w:id="679" w:name="_Toc106687529"/>
      <w:bookmarkStart w:id="680" w:name="_Toc106687718"/>
      <w:bookmarkStart w:id="681" w:name="_Toc106687911"/>
      <w:bookmarkStart w:id="682" w:name="_Toc106696021"/>
      <w:bookmarkStart w:id="683" w:name="_Toc106696425"/>
      <w:bookmarkStart w:id="684" w:name="_Toc106699901"/>
      <w:bookmarkStart w:id="685" w:name="_Toc106704186"/>
      <w:bookmarkStart w:id="686" w:name="_Toc106775334"/>
      <w:bookmarkStart w:id="687" w:name="_Toc106775798"/>
      <w:bookmarkStart w:id="688" w:name="_Toc107109999"/>
      <w:bookmarkStart w:id="689" w:name="_Toc107111157"/>
      <w:bookmarkStart w:id="690" w:name="_Toc107118271"/>
      <w:bookmarkStart w:id="691" w:name="_Toc107644085"/>
      <w:bookmarkStart w:id="692" w:name="_Toc112831031"/>
      <w:bookmarkStart w:id="693" w:name="_Toc112831226"/>
      <w:bookmarkStart w:id="694" w:name="_Toc112833350"/>
      <w:bookmarkStart w:id="695" w:name="_Toc114569899"/>
      <w:bookmarkStart w:id="696" w:name="_Toc130804982"/>
      <w:bookmarkStart w:id="697" w:name="_Toc130806019"/>
      <w:bookmarkStart w:id="698" w:name="_Toc130811730"/>
      <w:bookmarkStart w:id="699" w:name="_Toc131931456"/>
      <w:bookmarkStart w:id="700" w:name="_Toc131931688"/>
      <w:bookmarkStart w:id="701" w:name="_Toc131932971"/>
      <w:bookmarkStart w:id="702" w:name="_Toc132000954"/>
      <w:bookmarkStart w:id="703" w:name="_Toc133116126"/>
      <w:bookmarkStart w:id="704" w:name="_Toc133120239"/>
      <w:r>
        <w:rPr>
          <w:rStyle w:val="CharDivNo"/>
        </w:rPr>
        <w:t>Division 1</w:t>
      </w:r>
      <w:r>
        <w:t> — </w:t>
      </w:r>
      <w:r>
        <w:rPr>
          <w:rStyle w:val="CharDivText"/>
        </w:rPr>
        <w:t>Licensing procedures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nzHeading5"/>
      </w:pPr>
      <w:bookmarkStart w:id="705" w:name="_Toc104887955"/>
      <w:bookmarkStart w:id="706" w:name="_Toc112831032"/>
      <w:bookmarkStart w:id="707" w:name="_Toc132000955"/>
      <w:bookmarkStart w:id="708" w:name="_Toc133116127"/>
      <w:bookmarkStart w:id="709" w:name="_Toc133120240"/>
      <w:r>
        <w:rPr>
          <w:rStyle w:val="CharSectno"/>
        </w:rPr>
        <w:t>36</w:t>
      </w:r>
      <w:r>
        <w:t>.</w:t>
      </w:r>
      <w:r>
        <w:tab/>
        <w:t>Individuals and bodies corporate may be licensed</w:t>
      </w:r>
      <w:bookmarkEnd w:id="705"/>
      <w:bookmarkEnd w:id="706"/>
      <w:bookmarkEnd w:id="707"/>
      <w:bookmarkEnd w:id="708"/>
      <w:bookmarkEnd w:id="709"/>
    </w:p>
    <w:p>
      <w:pPr>
        <w:pStyle w:val="nzSubsection"/>
      </w:pPr>
      <w:r>
        <w:tab/>
        <w:t>(1)</w:t>
      </w:r>
      <w:r>
        <w:tab/>
        <w:t xml:space="preserve">The CEO may issue one or more licences to an individual or a body corporate to sell tobacco products — </w:t>
      </w:r>
    </w:p>
    <w:p>
      <w:pPr>
        <w:pStyle w:val="nzIndenta"/>
      </w:pPr>
      <w:r>
        <w:tab/>
        <w:t>(a)</w:t>
      </w:r>
      <w:r>
        <w:tab/>
        <w:t>by way of retail sale;</w:t>
      </w:r>
    </w:p>
    <w:p>
      <w:pPr>
        <w:pStyle w:val="nzIndenta"/>
      </w:pPr>
      <w:r>
        <w:tab/>
        <w:t>(b)</w:t>
      </w:r>
      <w:r>
        <w:tab/>
        <w:t>by way of wholesale sale;</w:t>
      </w:r>
    </w:p>
    <w:p>
      <w:pPr>
        <w:pStyle w:val="nzIndenta"/>
      </w:pPr>
      <w:r>
        <w:tab/>
        <w:t>(c)</w:t>
      </w:r>
      <w:r>
        <w:tab/>
        <w:t>by way of indirect sale.</w:t>
      </w:r>
    </w:p>
    <w:p>
      <w:pPr>
        <w:pStyle w:val="nzSubsection"/>
      </w:pPr>
      <w:r>
        <w:tab/>
        <w:t>(2)</w:t>
      </w:r>
      <w:r>
        <w:tab/>
        <w:t>However, no more than one of each type of licence mentioned in subsection (1) is to be issued to a particular person in respect of the same premises.</w:t>
      </w:r>
    </w:p>
    <w:p>
      <w:pPr>
        <w:pStyle w:val="nzSubsection"/>
      </w:pPr>
      <w:r>
        <w:tab/>
        <w:t>(3)</w:t>
      </w:r>
      <w:r>
        <w:tab/>
        <w:t xml:space="preserve">A licence — </w:t>
      </w:r>
    </w:p>
    <w:p>
      <w:pPr>
        <w:pStyle w:val="nzIndenta"/>
      </w:pPr>
      <w:r>
        <w:tab/>
        <w:t>(a)</w:t>
      </w:r>
      <w:r>
        <w:tab/>
        <w:t>is to be in an approved form;</w:t>
      </w:r>
    </w:p>
    <w:p>
      <w:pPr>
        <w:pStyle w:val="nzIndenta"/>
      </w:pPr>
      <w:r>
        <w:tab/>
        <w:t>(b)</w:t>
      </w:r>
      <w:r>
        <w:tab/>
        <w:t>is to specify the premises to which it applies;</w:t>
      </w:r>
    </w:p>
    <w:p>
      <w:pPr>
        <w:pStyle w:val="nzIndenta"/>
      </w:pPr>
      <w:r>
        <w:tab/>
        <w:t>(c)</w:t>
      </w:r>
      <w:r>
        <w:tab/>
        <w:t xml:space="preserve">is to have an identifying number; and </w:t>
      </w:r>
    </w:p>
    <w:p>
      <w:pPr>
        <w:pStyle w:val="nzIndenta"/>
      </w:pPr>
      <w:r>
        <w:tab/>
        <w:t>(d)</w:t>
      </w:r>
      <w:r>
        <w:tab/>
        <w:t>may be issued in combination with other licences.</w:t>
      </w:r>
    </w:p>
    <w:p>
      <w:pPr>
        <w:pStyle w:val="nzHeading5"/>
      </w:pPr>
      <w:bookmarkStart w:id="710" w:name="_Toc104887956"/>
      <w:bookmarkStart w:id="711" w:name="_Toc112831033"/>
      <w:bookmarkStart w:id="712" w:name="_Toc132000956"/>
      <w:bookmarkStart w:id="713" w:name="_Toc133116128"/>
      <w:bookmarkStart w:id="714" w:name="_Toc133120241"/>
      <w:r>
        <w:rPr>
          <w:rStyle w:val="CharSectno"/>
        </w:rPr>
        <w:t>37</w:t>
      </w:r>
      <w:r>
        <w:t>.</w:t>
      </w:r>
      <w:r>
        <w:tab/>
        <w:t>Application for licence</w:t>
      </w:r>
      <w:bookmarkEnd w:id="710"/>
      <w:bookmarkEnd w:id="711"/>
      <w:bookmarkEnd w:id="712"/>
      <w:bookmarkEnd w:id="713"/>
      <w:bookmarkEnd w:id="714"/>
      <w:r>
        <w:t xml:space="preserve"> </w:t>
      </w:r>
    </w:p>
    <w:p>
      <w:pPr>
        <w:pStyle w:val="nzSubsection"/>
      </w:pPr>
      <w:r>
        <w:tab/>
        <w:t>(1)</w:t>
      </w:r>
      <w:r>
        <w:tab/>
        <w:t xml:space="preserve">An application for the issue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proof of the applicant’s identity including, in the case of a body corporate, proof of incorporation;</w:t>
      </w:r>
    </w:p>
    <w:p>
      <w:pPr>
        <w:pStyle w:val="nzIndenti"/>
      </w:pPr>
      <w:r>
        <w:tab/>
        <w:t>(ii)</w:t>
      </w:r>
      <w:r>
        <w:tab/>
        <w:t>other evidence of a nature or in a form that is prescribed; and</w:t>
      </w:r>
    </w:p>
    <w:p>
      <w:pPr>
        <w:pStyle w:val="nzIndenti"/>
      </w:pPr>
      <w:r>
        <w:tab/>
        <w:t>(iii)</w:t>
      </w:r>
      <w:r>
        <w:tab/>
        <w:t>the prescribed application fee and the prescribed licence fee.</w:t>
      </w:r>
    </w:p>
    <w:p>
      <w:pPr>
        <w:pStyle w:val="nzSubsection"/>
      </w:pPr>
      <w:r>
        <w:tab/>
        <w:t>(2)</w:t>
      </w:r>
      <w:r>
        <w:tab/>
        <w:t>The applicant must also provide any other information that the CEO requires for the proper consideration of a particular application.</w:t>
      </w:r>
    </w:p>
    <w:p>
      <w:pPr>
        <w:pStyle w:val="nzHeading5"/>
      </w:pPr>
      <w:bookmarkStart w:id="715" w:name="_Toc104887957"/>
      <w:bookmarkStart w:id="716" w:name="_Toc112831034"/>
      <w:bookmarkStart w:id="717" w:name="_Toc132000957"/>
      <w:bookmarkStart w:id="718" w:name="_Toc133116129"/>
      <w:bookmarkStart w:id="719" w:name="_Toc133120242"/>
      <w:r>
        <w:rPr>
          <w:rStyle w:val="CharSectno"/>
        </w:rPr>
        <w:t>38</w:t>
      </w:r>
      <w:r>
        <w:t>.</w:t>
      </w:r>
      <w:r>
        <w:tab/>
        <w:t>How and when to apply for renewal</w:t>
      </w:r>
      <w:bookmarkEnd w:id="715"/>
      <w:bookmarkEnd w:id="716"/>
      <w:bookmarkEnd w:id="717"/>
      <w:bookmarkEnd w:id="718"/>
      <w:bookmarkEnd w:id="719"/>
      <w:r>
        <w:t xml:space="preserve"> </w:t>
      </w:r>
    </w:p>
    <w:p>
      <w:pPr>
        <w:pStyle w:val="nzSubsection"/>
      </w:pPr>
      <w:r>
        <w:tab/>
        <w:t>(1)</w:t>
      </w:r>
      <w:r>
        <w:tab/>
        <w:t xml:space="preserve">An application for the renewal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other evidence of a nature or in a form that is prescribed; and</w:t>
      </w:r>
    </w:p>
    <w:p>
      <w:pPr>
        <w:pStyle w:val="nzIndenti"/>
      </w:pPr>
      <w:r>
        <w:tab/>
        <w:t>(ii)</w:t>
      </w:r>
      <w:r>
        <w:tab/>
        <w:t>the prescribed licence fee.</w:t>
      </w:r>
    </w:p>
    <w:p>
      <w:pPr>
        <w:pStyle w:val="nzSubsection"/>
      </w:pPr>
      <w:r>
        <w:tab/>
        <w:t>(2)</w:t>
      </w:r>
      <w:r>
        <w:tab/>
        <w:t>The applicant must also provide any other information that the CEO requires for the proper consideration of a particular application.</w:t>
      </w:r>
    </w:p>
    <w:p>
      <w:pPr>
        <w:pStyle w:val="nzSubsection"/>
      </w:pPr>
      <w:r>
        <w:tab/>
        <w:t>(3)</w:t>
      </w:r>
      <w:r>
        <w:tab/>
        <w:t>An application for the renewal of a licence is to be made no later than 28 days before the day on which the licence is due to expire or at such later time as the CEO allows having regard to section 40(2).</w:t>
      </w:r>
    </w:p>
    <w:p>
      <w:pPr>
        <w:pStyle w:val="nzHeading5"/>
      </w:pPr>
      <w:bookmarkStart w:id="720" w:name="_Toc104887958"/>
      <w:bookmarkStart w:id="721" w:name="_Toc112831035"/>
      <w:bookmarkStart w:id="722" w:name="_Toc132000958"/>
      <w:bookmarkStart w:id="723" w:name="_Toc133116130"/>
      <w:bookmarkStart w:id="724" w:name="_Toc133120243"/>
      <w:r>
        <w:rPr>
          <w:rStyle w:val="CharSectno"/>
        </w:rPr>
        <w:t>39</w:t>
      </w:r>
      <w:r>
        <w:t>.</w:t>
      </w:r>
      <w:r>
        <w:tab/>
        <w:t>Issue, renewal, of licences</w:t>
      </w:r>
      <w:bookmarkEnd w:id="720"/>
      <w:bookmarkEnd w:id="721"/>
      <w:bookmarkEnd w:id="722"/>
      <w:bookmarkEnd w:id="723"/>
      <w:bookmarkEnd w:id="724"/>
    </w:p>
    <w:p>
      <w:pPr>
        <w:pStyle w:val="nzSubsection"/>
      </w:pPr>
      <w:r>
        <w:tab/>
        <w:t>(1)</w:t>
      </w:r>
      <w:r>
        <w:tab/>
        <w:t>The CEO is not to issue a licence if the applicant has not reached 18 years of age.</w:t>
      </w:r>
    </w:p>
    <w:p>
      <w:pPr>
        <w:pStyle w:val="nz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nzSubsection"/>
      </w:pPr>
      <w:r>
        <w:tab/>
        <w:t>(3)</w:t>
      </w:r>
      <w:r>
        <w:tab/>
        <w:t xml:space="preserve">To determine the suitability of an applicant to be issued with a licence the CEO is to have regard to whether — </w:t>
      </w:r>
    </w:p>
    <w:p>
      <w:pPr>
        <w:pStyle w:val="nzIndenta"/>
      </w:pPr>
      <w:r>
        <w:tab/>
        <w:t>(a)</w:t>
      </w:r>
      <w:r>
        <w:tab/>
        <w:t>the applicant has been refused, or disqualified from holding, a licence under this Act or a corresponding law;</w:t>
      </w:r>
    </w:p>
    <w:p>
      <w:pPr>
        <w:pStyle w:val="nzIndenta"/>
      </w:pPr>
      <w:r>
        <w:tab/>
        <w:t>(b)</w:t>
      </w:r>
      <w:r>
        <w:tab/>
        <w:t>the applicant is the holder of a licence, under this Act or a corresponding law, that is suspended;</w:t>
      </w:r>
    </w:p>
    <w:p>
      <w:pPr>
        <w:pStyle w:val="nzIndenta"/>
      </w:pPr>
      <w:r>
        <w:tab/>
        <w:t>(c)</w:t>
      </w:r>
      <w:r>
        <w:tab/>
        <w:t>the applicant has, at any time, been convicted of an offence under this Act, a corresponding law, or any legislation repealed by this Act;</w:t>
      </w:r>
    </w:p>
    <w:p>
      <w:pPr>
        <w:pStyle w:val="nzIndenta"/>
      </w:pPr>
      <w:r>
        <w:tab/>
        <w:t>(d)</w:t>
      </w:r>
      <w:r>
        <w:tab/>
        <w:t>the applicant has, in the 10 years before the application is made, been convicted anywhere in the world of an offence involving fraud or dishonesty;</w:t>
      </w:r>
    </w:p>
    <w:p>
      <w:pPr>
        <w:pStyle w:val="nzIndenta"/>
      </w:pPr>
      <w:r>
        <w:tab/>
        <w:t>(e)</w:t>
      </w:r>
      <w:r>
        <w:tab/>
        <w:t>the applicant is the subject of a pending charge anywhere in the world for an offence involving fraud or dishonesty;</w:t>
      </w:r>
    </w:p>
    <w:p>
      <w:pPr>
        <w:pStyle w:val="nzIndenta"/>
      </w:pPr>
      <w:r>
        <w:tab/>
        <w:t>(f)</w:t>
      </w:r>
      <w:r>
        <w:tab/>
        <w:t>the applicant is likely to carry on the activities of a licence holder honestly and fairly;</w:t>
      </w:r>
    </w:p>
    <w:p>
      <w:pPr>
        <w:pStyle w:val="nzIndenta"/>
      </w:pPr>
      <w:r>
        <w:tab/>
        <w:t>(g)</w:t>
      </w:r>
      <w:r>
        <w:tab/>
        <w:t>the applicant is a fit and proper person to hold a licence; and</w:t>
      </w:r>
    </w:p>
    <w:p>
      <w:pPr>
        <w:pStyle w:val="nzIndenta"/>
      </w:pPr>
      <w:r>
        <w:tab/>
        <w:t>(h)</w:t>
      </w:r>
      <w:r>
        <w:tab/>
        <w:t>there is any other good reason for not issuing or renewing the licence.</w:t>
      </w:r>
    </w:p>
    <w:p>
      <w:pPr>
        <w:pStyle w:val="nzSubsection"/>
      </w:pPr>
      <w:r>
        <w:tab/>
        <w:t>(4)</w:t>
      </w:r>
      <w:r>
        <w:tab/>
        <w:t>The CEO is not to renew a licence if in the CEO’s opinion there are sufficient grounds to make an allegation under section 47.</w:t>
      </w:r>
    </w:p>
    <w:p>
      <w:pPr>
        <w:pStyle w:val="nz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nzIndenta"/>
      </w:pPr>
      <w:r>
        <w:tab/>
        <w:t>(a)</w:t>
      </w:r>
      <w:r>
        <w:tab/>
        <w:t>the body corporate;</w:t>
      </w:r>
    </w:p>
    <w:p>
      <w:pPr>
        <w:pStyle w:val="nzIndenta"/>
      </w:pPr>
      <w:r>
        <w:tab/>
        <w:t>(b)</w:t>
      </w:r>
      <w:r>
        <w:tab/>
        <w:t>the officers of the body corporate.</w:t>
      </w:r>
    </w:p>
    <w:p>
      <w:pPr>
        <w:pStyle w:val="nzSubsection"/>
      </w:pPr>
      <w:r>
        <w:tab/>
        <w:t>(6)</w:t>
      </w:r>
      <w:r>
        <w:tab/>
        <w:t>The licence fee is to be refunded if an application for the issue or renewal of a licence is refused.</w:t>
      </w:r>
    </w:p>
    <w:p>
      <w:pPr>
        <w:pStyle w:val="nzHeading5"/>
      </w:pPr>
      <w:bookmarkStart w:id="725" w:name="_Toc104887959"/>
      <w:bookmarkStart w:id="726" w:name="_Toc112831036"/>
      <w:bookmarkStart w:id="727" w:name="_Toc132000959"/>
      <w:bookmarkStart w:id="728" w:name="_Toc133116131"/>
      <w:bookmarkStart w:id="729" w:name="_Toc133120244"/>
      <w:r>
        <w:rPr>
          <w:rStyle w:val="CharSectno"/>
        </w:rPr>
        <w:t>40</w:t>
      </w:r>
      <w:r>
        <w:t>.</w:t>
      </w:r>
      <w:r>
        <w:tab/>
        <w:t>Notice of decisions</w:t>
      </w:r>
      <w:bookmarkEnd w:id="725"/>
      <w:bookmarkEnd w:id="726"/>
      <w:bookmarkEnd w:id="727"/>
      <w:bookmarkEnd w:id="728"/>
      <w:bookmarkEnd w:id="729"/>
      <w:r>
        <w:t xml:space="preserve"> </w:t>
      </w:r>
    </w:p>
    <w:p>
      <w:pPr>
        <w:pStyle w:val="nzSubsection"/>
      </w:pPr>
      <w:r>
        <w:tab/>
        <w:t>(1)</w:t>
      </w:r>
      <w:r>
        <w:tab/>
        <w:t>If the CEO refuses to issue a licence, or amend a licence under section 44</w:t>
      </w:r>
      <w:r>
        <w:rPr>
          <w:i/>
          <w:iCs/>
        </w:rPr>
        <w:t xml:space="preserve"> </w:t>
      </w:r>
      <w:r>
        <w:t>the CEO, no later than 28 days after the decision is made, is to give written notice to the applicant setting out the decision and the reasons for the decision.</w:t>
      </w:r>
    </w:p>
    <w:p>
      <w:pPr>
        <w:pStyle w:val="nz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nzSubsection"/>
      </w:pPr>
      <w:r>
        <w:tab/>
        <w:t>(3)</w:t>
      </w:r>
      <w:r>
        <w:tab/>
        <w:t>A notice under this section is also to inform the applicant of the right to apply to the State Administrative Tribunal for a review of the decision.</w:t>
      </w:r>
    </w:p>
    <w:p>
      <w:pPr>
        <w:pStyle w:val="nzHeading5"/>
      </w:pPr>
      <w:bookmarkStart w:id="730" w:name="_Toc104887960"/>
      <w:bookmarkStart w:id="731" w:name="_Toc112831037"/>
      <w:bookmarkStart w:id="732" w:name="_Toc132000960"/>
      <w:bookmarkStart w:id="733" w:name="_Toc133116132"/>
      <w:bookmarkStart w:id="734" w:name="_Toc133120245"/>
      <w:r>
        <w:rPr>
          <w:rStyle w:val="CharSectno"/>
        </w:rPr>
        <w:t>41</w:t>
      </w:r>
      <w:r>
        <w:t>.</w:t>
      </w:r>
      <w:r>
        <w:tab/>
        <w:t>Conditions and restrictions of general application</w:t>
      </w:r>
      <w:bookmarkEnd w:id="730"/>
      <w:bookmarkEnd w:id="731"/>
      <w:bookmarkEnd w:id="732"/>
      <w:bookmarkEnd w:id="733"/>
      <w:bookmarkEnd w:id="734"/>
    </w:p>
    <w:p>
      <w:pPr>
        <w:pStyle w:val="nzSubsection"/>
      </w:pPr>
      <w:r>
        <w:tab/>
        <w:t>(1)</w:t>
      </w:r>
      <w:r>
        <w:tab/>
        <w:t>It is a condition of every licence that the holder of the licence does not authorise or allow the sale of tobacco products at premises other than the premises specified in the licence.</w:t>
      </w:r>
    </w:p>
    <w:p>
      <w:pPr>
        <w:pStyle w:val="nzSubsection"/>
      </w:pPr>
      <w:r>
        <w:tab/>
        <w:t>(2)</w:t>
      </w:r>
      <w:r>
        <w:tab/>
        <w:t xml:space="preserve">Regulations may prescribe conditions and restrictions that are to be taken to be attached to — </w:t>
      </w:r>
    </w:p>
    <w:p>
      <w:pPr>
        <w:pStyle w:val="nzIndenta"/>
      </w:pPr>
      <w:r>
        <w:tab/>
        <w:t>(a)</w:t>
      </w:r>
      <w:r>
        <w:tab/>
        <w:t>all licences; or</w:t>
      </w:r>
    </w:p>
    <w:p>
      <w:pPr>
        <w:pStyle w:val="nzIndenta"/>
      </w:pPr>
      <w:r>
        <w:tab/>
        <w:t>(b)</w:t>
      </w:r>
      <w:r>
        <w:tab/>
        <w:t>all licences of a particular type,</w:t>
      </w:r>
    </w:p>
    <w:p>
      <w:pPr>
        <w:pStyle w:val="nzSubsection"/>
      </w:pPr>
      <w:r>
        <w:tab/>
      </w:r>
      <w:r>
        <w:tab/>
        <w:t>unless otherwise provided by the licence.</w:t>
      </w:r>
    </w:p>
    <w:p>
      <w:pPr>
        <w:pStyle w:val="nzSubsection"/>
      </w:pPr>
      <w:r>
        <w:tab/>
        <w:t>(3)</w:t>
      </w:r>
      <w:r>
        <w:tab/>
        <w:t>The conditions imposed under subsection (2) may include conditions requiring licence holders to provide staff training about the requirements of this Act.</w:t>
      </w:r>
    </w:p>
    <w:p>
      <w:pPr>
        <w:pStyle w:val="nzHeading5"/>
      </w:pPr>
      <w:bookmarkStart w:id="735" w:name="_Toc104887961"/>
      <w:bookmarkStart w:id="736" w:name="_Toc112831038"/>
      <w:bookmarkStart w:id="737" w:name="_Toc132000961"/>
      <w:bookmarkStart w:id="738" w:name="_Toc133116133"/>
      <w:bookmarkStart w:id="739" w:name="_Toc133120246"/>
      <w:r>
        <w:rPr>
          <w:rStyle w:val="CharSectno"/>
        </w:rPr>
        <w:t>42</w:t>
      </w:r>
      <w:r>
        <w:t>.</w:t>
      </w:r>
      <w:r>
        <w:tab/>
        <w:t>Conditions and restrictions of particular application</w:t>
      </w:r>
      <w:bookmarkEnd w:id="735"/>
      <w:bookmarkEnd w:id="736"/>
      <w:bookmarkEnd w:id="737"/>
      <w:bookmarkEnd w:id="738"/>
      <w:bookmarkEnd w:id="739"/>
    </w:p>
    <w:p>
      <w:pPr>
        <w:pStyle w:val="nzSubsection"/>
      </w:pPr>
      <w:r>
        <w:tab/>
        <w:t>(1)</w:t>
      </w:r>
      <w:r>
        <w:tab/>
        <w:t>The CEO may issue or renew a licence subject to conditions and restrictions set out in, or provided with, the licence.</w:t>
      </w:r>
    </w:p>
    <w:p>
      <w:pPr>
        <w:pStyle w:val="nzSubsection"/>
      </w:pPr>
      <w:r>
        <w:tab/>
        <w:t>(2)</w:t>
      </w:r>
      <w:r>
        <w:tab/>
        <w:t xml:space="preserve">The CEO may decide to make an existing licence subject to a new condition or restriction or to change or remove a condition or restriction to which an existing licence is subject, but in that case — </w:t>
      </w:r>
    </w:p>
    <w:p>
      <w:pPr>
        <w:pStyle w:val="nz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nzIndenta"/>
      </w:pPr>
      <w:r>
        <w:tab/>
        <w:t>(b)</w:t>
      </w:r>
      <w:r>
        <w:tab/>
        <w:t>the CEO is to have regard to the submissions, if any, of the holder of the licence in relation to the proposal.</w:t>
      </w:r>
    </w:p>
    <w:p>
      <w:pPr>
        <w:pStyle w:val="nzSubsection"/>
      </w:pPr>
      <w:r>
        <w:tab/>
        <w:t>(3)</w:t>
      </w:r>
      <w:r>
        <w:tab/>
        <w:t xml:space="preserve">A decision under subsection (2) takes effect 28 days after it is made, or at such later time as is set out in the notice unless — </w:t>
      </w:r>
    </w:p>
    <w:p>
      <w:pPr>
        <w:pStyle w:val="nzIndenta"/>
      </w:pPr>
      <w:r>
        <w:tab/>
        <w:t>(a)</w:t>
      </w:r>
      <w:r>
        <w:tab/>
        <w:t>the CEO revokes the decision before that time; or</w:t>
      </w:r>
    </w:p>
    <w:p>
      <w:pPr>
        <w:pStyle w:val="nzIndenta"/>
      </w:pPr>
      <w:r>
        <w:tab/>
        <w:t>(b)</w:t>
      </w:r>
      <w:r>
        <w:tab/>
        <w:t>the holder of the licence applies to the State Administrative Tribunal for a review of the decision.</w:t>
      </w:r>
    </w:p>
    <w:p>
      <w:pPr>
        <w:pStyle w:val="nzSubsection"/>
      </w:pPr>
      <w:r>
        <w:tab/>
        <w:t>(4)</w:t>
      </w:r>
      <w:r>
        <w:tab/>
        <w:t>Subsection (2) does not apply to conditions and restrictions mentioned in section 41.</w:t>
      </w:r>
    </w:p>
    <w:p>
      <w:pPr>
        <w:pStyle w:val="nz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nzHeading5"/>
      </w:pPr>
      <w:bookmarkStart w:id="740" w:name="_Toc104887962"/>
      <w:bookmarkStart w:id="741" w:name="_Toc112831039"/>
      <w:bookmarkStart w:id="742" w:name="_Toc132000962"/>
      <w:bookmarkStart w:id="743" w:name="_Toc133116134"/>
      <w:bookmarkStart w:id="744" w:name="_Toc133120247"/>
      <w:r>
        <w:rPr>
          <w:rStyle w:val="CharSectno"/>
        </w:rPr>
        <w:t>43</w:t>
      </w:r>
      <w:r>
        <w:t>.</w:t>
      </w:r>
      <w:r>
        <w:tab/>
        <w:t>Term of licence</w:t>
      </w:r>
      <w:bookmarkEnd w:id="740"/>
      <w:bookmarkEnd w:id="741"/>
      <w:bookmarkEnd w:id="742"/>
      <w:bookmarkEnd w:id="743"/>
      <w:bookmarkEnd w:id="744"/>
    </w:p>
    <w:p>
      <w:pPr>
        <w:pStyle w:val="nzSubsection"/>
      </w:pPr>
      <w:r>
        <w:tab/>
      </w:r>
      <w:r>
        <w:tab/>
        <w:t>A licence is to have effect for 12 months from the day of issue and may be renewed for consecutive periods of 12 months.</w:t>
      </w:r>
    </w:p>
    <w:p>
      <w:pPr>
        <w:pStyle w:val="nzHeading5"/>
      </w:pPr>
      <w:bookmarkStart w:id="745" w:name="_Toc104023860"/>
      <w:bookmarkStart w:id="746" w:name="_Toc104887963"/>
      <w:bookmarkStart w:id="747" w:name="_Toc112831040"/>
      <w:bookmarkStart w:id="748" w:name="_Toc132000963"/>
      <w:bookmarkStart w:id="749" w:name="_Toc133116135"/>
      <w:bookmarkStart w:id="750" w:name="_Toc133120248"/>
      <w:r>
        <w:rPr>
          <w:rStyle w:val="CharSectno"/>
        </w:rPr>
        <w:t>44</w:t>
      </w:r>
      <w:r>
        <w:t>.</w:t>
      </w:r>
      <w:r>
        <w:tab/>
        <w:t>Amendment of licence to apply to different</w:t>
      </w:r>
      <w:bookmarkEnd w:id="745"/>
      <w:r>
        <w:t xml:space="preserve"> premises</w:t>
      </w:r>
      <w:bookmarkEnd w:id="746"/>
      <w:bookmarkEnd w:id="747"/>
      <w:bookmarkEnd w:id="748"/>
      <w:bookmarkEnd w:id="749"/>
      <w:bookmarkEnd w:id="750"/>
    </w:p>
    <w:p>
      <w:pPr>
        <w:pStyle w:val="nzSubsection"/>
      </w:pPr>
      <w:r>
        <w:tab/>
        <w:t>(1)</w:t>
      </w:r>
      <w:r>
        <w:tab/>
        <w:t xml:space="preserve">A licence — </w:t>
      </w:r>
    </w:p>
    <w:p>
      <w:pPr>
        <w:pStyle w:val="nzIndenta"/>
      </w:pPr>
      <w:r>
        <w:tab/>
        <w:t>(a)</w:t>
      </w:r>
      <w:r>
        <w:tab/>
        <w:t>cannot be transferred to another person; but</w:t>
      </w:r>
    </w:p>
    <w:p>
      <w:pPr>
        <w:pStyle w:val="nzIndenta"/>
      </w:pPr>
      <w:r>
        <w:tab/>
        <w:t>(b)</w:t>
      </w:r>
      <w:r>
        <w:tab/>
        <w:t>can be amended by the CEO so as to apply to different premises.</w:t>
      </w:r>
    </w:p>
    <w:p>
      <w:pPr>
        <w:pStyle w:val="nzSubsection"/>
      </w:pPr>
      <w:r>
        <w:tab/>
        <w:t>(2)</w:t>
      </w:r>
      <w:r>
        <w:tab/>
        <w:t xml:space="preserve">An application for the amendment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other evidence of a nature or in a form that is prescribed; and</w:t>
      </w:r>
    </w:p>
    <w:p>
      <w:pPr>
        <w:pStyle w:val="nzIndenti"/>
      </w:pPr>
      <w:r>
        <w:tab/>
        <w:t>(ii)</w:t>
      </w:r>
      <w:r>
        <w:tab/>
        <w:t>the prescribed application fee.</w:t>
      </w:r>
    </w:p>
    <w:p>
      <w:pPr>
        <w:pStyle w:val="nzSubsection"/>
      </w:pPr>
      <w:r>
        <w:tab/>
        <w:t>(3)</w:t>
      </w:r>
      <w:r>
        <w:tab/>
        <w:t>The applicant must also provide any other information that the CEO requires for the proper consideration of a particular application.</w:t>
      </w:r>
    </w:p>
    <w:p>
      <w:pPr>
        <w:pStyle w:val="nzSubsection"/>
      </w:pPr>
      <w:r>
        <w:tab/>
        <w:t>(4)</w:t>
      </w:r>
      <w:r>
        <w:tab/>
        <w:t xml:space="preserve">The CEO may refuse to amend a licence if the CEO is satisfied that — </w:t>
      </w:r>
    </w:p>
    <w:p>
      <w:pPr>
        <w:pStyle w:val="nzIndenta"/>
      </w:pPr>
      <w:r>
        <w:tab/>
        <w:t>(a)</w:t>
      </w:r>
      <w:r>
        <w:tab/>
        <w:t>the applicant has been disqualified from holding a licence;</w:t>
      </w:r>
    </w:p>
    <w:p>
      <w:pPr>
        <w:pStyle w:val="nzIndenta"/>
      </w:pPr>
      <w:r>
        <w:tab/>
        <w:t>(b)</w:t>
      </w:r>
      <w:r>
        <w:tab/>
        <w:t>the applicant is the holder of a licence that is suspended; or</w:t>
      </w:r>
    </w:p>
    <w:p>
      <w:pPr>
        <w:pStyle w:val="nzIndenta"/>
      </w:pPr>
      <w:r>
        <w:tab/>
        <w:t>(c)</w:t>
      </w:r>
      <w:r>
        <w:tab/>
        <w:t>there is another good reason for not amending the licence.</w:t>
      </w:r>
    </w:p>
    <w:p>
      <w:pPr>
        <w:pStyle w:val="nzSubsection"/>
      </w:pPr>
      <w:r>
        <w:tab/>
        <w:t>(5)</w:t>
      </w:r>
      <w:r>
        <w:tab/>
        <w:t xml:space="preserve">If the CEO decides to amend a licence — </w:t>
      </w:r>
    </w:p>
    <w:p>
      <w:pPr>
        <w:pStyle w:val="nzIndenta"/>
      </w:pPr>
      <w:r>
        <w:tab/>
        <w:t>(a)</w:t>
      </w:r>
      <w:r>
        <w:tab/>
        <w:t>the CEO is to issue an amended licence; and</w:t>
      </w:r>
    </w:p>
    <w:p>
      <w:pPr>
        <w:pStyle w:val="nzIndenta"/>
      </w:pPr>
      <w:r>
        <w:tab/>
        <w:t>(b)</w:t>
      </w:r>
      <w:r>
        <w:tab/>
        <w:t>the amendment takes effect on the day of the decision or such later day as is specified by the CEO in a notice given to the applicant.</w:t>
      </w:r>
    </w:p>
    <w:p>
      <w:pPr>
        <w:pStyle w:val="nzHeading5"/>
        <w:rPr>
          <w:snapToGrid w:val="0"/>
        </w:rPr>
      </w:pPr>
      <w:bookmarkStart w:id="751" w:name="_Toc403228625"/>
      <w:bookmarkStart w:id="752" w:name="_Toc520092856"/>
      <w:bookmarkStart w:id="753" w:name="_Toc102536974"/>
      <w:bookmarkStart w:id="754" w:name="_Toc104887980"/>
      <w:bookmarkStart w:id="755" w:name="_Toc112831041"/>
      <w:bookmarkStart w:id="756" w:name="_Toc132000964"/>
      <w:bookmarkStart w:id="757" w:name="_Toc133116136"/>
      <w:bookmarkStart w:id="758" w:name="_Toc133120249"/>
      <w:r>
        <w:rPr>
          <w:rStyle w:val="CharSectno"/>
        </w:rPr>
        <w:t>45</w:t>
      </w:r>
      <w:r>
        <w:t>.</w:t>
      </w:r>
      <w:r>
        <w:tab/>
        <w:t>R</w:t>
      </w:r>
      <w:r>
        <w:rPr>
          <w:snapToGrid w:val="0"/>
        </w:rPr>
        <w:t>egister of licences</w:t>
      </w:r>
      <w:bookmarkEnd w:id="751"/>
      <w:bookmarkEnd w:id="752"/>
      <w:bookmarkEnd w:id="753"/>
      <w:bookmarkEnd w:id="754"/>
      <w:bookmarkEnd w:id="755"/>
      <w:bookmarkEnd w:id="756"/>
      <w:bookmarkEnd w:id="757"/>
      <w:bookmarkEnd w:id="758"/>
      <w:r>
        <w:rPr>
          <w:snapToGrid w:val="0"/>
        </w:rPr>
        <w:t xml:space="preserve"> </w:t>
      </w:r>
    </w:p>
    <w:p>
      <w:pPr>
        <w:pStyle w:val="nz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nzIndenta"/>
        <w:rPr>
          <w:snapToGrid w:val="0"/>
        </w:rPr>
      </w:pPr>
      <w:r>
        <w:rPr>
          <w:snapToGrid w:val="0"/>
        </w:rPr>
        <w:tab/>
        <w:t>(a)</w:t>
      </w:r>
      <w:r>
        <w:rPr>
          <w:snapToGrid w:val="0"/>
        </w:rPr>
        <w:tab/>
        <w:t>the type of licence;</w:t>
      </w:r>
    </w:p>
    <w:p>
      <w:pPr>
        <w:pStyle w:val="nzIndenta"/>
        <w:rPr>
          <w:snapToGrid w:val="0"/>
        </w:rPr>
      </w:pPr>
      <w:r>
        <w:rPr>
          <w:snapToGrid w:val="0"/>
        </w:rPr>
        <w:tab/>
        <w:t>(b)</w:t>
      </w:r>
      <w:r>
        <w:rPr>
          <w:snapToGrid w:val="0"/>
        </w:rPr>
        <w:tab/>
        <w:t>the name of the holder of the licence;</w:t>
      </w:r>
    </w:p>
    <w:p>
      <w:pPr>
        <w:pStyle w:val="nzIndenta"/>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nzIndenta"/>
      </w:pPr>
      <w:r>
        <w:tab/>
        <w:t>(d)</w:t>
      </w:r>
      <w:r>
        <w:tab/>
        <w:t>the identifying number of the licence;</w:t>
      </w:r>
    </w:p>
    <w:p>
      <w:pPr>
        <w:pStyle w:val="nzIndenta"/>
        <w:rPr>
          <w:snapToGrid w:val="0"/>
        </w:rPr>
      </w:pPr>
      <w:r>
        <w:rPr>
          <w:snapToGrid w:val="0"/>
        </w:rPr>
        <w:tab/>
        <w:t>(e)</w:t>
      </w:r>
      <w:r>
        <w:rPr>
          <w:snapToGrid w:val="0"/>
        </w:rPr>
        <w:tab/>
        <w:t>the day on which the licence was issued;</w:t>
      </w:r>
    </w:p>
    <w:p>
      <w:pPr>
        <w:pStyle w:val="nzIndenta"/>
        <w:rPr>
          <w:snapToGrid w:val="0"/>
        </w:rPr>
      </w:pPr>
      <w:r>
        <w:rPr>
          <w:snapToGrid w:val="0"/>
        </w:rPr>
        <w:tab/>
        <w:t>(f)</w:t>
      </w:r>
      <w:r>
        <w:rPr>
          <w:snapToGrid w:val="0"/>
        </w:rPr>
        <w:tab/>
        <w:t>any particular condition or restriction that applies to the licence; and</w:t>
      </w:r>
    </w:p>
    <w:p>
      <w:pPr>
        <w:pStyle w:val="nzIndenta"/>
        <w:rPr>
          <w:snapToGrid w:val="0"/>
        </w:rPr>
      </w:pPr>
      <w:r>
        <w:rPr>
          <w:snapToGrid w:val="0"/>
        </w:rPr>
        <w:tab/>
        <w:t>(g)</w:t>
      </w:r>
      <w:r>
        <w:rPr>
          <w:snapToGrid w:val="0"/>
        </w:rPr>
        <w:tab/>
        <w:t>such other particulars as may be prescribed.</w:t>
      </w:r>
    </w:p>
    <w:p>
      <w:pPr>
        <w:pStyle w:val="nzSubsection"/>
        <w:rPr>
          <w:snapToGrid w:val="0"/>
        </w:rPr>
      </w:pPr>
      <w:r>
        <w:rPr>
          <w:snapToGrid w:val="0"/>
        </w:rPr>
        <w:tab/>
        <w:t>(2)</w:t>
      </w:r>
      <w:r>
        <w:rPr>
          <w:snapToGrid w:val="0"/>
        </w:rPr>
        <w:tab/>
        <w:t>The CEO is to allow any person to inspect the register during business hours.</w:t>
      </w:r>
    </w:p>
    <w:p>
      <w:pPr>
        <w:pStyle w:val="nz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nzHeading3"/>
      </w:pPr>
      <w:bookmarkStart w:id="759" w:name="_Toc105380306"/>
      <w:bookmarkStart w:id="760" w:name="_Toc105381958"/>
      <w:bookmarkStart w:id="761" w:name="_Toc105385570"/>
      <w:bookmarkStart w:id="762" w:name="_Toc105386796"/>
      <w:bookmarkStart w:id="763" w:name="_Toc105387277"/>
      <w:bookmarkStart w:id="764" w:name="_Toc105389943"/>
      <w:bookmarkStart w:id="765" w:name="_Toc105399246"/>
      <w:bookmarkStart w:id="766" w:name="_Toc105399813"/>
      <w:bookmarkStart w:id="767" w:name="_Toc105409514"/>
      <w:bookmarkStart w:id="768" w:name="_Toc105472021"/>
      <w:bookmarkStart w:id="769" w:name="_Toc105478172"/>
      <w:bookmarkStart w:id="770" w:name="_Toc105479506"/>
      <w:bookmarkStart w:id="771" w:name="_Toc105490794"/>
      <w:bookmarkStart w:id="772" w:name="_Toc105494129"/>
      <w:bookmarkStart w:id="773" w:name="_Toc105563490"/>
      <w:bookmarkStart w:id="774" w:name="_Toc105564118"/>
      <w:bookmarkStart w:id="775" w:name="_Toc105565017"/>
      <w:bookmarkStart w:id="776" w:name="_Toc105575210"/>
      <w:bookmarkStart w:id="777" w:name="_Toc105576588"/>
      <w:bookmarkStart w:id="778" w:name="_Toc105576928"/>
      <w:bookmarkStart w:id="779" w:name="_Toc105577622"/>
      <w:bookmarkStart w:id="780" w:name="_Toc105578220"/>
      <w:bookmarkStart w:id="781" w:name="_Toc105579404"/>
      <w:bookmarkStart w:id="782" w:name="_Toc106073305"/>
      <w:bookmarkStart w:id="783" w:name="_Toc106079534"/>
      <w:bookmarkStart w:id="784" w:name="_Toc106082807"/>
      <w:bookmarkStart w:id="785" w:name="_Toc106091705"/>
      <w:bookmarkStart w:id="786" w:name="_Toc106093438"/>
      <w:bookmarkStart w:id="787" w:name="_Toc106093621"/>
      <w:bookmarkStart w:id="788" w:name="_Toc106094418"/>
      <w:bookmarkStart w:id="789" w:name="_Toc106096027"/>
      <w:bookmarkStart w:id="790" w:name="_Toc106098492"/>
      <w:bookmarkStart w:id="791" w:name="_Toc106161414"/>
      <w:bookmarkStart w:id="792" w:name="_Toc106162254"/>
      <w:bookmarkStart w:id="793" w:name="_Toc106168693"/>
      <w:bookmarkStart w:id="794" w:name="_Toc106171969"/>
      <w:bookmarkStart w:id="795" w:name="_Toc106184593"/>
      <w:bookmarkStart w:id="796" w:name="_Toc106185006"/>
      <w:bookmarkStart w:id="797" w:name="_Toc106186430"/>
      <w:bookmarkStart w:id="798" w:name="_Toc106187478"/>
      <w:bookmarkStart w:id="799" w:name="_Toc106416921"/>
      <w:bookmarkStart w:id="800" w:name="_Toc106438255"/>
      <w:bookmarkStart w:id="801" w:name="_Toc106441790"/>
      <w:bookmarkStart w:id="802" w:name="_Toc106442885"/>
      <w:bookmarkStart w:id="803" w:name="_Toc106510759"/>
      <w:bookmarkStart w:id="804" w:name="_Toc106512264"/>
      <w:bookmarkStart w:id="805" w:name="_Toc106604164"/>
      <w:bookmarkStart w:id="806" w:name="_Toc106608511"/>
      <w:bookmarkStart w:id="807" w:name="_Toc106610517"/>
      <w:bookmarkStart w:id="808" w:name="_Toc106617407"/>
      <w:bookmarkStart w:id="809" w:name="_Toc106618301"/>
      <w:bookmarkStart w:id="810" w:name="_Toc106619299"/>
      <w:bookmarkStart w:id="811" w:name="_Toc106620728"/>
      <w:bookmarkStart w:id="812" w:name="_Toc106621641"/>
      <w:bookmarkStart w:id="813" w:name="_Toc106682801"/>
      <w:bookmarkStart w:id="814" w:name="_Toc106685169"/>
      <w:bookmarkStart w:id="815" w:name="_Toc106686951"/>
      <w:bookmarkStart w:id="816" w:name="_Toc106687352"/>
      <w:bookmarkStart w:id="817" w:name="_Toc106687540"/>
      <w:bookmarkStart w:id="818" w:name="_Toc106687729"/>
      <w:bookmarkStart w:id="819" w:name="_Toc106687922"/>
      <w:bookmarkStart w:id="820" w:name="_Toc106696032"/>
      <w:bookmarkStart w:id="821" w:name="_Toc106696436"/>
      <w:bookmarkStart w:id="822" w:name="_Toc106699912"/>
      <w:bookmarkStart w:id="823" w:name="_Toc106704197"/>
      <w:bookmarkStart w:id="824" w:name="_Toc106775345"/>
      <w:bookmarkStart w:id="825" w:name="_Toc106775809"/>
      <w:bookmarkStart w:id="826" w:name="_Toc107110010"/>
      <w:bookmarkStart w:id="827" w:name="_Toc107111168"/>
      <w:bookmarkStart w:id="828" w:name="_Toc107118282"/>
      <w:bookmarkStart w:id="829" w:name="_Toc107644096"/>
      <w:bookmarkStart w:id="830" w:name="_Toc112831042"/>
      <w:bookmarkStart w:id="831" w:name="_Toc112831237"/>
      <w:bookmarkStart w:id="832" w:name="_Toc112833361"/>
      <w:bookmarkStart w:id="833" w:name="_Toc114569910"/>
      <w:bookmarkStart w:id="834" w:name="_Toc130804993"/>
      <w:bookmarkStart w:id="835" w:name="_Toc130806030"/>
      <w:bookmarkStart w:id="836" w:name="_Toc130811741"/>
      <w:bookmarkStart w:id="837" w:name="_Toc131931467"/>
      <w:bookmarkStart w:id="838" w:name="_Toc131931699"/>
      <w:bookmarkStart w:id="839" w:name="_Toc131932982"/>
      <w:bookmarkStart w:id="840" w:name="_Toc132000965"/>
      <w:bookmarkStart w:id="841" w:name="_Toc133116137"/>
      <w:bookmarkStart w:id="842" w:name="_Toc133120250"/>
      <w:r>
        <w:rPr>
          <w:rStyle w:val="CharDivNo"/>
        </w:rPr>
        <w:t>Division 2</w:t>
      </w:r>
      <w:r>
        <w:t> — </w:t>
      </w:r>
      <w:r>
        <w:rPr>
          <w:rStyle w:val="CharDivText"/>
        </w:rPr>
        <w:t>Powers of courts and State Administrative Tribunal</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nzHeading5"/>
      </w:pPr>
      <w:bookmarkStart w:id="843" w:name="_Toc104023888"/>
      <w:bookmarkStart w:id="844" w:name="_Toc104095934"/>
      <w:bookmarkStart w:id="845" w:name="_Toc104108958"/>
      <w:bookmarkStart w:id="846" w:name="_Toc104111434"/>
      <w:bookmarkStart w:id="847" w:name="_Toc104175310"/>
      <w:bookmarkStart w:id="848" w:name="_Toc104180460"/>
      <w:bookmarkStart w:id="849" w:name="_Toc104887965"/>
      <w:bookmarkStart w:id="850" w:name="_Toc112831043"/>
      <w:bookmarkStart w:id="851" w:name="_Toc132000966"/>
      <w:bookmarkStart w:id="852" w:name="_Toc133116138"/>
      <w:bookmarkStart w:id="853" w:name="_Toc133120251"/>
      <w:r>
        <w:rPr>
          <w:rStyle w:val="CharSectno"/>
        </w:rPr>
        <w:t>46</w:t>
      </w:r>
      <w:r>
        <w:t>.</w:t>
      </w:r>
      <w:r>
        <w:tab/>
        <w:t>Review</w:t>
      </w:r>
      <w:bookmarkEnd w:id="843"/>
      <w:bookmarkEnd w:id="844"/>
      <w:bookmarkEnd w:id="845"/>
      <w:bookmarkEnd w:id="846"/>
      <w:bookmarkEnd w:id="847"/>
      <w:bookmarkEnd w:id="848"/>
      <w:r>
        <w:t xml:space="preserve"> of licensing decisions</w:t>
      </w:r>
      <w:bookmarkEnd w:id="849"/>
      <w:bookmarkEnd w:id="850"/>
      <w:bookmarkEnd w:id="851"/>
      <w:bookmarkEnd w:id="852"/>
      <w:bookmarkEnd w:id="853"/>
    </w:p>
    <w:p>
      <w:pPr>
        <w:pStyle w:val="nzSubsection"/>
      </w:pPr>
      <w:bookmarkStart w:id="854" w:name="_Toc104023889"/>
      <w:bookmarkStart w:id="855" w:name="_Toc104095935"/>
      <w:bookmarkStart w:id="856" w:name="_Toc104108959"/>
      <w:bookmarkStart w:id="857" w:name="_Toc104111435"/>
      <w:bookmarkStart w:id="858" w:name="_Toc104175311"/>
      <w:bookmarkStart w:id="859" w:name="_Toc104180461"/>
      <w:r>
        <w:tab/>
        <w:t>(1)</w:t>
      </w:r>
      <w:r>
        <w:tab/>
        <w:t>A person aggrieved by a reviewable decision of the CEO may apply to the State Administrative Tribunal for a review of the decision.</w:t>
      </w:r>
      <w:bookmarkEnd w:id="854"/>
      <w:bookmarkEnd w:id="855"/>
      <w:bookmarkEnd w:id="856"/>
      <w:bookmarkEnd w:id="857"/>
      <w:bookmarkEnd w:id="858"/>
      <w:bookmarkEnd w:id="859"/>
    </w:p>
    <w:p>
      <w:pPr>
        <w:pStyle w:val="nzSubsection"/>
      </w:pPr>
      <w:bookmarkStart w:id="860" w:name="_Toc104023890"/>
      <w:bookmarkStart w:id="861" w:name="_Toc104095936"/>
      <w:bookmarkStart w:id="862" w:name="_Toc104108960"/>
      <w:bookmarkStart w:id="863" w:name="_Toc104111436"/>
      <w:bookmarkStart w:id="864" w:name="_Toc104175312"/>
      <w:bookmarkStart w:id="865" w:name="_Toc104180462"/>
      <w:r>
        <w:tab/>
        <w:t>(2)</w:t>
      </w:r>
      <w:r>
        <w:tab/>
        <w:t>In subsection (1) —</w:t>
      </w:r>
      <w:bookmarkEnd w:id="860"/>
      <w:bookmarkEnd w:id="861"/>
      <w:bookmarkEnd w:id="862"/>
      <w:bookmarkEnd w:id="863"/>
      <w:bookmarkEnd w:id="864"/>
      <w:bookmarkEnd w:id="865"/>
      <w:r>
        <w:t xml:space="preserve"> </w:t>
      </w:r>
    </w:p>
    <w:p>
      <w:pPr>
        <w:pStyle w:val="nzDefstart"/>
      </w:pPr>
      <w:r>
        <w:rPr>
          <w:b/>
        </w:rPr>
        <w:tab/>
        <w:t>“</w:t>
      </w:r>
      <w:r>
        <w:rPr>
          <w:rStyle w:val="CharDefText"/>
        </w:rPr>
        <w:t>person aggrieved</w:t>
      </w:r>
      <w:r>
        <w:rPr>
          <w:b/>
        </w:rPr>
        <w:t>”</w:t>
      </w:r>
      <w:r>
        <w:t xml:space="preserve"> </w:t>
      </w:r>
      <w:bookmarkStart w:id="866" w:name="_Toc104023891"/>
      <w:bookmarkStart w:id="867" w:name="_Toc104095937"/>
      <w:bookmarkStart w:id="868" w:name="_Toc104108961"/>
      <w:bookmarkStart w:id="869" w:name="_Toc104111437"/>
      <w:bookmarkStart w:id="870" w:name="_Toc104175313"/>
      <w:bookmarkStart w:id="871" w:name="_Toc104180463"/>
      <w:r>
        <w:t>means a person whose licence is affected by a reviewable decision or who applies for the grant or renewal of a licence;</w:t>
      </w:r>
      <w:bookmarkEnd w:id="866"/>
      <w:bookmarkEnd w:id="867"/>
      <w:bookmarkEnd w:id="868"/>
      <w:bookmarkEnd w:id="869"/>
      <w:bookmarkEnd w:id="870"/>
      <w:bookmarkEnd w:id="871"/>
    </w:p>
    <w:p>
      <w:pPr>
        <w:pStyle w:val="nzDefstart"/>
      </w:pPr>
      <w:r>
        <w:rPr>
          <w:b/>
        </w:rPr>
        <w:tab/>
        <w:t>“</w:t>
      </w:r>
      <w:r>
        <w:rPr>
          <w:rStyle w:val="CharDefText"/>
        </w:rPr>
        <w:t>reviewable decision</w:t>
      </w:r>
      <w:r>
        <w:rPr>
          <w:b/>
        </w:rPr>
        <w:t>”</w:t>
      </w:r>
      <w:r>
        <w:t xml:space="preserve"> </w:t>
      </w:r>
      <w:bookmarkStart w:id="872" w:name="_Toc104023892"/>
      <w:bookmarkStart w:id="873" w:name="_Toc104095938"/>
      <w:bookmarkStart w:id="874" w:name="_Toc104108962"/>
      <w:bookmarkStart w:id="875" w:name="_Toc104111438"/>
      <w:bookmarkStart w:id="876" w:name="_Toc104175314"/>
      <w:bookmarkStart w:id="877" w:name="_Toc104180464"/>
      <w:r>
        <w:t>means a decision —</w:t>
      </w:r>
      <w:bookmarkEnd w:id="872"/>
      <w:bookmarkEnd w:id="873"/>
      <w:bookmarkEnd w:id="874"/>
      <w:bookmarkEnd w:id="875"/>
      <w:bookmarkEnd w:id="876"/>
      <w:bookmarkEnd w:id="877"/>
      <w:r>
        <w:t xml:space="preserve"> </w:t>
      </w:r>
    </w:p>
    <w:p>
      <w:pPr>
        <w:pStyle w:val="nzDefpara"/>
      </w:pPr>
      <w:bookmarkStart w:id="878" w:name="_Toc104023893"/>
      <w:bookmarkStart w:id="879" w:name="_Toc104095939"/>
      <w:bookmarkStart w:id="880" w:name="_Toc104108963"/>
      <w:bookmarkStart w:id="881" w:name="_Toc104111439"/>
      <w:bookmarkStart w:id="882" w:name="_Toc104175315"/>
      <w:bookmarkStart w:id="883" w:name="_Toc104180465"/>
      <w:r>
        <w:tab/>
        <w:t>(a)</w:t>
      </w:r>
      <w:r>
        <w:tab/>
        <w:t>to refuse to issue or renew a licence;</w:t>
      </w:r>
      <w:bookmarkEnd w:id="878"/>
      <w:bookmarkEnd w:id="879"/>
      <w:bookmarkEnd w:id="880"/>
      <w:bookmarkEnd w:id="881"/>
      <w:bookmarkEnd w:id="882"/>
      <w:bookmarkEnd w:id="883"/>
    </w:p>
    <w:p>
      <w:pPr>
        <w:pStyle w:val="nzDefpara"/>
      </w:pPr>
      <w:r>
        <w:tab/>
        <w:t>(b)</w:t>
      </w:r>
      <w:r>
        <w:tab/>
        <w:t>as to a condition or restriction which is attached to a licence (except a condition or restriction mentioned in section 41);</w:t>
      </w:r>
    </w:p>
    <w:p>
      <w:pPr>
        <w:pStyle w:val="nzDefpara"/>
      </w:pPr>
      <w:r>
        <w:tab/>
        <w:t>(c)</w:t>
      </w:r>
      <w:r>
        <w:tab/>
        <w:t>to make an existing licence subject to a new condition or restriction or to change or remove a condition or restriction to which an existing licence is subject under section 42(2);</w:t>
      </w:r>
    </w:p>
    <w:p>
      <w:pPr>
        <w:pStyle w:val="nzDefpara"/>
      </w:pPr>
      <w:r>
        <w:tab/>
        <w:t>(d)</w:t>
      </w:r>
      <w:r>
        <w:tab/>
        <w:t>to refuse to remove or change a condition or restriction to which an existing licence is subject under section 42(2); or</w:t>
      </w:r>
    </w:p>
    <w:p>
      <w:pPr>
        <w:pStyle w:val="nzDefpara"/>
      </w:pPr>
      <w:r>
        <w:tab/>
        <w:t>(e)</w:t>
      </w:r>
      <w:r>
        <w:tab/>
        <w:t>to refuse to amend a licence under section 44.</w:t>
      </w:r>
    </w:p>
    <w:p>
      <w:pPr>
        <w:pStyle w:val="nzHeading5"/>
      </w:pPr>
      <w:bookmarkStart w:id="884" w:name="_Toc104023865"/>
      <w:bookmarkStart w:id="885" w:name="_Toc104095911"/>
      <w:bookmarkStart w:id="886" w:name="_Toc104108935"/>
      <w:bookmarkStart w:id="887" w:name="_Toc104111411"/>
      <w:bookmarkStart w:id="888" w:name="_Toc104887966"/>
      <w:bookmarkStart w:id="889" w:name="_Toc112831044"/>
      <w:bookmarkStart w:id="890" w:name="_Toc132000967"/>
      <w:bookmarkStart w:id="891" w:name="_Toc133116139"/>
      <w:bookmarkStart w:id="892" w:name="_Toc133120252"/>
      <w:r>
        <w:rPr>
          <w:rStyle w:val="CharSectno"/>
        </w:rPr>
        <w:t>47</w:t>
      </w:r>
      <w:r>
        <w:t>.</w:t>
      </w:r>
      <w:r>
        <w:tab/>
        <w:t>Suspension, revocation,</w:t>
      </w:r>
      <w:bookmarkEnd w:id="884"/>
      <w:bookmarkEnd w:id="885"/>
      <w:bookmarkEnd w:id="886"/>
      <w:bookmarkEnd w:id="887"/>
      <w:r>
        <w:t xml:space="preserve"> disqualification from holding licences</w:t>
      </w:r>
      <w:bookmarkEnd w:id="888"/>
      <w:bookmarkEnd w:id="889"/>
      <w:bookmarkEnd w:id="890"/>
      <w:bookmarkEnd w:id="891"/>
      <w:bookmarkEnd w:id="892"/>
    </w:p>
    <w:p>
      <w:pPr>
        <w:pStyle w:val="nzSubsection"/>
      </w:pPr>
      <w:bookmarkStart w:id="893" w:name="_Toc104023866"/>
      <w:bookmarkStart w:id="894" w:name="_Toc104095912"/>
      <w:bookmarkStart w:id="895" w:name="_Toc104108936"/>
      <w:bookmarkStart w:id="896" w:name="_Toc104111412"/>
      <w:r>
        <w:tab/>
        <w:t>(1)</w:t>
      </w:r>
      <w:r>
        <w:tab/>
        <w:t>The CEO may allege to the State Administrative Tribunal that there is proper cause for disciplinary action, as mentioned in subsection (2), against a licence holder.</w:t>
      </w:r>
      <w:bookmarkEnd w:id="893"/>
      <w:bookmarkEnd w:id="894"/>
      <w:bookmarkEnd w:id="895"/>
      <w:bookmarkEnd w:id="896"/>
    </w:p>
    <w:p>
      <w:pPr>
        <w:pStyle w:val="nzSubsection"/>
      </w:pPr>
      <w:bookmarkStart w:id="897" w:name="_Toc104023867"/>
      <w:bookmarkStart w:id="898" w:name="_Toc104095913"/>
      <w:bookmarkStart w:id="899" w:name="_Toc104108937"/>
      <w:bookmarkStart w:id="900" w:name="_Toc104111413"/>
      <w:r>
        <w:tab/>
        <w:t>(2)</w:t>
      </w:r>
      <w:r>
        <w:tab/>
        <w:t>There is proper cause for disciplinary action against a licence holder</w:t>
      </w:r>
      <w:bookmarkEnd w:id="897"/>
      <w:bookmarkEnd w:id="898"/>
      <w:bookmarkEnd w:id="899"/>
      <w:bookmarkEnd w:id="900"/>
      <w:r>
        <w:t xml:space="preserve"> — </w:t>
      </w:r>
    </w:p>
    <w:p>
      <w:pPr>
        <w:pStyle w:val="nzIndenta"/>
      </w:pPr>
      <w:r>
        <w:tab/>
        <w:t>(a)</w:t>
      </w:r>
      <w:r>
        <w:tab/>
      </w:r>
      <w:bookmarkStart w:id="901" w:name="_Toc104023868"/>
      <w:bookmarkStart w:id="902" w:name="_Toc104095914"/>
      <w:bookmarkStart w:id="903" w:name="_Toc104108938"/>
      <w:bookmarkStart w:id="904" w:name="_Toc104111414"/>
      <w:r>
        <w:t xml:space="preserve">if the licence holder, or where the licence is held by a body corporate, if the body or any of the body’s officers, as the case may be — </w:t>
      </w:r>
    </w:p>
    <w:bookmarkEnd w:id="901"/>
    <w:bookmarkEnd w:id="902"/>
    <w:bookmarkEnd w:id="903"/>
    <w:bookmarkEnd w:id="904"/>
    <w:p>
      <w:pPr>
        <w:pStyle w:val="nzIndenti"/>
      </w:pPr>
      <w:r>
        <w:tab/>
        <w:t>(i)</w:t>
      </w:r>
      <w:r>
        <w:tab/>
        <w:t>is the subject of a pending charge for an offence under this Act;</w:t>
      </w:r>
    </w:p>
    <w:p>
      <w:pPr>
        <w:pStyle w:val="nzIndenti"/>
      </w:pPr>
      <w:bookmarkStart w:id="905" w:name="_Toc104023872"/>
      <w:bookmarkStart w:id="906" w:name="_Toc104095918"/>
      <w:bookmarkStart w:id="907" w:name="_Toc104108942"/>
      <w:bookmarkStart w:id="908" w:name="_Toc104111418"/>
      <w:r>
        <w:tab/>
        <w:t>(ii)</w:t>
      </w:r>
      <w:r>
        <w:tab/>
        <w:t>has</w:t>
      </w:r>
      <w:bookmarkEnd w:id="905"/>
      <w:bookmarkEnd w:id="906"/>
      <w:bookmarkEnd w:id="907"/>
      <w:bookmarkEnd w:id="908"/>
      <w:r>
        <w:t xml:space="preserve"> breached — </w:t>
      </w:r>
    </w:p>
    <w:p>
      <w:pPr>
        <w:pStyle w:val="nzIndentI0"/>
      </w:pPr>
      <w:bookmarkStart w:id="909" w:name="_Toc104023873"/>
      <w:bookmarkStart w:id="910" w:name="_Toc104095919"/>
      <w:bookmarkStart w:id="911" w:name="_Toc104108943"/>
      <w:bookmarkStart w:id="912" w:name="_Toc104111419"/>
      <w:r>
        <w:tab/>
        <w:t>(I)</w:t>
      </w:r>
      <w:r>
        <w:tab/>
        <w:t>a provision of this Act; or</w:t>
      </w:r>
      <w:bookmarkEnd w:id="909"/>
      <w:bookmarkEnd w:id="910"/>
      <w:bookmarkEnd w:id="911"/>
      <w:bookmarkEnd w:id="912"/>
    </w:p>
    <w:p>
      <w:pPr>
        <w:pStyle w:val="nzIndentI0"/>
      </w:pPr>
      <w:bookmarkStart w:id="913" w:name="_Toc104023874"/>
      <w:bookmarkStart w:id="914" w:name="_Toc104095920"/>
      <w:bookmarkStart w:id="915" w:name="_Toc104108944"/>
      <w:bookmarkStart w:id="916" w:name="_Toc104111420"/>
      <w:r>
        <w:tab/>
        <w:t>(II)</w:t>
      </w:r>
      <w:r>
        <w:tab/>
        <w:t>the licence or a condition or restriction to which the licence is subject</w:t>
      </w:r>
      <w:bookmarkEnd w:id="913"/>
      <w:bookmarkEnd w:id="914"/>
      <w:bookmarkEnd w:id="915"/>
      <w:bookmarkEnd w:id="916"/>
      <w:r>
        <w:t>;</w:t>
      </w:r>
    </w:p>
    <w:p>
      <w:pPr>
        <w:pStyle w:val="nzIndenti"/>
      </w:pPr>
      <w:r>
        <w:tab/>
        <w:t>(iii)</w:t>
      </w:r>
      <w:r>
        <w:tab/>
        <w:t>has been convicted of an offence under this Act, a corresponding law, or any legislation repealed by this Act;</w:t>
      </w:r>
    </w:p>
    <w:p>
      <w:pPr>
        <w:pStyle w:val="nzIndenti"/>
      </w:pPr>
      <w:r>
        <w:tab/>
        <w:t>(iv)</w:t>
      </w:r>
      <w:r>
        <w:tab/>
        <w:t>is the subject of a pending charge anywhere in the world for an offence involving fraud or dishonesty;</w:t>
      </w:r>
    </w:p>
    <w:p>
      <w:pPr>
        <w:pStyle w:val="nzIndenti"/>
      </w:pPr>
      <w:r>
        <w:tab/>
        <w:t>(v)</w:t>
      </w:r>
      <w:r>
        <w:tab/>
        <w:t>is not or no longer likely to carry on the activities of a licence holder honestly and fairly; or</w:t>
      </w:r>
    </w:p>
    <w:p>
      <w:pPr>
        <w:pStyle w:val="nzIndenti"/>
      </w:pPr>
      <w:r>
        <w:tab/>
        <w:t>(vi)</w:t>
      </w:r>
      <w:r>
        <w:tab/>
        <w:t>is not or no longer a fit and proper person to hold a licence;</w:t>
      </w:r>
    </w:p>
    <w:p>
      <w:pPr>
        <w:pStyle w:val="nzIndenta"/>
      </w:pPr>
      <w:r>
        <w:tab/>
      </w:r>
      <w:r>
        <w:tab/>
        <w:t>or</w:t>
      </w:r>
    </w:p>
    <w:p>
      <w:pPr>
        <w:pStyle w:val="nzIndenta"/>
      </w:pPr>
      <w:r>
        <w:tab/>
        <w:t>(b)</w:t>
      </w:r>
      <w:r>
        <w:tab/>
        <w:t>if the licence was issued or renewed in error in consequence of information provided with the application for the issue or renewal of the licence being false or misleading in a material particular.</w:t>
      </w:r>
    </w:p>
    <w:p>
      <w:pPr>
        <w:pStyle w:val="nzSubsection"/>
      </w:pPr>
      <w:bookmarkStart w:id="917" w:name="_Toc104023875"/>
      <w:bookmarkStart w:id="918" w:name="_Toc104095921"/>
      <w:bookmarkStart w:id="919" w:name="_Toc104108945"/>
      <w:bookmarkStart w:id="920" w:name="_Toc104111421"/>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nzIndenta"/>
      </w:pPr>
      <w:r>
        <w:tab/>
        <w:t>(a)</w:t>
      </w:r>
      <w:r>
        <w:tab/>
        <w:t>suspend a licence of any type held by the licence holder for such period, not exceeding 3 months, as the Tribunal thinks fit;</w:t>
      </w:r>
    </w:p>
    <w:p>
      <w:pPr>
        <w:pStyle w:val="nzIndenta"/>
      </w:pPr>
      <w:r>
        <w:tab/>
        <w:t>(b)</w:t>
      </w:r>
      <w:r>
        <w:tab/>
        <w:t>revoke a licence</w:t>
      </w:r>
      <w:bookmarkEnd w:id="917"/>
      <w:bookmarkEnd w:id="918"/>
      <w:bookmarkEnd w:id="919"/>
      <w:bookmarkEnd w:id="920"/>
      <w:r>
        <w:t xml:space="preserve"> of any type held by the licence holder;</w:t>
      </w:r>
    </w:p>
    <w:p>
      <w:pPr>
        <w:pStyle w:val="nzIndenta"/>
      </w:pPr>
      <w:r>
        <w:tab/>
        <w:t>(c)</w:t>
      </w:r>
      <w:r>
        <w:tab/>
        <w:t>disqualify the licence holder from holding any type of licence for such period as the Tribunal thinks fit or permanently.</w:t>
      </w:r>
    </w:p>
    <w:p>
      <w:pPr>
        <w:pStyle w:val="nzHeading5"/>
      </w:pPr>
      <w:bookmarkStart w:id="921" w:name="_Toc104023878"/>
      <w:bookmarkStart w:id="922" w:name="_Toc104095924"/>
      <w:bookmarkStart w:id="923" w:name="_Toc104108948"/>
      <w:bookmarkStart w:id="924" w:name="_Toc104111424"/>
      <w:bookmarkStart w:id="925" w:name="_Toc104175300"/>
      <w:bookmarkStart w:id="926" w:name="_Toc104180450"/>
      <w:bookmarkStart w:id="927" w:name="_Toc104887967"/>
      <w:bookmarkStart w:id="928" w:name="_Toc112831045"/>
      <w:bookmarkStart w:id="929" w:name="_Toc132000968"/>
      <w:bookmarkStart w:id="930" w:name="_Toc133116140"/>
      <w:bookmarkStart w:id="931" w:name="_Toc133120253"/>
      <w:r>
        <w:rPr>
          <w:rStyle w:val="CharSectno"/>
        </w:rPr>
        <w:t>48</w:t>
      </w:r>
      <w:r>
        <w:t>.</w:t>
      </w:r>
      <w:r>
        <w:tab/>
        <w:t xml:space="preserve">Courts’ powers </w:t>
      </w:r>
      <w:bookmarkEnd w:id="921"/>
      <w:bookmarkEnd w:id="922"/>
      <w:bookmarkEnd w:id="923"/>
      <w:bookmarkEnd w:id="924"/>
      <w:bookmarkEnd w:id="925"/>
      <w:bookmarkEnd w:id="926"/>
      <w:r>
        <w:t>on conviction</w:t>
      </w:r>
      <w:bookmarkEnd w:id="927"/>
      <w:bookmarkEnd w:id="928"/>
      <w:bookmarkEnd w:id="929"/>
      <w:bookmarkEnd w:id="930"/>
      <w:bookmarkEnd w:id="931"/>
    </w:p>
    <w:p>
      <w:pPr>
        <w:pStyle w:val="nzSubsection"/>
      </w:pPr>
      <w:bookmarkStart w:id="932" w:name="_Toc104023879"/>
      <w:bookmarkStart w:id="933" w:name="_Toc104095925"/>
      <w:bookmarkStart w:id="934" w:name="_Toc104108949"/>
      <w:bookmarkStart w:id="935" w:name="_Toc104111425"/>
      <w:bookmarkStart w:id="936" w:name="_Toc104175301"/>
      <w:bookmarkStart w:id="937" w:name="_Toc104180451"/>
      <w:r>
        <w:tab/>
      </w:r>
      <w:r>
        <w:tab/>
        <w:t>Where the holder of a licence is convicted by any court of an offence under this Act, the court may, in addition to any penalty imposed or order made in respect of the conviction —</w:t>
      </w:r>
      <w:bookmarkEnd w:id="932"/>
      <w:bookmarkEnd w:id="933"/>
      <w:bookmarkEnd w:id="934"/>
      <w:bookmarkEnd w:id="935"/>
      <w:bookmarkEnd w:id="936"/>
      <w:bookmarkEnd w:id="937"/>
      <w:r>
        <w:t xml:space="preserve"> </w:t>
      </w:r>
    </w:p>
    <w:p>
      <w:pPr>
        <w:pStyle w:val="nzIndenta"/>
      </w:pPr>
      <w:bookmarkStart w:id="938" w:name="_Toc104023881"/>
      <w:bookmarkStart w:id="939" w:name="_Toc104095927"/>
      <w:bookmarkStart w:id="940" w:name="_Toc104108951"/>
      <w:bookmarkStart w:id="941" w:name="_Toc104111427"/>
      <w:bookmarkStart w:id="942" w:name="_Toc104175303"/>
      <w:bookmarkStart w:id="943" w:name="_Toc104180453"/>
      <w:r>
        <w:tab/>
        <w:t>(a)</w:t>
      </w:r>
      <w:r>
        <w:tab/>
        <w:t>attach any condition or restriction to a licence of any type held by the licence holder for any period specified in the order</w:t>
      </w:r>
      <w:bookmarkEnd w:id="938"/>
      <w:bookmarkEnd w:id="939"/>
      <w:bookmarkEnd w:id="940"/>
      <w:bookmarkEnd w:id="941"/>
      <w:bookmarkEnd w:id="942"/>
      <w:bookmarkEnd w:id="943"/>
      <w:r>
        <w:t>;</w:t>
      </w:r>
    </w:p>
    <w:p>
      <w:pPr>
        <w:pStyle w:val="nzIndenta"/>
      </w:pPr>
      <w:r>
        <w:tab/>
        <w:t>(b)</w:t>
      </w:r>
      <w:r>
        <w:tab/>
        <w:t>suspend a licence of any type held by the licence holder for such period, not exceeding 3 months, as the court thinks fit;</w:t>
      </w:r>
    </w:p>
    <w:p>
      <w:pPr>
        <w:pStyle w:val="nzIndenta"/>
      </w:pPr>
      <w:r>
        <w:tab/>
        <w:t>(c)</w:t>
      </w:r>
      <w:r>
        <w:tab/>
        <w:t>revoke a licence of any type held by the licence holder; or</w:t>
      </w:r>
    </w:p>
    <w:p>
      <w:pPr>
        <w:pStyle w:val="nzIndenta"/>
      </w:pPr>
      <w:r>
        <w:tab/>
        <w:t>(d)</w:t>
      </w:r>
      <w:r>
        <w:tab/>
        <w:t>disqualify the licence holder from holding any type of licence for such period as the court thinks fit or permanently.</w:t>
      </w:r>
    </w:p>
    <w:p>
      <w:pPr>
        <w:pStyle w:val="nzHeading5"/>
      </w:pPr>
      <w:bookmarkStart w:id="944" w:name="_Toc104023899"/>
      <w:bookmarkStart w:id="945" w:name="_Toc104095945"/>
      <w:bookmarkStart w:id="946" w:name="_Toc104108969"/>
      <w:bookmarkStart w:id="947" w:name="_Toc104111445"/>
      <w:bookmarkStart w:id="948" w:name="_Toc104175321"/>
      <w:bookmarkStart w:id="949" w:name="_Toc104180471"/>
      <w:bookmarkStart w:id="950" w:name="_Toc104887968"/>
      <w:bookmarkStart w:id="951" w:name="_Toc112831046"/>
      <w:bookmarkStart w:id="952" w:name="_Toc132000969"/>
      <w:bookmarkStart w:id="953" w:name="_Toc133116141"/>
      <w:bookmarkStart w:id="954" w:name="_Toc133120254"/>
      <w:r>
        <w:rPr>
          <w:rStyle w:val="CharSectno"/>
        </w:rPr>
        <w:t>49</w:t>
      </w:r>
      <w:r>
        <w:t>.</w:t>
      </w:r>
      <w:r>
        <w:tab/>
        <w:t>Suspension of licence by SAT</w:t>
      </w:r>
      <w:bookmarkEnd w:id="944"/>
      <w:bookmarkEnd w:id="945"/>
      <w:bookmarkEnd w:id="946"/>
      <w:bookmarkEnd w:id="947"/>
      <w:bookmarkEnd w:id="948"/>
      <w:bookmarkEnd w:id="949"/>
      <w:r>
        <w:t xml:space="preserve"> for non</w:t>
      </w:r>
      <w:r>
        <w:noBreakHyphen/>
        <w:t>compliance</w:t>
      </w:r>
      <w:bookmarkEnd w:id="950"/>
      <w:bookmarkEnd w:id="951"/>
      <w:bookmarkEnd w:id="952"/>
      <w:bookmarkEnd w:id="953"/>
      <w:bookmarkEnd w:id="954"/>
    </w:p>
    <w:p>
      <w:pPr>
        <w:pStyle w:val="nzSubsection"/>
      </w:pPr>
      <w:bookmarkStart w:id="955" w:name="_Toc104023900"/>
      <w:bookmarkStart w:id="956" w:name="_Toc104095946"/>
      <w:bookmarkStart w:id="957" w:name="_Toc104108970"/>
      <w:bookmarkStart w:id="958" w:name="_Toc104111446"/>
      <w:bookmarkStart w:id="959" w:name="_Toc104175322"/>
      <w:bookmarkStart w:id="960" w:name="_Toc104180472"/>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bookmarkEnd w:id="955"/>
      <w:bookmarkEnd w:id="956"/>
      <w:bookmarkEnd w:id="957"/>
      <w:bookmarkEnd w:id="958"/>
      <w:bookmarkEnd w:id="959"/>
      <w:bookmarkEnd w:id="960"/>
    </w:p>
    <w:p>
      <w:pPr>
        <w:pStyle w:val="nzSubsection"/>
      </w:pPr>
      <w:bookmarkStart w:id="961" w:name="_Toc104023901"/>
      <w:bookmarkStart w:id="962" w:name="_Toc104095947"/>
      <w:bookmarkStart w:id="963" w:name="_Toc104108971"/>
      <w:bookmarkStart w:id="964" w:name="_Toc104111447"/>
      <w:bookmarkStart w:id="965" w:name="_Toc104175323"/>
      <w:bookmarkStart w:id="966" w:name="_Toc104180473"/>
      <w:r>
        <w:tab/>
        <w:t>(2)</w:t>
      </w:r>
      <w:r>
        <w:tab/>
        <w:t xml:space="preserve">The power conferred on the State Administrative Tribunal by subsection (1) is in addition to, and does not derogate from, the powers conferred on it by the </w:t>
      </w:r>
      <w:r>
        <w:rPr>
          <w:i/>
          <w:iCs/>
        </w:rPr>
        <w:t>State Administrative Tribunal Act 2004</w:t>
      </w:r>
      <w:r>
        <w:t>.</w:t>
      </w:r>
      <w:bookmarkEnd w:id="961"/>
      <w:bookmarkEnd w:id="962"/>
      <w:bookmarkEnd w:id="963"/>
      <w:bookmarkEnd w:id="964"/>
      <w:bookmarkEnd w:id="965"/>
      <w:bookmarkEnd w:id="966"/>
    </w:p>
    <w:p>
      <w:pPr>
        <w:pStyle w:val="nzHeading5"/>
      </w:pPr>
      <w:bookmarkStart w:id="967" w:name="_Toc104887969"/>
      <w:bookmarkStart w:id="968" w:name="_Toc112831047"/>
      <w:bookmarkStart w:id="969" w:name="_Toc132000970"/>
      <w:bookmarkStart w:id="970" w:name="_Toc133116142"/>
      <w:bookmarkStart w:id="971" w:name="_Toc133120255"/>
      <w:r>
        <w:rPr>
          <w:rStyle w:val="CharSectno"/>
        </w:rPr>
        <w:t>50</w:t>
      </w:r>
      <w:r>
        <w:t>.</w:t>
      </w:r>
      <w:r>
        <w:tab/>
        <w:t>Matters relating to court, SAT powers</w:t>
      </w:r>
      <w:bookmarkEnd w:id="967"/>
      <w:bookmarkEnd w:id="968"/>
      <w:bookmarkEnd w:id="969"/>
      <w:bookmarkEnd w:id="970"/>
      <w:bookmarkEnd w:id="971"/>
    </w:p>
    <w:p>
      <w:pPr>
        <w:pStyle w:val="nz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nzSubsection"/>
      </w:pPr>
      <w:bookmarkStart w:id="972" w:name="_Toc104023882"/>
      <w:bookmarkStart w:id="973" w:name="_Toc104095928"/>
      <w:bookmarkStart w:id="974" w:name="_Toc104108952"/>
      <w:bookmarkStart w:id="975" w:name="_Toc104111428"/>
      <w:bookmarkStart w:id="976" w:name="_Toc104175304"/>
      <w:bookmarkStart w:id="977" w:name="_Toc104180454"/>
      <w:r>
        <w:tab/>
        <w:t>(2)</w:t>
      </w:r>
      <w:r>
        <w:tab/>
        <w:t>When making any order under section 48 a court may, if it thinks fit, defer the operation of the order pending an appeal.</w:t>
      </w:r>
      <w:bookmarkEnd w:id="972"/>
      <w:bookmarkEnd w:id="973"/>
      <w:bookmarkEnd w:id="974"/>
      <w:bookmarkEnd w:id="975"/>
      <w:bookmarkEnd w:id="976"/>
      <w:bookmarkEnd w:id="977"/>
    </w:p>
    <w:p>
      <w:pPr>
        <w:pStyle w:val="nzSubsection"/>
      </w:pPr>
      <w:bookmarkStart w:id="978" w:name="_Toc104023884"/>
      <w:bookmarkStart w:id="979" w:name="_Toc104095930"/>
      <w:bookmarkStart w:id="980" w:name="_Toc104108954"/>
      <w:bookmarkStart w:id="981" w:name="_Toc104111430"/>
      <w:bookmarkStart w:id="982" w:name="_Toc104175306"/>
      <w:bookmarkStart w:id="983" w:name="_Toc104180456"/>
      <w:r>
        <w:tab/>
        <w:t>(3)</w:t>
      </w:r>
      <w:r>
        <w:tab/>
        <w:t>Where a court has made an order under section 48 the registrar of the court is to send to the CEO</w:t>
      </w:r>
      <w:bookmarkStart w:id="984" w:name="_Toc104023885"/>
      <w:bookmarkStart w:id="985" w:name="_Toc104095931"/>
      <w:bookmarkStart w:id="986" w:name="_Toc104108955"/>
      <w:bookmarkStart w:id="987" w:name="_Toc104111431"/>
      <w:bookmarkStart w:id="988" w:name="_Toc104175307"/>
      <w:bookmarkStart w:id="989" w:name="_Toc104180457"/>
      <w:bookmarkEnd w:id="978"/>
      <w:bookmarkEnd w:id="979"/>
      <w:bookmarkEnd w:id="980"/>
      <w:bookmarkEnd w:id="981"/>
      <w:bookmarkEnd w:id="982"/>
      <w:bookmarkEnd w:id="983"/>
      <w:r>
        <w:t xml:space="preserve"> notice of the findings, penalty imposed and order made</w:t>
      </w:r>
      <w:bookmarkEnd w:id="984"/>
      <w:bookmarkEnd w:id="985"/>
      <w:bookmarkEnd w:id="986"/>
      <w:bookmarkEnd w:id="987"/>
      <w:bookmarkEnd w:id="988"/>
      <w:bookmarkEnd w:id="989"/>
      <w:r>
        <w:t xml:space="preserve">. </w:t>
      </w:r>
    </w:p>
    <w:p>
      <w:pPr>
        <w:pStyle w:val="nzSubsection"/>
      </w:pPr>
      <w:r>
        <w:tab/>
        <w:t>(4)</w:t>
      </w:r>
      <w:r>
        <w:tab/>
        <w:t>On the determination of an application made under section 46 or 47 the executive officer of the State Administrative Tribunal is to send to the CEO a copy of any order in relation to the determination.</w:t>
      </w:r>
    </w:p>
    <w:p>
      <w:pPr>
        <w:pStyle w:val="nzSubsection"/>
      </w:pPr>
      <w:bookmarkStart w:id="990" w:name="_Toc104023876"/>
      <w:bookmarkStart w:id="991" w:name="_Toc104095922"/>
      <w:bookmarkStart w:id="992" w:name="_Toc104108946"/>
      <w:bookmarkStart w:id="993" w:name="_Toc104111422"/>
      <w:r>
        <w:tab/>
        <w:t>(5)</w:t>
      </w:r>
      <w:r>
        <w:tab/>
        <w:t>A person to whom notice of suspension or revocation of a licence is given must comply with any directions of the CEO in relation to delivering up the licence issued to the person.</w:t>
      </w:r>
      <w:bookmarkEnd w:id="990"/>
      <w:bookmarkEnd w:id="991"/>
      <w:bookmarkEnd w:id="992"/>
      <w:bookmarkEnd w:id="993"/>
    </w:p>
    <w:p>
      <w:pPr>
        <w:pStyle w:val="nzPenstart"/>
      </w:pPr>
      <w:r>
        <w:tab/>
        <w:t>Penalty: see section 115.</w:t>
      </w:r>
    </w:p>
    <w:p>
      <w:pPr>
        <w:pStyle w:val="nzSubsection"/>
      </w:pPr>
      <w:r>
        <w:tab/>
        <w:t>(6)</w:t>
      </w:r>
      <w:r>
        <w:tab/>
        <w:t>If a licence is suspended it is to be treated as being of no effect during the period of suspension.</w:t>
      </w:r>
    </w:p>
    <w:p>
      <w:pPr>
        <w:pStyle w:val="nzSubsection"/>
      </w:pPr>
      <w:r>
        <w:tab/>
        <w:t>(7)</w:t>
      </w:r>
      <w:r>
        <w:tab/>
        <w:t>A person who is disqualified from holding a licence of a type specified by a court or the State Administrative Tribunal cannot during the period of disqualification apply for a licence of that type.</w:t>
      </w:r>
    </w:p>
    <w:p>
      <w:pPr>
        <w:pStyle w:val="nzHeading3"/>
      </w:pPr>
      <w:bookmarkStart w:id="994" w:name="_Toc105380312"/>
      <w:bookmarkStart w:id="995" w:name="_Toc105381964"/>
      <w:bookmarkStart w:id="996" w:name="_Toc105385576"/>
      <w:bookmarkStart w:id="997" w:name="_Toc105386802"/>
      <w:bookmarkStart w:id="998" w:name="_Toc105387283"/>
      <w:bookmarkStart w:id="999" w:name="_Toc105389949"/>
      <w:bookmarkStart w:id="1000" w:name="_Toc105399252"/>
      <w:bookmarkStart w:id="1001" w:name="_Toc105399819"/>
      <w:bookmarkStart w:id="1002" w:name="_Toc105409520"/>
      <w:bookmarkStart w:id="1003" w:name="_Toc105472027"/>
      <w:bookmarkStart w:id="1004" w:name="_Toc105478178"/>
      <w:bookmarkStart w:id="1005" w:name="_Toc105479512"/>
      <w:bookmarkStart w:id="1006" w:name="_Toc105490800"/>
      <w:bookmarkStart w:id="1007" w:name="_Toc105494135"/>
      <w:bookmarkStart w:id="1008" w:name="_Toc105563496"/>
      <w:bookmarkStart w:id="1009" w:name="_Toc105564124"/>
      <w:bookmarkStart w:id="1010" w:name="_Toc105565023"/>
      <w:bookmarkStart w:id="1011" w:name="_Toc105575216"/>
      <w:bookmarkStart w:id="1012" w:name="_Toc105576594"/>
      <w:bookmarkStart w:id="1013" w:name="_Toc105576934"/>
      <w:bookmarkStart w:id="1014" w:name="_Toc105577628"/>
      <w:bookmarkStart w:id="1015" w:name="_Toc105578226"/>
      <w:bookmarkStart w:id="1016" w:name="_Toc105579410"/>
      <w:bookmarkStart w:id="1017" w:name="_Toc106073311"/>
      <w:bookmarkStart w:id="1018" w:name="_Toc106079540"/>
      <w:bookmarkStart w:id="1019" w:name="_Toc106082813"/>
      <w:bookmarkStart w:id="1020" w:name="_Toc106091711"/>
      <w:bookmarkStart w:id="1021" w:name="_Toc106093444"/>
      <w:bookmarkStart w:id="1022" w:name="_Toc106093627"/>
      <w:bookmarkStart w:id="1023" w:name="_Toc106094424"/>
      <w:bookmarkStart w:id="1024" w:name="_Toc106096033"/>
      <w:bookmarkStart w:id="1025" w:name="_Toc106098498"/>
      <w:bookmarkStart w:id="1026" w:name="_Toc106161420"/>
      <w:bookmarkStart w:id="1027" w:name="_Toc106162260"/>
      <w:bookmarkStart w:id="1028" w:name="_Toc106168699"/>
      <w:bookmarkStart w:id="1029" w:name="_Toc106171975"/>
      <w:bookmarkStart w:id="1030" w:name="_Toc106184599"/>
      <w:bookmarkStart w:id="1031" w:name="_Toc106185012"/>
      <w:bookmarkStart w:id="1032" w:name="_Toc106186436"/>
      <w:bookmarkStart w:id="1033" w:name="_Toc106187484"/>
      <w:bookmarkStart w:id="1034" w:name="_Toc106416927"/>
      <w:bookmarkStart w:id="1035" w:name="_Toc106438261"/>
      <w:bookmarkStart w:id="1036" w:name="_Toc106441796"/>
      <w:bookmarkStart w:id="1037" w:name="_Toc106442891"/>
      <w:bookmarkStart w:id="1038" w:name="_Toc106510765"/>
      <w:bookmarkStart w:id="1039" w:name="_Toc106512270"/>
      <w:bookmarkStart w:id="1040" w:name="_Toc106604170"/>
      <w:bookmarkStart w:id="1041" w:name="_Toc106608517"/>
      <w:bookmarkStart w:id="1042" w:name="_Toc106610523"/>
      <w:bookmarkStart w:id="1043" w:name="_Toc106617413"/>
      <w:bookmarkStart w:id="1044" w:name="_Toc106618307"/>
      <w:bookmarkStart w:id="1045" w:name="_Toc106619305"/>
      <w:bookmarkStart w:id="1046" w:name="_Toc106620734"/>
      <w:bookmarkStart w:id="1047" w:name="_Toc106621647"/>
      <w:bookmarkStart w:id="1048" w:name="_Toc106682807"/>
      <w:bookmarkStart w:id="1049" w:name="_Toc106685175"/>
      <w:bookmarkStart w:id="1050" w:name="_Toc106686957"/>
      <w:bookmarkStart w:id="1051" w:name="_Toc106687358"/>
      <w:bookmarkStart w:id="1052" w:name="_Toc106687546"/>
      <w:bookmarkStart w:id="1053" w:name="_Toc106687735"/>
      <w:bookmarkStart w:id="1054" w:name="_Toc106687928"/>
      <w:bookmarkStart w:id="1055" w:name="_Toc106696038"/>
      <w:bookmarkStart w:id="1056" w:name="_Toc106696442"/>
      <w:bookmarkStart w:id="1057" w:name="_Toc106699918"/>
      <w:bookmarkStart w:id="1058" w:name="_Toc106704203"/>
      <w:bookmarkStart w:id="1059" w:name="_Toc106775351"/>
      <w:bookmarkStart w:id="1060" w:name="_Toc106775815"/>
      <w:bookmarkStart w:id="1061" w:name="_Toc107110016"/>
      <w:bookmarkStart w:id="1062" w:name="_Toc107111174"/>
      <w:bookmarkStart w:id="1063" w:name="_Toc107118288"/>
      <w:bookmarkStart w:id="1064" w:name="_Toc107644102"/>
      <w:bookmarkStart w:id="1065" w:name="_Toc112831048"/>
      <w:bookmarkStart w:id="1066" w:name="_Toc112831243"/>
      <w:bookmarkStart w:id="1067" w:name="_Toc112833367"/>
      <w:bookmarkStart w:id="1068" w:name="_Toc114569916"/>
      <w:bookmarkStart w:id="1069" w:name="_Toc130804999"/>
      <w:bookmarkStart w:id="1070" w:name="_Toc130806036"/>
      <w:bookmarkStart w:id="1071" w:name="_Toc130811747"/>
      <w:bookmarkStart w:id="1072" w:name="_Toc131931473"/>
      <w:bookmarkStart w:id="1073" w:name="_Toc131931705"/>
      <w:bookmarkStart w:id="1074" w:name="_Toc131932988"/>
      <w:bookmarkStart w:id="1075" w:name="_Toc132000971"/>
      <w:bookmarkStart w:id="1076" w:name="_Toc133116143"/>
      <w:bookmarkStart w:id="1077" w:name="_Toc133120256"/>
      <w:r>
        <w:rPr>
          <w:rStyle w:val="CharDivNo"/>
        </w:rPr>
        <w:t>Division 3</w:t>
      </w:r>
      <w:r>
        <w:t> — </w:t>
      </w:r>
      <w:r>
        <w:rPr>
          <w:rStyle w:val="CharDivText"/>
        </w:rPr>
        <w:t>Further obligations of licence holders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nzHeading5"/>
      </w:pPr>
      <w:bookmarkStart w:id="1078" w:name="_Toc104887971"/>
      <w:bookmarkStart w:id="1079" w:name="_Toc112831049"/>
      <w:bookmarkStart w:id="1080" w:name="_Toc132000972"/>
      <w:bookmarkStart w:id="1081" w:name="_Toc133116144"/>
      <w:bookmarkStart w:id="1082" w:name="_Toc133120257"/>
      <w:r>
        <w:rPr>
          <w:rStyle w:val="CharSectno"/>
        </w:rPr>
        <w:t>51</w:t>
      </w:r>
      <w:r>
        <w:t>.</w:t>
      </w:r>
      <w:r>
        <w:tab/>
        <w:t>Breach of condition or restriction</w:t>
      </w:r>
      <w:bookmarkEnd w:id="1078"/>
      <w:bookmarkEnd w:id="1079"/>
      <w:bookmarkEnd w:id="1080"/>
      <w:bookmarkEnd w:id="1081"/>
      <w:bookmarkEnd w:id="1082"/>
      <w:r>
        <w:t xml:space="preserve"> </w:t>
      </w:r>
    </w:p>
    <w:p>
      <w:pPr>
        <w:pStyle w:val="nzSubsection"/>
      </w:pPr>
      <w:r>
        <w:tab/>
      </w:r>
      <w:r>
        <w:tab/>
        <w:t>The holder of a licence must comply with each condition or restriction attached to the licence.</w:t>
      </w:r>
    </w:p>
    <w:p>
      <w:pPr>
        <w:pStyle w:val="nzPenstart"/>
      </w:pPr>
      <w:r>
        <w:tab/>
        <w:t>Penalty: see section 115.</w:t>
      </w:r>
    </w:p>
    <w:p>
      <w:pPr>
        <w:pStyle w:val="nzHeading5"/>
      </w:pPr>
      <w:bookmarkStart w:id="1083" w:name="_Toc104887972"/>
      <w:bookmarkStart w:id="1084" w:name="_Toc112831050"/>
      <w:bookmarkStart w:id="1085" w:name="_Toc132000973"/>
      <w:bookmarkStart w:id="1086" w:name="_Toc133116145"/>
      <w:bookmarkStart w:id="1087" w:name="_Toc133120258"/>
      <w:r>
        <w:rPr>
          <w:rStyle w:val="CharSectno"/>
        </w:rPr>
        <w:t>52</w:t>
      </w:r>
      <w:r>
        <w:t>.</w:t>
      </w:r>
      <w:r>
        <w:tab/>
        <w:t>Display of retailer’s licence</w:t>
      </w:r>
      <w:bookmarkEnd w:id="1083"/>
      <w:bookmarkEnd w:id="1084"/>
      <w:bookmarkEnd w:id="1085"/>
      <w:bookmarkEnd w:id="1086"/>
      <w:bookmarkEnd w:id="1087"/>
    </w:p>
    <w:p>
      <w:pPr>
        <w:pStyle w:val="nzSubsection"/>
      </w:pPr>
      <w:r>
        <w:tab/>
        <w:t>(1)</w:t>
      </w:r>
      <w:r>
        <w:tab/>
        <w:t xml:space="preserve">The holder of a retailer’s licence must display at all times the licence or a true copy of the licence — </w:t>
      </w:r>
    </w:p>
    <w:p>
      <w:pPr>
        <w:pStyle w:val="nzIndenta"/>
      </w:pPr>
      <w:r>
        <w:tab/>
        <w:t>(a)</w:t>
      </w:r>
      <w:r>
        <w:tab/>
        <w:t>at the premises specified in the licence;</w:t>
      </w:r>
    </w:p>
    <w:p>
      <w:pPr>
        <w:pStyle w:val="nzIndenta"/>
      </w:pPr>
      <w:r>
        <w:tab/>
        <w:t>(b)</w:t>
      </w:r>
      <w:r>
        <w:tab/>
        <w:t>at the place where tobacco products are sold at the premises; and</w:t>
      </w:r>
    </w:p>
    <w:p>
      <w:pPr>
        <w:pStyle w:val="nzIndenta"/>
      </w:pPr>
      <w:r>
        <w:tab/>
        <w:t>(c)</w:t>
      </w:r>
      <w:r>
        <w:tab/>
        <w:t>so that the licence or copy is clearly visible to members of the public.</w:t>
      </w:r>
    </w:p>
    <w:p>
      <w:pPr>
        <w:pStyle w:val="nzPenstart"/>
      </w:pPr>
      <w:r>
        <w:tab/>
        <w:t>Penalty: see section 115.</w:t>
      </w:r>
    </w:p>
    <w:p>
      <w:pPr>
        <w:pStyle w:val="nzSubsection"/>
      </w:pPr>
      <w:r>
        <w:tab/>
        <w:t>(2)</w:t>
      </w:r>
      <w:r>
        <w:tab/>
        <w:t>A person does not commit an offence under subsection (1) if there has been compliance with section 54(1).</w:t>
      </w:r>
    </w:p>
    <w:p>
      <w:pPr>
        <w:pStyle w:val="nzHeading5"/>
      </w:pPr>
      <w:bookmarkStart w:id="1088" w:name="_Toc104023904"/>
      <w:bookmarkStart w:id="1089" w:name="_Toc104887973"/>
      <w:bookmarkStart w:id="1090" w:name="_Toc112831051"/>
      <w:bookmarkStart w:id="1091" w:name="_Toc132000974"/>
      <w:bookmarkStart w:id="1092" w:name="_Toc133116146"/>
      <w:bookmarkStart w:id="1093" w:name="_Toc133120259"/>
      <w:r>
        <w:rPr>
          <w:rStyle w:val="CharSectno"/>
        </w:rPr>
        <w:t>53</w:t>
      </w:r>
      <w:r>
        <w:t>.</w:t>
      </w:r>
      <w:r>
        <w:tab/>
        <w:t>Production of licence</w:t>
      </w:r>
      <w:bookmarkEnd w:id="1088"/>
      <w:bookmarkEnd w:id="1089"/>
      <w:bookmarkEnd w:id="1090"/>
      <w:bookmarkEnd w:id="1091"/>
      <w:bookmarkEnd w:id="1092"/>
      <w:bookmarkEnd w:id="1093"/>
    </w:p>
    <w:p>
      <w:pPr>
        <w:pStyle w:val="nzSubsection"/>
      </w:pPr>
      <w:r>
        <w:tab/>
      </w:r>
      <w:r>
        <w:tab/>
      </w:r>
      <w:bookmarkStart w:id="1094" w:name="_Toc104023905"/>
      <w:r>
        <w:t>The holder of a licence must, if requested by an investigator to do so, produce the licence for inspection as soon as is practicable.</w:t>
      </w:r>
      <w:bookmarkEnd w:id="1094"/>
    </w:p>
    <w:p>
      <w:pPr>
        <w:pStyle w:val="nzPenstart"/>
      </w:pPr>
      <w:r>
        <w:tab/>
        <w:t>Penalty: see section 115.</w:t>
      </w:r>
    </w:p>
    <w:p>
      <w:pPr>
        <w:pStyle w:val="nzHeading5"/>
      </w:pPr>
      <w:bookmarkStart w:id="1095" w:name="_Toc104887974"/>
      <w:bookmarkStart w:id="1096" w:name="_Toc112831052"/>
      <w:bookmarkStart w:id="1097" w:name="_Toc132000975"/>
      <w:bookmarkStart w:id="1098" w:name="_Toc133116147"/>
      <w:bookmarkStart w:id="1099" w:name="_Toc133120260"/>
      <w:r>
        <w:rPr>
          <w:rStyle w:val="CharSectno"/>
        </w:rPr>
        <w:t>54</w:t>
      </w:r>
      <w:r>
        <w:t>.</w:t>
      </w:r>
      <w:r>
        <w:tab/>
        <w:t>Replacement licences</w:t>
      </w:r>
      <w:bookmarkEnd w:id="1095"/>
      <w:bookmarkEnd w:id="1096"/>
      <w:bookmarkEnd w:id="1097"/>
      <w:bookmarkEnd w:id="1098"/>
      <w:bookmarkEnd w:id="1099"/>
    </w:p>
    <w:p>
      <w:pPr>
        <w:pStyle w:val="nzSubsection"/>
      </w:pPr>
      <w:bookmarkStart w:id="1100" w:name="_Toc104023863"/>
      <w:r>
        <w:tab/>
        <w:t>(1)</w:t>
      </w:r>
      <w:r>
        <w:tab/>
        <w:t>The holder of a licence which has been lost or destroyed must notify the CEO of the loss or destruction within 14 days of becoming aware of the loss or destruction.</w:t>
      </w:r>
    </w:p>
    <w:p>
      <w:pPr>
        <w:pStyle w:val="nzPenstart"/>
      </w:pPr>
      <w:r>
        <w:tab/>
        <w:t>Penalty: see section 115.</w:t>
      </w:r>
    </w:p>
    <w:p>
      <w:pPr>
        <w:pStyle w:val="nzSubsection"/>
      </w:pPr>
      <w:r>
        <w:tab/>
        <w:t>(2)</w:t>
      </w:r>
      <w:r>
        <w:tab/>
        <w:t>If the CEO is satisfied that a licence has been lost or destroyed the CEO may issue a duplicate licence on payment of the prescribed fee.</w:t>
      </w:r>
      <w:bookmarkEnd w:id="1100"/>
    </w:p>
    <w:p>
      <w:pPr>
        <w:pStyle w:val="nzHeading5"/>
      </w:pPr>
      <w:bookmarkStart w:id="1101" w:name="_Toc104023907"/>
      <w:bookmarkStart w:id="1102" w:name="_Toc104887975"/>
      <w:bookmarkStart w:id="1103" w:name="_Toc112831053"/>
      <w:bookmarkStart w:id="1104" w:name="_Toc132000976"/>
      <w:bookmarkStart w:id="1105" w:name="_Toc133116148"/>
      <w:bookmarkStart w:id="1106" w:name="_Toc133120261"/>
      <w:r>
        <w:rPr>
          <w:rStyle w:val="CharSectno"/>
        </w:rPr>
        <w:t>55</w:t>
      </w:r>
      <w:r>
        <w:t>.</w:t>
      </w:r>
      <w:r>
        <w:tab/>
        <w:t>Return of licence</w:t>
      </w:r>
      <w:bookmarkEnd w:id="1101"/>
      <w:bookmarkEnd w:id="1102"/>
      <w:bookmarkEnd w:id="1103"/>
      <w:bookmarkEnd w:id="1104"/>
      <w:bookmarkEnd w:id="1105"/>
      <w:bookmarkEnd w:id="1106"/>
    </w:p>
    <w:p>
      <w:pPr>
        <w:pStyle w:val="nzSubsection"/>
      </w:pPr>
      <w:bookmarkStart w:id="1107" w:name="_Toc104023908"/>
      <w:r>
        <w:tab/>
        <w:t>(1)</w:t>
      </w:r>
      <w:r>
        <w:tab/>
        <w:t>The holder of a licence</w:t>
      </w:r>
      <w:bookmarkStart w:id="1108" w:name="_Toc104023909"/>
      <w:bookmarkEnd w:id="1107"/>
      <w:r>
        <w:t xml:space="preserve"> that has not been renewed</w:t>
      </w:r>
      <w:bookmarkStart w:id="1109" w:name="_Toc104023911"/>
      <w:bookmarkEnd w:id="1108"/>
      <w:r>
        <w:t xml:space="preserve"> must return the expired licence to the CEO</w:t>
      </w:r>
      <w:bookmarkEnd w:id="1109"/>
      <w:r>
        <w:t xml:space="preserve"> within 14 days of the expiry.</w:t>
      </w:r>
    </w:p>
    <w:p>
      <w:pPr>
        <w:pStyle w:val="nzSubsection"/>
      </w:pPr>
      <w:r>
        <w:tab/>
        <w:t>(2)</w:t>
      </w:r>
      <w:r>
        <w:tab/>
        <w:t>The holder of a licence that has been amended under section 44 must return the original licence to the CEO within 14 days of receiving the amended licence.</w:t>
      </w:r>
    </w:p>
    <w:p>
      <w:pPr>
        <w:pStyle w:val="nzSubsection"/>
      </w:pPr>
      <w:r>
        <w:tab/>
        <w:t>(3)</w:t>
      </w:r>
      <w:r>
        <w:tab/>
        <w:t>The holder of a licence who ceases to carry on the business in respect of which the licence was issued must return the licence to the CEO within 28 days of ceasing to carry on the business.</w:t>
      </w:r>
    </w:p>
    <w:p>
      <w:pPr>
        <w:pStyle w:val="nzPenstart"/>
      </w:pPr>
      <w:r>
        <w:tab/>
        <w:t>Penalty applicable to subsections (1), (2) and (3): see section 115.</w:t>
      </w:r>
    </w:p>
    <w:p>
      <w:pPr>
        <w:pStyle w:val="nzSubsection"/>
      </w:pPr>
      <w:r>
        <w:tab/>
        <w:t>(4)</w:t>
      </w:r>
      <w:r>
        <w:tab/>
        <w:t xml:space="preserve">The holder of a current licence may return the licence to the CEO at any time, in which case — </w:t>
      </w:r>
    </w:p>
    <w:p>
      <w:pPr>
        <w:pStyle w:val="nzIndenta"/>
      </w:pPr>
      <w:r>
        <w:tab/>
        <w:t>(a)</w:t>
      </w:r>
      <w:r>
        <w:tab/>
        <w:t>the licence ceases to have effect when it is received by the CEO; but</w:t>
      </w:r>
    </w:p>
    <w:p>
      <w:pPr>
        <w:pStyle w:val="nzIndenta"/>
      </w:pPr>
      <w:r>
        <w:tab/>
        <w:t>(b)</w:t>
      </w:r>
      <w:r>
        <w:tab/>
        <w:t>this Act applies, for the purpose of enabling the person to be investigated or otherwise dealt with for a matter arising before the return, as if the licence had not been returned.</w:t>
      </w:r>
    </w:p>
    <w:p>
      <w:pPr>
        <w:pStyle w:val="nzHeading5"/>
      </w:pPr>
      <w:bookmarkStart w:id="1110" w:name="_Toc104887976"/>
      <w:bookmarkStart w:id="1111" w:name="_Toc112831054"/>
      <w:bookmarkStart w:id="1112" w:name="_Toc132000977"/>
      <w:bookmarkStart w:id="1113" w:name="_Toc133116149"/>
      <w:bookmarkStart w:id="1114" w:name="_Toc133120262"/>
      <w:r>
        <w:rPr>
          <w:rStyle w:val="CharSectno"/>
        </w:rPr>
        <w:t>56</w:t>
      </w:r>
      <w:r>
        <w:t>.</w:t>
      </w:r>
      <w:r>
        <w:tab/>
        <w:t>Licence details on invoices etc.</w:t>
      </w:r>
      <w:bookmarkEnd w:id="1110"/>
      <w:bookmarkEnd w:id="1111"/>
      <w:bookmarkEnd w:id="1112"/>
      <w:bookmarkEnd w:id="1113"/>
      <w:bookmarkEnd w:id="1114"/>
    </w:p>
    <w:p>
      <w:pPr>
        <w:pStyle w:val="nzSubsection"/>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nz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nzPenstart"/>
      </w:pPr>
      <w:r>
        <w:tab/>
        <w:t>Penalty applicable to subsections (1) and (2): see section 115.</w:t>
      </w:r>
    </w:p>
    <w:p>
      <w:pPr>
        <w:pStyle w:val="nzSubsection"/>
      </w:pPr>
      <w:r>
        <w:tab/>
        <w:t>(3)</w:t>
      </w:r>
      <w:r>
        <w:tab/>
        <w:t xml:space="preserve">The particulars to be recorded for the purposes of subsections (1) and (2) are as follows — </w:t>
      </w:r>
    </w:p>
    <w:p>
      <w:pPr>
        <w:pStyle w:val="nzIndenta"/>
      </w:pPr>
      <w:r>
        <w:tab/>
        <w:t>(a)</w:t>
      </w:r>
      <w:r>
        <w:tab/>
        <w:t>the name of the licence holder;</w:t>
      </w:r>
    </w:p>
    <w:p>
      <w:pPr>
        <w:pStyle w:val="nzIndenta"/>
      </w:pPr>
      <w:r>
        <w:tab/>
        <w:t>(b)</w:t>
      </w:r>
      <w:r>
        <w:tab/>
        <w:t>the address of the premises specified in the licence;</w:t>
      </w:r>
    </w:p>
    <w:p>
      <w:pPr>
        <w:pStyle w:val="nzIndenta"/>
      </w:pPr>
      <w:r>
        <w:tab/>
        <w:t>(c)</w:t>
      </w:r>
      <w:r>
        <w:tab/>
        <w:t>the identifying number of the licence; and</w:t>
      </w:r>
    </w:p>
    <w:p>
      <w:pPr>
        <w:pStyle w:val="nzIndenta"/>
      </w:pPr>
      <w:r>
        <w:tab/>
        <w:t>(d)</w:t>
      </w:r>
      <w:r>
        <w:tab/>
        <w:t>such other particulars as are prescribed.</w:t>
      </w:r>
    </w:p>
    <w:p>
      <w:pPr>
        <w:pStyle w:val="nzHeading5"/>
      </w:pPr>
      <w:bookmarkStart w:id="1115" w:name="_Toc104887977"/>
      <w:bookmarkStart w:id="1116" w:name="_Toc112831055"/>
      <w:bookmarkStart w:id="1117" w:name="_Toc132000978"/>
      <w:bookmarkStart w:id="1118" w:name="_Toc133116150"/>
      <w:bookmarkStart w:id="1119" w:name="_Toc133120263"/>
      <w:r>
        <w:rPr>
          <w:rStyle w:val="CharSectno"/>
        </w:rPr>
        <w:t>57</w:t>
      </w:r>
      <w:r>
        <w:t>.</w:t>
      </w:r>
      <w:r>
        <w:tab/>
        <w:t>Duties of wholesalers</w:t>
      </w:r>
      <w:bookmarkEnd w:id="1115"/>
      <w:bookmarkEnd w:id="1116"/>
      <w:bookmarkEnd w:id="1117"/>
      <w:bookmarkEnd w:id="1118"/>
      <w:bookmarkEnd w:id="1119"/>
    </w:p>
    <w:p>
      <w:pPr>
        <w:pStyle w:val="nzSubsection"/>
      </w:pPr>
      <w:r>
        <w:tab/>
        <w:t>(1)</w:t>
      </w:r>
      <w:r>
        <w:tab/>
        <w:t>The holder of a wholesaler’s licence must not authorise or allow a tobacco product to be sold to a purchaser by way of wholesale sale unless the purchaser holds a licence.</w:t>
      </w:r>
    </w:p>
    <w:p>
      <w:pPr>
        <w:pStyle w:val="nz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nzSubsection"/>
      </w:pPr>
      <w:r>
        <w:tab/>
        <w:t>(3)</w:t>
      </w:r>
      <w:r>
        <w:tab/>
        <w:t>The holder of a wholesaler’s licence must not authorise or allow a tobacco product to be sold to the holder of a retailer’s licence by way of wholesale sale unless an invoice is issued in relation to the sale.</w:t>
      </w:r>
    </w:p>
    <w:p>
      <w:pPr>
        <w:pStyle w:val="nzSubsection"/>
      </w:pPr>
      <w:r>
        <w:tab/>
        <w:t>(4)</w:t>
      </w:r>
      <w:r>
        <w:tab/>
        <w:t xml:space="preserve">The CEO may require the holder of a wholesaler’s licence to provide to the CEO, in the manner and within the period specified by the CEO — </w:t>
      </w:r>
    </w:p>
    <w:p>
      <w:pPr>
        <w:pStyle w:val="nzIndenta"/>
      </w:pPr>
      <w:r>
        <w:tab/>
        <w:t>(a)</w:t>
      </w:r>
      <w:r>
        <w:tab/>
        <w:t>the name and address of any person to whom the licence holder has sold tobacco products under the licence during a period specified by the CEO;</w:t>
      </w:r>
    </w:p>
    <w:p>
      <w:pPr>
        <w:pStyle w:val="nzIndenta"/>
      </w:pPr>
      <w:r>
        <w:tab/>
        <w:t>(b)</w:t>
      </w:r>
      <w:r>
        <w:tab/>
        <w:t>information as to the chemical composition of a tobacco product sold or available for sale under the licence;</w:t>
      </w:r>
    </w:p>
    <w:p>
      <w:pPr>
        <w:pStyle w:val="nzIndenta"/>
      </w:pPr>
      <w:r>
        <w:tab/>
        <w:t>(c)</w:t>
      </w:r>
      <w:r>
        <w:tab/>
        <w:t>information as to the volume of sales made under the licence during a period specified by the CEO.</w:t>
      </w:r>
    </w:p>
    <w:p>
      <w:pPr>
        <w:pStyle w:val="nzSubsection"/>
      </w:pPr>
      <w:r>
        <w:tab/>
        <w:t>(5)</w:t>
      </w:r>
      <w:r>
        <w:tab/>
        <w:t>The holder of a wholesaler’s licence must comply with a requirement made under subsection (4).</w:t>
      </w:r>
    </w:p>
    <w:p>
      <w:pPr>
        <w:pStyle w:val="nzPenstart"/>
      </w:pPr>
      <w:r>
        <w:tab/>
        <w:t>Penalty applicable to subsections (1), (3) and (5): a fine of $20 000.</w:t>
      </w:r>
    </w:p>
    <w:p>
      <w:pPr>
        <w:pStyle w:val="nzSubsection"/>
      </w:pPr>
      <w:r>
        <w:tab/>
        <w:t>(6)</w:t>
      </w:r>
      <w:r>
        <w:tab/>
        <w:t>If a person is charged with an offence under subsection (5) it is a defence to prove that the accused could not, by the exercise of reasonable diligence, have complied with the requirement to which the charge relates.</w:t>
      </w:r>
    </w:p>
    <w:p>
      <w:pPr>
        <w:pStyle w:val="nzHeading5"/>
      </w:pPr>
      <w:bookmarkStart w:id="1120" w:name="_Toc104023918"/>
      <w:bookmarkStart w:id="1121" w:name="_Toc104887978"/>
      <w:bookmarkStart w:id="1122" w:name="_Toc112831056"/>
      <w:bookmarkStart w:id="1123" w:name="_Toc132000979"/>
      <w:bookmarkStart w:id="1124" w:name="_Toc133116151"/>
      <w:bookmarkStart w:id="1125" w:name="_Toc133120264"/>
      <w:r>
        <w:rPr>
          <w:rStyle w:val="CharSectno"/>
        </w:rPr>
        <w:t>58</w:t>
      </w:r>
      <w:r>
        <w:t>.</w:t>
      </w:r>
      <w:r>
        <w:tab/>
        <w:t>Records to be kept</w:t>
      </w:r>
      <w:bookmarkEnd w:id="1120"/>
      <w:bookmarkEnd w:id="1121"/>
      <w:bookmarkEnd w:id="1122"/>
      <w:bookmarkEnd w:id="1123"/>
      <w:bookmarkEnd w:id="1124"/>
      <w:bookmarkEnd w:id="1125"/>
    </w:p>
    <w:p>
      <w:pPr>
        <w:pStyle w:val="nzSubsection"/>
      </w:pPr>
      <w:bookmarkStart w:id="1126" w:name="_Toc104023919"/>
      <w:bookmarkStart w:id="1127" w:name="_Toc104095953"/>
      <w:bookmarkStart w:id="1128" w:name="_Toc104108977"/>
      <w:bookmarkStart w:id="1129" w:name="_Toc104111453"/>
      <w:bookmarkStart w:id="1130" w:name="_Toc104175329"/>
      <w:bookmarkStart w:id="1131" w:name="_Toc104180480"/>
      <w:r>
        <w:tab/>
        <w:t>(1)</w:t>
      </w:r>
      <w:r>
        <w:tab/>
        <w:t>The holder of a licence and an individual who at any time held a licence —</w:t>
      </w:r>
      <w:bookmarkEnd w:id="1126"/>
      <w:bookmarkEnd w:id="1127"/>
      <w:bookmarkEnd w:id="1128"/>
      <w:bookmarkEnd w:id="1129"/>
      <w:bookmarkEnd w:id="1130"/>
      <w:bookmarkEnd w:id="1131"/>
      <w:r>
        <w:t xml:space="preserve"> </w:t>
      </w:r>
    </w:p>
    <w:p>
      <w:pPr>
        <w:pStyle w:val="nzIndenta"/>
      </w:pPr>
      <w:bookmarkStart w:id="1132" w:name="_Toc104023920"/>
      <w:bookmarkStart w:id="1133" w:name="_Toc104095954"/>
      <w:bookmarkStart w:id="1134" w:name="_Toc104108978"/>
      <w:bookmarkStart w:id="1135" w:name="_Toc104111454"/>
      <w:bookmarkStart w:id="1136" w:name="_Toc104175330"/>
      <w:bookmarkStart w:id="1137" w:name="_Toc104180481"/>
      <w:r>
        <w:tab/>
        <w:t>(a)</w:t>
      </w:r>
      <w:r>
        <w:tab/>
        <w:t>must keep such records as are prescribed containing such particulars as are prescribed;</w:t>
      </w:r>
      <w:bookmarkEnd w:id="1132"/>
      <w:bookmarkEnd w:id="1133"/>
      <w:bookmarkEnd w:id="1134"/>
      <w:bookmarkEnd w:id="1135"/>
      <w:bookmarkEnd w:id="1136"/>
      <w:bookmarkEnd w:id="1137"/>
    </w:p>
    <w:p>
      <w:pPr>
        <w:pStyle w:val="nzIndenta"/>
      </w:pPr>
      <w:bookmarkStart w:id="1138" w:name="_Toc104023921"/>
      <w:bookmarkStart w:id="1139" w:name="_Toc104095955"/>
      <w:bookmarkStart w:id="1140" w:name="_Toc104108979"/>
      <w:bookmarkStart w:id="1141" w:name="_Toc104111455"/>
      <w:bookmarkStart w:id="1142" w:name="_Toc104175331"/>
      <w:bookmarkStart w:id="1143" w:name="_Toc104180482"/>
      <w:r>
        <w:tab/>
        <w:t>(b)</w:t>
      </w:r>
      <w:r>
        <w:tab/>
        <w:t>must not knowingly make any false or misleading entry in any record; and</w:t>
      </w:r>
      <w:bookmarkEnd w:id="1138"/>
      <w:bookmarkEnd w:id="1139"/>
      <w:bookmarkEnd w:id="1140"/>
      <w:bookmarkEnd w:id="1141"/>
      <w:bookmarkEnd w:id="1142"/>
      <w:bookmarkEnd w:id="1143"/>
    </w:p>
    <w:p>
      <w:pPr>
        <w:pStyle w:val="nzIndenta"/>
      </w:pPr>
      <w:bookmarkStart w:id="1144" w:name="_Toc104023922"/>
      <w:bookmarkStart w:id="1145" w:name="_Toc104095956"/>
      <w:bookmarkStart w:id="1146" w:name="_Toc104108980"/>
      <w:bookmarkStart w:id="1147" w:name="_Toc104111456"/>
      <w:bookmarkStart w:id="1148" w:name="_Toc104175332"/>
      <w:bookmarkStart w:id="1149" w:name="_Toc104180483"/>
      <w:r>
        <w:tab/>
        <w:t>(c)</w:t>
      </w:r>
      <w:r>
        <w:tab/>
        <w:t>must preserve any record kept under this section for a period of 3 years after the last entry was made in it and must do so at premises of which notice is given under subsection (2).</w:t>
      </w:r>
      <w:bookmarkEnd w:id="1144"/>
      <w:bookmarkEnd w:id="1145"/>
      <w:bookmarkEnd w:id="1146"/>
      <w:bookmarkEnd w:id="1147"/>
      <w:bookmarkEnd w:id="1148"/>
      <w:bookmarkEnd w:id="1149"/>
    </w:p>
    <w:p>
      <w:pPr>
        <w:pStyle w:val="nzSubsection"/>
      </w:pPr>
      <w:bookmarkStart w:id="1150" w:name="_Toc104023924"/>
      <w:bookmarkStart w:id="1151" w:name="_Toc104095958"/>
      <w:bookmarkStart w:id="1152" w:name="_Toc104108982"/>
      <w:bookmarkStart w:id="1153" w:name="_Toc104111458"/>
      <w:bookmarkStart w:id="1154" w:name="_Toc104175334"/>
      <w:bookmarkStart w:id="1155" w:name="_Toc104180485"/>
      <w:r>
        <w:tab/>
        <w:t>(2)</w:t>
      </w:r>
      <w:r>
        <w:tab/>
        <w:t xml:space="preserve">A person mentioned in subsection (1) must notify the CEO in writing of the address of the premises — </w:t>
      </w:r>
    </w:p>
    <w:p>
      <w:pPr>
        <w:pStyle w:val="nzIndenta"/>
      </w:pPr>
      <w:r>
        <w:tab/>
        <w:t>(a)</w:t>
      </w:r>
      <w:r>
        <w:tab/>
        <w:t>at which records are preserved under subsection (1)(c); and</w:t>
      </w:r>
    </w:p>
    <w:p>
      <w:pPr>
        <w:pStyle w:val="nzIndenta"/>
      </w:pPr>
      <w:r>
        <w:tab/>
        <w:t>(b)</w:t>
      </w:r>
      <w:r>
        <w:tab/>
        <w:t>to which records are moved.</w:t>
      </w:r>
      <w:bookmarkEnd w:id="1150"/>
      <w:bookmarkEnd w:id="1151"/>
      <w:bookmarkEnd w:id="1152"/>
      <w:bookmarkEnd w:id="1153"/>
      <w:bookmarkEnd w:id="1154"/>
      <w:bookmarkEnd w:id="1155"/>
    </w:p>
    <w:p>
      <w:pPr>
        <w:pStyle w:val="nzPenstart"/>
      </w:pPr>
      <w:r>
        <w:tab/>
        <w:t>Penalty applicable to subsections (1) and (2): see section 115.</w:t>
      </w:r>
    </w:p>
    <w:p>
      <w:pPr>
        <w:pStyle w:val="nzSubsection"/>
      </w:pPr>
      <w:bookmarkStart w:id="1156" w:name="_Toc104023926"/>
      <w:bookmarkStart w:id="1157" w:name="_Toc104095960"/>
      <w:bookmarkStart w:id="1158" w:name="_Toc104108984"/>
      <w:bookmarkStart w:id="1159" w:name="_Toc104111460"/>
      <w:bookmarkStart w:id="1160" w:name="_Toc104175336"/>
      <w:bookmarkStart w:id="1161" w:name="_Toc104180487"/>
      <w:r>
        <w:tab/>
        <w:t>(3)</w:t>
      </w:r>
      <w:r>
        <w:tab/>
        <w:t>Premises referred to in subsection (2) must be in this State unless the CEO in writing approves otherwise.</w:t>
      </w:r>
      <w:bookmarkEnd w:id="1156"/>
      <w:bookmarkEnd w:id="1157"/>
      <w:bookmarkEnd w:id="1158"/>
      <w:bookmarkEnd w:id="1159"/>
      <w:bookmarkEnd w:id="1160"/>
      <w:bookmarkEnd w:id="1161"/>
    </w:p>
    <w:p>
      <w:pPr>
        <w:pStyle w:val="nzHeading5"/>
      </w:pPr>
      <w:bookmarkStart w:id="1162" w:name="_Toc104888026"/>
      <w:bookmarkStart w:id="1163" w:name="_Toc112831114"/>
      <w:bookmarkStart w:id="1164" w:name="_Toc132001037"/>
      <w:bookmarkStart w:id="1165" w:name="_Toc133116209"/>
      <w:bookmarkStart w:id="1166" w:name="_Toc133120322"/>
      <w:r>
        <w:rPr>
          <w:rStyle w:val="CharSectno"/>
        </w:rPr>
        <w:t>103</w:t>
      </w:r>
      <w:r>
        <w:t>.</w:t>
      </w:r>
      <w:r>
        <w:tab/>
        <w:t>False or misleading information: providing to CEO, investigators</w:t>
      </w:r>
      <w:bookmarkEnd w:id="1162"/>
      <w:bookmarkEnd w:id="1163"/>
      <w:bookmarkEnd w:id="1164"/>
      <w:bookmarkEnd w:id="1165"/>
      <w:bookmarkEnd w:id="1166"/>
    </w:p>
    <w:p>
      <w:pPr>
        <w:pStyle w:val="nzSubsection"/>
      </w:pPr>
      <w:r>
        <w:tab/>
        <w:t>(2)</w:t>
      </w:r>
      <w:r>
        <w:tab/>
        <w:t>A person must not, in relation to an application for the issue, renewal or amendment of a licence, give information orally or in writing knowing it to be false or misleading in a material particular.</w:t>
      </w:r>
    </w:p>
    <w:p>
      <w:pPr>
        <w:pStyle w:val="nzPenstart"/>
      </w:pPr>
      <w:r>
        <w:tab/>
        <w:t>Penalty: a fine of $20 000.</w:t>
      </w:r>
    </w:p>
    <w:p>
      <w:pPr>
        <w:pStyle w:val="nzHeading5"/>
      </w:pPr>
      <w:bookmarkStart w:id="1167" w:name="_Toc104888030"/>
      <w:bookmarkStart w:id="1168" w:name="_Toc112831116"/>
      <w:bookmarkStart w:id="1169" w:name="_Toc132001039"/>
      <w:bookmarkStart w:id="1170" w:name="_Toc133116211"/>
      <w:bookmarkStart w:id="1171" w:name="_Toc133120324"/>
      <w:r>
        <w:rPr>
          <w:rStyle w:val="CharSectno"/>
        </w:rPr>
        <w:t>105</w:t>
      </w:r>
      <w:r>
        <w:t>.</w:t>
      </w:r>
      <w:r>
        <w:tab/>
        <w:t>Offence to possess certain tobacco products</w:t>
      </w:r>
      <w:bookmarkEnd w:id="1167"/>
      <w:bookmarkEnd w:id="1168"/>
      <w:bookmarkEnd w:id="1169"/>
      <w:bookmarkEnd w:id="1170"/>
      <w:bookmarkEnd w:id="1171"/>
    </w:p>
    <w:p>
      <w:pPr>
        <w:pStyle w:val="nzSubsection"/>
      </w:pPr>
      <w:r>
        <w:tab/>
      </w:r>
      <w:r>
        <w:tab/>
        <w:t xml:space="preserve">The holder of a licence must not, without reasonable excuse, be in possession or control of any tobacco products that the licence holder knows or ought reasonably to know — </w:t>
      </w:r>
    </w:p>
    <w:p>
      <w:pPr>
        <w:pStyle w:val="nzIndenta"/>
      </w:pPr>
      <w:r>
        <w:tab/>
        <w:t>(a)</w:t>
      </w:r>
      <w:r>
        <w:tab/>
        <w:t xml:space="preserve">are prohibited goods as defined in the </w:t>
      </w:r>
      <w:r>
        <w:rPr>
          <w:i/>
          <w:iCs/>
        </w:rPr>
        <w:t>Customs Act 1901</w:t>
      </w:r>
      <w:r>
        <w:t xml:space="preserve"> of the Commonwealth; or</w:t>
      </w:r>
    </w:p>
    <w:p>
      <w:pPr>
        <w:pStyle w:val="nzIndenta"/>
      </w:pPr>
      <w:r>
        <w:tab/>
        <w:t>(b)</w:t>
      </w:r>
      <w:r>
        <w:tab/>
        <w:t xml:space="preserve">are excisable goods as defined in the </w:t>
      </w:r>
      <w:r>
        <w:rPr>
          <w:i/>
          <w:iCs/>
        </w:rPr>
        <w:t>Excise Act 1901</w:t>
      </w:r>
      <w:r>
        <w:t xml:space="preserve"> of the Commonwealth upon which excise duty has not been paid.</w:t>
      </w:r>
    </w:p>
    <w:p>
      <w:pPr>
        <w:pStyle w:val="nzPenstart"/>
      </w:pPr>
      <w:r>
        <w:tab/>
        <w:t>Penalty: see section 115.</w:t>
      </w:r>
    </w:p>
    <w:p>
      <w:pPr>
        <w:pStyle w:val="nzHeading5"/>
      </w:pPr>
      <w:bookmarkStart w:id="1172" w:name="_Toc104888043"/>
      <w:bookmarkStart w:id="1173" w:name="_Toc112831125"/>
      <w:bookmarkStart w:id="1174" w:name="_Toc132001048"/>
      <w:bookmarkStart w:id="1175" w:name="_Toc133116220"/>
      <w:bookmarkStart w:id="1176" w:name="_Toc133120333"/>
      <w:r>
        <w:rPr>
          <w:rStyle w:val="CharSectno"/>
        </w:rPr>
        <w:t>113</w:t>
      </w:r>
      <w:r>
        <w:t>.</w:t>
      </w:r>
      <w:r>
        <w:tab/>
        <w:t>Evidentiary matters</w:t>
      </w:r>
      <w:bookmarkEnd w:id="1172"/>
      <w:bookmarkEnd w:id="1173"/>
      <w:bookmarkEnd w:id="1174"/>
      <w:bookmarkEnd w:id="1175"/>
      <w:bookmarkEnd w:id="1176"/>
    </w:p>
    <w:p>
      <w:pPr>
        <w:pStyle w:val="nz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MiscClose"/>
      </w:pPr>
      <w:bookmarkStart w:id="1177" w:name="_Hlt24875031"/>
      <w:bookmarkStart w:id="1178" w:name="_Hlt24875035"/>
      <w:bookmarkStart w:id="1179" w:name="_Hlt24875135"/>
      <w:bookmarkStart w:id="1180" w:name="_Hlt24874558"/>
      <w:bookmarkEnd w:id="1177"/>
      <w:bookmarkEnd w:id="1178"/>
      <w:bookmarkEnd w:id="1179"/>
      <w:bookmarkEnd w:id="1180"/>
      <w:r>
        <w:t>”.</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lang w:val="en-US"/>
        </w:rPr>
        <w:t xml:space="preserve">Liquor and Gaming Legislation Amendment Act 2006 </w:t>
      </w:r>
      <w:r>
        <w:rPr>
          <w:snapToGrid w:val="0"/>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1181" w:name="_Toc145304524"/>
      <w:bookmarkStart w:id="1182" w:name="_Toc153684647"/>
      <w:bookmarkStart w:id="1183" w:name="_Toc153852981"/>
      <w:r>
        <w:rPr>
          <w:rStyle w:val="CharSectno"/>
        </w:rPr>
        <w:t>114</w:t>
      </w:r>
      <w:r>
        <w:t>.</w:t>
      </w:r>
      <w:r>
        <w:tab/>
        <w:t xml:space="preserve">Amendments relating to the amended title of the </w:t>
      </w:r>
      <w:r>
        <w:rPr>
          <w:i/>
          <w:iCs/>
        </w:rPr>
        <w:t>Liquor Licensing Act 1988</w:t>
      </w:r>
      <w:bookmarkEnd w:id="1181"/>
      <w:bookmarkEnd w:id="1182"/>
      <w:bookmarkEnd w:id="1183"/>
    </w:p>
    <w:p>
      <w:pPr>
        <w:pStyle w:val="nzSubsection"/>
      </w:pPr>
      <w:r>
        <w:tab/>
      </w:r>
      <w:r>
        <w:tab/>
        <w:t>The Acts listed in the first column of the Table to this section are amended in the corresponding provisions listed in the second column by deleting “</w:t>
      </w:r>
      <w:r>
        <w:rPr>
          <w:i/>
          <w:iCs/>
        </w:rPr>
        <w:t>Liquor Licensing Act </w:t>
      </w:r>
      <w:r>
        <w:rPr>
          <w:i/>
        </w:rPr>
        <w:t>1988</w:t>
      </w:r>
      <w:r>
        <w:t xml:space="preserve">” and inserting instead — </w:t>
      </w:r>
    </w:p>
    <w:p>
      <w:pPr>
        <w:pStyle w:val="nzSubsection"/>
      </w:pPr>
      <w:r>
        <w:tab/>
      </w:r>
      <w:r>
        <w:tab/>
        <w:t xml:space="preserve">“    </w:t>
      </w:r>
      <w:r>
        <w:rPr>
          <w:i/>
          <w:iCs/>
        </w:rPr>
        <w:t>Liquor Control Act 1988</w:t>
      </w:r>
      <w:r>
        <w:t xml:space="preserve">    ”.</w:t>
      </w:r>
    </w:p>
    <w:p>
      <w:pPr>
        <w:pStyle w:val="nzMiscellaneousHeading"/>
      </w:pPr>
      <w:r>
        <w:rPr>
          <w:b/>
        </w:rPr>
        <w:t>Table</w:t>
      </w:r>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40"/>
        <w:gridCol w:w="2160"/>
      </w:tblGrid>
      <w:tr>
        <w:trPr>
          <w:cantSplit/>
        </w:trPr>
        <w:tc>
          <w:tcPr>
            <w:tcW w:w="3240" w:type="dxa"/>
          </w:tcPr>
          <w:p>
            <w:pPr>
              <w:pStyle w:val="nzTable"/>
            </w:pPr>
            <w:r>
              <w:t>......................</w:t>
            </w:r>
          </w:p>
        </w:tc>
        <w:tc>
          <w:tcPr>
            <w:tcW w:w="2160" w:type="dxa"/>
          </w:tcPr>
          <w:p>
            <w:pPr>
              <w:pStyle w:val="nzTable"/>
            </w:pPr>
          </w:p>
        </w:tc>
      </w:tr>
      <w:tr>
        <w:trPr>
          <w:cantSplit/>
        </w:trPr>
        <w:tc>
          <w:tcPr>
            <w:tcW w:w="3240" w:type="dxa"/>
          </w:tcPr>
          <w:p>
            <w:pPr>
              <w:pStyle w:val="nzTable"/>
            </w:pPr>
            <w:r>
              <w:rPr>
                <w:i/>
              </w:rPr>
              <w:t>Tobacco Products Control Act 2006</w:t>
            </w:r>
          </w:p>
        </w:tc>
        <w:tc>
          <w:tcPr>
            <w:tcW w:w="2160" w:type="dxa"/>
          </w:tcPr>
          <w:p>
            <w:pPr>
              <w:pStyle w:val="nzTable"/>
            </w:pPr>
            <w:r>
              <w:t>s. 113(1)(g) and (h)</w:t>
            </w:r>
            <w:r>
              <w:br/>
              <w:t>Glossary (“licensed premises”, “responsible person”, para. (a))</w:t>
            </w:r>
          </w:p>
        </w:tc>
      </w:tr>
    </w:tbl>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vAlign w:val="bottom"/>
        </w:tcPr>
        <w:p>
          <w:pPr>
            <w:pStyle w:val="HeaderTextLeft"/>
          </w:pPr>
          <w:fldSimple w:instr=" styleref CharSchText ">
            <w:r>
              <w:rPr>
                <w:noProof/>
              </w:rPr>
              <w:t>Constitution and proceedings of Foundation</w:t>
            </w:r>
          </w:fldSimple>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General provisions</w:t>
            </w:r>
          </w:fldSimple>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fldSimple w:instr=" styleref CharSchText ">
            <w:r>
              <w:rPr>
                <w:noProof/>
              </w:rPr>
              <w:t>Constitution and proceedings of Foundation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51"/>
    <w:docVar w:name="WAFER_20151211085651" w:val="RemoveTrackChanges"/>
    <w:docVar w:name="WAFER_20151211085651_GUID" w:val="c0a73a17-3860-431e-ba1f-e95cfae44b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24390</Words>
  <Characters>116829</Characters>
  <Application>Microsoft Office Word</Application>
  <DocSecurity>0</DocSecurity>
  <Lines>3074</Lines>
  <Paragraphs>1834</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Sale and supply</vt:lpstr>
      <vt:lpstr>        Division 1 — Supply to people under 18</vt:lpstr>
      <vt:lpstr>        Division 2 — Sale of tobacco products</vt:lpstr>
      <vt:lpstr>    Part 3 — Advertising and promotion</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lpstr>        Division 3 — Prosecutions</vt:lpstr>
      <vt:lpstr>        Division 4 — Penalties</vt:lpstr>
      <vt:lpstr>        Division 5 — Seized things and forfeiture</vt:lpstr>
      <vt:lpstr>    Part 8 — Miscellaneous</vt:lpstr>
      <vt:lpstr>    Schedule 1 — Constitution and proceedings of Foundation</vt:lpstr>
      <vt:lpstr>        Division 1 — General provisions</vt:lpstr>
      <vt:lpstr>        Division 2 — Disclosure of interests, etc.</vt:lpstr>
      <vt:lpstr>    Schedule 2 — Repeals, transitional provisions, consequential amendments to other</vt:lpstr>
      <vt:lpstr>        Division 1 — Repeals</vt:lpstr>
      <vt:lpstr>        Division 2 — Transitional and savings provisions</vt:lpstr>
    </vt:vector>
  </TitlesOfParts>
  <Manager/>
  <Company/>
  <LinksUpToDate>false</LinksUpToDate>
  <CharactersWithSpaces>139385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2006 - 00-d0-04</dc:title>
  <dc:subject/>
  <dc:creator/>
  <cp:keywords/>
  <dc:description/>
  <cp:lastModifiedBy>svcMRProcess</cp:lastModifiedBy>
  <cp:revision>4</cp:revision>
  <cp:lastPrinted>2006-04-13T08:12:00Z</cp:lastPrinted>
  <dcterms:created xsi:type="dcterms:W3CDTF">2018-09-09T03:17:00Z</dcterms:created>
  <dcterms:modified xsi:type="dcterms:W3CDTF">2018-09-09T03:17:00Z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143206</vt:i4>
  </property>
  <property fmtid="{D5CDD505-2E9C-101B-9397-08002B2CF9AE}" pid="6" name="AsAtDate">
    <vt:lpwstr>01 Feb 2007</vt:lpwstr>
  </property>
  <property fmtid="{D5CDD505-2E9C-101B-9397-08002B2CF9AE}" pid="7" name="Suffix">
    <vt:lpwstr>00-d0-04</vt:lpwstr>
  </property>
</Properties>
</file>