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_Toc308164507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_Toc308164508 \h </w:instrText>
      </w:r>
      <w:r>
        <w:fldChar w:fldCharType="separate"/>
      </w:r>
      <w:r>
        <w:t>1</w:t>
      </w:r>
      <w:r>
        <w:fldChar w:fldCharType="end"/>
      </w:r>
    </w:p>
    <w:p>
      <w:pPr>
        <w:pStyle w:val="TOC8"/>
        <w:rPr>
          <w:sz w:val="24"/>
          <w:szCs w:val="24"/>
          <w:lang w:val="en-US"/>
        </w:rPr>
      </w:pPr>
      <w:r>
        <w:t>3</w:t>
      </w:r>
      <w:r>
        <w:rPr>
          <w:snapToGrid w:val="0"/>
        </w:rPr>
        <w:t>.</w:t>
      </w:r>
      <w:r>
        <w:rPr>
          <w:snapToGrid w:val="0"/>
        </w:rPr>
        <w:tab/>
        <w:t>Notice of appeal</w:t>
      </w:r>
      <w:r>
        <w:tab/>
      </w:r>
      <w:r>
        <w:fldChar w:fldCharType="begin"/>
      </w:r>
      <w:r>
        <w:instrText xml:space="preserve"> PAGEREF _Toc308164509 \h </w:instrText>
      </w:r>
      <w:r>
        <w:fldChar w:fldCharType="separate"/>
      </w:r>
      <w:r>
        <w:t>1</w:t>
      </w:r>
      <w:r>
        <w:fldChar w:fldCharType="end"/>
      </w:r>
    </w:p>
    <w:p>
      <w:pPr>
        <w:pStyle w:val="TOC8"/>
        <w:rPr>
          <w:sz w:val="24"/>
          <w:szCs w:val="24"/>
          <w:lang w:val="en-US"/>
        </w:rPr>
      </w:pPr>
      <w:r>
        <w:t>4</w:t>
      </w:r>
      <w:r>
        <w:rPr>
          <w:snapToGrid w:val="0"/>
        </w:rPr>
        <w:t>.</w:t>
      </w:r>
      <w:r>
        <w:rPr>
          <w:snapToGrid w:val="0"/>
        </w:rPr>
        <w:tab/>
        <w:t>Fees in relation to appeals</w:t>
      </w:r>
      <w:r>
        <w:tab/>
      </w:r>
      <w:r>
        <w:fldChar w:fldCharType="begin"/>
      </w:r>
      <w:r>
        <w:instrText xml:space="preserve"> PAGEREF _Toc308164510 \h </w:instrText>
      </w:r>
      <w:r>
        <w:fldChar w:fldCharType="separate"/>
      </w:r>
      <w:r>
        <w:t>1</w:t>
      </w:r>
      <w:r>
        <w:fldChar w:fldCharType="end"/>
      </w:r>
    </w:p>
    <w:p>
      <w:pPr>
        <w:pStyle w:val="TOC8"/>
        <w:rPr>
          <w:sz w:val="24"/>
          <w:szCs w:val="24"/>
          <w:lang w:val="en-US"/>
        </w:rPr>
      </w:pPr>
      <w:r>
        <w:t>5</w:t>
      </w:r>
      <w:r>
        <w:rPr>
          <w:snapToGrid w:val="0"/>
        </w:rPr>
        <w:t>.</w:t>
      </w:r>
      <w:r>
        <w:rPr>
          <w:snapToGrid w:val="0"/>
        </w:rPr>
        <w:tab/>
        <w:t>Notice of representation</w:t>
      </w:r>
      <w:r>
        <w:tab/>
      </w:r>
      <w:r>
        <w:fldChar w:fldCharType="begin"/>
      </w:r>
      <w:r>
        <w:instrText xml:space="preserve"> PAGEREF _Toc308164511 \h </w:instrText>
      </w:r>
      <w:r>
        <w:fldChar w:fldCharType="separate"/>
      </w:r>
      <w:r>
        <w:t>2</w:t>
      </w:r>
      <w:r>
        <w:fldChar w:fldCharType="end"/>
      </w:r>
    </w:p>
    <w:p>
      <w:pPr>
        <w:pStyle w:val="TOC8"/>
        <w:rPr>
          <w:sz w:val="24"/>
          <w:szCs w:val="24"/>
          <w:lang w:val="en-US"/>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_Toc308164512 \h </w:instrText>
      </w:r>
      <w:r>
        <w:fldChar w:fldCharType="separate"/>
      </w:r>
      <w:r>
        <w:t>2</w:t>
      </w:r>
      <w:r>
        <w:fldChar w:fldCharType="end"/>
      </w:r>
    </w:p>
    <w:p>
      <w:pPr>
        <w:pStyle w:val="TOC8"/>
        <w:rPr>
          <w:sz w:val="24"/>
          <w:szCs w:val="24"/>
          <w:lang w:val="en-US"/>
        </w:rPr>
      </w:pPr>
      <w:r>
        <w:t>7</w:t>
      </w:r>
      <w:r>
        <w:rPr>
          <w:snapToGrid w:val="0"/>
        </w:rPr>
        <w:t>.</w:t>
      </w:r>
      <w:r>
        <w:rPr>
          <w:snapToGrid w:val="0"/>
        </w:rPr>
        <w:tab/>
        <w:t>Fee for transcripts</w:t>
      </w:r>
      <w:r>
        <w:tab/>
      </w:r>
      <w:r>
        <w:fldChar w:fldCharType="begin"/>
      </w:r>
      <w:r>
        <w:instrText xml:space="preserve"> PAGEREF _Toc308164513 \h </w:instrText>
      </w:r>
      <w:r>
        <w:fldChar w:fldCharType="separate"/>
      </w:r>
      <w:r>
        <w:t>2</w:t>
      </w:r>
      <w:r>
        <w:fldChar w:fldCharType="end"/>
      </w:r>
    </w:p>
    <w:p>
      <w:pPr>
        <w:pStyle w:val="TOC8"/>
        <w:rPr>
          <w:sz w:val="24"/>
          <w:szCs w:val="24"/>
          <w:lang w:val="en-US"/>
        </w:rPr>
      </w:pPr>
      <w:r>
        <w:t>8</w:t>
      </w:r>
      <w:r>
        <w:rPr>
          <w:snapToGrid w:val="0"/>
        </w:rPr>
        <w:t>.</w:t>
      </w:r>
      <w:r>
        <w:rPr>
          <w:snapToGrid w:val="0"/>
        </w:rPr>
        <w:tab/>
        <w:t>Duties of Registrar</w:t>
      </w:r>
      <w:r>
        <w:tab/>
      </w:r>
      <w:r>
        <w:fldChar w:fldCharType="begin"/>
      </w:r>
      <w:r>
        <w:instrText xml:space="preserve"> PAGEREF _Toc308164514 \h </w:instrText>
      </w:r>
      <w:r>
        <w:fldChar w:fldCharType="separate"/>
      </w:r>
      <w:r>
        <w:t>3</w:t>
      </w:r>
      <w:r>
        <w:fldChar w:fldCharType="end"/>
      </w:r>
    </w:p>
    <w:p>
      <w:pPr>
        <w:pStyle w:val="TOC8"/>
        <w:rPr>
          <w:sz w:val="24"/>
          <w:szCs w:val="24"/>
          <w:lang w:val="en-US"/>
        </w:rPr>
      </w:pPr>
      <w:r>
        <w:t>9</w:t>
      </w:r>
      <w:r>
        <w:rPr>
          <w:snapToGrid w:val="0"/>
        </w:rPr>
        <w:t>.</w:t>
      </w:r>
      <w:r>
        <w:rPr>
          <w:snapToGrid w:val="0"/>
        </w:rPr>
        <w:tab/>
        <w:t>Matters in which Chairperson or member alone may act</w:t>
      </w:r>
      <w:r>
        <w:tab/>
      </w:r>
      <w:r>
        <w:fldChar w:fldCharType="begin"/>
      </w:r>
      <w:r>
        <w:instrText xml:space="preserve"> PAGEREF _Toc308164515 \h </w:instrText>
      </w:r>
      <w:r>
        <w:fldChar w:fldCharType="separate"/>
      </w:r>
      <w:r>
        <w:t>3</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_Toc308164518 \h </w:instrText>
      </w:r>
      <w:r>
        <w:fldChar w:fldCharType="separate"/>
      </w:r>
      <w:r>
        <w:t>5</w:t>
      </w:r>
      <w:r>
        <w:fldChar w:fldCharType="end"/>
      </w:r>
    </w:p>
    <w:p>
      <w:pPr>
        <w:pStyle w:val="TOC8"/>
        <w:rPr>
          <w:sz w:val="24"/>
          <w:szCs w:val="24"/>
          <w:lang w:val="en-US"/>
        </w:rPr>
      </w:pPr>
      <w:r>
        <w:tab/>
        <w:t>Provisions that have not come into operation</w:t>
      </w:r>
      <w:r>
        <w:tab/>
      </w:r>
      <w:r>
        <w:fldChar w:fldCharType="begin"/>
      </w:r>
      <w:r>
        <w:instrText xml:space="preserve"> PAGEREF _Toc308164519 \h </w:instrText>
      </w:r>
      <w:r>
        <w:fldChar w:fldCharType="separate"/>
      </w:r>
      <w:r>
        <w:t>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308164507"/>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308164508"/>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308164509"/>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308164510"/>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$330.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for all other appeals,  $330;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308164511"/>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308164512"/>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308164513"/>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308164514"/>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308164515"/>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bookmarkStart w:id="83" w:name="_Toc281464932"/>
      <w:bookmarkStart w:id="84" w:name="_Toc308164516"/>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5" w:name="_Toc116989864"/>
      <w:bookmarkStart w:id="86" w:name="_Toc117047325"/>
      <w:bookmarkStart w:id="87" w:name="_Toc117047458"/>
      <w:bookmarkStart w:id="88" w:name="_Toc117047489"/>
      <w:bookmarkStart w:id="89" w:name="_Toc124142554"/>
      <w:bookmarkStart w:id="90" w:name="_Toc124142597"/>
      <w:bookmarkStart w:id="91" w:name="_Toc151199063"/>
      <w:bookmarkStart w:id="92" w:name="_Toc151261280"/>
      <w:bookmarkStart w:id="93" w:name="_Toc155067341"/>
      <w:bookmarkStart w:id="94" w:name="_Toc155085599"/>
      <w:bookmarkStart w:id="95" w:name="_Toc179691880"/>
      <w:bookmarkStart w:id="96" w:name="_Toc179709282"/>
      <w:bookmarkStart w:id="97" w:name="_Toc185654868"/>
      <w:bookmarkStart w:id="98" w:name="_Toc189539534"/>
      <w:bookmarkStart w:id="99" w:name="_Toc189540557"/>
      <w:bookmarkStart w:id="100" w:name="_Toc192561799"/>
      <w:bookmarkStart w:id="101" w:name="_Toc194915965"/>
      <w:bookmarkStart w:id="102" w:name="_Toc212947215"/>
      <w:bookmarkStart w:id="103" w:name="_Toc212947228"/>
      <w:bookmarkStart w:id="104" w:name="_Toc244662615"/>
      <w:bookmarkStart w:id="105" w:name="_Toc244662628"/>
      <w:bookmarkStart w:id="106" w:name="_Toc249257998"/>
      <w:bookmarkStart w:id="107" w:name="_Toc281464933"/>
      <w:bookmarkStart w:id="108" w:name="_Toc308164517"/>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9" w:name="_Toc308164518"/>
      <w:r>
        <w:t>Compilation table</w:t>
      </w:r>
      <w:bookmarkEnd w:id="109"/>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 xml:space="preserve">Racing Penalties (Appeals) Amendment Regulations 2010 </w:t>
            </w:r>
          </w:p>
        </w:tc>
        <w:tc>
          <w:tcPr>
            <w:tcW w:w="1276" w:type="dxa"/>
            <w:gridSpan w:val="2"/>
            <w:tcBorders>
              <w:bottom w:val="single" w:sz="4" w:space="0" w:color="auto"/>
            </w:tcBorders>
          </w:tcPr>
          <w:p>
            <w:pPr>
              <w:pStyle w:val="nTable"/>
              <w:spacing w:after="40"/>
              <w:rPr>
                <w:sz w:val="19"/>
              </w:rPr>
            </w:pPr>
            <w:r>
              <w:rPr>
                <w:sz w:val="19"/>
              </w:rPr>
              <w:t>19 Nov 2010 p. 5742</w:t>
            </w:r>
            <w:r>
              <w:rPr>
                <w:sz w:val="19"/>
              </w:rPr>
              <w:noBreakHyphen/>
              <w:t>3</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7405065"/>
      <w:bookmarkStart w:id="111" w:name="_Toc308095133"/>
      <w:bookmarkStart w:id="112" w:name="_Toc308164519"/>
      <w:r>
        <w:t>Provisions that have not come into operation</w:t>
      </w:r>
      <w:bookmarkEnd w:id="110"/>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Racing Penalties (Appeals) Amendment Regulations 2011</w:t>
            </w:r>
            <w:r>
              <w:rPr>
                <w:sz w:val="19"/>
              </w:rPr>
              <w:t xml:space="preserve"> r. 3 and 4</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4 Nov 2011 p. 4639-40</w:t>
            </w:r>
          </w:p>
        </w:tc>
        <w:tc>
          <w:tcPr>
            <w:tcW w:w="2693" w:type="dxa"/>
            <w:tcBorders>
              <w:top w:val="single" w:sz="8" w:space="0" w:color="auto"/>
              <w:bottom w:val="single" w:sz="8" w:space="0" w:color="auto"/>
            </w:tcBorders>
          </w:tcPr>
          <w:p>
            <w:pPr>
              <w:pStyle w:val="nTable"/>
              <w:spacing w:after="40"/>
              <w:rPr>
                <w:sz w:val="19"/>
              </w:rPr>
            </w:pPr>
            <w:r>
              <w:rPr>
                <w:sz w:val="19"/>
              </w:rPr>
              <w:t>1 Jan 2012 (see r.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Racing Penalties (Appeals) Amendment Regulations 2011</w:t>
      </w:r>
      <w:r>
        <w:rPr>
          <w:snapToGrid w:val="0"/>
        </w:rPr>
        <w:t xml:space="preserve"> r. 3 and 4 had not come into operation.  They read as follows:</w:t>
      </w:r>
    </w:p>
    <w:p>
      <w:pPr>
        <w:pStyle w:val="BlankOpen"/>
      </w:pPr>
    </w:p>
    <w:p>
      <w:pPr>
        <w:pStyle w:val="nzHeading5"/>
        <w:rPr>
          <w:snapToGrid w:val="0"/>
        </w:rPr>
      </w:pPr>
      <w:bookmarkStart w:id="113" w:name="_Toc423332724"/>
      <w:bookmarkStart w:id="114" w:name="_Toc425219443"/>
      <w:bookmarkStart w:id="115" w:name="_Toc426249310"/>
      <w:bookmarkStart w:id="116" w:name="_Toc449924706"/>
      <w:bookmarkStart w:id="117" w:name="_Toc449947724"/>
      <w:bookmarkStart w:id="118" w:name="_Toc454185715"/>
      <w:bookmarkStart w:id="119" w:name="_Toc515958688"/>
      <w:r>
        <w:rPr>
          <w:rStyle w:val="CharSectno"/>
        </w:rPr>
        <w:t>3</w:t>
      </w:r>
      <w:r>
        <w:rPr>
          <w:snapToGrid w:val="0"/>
        </w:rPr>
        <w:t>.</w:t>
      </w:r>
      <w:r>
        <w:rPr>
          <w:snapToGrid w:val="0"/>
        </w:rPr>
        <w:tab/>
        <w:t>Regulations amended</w:t>
      </w:r>
      <w:bookmarkEnd w:id="113"/>
      <w:bookmarkEnd w:id="114"/>
      <w:bookmarkEnd w:id="115"/>
      <w:bookmarkEnd w:id="116"/>
      <w:bookmarkEnd w:id="117"/>
      <w:bookmarkEnd w:id="118"/>
      <w:bookmarkEnd w:id="119"/>
    </w:p>
    <w:p>
      <w:pPr>
        <w:pStyle w:val="nzSubsection"/>
      </w:pPr>
      <w:r>
        <w:tab/>
      </w:r>
      <w:r>
        <w:tab/>
      </w:r>
      <w:r>
        <w:rPr>
          <w:spacing w:val="-2"/>
        </w:rPr>
        <w:t>These</w:t>
      </w:r>
      <w:r>
        <w:t xml:space="preserve"> regulations amend the </w:t>
      </w:r>
      <w:r>
        <w:rPr>
          <w:i/>
        </w:rPr>
        <w:t>Racing Penalties (Appeals) Regulations 1991</w:t>
      </w:r>
      <w:r>
        <w:t>.</w:t>
      </w:r>
    </w:p>
    <w:p>
      <w:pPr>
        <w:pStyle w:val="nzHeading5"/>
      </w:pPr>
      <w:r>
        <w:rPr>
          <w:rStyle w:val="CharSectno"/>
        </w:rPr>
        <w:t>4</w:t>
      </w:r>
      <w:r>
        <w:t>.</w:t>
      </w:r>
      <w:r>
        <w:tab/>
        <w:t>Regulation 4 amended</w:t>
      </w:r>
    </w:p>
    <w:p>
      <w:pPr>
        <w:pStyle w:val="nzSubsection"/>
      </w:pPr>
      <w:r>
        <w:tab/>
        <w:t>(1)</w:t>
      </w:r>
      <w:r>
        <w:tab/>
        <w:t>In regulation 4(1):</w:t>
      </w:r>
    </w:p>
    <w:p>
      <w:pPr>
        <w:pStyle w:val="nzIndenta"/>
        <w:rPr>
          <w:snapToGrid w:val="0"/>
        </w:rPr>
      </w:pPr>
      <w:r>
        <w:tab/>
        <w:t>(a)</w:t>
      </w:r>
      <w:r>
        <w:tab/>
        <w:t>in paragraph (a) delete “</w:t>
      </w:r>
      <w:r>
        <w:rPr>
          <w:snapToGrid w:val="0"/>
        </w:rPr>
        <w:t>$135; and” and insert:</w:t>
      </w:r>
    </w:p>
    <w:p>
      <w:pPr>
        <w:pStyle w:val="BlankOpen"/>
        <w:rPr>
          <w:snapToGrid w:val="0"/>
        </w:rPr>
      </w:pPr>
    </w:p>
    <w:p>
      <w:pPr>
        <w:pStyle w:val="nzIndenta"/>
        <w:rPr>
          <w:snapToGrid w:val="0"/>
        </w:rPr>
      </w:pPr>
      <w:r>
        <w:rPr>
          <w:snapToGrid w:val="0"/>
        </w:rPr>
        <w:tab/>
      </w:r>
      <w:r>
        <w:rPr>
          <w:snapToGrid w:val="0"/>
        </w:rPr>
        <w:tab/>
        <w:t>$140; and</w:t>
      </w:r>
    </w:p>
    <w:p>
      <w:pPr>
        <w:pStyle w:val="BlankClose"/>
      </w:pPr>
    </w:p>
    <w:p>
      <w:pPr>
        <w:pStyle w:val="nzIndenta"/>
        <w:rPr>
          <w:snapToGrid w:val="0"/>
        </w:rPr>
      </w:pPr>
      <w:r>
        <w:tab/>
        <w:t>(b)</w:t>
      </w:r>
      <w:r>
        <w:tab/>
        <w:t>in paragraph (b) delete “</w:t>
      </w:r>
      <w:r>
        <w:rPr>
          <w:snapToGrid w:val="0"/>
        </w:rPr>
        <w:t>$330.” and insert:</w:t>
      </w:r>
    </w:p>
    <w:p>
      <w:pPr>
        <w:pStyle w:val="BlankOpen"/>
        <w:rPr>
          <w:snapToGrid w:val="0"/>
        </w:rPr>
      </w:pPr>
    </w:p>
    <w:p>
      <w:pPr>
        <w:pStyle w:val="nzIndenta"/>
        <w:rPr>
          <w:snapToGrid w:val="0"/>
        </w:rPr>
      </w:pPr>
      <w:r>
        <w:rPr>
          <w:snapToGrid w:val="0"/>
        </w:rPr>
        <w:tab/>
      </w:r>
      <w:r>
        <w:rPr>
          <w:snapToGrid w:val="0"/>
        </w:rPr>
        <w:tab/>
        <w:t>$340.</w:t>
      </w:r>
    </w:p>
    <w:p>
      <w:pPr>
        <w:pStyle w:val="BlankClose"/>
        <w:rPr>
          <w:snapToGrid w:val="0"/>
        </w:rPr>
      </w:pPr>
    </w:p>
    <w:p>
      <w:pPr>
        <w:pStyle w:val="nzSubsection"/>
      </w:pPr>
      <w:r>
        <w:tab/>
        <w:t>(2)</w:t>
      </w:r>
      <w:r>
        <w:tab/>
        <w:t>In regulation 4(2):</w:t>
      </w:r>
    </w:p>
    <w:p>
      <w:pPr>
        <w:pStyle w:val="nzIndenta"/>
        <w:rPr>
          <w:snapToGrid w:val="0"/>
        </w:rPr>
      </w:pPr>
      <w:r>
        <w:tab/>
        <w:t>(a)</w:t>
      </w:r>
      <w:r>
        <w:tab/>
        <w:t>in paragraph (a)(i) delete “</w:t>
      </w:r>
      <w:r>
        <w:rPr>
          <w:snapToGrid w:val="0"/>
        </w:rPr>
        <w:t>$135; and” and insert:</w:t>
      </w:r>
    </w:p>
    <w:p>
      <w:pPr>
        <w:pStyle w:val="BlankOpen"/>
        <w:rPr>
          <w:snapToGrid w:val="0"/>
        </w:rPr>
      </w:pPr>
    </w:p>
    <w:p>
      <w:pPr>
        <w:pStyle w:val="nzIndenta"/>
        <w:rPr>
          <w:snapToGrid w:val="0"/>
        </w:rPr>
      </w:pPr>
      <w:r>
        <w:rPr>
          <w:snapToGrid w:val="0"/>
        </w:rPr>
        <w:tab/>
      </w:r>
      <w:r>
        <w:rPr>
          <w:snapToGrid w:val="0"/>
        </w:rPr>
        <w:tab/>
        <w:t>$140; and</w:t>
      </w:r>
    </w:p>
    <w:p>
      <w:pPr>
        <w:pStyle w:val="BlankClose"/>
      </w:pPr>
    </w:p>
    <w:p>
      <w:pPr>
        <w:pStyle w:val="nzIndenta"/>
        <w:rPr>
          <w:snapToGrid w:val="0"/>
        </w:rPr>
      </w:pPr>
      <w:r>
        <w:tab/>
        <w:t>(b)</w:t>
      </w:r>
      <w:r>
        <w:tab/>
        <w:t>in paragraph (a)(ii) delete “</w:t>
      </w:r>
      <w:r>
        <w:rPr>
          <w:snapToGrid w:val="0"/>
        </w:rPr>
        <w:t>$330;” and insert:</w:t>
      </w:r>
    </w:p>
    <w:p>
      <w:pPr>
        <w:pStyle w:val="BlankOpen"/>
        <w:rPr>
          <w:snapToGrid w:val="0"/>
        </w:rPr>
      </w:pPr>
    </w:p>
    <w:p>
      <w:pPr>
        <w:pStyle w:val="nzIndenta"/>
        <w:rPr>
          <w:snapToGrid w:val="0"/>
        </w:rPr>
      </w:pPr>
      <w:r>
        <w:rPr>
          <w:snapToGrid w:val="0"/>
        </w:rPr>
        <w:tab/>
      </w:r>
      <w:r>
        <w:rPr>
          <w:snapToGrid w:val="0"/>
        </w:rPr>
        <w:tab/>
        <w:t>$340;</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1532</Words>
  <Characters>7112</Characters>
  <Application>Microsoft Office Word</Application>
  <DocSecurity>0</DocSecurity>
  <Lines>273</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1991 - 02-h0-01</dc:title>
  <dc:subject/>
  <dc:creator/>
  <cp:keywords/>
  <dc:description/>
  <cp:lastModifiedBy>svcMRProcess</cp:lastModifiedBy>
  <cp:revision>4</cp:revision>
  <cp:lastPrinted>2008-03-07T04:43:00Z</cp:lastPrinted>
  <dcterms:created xsi:type="dcterms:W3CDTF">2020-02-27T16:18:00Z</dcterms:created>
  <dcterms:modified xsi:type="dcterms:W3CDTF">2020-02-27T16:18:00Z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4728</vt:i4>
  </property>
  <property fmtid="{D5CDD505-2E9C-101B-9397-08002B2CF9AE}" pid="6" name="AsAtDate">
    <vt:lpwstr>04 Nov 2011</vt:lpwstr>
  </property>
  <property fmtid="{D5CDD505-2E9C-101B-9397-08002B2CF9AE}" pid="7" name="Suffix">
    <vt:lpwstr>02-h0-01</vt:lpwstr>
  </property>
  <property fmtid="{D5CDD505-2E9C-101B-9397-08002B2CF9AE}" pid="8" name="ReprintNo">
    <vt:lpwstr>2</vt:lpwstr>
  </property>
</Properties>
</file>