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October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spacing w:before="160" w:after="840"/>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_Toc378945311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_Toc378945312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_Toc378945313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_Toc378945314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_Toc378945315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_Toc378945317 \h </w:instrText>
      </w:r>
      <w:r>
        <w:fldChar w:fldCharType="separate"/>
      </w:r>
      <w:r>
        <w:t>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Objections to grants of licences</w:t>
      </w:r>
      <w:r>
        <w:tab/>
      </w:r>
      <w:r>
        <w:fldChar w:fldCharType="begin"/>
      </w:r>
      <w:r>
        <w:instrText xml:space="preserve"> PAGEREF _Toc378945318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_Toc378945319 \h </w:instrText>
      </w:r>
      <w:r>
        <w:fldChar w:fldCharType="separate"/>
      </w:r>
      <w:r>
        <w:t>6</w:t>
      </w:r>
      <w:r>
        <w:fldChar w:fldCharType="end"/>
      </w:r>
    </w:p>
    <w:p>
      <w:pPr>
        <w:pStyle w:val="TOC8"/>
        <w:rPr>
          <w:rFonts w:asciiTheme="minorHAnsi" w:eastAsiaTheme="minorEastAsia" w:hAnsiTheme="minorHAnsi" w:cstheme="minorBidi"/>
          <w:szCs w:val="22"/>
        </w:rPr>
      </w:pPr>
      <w:r>
        <w:t>19A.</w:t>
      </w:r>
      <w:r>
        <w:tab/>
        <w:t>Unopposed applications</w:t>
      </w:r>
      <w:r>
        <w:tab/>
      </w:r>
      <w:r>
        <w:fldChar w:fldCharType="begin"/>
      </w:r>
      <w:r>
        <w:instrText xml:space="preserve"> PAGEREF _Toc378945320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Fee for licences and oath by licensees</w:t>
      </w:r>
      <w:r>
        <w:tab/>
      </w:r>
      <w:r>
        <w:fldChar w:fldCharType="begin"/>
      </w:r>
      <w:r>
        <w:instrText xml:space="preserve"> PAGEREF _Toc378945321 \h </w:instrText>
      </w:r>
      <w:r>
        <w:fldChar w:fldCharType="separate"/>
      </w:r>
      <w:r>
        <w:t>7</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_Toc378945322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_Toc378945323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_Toc378945324 \h </w:instrText>
      </w:r>
      <w:r>
        <w:fldChar w:fldCharType="separate"/>
      </w:r>
      <w:r>
        <w:t>8</w:t>
      </w:r>
      <w:r>
        <w:fldChar w:fldCharType="end"/>
      </w:r>
    </w:p>
    <w:p>
      <w:pPr>
        <w:pStyle w:val="TOC2"/>
        <w:tabs>
          <w:tab w:val="right" w:leader="dot" w:pos="7078"/>
        </w:tabs>
        <w:rPr>
          <w:rFonts w:asciiTheme="minorHAnsi" w:eastAsiaTheme="minorEastAsia" w:hAnsiTheme="minorHAnsi" w:cstheme="minorBidi"/>
          <w:b w:val="0"/>
          <w:sz w:val="22"/>
          <w:szCs w:val="22"/>
        </w:rPr>
      </w:pPr>
      <w:r>
        <w:t>Part IV — Control of the practice of valuation</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_Toc378945327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_Toc378945328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_Toc378945329 \h </w:instrText>
      </w:r>
      <w:r>
        <w:fldChar w:fldCharType="separate"/>
      </w:r>
      <w:r>
        <w:t>10</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_Toc378945331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_Toc378945332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SAT’s powers on disciplinary proceedings</w:t>
      </w:r>
      <w:r>
        <w:tab/>
      </w:r>
      <w:r>
        <w:fldChar w:fldCharType="begin"/>
      </w:r>
      <w:r>
        <w:instrText xml:space="preserve"> PAGEREF _Toc378945333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_Toc378945335 \h </w:instrText>
      </w:r>
      <w:r>
        <w:fldChar w:fldCharType="separate"/>
      </w:r>
      <w:r>
        <w:t>13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_Toc378945336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etc. of licensed valuers to be published; evidentiary provisions</w:t>
      </w:r>
      <w:r>
        <w:tab/>
      </w:r>
      <w:r>
        <w:fldChar w:fldCharType="begin"/>
      </w:r>
      <w:r>
        <w:instrText xml:space="preserve"> PAGEREF _Toc378945337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_Toc378945338 \h </w:instrText>
      </w:r>
      <w:r>
        <w:fldChar w:fldCharType="separate"/>
      </w:r>
      <w:r>
        <w:t>14</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_Toc378945339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_Toc378945340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_Toc378945341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_Toc378945342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_Toc378945344 \h </w:instrText>
      </w:r>
      <w:r>
        <w:fldChar w:fldCharType="separate"/>
      </w:r>
      <w:r>
        <w:t>17</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_Toc378945345 \h </w:instrText>
      </w:r>
      <w:r>
        <w:fldChar w:fldCharType="separate"/>
      </w:r>
      <w:r>
        <w:t>17</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_Toc378945346 \h </w:instrText>
      </w:r>
      <w:r>
        <w:fldChar w:fldCharType="separate"/>
      </w:r>
      <w:r>
        <w:t>17</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_Toc378945347 \h </w:instrText>
      </w:r>
      <w:r>
        <w:fldChar w:fldCharType="separate"/>
      </w:r>
      <w:r>
        <w:t>18</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_Toc378945348 \h </w:instrText>
      </w:r>
      <w:r>
        <w:fldChar w:fldCharType="separate"/>
      </w:r>
      <w:r>
        <w:t>18</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_Toc378945349 \h </w:instrText>
      </w:r>
      <w:r>
        <w:fldChar w:fldCharType="separate"/>
      </w:r>
      <w:r>
        <w:t>18</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_Toc378945350 \h </w:instrText>
      </w:r>
      <w:r>
        <w:fldChar w:fldCharType="separate"/>
      </w:r>
      <w:r>
        <w:t>18</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_Toc378945351 \h </w:instrText>
      </w:r>
      <w:r>
        <w:fldChar w:fldCharType="separate"/>
      </w:r>
      <w:r>
        <w:t>19</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_Toc378945352 \h </w:instrText>
      </w:r>
      <w:r>
        <w:fldChar w:fldCharType="separate"/>
      </w:r>
      <w:r>
        <w:t>19</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_Toc378945353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_Toc378945355 \h </w:instrText>
      </w:r>
      <w:r>
        <w:fldChar w:fldCharType="separate"/>
      </w:r>
      <w:r>
        <w:t>22</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035" cy="470535"/>
                  <wp:effectExtent l="0" t="0" r="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October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1" w:name="_Toc378945310"/>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7894531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3" w:name="_Toc37894531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by No. 56 of 1995 s. 26.]</w:t>
      </w:r>
    </w:p>
    <w:p>
      <w:pPr>
        <w:pStyle w:val="Heading5"/>
        <w:spacing w:before="240"/>
        <w:rPr>
          <w:snapToGrid w:val="0"/>
        </w:rPr>
      </w:pPr>
      <w:bookmarkStart w:id="4" w:name="_Toc378945313"/>
      <w:r>
        <w:rPr>
          <w:rStyle w:val="CharSectno"/>
        </w:rPr>
        <w:t>4</w:t>
      </w:r>
      <w:r>
        <w:rPr>
          <w:snapToGrid w:val="0"/>
        </w:rPr>
        <w:t>.</w:t>
      </w:r>
      <w:r>
        <w:rPr>
          <w:snapToGrid w:val="0"/>
        </w:rPr>
        <w:tab/>
        <w:t>Terms used</w:t>
      </w:r>
      <w:bookmarkEnd w:id="4"/>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by No. 15 of 1984 s. 3; No. 56 of 1995 s. 27; No. 65 of 2003 s. 44(2); No. 74 of 2003 s. 74(2); No. 55 of 2004 s. 586; No. 21 of 2008 s. 671(2); No. 58 of 2010 s. 14 and 31.]</w:t>
      </w:r>
    </w:p>
    <w:p>
      <w:pPr>
        <w:pStyle w:val="Footnoteheading"/>
      </w:pPr>
      <w:r>
        <w:tab/>
        <w:t>[Part II heading deleted by No. 58 of 2010 s. 15.]</w:t>
      </w:r>
    </w:p>
    <w:p>
      <w:pPr>
        <w:pStyle w:val="Footnoteheading"/>
      </w:pPr>
      <w:r>
        <w:tab/>
        <w:t>[Heading deleted by No. 58 of 2010 s. 16.]</w:t>
      </w:r>
    </w:p>
    <w:p>
      <w:pPr>
        <w:pStyle w:val="Ednotesection"/>
      </w:pPr>
      <w:r>
        <w:t>[</w:t>
      </w:r>
      <w:r>
        <w:rPr>
          <w:b/>
        </w:rPr>
        <w:t>5-11.</w:t>
      </w:r>
      <w:r>
        <w:tab/>
        <w:t>Deleted by No. 58 of 2010 s. 16.]</w:t>
      </w:r>
    </w:p>
    <w:p>
      <w:pPr>
        <w:pStyle w:val="Footnoteheading"/>
      </w:pPr>
      <w:r>
        <w:tab/>
        <w:t>[Heading deleted by No. 58 of 2010 s. 17.]</w:t>
      </w:r>
    </w:p>
    <w:p>
      <w:pPr>
        <w:pStyle w:val="Ednotesection"/>
      </w:pPr>
      <w:r>
        <w:t>[</w:t>
      </w:r>
      <w:r>
        <w:rPr>
          <w:b/>
        </w:rPr>
        <w:t>12-14.</w:t>
      </w:r>
      <w:r>
        <w:tab/>
        <w:t>Deleted by No. 58 of 2010 s. 18.]</w:t>
      </w:r>
    </w:p>
    <w:p>
      <w:pPr>
        <w:pStyle w:val="Heading5"/>
      </w:pPr>
      <w:bookmarkStart w:id="5" w:name="_Toc378945314"/>
      <w:r>
        <w:rPr>
          <w:rStyle w:val="CharSectno"/>
        </w:rPr>
        <w:t>15</w:t>
      </w:r>
      <w:r>
        <w:t>.</w:t>
      </w:r>
      <w:r>
        <w:tab/>
        <w:t>Powers of investigation</w:t>
      </w:r>
      <w:bookmarkEnd w:id="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by No. 58 of 2010 s. 19.]</w:t>
      </w:r>
    </w:p>
    <w:p>
      <w:pPr>
        <w:pStyle w:val="Ednotesection"/>
      </w:pPr>
      <w:r>
        <w:t>[</w:t>
      </w:r>
      <w:r>
        <w:rPr>
          <w:b/>
        </w:rPr>
        <w:t>15A-15C.</w:t>
      </w:r>
      <w:r>
        <w:rPr>
          <w:b/>
        </w:rPr>
        <w:tab/>
      </w:r>
      <w:r>
        <w:t>Deleted by No. 58 of 2010 s. 20.]</w:t>
      </w:r>
    </w:p>
    <w:p>
      <w:pPr>
        <w:pStyle w:val="Heading5"/>
        <w:rPr>
          <w:snapToGrid w:val="0"/>
        </w:rPr>
      </w:pPr>
      <w:bookmarkStart w:id="6" w:name="_Toc378945315"/>
      <w:r>
        <w:rPr>
          <w:rStyle w:val="CharSectno"/>
        </w:rPr>
        <w:t>16</w:t>
      </w:r>
      <w:r>
        <w:rPr>
          <w:snapToGrid w:val="0"/>
        </w:rPr>
        <w:t>.</w:t>
      </w:r>
      <w:r>
        <w:rPr>
          <w:snapToGrid w:val="0"/>
        </w:rPr>
        <w:tab/>
        <w:t>Application for review by SAT of certain decisions under Part III</w:t>
      </w:r>
      <w:bookmarkEnd w:id="6"/>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 amended by No. 58 of 2010 s. 31.]</w:t>
      </w:r>
    </w:p>
    <w:p>
      <w:pPr>
        <w:pStyle w:val="Heading2"/>
      </w:pPr>
      <w:bookmarkStart w:id="7" w:name="_Toc378945316"/>
      <w:r>
        <w:rPr>
          <w:rStyle w:val="CharPartNo"/>
        </w:rPr>
        <w:t>Part III</w:t>
      </w:r>
      <w:r>
        <w:rPr>
          <w:rStyle w:val="CharDivNo"/>
        </w:rPr>
        <w:t> </w:t>
      </w:r>
      <w:r>
        <w:t>—</w:t>
      </w:r>
      <w:r>
        <w:rPr>
          <w:rStyle w:val="CharDivText"/>
        </w:rPr>
        <w:t> </w:t>
      </w:r>
      <w:r>
        <w:rPr>
          <w:rStyle w:val="CharPartText"/>
        </w:rPr>
        <w:t>Licensing</w:t>
      </w:r>
      <w:bookmarkEnd w:id="7"/>
    </w:p>
    <w:p>
      <w:pPr>
        <w:pStyle w:val="Heading5"/>
        <w:rPr>
          <w:snapToGrid w:val="0"/>
        </w:rPr>
      </w:pPr>
      <w:bookmarkStart w:id="8" w:name="_Toc378945317"/>
      <w:r>
        <w:rPr>
          <w:rStyle w:val="CharSectno"/>
        </w:rPr>
        <w:t>17</w:t>
      </w:r>
      <w:r>
        <w:rPr>
          <w:snapToGrid w:val="0"/>
        </w:rPr>
        <w:t>.</w:t>
      </w:r>
      <w:r>
        <w:rPr>
          <w:snapToGrid w:val="0"/>
        </w:rPr>
        <w:tab/>
        <w:t>Applications for licences</w:t>
      </w:r>
      <w:bookmarkEnd w:id="8"/>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 correction to reprint in Gazette 24 Aug 2012 p. 3959.]</w:t>
      </w:r>
    </w:p>
    <w:p>
      <w:pPr>
        <w:pStyle w:val="Heading5"/>
        <w:rPr>
          <w:snapToGrid w:val="0"/>
        </w:rPr>
      </w:pPr>
      <w:bookmarkStart w:id="9" w:name="_Toc378945318"/>
      <w:r>
        <w:rPr>
          <w:rStyle w:val="CharSectno"/>
        </w:rPr>
        <w:t>18</w:t>
      </w:r>
      <w:r>
        <w:rPr>
          <w:snapToGrid w:val="0"/>
        </w:rPr>
        <w:t>.</w:t>
      </w:r>
      <w:r>
        <w:rPr>
          <w:snapToGrid w:val="0"/>
        </w:rPr>
        <w:tab/>
        <w:t>Objections to grants of licences</w:t>
      </w:r>
      <w:bookmarkEnd w:id="9"/>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r>
        <w:tab/>
        <w:t>(4)</w:t>
      </w:r>
      <w:r>
        <w:tab/>
        <w:t>If the Commissioner is considering making an adverse decision in relation to the objection, the Commissioner must give the objector the opportunity to give additional information in relation to that objection.</w:t>
      </w:r>
    </w:p>
    <w:p>
      <w:pPr>
        <w:pStyle w:val="Footnotesection"/>
      </w:pPr>
      <w:r>
        <w:tab/>
        <w:t>[Section 18 amended by No. 58 of 2010 s. 22 and 31.]</w:t>
      </w:r>
    </w:p>
    <w:p>
      <w:pPr>
        <w:pStyle w:val="Heading5"/>
        <w:rPr>
          <w:snapToGrid w:val="0"/>
        </w:rPr>
      </w:pPr>
      <w:bookmarkStart w:id="10" w:name="_Toc378945319"/>
      <w:r>
        <w:rPr>
          <w:rStyle w:val="CharSectno"/>
        </w:rPr>
        <w:t>19</w:t>
      </w:r>
      <w:r>
        <w:rPr>
          <w:snapToGrid w:val="0"/>
        </w:rPr>
        <w:t>.</w:t>
      </w:r>
      <w:r>
        <w:rPr>
          <w:snapToGrid w:val="0"/>
        </w:rPr>
        <w:tab/>
        <w:t>Grant of licence</w:t>
      </w:r>
      <w:bookmarkEnd w:id="10"/>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pPr>
      <w:bookmarkStart w:id="11" w:name="_Toc378945320"/>
      <w:r>
        <w:rPr>
          <w:rStyle w:val="CharSectno"/>
        </w:rPr>
        <w:t>19A.</w:t>
      </w:r>
      <w:r>
        <w:tab/>
        <w:t>Unopposed applications</w:t>
      </w:r>
      <w:bookmarkEnd w:id="11"/>
    </w:p>
    <w:p>
      <w:pPr>
        <w:pStyle w:val="Subsection"/>
        <w:rPr>
          <w:snapToGrid w:val="0"/>
        </w:rPr>
      </w:pPr>
      <w:r>
        <w:rPr>
          <w:snapToGrid w:val="0"/>
        </w:rPr>
        <w:tab/>
        <w:t>(1)</w:t>
      </w:r>
      <w:r>
        <w:rPr>
          <w:snapToGrid w:val="0"/>
        </w:rPr>
        <w:tab/>
        <w:t xml:space="preserve">Subject to this Part, a licence may be granted (as long as there is no objection)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w:t>
      </w:r>
    </w:p>
    <w:p>
      <w:pPr>
        <w:pStyle w:val="Heading5"/>
        <w:rPr>
          <w:snapToGrid w:val="0"/>
        </w:rPr>
      </w:pPr>
      <w:bookmarkStart w:id="12" w:name="_Toc378945321"/>
      <w:r>
        <w:rPr>
          <w:rStyle w:val="CharSectno"/>
        </w:rPr>
        <w:t>20</w:t>
      </w:r>
      <w:r>
        <w:rPr>
          <w:snapToGrid w:val="0"/>
        </w:rPr>
        <w:t>.</w:t>
      </w:r>
      <w:r>
        <w:rPr>
          <w:snapToGrid w:val="0"/>
        </w:rPr>
        <w:tab/>
        <w:t>Fee for licences and oath by licensees</w:t>
      </w:r>
      <w:bookmarkEnd w:id="12"/>
    </w:p>
    <w:p>
      <w:pPr>
        <w:pStyle w:val="Subsection"/>
        <w:keepNext/>
        <w:rPr>
          <w:snapToGrid w:val="0"/>
        </w:rPr>
      </w:pPr>
      <w:r>
        <w:rPr>
          <w:snapToGrid w:val="0"/>
        </w:rPr>
        <w:tab/>
      </w:r>
      <w:r>
        <w:rPr>
          <w:snapToGrid w:val="0"/>
        </w:rPr>
        <w:tab/>
        <w:t>A person who has applied for and is qualified to hold, a licence shall, before being granted a licence —</w:t>
      </w:r>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r>
        <w:tab/>
        <w:t>[Section 20 amended by No. 58 of 2010 s. 31.]</w:t>
      </w:r>
    </w:p>
    <w:p>
      <w:pPr>
        <w:pStyle w:val="Heading5"/>
      </w:pPr>
      <w:bookmarkStart w:id="13" w:name="_Toc378945322"/>
      <w:r>
        <w:rPr>
          <w:rStyle w:val="CharSectno"/>
        </w:rPr>
        <w:t>20A</w:t>
      </w:r>
      <w:r>
        <w:t>.</w:t>
      </w:r>
      <w:r>
        <w:tab/>
        <w:t>SAT may suspend licence in some cases</w:t>
      </w:r>
      <w:bookmarkEnd w:id="13"/>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4" w:name="_Toc378945323"/>
      <w:r>
        <w:rPr>
          <w:rStyle w:val="CharSectno"/>
        </w:rPr>
        <w:t>21</w:t>
      </w:r>
      <w:r>
        <w:rPr>
          <w:snapToGrid w:val="0"/>
        </w:rPr>
        <w:t>.</w:t>
      </w:r>
      <w:r>
        <w:rPr>
          <w:snapToGrid w:val="0"/>
        </w:rPr>
        <w:tab/>
        <w:t>Expiry and surrender of licence</w:t>
      </w:r>
      <w:bookmarkEnd w:id="14"/>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by No. 56 of 1995 s. 28; No. 55 of 2004 s. 596; No. 58 of 2010 s. 24 and 31.]</w:t>
      </w:r>
    </w:p>
    <w:p>
      <w:pPr>
        <w:pStyle w:val="Heading5"/>
        <w:rPr>
          <w:snapToGrid w:val="0"/>
        </w:rPr>
      </w:pPr>
      <w:bookmarkStart w:id="15" w:name="_Toc378945324"/>
      <w:r>
        <w:rPr>
          <w:rStyle w:val="CharSectno"/>
        </w:rPr>
        <w:t>22</w:t>
      </w:r>
      <w:r>
        <w:rPr>
          <w:snapToGrid w:val="0"/>
        </w:rPr>
        <w:t>.</w:t>
      </w:r>
      <w:r>
        <w:rPr>
          <w:snapToGrid w:val="0"/>
        </w:rPr>
        <w:tab/>
        <w:t>Renewal of licence</w:t>
      </w:r>
      <w:bookmarkEnd w:id="15"/>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Footnotesection"/>
        <w:spacing w:before="100"/>
        <w:ind w:left="890" w:hanging="890"/>
      </w:pPr>
      <w:r>
        <w:tab/>
        <w:t>[Section 22 amended by No. 56 of 1995 s. 29; No. 58 of 2010 s. 25 and 31.]</w:t>
      </w:r>
    </w:p>
    <w:p>
      <w:pPr>
        <w:pStyle w:val="Heading2"/>
      </w:pPr>
      <w:bookmarkStart w:id="16" w:name="_Toc378945325"/>
      <w:r>
        <w:rPr>
          <w:rStyle w:val="CharPartNo"/>
        </w:rPr>
        <w:t>Part IV</w:t>
      </w:r>
      <w:r>
        <w:t> — </w:t>
      </w:r>
      <w:r>
        <w:rPr>
          <w:rStyle w:val="CharPartText"/>
        </w:rPr>
        <w:t>Control of the practice of valuation</w:t>
      </w:r>
      <w:bookmarkEnd w:id="16"/>
    </w:p>
    <w:p>
      <w:pPr>
        <w:pStyle w:val="Heading3"/>
      </w:pPr>
      <w:bookmarkStart w:id="17" w:name="_Toc378945326"/>
      <w:r>
        <w:rPr>
          <w:rStyle w:val="CharDivNo"/>
        </w:rPr>
        <w:t>Division 1</w:t>
      </w:r>
      <w:r>
        <w:rPr>
          <w:snapToGrid w:val="0"/>
        </w:rPr>
        <w:t> — </w:t>
      </w:r>
      <w:r>
        <w:rPr>
          <w:rStyle w:val="CharDivText"/>
        </w:rPr>
        <w:t>General</w:t>
      </w:r>
      <w:bookmarkEnd w:id="17"/>
    </w:p>
    <w:p>
      <w:pPr>
        <w:pStyle w:val="Heading5"/>
        <w:spacing w:before="180"/>
        <w:rPr>
          <w:snapToGrid w:val="0"/>
        </w:rPr>
      </w:pPr>
      <w:bookmarkStart w:id="18" w:name="_Toc378945327"/>
      <w:r>
        <w:rPr>
          <w:rStyle w:val="CharSectno"/>
        </w:rPr>
        <w:t>23</w:t>
      </w:r>
      <w:r>
        <w:rPr>
          <w:snapToGrid w:val="0"/>
        </w:rPr>
        <w:t>.</w:t>
      </w:r>
      <w:r>
        <w:rPr>
          <w:snapToGrid w:val="0"/>
        </w:rPr>
        <w:tab/>
        <w:t>Valuers to be licensed</w:t>
      </w:r>
      <w:bookmarkEnd w:id="18"/>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5; No. 69 of 2006 s. 17.]</w:t>
      </w:r>
    </w:p>
    <w:p>
      <w:pPr>
        <w:pStyle w:val="Heading5"/>
        <w:spacing w:before="180"/>
        <w:rPr>
          <w:snapToGrid w:val="0"/>
        </w:rPr>
      </w:pPr>
      <w:bookmarkStart w:id="19" w:name="_Toc378945328"/>
      <w:r>
        <w:rPr>
          <w:rStyle w:val="CharSectno"/>
        </w:rPr>
        <w:t>24</w:t>
      </w:r>
      <w:r>
        <w:rPr>
          <w:snapToGrid w:val="0"/>
        </w:rPr>
        <w:t>.</w:t>
      </w:r>
      <w:r>
        <w:rPr>
          <w:snapToGrid w:val="0"/>
        </w:rPr>
        <w:tab/>
        <w:t>False claim of being licensed</w:t>
      </w:r>
      <w:bookmarkEnd w:id="19"/>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by No. 69 of 2006 s. 18.]</w:t>
      </w:r>
    </w:p>
    <w:p>
      <w:pPr>
        <w:pStyle w:val="Heading5"/>
        <w:spacing w:before="180"/>
        <w:rPr>
          <w:snapToGrid w:val="0"/>
        </w:rPr>
      </w:pPr>
      <w:bookmarkStart w:id="20" w:name="_Toc378945329"/>
      <w:r>
        <w:rPr>
          <w:rStyle w:val="CharSectno"/>
        </w:rPr>
        <w:t>25</w:t>
      </w:r>
      <w:r>
        <w:rPr>
          <w:snapToGrid w:val="0"/>
        </w:rPr>
        <w:t>.</w:t>
      </w:r>
      <w:r>
        <w:rPr>
          <w:snapToGrid w:val="0"/>
        </w:rPr>
        <w:tab/>
        <w:t>Remuneration of licensed valuers</w:t>
      </w:r>
      <w:bookmarkEnd w:id="20"/>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19; No. 58 of 2010 s. 31.]</w:t>
      </w:r>
    </w:p>
    <w:p>
      <w:pPr>
        <w:pStyle w:val="Heading3"/>
        <w:keepLines/>
        <w:spacing w:before="200"/>
      </w:pPr>
      <w:bookmarkStart w:id="21" w:name="_Toc378945330"/>
      <w:r>
        <w:rPr>
          <w:rStyle w:val="CharDivNo"/>
        </w:rPr>
        <w:t>Division 2</w:t>
      </w:r>
      <w:r>
        <w:rPr>
          <w:snapToGrid w:val="0"/>
        </w:rPr>
        <w:t> — </w:t>
      </w:r>
      <w:r>
        <w:rPr>
          <w:rStyle w:val="CharDivText"/>
        </w:rPr>
        <w:t>Discipline</w:t>
      </w:r>
      <w:bookmarkEnd w:id="21"/>
    </w:p>
    <w:p>
      <w:pPr>
        <w:pStyle w:val="Heading5"/>
        <w:spacing w:before="180"/>
        <w:rPr>
          <w:snapToGrid w:val="0"/>
        </w:rPr>
      </w:pPr>
      <w:bookmarkStart w:id="22" w:name="_Toc378945331"/>
      <w:r>
        <w:rPr>
          <w:rStyle w:val="CharSectno"/>
        </w:rPr>
        <w:t>26</w:t>
      </w:r>
      <w:r>
        <w:rPr>
          <w:snapToGrid w:val="0"/>
        </w:rPr>
        <w:t>.</w:t>
      </w:r>
      <w:r>
        <w:rPr>
          <w:snapToGrid w:val="0"/>
        </w:rPr>
        <w:tab/>
        <w:t>Licensed valuers’ code of conduct</w:t>
      </w:r>
      <w:bookmarkEnd w:id="22"/>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7; amended by No. 58 of 2010 s. 31.]</w:t>
      </w:r>
    </w:p>
    <w:p>
      <w:pPr>
        <w:pStyle w:val="Heading5"/>
        <w:rPr>
          <w:snapToGrid w:val="0"/>
        </w:rPr>
      </w:pPr>
      <w:bookmarkStart w:id="23" w:name="_Toc378945332"/>
      <w:r>
        <w:rPr>
          <w:rStyle w:val="CharSectno"/>
        </w:rPr>
        <w:t>27</w:t>
      </w:r>
      <w:r>
        <w:rPr>
          <w:snapToGrid w:val="0"/>
        </w:rPr>
        <w:t>.</w:t>
      </w:r>
      <w:r>
        <w:rPr>
          <w:snapToGrid w:val="0"/>
        </w:rPr>
        <w:tab/>
        <w:t>Disciplinary proceedings against licensed valuers</w:t>
      </w:r>
      <w:bookmarkEnd w:id="23"/>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24" w:name="_Toc378945333"/>
      <w:r>
        <w:rPr>
          <w:rStyle w:val="CharSectno"/>
        </w:rPr>
        <w:t>28</w:t>
      </w:r>
      <w:r>
        <w:rPr>
          <w:snapToGrid w:val="0"/>
        </w:rPr>
        <w:t>.</w:t>
      </w:r>
      <w:r>
        <w:rPr>
          <w:snapToGrid w:val="0"/>
        </w:rPr>
        <w:tab/>
        <w:t>SAT’s powers on disciplinary proceedings</w:t>
      </w:r>
      <w:bookmarkEnd w:id="24"/>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5" w:name="_Toc378945334"/>
      <w:r>
        <w:rPr>
          <w:rStyle w:val="CharPartNo"/>
        </w:rPr>
        <w:t>Part V</w:t>
      </w:r>
      <w:r>
        <w:rPr>
          <w:rStyle w:val="CharDivNo"/>
        </w:rPr>
        <w:t> </w:t>
      </w:r>
      <w:r>
        <w:t>—</w:t>
      </w:r>
      <w:r>
        <w:rPr>
          <w:rStyle w:val="CharDivText"/>
        </w:rPr>
        <w:t> </w:t>
      </w:r>
      <w:r>
        <w:rPr>
          <w:rStyle w:val="CharPartText"/>
        </w:rPr>
        <w:t>Miscellaneous</w:t>
      </w:r>
      <w:bookmarkEnd w:id="25"/>
    </w:p>
    <w:p>
      <w:pPr>
        <w:pStyle w:val="Heading5"/>
        <w:spacing w:before="120"/>
        <w:rPr>
          <w:snapToGrid w:val="0"/>
        </w:rPr>
      </w:pPr>
      <w:bookmarkStart w:id="26" w:name="_Toc378945335"/>
      <w:r>
        <w:rPr>
          <w:rStyle w:val="CharSectno"/>
        </w:rPr>
        <w:t>29</w:t>
      </w:r>
      <w:r>
        <w:rPr>
          <w:snapToGrid w:val="0"/>
        </w:rPr>
        <w:t>.</w:t>
      </w:r>
      <w:r>
        <w:rPr>
          <w:snapToGrid w:val="0"/>
        </w:rPr>
        <w:tab/>
        <w:t>Register of licensed valuers</w:t>
      </w:r>
      <w:bookmarkEnd w:id="26"/>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by No. 58 of 2010 s. 31.]</w:t>
      </w:r>
    </w:p>
    <w:p>
      <w:pPr>
        <w:pStyle w:val="Heading5"/>
        <w:spacing w:before="120"/>
        <w:rPr>
          <w:snapToGrid w:val="0"/>
        </w:rPr>
      </w:pPr>
      <w:bookmarkStart w:id="27" w:name="_Toc378945336"/>
      <w:r>
        <w:rPr>
          <w:rStyle w:val="CharSectno"/>
        </w:rPr>
        <w:t>29A</w:t>
      </w:r>
      <w:r>
        <w:rPr>
          <w:snapToGrid w:val="0"/>
        </w:rPr>
        <w:t>.</w:t>
      </w:r>
      <w:r>
        <w:rPr>
          <w:snapToGrid w:val="0"/>
        </w:rPr>
        <w:tab/>
        <w:t>Change of particulars, licensee to notify Commissioner</w:t>
      </w:r>
      <w:bookmarkEnd w:id="27"/>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by No. 56 of 1995 s. 30; amended by No. 69 of 2006 s. 21; No. 58 of 2010 s. 31.]</w:t>
      </w:r>
    </w:p>
    <w:p>
      <w:pPr>
        <w:pStyle w:val="Heading5"/>
        <w:spacing w:before="120"/>
        <w:rPr>
          <w:snapToGrid w:val="0"/>
        </w:rPr>
      </w:pPr>
      <w:bookmarkStart w:id="28" w:name="_Toc378945337"/>
      <w:r>
        <w:rPr>
          <w:rStyle w:val="CharSectno"/>
        </w:rPr>
        <w:t>30</w:t>
      </w:r>
      <w:r>
        <w:rPr>
          <w:snapToGrid w:val="0"/>
        </w:rPr>
        <w:t>.</w:t>
      </w:r>
      <w:r>
        <w:rPr>
          <w:snapToGrid w:val="0"/>
        </w:rPr>
        <w:tab/>
        <w:t>Names etc. of licensed valuers to be published; evidentiary provisions</w:t>
      </w:r>
      <w:bookmarkEnd w:id="28"/>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by No. 58 of 2010 s. 31.]</w:t>
      </w:r>
    </w:p>
    <w:p>
      <w:pPr>
        <w:pStyle w:val="Heading5"/>
        <w:rPr>
          <w:snapToGrid w:val="0"/>
        </w:rPr>
      </w:pPr>
      <w:bookmarkStart w:id="29" w:name="_Toc378945338"/>
      <w:r>
        <w:rPr>
          <w:rStyle w:val="CharSectno"/>
        </w:rPr>
        <w:t>31</w:t>
      </w:r>
      <w:r>
        <w:rPr>
          <w:snapToGrid w:val="0"/>
        </w:rPr>
        <w:t>.</w:t>
      </w:r>
      <w:r>
        <w:rPr>
          <w:snapToGrid w:val="0"/>
        </w:rPr>
        <w:tab/>
        <w:t>Annual report by department</w:t>
      </w:r>
      <w:bookmarkEnd w:id="29"/>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by No. 55 of 2004 s. 599; No. 58 of 2010 s. 26 and 31.]</w:t>
      </w:r>
    </w:p>
    <w:p>
      <w:pPr>
        <w:pStyle w:val="Ednotesection"/>
      </w:pPr>
      <w:r>
        <w:t>[</w:t>
      </w:r>
      <w:r>
        <w:rPr>
          <w:b/>
        </w:rPr>
        <w:t>32.</w:t>
      </w:r>
      <w:r>
        <w:tab/>
        <w:t>Deleted by No. 58 of 2010 s. 27.]</w:t>
      </w:r>
    </w:p>
    <w:p>
      <w:pPr>
        <w:pStyle w:val="Heading5"/>
      </w:pPr>
      <w:bookmarkStart w:id="30" w:name="_Toc378945339"/>
      <w:r>
        <w:rPr>
          <w:rStyle w:val="CharSectno"/>
        </w:rPr>
        <w:t>33</w:t>
      </w:r>
      <w:r>
        <w:t>.</w:t>
      </w:r>
      <w:r>
        <w:tab/>
        <w:t>Confidentiality of information officially obtained</w:t>
      </w:r>
      <w:bookmarkEnd w:id="30"/>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31" w:name="_Toc378945340"/>
      <w:r>
        <w:rPr>
          <w:rStyle w:val="CharSectno"/>
        </w:rPr>
        <w:t>34</w:t>
      </w:r>
      <w:r>
        <w:rPr>
          <w:snapToGrid w:val="0"/>
        </w:rPr>
        <w:t>.</w:t>
      </w:r>
      <w:r>
        <w:rPr>
          <w:snapToGrid w:val="0"/>
        </w:rPr>
        <w:tab/>
        <w:t>Offences by corporations</w:t>
      </w:r>
      <w:bookmarkEnd w:id="31"/>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2" w:name="_Toc378945341"/>
      <w:r>
        <w:rPr>
          <w:rStyle w:val="CharSectno"/>
        </w:rPr>
        <w:t>35</w:t>
      </w:r>
      <w:r>
        <w:rPr>
          <w:snapToGrid w:val="0"/>
        </w:rPr>
        <w:t>.</w:t>
      </w:r>
      <w:r>
        <w:rPr>
          <w:snapToGrid w:val="0"/>
        </w:rPr>
        <w:tab/>
        <w:t>Proceedings for offences</w:t>
      </w:r>
      <w:bookmarkEnd w:id="32"/>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78; No. 58 of 2010 s. 31.]</w:t>
      </w:r>
    </w:p>
    <w:p>
      <w:pPr>
        <w:pStyle w:val="Heading5"/>
        <w:rPr>
          <w:snapToGrid w:val="0"/>
        </w:rPr>
      </w:pPr>
      <w:bookmarkStart w:id="33" w:name="_Toc378945342"/>
      <w:r>
        <w:rPr>
          <w:rStyle w:val="CharSectno"/>
        </w:rPr>
        <w:t>36</w:t>
      </w:r>
      <w:r>
        <w:rPr>
          <w:snapToGrid w:val="0"/>
        </w:rPr>
        <w:t>.</w:t>
      </w:r>
      <w:r>
        <w:rPr>
          <w:snapToGrid w:val="0"/>
        </w:rPr>
        <w:tab/>
        <w:t>Regulations</w:t>
      </w:r>
      <w:bookmarkEnd w:id="33"/>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23; No. 58 of 2010 s. 29.]</w:t>
      </w:r>
    </w:p>
    <w:p>
      <w:pPr>
        <w:pStyle w:val="Heading2"/>
      </w:pPr>
      <w:bookmarkStart w:id="34" w:name="_Toc378945343"/>
      <w:r>
        <w:rPr>
          <w:rStyle w:val="CharPartNo"/>
        </w:rPr>
        <w:t>Part VI</w:t>
      </w:r>
      <w:r>
        <w:rPr>
          <w:b w:val="0"/>
        </w:rPr>
        <w:t> </w:t>
      </w:r>
      <w:r>
        <w:t>—</w:t>
      </w:r>
      <w:r>
        <w:rPr>
          <w:b w:val="0"/>
        </w:rPr>
        <w:t> </w:t>
      </w:r>
      <w:r>
        <w:rPr>
          <w:rStyle w:val="CharPartText"/>
        </w:rPr>
        <w:t>Miscellaneous transitional matters</w:t>
      </w:r>
      <w:bookmarkEnd w:id="34"/>
    </w:p>
    <w:p>
      <w:pPr>
        <w:pStyle w:val="Footnotesection"/>
        <w:spacing w:before="100"/>
        <w:ind w:left="890" w:hanging="890"/>
      </w:pPr>
      <w:r>
        <w:tab/>
        <w:t>[Heading inserted by No. 58 of 2010 s. 30.]</w:t>
      </w:r>
    </w:p>
    <w:p>
      <w:pPr>
        <w:pStyle w:val="Heading5"/>
      </w:pPr>
      <w:bookmarkStart w:id="35" w:name="_Toc378945344"/>
      <w:r>
        <w:rPr>
          <w:rStyle w:val="CharSectno"/>
        </w:rPr>
        <w:t>37</w:t>
      </w:r>
      <w:r>
        <w:t>.</w:t>
      </w:r>
      <w:r>
        <w:tab/>
        <w:t>Terms used</w:t>
      </w:r>
      <w:bookmarkEnd w:id="35"/>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by No. 58 of 2010 s. 30.]</w:t>
      </w:r>
    </w:p>
    <w:p>
      <w:pPr>
        <w:pStyle w:val="Heading5"/>
      </w:pPr>
      <w:bookmarkStart w:id="36" w:name="_Toc378945345"/>
      <w:r>
        <w:rPr>
          <w:rStyle w:val="CharSectno"/>
        </w:rPr>
        <w:t>38</w:t>
      </w:r>
      <w:r>
        <w:t>.</w:t>
      </w:r>
      <w:r>
        <w:tab/>
        <w:t>Former Board abolished</w:t>
      </w:r>
      <w:bookmarkEnd w:id="36"/>
    </w:p>
    <w:p>
      <w:pPr>
        <w:pStyle w:val="Subsection"/>
      </w:pPr>
      <w:r>
        <w:tab/>
      </w:r>
      <w:r>
        <w:tab/>
        <w:t>Subject to sections 44 and 45, at the beginning of the commencement day, the former Board is abolished and its members go out of office.</w:t>
      </w:r>
    </w:p>
    <w:p>
      <w:pPr>
        <w:pStyle w:val="Footnotesection"/>
      </w:pPr>
      <w:r>
        <w:tab/>
        <w:t>[Section 38 inserted by No. 58 of 2010 s. 30.]</w:t>
      </w:r>
    </w:p>
    <w:p>
      <w:pPr>
        <w:pStyle w:val="Heading5"/>
      </w:pPr>
      <w:bookmarkStart w:id="37" w:name="_Toc378945346"/>
      <w:r>
        <w:rPr>
          <w:rStyle w:val="CharSectno"/>
        </w:rPr>
        <w:t>39</w:t>
      </w:r>
      <w:r>
        <w:t>.</w:t>
      </w:r>
      <w:r>
        <w:tab/>
        <w:t>References to former Board or Registrar</w:t>
      </w:r>
      <w:bookmarkEnd w:id="37"/>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by No. 58 of 2010 s. 30.]</w:t>
      </w:r>
    </w:p>
    <w:p>
      <w:pPr>
        <w:pStyle w:val="Heading5"/>
      </w:pPr>
      <w:bookmarkStart w:id="38" w:name="_Toc378945347"/>
      <w:r>
        <w:rPr>
          <w:rStyle w:val="CharSectno"/>
        </w:rPr>
        <w:t>40</w:t>
      </w:r>
      <w:r>
        <w:t>.</w:t>
      </w:r>
      <w:r>
        <w:tab/>
        <w:t>Immunity continues</w:t>
      </w:r>
      <w:bookmarkEnd w:id="38"/>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by No. 58 of 2010 s. 30.]</w:t>
      </w:r>
    </w:p>
    <w:p>
      <w:pPr>
        <w:pStyle w:val="Heading5"/>
      </w:pPr>
      <w:bookmarkStart w:id="39" w:name="_Toc378945348"/>
      <w:r>
        <w:rPr>
          <w:rStyle w:val="CharSectno"/>
        </w:rPr>
        <w:t>41</w:t>
      </w:r>
      <w:r>
        <w:t>.</w:t>
      </w:r>
      <w:r>
        <w:tab/>
        <w:t>Notices of maximum amounts of remuneration</w:t>
      </w:r>
      <w:bookmarkEnd w:id="39"/>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by No. 58 of 2010 s. 30.]</w:t>
      </w:r>
    </w:p>
    <w:p>
      <w:pPr>
        <w:pStyle w:val="Heading5"/>
      </w:pPr>
      <w:bookmarkStart w:id="40" w:name="_Toc378945349"/>
      <w:r>
        <w:rPr>
          <w:rStyle w:val="CharSectno"/>
        </w:rPr>
        <w:t>42</w:t>
      </w:r>
      <w:r>
        <w:t>.</w:t>
      </w:r>
      <w:r>
        <w:tab/>
        <w:t>Unfinished proceedings by former Registrar</w:t>
      </w:r>
      <w:bookmarkEnd w:id="40"/>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by No. 58 of 2010 s. 30.]</w:t>
      </w:r>
    </w:p>
    <w:p>
      <w:pPr>
        <w:pStyle w:val="Heading5"/>
      </w:pPr>
      <w:bookmarkStart w:id="41" w:name="_Toc378945350"/>
      <w:r>
        <w:rPr>
          <w:rStyle w:val="CharSectno"/>
        </w:rPr>
        <w:t>43</w:t>
      </w:r>
      <w:r>
        <w:t>.</w:t>
      </w:r>
      <w:r>
        <w:tab/>
        <w:t>Unfinished proceedings by former Board</w:t>
      </w:r>
      <w:bookmarkEnd w:id="41"/>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by No. 58 of 2010 s. 30.]</w:t>
      </w:r>
    </w:p>
    <w:p>
      <w:pPr>
        <w:pStyle w:val="Heading5"/>
      </w:pPr>
      <w:bookmarkStart w:id="42" w:name="_Toc378945351"/>
      <w:r>
        <w:rPr>
          <w:rStyle w:val="CharSectno"/>
        </w:rPr>
        <w:t>44</w:t>
      </w:r>
      <w:r>
        <w:t>.</w:t>
      </w:r>
      <w:r>
        <w:tab/>
        <w:t>Winding</w:t>
      </w:r>
      <w:r>
        <w:noBreakHyphen/>
        <w:t>up by former Board</w:t>
      </w:r>
      <w:bookmarkEnd w:id="42"/>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by No. 58 of 2010 s. 30.]</w:t>
      </w:r>
    </w:p>
    <w:p>
      <w:pPr>
        <w:pStyle w:val="Heading5"/>
      </w:pPr>
      <w:bookmarkStart w:id="43" w:name="_Toc378945352"/>
      <w:r>
        <w:rPr>
          <w:rStyle w:val="CharSectno"/>
        </w:rPr>
        <w:t>45</w:t>
      </w:r>
      <w:r>
        <w:t>.</w:t>
      </w:r>
      <w:r>
        <w:tab/>
        <w:t>Final report by former Board</w:t>
      </w:r>
      <w:bookmarkEnd w:id="43"/>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by No. 58 of 2010 s. 30.]</w:t>
      </w:r>
    </w:p>
    <w:p>
      <w:pPr>
        <w:pStyle w:val="Heading5"/>
      </w:pPr>
      <w:bookmarkStart w:id="44" w:name="_Toc378945353"/>
      <w:r>
        <w:rPr>
          <w:rStyle w:val="CharSectno"/>
        </w:rPr>
        <w:t>46</w:t>
      </w:r>
      <w:r>
        <w:t>.</w:t>
      </w:r>
      <w:r>
        <w:tab/>
        <w:t>Transitional regulations</w:t>
      </w:r>
      <w:bookmarkEnd w:id="44"/>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by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45" w:name="_Toc378945354"/>
      <w:r>
        <w:t>Notes</w:t>
      </w:r>
      <w:bookmarkEnd w:id="45"/>
    </w:p>
    <w:p>
      <w:pPr>
        <w:pStyle w:val="nSubsection"/>
        <w:rPr>
          <w:snapToGrid w:val="0"/>
        </w:rPr>
      </w:pPr>
      <w:r>
        <w:rPr>
          <w:snapToGrid w:val="0"/>
          <w:vertAlign w:val="superscript"/>
        </w:rPr>
        <w:t>1</w:t>
      </w:r>
      <w:r>
        <w:rPr>
          <w:snapToGrid w:val="0"/>
        </w:rPr>
        <w:tab/>
        <w:t xml:space="preserve">This reprint is a compilation as at 14 October 2011 of the </w:t>
      </w:r>
      <w:r>
        <w:rPr>
          <w:i/>
          <w:noProof/>
          <w:snapToGrid w:val="0"/>
        </w:rPr>
        <w:t>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 w:name="_Toc378945355"/>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9"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9"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9"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9" w:type="dxa"/>
          </w:tcPr>
          <w:p>
            <w:pPr>
              <w:pStyle w:val="nTable"/>
              <w:spacing w:after="40"/>
              <w:ind w:right="113"/>
              <w:rPr>
                <w:i/>
                <w:snapToGrid w:val="0"/>
                <w:sz w:val="19"/>
                <w:vertAlign w:val="superscript"/>
              </w:rPr>
            </w:pPr>
            <w:r>
              <w:rPr>
                <w:i/>
                <w:snapToGrid w:val="0"/>
                <w:sz w:val="19"/>
              </w:rPr>
              <w:t>Criminal Procedure and Appeals (Consequential and Other Provisions) Act 2004</w:t>
            </w:r>
            <w:r>
              <w:rPr>
                <w:snapToGrid w:val="0"/>
                <w:sz w:val="19"/>
              </w:rPr>
              <w:t xml:space="preserve"> s. 78 </w:t>
            </w:r>
            <w:r>
              <w:rPr>
                <w:snapToGrid w:val="0"/>
                <w:sz w:val="19"/>
                <w:vertAlign w:val="superscript"/>
              </w:rPr>
              <w:t>5</w:t>
            </w:r>
          </w:p>
        </w:tc>
        <w:tc>
          <w:tcPr>
            <w:tcW w:w="1134" w:type="dxa"/>
          </w:tcPr>
          <w:p>
            <w:pPr>
              <w:pStyle w:val="nTable"/>
              <w:spacing w:after="40"/>
              <w:rPr>
                <w:sz w:val="19"/>
              </w:rPr>
            </w:pPr>
            <w:r>
              <w:rPr>
                <w:snapToGrid w:val="0"/>
                <w:sz w:val="19"/>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9" w:type="dxa"/>
          </w:tcPr>
          <w:p>
            <w:pPr>
              <w:pStyle w:val="nTable"/>
              <w:spacing w:after="40"/>
              <w:ind w:right="113"/>
              <w:rPr>
                <w:iCs/>
                <w:snapToGrid w:val="0"/>
                <w:sz w:val="19"/>
              </w:rPr>
            </w:pPr>
            <w:r>
              <w:rPr>
                <w:i/>
                <w:snapToGrid w:val="0"/>
                <w:sz w:val="19"/>
              </w:rPr>
              <w:t>Consumer Protection Legislation Amendment and Repeal Act 2006</w:t>
            </w:r>
            <w:r>
              <w:rPr>
                <w:iCs/>
                <w:snapToGrid w:val="0"/>
                <w:sz w:val="19"/>
              </w:rPr>
              <w:t xml:space="preserve"> Pt. 6</w:t>
            </w:r>
          </w:p>
        </w:tc>
        <w:tc>
          <w:tcPr>
            <w:tcW w:w="1134" w:type="dxa"/>
          </w:tcPr>
          <w:p>
            <w:pPr>
              <w:pStyle w:val="nTable"/>
              <w:spacing w:after="40"/>
              <w:rPr>
                <w:sz w:val="19"/>
              </w:rPr>
            </w:pPr>
            <w:r>
              <w:rPr>
                <w:snapToGrid w:val="0"/>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cantSplit/>
        </w:trPr>
        <w:tc>
          <w:tcPr>
            <w:tcW w:w="2269" w:type="dxa"/>
          </w:tcPr>
          <w:p>
            <w:pPr>
              <w:pStyle w:val="nTable"/>
              <w:spacing w:after="40"/>
              <w:ind w:right="113"/>
              <w:rPr>
                <w:i/>
                <w:snapToGrid w:val="0"/>
                <w:sz w:val="19"/>
                <w:vertAlign w:val="superscript"/>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9" w:type="dxa"/>
          </w:tcPr>
          <w:p>
            <w:pPr>
              <w:pStyle w:val="nTable"/>
              <w:spacing w:after="40"/>
              <w:ind w:right="113"/>
              <w:rPr>
                <w:i/>
                <w:snapToGrid w:val="0"/>
                <w:sz w:val="19"/>
              </w:rPr>
            </w:pPr>
            <w:r>
              <w:rPr>
                <w:i/>
                <w:iCs/>
                <w:snapToGrid w:val="0"/>
                <w:sz w:val="19"/>
              </w:rPr>
              <w:t>Legal Profession Act 2008</w:t>
            </w:r>
            <w:r>
              <w:rPr>
                <w:snapToGrid w:val="0"/>
                <w:sz w:val="19"/>
              </w:rPr>
              <w:t xml:space="preserve"> s. 671</w:t>
            </w:r>
          </w:p>
        </w:tc>
        <w:tc>
          <w:tcPr>
            <w:tcW w:w="1134" w:type="dxa"/>
          </w:tcPr>
          <w:p>
            <w:pPr>
              <w:pStyle w:val="nTable"/>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2"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7089" w:type="dxa"/>
            <w:gridSpan w:val="4"/>
          </w:tcPr>
          <w:p>
            <w:pPr>
              <w:pStyle w:val="nTable"/>
              <w:spacing w:after="40"/>
              <w:rPr>
                <w:snapToGrid w:val="0"/>
                <w:spacing w:val="-2"/>
                <w:sz w:val="19"/>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shd w:val="clear" w:color="auto" w:fill="auto"/>
          </w:tcPr>
          <w:p>
            <w:pPr>
              <w:pStyle w:val="nTable"/>
              <w:spacing w:after="40"/>
              <w:rPr>
                <w:i/>
                <w:snapToGrid w:val="0"/>
                <w:sz w:val="19"/>
              </w:rPr>
            </w:pPr>
            <w:r>
              <w:rPr>
                <w:i/>
                <w:snapToGrid w:val="0"/>
                <w:sz w:val="19"/>
              </w:rPr>
              <w:t>Acts Amendment (Fair Trading) Act 2010</w:t>
            </w:r>
            <w:r>
              <w:rPr>
                <w:snapToGrid w:val="0"/>
                <w:sz w:val="19"/>
              </w:rPr>
              <w:t xml:space="preserve"> Pt. 3</w:t>
            </w:r>
          </w:p>
        </w:tc>
        <w:tc>
          <w:tcPr>
            <w:tcW w:w="1134" w:type="dxa"/>
            <w:shd w:val="clear" w:color="auto" w:fill="auto"/>
          </w:tcPr>
          <w:p>
            <w:pPr>
              <w:pStyle w:val="nTable"/>
              <w:spacing w:after="40"/>
              <w:rPr>
                <w:sz w:val="19"/>
              </w:rPr>
            </w:pPr>
            <w:r>
              <w:rPr>
                <w:sz w:val="19"/>
              </w:rPr>
              <w:t>58 of 2010</w:t>
            </w:r>
          </w:p>
        </w:tc>
        <w:tc>
          <w:tcPr>
            <w:tcW w:w="1134" w:type="dxa"/>
            <w:shd w:val="clear" w:color="auto" w:fill="auto"/>
          </w:tcPr>
          <w:p>
            <w:pPr>
              <w:pStyle w:val="nTable"/>
              <w:spacing w:after="40"/>
              <w:rPr>
                <w:sz w:val="19"/>
              </w:rPr>
            </w:pPr>
            <w:r>
              <w:rPr>
                <w:sz w:val="19"/>
              </w:rPr>
              <w:t>8 Dec 2010</w:t>
            </w:r>
          </w:p>
        </w:tc>
        <w:tc>
          <w:tcPr>
            <w:tcW w:w="2552" w:type="dxa"/>
            <w:shd w:val="clear" w:color="auto" w:fill="auto"/>
          </w:tcPr>
          <w:p>
            <w:pPr>
              <w:pStyle w:val="nTable"/>
              <w:spacing w:after="40"/>
              <w:rPr>
                <w:sz w:val="19"/>
              </w:rPr>
            </w:pPr>
            <w:r>
              <w:rPr>
                <w:sz w:val="19"/>
              </w:rPr>
              <w:t xml:space="preserve">1 Jul 2011 (see s. 2(c) and </w:t>
            </w:r>
            <w:r>
              <w:rPr>
                <w:i/>
                <w:sz w:val="19"/>
              </w:rPr>
              <w:t>Gazette</w:t>
            </w:r>
            <w:r>
              <w:rPr>
                <w:sz w:val="19"/>
              </w:rPr>
              <w:t xml:space="preserve"> 7 Jun 2011 p. 2057)</w:t>
            </w:r>
          </w:p>
        </w:tc>
      </w:tr>
      <w:tr>
        <w:trPr>
          <w:cantSplit/>
        </w:trPr>
        <w:tc>
          <w:tcPr>
            <w:tcW w:w="7089" w:type="dxa"/>
            <w:gridSpan w:val="4"/>
            <w:tcBorders>
              <w:bottom w:val="single" w:sz="8" w:space="0" w:color="auto"/>
            </w:tcBorders>
            <w:shd w:val="clear" w:color="auto" w:fill="auto"/>
          </w:tcPr>
          <w:p>
            <w:pPr>
              <w:pStyle w:val="nTable"/>
              <w:spacing w:after="40"/>
              <w:rPr>
                <w:sz w:val="19"/>
              </w:rPr>
            </w:pPr>
            <w:r>
              <w:rPr>
                <w:b/>
                <w:sz w:val="19"/>
              </w:rPr>
              <w:t xml:space="preserve">Reprint 4:  The </w:t>
            </w:r>
            <w:r>
              <w:rPr>
                <w:b/>
                <w:i/>
                <w:sz w:val="19"/>
              </w:rPr>
              <w:t>Land Valuers Licensing Act 1978</w:t>
            </w:r>
            <w:r>
              <w:rPr>
                <w:b/>
                <w:sz w:val="19"/>
              </w:rPr>
              <w:t xml:space="preserve"> as at 14 Oct  2011</w:t>
            </w:r>
            <w:r>
              <w:rPr>
                <w:sz w:val="19"/>
              </w:rPr>
              <w:br/>
              <w:t>(includes amendments listed above) (</w:t>
            </w:r>
            <w:r>
              <w:t xml:space="preserve">correction to reprint in </w:t>
            </w:r>
            <w:r>
              <w:rPr>
                <w:i/>
              </w:rPr>
              <w:t>Gazette</w:t>
            </w:r>
            <w:r>
              <w:t xml:space="preserve"> 24 Aug 2012 p. 3959</w:t>
            </w:r>
            <w:r>
              <w:rPr>
                <w:sz w:val="19"/>
              </w:rPr>
              <w:t>)</w:t>
            </w:r>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47" w:name="_Toc378945356"/>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 w:name="DefinedTerms"/>
      <w:bookmarkEnd w:id="48"/>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44(b)</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Pr>
        <w:pStyle w:val="DefinedTerms"/>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
    <w:p/>
    <w:p/>
    <w:p/>
    <w:p/>
    <w:p/>
    <w:p/>
    <w:p/>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7"/>
  </w:num>
  <w:num w:numId="15">
    <w:abstractNumId w:val="13"/>
  </w:num>
  <w:num w:numId="16">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1152224"/>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5683</Words>
  <Characters>26656</Characters>
  <Application>Microsoft Office Word</Application>
  <DocSecurity>0</DocSecurity>
  <Lines>833</Lines>
  <Paragraphs>513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1978 - 04-a0-03</dc:title>
  <dc:subject/>
  <dc:creator/>
  <cp:keywords/>
  <dc:description/>
  <cp:lastModifiedBy>svcMRProcess</cp:lastModifiedBy>
  <cp:revision>4</cp:revision>
  <cp:lastPrinted>2011-11-07T07:27:00Z</cp:lastPrinted>
  <dcterms:created xsi:type="dcterms:W3CDTF">2018-09-03T23:39:00Z</dcterms:created>
  <dcterms:modified xsi:type="dcterms:W3CDTF">2018-09-03T23:39:00Z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20111014</vt:lpwstr>
  </property>
  <property fmtid="{D5CDD505-2E9C-101B-9397-08002B2CF9AE}" pid="4" name="DocumentType">
    <vt:lpwstr>Act</vt:lpwstr>
  </property>
  <property fmtid="{D5CDD505-2E9C-101B-9397-08002B2CF9AE}" pid="5" name="OwlsUID">
    <vt:i4>436</vt:i4>
  </property>
  <property fmtid="{D5CDD505-2E9C-101B-9397-08002B2CF9AE}" pid="6" name="AsAtDate">
    <vt:lpwstr>14 Oct 2011</vt:lpwstr>
  </property>
  <property fmtid="{D5CDD505-2E9C-101B-9397-08002B2CF9AE}" pid="7" name="Suffix">
    <vt:lpwstr>04-a0-03</vt:lpwstr>
  </property>
  <property fmtid="{D5CDD505-2E9C-101B-9397-08002B2CF9AE}" pid="8" name="ReprintNo">
    <vt:lpwstr>4</vt:lpwstr>
  </property>
  <property fmtid="{D5CDD505-2E9C-101B-9397-08002B2CF9AE}" pid="9" name="ReprintedAsAt">
    <vt:filetime>2011-10-13T16:00:00Z</vt:filetime>
  </property>
</Properties>
</file>