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61" name="Picture 6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PrincipalActReg"/>
        <w:spacing w:before="2600" w:after="0"/>
      </w:pPr>
      <w:r>
        <w:rPr>
          <w:snapToGrid w:val="0"/>
        </w:rPr>
        <w:t>Fish Resources Management Act 1994</w:t>
      </w:r>
    </w:p>
    <w:p>
      <w:pPr>
        <w:pStyle w:val="NameofActRegPage1"/>
        <w:spacing w:before="198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Fish Resources Management Regulations 1995</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Fish Resources Management Regulations 1995</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rPr>
          <w:snapToGrid w:val="0"/>
        </w:rPr>
        <w:t>.</w:t>
      </w:r>
      <w:r>
        <w:rPr>
          <w:snapToGrid w:val="0"/>
        </w:rPr>
        <w:tab/>
        <w:t>Citation</w:t>
      </w:r>
      <w:r>
        <w:tab/>
      </w:r>
      <w:r>
        <w:fldChar w:fldCharType="begin"/>
      </w:r>
      <w:r>
        <w:instrText xml:space="preserve"> PAGEREF _Toc309309247 \h </w:instrText>
      </w:r>
      <w:r>
        <w:fldChar w:fldCharType="separate"/>
      </w:r>
      <w:r>
        <w:t>1</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_Toc309309248 \h </w:instrText>
      </w:r>
      <w:r>
        <w:fldChar w:fldCharType="separate"/>
      </w:r>
      <w:r>
        <w:t>1</w:t>
      </w:r>
      <w:r>
        <w:fldChar w:fldCharType="end"/>
      </w:r>
    </w:p>
    <w:p>
      <w:pPr>
        <w:pStyle w:val="TOC8"/>
        <w:rPr>
          <w:sz w:val="24"/>
          <w:szCs w:val="24"/>
          <w:lang w:val="en-US"/>
        </w:rPr>
      </w:pPr>
      <w:r>
        <w:t>3</w:t>
      </w:r>
      <w:r>
        <w:rPr>
          <w:snapToGrid w:val="0"/>
        </w:rPr>
        <w:t>.</w:t>
      </w:r>
      <w:r>
        <w:rPr>
          <w:snapToGrid w:val="0"/>
        </w:rPr>
        <w:tab/>
        <w:t>Terms used</w:t>
      </w:r>
      <w:r>
        <w:tab/>
      </w:r>
      <w:r>
        <w:fldChar w:fldCharType="begin"/>
      </w:r>
      <w:r>
        <w:instrText xml:space="preserve"> PAGEREF _Toc309309249 \h </w:instrText>
      </w:r>
      <w:r>
        <w:fldChar w:fldCharType="separate"/>
      </w:r>
      <w:r>
        <w:t>1</w:t>
      </w:r>
      <w:r>
        <w:fldChar w:fldCharType="end"/>
      </w:r>
    </w:p>
    <w:p>
      <w:pPr>
        <w:pStyle w:val="TOC8"/>
        <w:rPr>
          <w:sz w:val="24"/>
          <w:szCs w:val="24"/>
          <w:lang w:val="en-US"/>
        </w:rPr>
      </w:pPr>
      <w:r>
        <w:t>4</w:t>
      </w:r>
      <w:r>
        <w:rPr>
          <w:snapToGrid w:val="0"/>
        </w:rPr>
        <w:t>.</w:t>
      </w:r>
      <w:r>
        <w:rPr>
          <w:snapToGrid w:val="0"/>
        </w:rPr>
        <w:tab/>
        <w:t xml:space="preserve">Body prescribed (Act s. 4(1) </w:t>
      </w:r>
      <w:r>
        <w:rPr>
          <w:i/>
          <w:snapToGrid w:val="0"/>
        </w:rPr>
        <w:t>peak industry body</w:t>
      </w:r>
      <w:r>
        <w:rPr>
          <w:snapToGrid w:val="0"/>
        </w:rPr>
        <w:t>)</w:t>
      </w:r>
      <w:r>
        <w:tab/>
      </w:r>
      <w:r>
        <w:fldChar w:fldCharType="begin"/>
      </w:r>
      <w:r>
        <w:instrText xml:space="preserve"> PAGEREF _Toc309309250 \h </w:instrText>
      </w:r>
      <w:r>
        <w:fldChar w:fldCharType="separate"/>
      </w:r>
      <w:r>
        <w:t>8</w:t>
      </w:r>
      <w:r>
        <w:fldChar w:fldCharType="end"/>
      </w:r>
    </w:p>
    <w:p>
      <w:pPr>
        <w:pStyle w:val="TOC8"/>
        <w:rPr>
          <w:sz w:val="24"/>
          <w:szCs w:val="24"/>
          <w:lang w:val="en-US"/>
        </w:rPr>
      </w:pPr>
      <w:r>
        <w:t>5</w:t>
      </w:r>
      <w:r>
        <w:rPr>
          <w:snapToGrid w:val="0"/>
        </w:rPr>
        <w:t>.</w:t>
      </w:r>
      <w:r>
        <w:rPr>
          <w:snapToGrid w:val="0"/>
        </w:rPr>
        <w:tab/>
        <w:t xml:space="preserve">Classes of fish prescribed (Act s. 4(1) </w:t>
      </w:r>
      <w:r>
        <w:rPr>
          <w:i/>
          <w:snapToGrid w:val="0"/>
        </w:rPr>
        <w:t>process</w:t>
      </w:r>
      <w:r>
        <w:rPr>
          <w:snapToGrid w:val="0"/>
        </w:rPr>
        <w:t>)</w:t>
      </w:r>
      <w:r>
        <w:tab/>
      </w:r>
      <w:r>
        <w:fldChar w:fldCharType="begin"/>
      </w:r>
      <w:r>
        <w:instrText xml:space="preserve"> PAGEREF _Toc309309251 \h </w:instrText>
      </w:r>
      <w:r>
        <w:fldChar w:fldCharType="separate"/>
      </w:r>
      <w:r>
        <w:t>9</w:t>
      </w:r>
      <w:r>
        <w:fldChar w:fldCharType="end"/>
      </w:r>
    </w:p>
    <w:p>
      <w:pPr>
        <w:pStyle w:val="TOC8"/>
        <w:rPr>
          <w:sz w:val="24"/>
          <w:szCs w:val="24"/>
          <w:lang w:val="en-US"/>
        </w:rPr>
      </w:pPr>
      <w:r>
        <w:t>6</w:t>
      </w:r>
      <w:r>
        <w:rPr>
          <w:snapToGrid w:val="0"/>
        </w:rPr>
        <w:t>.</w:t>
      </w:r>
      <w:r>
        <w:rPr>
          <w:snapToGrid w:val="0"/>
        </w:rPr>
        <w:tab/>
        <w:t>Fee prescribed for exemption application (Act s. 7(4))</w:t>
      </w:r>
      <w:r>
        <w:tab/>
      </w:r>
      <w:r>
        <w:fldChar w:fldCharType="begin"/>
      </w:r>
      <w:r>
        <w:instrText xml:space="preserve"> PAGEREF _Toc309309252 \h </w:instrText>
      </w:r>
      <w:r>
        <w:fldChar w:fldCharType="separate"/>
      </w:r>
      <w:r>
        <w:t>9</w:t>
      </w:r>
      <w:r>
        <w:fldChar w:fldCharType="end"/>
      </w:r>
    </w:p>
    <w:p>
      <w:pPr>
        <w:pStyle w:val="TOC8"/>
        <w:rPr>
          <w:sz w:val="24"/>
          <w:szCs w:val="24"/>
          <w:lang w:val="en-US"/>
        </w:rPr>
      </w:pPr>
      <w:r>
        <w:t>7</w:t>
      </w:r>
      <w:r>
        <w:rPr>
          <w:snapToGrid w:val="0"/>
        </w:rPr>
        <w:t>.</w:t>
      </w:r>
      <w:r>
        <w:rPr>
          <w:snapToGrid w:val="0"/>
        </w:rPr>
        <w:tab/>
        <w:t>Exemption, power to require return of</w:t>
      </w:r>
      <w:r>
        <w:tab/>
      </w:r>
      <w:r>
        <w:fldChar w:fldCharType="begin"/>
      </w:r>
      <w:r>
        <w:instrText xml:space="preserve"> PAGEREF _Toc309309253 \h </w:instrText>
      </w:r>
      <w:r>
        <w:fldChar w:fldCharType="separate"/>
      </w:r>
      <w:r>
        <w:t>9</w:t>
      </w:r>
      <w:r>
        <w:fldChar w:fldCharType="end"/>
      </w:r>
    </w:p>
    <w:p>
      <w:pPr>
        <w:pStyle w:val="TOC2"/>
        <w:tabs>
          <w:tab w:val="right" w:leader="dot" w:pos="7086"/>
        </w:tabs>
        <w:rPr>
          <w:b w:val="0"/>
          <w:sz w:val="24"/>
          <w:szCs w:val="24"/>
          <w:lang w:val="en-US"/>
        </w:rPr>
      </w:pPr>
      <w:r>
        <w:t>Part 2 — Administration</w:t>
      </w:r>
    </w:p>
    <w:p>
      <w:pPr>
        <w:pStyle w:val="TOC8"/>
        <w:rPr>
          <w:sz w:val="24"/>
          <w:szCs w:val="24"/>
          <w:lang w:val="en-US"/>
        </w:rPr>
      </w:pPr>
      <w:r>
        <w:t>8</w:t>
      </w:r>
      <w:r>
        <w:rPr>
          <w:snapToGrid w:val="0"/>
        </w:rPr>
        <w:t>.</w:t>
      </w:r>
      <w:r>
        <w:rPr>
          <w:snapToGrid w:val="0"/>
        </w:rPr>
        <w:tab/>
        <w:t>Common seal of Minister for Fisheries, use of etc.</w:t>
      </w:r>
      <w:r>
        <w:tab/>
      </w:r>
      <w:r>
        <w:fldChar w:fldCharType="begin"/>
      </w:r>
      <w:r>
        <w:instrText xml:space="preserve"> PAGEREF _Toc309309255 \h </w:instrText>
      </w:r>
      <w:r>
        <w:fldChar w:fldCharType="separate"/>
      </w:r>
      <w:r>
        <w:t>10</w:t>
      </w:r>
      <w:r>
        <w:fldChar w:fldCharType="end"/>
      </w:r>
    </w:p>
    <w:p>
      <w:pPr>
        <w:pStyle w:val="TOC2"/>
        <w:tabs>
          <w:tab w:val="right" w:leader="dot" w:pos="7086"/>
        </w:tabs>
        <w:rPr>
          <w:b w:val="0"/>
          <w:sz w:val="24"/>
          <w:szCs w:val="24"/>
          <w:lang w:val="en-US"/>
        </w:rPr>
      </w:pPr>
      <w:r>
        <w:t>Part 3 — Advisory committees</w:t>
      </w:r>
    </w:p>
    <w:p>
      <w:pPr>
        <w:pStyle w:val="TOC8"/>
        <w:rPr>
          <w:sz w:val="24"/>
          <w:szCs w:val="24"/>
          <w:lang w:val="en-US"/>
        </w:rPr>
      </w:pPr>
      <w:r>
        <w:t>9</w:t>
      </w:r>
      <w:r>
        <w:rPr>
          <w:snapToGrid w:val="0"/>
        </w:rPr>
        <w:t>.</w:t>
      </w:r>
      <w:r>
        <w:rPr>
          <w:snapToGrid w:val="0"/>
        </w:rPr>
        <w:tab/>
        <w:t>Procedure for appointments prescribed (Act s. 29(2), 33(2) and 37(2))</w:t>
      </w:r>
      <w:r>
        <w:tab/>
      </w:r>
      <w:r>
        <w:fldChar w:fldCharType="begin"/>
      </w:r>
      <w:r>
        <w:instrText xml:space="preserve"> PAGEREF _Toc309309257 \h </w:instrText>
      </w:r>
      <w:r>
        <w:fldChar w:fldCharType="separate"/>
      </w:r>
      <w:r>
        <w:t>11</w:t>
      </w:r>
      <w:r>
        <w:fldChar w:fldCharType="end"/>
      </w:r>
    </w:p>
    <w:p>
      <w:pPr>
        <w:pStyle w:val="TOC2"/>
        <w:tabs>
          <w:tab w:val="right" w:leader="dot" w:pos="7086"/>
        </w:tabs>
        <w:rPr>
          <w:b w:val="0"/>
          <w:sz w:val="24"/>
          <w:szCs w:val="24"/>
          <w:lang w:val="en-US"/>
        </w:rPr>
      </w:pPr>
      <w:r>
        <w:t>Part 4 — General regulation of fishing</w:t>
      </w:r>
    </w:p>
    <w:p>
      <w:pPr>
        <w:pStyle w:val="TOC4"/>
        <w:tabs>
          <w:tab w:val="right" w:leader="dot" w:pos="7086"/>
        </w:tabs>
        <w:rPr>
          <w:b w:val="0"/>
          <w:sz w:val="24"/>
          <w:szCs w:val="24"/>
          <w:lang w:val="en-US"/>
        </w:rPr>
      </w:pPr>
      <w:r>
        <w:t>Division 1</w:t>
      </w:r>
      <w:r>
        <w:rPr>
          <w:snapToGrid w:val="0"/>
        </w:rPr>
        <w:t> — </w:t>
      </w:r>
      <w:r>
        <w:t>Protected fish</w:t>
      </w:r>
    </w:p>
    <w:p>
      <w:pPr>
        <w:pStyle w:val="TOC8"/>
        <w:rPr>
          <w:sz w:val="24"/>
          <w:szCs w:val="24"/>
          <w:lang w:val="en-US"/>
        </w:rPr>
      </w:pPr>
      <w:r>
        <w:t>10</w:t>
      </w:r>
      <w:r>
        <w:rPr>
          <w:snapToGrid w:val="0"/>
        </w:rPr>
        <w:t>.</w:t>
      </w:r>
      <w:r>
        <w:rPr>
          <w:snapToGrid w:val="0"/>
        </w:rPr>
        <w:tab/>
        <w:t>Classes of fish prescribed (Act s. 45)</w:t>
      </w:r>
      <w:r>
        <w:tab/>
      </w:r>
      <w:r>
        <w:fldChar w:fldCharType="begin"/>
      </w:r>
      <w:r>
        <w:instrText xml:space="preserve"> PAGEREF _Toc309309260 \h </w:instrText>
      </w:r>
      <w:r>
        <w:fldChar w:fldCharType="separate"/>
      </w:r>
      <w:r>
        <w:t>12</w:t>
      </w:r>
      <w:r>
        <w:fldChar w:fldCharType="end"/>
      </w:r>
    </w:p>
    <w:p>
      <w:pPr>
        <w:pStyle w:val="TOC8"/>
        <w:rPr>
          <w:sz w:val="24"/>
          <w:szCs w:val="24"/>
          <w:lang w:val="en-US"/>
        </w:rPr>
      </w:pPr>
      <w:r>
        <w:t>11.</w:t>
      </w:r>
      <w:r>
        <w:tab/>
        <w:t>Defences etc. prescribed (Act s. 48)</w:t>
      </w:r>
      <w:r>
        <w:tab/>
      </w:r>
      <w:r>
        <w:fldChar w:fldCharType="begin"/>
      </w:r>
      <w:r>
        <w:instrText xml:space="preserve"> PAGEREF _Toc309309261 \h </w:instrText>
      </w:r>
      <w:r>
        <w:fldChar w:fldCharType="separate"/>
      </w:r>
      <w:r>
        <w:t>12</w:t>
      </w:r>
      <w:r>
        <w:fldChar w:fldCharType="end"/>
      </w:r>
    </w:p>
    <w:p>
      <w:pPr>
        <w:pStyle w:val="TOC8"/>
        <w:rPr>
          <w:sz w:val="24"/>
          <w:szCs w:val="24"/>
          <w:lang w:val="en-US"/>
        </w:rPr>
      </w:pPr>
      <w:r>
        <w:t>12</w:t>
      </w:r>
      <w:r>
        <w:rPr>
          <w:snapToGrid w:val="0"/>
        </w:rPr>
        <w:t>.</w:t>
      </w:r>
      <w:r>
        <w:rPr>
          <w:snapToGrid w:val="0"/>
        </w:rPr>
        <w:tab/>
        <w:t>Totally protected rock lobsters and crabs to be released</w:t>
      </w:r>
      <w:r>
        <w:tab/>
      </w:r>
      <w:r>
        <w:fldChar w:fldCharType="begin"/>
      </w:r>
      <w:r>
        <w:instrText xml:space="preserve"> PAGEREF _Toc309309262 \h </w:instrText>
      </w:r>
      <w:r>
        <w:fldChar w:fldCharType="separate"/>
      </w:r>
      <w:r>
        <w:t>13</w:t>
      </w:r>
      <w:r>
        <w:fldChar w:fldCharType="end"/>
      </w:r>
    </w:p>
    <w:p>
      <w:pPr>
        <w:pStyle w:val="TOC8"/>
        <w:rPr>
          <w:sz w:val="24"/>
          <w:szCs w:val="24"/>
          <w:lang w:val="en-US"/>
        </w:rPr>
      </w:pPr>
      <w:r>
        <w:t>13</w:t>
      </w:r>
      <w:r>
        <w:rPr>
          <w:snapToGrid w:val="0"/>
        </w:rPr>
        <w:t>.</w:t>
      </w:r>
      <w:r>
        <w:rPr>
          <w:snapToGrid w:val="0"/>
        </w:rPr>
        <w:tab/>
        <w:t>Mutilated etc. protected fish, possession of</w:t>
      </w:r>
      <w:r>
        <w:tab/>
      </w:r>
      <w:r>
        <w:fldChar w:fldCharType="begin"/>
      </w:r>
      <w:r>
        <w:instrText xml:space="preserve"> PAGEREF _Toc309309263 \h </w:instrText>
      </w:r>
      <w:r>
        <w:fldChar w:fldCharType="separate"/>
      </w:r>
      <w:r>
        <w:t>14</w:t>
      </w:r>
      <w:r>
        <w:fldChar w:fldCharType="end"/>
      </w:r>
    </w:p>
    <w:p>
      <w:pPr>
        <w:pStyle w:val="TOC4"/>
        <w:tabs>
          <w:tab w:val="right" w:leader="dot" w:pos="7086"/>
        </w:tabs>
        <w:rPr>
          <w:b w:val="0"/>
          <w:sz w:val="24"/>
          <w:szCs w:val="24"/>
          <w:lang w:val="en-US"/>
        </w:rPr>
      </w:pPr>
      <w:r>
        <w:t>Division 2</w:t>
      </w:r>
      <w:r>
        <w:rPr>
          <w:snapToGrid w:val="0"/>
        </w:rPr>
        <w:t> — </w:t>
      </w:r>
      <w:r>
        <w:t>Requirements regarding fish trunks and fillets</w:t>
      </w:r>
    </w:p>
    <w:p>
      <w:pPr>
        <w:pStyle w:val="TOC8"/>
        <w:rPr>
          <w:sz w:val="24"/>
          <w:szCs w:val="24"/>
          <w:lang w:val="en-US"/>
        </w:rPr>
      </w:pPr>
      <w:r>
        <w:t>14.</w:t>
      </w:r>
      <w:r>
        <w:tab/>
        <w:t>Special risk finfish to be landed as whole fish in certain cases</w:t>
      </w:r>
      <w:r>
        <w:tab/>
      </w:r>
      <w:r>
        <w:fldChar w:fldCharType="begin"/>
      </w:r>
      <w:r>
        <w:instrText xml:space="preserve"> PAGEREF _Toc309309265 \h </w:instrText>
      </w:r>
      <w:r>
        <w:fldChar w:fldCharType="separate"/>
      </w:r>
      <w:r>
        <w:t>14</w:t>
      </w:r>
      <w:r>
        <w:fldChar w:fldCharType="end"/>
      </w:r>
    </w:p>
    <w:p>
      <w:pPr>
        <w:pStyle w:val="TOC8"/>
        <w:rPr>
          <w:sz w:val="24"/>
          <w:szCs w:val="24"/>
          <w:lang w:val="en-US"/>
        </w:rPr>
      </w:pPr>
      <w:r>
        <w:t>15.</w:t>
      </w:r>
      <w:r>
        <w:tab/>
        <w:t>High risk finfish to be landed as whole fish, or as fish trunks or fillets meeting set criteria, in certain cases</w:t>
      </w:r>
      <w:r>
        <w:tab/>
      </w:r>
      <w:r>
        <w:fldChar w:fldCharType="begin"/>
      </w:r>
      <w:r>
        <w:instrText xml:space="preserve"> PAGEREF _Toc309309266 \h </w:instrText>
      </w:r>
      <w:r>
        <w:fldChar w:fldCharType="separate"/>
      </w:r>
      <w:r>
        <w:t>15</w:t>
      </w:r>
      <w:r>
        <w:fldChar w:fldCharType="end"/>
      </w:r>
    </w:p>
    <w:p>
      <w:pPr>
        <w:pStyle w:val="TOC8"/>
        <w:rPr>
          <w:sz w:val="24"/>
          <w:szCs w:val="24"/>
          <w:lang w:val="en-US"/>
        </w:rPr>
      </w:pPr>
      <w:r>
        <w:t>16.</w:t>
      </w:r>
      <w:r>
        <w:tab/>
        <w:t>Low risk finfish to be landed as whole fish, or as fish trunks or fillets with skin attached, in certain cases</w:t>
      </w:r>
      <w:r>
        <w:tab/>
      </w:r>
      <w:r>
        <w:fldChar w:fldCharType="begin"/>
      </w:r>
      <w:r>
        <w:instrText xml:space="preserve"> PAGEREF _Toc309309267 \h </w:instrText>
      </w:r>
      <w:r>
        <w:fldChar w:fldCharType="separate"/>
      </w:r>
      <w:r>
        <w:t>16</w:t>
      </w:r>
      <w:r>
        <w:fldChar w:fldCharType="end"/>
      </w:r>
    </w:p>
    <w:p>
      <w:pPr>
        <w:pStyle w:val="TOC8"/>
        <w:rPr>
          <w:sz w:val="24"/>
          <w:szCs w:val="24"/>
          <w:lang w:val="en-US"/>
        </w:rPr>
      </w:pPr>
      <w:r>
        <w:t>16A.</w:t>
      </w:r>
      <w:r>
        <w:tab/>
        <w:t>Finfish at Shark Bay, possession of etc.</w:t>
      </w:r>
      <w:r>
        <w:tab/>
      </w:r>
      <w:r>
        <w:fldChar w:fldCharType="begin"/>
      </w:r>
      <w:r>
        <w:instrText xml:space="preserve"> PAGEREF _Toc309309268 \h </w:instrText>
      </w:r>
      <w:r>
        <w:fldChar w:fldCharType="separate"/>
      </w:r>
      <w:r>
        <w:t>17</w:t>
      </w:r>
      <w:r>
        <w:fldChar w:fldCharType="end"/>
      </w:r>
    </w:p>
    <w:p>
      <w:pPr>
        <w:pStyle w:val="TOC8"/>
        <w:rPr>
          <w:sz w:val="24"/>
          <w:szCs w:val="24"/>
          <w:lang w:val="en-US"/>
        </w:rPr>
      </w:pPr>
      <w:r>
        <w:t>16B.</w:t>
      </w:r>
      <w:r>
        <w:tab/>
        <w:t>Sharks and rays, processing of by commercial fishers</w:t>
      </w:r>
      <w:r>
        <w:tab/>
      </w:r>
      <w:r>
        <w:fldChar w:fldCharType="begin"/>
      </w:r>
      <w:r>
        <w:instrText xml:space="preserve"> PAGEREF _Toc309309269 \h </w:instrText>
      </w:r>
      <w:r>
        <w:fldChar w:fldCharType="separate"/>
      </w:r>
      <w:r>
        <w:t>19</w:t>
      </w:r>
      <w:r>
        <w:fldChar w:fldCharType="end"/>
      </w:r>
    </w:p>
    <w:p>
      <w:pPr>
        <w:pStyle w:val="TOC4"/>
        <w:tabs>
          <w:tab w:val="right" w:leader="dot" w:pos="7086"/>
        </w:tabs>
        <w:rPr>
          <w:b w:val="0"/>
          <w:sz w:val="24"/>
          <w:szCs w:val="24"/>
          <w:lang w:val="en-US"/>
        </w:rPr>
      </w:pPr>
      <w:r>
        <w:t>Division 3 — Possession limits</w:t>
      </w:r>
    </w:p>
    <w:p>
      <w:pPr>
        <w:pStyle w:val="TOC6"/>
        <w:tabs>
          <w:tab w:val="right" w:leader="dot" w:pos="7086"/>
        </w:tabs>
        <w:rPr>
          <w:b w:val="0"/>
          <w:sz w:val="24"/>
          <w:szCs w:val="24"/>
          <w:lang w:val="en-US"/>
        </w:rPr>
      </w:pPr>
      <w:r>
        <w:t>Subdivision 1A — Preliminary</w:t>
      </w:r>
    </w:p>
    <w:p>
      <w:pPr>
        <w:pStyle w:val="TOC8"/>
        <w:rPr>
          <w:sz w:val="24"/>
          <w:szCs w:val="24"/>
          <w:lang w:val="en-US"/>
        </w:rPr>
      </w:pPr>
      <w:r>
        <w:t>16C.</w:t>
      </w:r>
      <w:r>
        <w:tab/>
        <w:t>Term used: finfish</w:t>
      </w:r>
      <w:r>
        <w:tab/>
      </w:r>
      <w:r>
        <w:fldChar w:fldCharType="begin"/>
      </w:r>
      <w:r>
        <w:instrText xml:space="preserve"> PAGEREF _Toc309309272 \h </w:instrText>
      </w:r>
      <w:r>
        <w:fldChar w:fldCharType="separate"/>
      </w:r>
      <w:r>
        <w:t>20</w:t>
      </w:r>
      <w:r>
        <w:fldChar w:fldCharType="end"/>
      </w:r>
    </w:p>
    <w:p>
      <w:pPr>
        <w:pStyle w:val="TOC8"/>
        <w:rPr>
          <w:sz w:val="24"/>
          <w:szCs w:val="24"/>
          <w:lang w:val="en-US"/>
        </w:rPr>
      </w:pPr>
      <w:r>
        <w:t>16CA.</w:t>
      </w:r>
      <w:r>
        <w:tab/>
        <w:t>Bag limits, application and effect of</w:t>
      </w:r>
      <w:r>
        <w:tab/>
      </w:r>
      <w:r>
        <w:fldChar w:fldCharType="begin"/>
      </w:r>
      <w:r>
        <w:instrText xml:space="preserve"> PAGEREF _Toc309309273 \h </w:instrText>
      </w:r>
      <w:r>
        <w:fldChar w:fldCharType="separate"/>
      </w:r>
      <w:r>
        <w:t>21</w:t>
      </w:r>
      <w:r>
        <w:fldChar w:fldCharType="end"/>
      </w:r>
    </w:p>
    <w:p>
      <w:pPr>
        <w:pStyle w:val="TOC6"/>
        <w:tabs>
          <w:tab w:val="right" w:leader="dot" w:pos="7086"/>
        </w:tabs>
        <w:rPr>
          <w:b w:val="0"/>
          <w:sz w:val="24"/>
          <w:szCs w:val="24"/>
          <w:lang w:val="en-US"/>
        </w:rPr>
      </w:pPr>
      <w:r>
        <w:t>Subdivision 1 — Possession limits Statewide</w:t>
      </w:r>
    </w:p>
    <w:p>
      <w:pPr>
        <w:pStyle w:val="TOC8"/>
        <w:rPr>
          <w:sz w:val="24"/>
          <w:szCs w:val="24"/>
          <w:lang w:val="en-US"/>
        </w:rPr>
      </w:pPr>
      <w:r>
        <w:t>16D</w:t>
      </w:r>
      <w:r>
        <w:rPr>
          <w:snapToGrid w:val="0"/>
        </w:rPr>
        <w:t>.</w:t>
      </w:r>
      <w:r>
        <w:rPr>
          <w:snapToGrid w:val="0"/>
        </w:rPr>
        <w:tab/>
        <w:t>Finfish, general possession limit of</w:t>
      </w:r>
      <w:r>
        <w:tab/>
      </w:r>
      <w:r>
        <w:fldChar w:fldCharType="begin"/>
      </w:r>
      <w:r>
        <w:instrText xml:space="preserve"> PAGEREF _Toc309309275 \h </w:instrText>
      </w:r>
      <w:r>
        <w:fldChar w:fldCharType="separate"/>
      </w:r>
      <w:r>
        <w:t>21</w:t>
      </w:r>
      <w:r>
        <w:fldChar w:fldCharType="end"/>
      </w:r>
    </w:p>
    <w:p>
      <w:pPr>
        <w:pStyle w:val="TOC8"/>
        <w:rPr>
          <w:sz w:val="24"/>
          <w:szCs w:val="24"/>
          <w:lang w:val="en-US"/>
        </w:rPr>
      </w:pPr>
      <w:r>
        <w:t>16E.</w:t>
      </w:r>
      <w:r>
        <w:tab/>
        <w:t>Fish on boats</w:t>
      </w:r>
      <w:r>
        <w:tab/>
      </w:r>
      <w:r>
        <w:fldChar w:fldCharType="begin"/>
      </w:r>
      <w:r>
        <w:instrText xml:space="preserve"> PAGEREF _Toc309309276 \h </w:instrText>
      </w:r>
      <w:r>
        <w:fldChar w:fldCharType="separate"/>
      </w:r>
      <w:r>
        <w:t>22</w:t>
      </w:r>
      <w:r>
        <w:fldChar w:fldCharType="end"/>
      </w:r>
    </w:p>
    <w:p>
      <w:pPr>
        <w:pStyle w:val="TOC6"/>
        <w:tabs>
          <w:tab w:val="right" w:leader="dot" w:pos="7086"/>
        </w:tabs>
        <w:rPr>
          <w:b w:val="0"/>
          <w:sz w:val="24"/>
          <w:szCs w:val="24"/>
          <w:lang w:val="en-US"/>
        </w:rPr>
      </w:pPr>
      <w:r>
        <w:t>Subdivision 2 — Possession limits for regions</w:t>
      </w:r>
    </w:p>
    <w:p>
      <w:pPr>
        <w:pStyle w:val="TOC8"/>
        <w:rPr>
          <w:sz w:val="24"/>
          <w:szCs w:val="24"/>
          <w:lang w:val="en-US"/>
        </w:rPr>
      </w:pPr>
      <w:r>
        <w:t>16FA.</w:t>
      </w:r>
      <w:r>
        <w:tab/>
        <w:t>Western rock lobster in West Coast Region</w:t>
      </w:r>
      <w:r>
        <w:tab/>
      </w:r>
      <w:r>
        <w:fldChar w:fldCharType="begin"/>
      </w:r>
      <w:r>
        <w:instrText xml:space="preserve"> PAGEREF _Toc309309278 \h </w:instrText>
      </w:r>
      <w:r>
        <w:fldChar w:fldCharType="separate"/>
      </w:r>
      <w:r>
        <w:t>26</w:t>
      </w:r>
      <w:r>
        <w:fldChar w:fldCharType="end"/>
      </w:r>
    </w:p>
    <w:p>
      <w:pPr>
        <w:pStyle w:val="TOC8"/>
        <w:rPr>
          <w:sz w:val="24"/>
          <w:szCs w:val="24"/>
          <w:lang w:val="en-US"/>
        </w:rPr>
      </w:pPr>
      <w:r>
        <w:t>16F.</w:t>
      </w:r>
      <w:r>
        <w:tab/>
        <w:t>Rock lobster in Pilbara and Kimberley Region</w:t>
      </w:r>
      <w:r>
        <w:tab/>
      </w:r>
      <w:r>
        <w:fldChar w:fldCharType="begin"/>
      </w:r>
      <w:r>
        <w:instrText xml:space="preserve"> PAGEREF _Toc309309279 \h </w:instrText>
      </w:r>
      <w:r>
        <w:fldChar w:fldCharType="separate"/>
      </w:r>
      <w:r>
        <w:t>26</w:t>
      </w:r>
      <w:r>
        <w:fldChar w:fldCharType="end"/>
      </w:r>
    </w:p>
    <w:p>
      <w:pPr>
        <w:pStyle w:val="TOC6"/>
        <w:tabs>
          <w:tab w:val="right" w:leader="dot" w:pos="7086"/>
        </w:tabs>
        <w:rPr>
          <w:b w:val="0"/>
          <w:sz w:val="24"/>
          <w:szCs w:val="24"/>
          <w:lang w:val="en-US"/>
        </w:rPr>
      </w:pPr>
      <w:r>
        <w:t>Subdivision 3 — Possession limits — pink snapper at Shark Bay</w:t>
      </w:r>
    </w:p>
    <w:p>
      <w:pPr>
        <w:pStyle w:val="TOC8"/>
        <w:rPr>
          <w:sz w:val="24"/>
          <w:szCs w:val="24"/>
          <w:lang w:val="en-US"/>
        </w:rPr>
      </w:pPr>
      <w:r>
        <w:t>16G.</w:t>
      </w:r>
      <w:r>
        <w:tab/>
      </w:r>
      <w:r>
        <w:rPr>
          <w:snapToGrid w:val="0"/>
        </w:rPr>
        <w:t>Terms used</w:t>
      </w:r>
      <w:r>
        <w:tab/>
      </w:r>
      <w:r>
        <w:fldChar w:fldCharType="begin"/>
      </w:r>
      <w:r>
        <w:instrText xml:space="preserve"> PAGEREF _Toc309309281 \h </w:instrText>
      </w:r>
      <w:r>
        <w:fldChar w:fldCharType="separate"/>
      </w:r>
      <w:r>
        <w:t>27</w:t>
      </w:r>
      <w:r>
        <w:fldChar w:fldCharType="end"/>
      </w:r>
    </w:p>
    <w:p>
      <w:pPr>
        <w:pStyle w:val="TOC8"/>
        <w:rPr>
          <w:sz w:val="24"/>
          <w:szCs w:val="24"/>
          <w:lang w:val="en-US"/>
        </w:rPr>
      </w:pPr>
      <w:r>
        <w:t>16H</w:t>
      </w:r>
      <w:r>
        <w:rPr>
          <w:snapToGrid w:val="0"/>
        </w:rPr>
        <w:t>.</w:t>
      </w:r>
      <w:r>
        <w:rPr>
          <w:snapToGrid w:val="0"/>
        </w:rPr>
        <w:tab/>
        <w:t>Pink snapper in Freycinet Estuary area</w:t>
      </w:r>
      <w:r>
        <w:tab/>
      </w:r>
      <w:r>
        <w:fldChar w:fldCharType="begin"/>
      </w:r>
      <w:r>
        <w:instrText xml:space="preserve"> PAGEREF _Toc309309282 \h </w:instrText>
      </w:r>
      <w:r>
        <w:fldChar w:fldCharType="separate"/>
      </w:r>
      <w:r>
        <w:t>27</w:t>
      </w:r>
      <w:r>
        <w:fldChar w:fldCharType="end"/>
      </w:r>
    </w:p>
    <w:p>
      <w:pPr>
        <w:pStyle w:val="TOC8"/>
        <w:rPr>
          <w:sz w:val="24"/>
          <w:szCs w:val="24"/>
          <w:lang w:val="en-US"/>
        </w:rPr>
      </w:pPr>
      <w:r>
        <w:t>16I</w:t>
      </w:r>
      <w:r>
        <w:rPr>
          <w:snapToGrid w:val="0"/>
        </w:rPr>
        <w:t>.</w:t>
      </w:r>
      <w:r>
        <w:rPr>
          <w:snapToGrid w:val="0"/>
        </w:rPr>
        <w:tab/>
        <w:t>Tags authorising possession of pink snapper in Freycinet Estuary area, application for and issue of</w:t>
      </w:r>
      <w:r>
        <w:tab/>
      </w:r>
      <w:r>
        <w:fldChar w:fldCharType="begin"/>
      </w:r>
      <w:r>
        <w:instrText xml:space="preserve"> PAGEREF _Toc309309283 \h </w:instrText>
      </w:r>
      <w:r>
        <w:fldChar w:fldCharType="separate"/>
      </w:r>
      <w:r>
        <w:t>28</w:t>
      </w:r>
      <w:r>
        <w:fldChar w:fldCharType="end"/>
      </w:r>
    </w:p>
    <w:p>
      <w:pPr>
        <w:pStyle w:val="TOC8"/>
        <w:rPr>
          <w:sz w:val="24"/>
          <w:szCs w:val="24"/>
          <w:lang w:val="en-US"/>
        </w:rPr>
      </w:pPr>
      <w:r>
        <w:t>16J.</w:t>
      </w:r>
      <w:r>
        <w:tab/>
      </w:r>
      <w:r>
        <w:rPr>
          <w:snapToGrid w:val="0"/>
        </w:rPr>
        <w:t>Form of tag issued under r. 16I</w:t>
      </w:r>
      <w:r>
        <w:tab/>
      </w:r>
      <w:r>
        <w:fldChar w:fldCharType="begin"/>
      </w:r>
      <w:r>
        <w:instrText xml:space="preserve"> PAGEREF _Toc309309284 \h </w:instrText>
      </w:r>
      <w:r>
        <w:fldChar w:fldCharType="separate"/>
      </w:r>
      <w:r>
        <w:t>29</w:t>
      </w:r>
      <w:r>
        <w:fldChar w:fldCharType="end"/>
      </w:r>
    </w:p>
    <w:p>
      <w:pPr>
        <w:pStyle w:val="TOC6"/>
        <w:tabs>
          <w:tab w:val="right" w:leader="dot" w:pos="7086"/>
        </w:tabs>
        <w:rPr>
          <w:b w:val="0"/>
          <w:sz w:val="24"/>
          <w:szCs w:val="24"/>
          <w:lang w:val="en-US"/>
        </w:rPr>
      </w:pPr>
      <w:r>
        <w:t>Subdivision 4 — Possession limits in certain other areas</w:t>
      </w:r>
    </w:p>
    <w:p>
      <w:pPr>
        <w:pStyle w:val="TOC8"/>
        <w:rPr>
          <w:sz w:val="24"/>
          <w:szCs w:val="24"/>
          <w:lang w:val="en-US"/>
        </w:rPr>
      </w:pPr>
      <w:r>
        <w:t>16K.</w:t>
      </w:r>
      <w:r>
        <w:tab/>
        <w:t>Finfish in Abrolhos Islands reserve or Abrolhos Islands Fish Habitat Protection Area</w:t>
      </w:r>
      <w:r>
        <w:tab/>
      </w:r>
      <w:r>
        <w:fldChar w:fldCharType="begin"/>
      </w:r>
      <w:r>
        <w:instrText xml:space="preserve"> PAGEREF _Toc309309286 \h </w:instrText>
      </w:r>
      <w:r>
        <w:fldChar w:fldCharType="separate"/>
      </w:r>
      <w:r>
        <w:t>29</w:t>
      </w:r>
      <w:r>
        <w:fldChar w:fldCharType="end"/>
      </w:r>
    </w:p>
    <w:p>
      <w:pPr>
        <w:pStyle w:val="TOC8"/>
        <w:rPr>
          <w:sz w:val="24"/>
          <w:szCs w:val="24"/>
          <w:lang w:val="en-US"/>
        </w:rPr>
      </w:pPr>
      <w:r>
        <w:t>16L.</w:t>
      </w:r>
      <w:r>
        <w:tab/>
        <w:t>Rock lobster at Ningaloo or Exmouth townsite</w:t>
      </w:r>
      <w:r>
        <w:tab/>
      </w:r>
      <w:r>
        <w:fldChar w:fldCharType="begin"/>
      </w:r>
      <w:r>
        <w:instrText xml:space="preserve"> PAGEREF _Toc309309287 \h </w:instrText>
      </w:r>
      <w:r>
        <w:fldChar w:fldCharType="separate"/>
      </w:r>
      <w:r>
        <w:t>30</w:t>
      </w:r>
      <w:r>
        <w:fldChar w:fldCharType="end"/>
      </w:r>
    </w:p>
    <w:p>
      <w:pPr>
        <w:pStyle w:val="TOC8"/>
        <w:rPr>
          <w:sz w:val="24"/>
          <w:szCs w:val="24"/>
          <w:lang w:val="en-US"/>
        </w:rPr>
      </w:pPr>
      <w:r>
        <w:t>16M.</w:t>
      </w:r>
      <w:r>
        <w:tab/>
        <w:t>Barramundi</w:t>
      </w:r>
      <w:r>
        <w:tab/>
      </w:r>
      <w:r>
        <w:fldChar w:fldCharType="begin"/>
      </w:r>
      <w:r>
        <w:instrText xml:space="preserve"> PAGEREF _Toc309309288 \h </w:instrText>
      </w:r>
      <w:r>
        <w:fldChar w:fldCharType="separate"/>
      </w:r>
      <w:r>
        <w:t>30</w:t>
      </w:r>
      <w:r>
        <w:fldChar w:fldCharType="end"/>
      </w:r>
    </w:p>
    <w:p>
      <w:pPr>
        <w:pStyle w:val="TOC8"/>
        <w:rPr>
          <w:sz w:val="24"/>
          <w:szCs w:val="24"/>
          <w:lang w:val="en-US"/>
        </w:rPr>
      </w:pPr>
      <w:r>
        <w:t>16N.</w:t>
      </w:r>
      <w:r>
        <w:tab/>
        <w:t>Marron</w:t>
      </w:r>
      <w:r>
        <w:tab/>
      </w:r>
      <w:r>
        <w:fldChar w:fldCharType="begin"/>
      </w:r>
      <w:r>
        <w:instrText xml:space="preserve"> PAGEREF _Toc309309289 \h </w:instrText>
      </w:r>
      <w:r>
        <w:fldChar w:fldCharType="separate"/>
      </w:r>
      <w:r>
        <w:t>31</w:t>
      </w:r>
      <w:r>
        <w:fldChar w:fldCharType="end"/>
      </w:r>
    </w:p>
    <w:p>
      <w:pPr>
        <w:pStyle w:val="TOC8"/>
        <w:rPr>
          <w:sz w:val="24"/>
          <w:szCs w:val="24"/>
          <w:lang w:val="en-US"/>
        </w:rPr>
      </w:pPr>
      <w:r>
        <w:t>17</w:t>
      </w:r>
      <w:r>
        <w:rPr>
          <w:snapToGrid w:val="0"/>
        </w:rPr>
        <w:t>.</w:t>
      </w:r>
      <w:r>
        <w:rPr>
          <w:snapToGrid w:val="0"/>
        </w:rPr>
        <w:tab/>
        <w:t>Abalone</w:t>
      </w:r>
      <w:r>
        <w:tab/>
      </w:r>
      <w:r>
        <w:fldChar w:fldCharType="begin"/>
      </w:r>
      <w:r>
        <w:instrText xml:space="preserve"> PAGEREF _Toc309309290 \h </w:instrText>
      </w:r>
      <w:r>
        <w:fldChar w:fldCharType="separate"/>
      </w:r>
      <w:r>
        <w:t>32</w:t>
      </w:r>
      <w:r>
        <w:fldChar w:fldCharType="end"/>
      </w:r>
    </w:p>
    <w:p>
      <w:pPr>
        <w:pStyle w:val="TOC8"/>
        <w:rPr>
          <w:sz w:val="24"/>
          <w:szCs w:val="24"/>
          <w:lang w:val="en-US"/>
        </w:rPr>
      </w:pPr>
      <w:r>
        <w:t>17A.</w:t>
      </w:r>
      <w:r>
        <w:tab/>
        <w:t>Mud crabs in King Sound</w:t>
      </w:r>
      <w:r>
        <w:tab/>
      </w:r>
      <w:r>
        <w:fldChar w:fldCharType="begin"/>
      </w:r>
      <w:r>
        <w:instrText xml:space="preserve"> PAGEREF _Toc309309291 \h </w:instrText>
      </w:r>
      <w:r>
        <w:fldChar w:fldCharType="separate"/>
      </w:r>
      <w:r>
        <w:t>32</w:t>
      </w:r>
      <w:r>
        <w:fldChar w:fldCharType="end"/>
      </w:r>
    </w:p>
    <w:p>
      <w:pPr>
        <w:pStyle w:val="TOC8"/>
        <w:rPr>
          <w:sz w:val="24"/>
          <w:szCs w:val="24"/>
          <w:lang w:val="en-US"/>
        </w:rPr>
      </w:pPr>
      <w:r>
        <w:t>18</w:t>
      </w:r>
      <w:r>
        <w:rPr>
          <w:snapToGrid w:val="0"/>
        </w:rPr>
        <w:t>.</w:t>
      </w:r>
      <w:r>
        <w:rPr>
          <w:snapToGrid w:val="0"/>
        </w:rPr>
        <w:tab/>
        <w:t>Fish on fishing boats (commercial)</w:t>
      </w:r>
      <w:r>
        <w:tab/>
      </w:r>
      <w:r>
        <w:fldChar w:fldCharType="begin"/>
      </w:r>
      <w:r>
        <w:instrText xml:space="preserve"> PAGEREF _Toc309309292 \h </w:instrText>
      </w:r>
      <w:r>
        <w:fldChar w:fldCharType="separate"/>
      </w:r>
      <w:r>
        <w:t>34</w:t>
      </w:r>
      <w:r>
        <w:fldChar w:fldCharType="end"/>
      </w:r>
    </w:p>
    <w:p>
      <w:pPr>
        <w:pStyle w:val="TOC8"/>
        <w:rPr>
          <w:sz w:val="24"/>
          <w:szCs w:val="24"/>
          <w:lang w:val="en-US"/>
        </w:rPr>
      </w:pPr>
      <w:r>
        <w:t>20</w:t>
      </w:r>
      <w:r>
        <w:rPr>
          <w:snapToGrid w:val="0"/>
        </w:rPr>
        <w:t>.</w:t>
      </w:r>
      <w:r>
        <w:rPr>
          <w:snapToGrid w:val="0"/>
        </w:rPr>
        <w:tab/>
        <w:t>Defence prescribed (Act s. 51)</w:t>
      </w:r>
      <w:r>
        <w:tab/>
      </w:r>
      <w:r>
        <w:fldChar w:fldCharType="begin"/>
      </w:r>
      <w:r>
        <w:instrText xml:space="preserve"> PAGEREF _Toc309309293 \h </w:instrText>
      </w:r>
      <w:r>
        <w:fldChar w:fldCharType="separate"/>
      </w:r>
      <w:r>
        <w:t>35</w:t>
      </w:r>
      <w:r>
        <w:fldChar w:fldCharType="end"/>
      </w:r>
    </w:p>
    <w:p>
      <w:pPr>
        <w:pStyle w:val="TOC8"/>
        <w:rPr>
          <w:sz w:val="24"/>
          <w:szCs w:val="24"/>
          <w:lang w:val="en-US"/>
        </w:rPr>
      </w:pPr>
      <w:r>
        <w:t>21.</w:t>
      </w:r>
      <w:r>
        <w:tab/>
        <w:t>People presumed to be in possession of fish for Act s. 51</w:t>
      </w:r>
      <w:r>
        <w:tab/>
      </w:r>
      <w:r>
        <w:fldChar w:fldCharType="begin"/>
      </w:r>
      <w:r>
        <w:instrText xml:space="preserve"> PAGEREF _Toc309309294 \h </w:instrText>
      </w:r>
      <w:r>
        <w:fldChar w:fldCharType="separate"/>
      </w:r>
      <w:r>
        <w:t>35</w:t>
      </w:r>
      <w:r>
        <w:fldChar w:fldCharType="end"/>
      </w:r>
    </w:p>
    <w:p>
      <w:pPr>
        <w:pStyle w:val="TOC4"/>
        <w:tabs>
          <w:tab w:val="right" w:leader="dot" w:pos="7086"/>
        </w:tabs>
        <w:rPr>
          <w:b w:val="0"/>
          <w:sz w:val="24"/>
          <w:szCs w:val="24"/>
          <w:lang w:val="en-US"/>
        </w:rPr>
      </w:pPr>
      <w:r>
        <w:t>Division 4 — Labelling of fish</w:t>
      </w:r>
    </w:p>
    <w:p>
      <w:pPr>
        <w:pStyle w:val="TOC8"/>
        <w:rPr>
          <w:sz w:val="24"/>
          <w:szCs w:val="24"/>
          <w:lang w:val="en-US"/>
        </w:rPr>
      </w:pPr>
      <w:r>
        <w:t>22.</w:t>
      </w:r>
      <w:r>
        <w:tab/>
        <w:t>Labelling requirements for packed or stored fish</w:t>
      </w:r>
      <w:r>
        <w:tab/>
      </w:r>
      <w:r>
        <w:fldChar w:fldCharType="begin"/>
      </w:r>
      <w:r>
        <w:instrText xml:space="preserve"> PAGEREF _Toc309309296 \h </w:instrText>
      </w:r>
      <w:r>
        <w:fldChar w:fldCharType="separate"/>
      </w:r>
      <w:r>
        <w:t>36</w:t>
      </w:r>
      <w:r>
        <w:fldChar w:fldCharType="end"/>
      </w:r>
    </w:p>
    <w:p>
      <w:pPr>
        <w:pStyle w:val="TOC4"/>
        <w:tabs>
          <w:tab w:val="right" w:leader="dot" w:pos="7086"/>
        </w:tabs>
        <w:rPr>
          <w:b w:val="0"/>
          <w:sz w:val="24"/>
          <w:szCs w:val="24"/>
          <w:lang w:val="en-US"/>
        </w:rPr>
      </w:pPr>
      <w:r>
        <w:t>Division 5</w:t>
      </w:r>
      <w:r>
        <w:rPr>
          <w:snapToGrid w:val="0"/>
        </w:rPr>
        <w:t> — </w:t>
      </w:r>
      <w:r>
        <w:t>Requirements regarding rock lobsters</w:t>
      </w:r>
    </w:p>
    <w:p>
      <w:pPr>
        <w:pStyle w:val="TOC8"/>
        <w:rPr>
          <w:sz w:val="24"/>
          <w:szCs w:val="24"/>
          <w:lang w:val="en-US"/>
        </w:rPr>
      </w:pPr>
      <w:r>
        <w:t>31</w:t>
      </w:r>
      <w:r>
        <w:rPr>
          <w:snapToGrid w:val="0"/>
        </w:rPr>
        <w:t>.</w:t>
      </w:r>
      <w:r>
        <w:rPr>
          <w:snapToGrid w:val="0"/>
        </w:rPr>
        <w:tab/>
        <w:t>Fishing for rock lobster, manner of; tail marking</w:t>
      </w:r>
      <w:r>
        <w:tab/>
      </w:r>
      <w:r>
        <w:fldChar w:fldCharType="begin"/>
      </w:r>
      <w:r>
        <w:instrText xml:space="preserve"> PAGEREF _Toc309309298 \h </w:instrText>
      </w:r>
      <w:r>
        <w:fldChar w:fldCharType="separate"/>
      </w:r>
      <w:r>
        <w:t>38</w:t>
      </w:r>
      <w:r>
        <w:fldChar w:fldCharType="end"/>
      </w:r>
    </w:p>
    <w:p>
      <w:pPr>
        <w:pStyle w:val="TOC8"/>
        <w:rPr>
          <w:sz w:val="24"/>
          <w:szCs w:val="24"/>
          <w:lang w:val="en-US"/>
        </w:rPr>
      </w:pPr>
      <w:r>
        <w:t>31A.</w:t>
      </w:r>
      <w:r>
        <w:tab/>
        <w:t>Bait for rock lobster, limits on type of</w:t>
      </w:r>
      <w:r>
        <w:tab/>
      </w:r>
      <w:r>
        <w:fldChar w:fldCharType="begin"/>
      </w:r>
      <w:r>
        <w:instrText xml:space="preserve"> PAGEREF _Toc309309299 \h </w:instrText>
      </w:r>
      <w:r>
        <w:fldChar w:fldCharType="separate"/>
      </w:r>
      <w:r>
        <w:t>39</w:t>
      </w:r>
      <w:r>
        <w:fldChar w:fldCharType="end"/>
      </w:r>
    </w:p>
    <w:p>
      <w:pPr>
        <w:pStyle w:val="TOC8"/>
        <w:rPr>
          <w:sz w:val="24"/>
          <w:szCs w:val="24"/>
          <w:lang w:val="en-US"/>
        </w:rPr>
      </w:pPr>
      <w:r>
        <w:t>32</w:t>
      </w:r>
      <w:r>
        <w:rPr>
          <w:snapToGrid w:val="0"/>
        </w:rPr>
        <w:t>.</w:t>
      </w:r>
      <w:r>
        <w:rPr>
          <w:snapToGrid w:val="0"/>
        </w:rPr>
        <w:tab/>
        <w:t>Rock lobster pot floats, requirements for</w:t>
      </w:r>
      <w:r>
        <w:tab/>
      </w:r>
      <w:r>
        <w:fldChar w:fldCharType="begin"/>
      </w:r>
      <w:r>
        <w:instrText xml:space="preserve"> PAGEREF _Toc309309300 \h </w:instrText>
      </w:r>
      <w:r>
        <w:fldChar w:fldCharType="separate"/>
      </w:r>
      <w:r>
        <w:t>40</w:t>
      </w:r>
      <w:r>
        <w:fldChar w:fldCharType="end"/>
      </w:r>
    </w:p>
    <w:p>
      <w:pPr>
        <w:pStyle w:val="TOC8"/>
        <w:rPr>
          <w:sz w:val="24"/>
          <w:szCs w:val="24"/>
          <w:lang w:val="en-US"/>
        </w:rPr>
      </w:pPr>
      <w:r>
        <w:t>35</w:t>
      </w:r>
      <w:r>
        <w:rPr>
          <w:snapToGrid w:val="0"/>
        </w:rPr>
        <w:t>.</w:t>
      </w:r>
      <w:r>
        <w:rPr>
          <w:snapToGrid w:val="0"/>
        </w:rPr>
        <w:tab/>
        <w:t>Rock lobster flesh, possession of</w:t>
      </w:r>
      <w:r>
        <w:tab/>
      </w:r>
      <w:r>
        <w:fldChar w:fldCharType="begin"/>
      </w:r>
      <w:r>
        <w:instrText xml:space="preserve"> PAGEREF _Toc309309301 \h </w:instrText>
      </w:r>
      <w:r>
        <w:fldChar w:fldCharType="separate"/>
      </w:r>
      <w:r>
        <w:t>41</w:t>
      </w:r>
      <w:r>
        <w:fldChar w:fldCharType="end"/>
      </w:r>
    </w:p>
    <w:p>
      <w:pPr>
        <w:pStyle w:val="TOC8"/>
        <w:rPr>
          <w:sz w:val="24"/>
          <w:szCs w:val="24"/>
          <w:lang w:val="en-US"/>
        </w:rPr>
      </w:pPr>
      <w:r>
        <w:t>36</w:t>
      </w:r>
      <w:r>
        <w:rPr>
          <w:snapToGrid w:val="0"/>
        </w:rPr>
        <w:t>.</w:t>
      </w:r>
      <w:r>
        <w:rPr>
          <w:snapToGrid w:val="0"/>
        </w:rPr>
        <w:tab/>
        <w:t>Boats (not fishing boats) used to fish for rock lobsters, rules for</w:t>
      </w:r>
      <w:r>
        <w:tab/>
      </w:r>
      <w:r>
        <w:fldChar w:fldCharType="begin"/>
      </w:r>
      <w:r>
        <w:instrText xml:space="preserve"> PAGEREF _Toc309309302 \h </w:instrText>
      </w:r>
      <w:r>
        <w:fldChar w:fldCharType="separate"/>
      </w:r>
      <w:r>
        <w:t>42</w:t>
      </w:r>
      <w:r>
        <w:fldChar w:fldCharType="end"/>
      </w:r>
    </w:p>
    <w:p>
      <w:pPr>
        <w:pStyle w:val="TOC8"/>
        <w:rPr>
          <w:sz w:val="24"/>
          <w:szCs w:val="24"/>
          <w:lang w:val="en-US"/>
        </w:rPr>
      </w:pPr>
      <w:r>
        <w:t>37</w:t>
      </w:r>
      <w:r>
        <w:rPr>
          <w:snapToGrid w:val="0"/>
        </w:rPr>
        <w:t>.</w:t>
      </w:r>
      <w:r>
        <w:rPr>
          <w:snapToGrid w:val="0"/>
        </w:rPr>
        <w:tab/>
        <w:t>Offences against r. 36, defences for</w:t>
      </w:r>
      <w:r>
        <w:tab/>
      </w:r>
      <w:r>
        <w:fldChar w:fldCharType="begin"/>
      </w:r>
      <w:r>
        <w:instrText xml:space="preserve"> PAGEREF _Toc309309303 \h </w:instrText>
      </w:r>
      <w:r>
        <w:fldChar w:fldCharType="separate"/>
      </w:r>
      <w:r>
        <w:t>43</w:t>
      </w:r>
      <w:r>
        <w:fldChar w:fldCharType="end"/>
      </w:r>
    </w:p>
    <w:p>
      <w:pPr>
        <w:pStyle w:val="TOC8"/>
        <w:rPr>
          <w:sz w:val="24"/>
          <w:szCs w:val="24"/>
          <w:lang w:val="en-US"/>
        </w:rPr>
      </w:pPr>
      <w:r>
        <w:t>38</w:t>
      </w:r>
      <w:r>
        <w:rPr>
          <w:snapToGrid w:val="0"/>
        </w:rPr>
        <w:t>.</w:t>
      </w:r>
      <w:r>
        <w:rPr>
          <w:snapToGrid w:val="0"/>
        </w:rPr>
        <w:tab/>
        <w:t>Rock lobster pots, requirements for</w:t>
      </w:r>
      <w:r>
        <w:tab/>
      </w:r>
      <w:r>
        <w:fldChar w:fldCharType="begin"/>
      </w:r>
      <w:r>
        <w:instrText xml:space="preserve"> PAGEREF _Toc309309304 \h </w:instrText>
      </w:r>
      <w:r>
        <w:fldChar w:fldCharType="separate"/>
      </w:r>
      <w:r>
        <w:t>43</w:t>
      </w:r>
      <w:r>
        <w:fldChar w:fldCharType="end"/>
      </w:r>
    </w:p>
    <w:p>
      <w:pPr>
        <w:pStyle w:val="TOC4"/>
        <w:tabs>
          <w:tab w:val="right" w:leader="dot" w:pos="7086"/>
        </w:tabs>
        <w:rPr>
          <w:b w:val="0"/>
          <w:sz w:val="24"/>
          <w:szCs w:val="24"/>
          <w:lang w:val="en-US"/>
        </w:rPr>
      </w:pPr>
      <w:r>
        <w:t>Division 5A — Requirements regarding deep sea crabs</w:t>
      </w:r>
    </w:p>
    <w:p>
      <w:pPr>
        <w:pStyle w:val="TOC8"/>
        <w:rPr>
          <w:sz w:val="24"/>
          <w:szCs w:val="24"/>
          <w:lang w:val="en-US"/>
        </w:rPr>
      </w:pPr>
      <w:r>
        <w:t>38A.</w:t>
      </w:r>
      <w:r>
        <w:tab/>
        <w:t>Term used: deep sea crab</w:t>
      </w:r>
      <w:r>
        <w:tab/>
      </w:r>
      <w:r>
        <w:fldChar w:fldCharType="begin"/>
      </w:r>
      <w:r>
        <w:instrText xml:space="preserve"> PAGEREF _Toc309309306 \h </w:instrText>
      </w:r>
      <w:r>
        <w:fldChar w:fldCharType="separate"/>
      </w:r>
      <w:r>
        <w:t>46</w:t>
      </w:r>
      <w:r>
        <w:fldChar w:fldCharType="end"/>
      </w:r>
    </w:p>
    <w:p>
      <w:pPr>
        <w:pStyle w:val="TOC8"/>
        <w:rPr>
          <w:sz w:val="24"/>
          <w:szCs w:val="24"/>
          <w:lang w:val="en-US"/>
        </w:rPr>
      </w:pPr>
      <w:r>
        <w:t>38B.</w:t>
      </w:r>
      <w:r>
        <w:tab/>
        <w:t>Possession or sale of parts of deep sea crabs</w:t>
      </w:r>
      <w:r>
        <w:tab/>
      </w:r>
      <w:r>
        <w:fldChar w:fldCharType="begin"/>
      </w:r>
      <w:r>
        <w:instrText xml:space="preserve"> PAGEREF _Toc309309307 \h </w:instrText>
      </w:r>
      <w:r>
        <w:fldChar w:fldCharType="separate"/>
      </w:r>
      <w:r>
        <w:t>47</w:t>
      </w:r>
      <w:r>
        <w:fldChar w:fldCharType="end"/>
      </w:r>
    </w:p>
    <w:p>
      <w:pPr>
        <w:pStyle w:val="TOC8"/>
        <w:rPr>
          <w:sz w:val="24"/>
          <w:szCs w:val="24"/>
          <w:lang w:val="en-US"/>
        </w:rPr>
      </w:pPr>
      <w:r>
        <w:t>38C.</w:t>
      </w:r>
      <w:r>
        <w:tab/>
        <w:t>Bringing ashore parts of deep sea crabs</w:t>
      </w:r>
      <w:r>
        <w:tab/>
      </w:r>
      <w:r>
        <w:fldChar w:fldCharType="begin"/>
      </w:r>
      <w:r>
        <w:instrText xml:space="preserve"> PAGEREF _Toc309309308 \h </w:instrText>
      </w:r>
      <w:r>
        <w:fldChar w:fldCharType="separate"/>
      </w:r>
      <w:r>
        <w:t>47</w:t>
      </w:r>
      <w:r>
        <w:fldChar w:fldCharType="end"/>
      </w:r>
    </w:p>
    <w:p>
      <w:pPr>
        <w:pStyle w:val="TOC4"/>
        <w:tabs>
          <w:tab w:val="right" w:leader="dot" w:pos="7086"/>
        </w:tabs>
        <w:rPr>
          <w:b w:val="0"/>
          <w:sz w:val="24"/>
          <w:szCs w:val="24"/>
          <w:lang w:val="en-US"/>
        </w:rPr>
      </w:pPr>
      <w:r>
        <w:t>Division 5B — Requirements regarding abalone</w:t>
      </w:r>
    </w:p>
    <w:p>
      <w:pPr>
        <w:pStyle w:val="TOC8"/>
        <w:rPr>
          <w:sz w:val="24"/>
          <w:szCs w:val="24"/>
          <w:lang w:val="en-US"/>
        </w:rPr>
      </w:pPr>
      <w:r>
        <w:t>38D.</w:t>
      </w:r>
      <w:r>
        <w:tab/>
        <w:t>When fishing for abalone allowed</w:t>
      </w:r>
      <w:r>
        <w:tab/>
      </w:r>
      <w:r>
        <w:fldChar w:fldCharType="begin"/>
      </w:r>
      <w:r>
        <w:instrText xml:space="preserve"> PAGEREF _Toc309309310 \h </w:instrText>
      </w:r>
      <w:r>
        <w:fldChar w:fldCharType="separate"/>
      </w:r>
      <w:r>
        <w:t>48</w:t>
      </w:r>
      <w:r>
        <w:fldChar w:fldCharType="end"/>
      </w:r>
    </w:p>
    <w:p>
      <w:pPr>
        <w:pStyle w:val="TOC8"/>
        <w:rPr>
          <w:sz w:val="24"/>
          <w:szCs w:val="24"/>
          <w:lang w:val="en-US"/>
        </w:rPr>
      </w:pPr>
      <w:r>
        <w:t>38E.</w:t>
      </w:r>
      <w:r>
        <w:tab/>
        <w:t>Diving for abalone using breathing apparatus prohibited in Abalone Zone 1</w:t>
      </w:r>
      <w:r>
        <w:tab/>
      </w:r>
      <w:r>
        <w:fldChar w:fldCharType="begin"/>
      </w:r>
      <w:r>
        <w:instrText xml:space="preserve"> PAGEREF _Toc309309311 \h </w:instrText>
      </w:r>
      <w:r>
        <w:fldChar w:fldCharType="separate"/>
      </w:r>
      <w:r>
        <w:t>48</w:t>
      </w:r>
      <w:r>
        <w:fldChar w:fldCharType="end"/>
      </w:r>
    </w:p>
    <w:p>
      <w:pPr>
        <w:pStyle w:val="TOC8"/>
        <w:rPr>
          <w:sz w:val="24"/>
          <w:szCs w:val="24"/>
          <w:lang w:val="en-US"/>
        </w:rPr>
      </w:pPr>
      <w:r>
        <w:t>38F.</w:t>
      </w:r>
      <w:r>
        <w:tab/>
        <w:t>Use of abalone material as bait</w:t>
      </w:r>
      <w:r>
        <w:tab/>
      </w:r>
      <w:r>
        <w:fldChar w:fldCharType="begin"/>
      </w:r>
      <w:r>
        <w:instrText xml:space="preserve"> PAGEREF _Toc309309312 \h </w:instrText>
      </w:r>
      <w:r>
        <w:fldChar w:fldCharType="separate"/>
      </w:r>
      <w:r>
        <w:t>49</w:t>
      </w:r>
      <w:r>
        <w:fldChar w:fldCharType="end"/>
      </w:r>
    </w:p>
    <w:p>
      <w:pPr>
        <w:pStyle w:val="TOC8"/>
        <w:rPr>
          <w:sz w:val="24"/>
          <w:szCs w:val="24"/>
          <w:lang w:val="en-US"/>
        </w:rPr>
      </w:pPr>
      <w:r>
        <w:t>38GA.</w:t>
      </w:r>
      <w:r>
        <w:tab/>
        <w:t>Possession of abalone material</w:t>
      </w:r>
      <w:r>
        <w:tab/>
      </w:r>
      <w:r>
        <w:fldChar w:fldCharType="begin"/>
      </w:r>
      <w:r>
        <w:instrText xml:space="preserve"> PAGEREF _Toc309309313 \h </w:instrText>
      </w:r>
      <w:r>
        <w:fldChar w:fldCharType="separate"/>
      </w:r>
      <w:r>
        <w:t>49</w:t>
      </w:r>
      <w:r>
        <w:fldChar w:fldCharType="end"/>
      </w:r>
    </w:p>
    <w:p>
      <w:pPr>
        <w:pStyle w:val="TOC4"/>
        <w:tabs>
          <w:tab w:val="right" w:leader="dot" w:pos="7086"/>
        </w:tabs>
        <w:rPr>
          <w:b w:val="0"/>
          <w:sz w:val="24"/>
          <w:szCs w:val="24"/>
          <w:lang w:val="en-US"/>
        </w:rPr>
      </w:pPr>
      <w:r>
        <w:t>Division 5C — Requirements regarding marron</w:t>
      </w:r>
    </w:p>
    <w:p>
      <w:pPr>
        <w:pStyle w:val="TOC6"/>
        <w:tabs>
          <w:tab w:val="right" w:leader="dot" w:pos="7086"/>
        </w:tabs>
        <w:rPr>
          <w:b w:val="0"/>
          <w:sz w:val="24"/>
          <w:szCs w:val="24"/>
          <w:lang w:val="en-US"/>
        </w:rPr>
      </w:pPr>
      <w:r>
        <w:t>Subdivision 1 — Interpretation</w:t>
      </w:r>
    </w:p>
    <w:p>
      <w:pPr>
        <w:pStyle w:val="TOC8"/>
        <w:rPr>
          <w:sz w:val="24"/>
          <w:szCs w:val="24"/>
          <w:lang w:val="en-US"/>
        </w:rPr>
      </w:pPr>
      <w:r>
        <w:t>38G.</w:t>
      </w:r>
      <w:r>
        <w:tab/>
        <w:t>Terms used</w:t>
      </w:r>
      <w:r>
        <w:tab/>
      </w:r>
      <w:r>
        <w:fldChar w:fldCharType="begin"/>
      </w:r>
      <w:r>
        <w:instrText xml:space="preserve"> PAGEREF _Toc309309316 \h </w:instrText>
      </w:r>
      <w:r>
        <w:fldChar w:fldCharType="separate"/>
      </w:r>
      <w:r>
        <w:t>49</w:t>
      </w:r>
      <w:r>
        <w:fldChar w:fldCharType="end"/>
      </w:r>
    </w:p>
    <w:p>
      <w:pPr>
        <w:pStyle w:val="TOC6"/>
        <w:tabs>
          <w:tab w:val="right" w:leader="dot" w:pos="7086"/>
        </w:tabs>
        <w:rPr>
          <w:b w:val="0"/>
          <w:sz w:val="24"/>
          <w:szCs w:val="24"/>
          <w:lang w:val="en-US"/>
        </w:rPr>
      </w:pPr>
      <w:r>
        <w:t>Subdivision 2 — General restrictions on fishing for marron</w:t>
      </w:r>
    </w:p>
    <w:p>
      <w:pPr>
        <w:pStyle w:val="TOC8"/>
        <w:rPr>
          <w:sz w:val="24"/>
          <w:szCs w:val="24"/>
          <w:lang w:val="en-US"/>
        </w:rPr>
      </w:pPr>
      <w:r>
        <w:t>38H.</w:t>
      </w:r>
      <w:r>
        <w:tab/>
        <w:t>Marron, permitted ways to fish for</w:t>
      </w:r>
      <w:r>
        <w:tab/>
      </w:r>
      <w:r>
        <w:fldChar w:fldCharType="begin"/>
      </w:r>
      <w:r>
        <w:instrText xml:space="preserve"> PAGEREF _Toc309309318 \h </w:instrText>
      </w:r>
      <w:r>
        <w:fldChar w:fldCharType="separate"/>
      </w:r>
      <w:r>
        <w:t>51</w:t>
      </w:r>
      <w:r>
        <w:fldChar w:fldCharType="end"/>
      </w:r>
    </w:p>
    <w:p>
      <w:pPr>
        <w:pStyle w:val="TOC8"/>
        <w:rPr>
          <w:sz w:val="24"/>
          <w:szCs w:val="24"/>
          <w:lang w:val="en-US"/>
        </w:rPr>
      </w:pPr>
      <w:r>
        <w:t>38I.</w:t>
      </w:r>
      <w:r>
        <w:tab/>
        <w:t>Single marron pole snare only to be used in some waters</w:t>
      </w:r>
      <w:r>
        <w:tab/>
      </w:r>
      <w:r>
        <w:fldChar w:fldCharType="begin"/>
      </w:r>
      <w:r>
        <w:instrText xml:space="preserve"> PAGEREF _Toc309309319 \h </w:instrText>
      </w:r>
      <w:r>
        <w:fldChar w:fldCharType="separate"/>
      </w:r>
      <w:r>
        <w:t>51</w:t>
      </w:r>
      <w:r>
        <w:fldChar w:fldCharType="end"/>
      </w:r>
    </w:p>
    <w:p>
      <w:pPr>
        <w:pStyle w:val="TOC8"/>
        <w:rPr>
          <w:sz w:val="24"/>
          <w:szCs w:val="24"/>
          <w:lang w:val="en-US"/>
        </w:rPr>
      </w:pPr>
      <w:r>
        <w:t>38J.</w:t>
      </w:r>
      <w:r>
        <w:tab/>
        <w:t>Marron fishing prohibited in certain Margaret River waters</w:t>
      </w:r>
      <w:r>
        <w:tab/>
      </w:r>
      <w:r>
        <w:fldChar w:fldCharType="begin"/>
      </w:r>
      <w:r>
        <w:instrText xml:space="preserve"> PAGEREF _Toc309309320 \h </w:instrText>
      </w:r>
      <w:r>
        <w:fldChar w:fldCharType="separate"/>
      </w:r>
      <w:r>
        <w:t>52</w:t>
      </w:r>
      <w:r>
        <w:fldChar w:fldCharType="end"/>
      </w:r>
    </w:p>
    <w:p>
      <w:pPr>
        <w:pStyle w:val="TOC8"/>
        <w:rPr>
          <w:sz w:val="24"/>
          <w:szCs w:val="24"/>
          <w:lang w:val="en-US"/>
        </w:rPr>
      </w:pPr>
      <w:r>
        <w:t>38K.</w:t>
      </w:r>
      <w:r>
        <w:tab/>
        <w:t>Marron fishing prohibited from boats or by swimming or diving</w:t>
      </w:r>
      <w:r>
        <w:tab/>
      </w:r>
      <w:r>
        <w:fldChar w:fldCharType="begin"/>
      </w:r>
      <w:r>
        <w:instrText xml:space="preserve"> PAGEREF _Toc309309321 \h </w:instrText>
      </w:r>
      <w:r>
        <w:fldChar w:fldCharType="separate"/>
      </w:r>
      <w:r>
        <w:t>53</w:t>
      </w:r>
      <w:r>
        <w:fldChar w:fldCharType="end"/>
      </w:r>
    </w:p>
    <w:p>
      <w:pPr>
        <w:pStyle w:val="TOC8"/>
        <w:rPr>
          <w:sz w:val="24"/>
          <w:szCs w:val="24"/>
          <w:lang w:val="en-US"/>
        </w:rPr>
      </w:pPr>
      <w:r>
        <w:t>38L.</w:t>
      </w:r>
      <w:r>
        <w:tab/>
        <w:t>Marron nets not to be transported in boats in most cases</w:t>
      </w:r>
      <w:r>
        <w:tab/>
      </w:r>
      <w:r>
        <w:fldChar w:fldCharType="begin"/>
      </w:r>
      <w:r>
        <w:instrText xml:space="preserve"> PAGEREF _Toc309309322 \h </w:instrText>
      </w:r>
      <w:r>
        <w:fldChar w:fldCharType="separate"/>
      </w:r>
      <w:r>
        <w:t>53</w:t>
      </w:r>
      <w:r>
        <w:fldChar w:fldCharType="end"/>
      </w:r>
    </w:p>
    <w:p>
      <w:pPr>
        <w:pStyle w:val="TOC6"/>
        <w:tabs>
          <w:tab w:val="right" w:leader="dot" w:pos="7086"/>
        </w:tabs>
        <w:rPr>
          <w:b w:val="0"/>
          <w:sz w:val="24"/>
          <w:szCs w:val="24"/>
          <w:lang w:val="en-US"/>
        </w:rPr>
      </w:pPr>
      <w:r>
        <w:t>Subdivision 3 — Closed season restrictions relating to marron</w:t>
      </w:r>
    </w:p>
    <w:p>
      <w:pPr>
        <w:pStyle w:val="TOC8"/>
        <w:rPr>
          <w:sz w:val="24"/>
          <w:szCs w:val="24"/>
          <w:lang w:val="en-US"/>
        </w:rPr>
      </w:pPr>
      <w:r>
        <w:t>38M.</w:t>
      </w:r>
      <w:r>
        <w:tab/>
        <w:t>Closed season for marron fishing</w:t>
      </w:r>
      <w:r>
        <w:tab/>
      </w:r>
      <w:r>
        <w:fldChar w:fldCharType="begin"/>
      </w:r>
      <w:r>
        <w:instrText xml:space="preserve"> PAGEREF _Toc309309324 \h </w:instrText>
      </w:r>
      <w:r>
        <w:fldChar w:fldCharType="separate"/>
      </w:r>
      <w:r>
        <w:t>54</w:t>
      </w:r>
      <w:r>
        <w:fldChar w:fldCharType="end"/>
      </w:r>
    </w:p>
    <w:p>
      <w:pPr>
        <w:pStyle w:val="TOC8"/>
        <w:rPr>
          <w:sz w:val="24"/>
          <w:szCs w:val="24"/>
          <w:lang w:val="en-US"/>
        </w:rPr>
      </w:pPr>
      <w:r>
        <w:t>38N.</w:t>
      </w:r>
      <w:r>
        <w:tab/>
        <w:t>Removing marron from private land in closed season</w:t>
      </w:r>
      <w:r>
        <w:tab/>
      </w:r>
      <w:r>
        <w:fldChar w:fldCharType="begin"/>
      </w:r>
      <w:r>
        <w:instrText xml:space="preserve"> PAGEREF _Toc309309325 \h </w:instrText>
      </w:r>
      <w:r>
        <w:fldChar w:fldCharType="separate"/>
      </w:r>
      <w:r>
        <w:t>54</w:t>
      </w:r>
      <w:r>
        <w:fldChar w:fldCharType="end"/>
      </w:r>
    </w:p>
    <w:p>
      <w:pPr>
        <w:pStyle w:val="TOC8"/>
        <w:rPr>
          <w:sz w:val="24"/>
          <w:szCs w:val="24"/>
          <w:lang w:val="en-US"/>
        </w:rPr>
      </w:pPr>
      <w:r>
        <w:t>38O.</w:t>
      </w:r>
      <w:r>
        <w:tab/>
        <w:t>Possession of marron during non</w:t>
      </w:r>
      <w:r>
        <w:noBreakHyphen/>
        <w:t>possession period</w:t>
      </w:r>
      <w:r>
        <w:tab/>
      </w:r>
      <w:r>
        <w:fldChar w:fldCharType="begin"/>
      </w:r>
      <w:r>
        <w:instrText xml:space="preserve"> PAGEREF _Toc309309326 \h </w:instrText>
      </w:r>
      <w:r>
        <w:fldChar w:fldCharType="separate"/>
      </w:r>
      <w:r>
        <w:t>54</w:t>
      </w:r>
      <w:r>
        <w:fldChar w:fldCharType="end"/>
      </w:r>
    </w:p>
    <w:p>
      <w:pPr>
        <w:pStyle w:val="TOC4"/>
        <w:tabs>
          <w:tab w:val="right" w:leader="dot" w:pos="7086"/>
        </w:tabs>
        <w:rPr>
          <w:b w:val="0"/>
          <w:sz w:val="24"/>
          <w:szCs w:val="24"/>
          <w:lang w:val="en-US"/>
        </w:rPr>
      </w:pPr>
      <w:r>
        <w:t>Division 6</w:t>
      </w:r>
      <w:r>
        <w:rPr>
          <w:snapToGrid w:val="0"/>
        </w:rPr>
        <w:t> — </w:t>
      </w:r>
      <w:r>
        <w:t>Requirements relating to the taking of certain fish</w:t>
      </w:r>
    </w:p>
    <w:p>
      <w:pPr>
        <w:pStyle w:val="TOC8"/>
        <w:rPr>
          <w:sz w:val="24"/>
          <w:szCs w:val="24"/>
          <w:lang w:val="en-US"/>
        </w:rPr>
      </w:pPr>
      <w:r>
        <w:t>39</w:t>
      </w:r>
      <w:r>
        <w:rPr>
          <w:snapToGrid w:val="0"/>
        </w:rPr>
        <w:t>.</w:t>
      </w:r>
      <w:r>
        <w:rPr>
          <w:snapToGrid w:val="0"/>
        </w:rPr>
        <w:tab/>
        <w:t>Prawns, permitted ways to fish for by recreational fishers</w:t>
      </w:r>
      <w:r>
        <w:tab/>
      </w:r>
      <w:r>
        <w:fldChar w:fldCharType="begin"/>
      </w:r>
      <w:r>
        <w:instrText xml:space="preserve"> PAGEREF _Toc309309328 \h </w:instrText>
      </w:r>
      <w:r>
        <w:fldChar w:fldCharType="separate"/>
      </w:r>
      <w:r>
        <w:t>55</w:t>
      </w:r>
      <w:r>
        <w:fldChar w:fldCharType="end"/>
      </w:r>
    </w:p>
    <w:p>
      <w:pPr>
        <w:pStyle w:val="TOC8"/>
        <w:rPr>
          <w:sz w:val="24"/>
          <w:szCs w:val="24"/>
          <w:lang w:val="en-US"/>
        </w:rPr>
      </w:pPr>
      <w:r>
        <w:t>40</w:t>
      </w:r>
      <w:r>
        <w:rPr>
          <w:snapToGrid w:val="0"/>
        </w:rPr>
        <w:t>.</w:t>
      </w:r>
      <w:r>
        <w:rPr>
          <w:snapToGrid w:val="0"/>
        </w:rPr>
        <w:tab/>
        <w:t>Cherabin, permitted ways to fish for</w:t>
      </w:r>
      <w:r>
        <w:tab/>
      </w:r>
      <w:r>
        <w:fldChar w:fldCharType="begin"/>
      </w:r>
      <w:r>
        <w:instrText xml:space="preserve"> PAGEREF _Toc309309329 \h </w:instrText>
      </w:r>
      <w:r>
        <w:fldChar w:fldCharType="separate"/>
      </w:r>
      <w:r>
        <w:t>56</w:t>
      </w:r>
      <w:r>
        <w:fldChar w:fldCharType="end"/>
      </w:r>
    </w:p>
    <w:p>
      <w:pPr>
        <w:pStyle w:val="TOC8"/>
        <w:rPr>
          <w:sz w:val="24"/>
          <w:szCs w:val="24"/>
          <w:lang w:val="en-US"/>
        </w:rPr>
      </w:pPr>
      <w:r>
        <w:t>41</w:t>
      </w:r>
      <w:r>
        <w:rPr>
          <w:snapToGrid w:val="0"/>
        </w:rPr>
        <w:t>.</w:t>
      </w:r>
      <w:r>
        <w:rPr>
          <w:snapToGrid w:val="0"/>
        </w:rPr>
        <w:tab/>
        <w:t>Shucking of abalone except by person authorised under managed fishery licence</w:t>
      </w:r>
      <w:r>
        <w:tab/>
      </w:r>
      <w:r>
        <w:fldChar w:fldCharType="begin"/>
      </w:r>
      <w:r>
        <w:instrText xml:space="preserve"> PAGEREF _Toc309309330 \h </w:instrText>
      </w:r>
      <w:r>
        <w:fldChar w:fldCharType="separate"/>
      </w:r>
      <w:r>
        <w:t>56</w:t>
      </w:r>
      <w:r>
        <w:fldChar w:fldCharType="end"/>
      </w:r>
    </w:p>
    <w:p>
      <w:pPr>
        <w:pStyle w:val="TOC8"/>
        <w:rPr>
          <w:sz w:val="24"/>
          <w:szCs w:val="24"/>
          <w:lang w:val="en-US"/>
        </w:rPr>
      </w:pPr>
      <w:r>
        <w:t>42</w:t>
      </w:r>
      <w:r>
        <w:rPr>
          <w:snapToGrid w:val="0"/>
        </w:rPr>
        <w:t>.</w:t>
      </w:r>
      <w:r>
        <w:rPr>
          <w:snapToGrid w:val="0"/>
        </w:rPr>
        <w:tab/>
        <w:t>Molluscs, shucking of by recreational fishers</w:t>
      </w:r>
      <w:r>
        <w:tab/>
      </w:r>
      <w:r>
        <w:fldChar w:fldCharType="begin"/>
      </w:r>
      <w:r>
        <w:instrText xml:space="preserve"> PAGEREF _Toc309309331 \h </w:instrText>
      </w:r>
      <w:r>
        <w:fldChar w:fldCharType="separate"/>
      </w:r>
      <w:r>
        <w:t>57</w:t>
      </w:r>
      <w:r>
        <w:fldChar w:fldCharType="end"/>
      </w:r>
    </w:p>
    <w:p>
      <w:pPr>
        <w:pStyle w:val="TOC8"/>
        <w:rPr>
          <w:sz w:val="24"/>
          <w:szCs w:val="24"/>
          <w:lang w:val="en-US"/>
        </w:rPr>
      </w:pPr>
      <w:r>
        <w:t>43</w:t>
      </w:r>
      <w:r>
        <w:rPr>
          <w:snapToGrid w:val="0"/>
        </w:rPr>
        <w:t>.</w:t>
      </w:r>
      <w:r>
        <w:rPr>
          <w:snapToGrid w:val="0"/>
        </w:rPr>
        <w:tab/>
        <w:t>Trout, interfering with etc.</w:t>
      </w:r>
      <w:r>
        <w:tab/>
      </w:r>
      <w:r>
        <w:fldChar w:fldCharType="begin"/>
      </w:r>
      <w:r>
        <w:instrText xml:space="preserve"> PAGEREF _Toc309309332 \h </w:instrText>
      </w:r>
      <w:r>
        <w:fldChar w:fldCharType="separate"/>
      </w:r>
      <w:r>
        <w:t>58</w:t>
      </w:r>
      <w:r>
        <w:fldChar w:fldCharType="end"/>
      </w:r>
    </w:p>
    <w:p>
      <w:pPr>
        <w:pStyle w:val="TOC8"/>
        <w:rPr>
          <w:sz w:val="24"/>
          <w:szCs w:val="24"/>
          <w:lang w:val="en-US"/>
        </w:rPr>
      </w:pPr>
      <w:r>
        <w:t>44</w:t>
      </w:r>
      <w:r>
        <w:rPr>
          <w:snapToGrid w:val="0"/>
        </w:rPr>
        <w:t>.</w:t>
      </w:r>
      <w:r>
        <w:rPr>
          <w:snapToGrid w:val="0"/>
        </w:rPr>
        <w:tab/>
        <w:t>Barramundi, trout, freshwater cobbler or redfin perch, permitted ways to fish for</w:t>
      </w:r>
      <w:r>
        <w:tab/>
      </w:r>
      <w:r>
        <w:fldChar w:fldCharType="begin"/>
      </w:r>
      <w:r>
        <w:instrText xml:space="preserve"> PAGEREF _Toc309309333 \h </w:instrText>
      </w:r>
      <w:r>
        <w:fldChar w:fldCharType="separate"/>
      </w:r>
      <w:r>
        <w:t>58</w:t>
      </w:r>
      <w:r>
        <w:fldChar w:fldCharType="end"/>
      </w:r>
    </w:p>
    <w:p>
      <w:pPr>
        <w:pStyle w:val="TOC8"/>
        <w:rPr>
          <w:sz w:val="24"/>
          <w:szCs w:val="24"/>
          <w:lang w:val="en-US"/>
        </w:rPr>
      </w:pPr>
      <w:r>
        <w:t>44A.</w:t>
      </w:r>
      <w:r>
        <w:tab/>
        <w:t>Closed season for freshwater fish</w:t>
      </w:r>
      <w:r>
        <w:tab/>
      </w:r>
      <w:r>
        <w:fldChar w:fldCharType="begin"/>
      </w:r>
      <w:r>
        <w:instrText xml:space="preserve"> PAGEREF _Toc309309334 \h </w:instrText>
      </w:r>
      <w:r>
        <w:fldChar w:fldCharType="separate"/>
      </w:r>
      <w:r>
        <w:t>59</w:t>
      </w:r>
      <w:r>
        <w:fldChar w:fldCharType="end"/>
      </w:r>
    </w:p>
    <w:p>
      <w:pPr>
        <w:pStyle w:val="TOC8"/>
        <w:rPr>
          <w:sz w:val="24"/>
          <w:szCs w:val="24"/>
          <w:lang w:val="en-US"/>
        </w:rPr>
      </w:pPr>
      <w:r>
        <w:t>45.</w:t>
      </w:r>
      <w:r>
        <w:tab/>
        <w:t>Demersal scalefish in West Coast Region, closed season for recreation fishing for</w:t>
      </w:r>
      <w:r>
        <w:tab/>
      </w:r>
      <w:r>
        <w:fldChar w:fldCharType="begin"/>
      </w:r>
      <w:r>
        <w:instrText xml:space="preserve"> PAGEREF _Toc309309335 \h </w:instrText>
      </w:r>
      <w:r>
        <w:fldChar w:fldCharType="separate"/>
      </w:r>
      <w:r>
        <w:t>60</w:t>
      </w:r>
      <w:r>
        <w:fldChar w:fldCharType="end"/>
      </w:r>
    </w:p>
    <w:p>
      <w:pPr>
        <w:pStyle w:val="TOC4"/>
        <w:tabs>
          <w:tab w:val="right" w:leader="dot" w:pos="7086"/>
        </w:tabs>
        <w:rPr>
          <w:b w:val="0"/>
          <w:sz w:val="24"/>
          <w:szCs w:val="24"/>
          <w:lang w:val="en-US"/>
        </w:rPr>
      </w:pPr>
      <w:r>
        <w:t>Division 7A</w:t>
      </w:r>
      <w:r>
        <w:rPr>
          <w:snapToGrid w:val="0"/>
        </w:rPr>
        <w:t> — </w:t>
      </w:r>
      <w:r>
        <w:t>Requirements relating to automatic location communicators</w:t>
      </w:r>
    </w:p>
    <w:p>
      <w:pPr>
        <w:pStyle w:val="TOC8"/>
        <w:rPr>
          <w:sz w:val="24"/>
          <w:szCs w:val="24"/>
          <w:lang w:val="en-US"/>
        </w:rPr>
      </w:pPr>
      <w:r>
        <w:t>55A.</w:t>
      </w:r>
      <w:r>
        <w:tab/>
        <w:t>Terms used</w:t>
      </w:r>
      <w:r>
        <w:tab/>
      </w:r>
      <w:r>
        <w:fldChar w:fldCharType="begin"/>
      </w:r>
      <w:r>
        <w:instrText xml:space="preserve"> PAGEREF _Toc309309337 \h </w:instrText>
      </w:r>
      <w:r>
        <w:fldChar w:fldCharType="separate"/>
      </w:r>
      <w:r>
        <w:t>61</w:t>
      </w:r>
      <w:r>
        <w:fldChar w:fldCharType="end"/>
      </w:r>
    </w:p>
    <w:p>
      <w:pPr>
        <w:pStyle w:val="TOC8"/>
        <w:rPr>
          <w:sz w:val="24"/>
          <w:szCs w:val="24"/>
          <w:lang w:val="en-US"/>
        </w:rPr>
      </w:pPr>
      <w:r>
        <w:t>55AA.</w:t>
      </w:r>
      <w:r>
        <w:tab/>
        <w:t>ALCs, approval of; directions for use of etc.</w:t>
      </w:r>
      <w:r>
        <w:tab/>
      </w:r>
      <w:r>
        <w:fldChar w:fldCharType="begin"/>
      </w:r>
      <w:r>
        <w:instrText xml:space="preserve"> PAGEREF _Toc309309338 \h </w:instrText>
      </w:r>
      <w:r>
        <w:fldChar w:fldCharType="separate"/>
      </w:r>
      <w:r>
        <w:t>62</w:t>
      </w:r>
      <w:r>
        <w:fldChar w:fldCharType="end"/>
      </w:r>
    </w:p>
    <w:p>
      <w:pPr>
        <w:pStyle w:val="TOC8"/>
        <w:rPr>
          <w:sz w:val="24"/>
          <w:szCs w:val="24"/>
          <w:lang w:val="en-US"/>
        </w:rPr>
      </w:pPr>
      <w:r>
        <w:t>55B</w:t>
      </w:r>
      <w:r>
        <w:rPr>
          <w:snapToGrid w:val="0"/>
        </w:rPr>
        <w:t>.</w:t>
      </w:r>
      <w:r>
        <w:rPr>
          <w:snapToGrid w:val="0"/>
        </w:rPr>
        <w:tab/>
        <w:t>ALC, CEO may direct installation of etc. in fishing boat</w:t>
      </w:r>
      <w:r>
        <w:tab/>
      </w:r>
      <w:r>
        <w:fldChar w:fldCharType="begin"/>
      </w:r>
      <w:r>
        <w:instrText xml:space="preserve"> PAGEREF _Toc309309339 \h </w:instrText>
      </w:r>
      <w:r>
        <w:fldChar w:fldCharType="separate"/>
      </w:r>
      <w:r>
        <w:t>62</w:t>
      </w:r>
      <w:r>
        <w:fldChar w:fldCharType="end"/>
      </w:r>
    </w:p>
    <w:p>
      <w:pPr>
        <w:pStyle w:val="TOC8"/>
        <w:rPr>
          <w:sz w:val="24"/>
          <w:szCs w:val="24"/>
          <w:lang w:val="en-US"/>
        </w:rPr>
      </w:pPr>
      <w:r>
        <w:t>55C</w:t>
      </w:r>
      <w:r>
        <w:rPr>
          <w:snapToGrid w:val="0"/>
        </w:rPr>
        <w:t>.</w:t>
      </w:r>
      <w:r>
        <w:rPr>
          <w:snapToGrid w:val="0"/>
        </w:rPr>
        <w:tab/>
        <w:t>Master of fishing boat, duties of as to ALC</w:t>
      </w:r>
      <w:r>
        <w:tab/>
      </w:r>
      <w:r>
        <w:fldChar w:fldCharType="begin"/>
      </w:r>
      <w:r>
        <w:instrText xml:space="preserve"> PAGEREF _Toc309309340 \h </w:instrText>
      </w:r>
      <w:r>
        <w:fldChar w:fldCharType="separate"/>
      </w:r>
      <w:r>
        <w:t>63</w:t>
      </w:r>
      <w:r>
        <w:fldChar w:fldCharType="end"/>
      </w:r>
    </w:p>
    <w:p>
      <w:pPr>
        <w:pStyle w:val="TOC8"/>
        <w:rPr>
          <w:sz w:val="24"/>
          <w:szCs w:val="24"/>
          <w:lang w:val="en-US"/>
        </w:rPr>
      </w:pPr>
      <w:r>
        <w:t>55D</w:t>
      </w:r>
      <w:r>
        <w:rPr>
          <w:snapToGrid w:val="0"/>
        </w:rPr>
        <w:t>.</w:t>
      </w:r>
      <w:r>
        <w:rPr>
          <w:snapToGrid w:val="0"/>
        </w:rPr>
        <w:tab/>
        <w:t>Interfering etc. with ALC or approved seal</w:t>
      </w:r>
      <w:r>
        <w:tab/>
      </w:r>
      <w:r>
        <w:fldChar w:fldCharType="begin"/>
      </w:r>
      <w:r>
        <w:instrText xml:space="preserve"> PAGEREF _Toc309309341 \h </w:instrText>
      </w:r>
      <w:r>
        <w:fldChar w:fldCharType="separate"/>
      </w:r>
      <w:r>
        <w:t>64</w:t>
      </w:r>
      <w:r>
        <w:fldChar w:fldCharType="end"/>
      </w:r>
    </w:p>
    <w:p>
      <w:pPr>
        <w:pStyle w:val="TOC4"/>
        <w:tabs>
          <w:tab w:val="right" w:leader="dot" w:pos="7086"/>
        </w:tabs>
        <w:rPr>
          <w:b w:val="0"/>
          <w:sz w:val="24"/>
          <w:szCs w:val="24"/>
          <w:lang w:val="en-US"/>
        </w:rPr>
      </w:pPr>
      <w:r>
        <w:t>Division 7B — Requirements relating to bait bands</w:t>
      </w:r>
    </w:p>
    <w:p>
      <w:pPr>
        <w:pStyle w:val="TOC8"/>
        <w:rPr>
          <w:sz w:val="24"/>
          <w:szCs w:val="24"/>
          <w:lang w:val="en-US"/>
        </w:rPr>
      </w:pPr>
      <w:r>
        <w:t>55E.</w:t>
      </w:r>
      <w:r>
        <w:tab/>
        <w:t>Terms used</w:t>
      </w:r>
      <w:r>
        <w:tab/>
      </w:r>
      <w:r>
        <w:fldChar w:fldCharType="begin"/>
      </w:r>
      <w:r>
        <w:instrText xml:space="preserve"> PAGEREF _Toc309309343 \h </w:instrText>
      </w:r>
      <w:r>
        <w:fldChar w:fldCharType="separate"/>
      </w:r>
      <w:r>
        <w:t>65</w:t>
      </w:r>
      <w:r>
        <w:fldChar w:fldCharType="end"/>
      </w:r>
    </w:p>
    <w:p>
      <w:pPr>
        <w:pStyle w:val="TOC8"/>
        <w:rPr>
          <w:sz w:val="24"/>
          <w:szCs w:val="24"/>
          <w:lang w:val="en-US"/>
        </w:rPr>
      </w:pPr>
      <w:r>
        <w:t>55F.</w:t>
      </w:r>
      <w:r>
        <w:tab/>
        <w:t>Bait bands on boats prohibited</w:t>
      </w:r>
      <w:r>
        <w:tab/>
      </w:r>
      <w:r>
        <w:fldChar w:fldCharType="begin"/>
      </w:r>
      <w:r>
        <w:instrText xml:space="preserve"> PAGEREF _Toc309309344 \h </w:instrText>
      </w:r>
      <w:r>
        <w:fldChar w:fldCharType="separate"/>
      </w:r>
      <w:r>
        <w:t>65</w:t>
      </w:r>
      <w:r>
        <w:fldChar w:fldCharType="end"/>
      </w:r>
    </w:p>
    <w:p>
      <w:pPr>
        <w:pStyle w:val="TOC4"/>
        <w:tabs>
          <w:tab w:val="right" w:leader="dot" w:pos="7086"/>
        </w:tabs>
        <w:rPr>
          <w:b w:val="0"/>
          <w:sz w:val="24"/>
          <w:szCs w:val="24"/>
          <w:lang w:val="en-US"/>
        </w:rPr>
      </w:pPr>
      <w:r>
        <w:t>Division 8</w:t>
      </w:r>
      <w:r>
        <w:rPr>
          <w:snapToGrid w:val="0"/>
        </w:rPr>
        <w:t> — </w:t>
      </w:r>
      <w:r>
        <w:t>Miscellaneous requirements</w:t>
      </w:r>
    </w:p>
    <w:p>
      <w:pPr>
        <w:pStyle w:val="TOC8"/>
        <w:rPr>
          <w:sz w:val="24"/>
          <w:szCs w:val="24"/>
          <w:lang w:val="en-US"/>
        </w:rPr>
      </w:pPr>
      <w:r>
        <w:t>56</w:t>
      </w:r>
      <w:r>
        <w:rPr>
          <w:snapToGrid w:val="0"/>
        </w:rPr>
        <w:t>.</w:t>
      </w:r>
      <w:r>
        <w:rPr>
          <w:snapToGrid w:val="0"/>
        </w:rPr>
        <w:tab/>
        <w:t>Documents to be carried on licensed fishing boat</w:t>
      </w:r>
      <w:r>
        <w:tab/>
      </w:r>
      <w:r>
        <w:fldChar w:fldCharType="begin"/>
      </w:r>
      <w:r>
        <w:instrText xml:space="preserve"> PAGEREF _Toc309309346 \h </w:instrText>
      </w:r>
      <w:r>
        <w:fldChar w:fldCharType="separate"/>
      </w:r>
      <w:r>
        <w:t>66</w:t>
      </w:r>
      <w:r>
        <w:fldChar w:fldCharType="end"/>
      </w:r>
    </w:p>
    <w:p>
      <w:pPr>
        <w:pStyle w:val="TOC8"/>
        <w:rPr>
          <w:sz w:val="24"/>
          <w:szCs w:val="24"/>
          <w:lang w:val="en-US"/>
        </w:rPr>
      </w:pPr>
      <w:r>
        <w:t>56A.</w:t>
      </w:r>
      <w:r>
        <w:tab/>
        <w:t>Fish hooks attached to rock lobster pots, float lines, moorings etc. not to be used to fish</w:t>
      </w:r>
      <w:r>
        <w:tab/>
      </w:r>
      <w:r>
        <w:fldChar w:fldCharType="begin"/>
      </w:r>
      <w:r>
        <w:instrText xml:space="preserve"> PAGEREF _Toc309309347 \h </w:instrText>
      </w:r>
      <w:r>
        <w:fldChar w:fldCharType="separate"/>
      </w:r>
      <w:r>
        <w:t>66</w:t>
      </w:r>
      <w:r>
        <w:fldChar w:fldCharType="end"/>
      </w:r>
    </w:p>
    <w:p>
      <w:pPr>
        <w:pStyle w:val="TOC8"/>
        <w:rPr>
          <w:sz w:val="24"/>
          <w:szCs w:val="24"/>
          <w:lang w:val="en-US"/>
        </w:rPr>
      </w:pPr>
      <w:r>
        <w:t>57</w:t>
      </w:r>
      <w:r>
        <w:rPr>
          <w:snapToGrid w:val="0"/>
        </w:rPr>
        <w:t>.</w:t>
      </w:r>
      <w:r>
        <w:rPr>
          <w:snapToGrid w:val="0"/>
        </w:rPr>
        <w:tab/>
        <w:t>Snapper in Shark Bay region, restrictions on fishing for</w:t>
      </w:r>
      <w:r>
        <w:tab/>
      </w:r>
      <w:r>
        <w:fldChar w:fldCharType="begin"/>
      </w:r>
      <w:r>
        <w:instrText xml:space="preserve"> PAGEREF _Toc309309348 \h </w:instrText>
      </w:r>
      <w:r>
        <w:fldChar w:fldCharType="separate"/>
      </w:r>
      <w:r>
        <w:t>67</w:t>
      </w:r>
      <w:r>
        <w:fldChar w:fldCharType="end"/>
      </w:r>
    </w:p>
    <w:p>
      <w:pPr>
        <w:pStyle w:val="TOC8"/>
        <w:rPr>
          <w:sz w:val="24"/>
          <w:szCs w:val="24"/>
          <w:lang w:val="en-US"/>
        </w:rPr>
      </w:pPr>
      <w:r>
        <w:t>59</w:t>
      </w:r>
      <w:r>
        <w:rPr>
          <w:snapToGrid w:val="0"/>
        </w:rPr>
        <w:t>.</w:t>
      </w:r>
      <w:r>
        <w:rPr>
          <w:snapToGrid w:val="0"/>
        </w:rPr>
        <w:tab/>
        <w:t>Sale of fish by authorised trade names</w:t>
      </w:r>
      <w:r>
        <w:tab/>
      </w:r>
      <w:r>
        <w:fldChar w:fldCharType="begin"/>
      </w:r>
      <w:r>
        <w:instrText xml:space="preserve"> PAGEREF _Toc309309349 \h </w:instrText>
      </w:r>
      <w:r>
        <w:fldChar w:fldCharType="separate"/>
      </w:r>
      <w:r>
        <w:t>67</w:t>
      </w:r>
      <w:r>
        <w:fldChar w:fldCharType="end"/>
      </w:r>
    </w:p>
    <w:p>
      <w:pPr>
        <w:pStyle w:val="TOC8"/>
        <w:rPr>
          <w:sz w:val="24"/>
          <w:szCs w:val="24"/>
          <w:lang w:val="en-US"/>
        </w:rPr>
      </w:pPr>
      <w:r>
        <w:t>60</w:t>
      </w:r>
      <w:r>
        <w:rPr>
          <w:snapToGrid w:val="0"/>
        </w:rPr>
        <w:t>.</w:t>
      </w:r>
      <w:r>
        <w:rPr>
          <w:snapToGrid w:val="0"/>
        </w:rPr>
        <w:tab/>
        <w:t>Rock lobsters, maximum size of packages etc. of</w:t>
      </w:r>
      <w:r>
        <w:tab/>
      </w:r>
      <w:r>
        <w:fldChar w:fldCharType="begin"/>
      </w:r>
      <w:r>
        <w:instrText xml:space="preserve"> PAGEREF _Toc309309350 \h </w:instrText>
      </w:r>
      <w:r>
        <w:fldChar w:fldCharType="separate"/>
      </w:r>
      <w:r>
        <w:t>68</w:t>
      </w:r>
      <w:r>
        <w:fldChar w:fldCharType="end"/>
      </w:r>
    </w:p>
    <w:p>
      <w:pPr>
        <w:pStyle w:val="TOC8"/>
        <w:rPr>
          <w:sz w:val="24"/>
          <w:szCs w:val="24"/>
          <w:lang w:val="en-US"/>
        </w:rPr>
      </w:pPr>
      <w:r>
        <w:t>61</w:t>
      </w:r>
      <w:r>
        <w:rPr>
          <w:snapToGrid w:val="0"/>
        </w:rPr>
        <w:t>.</w:t>
      </w:r>
      <w:r>
        <w:rPr>
          <w:snapToGrid w:val="0"/>
        </w:rPr>
        <w:tab/>
        <w:t>Fish for sale etc., labelling requirements for</w:t>
      </w:r>
      <w:r>
        <w:tab/>
      </w:r>
      <w:r>
        <w:fldChar w:fldCharType="begin"/>
      </w:r>
      <w:r>
        <w:instrText xml:space="preserve"> PAGEREF _Toc309309351 \h </w:instrText>
      </w:r>
      <w:r>
        <w:fldChar w:fldCharType="separate"/>
      </w:r>
      <w:r>
        <w:t>68</w:t>
      </w:r>
      <w:r>
        <w:fldChar w:fldCharType="end"/>
      </w:r>
    </w:p>
    <w:p>
      <w:pPr>
        <w:pStyle w:val="TOC8"/>
        <w:rPr>
          <w:sz w:val="24"/>
          <w:szCs w:val="24"/>
          <w:lang w:val="en-US"/>
        </w:rPr>
      </w:pPr>
      <w:r>
        <w:t>62</w:t>
      </w:r>
      <w:r>
        <w:rPr>
          <w:snapToGrid w:val="0"/>
        </w:rPr>
        <w:t>.</w:t>
      </w:r>
      <w:r>
        <w:rPr>
          <w:snapToGrid w:val="0"/>
        </w:rPr>
        <w:tab/>
        <w:t>Refuse etc. not to be deposited in waters etc. where fish are</w:t>
      </w:r>
      <w:r>
        <w:tab/>
      </w:r>
      <w:r>
        <w:fldChar w:fldCharType="begin"/>
      </w:r>
      <w:r>
        <w:instrText xml:space="preserve"> PAGEREF _Toc309309352 \h </w:instrText>
      </w:r>
      <w:r>
        <w:fldChar w:fldCharType="separate"/>
      </w:r>
      <w:r>
        <w:t>70</w:t>
      </w:r>
      <w:r>
        <w:fldChar w:fldCharType="end"/>
      </w:r>
    </w:p>
    <w:p>
      <w:pPr>
        <w:pStyle w:val="TOC8"/>
        <w:rPr>
          <w:sz w:val="24"/>
          <w:szCs w:val="24"/>
          <w:lang w:val="en-US"/>
        </w:rPr>
      </w:pPr>
      <w:r>
        <w:t>63</w:t>
      </w:r>
      <w:r>
        <w:rPr>
          <w:snapToGrid w:val="0"/>
        </w:rPr>
        <w:t>.</w:t>
      </w:r>
      <w:r>
        <w:rPr>
          <w:snapToGrid w:val="0"/>
        </w:rPr>
        <w:tab/>
        <w:t>Fishing gear prohibited from use in waters, possession of</w:t>
      </w:r>
      <w:r>
        <w:tab/>
      </w:r>
      <w:r>
        <w:fldChar w:fldCharType="begin"/>
      </w:r>
      <w:r>
        <w:instrText xml:space="preserve"> PAGEREF _Toc309309353 \h </w:instrText>
      </w:r>
      <w:r>
        <w:fldChar w:fldCharType="separate"/>
      </w:r>
      <w:r>
        <w:t>70</w:t>
      </w:r>
      <w:r>
        <w:fldChar w:fldCharType="end"/>
      </w:r>
    </w:p>
    <w:p>
      <w:pPr>
        <w:pStyle w:val="TOC8"/>
        <w:rPr>
          <w:sz w:val="24"/>
          <w:szCs w:val="24"/>
          <w:lang w:val="en-US"/>
        </w:rPr>
      </w:pPr>
      <w:r>
        <w:t>64</w:t>
      </w:r>
      <w:r>
        <w:rPr>
          <w:snapToGrid w:val="0"/>
        </w:rPr>
        <w:t>.</w:t>
      </w:r>
      <w:r>
        <w:rPr>
          <w:snapToGrid w:val="0"/>
        </w:rPr>
        <w:tab/>
        <w:t>Records to be kept and returns given to Department by commercial fishers etc.</w:t>
      </w:r>
      <w:r>
        <w:tab/>
      </w:r>
      <w:r>
        <w:fldChar w:fldCharType="begin"/>
      </w:r>
      <w:r>
        <w:instrText xml:space="preserve"> PAGEREF _Toc309309354 \h </w:instrText>
      </w:r>
      <w:r>
        <w:fldChar w:fldCharType="separate"/>
      </w:r>
      <w:r>
        <w:t>71</w:t>
      </w:r>
      <w:r>
        <w:fldChar w:fldCharType="end"/>
      </w:r>
    </w:p>
    <w:p>
      <w:pPr>
        <w:pStyle w:val="TOC2"/>
        <w:tabs>
          <w:tab w:val="right" w:leader="dot" w:pos="7086"/>
        </w:tabs>
        <w:rPr>
          <w:b w:val="0"/>
          <w:sz w:val="24"/>
          <w:szCs w:val="24"/>
          <w:lang w:val="en-US"/>
        </w:rPr>
      </w:pPr>
      <w:r>
        <w:t>Part 4A</w:t>
      </w:r>
      <w:r>
        <w:rPr>
          <w:b w:val="0"/>
        </w:rPr>
        <w:t> </w:t>
      </w:r>
      <w:r>
        <w:t>—</w:t>
      </w:r>
      <w:r>
        <w:rPr>
          <w:b w:val="0"/>
        </w:rPr>
        <w:t> </w:t>
      </w:r>
      <w:r>
        <w:t>Requirements regarding fishing gear</w:t>
      </w:r>
    </w:p>
    <w:p>
      <w:pPr>
        <w:pStyle w:val="TOC4"/>
        <w:tabs>
          <w:tab w:val="right" w:leader="dot" w:pos="7086"/>
        </w:tabs>
        <w:rPr>
          <w:b w:val="0"/>
          <w:sz w:val="24"/>
          <w:szCs w:val="24"/>
          <w:lang w:val="en-US"/>
        </w:rPr>
      </w:pPr>
      <w:r>
        <w:t>Division 1 — Preliminary</w:t>
      </w:r>
    </w:p>
    <w:p>
      <w:pPr>
        <w:pStyle w:val="TOC8"/>
        <w:rPr>
          <w:sz w:val="24"/>
          <w:szCs w:val="24"/>
          <w:lang w:val="en-US"/>
        </w:rPr>
      </w:pPr>
      <w:r>
        <w:t>64A.</w:t>
      </w:r>
      <w:r>
        <w:tab/>
        <w:t>Order of precedence of Div. 2, 3 and 4</w:t>
      </w:r>
      <w:r>
        <w:tab/>
      </w:r>
      <w:r>
        <w:fldChar w:fldCharType="begin"/>
      </w:r>
      <w:r>
        <w:instrText xml:space="preserve"> PAGEREF _Toc309309357 \h </w:instrText>
      </w:r>
      <w:r>
        <w:fldChar w:fldCharType="separate"/>
      </w:r>
      <w:r>
        <w:t>75</w:t>
      </w:r>
      <w:r>
        <w:fldChar w:fldCharType="end"/>
      </w:r>
    </w:p>
    <w:p>
      <w:pPr>
        <w:pStyle w:val="TOC8"/>
        <w:rPr>
          <w:sz w:val="24"/>
          <w:szCs w:val="24"/>
          <w:lang w:val="en-US"/>
        </w:rPr>
      </w:pPr>
      <w:r>
        <w:t>64B.</w:t>
      </w:r>
      <w:r>
        <w:tab/>
        <w:t>Term used: attend</w:t>
      </w:r>
      <w:r>
        <w:tab/>
      </w:r>
      <w:r>
        <w:fldChar w:fldCharType="begin"/>
      </w:r>
      <w:r>
        <w:instrText xml:space="preserve"> PAGEREF _Toc309309358 \h </w:instrText>
      </w:r>
      <w:r>
        <w:fldChar w:fldCharType="separate"/>
      </w:r>
      <w:r>
        <w:t>75</w:t>
      </w:r>
      <w:r>
        <w:fldChar w:fldCharType="end"/>
      </w:r>
    </w:p>
    <w:p>
      <w:pPr>
        <w:pStyle w:val="TOC4"/>
        <w:tabs>
          <w:tab w:val="right" w:leader="dot" w:pos="7086"/>
        </w:tabs>
        <w:rPr>
          <w:b w:val="0"/>
          <w:sz w:val="24"/>
          <w:szCs w:val="24"/>
          <w:lang w:val="en-US"/>
        </w:rPr>
      </w:pPr>
      <w:r>
        <w:t>Division 2 — Statewide requirements regarding fishing gear</w:t>
      </w:r>
    </w:p>
    <w:p>
      <w:pPr>
        <w:pStyle w:val="TOC8"/>
        <w:rPr>
          <w:sz w:val="24"/>
          <w:szCs w:val="24"/>
          <w:lang w:val="en-US"/>
        </w:rPr>
      </w:pPr>
      <w:r>
        <w:t>64C.</w:t>
      </w:r>
      <w:r>
        <w:tab/>
        <w:t>Fishing lines in use for recreational fishing must be attended</w:t>
      </w:r>
      <w:r>
        <w:tab/>
      </w:r>
      <w:r>
        <w:fldChar w:fldCharType="begin"/>
      </w:r>
      <w:r>
        <w:instrText xml:space="preserve"> PAGEREF _Toc309309360 \h </w:instrText>
      </w:r>
      <w:r>
        <w:fldChar w:fldCharType="separate"/>
      </w:r>
      <w:r>
        <w:t>75</w:t>
      </w:r>
      <w:r>
        <w:fldChar w:fldCharType="end"/>
      </w:r>
    </w:p>
    <w:p>
      <w:pPr>
        <w:pStyle w:val="TOC8"/>
        <w:rPr>
          <w:sz w:val="24"/>
          <w:szCs w:val="24"/>
          <w:lang w:val="en-US"/>
        </w:rPr>
      </w:pPr>
      <w:r>
        <w:t>64D.</w:t>
      </w:r>
      <w:r>
        <w:tab/>
        <w:t>Nets, determining length, depth and mesh of</w:t>
      </w:r>
      <w:r>
        <w:tab/>
      </w:r>
      <w:r>
        <w:fldChar w:fldCharType="begin"/>
      </w:r>
      <w:r>
        <w:instrText xml:space="preserve"> PAGEREF _Toc309309361 \h </w:instrText>
      </w:r>
      <w:r>
        <w:fldChar w:fldCharType="separate"/>
      </w:r>
      <w:r>
        <w:t>76</w:t>
      </w:r>
      <w:r>
        <w:fldChar w:fldCharType="end"/>
      </w:r>
    </w:p>
    <w:p>
      <w:pPr>
        <w:pStyle w:val="TOC8"/>
        <w:rPr>
          <w:sz w:val="24"/>
          <w:szCs w:val="24"/>
          <w:lang w:val="en-US"/>
        </w:rPr>
      </w:pPr>
      <w:r>
        <w:t>64DA.</w:t>
      </w:r>
      <w:r>
        <w:tab/>
        <w:t>Hauling nets not to be used for recreational fishing beyond 800 m offshore</w:t>
      </w:r>
      <w:r>
        <w:tab/>
      </w:r>
      <w:r>
        <w:fldChar w:fldCharType="begin"/>
      </w:r>
      <w:r>
        <w:instrText xml:space="preserve"> PAGEREF _Toc309309362 \h </w:instrText>
      </w:r>
      <w:r>
        <w:fldChar w:fldCharType="separate"/>
      </w:r>
      <w:r>
        <w:t>76</w:t>
      </w:r>
      <w:r>
        <w:fldChar w:fldCharType="end"/>
      </w:r>
    </w:p>
    <w:p>
      <w:pPr>
        <w:pStyle w:val="TOC8"/>
        <w:rPr>
          <w:sz w:val="24"/>
          <w:szCs w:val="24"/>
          <w:lang w:val="en-US"/>
        </w:rPr>
      </w:pPr>
      <w:r>
        <w:t>64E.</w:t>
      </w:r>
      <w:r>
        <w:tab/>
        <w:t>Lines etc. used for recreational fishing, limit on number of</w:t>
      </w:r>
      <w:r>
        <w:tab/>
      </w:r>
      <w:r>
        <w:fldChar w:fldCharType="begin"/>
      </w:r>
      <w:r>
        <w:instrText xml:space="preserve"> PAGEREF _Toc309309363 \h </w:instrText>
      </w:r>
      <w:r>
        <w:fldChar w:fldCharType="separate"/>
      </w:r>
      <w:r>
        <w:t>77</w:t>
      </w:r>
      <w:r>
        <w:fldChar w:fldCharType="end"/>
      </w:r>
    </w:p>
    <w:p>
      <w:pPr>
        <w:pStyle w:val="TOC8"/>
        <w:rPr>
          <w:sz w:val="24"/>
          <w:szCs w:val="24"/>
          <w:lang w:val="en-US"/>
        </w:rPr>
      </w:pPr>
      <w:r>
        <w:t>64F.</w:t>
      </w:r>
      <w:r>
        <w:tab/>
        <w:t>Fishing nets, general requirements for</w:t>
      </w:r>
      <w:r>
        <w:tab/>
      </w:r>
      <w:r>
        <w:fldChar w:fldCharType="begin"/>
      </w:r>
      <w:r>
        <w:instrText xml:space="preserve"> PAGEREF _Toc309309364 \h </w:instrText>
      </w:r>
      <w:r>
        <w:fldChar w:fldCharType="separate"/>
      </w:r>
      <w:r>
        <w:t>77</w:t>
      </w:r>
      <w:r>
        <w:fldChar w:fldCharType="end"/>
      </w:r>
    </w:p>
    <w:p>
      <w:pPr>
        <w:pStyle w:val="TOC8"/>
        <w:rPr>
          <w:sz w:val="24"/>
          <w:szCs w:val="24"/>
          <w:lang w:val="en-US"/>
        </w:rPr>
      </w:pPr>
      <w:r>
        <w:t>64G.</w:t>
      </w:r>
      <w:r>
        <w:tab/>
        <w:t>Fishing nets, minimum distance between when set</w:t>
      </w:r>
      <w:r>
        <w:tab/>
      </w:r>
      <w:r>
        <w:fldChar w:fldCharType="begin"/>
      </w:r>
      <w:r>
        <w:instrText xml:space="preserve"> PAGEREF _Toc309309365 \h </w:instrText>
      </w:r>
      <w:r>
        <w:fldChar w:fldCharType="separate"/>
      </w:r>
      <w:r>
        <w:t>79</w:t>
      </w:r>
      <w:r>
        <w:fldChar w:fldCharType="end"/>
      </w:r>
    </w:p>
    <w:p>
      <w:pPr>
        <w:pStyle w:val="TOC8"/>
        <w:rPr>
          <w:sz w:val="24"/>
          <w:szCs w:val="24"/>
          <w:lang w:val="en-US"/>
        </w:rPr>
      </w:pPr>
      <w:r>
        <w:t>64H.</w:t>
      </w:r>
      <w:r>
        <w:tab/>
        <w:t>Fishing nets to be drawn so as to protect protected fish</w:t>
      </w:r>
      <w:r>
        <w:tab/>
      </w:r>
      <w:r>
        <w:fldChar w:fldCharType="begin"/>
      </w:r>
      <w:r>
        <w:instrText xml:space="preserve"> PAGEREF _Toc309309366 \h </w:instrText>
      </w:r>
      <w:r>
        <w:fldChar w:fldCharType="separate"/>
      </w:r>
      <w:r>
        <w:t>79</w:t>
      </w:r>
      <w:r>
        <w:fldChar w:fldCharType="end"/>
      </w:r>
    </w:p>
    <w:p>
      <w:pPr>
        <w:pStyle w:val="TOC8"/>
        <w:rPr>
          <w:sz w:val="24"/>
          <w:szCs w:val="24"/>
          <w:lang w:val="en-US"/>
        </w:rPr>
      </w:pPr>
      <w:r>
        <w:t>64I.</w:t>
      </w:r>
      <w:r>
        <w:tab/>
        <w:t>Net fishing by commercial fishers in same area, priority rights between</w:t>
      </w:r>
      <w:r>
        <w:tab/>
      </w:r>
      <w:r>
        <w:fldChar w:fldCharType="begin"/>
      </w:r>
      <w:r>
        <w:instrText xml:space="preserve"> PAGEREF _Toc309309367 \h </w:instrText>
      </w:r>
      <w:r>
        <w:fldChar w:fldCharType="separate"/>
      </w:r>
      <w:r>
        <w:t>79</w:t>
      </w:r>
      <w:r>
        <w:fldChar w:fldCharType="end"/>
      </w:r>
    </w:p>
    <w:p>
      <w:pPr>
        <w:pStyle w:val="TOC8"/>
        <w:rPr>
          <w:sz w:val="24"/>
          <w:szCs w:val="24"/>
          <w:lang w:val="en-US"/>
        </w:rPr>
      </w:pPr>
      <w:r>
        <w:t>64J.</w:t>
      </w:r>
      <w:r>
        <w:tab/>
        <w:t>Fishing nets, restrictions on use of for recreational fishing</w:t>
      </w:r>
      <w:r>
        <w:tab/>
      </w:r>
      <w:r>
        <w:fldChar w:fldCharType="begin"/>
      </w:r>
      <w:r>
        <w:instrText xml:space="preserve"> PAGEREF _Toc309309368 \h </w:instrText>
      </w:r>
      <w:r>
        <w:fldChar w:fldCharType="separate"/>
      </w:r>
      <w:r>
        <w:t>82</w:t>
      </w:r>
      <w:r>
        <w:fldChar w:fldCharType="end"/>
      </w:r>
    </w:p>
    <w:p>
      <w:pPr>
        <w:pStyle w:val="TOC8"/>
        <w:rPr>
          <w:sz w:val="24"/>
          <w:szCs w:val="24"/>
          <w:lang w:val="en-US"/>
        </w:rPr>
      </w:pPr>
      <w:r>
        <w:t>64K.</w:t>
      </w:r>
      <w:r>
        <w:tab/>
        <w:t>Hauling nets not to be used for recreational fishing in estuaries etc.</w:t>
      </w:r>
      <w:r>
        <w:tab/>
      </w:r>
      <w:r>
        <w:fldChar w:fldCharType="begin"/>
      </w:r>
      <w:r>
        <w:instrText xml:space="preserve"> PAGEREF _Toc309309369 \h </w:instrText>
      </w:r>
      <w:r>
        <w:fldChar w:fldCharType="separate"/>
      </w:r>
      <w:r>
        <w:t>82</w:t>
      </w:r>
      <w:r>
        <w:fldChar w:fldCharType="end"/>
      </w:r>
    </w:p>
    <w:p>
      <w:pPr>
        <w:pStyle w:val="TOC8"/>
        <w:rPr>
          <w:sz w:val="24"/>
          <w:szCs w:val="24"/>
          <w:lang w:val="en-US"/>
        </w:rPr>
      </w:pPr>
      <w:r>
        <w:t>64L.</w:t>
      </w:r>
      <w:r>
        <w:tab/>
        <w:t>Crabs, permitted ways to fish for by recreational fishers</w:t>
      </w:r>
      <w:r>
        <w:tab/>
      </w:r>
      <w:r>
        <w:fldChar w:fldCharType="begin"/>
      </w:r>
      <w:r>
        <w:instrText xml:space="preserve"> PAGEREF _Toc309309370 \h </w:instrText>
      </w:r>
      <w:r>
        <w:fldChar w:fldCharType="separate"/>
      </w:r>
      <w:r>
        <w:t>83</w:t>
      </w:r>
      <w:r>
        <w:fldChar w:fldCharType="end"/>
      </w:r>
    </w:p>
    <w:p>
      <w:pPr>
        <w:pStyle w:val="TOC4"/>
        <w:tabs>
          <w:tab w:val="right" w:leader="dot" w:pos="7086"/>
        </w:tabs>
        <w:rPr>
          <w:b w:val="0"/>
          <w:sz w:val="24"/>
          <w:szCs w:val="24"/>
          <w:lang w:val="en-US"/>
        </w:rPr>
      </w:pPr>
      <w:r>
        <w:t>Division 3 — Requirements regarding fishing gear in the West Coast Region</w:t>
      </w:r>
    </w:p>
    <w:p>
      <w:pPr>
        <w:pStyle w:val="TOC8"/>
        <w:rPr>
          <w:sz w:val="24"/>
          <w:szCs w:val="24"/>
          <w:lang w:val="en-US"/>
        </w:rPr>
      </w:pPr>
      <w:r>
        <w:t>64M.</w:t>
      </w:r>
      <w:r>
        <w:tab/>
        <w:t>Term used: attend</w:t>
      </w:r>
      <w:r>
        <w:tab/>
      </w:r>
      <w:r>
        <w:fldChar w:fldCharType="begin"/>
      </w:r>
      <w:r>
        <w:instrText xml:space="preserve"> PAGEREF _Toc309309372 \h </w:instrText>
      </w:r>
      <w:r>
        <w:fldChar w:fldCharType="separate"/>
      </w:r>
      <w:r>
        <w:t>84</w:t>
      </w:r>
      <w:r>
        <w:fldChar w:fldCharType="end"/>
      </w:r>
    </w:p>
    <w:p>
      <w:pPr>
        <w:pStyle w:val="TOC8"/>
        <w:rPr>
          <w:sz w:val="24"/>
          <w:szCs w:val="24"/>
          <w:lang w:val="en-US"/>
        </w:rPr>
      </w:pPr>
      <w:r>
        <w:t>64N.</w:t>
      </w:r>
      <w:r>
        <w:tab/>
        <w:t>Application of this Division</w:t>
      </w:r>
      <w:r>
        <w:tab/>
      </w:r>
      <w:r>
        <w:fldChar w:fldCharType="begin"/>
      </w:r>
      <w:r>
        <w:instrText xml:space="preserve"> PAGEREF _Toc309309373 \h </w:instrText>
      </w:r>
      <w:r>
        <w:fldChar w:fldCharType="separate"/>
      </w:r>
      <w:r>
        <w:t>84</w:t>
      </w:r>
      <w:r>
        <w:fldChar w:fldCharType="end"/>
      </w:r>
    </w:p>
    <w:p>
      <w:pPr>
        <w:pStyle w:val="TOC8"/>
        <w:rPr>
          <w:sz w:val="24"/>
          <w:szCs w:val="24"/>
          <w:lang w:val="en-US"/>
        </w:rPr>
      </w:pPr>
      <w:r>
        <w:t>64NA.</w:t>
      </w:r>
      <w:r>
        <w:tab/>
        <w:t>Prawn hand trawl nets not to be used in certain places</w:t>
      </w:r>
      <w:r>
        <w:tab/>
      </w:r>
      <w:r>
        <w:fldChar w:fldCharType="begin"/>
      </w:r>
      <w:r>
        <w:instrText xml:space="preserve"> PAGEREF _Toc309309374 \h </w:instrText>
      </w:r>
      <w:r>
        <w:fldChar w:fldCharType="separate"/>
      </w:r>
      <w:r>
        <w:t>84</w:t>
      </w:r>
      <w:r>
        <w:fldChar w:fldCharType="end"/>
      </w:r>
    </w:p>
    <w:p>
      <w:pPr>
        <w:pStyle w:val="TOC8"/>
        <w:rPr>
          <w:sz w:val="24"/>
          <w:szCs w:val="24"/>
          <w:lang w:val="en-US"/>
        </w:rPr>
      </w:pPr>
      <w:r>
        <w:t>64O.</w:t>
      </w:r>
      <w:r>
        <w:tab/>
        <w:t>Set fishing nets, use of</w:t>
      </w:r>
      <w:r>
        <w:tab/>
      </w:r>
      <w:r>
        <w:fldChar w:fldCharType="begin"/>
      </w:r>
      <w:r>
        <w:instrText xml:space="preserve"> PAGEREF _Toc309309375 \h </w:instrText>
      </w:r>
      <w:r>
        <w:fldChar w:fldCharType="separate"/>
      </w:r>
      <w:r>
        <w:t>84</w:t>
      </w:r>
      <w:r>
        <w:fldChar w:fldCharType="end"/>
      </w:r>
    </w:p>
    <w:p>
      <w:pPr>
        <w:pStyle w:val="TOC8"/>
        <w:rPr>
          <w:sz w:val="24"/>
          <w:szCs w:val="24"/>
          <w:lang w:val="en-US"/>
        </w:rPr>
      </w:pPr>
      <w:r>
        <w:t>64OAA.</w:t>
      </w:r>
      <w:r>
        <w:tab/>
        <w:t>Release weight to be on boat used to fish for demersal scalefish</w:t>
      </w:r>
      <w:r>
        <w:tab/>
      </w:r>
      <w:r>
        <w:fldChar w:fldCharType="begin"/>
      </w:r>
      <w:r>
        <w:instrText xml:space="preserve"> PAGEREF _Toc309309376 \h </w:instrText>
      </w:r>
      <w:r>
        <w:fldChar w:fldCharType="separate"/>
      </w:r>
      <w:r>
        <w:t>85</w:t>
      </w:r>
      <w:r>
        <w:fldChar w:fldCharType="end"/>
      </w:r>
    </w:p>
    <w:p>
      <w:pPr>
        <w:pStyle w:val="TOC4"/>
        <w:tabs>
          <w:tab w:val="right" w:leader="dot" w:pos="7086"/>
        </w:tabs>
        <w:rPr>
          <w:b w:val="0"/>
          <w:sz w:val="24"/>
          <w:szCs w:val="24"/>
          <w:lang w:val="en-US"/>
        </w:rPr>
      </w:pPr>
      <w:r>
        <w:t>Division 3A — Requirements regarding fishing gear in the Pilbara and Kimberley Region</w:t>
      </w:r>
    </w:p>
    <w:p>
      <w:pPr>
        <w:pStyle w:val="TOC8"/>
        <w:rPr>
          <w:sz w:val="24"/>
          <w:szCs w:val="24"/>
          <w:lang w:val="en-US"/>
        </w:rPr>
      </w:pPr>
      <w:r>
        <w:t>64OA.</w:t>
      </w:r>
      <w:r>
        <w:tab/>
        <w:t>Application of this Division</w:t>
      </w:r>
      <w:r>
        <w:tab/>
      </w:r>
      <w:r>
        <w:fldChar w:fldCharType="begin"/>
      </w:r>
      <w:r>
        <w:instrText xml:space="preserve"> PAGEREF _Toc309309378 \h </w:instrText>
      </w:r>
      <w:r>
        <w:fldChar w:fldCharType="separate"/>
      </w:r>
      <w:r>
        <w:t>86</w:t>
      </w:r>
      <w:r>
        <w:fldChar w:fldCharType="end"/>
      </w:r>
    </w:p>
    <w:p>
      <w:pPr>
        <w:pStyle w:val="TOC8"/>
        <w:rPr>
          <w:sz w:val="24"/>
          <w:szCs w:val="24"/>
          <w:lang w:val="en-US"/>
        </w:rPr>
      </w:pPr>
      <w:r>
        <w:t>64OB.</w:t>
      </w:r>
      <w:r>
        <w:tab/>
        <w:t>Haul nets, restrictions on use of</w:t>
      </w:r>
      <w:r>
        <w:tab/>
      </w:r>
      <w:r>
        <w:fldChar w:fldCharType="begin"/>
      </w:r>
      <w:r>
        <w:instrText xml:space="preserve"> PAGEREF _Toc309309379 \h </w:instrText>
      </w:r>
      <w:r>
        <w:fldChar w:fldCharType="separate"/>
      </w:r>
      <w:r>
        <w:t>86</w:t>
      </w:r>
      <w:r>
        <w:fldChar w:fldCharType="end"/>
      </w:r>
    </w:p>
    <w:p>
      <w:pPr>
        <w:pStyle w:val="TOC4"/>
        <w:tabs>
          <w:tab w:val="right" w:leader="dot" w:pos="7086"/>
        </w:tabs>
        <w:rPr>
          <w:b w:val="0"/>
          <w:sz w:val="24"/>
          <w:szCs w:val="24"/>
          <w:lang w:val="en-US"/>
        </w:rPr>
      </w:pPr>
      <w:r>
        <w:t>Division 3B — Requirements regarding fishing gear in the South Coast Region</w:t>
      </w:r>
    </w:p>
    <w:p>
      <w:pPr>
        <w:pStyle w:val="TOC8"/>
        <w:rPr>
          <w:sz w:val="24"/>
          <w:szCs w:val="24"/>
          <w:lang w:val="en-US"/>
        </w:rPr>
      </w:pPr>
      <w:r>
        <w:t>64OC.</w:t>
      </w:r>
      <w:r>
        <w:tab/>
        <w:t>Application of this Division</w:t>
      </w:r>
      <w:r>
        <w:tab/>
      </w:r>
      <w:r>
        <w:fldChar w:fldCharType="begin"/>
      </w:r>
      <w:r>
        <w:instrText xml:space="preserve"> PAGEREF _Toc309309381 \h </w:instrText>
      </w:r>
      <w:r>
        <w:fldChar w:fldCharType="separate"/>
      </w:r>
      <w:r>
        <w:t>87</w:t>
      </w:r>
      <w:r>
        <w:fldChar w:fldCharType="end"/>
      </w:r>
    </w:p>
    <w:p>
      <w:pPr>
        <w:pStyle w:val="TOC8"/>
        <w:rPr>
          <w:sz w:val="24"/>
          <w:szCs w:val="24"/>
          <w:lang w:val="en-US"/>
        </w:rPr>
      </w:pPr>
      <w:r>
        <w:t>64OD.</w:t>
      </w:r>
      <w:r>
        <w:tab/>
        <w:t>Set fishing nets, restrictions on use of</w:t>
      </w:r>
      <w:r>
        <w:tab/>
      </w:r>
      <w:r>
        <w:fldChar w:fldCharType="begin"/>
      </w:r>
      <w:r>
        <w:instrText xml:space="preserve"> PAGEREF _Toc309309382 \h </w:instrText>
      </w:r>
      <w:r>
        <w:fldChar w:fldCharType="separate"/>
      </w:r>
      <w:r>
        <w:t>87</w:t>
      </w:r>
      <w:r>
        <w:fldChar w:fldCharType="end"/>
      </w:r>
    </w:p>
    <w:p>
      <w:pPr>
        <w:pStyle w:val="TOC8"/>
        <w:rPr>
          <w:sz w:val="24"/>
          <w:szCs w:val="24"/>
          <w:lang w:val="en-US"/>
        </w:rPr>
      </w:pPr>
      <w:r>
        <w:t>64OE.</w:t>
      </w:r>
      <w:r>
        <w:tab/>
        <w:t>Throw nets, restrictions on use of</w:t>
      </w:r>
      <w:r>
        <w:tab/>
      </w:r>
      <w:r>
        <w:fldChar w:fldCharType="begin"/>
      </w:r>
      <w:r>
        <w:instrText xml:space="preserve"> PAGEREF _Toc309309383 \h </w:instrText>
      </w:r>
      <w:r>
        <w:fldChar w:fldCharType="separate"/>
      </w:r>
      <w:r>
        <w:t>88</w:t>
      </w:r>
      <w:r>
        <w:fldChar w:fldCharType="end"/>
      </w:r>
    </w:p>
    <w:p>
      <w:pPr>
        <w:pStyle w:val="TOC4"/>
        <w:tabs>
          <w:tab w:val="right" w:leader="dot" w:pos="7086"/>
        </w:tabs>
        <w:rPr>
          <w:b w:val="0"/>
          <w:sz w:val="24"/>
          <w:szCs w:val="24"/>
          <w:lang w:val="en-US"/>
        </w:rPr>
      </w:pPr>
      <w:r>
        <w:t>Division 4 — Requirements regarding fishing gear in certain other areas</w:t>
      </w:r>
    </w:p>
    <w:p>
      <w:pPr>
        <w:pStyle w:val="TOC8"/>
        <w:rPr>
          <w:sz w:val="24"/>
          <w:szCs w:val="24"/>
          <w:lang w:val="en-US"/>
        </w:rPr>
      </w:pPr>
      <w:r>
        <w:t>64P.</w:t>
      </w:r>
      <w:r>
        <w:tab/>
        <w:t>Prawn hand trawl nets in Swan River and Leschenault Estuary</w:t>
      </w:r>
      <w:r>
        <w:tab/>
      </w:r>
      <w:r>
        <w:fldChar w:fldCharType="begin"/>
      </w:r>
      <w:r>
        <w:instrText xml:space="preserve"> PAGEREF _Toc309309385 \h </w:instrText>
      </w:r>
      <w:r>
        <w:fldChar w:fldCharType="separate"/>
      </w:r>
      <w:r>
        <w:t>89</w:t>
      </w:r>
      <w:r>
        <w:fldChar w:fldCharType="end"/>
      </w:r>
    </w:p>
    <w:p>
      <w:pPr>
        <w:pStyle w:val="TOC8"/>
        <w:rPr>
          <w:sz w:val="24"/>
          <w:szCs w:val="24"/>
          <w:lang w:val="en-US"/>
        </w:rPr>
      </w:pPr>
      <w:r>
        <w:t>64Q.</w:t>
      </w:r>
      <w:r>
        <w:tab/>
        <w:t>Fishing nets, restrictions on use of etc. by commercial fishers in certain areas</w:t>
      </w:r>
      <w:r>
        <w:tab/>
      </w:r>
      <w:r>
        <w:fldChar w:fldCharType="begin"/>
      </w:r>
      <w:r>
        <w:instrText xml:space="preserve"> PAGEREF _Toc309309386 \h </w:instrText>
      </w:r>
      <w:r>
        <w:fldChar w:fldCharType="separate"/>
      </w:r>
      <w:r>
        <w:t>89</w:t>
      </w:r>
      <w:r>
        <w:fldChar w:fldCharType="end"/>
      </w:r>
    </w:p>
    <w:p>
      <w:pPr>
        <w:pStyle w:val="TOC8"/>
        <w:rPr>
          <w:sz w:val="24"/>
          <w:szCs w:val="24"/>
          <w:lang w:val="en-US"/>
        </w:rPr>
      </w:pPr>
      <w:r>
        <w:t>64S.</w:t>
      </w:r>
      <w:r>
        <w:tab/>
        <w:t>Possession of certain fishing gear prohibited near certain rivers and dams</w:t>
      </w:r>
      <w:r>
        <w:tab/>
      </w:r>
      <w:r>
        <w:fldChar w:fldCharType="begin"/>
      </w:r>
      <w:r>
        <w:instrText xml:space="preserve"> PAGEREF _Toc309309387 \h </w:instrText>
      </w:r>
      <w:r>
        <w:fldChar w:fldCharType="separate"/>
      </w:r>
      <w:r>
        <w:t>90</w:t>
      </w:r>
      <w:r>
        <w:fldChar w:fldCharType="end"/>
      </w:r>
    </w:p>
    <w:p>
      <w:pPr>
        <w:pStyle w:val="TOC8"/>
        <w:rPr>
          <w:sz w:val="24"/>
          <w:szCs w:val="24"/>
          <w:lang w:val="en-US"/>
        </w:rPr>
      </w:pPr>
      <w:r>
        <w:t>64T.</w:t>
      </w:r>
      <w:r>
        <w:tab/>
        <w:t>Landing nets, use of in certain rivers and dams</w:t>
      </w:r>
      <w:r>
        <w:tab/>
      </w:r>
      <w:r>
        <w:fldChar w:fldCharType="begin"/>
      </w:r>
      <w:r>
        <w:instrText xml:space="preserve"> PAGEREF _Toc309309388 \h </w:instrText>
      </w:r>
      <w:r>
        <w:fldChar w:fldCharType="separate"/>
      </w:r>
      <w:r>
        <w:t>92</w:t>
      </w:r>
      <w:r>
        <w:fldChar w:fldCharType="end"/>
      </w:r>
    </w:p>
    <w:p>
      <w:pPr>
        <w:pStyle w:val="TOC2"/>
        <w:tabs>
          <w:tab w:val="right" w:leader="dot" w:pos="7086"/>
        </w:tabs>
        <w:rPr>
          <w:b w:val="0"/>
          <w:sz w:val="24"/>
          <w:szCs w:val="24"/>
          <w:lang w:val="en-US"/>
        </w:rPr>
      </w:pPr>
      <w:r>
        <w:t>Part 4B</w:t>
      </w:r>
      <w:r>
        <w:rPr>
          <w:b w:val="0"/>
        </w:rPr>
        <w:t> </w:t>
      </w:r>
      <w:r>
        <w:t>—</w:t>
      </w:r>
      <w:r>
        <w:rPr>
          <w:b w:val="0"/>
        </w:rPr>
        <w:t> </w:t>
      </w:r>
      <w:r>
        <w:t>Bag limits</w:t>
      </w:r>
    </w:p>
    <w:p>
      <w:pPr>
        <w:pStyle w:val="TOC4"/>
        <w:tabs>
          <w:tab w:val="right" w:leader="dot" w:pos="7086"/>
        </w:tabs>
        <w:rPr>
          <w:b w:val="0"/>
          <w:sz w:val="24"/>
          <w:szCs w:val="24"/>
          <w:lang w:val="en-US"/>
        </w:rPr>
      </w:pPr>
      <w:r>
        <w:t>Division 1 — Preliminary</w:t>
      </w:r>
    </w:p>
    <w:p>
      <w:pPr>
        <w:pStyle w:val="TOC8"/>
        <w:rPr>
          <w:sz w:val="24"/>
          <w:szCs w:val="24"/>
          <w:lang w:val="en-US"/>
        </w:rPr>
      </w:pPr>
      <w:r>
        <w:t>64V.</w:t>
      </w:r>
      <w:r>
        <w:tab/>
        <w:t>Bag limits for regions subject to more specific bag limits</w:t>
      </w:r>
      <w:r>
        <w:tab/>
      </w:r>
      <w:r>
        <w:fldChar w:fldCharType="begin"/>
      </w:r>
      <w:r>
        <w:instrText xml:space="preserve"> PAGEREF _Toc309309391 \h </w:instrText>
      </w:r>
      <w:r>
        <w:fldChar w:fldCharType="separate"/>
      </w:r>
      <w:r>
        <w:t>94</w:t>
      </w:r>
      <w:r>
        <w:fldChar w:fldCharType="end"/>
      </w:r>
    </w:p>
    <w:p>
      <w:pPr>
        <w:pStyle w:val="TOC8"/>
        <w:rPr>
          <w:sz w:val="24"/>
          <w:szCs w:val="24"/>
          <w:lang w:val="en-US"/>
        </w:rPr>
      </w:pPr>
      <w:r>
        <w:t>64W.</w:t>
      </w:r>
      <w:r>
        <w:tab/>
        <w:t>Defences prescribed (Act s. 50)</w:t>
      </w:r>
      <w:r>
        <w:tab/>
      </w:r>
      <w:r>
        <w:fldChar w:fldCharType="begin"/>
      </w:r>
      <w:r>
        <w:instrText xml:space="preserve"> PAGEREF _Toc309309392 \h </w:instrText>
      </w:r>
      <w:r>
        <w:fldChar w:fldCharType="separate"/>
      </w:r>
      <w:r>
        <w:t>94</w:t>
      </w:r>
      <w:r>
        <w:fldChar w:fldCharType="end"/>
      </w:r>
    </w:p>
    <w:p>
      <w:pPr>
        <w:pStyle w:val="TOC8"/>
        <w:rPr>
          <w:sz w:val="24"/>
          <w:szCs w:val="24"/>
          <w:lang w:val="en-US"/>
        </w:rPr>
      </w:pPr>
      <w:r>
        <w:t>64X.</w:t>
      </w:r>
      <w:r>
        <w:tab/>
        <w:t>Bag limit for area applies to area where fish taken, landed or brought into WA waters</w:t>
      </w:r>
      <w:r>
        <w:tab/>
      </w:r>
      <w:r>
        <w:fldChar w:fldCharType="begin"/>
      </w:r>
      <w:r>
        <w:instrText xml:space="preserve"> PAGEREF _Toc309309393 \h </w:instrText>
      </w:r>
      <w:r>
        <w:fldChar w:fldCharType="separate"/>
      </w:r>
      <w:r>
        <w:t>95</w:t>
      </w:r>
      <w:r>
        <w:fldChar w:fldCharType="end"/>
      </w:r>
    </w:p>
    <w:p>
      <w:pPr>
        <w:pStyle w:val="TOC4"/>
        <w:tabs>
          <w:tab w:val="right" w:leader="dot" w:pos="7086"/>
        </w:tabs>
        <w:rPr>
          <w:b w:val="0"/>
          <w:sz w:val="24"/>
          <w:szCs w:val="24"/>
          <w:lang w:val="en-US"/>
        </w:rPr>
      </w:pPr>
      <w:r>
        <w:t>Division 2 — Bag limits for regions</w:t>
      </w:r>
    </w:p>
    <w:p>
      <w:pPr>
        <w:pStyle w:val="TOC6"/>
        <w:tabs>
          <w:tab w:val="right" w:leader="dot" w:pos="7086"/>
        </w:tabs>
        <w:rPr>
          <w:b w:val="0"/>
          <w:sz w:val="24"/>
          <w:szCs w:val="24"/>
          <w:lang w:val="en-US"/>
        </w:rPr>
      </w:pPr>
      <w:r>
        <w:t>Subdivision 1 — Bag limits for the Gascoyne Region</w:t>
      </w:r>
    </w:p>
    <w:p>
      <w:pPr>
        <w:pStyle w:val="TOC8"/>
        <w:rPr>
          <w:sz w:val="24"/>
          <w:szCs w:val="24"/>
          <w:lang w:val="en-US"/>
        </w:rPr>
      </w:pPr>
      <w:r>
        <w:t>64Y</w:t>
      </w:r>
      <w:r>
        <w:rPr>
          <w:snapToGrid w:val="0"/>
        </w:rPr>
        <w:t>.</w:t>
      </w:r>
      <w:r>
        <w:rPr>
          <w:snapToGrid w:val="0"/>
        </w:rPr>
        <w:tab/>
        <w:t>Gascoyne Region, bag limits</w:t>
      </w:r>
      <w:r>
        <w:tab/>
      </w:r>
      <w:r>
        <w:fldChar w:fldCharType="begin"/>
      </w:r>
      <w:r>
        <w:instrText xml:space="preserve"> PAGEREF _Toc309309396 \h </w:instrText>
      </w:r>
      <w:r>
        <w:fldChar w:fldCharType="separate"/>
      </w:r>
      <w:r>
        <w:t>95</w:t>
      </w:r>
      <w:r>
        <w:fldChar w:fldCharType="end"/>
      </w:r>
    </w:p>
    <w:p>
      <w:pPr>
        <w:pStyle w:val="TOC6"/>
        <w:tabs>
          <w:tab w:val="right" w:leader="dot" w:pos="7086"/>
        </w:tabs>
        <w:rPr>
          <w:b w:val="0"/>
          <w:sz w:val="24"/>
          <w:szCs w:val="24"/>
          <w:lang w:val="en-US"/>
        </w:rPr>
      </w:pPr>
      <w:r>
        <w:rPr>
          <w:snapToGrid w:val="0"/>
        </w:rPr>
        <w:t>Subdivision 2 — Bag limits for the Pilbara and Kimberley Region</w:t>
      </w:r>
    </w:p>
    <w:p>
      <w:pPr>
        <w:pStyle w:val="TOC8"/>
        <w:rPr>
          <w:sz w:val="24"/>
          <w:szCs w:val="24"/>
          <w:lang w:val="en-US"/>
        </w:rPr>
      </w:pPr>
      <w:r>
        <w:t>64Z</w:t>
      </w:r>
      <w:r>
        <w:rPr>
          <w:snapToGrid w:val="0"/>
        </w:rPr>
        <w:t>.</w:t>
      </w:r>
      <w:r>
        <w:rPr>
          <w:snapToGrid w:val="0"/>
        </w:rPr>
        <w:tab/>
        <w:t>Pilbara and Kimberley Region, bag limits</w:t>
      </w:r>
      <w:r>
        <w:tab/>
      </w:r>
      <w:r>
        <w:fldChar w:fldCharType="begin"/>
      </w:r>
      <w:r>
        <w:instrText xml:space="preserve"> PAGEREF _Toc309309398 \h </w:instrText>
      </w:r>
      <w:r>
        <w:fldChar w:fldCharType="separate"/>
      </w:r>
      <w:r>
        <w:t>96</w:t>
      </w:r>
      <w:r>
        <w:fldChar w:fldCharType="end"/>
      </w:r>
    </w:p>
    <w:p>
      <w:pPr>
        <w:pStyle w:val="TOC6"/>
        <w:tabs>
          <w:tab w:val="right" w:leader="dot" w:pos="7086"/>
        </w:tabs>
        <w:rPr>
          <w:b w:val="0"/>
          <w:sz w:val="24"/>
          <w:szCs w:val="24"/>
          <w:lang w:val="en-US"/>
        </w:rPr>
      </w:pPr>
      <w:r>
        <w:rPr>
          <w:snapToGrid w:val="0"/>
        </w:rPr>
        <w:t>Subdivision 3 — Bag limits for the West Coast Region</w:t>
      </w:r>
    </w:p>
    <w:p>
      <w:pPr>
        <w:pStyle w:val="TOC8"/>
        <w:rPr>
          <w:sz w:val="24"/>
          <w:szCs w:val="24"/>
          <w:lang w:val="en-US"/>
        </w:rPr>
      </w:pPr>
      <w:r>
        <w:t>64ZA</w:t>
      </w:r>
      <w:r>
        <w:rPr>
          <w:snapToGrid w:val="0"/>
        </w:rPr>
        <w:t>.</w:t>
      </w:r>
      <w:r>
        <w:rPr>
          <w:snapToGrid w:val="0"/>
        </w:rPr>
        <w:tab/>
        <w:t>West Coast Region, bag limits</w:t>
      </w:r>
      <w:r>
        <w:tab/>
      </w:r>
      <w:r>
        <w:fldChar w:fldCharType="begin"/>
      </w:r>
      <w:r>
        <w:instrText xml:space="preserve"> PAGEREF _Toc309309400 \h </w:instrText>
      </w:r>
      <w:r>
        <w:fldChar w:fldCharType="separate"/>
      </w:r>
      <w:r>
        <w:t>96</w:t>
      </w:r>
      <w:r>
        <w:fldChar w:fldCharType="end"/>
      </w:r>
    </w:p>
    <w:p>
      <w:pPr>
        <w:pStyle w:val="TOC6"/>
        <w:tabs>
          <w:tab w:val="right" w:leader="dot" w:pos="7086"/>
        </w:tabs>
        <w:rPr>
          <w:b w:val="0"/>
          <w:sz w:val="24"/>
          <w:szCs w:val="24"/>
          <w:lang w:val="en-US"/>
        </w:rPr>
      </w:pPr>
      <w:r>
        <w:t>Subdivision 4 — Bag limits for the South Coast Region</w:t>
      </w:r>
    </w:p>
    <w:p>
      <w:pPr>
        <w:pStyle w:val="TOC8"/>
        <w:rPr>
          <w:sz w:val="24"/>
          <w:szCs w:val="24"/>
          <w:lang w:val="en-US"/>
        </w:rPr>
      </w:pPr>
      <w:r>
        <w:t>64ZAA.</w:t>
      </w:r>
      <w:r>
        <w:tab/>
        <w:t>South Coast Region</w:t>
      </w:r>
      <w:r>
        <w:rPr>
          <w:snapToGrid w:val="0"/>
        </w:rPr>
        <w:t>, bag limits</w:t>
      </w:r>
      <w:r>
        <w:tab/>
      </w:r>
      <w:r>
        <w:fldChar w:fldCharType="begin"/>
      </w:r>
      <w:r>
        <w:instrText xml:space="preserve"> PAGEREF _Toc309309402 \h </w:instrText>
      </w:r>
      <w:r>
        <w:fldChar w:fldCharType="separate"/>
      </w:r>
      <w:r>
        <w:t>97</w:t>
      </w:r>
      <w:r>
        <w:fldChar w:fldCharType="end"/>
      </w:r>
    </w:p>
    <w:p>
      <w:pPr>
        <w:pStyle w:val="TOC4"/>
        <w:tabs>
          <w:tab w:val="right" w:leader="dot" w:pos="7086"/>
        </w:tabs>
        <w:rPr>
          <w:b w:val="0"/>
          <w:sz w:val="24"/>
          <w:szCs w:val="24"/>
          <w:lang w:val="en-US"/>
        </w:rPr>
      </w:pPr>
      <w:r>
        <w:t>Division 3 — Bag limits for certain other areas</w:t>
      </w:r>
    </w:p>
    <w:p>
      <w:pPr>
        <w:pStyle w:val="TOC6"/>
        <w:tabs>
          <w:tab w:val="right" w:leader="dot" w:pos="7086"/>
        </w:tabs>
        <w:rPr>
          <w:b w:val="0"/>
          <w:sz w:val="24"/>
          <w:szCs w:val="24"/>
          <w:lang w:val="en-US"/>
        </w:rPr>
      </w:pPr>
      <w:r>
        <w:t>Subdivision 1 — Bag limits for rock lobsters at Ningaloo</w:t>
      </w:r>
    </w:p>
    <w:p>
      <w:pPr>
        <w:pStyle w:val="TOC8"/>
        <w:rPr>
          <w:sz w:val="24"/>
          <w:szCs w:val="24"/>
          <w:lang w:val="en-US"/>
        </w:rPr>
      </w:pPr>
      <w:r>
        <w:t>64ZCA.</w:t>
      </w:r>
      <w:r>
        <w:tab/>
        <w:t>Ningaloo and Exmouth areas, bag limit for rock lobsters</w:t>
      </w:r>
      <w:r>
        <w:tab/>
      </w:r>
      <w:r>
        <w:fldChar w:fldCharType="begin"/>
      </w:r>
      <w:r>
        <w:instrText xml:space="preserve"> PAGEREF _Toc309309405 \h </w:instrText>
      </w:r>
      <w:r>
        <w:fldChar w:fldCharType="separate"/>
      </w:r>
      <w:r>
        <w:t>97</w:t>
      </w:r>
      <w:r>
        <w:fldChar w:fldCharType="end"/>
      </w:r>
    </w:p>
    <w:p>
      <w:pPr>
        <w:pStyle w:val="TOC6"/>
        <w:tabs>
          <w:tab w:val="right" w:leader="dot" w:pos="7086"/>
        </w:tabs>
        <w:rPr>
          <w:b w:val="0"/>
          <w:sz w:val="24"/>
          <w:szCs w:val="24"/>
          <w:lang w:val="en-US"/>
        </w:rPr>
      </w:pPr>
      <w:r>
        <w:t>Subdivision 2 — Bag limits for the West Coast Purse Seine Managed Fishery</w:t>
      </w:r>
    </w:p>
    <w:p>
      <w:pPr>
        <w:pStyle w:val="TOC8"/>
        <w:rPr>
          <w:sz w:val="24"/>
          <w:szCs w:val="24"/>
          <w:lang w:val="en-US"/>
        </w:rPr>
      </w:pPr>
      <w:r>
        <w:t>64ZE</w:t>
      </w:r>
      <w:r>
        <w:rPr>
          <w:snapToGrid w:val="0"/>
        </w:rPr>
        <w:t>.</w:t>
      </w:r>
      <w:r>
        <w:rPr>
          <w:snapToGrid w:val="0"/>
        </w:rPr>
        <w:tab/>
        <w:t>West Coast Purse Seine Managed Fishery, bag limits</w:t>
      </w:r>
      <w:r>
        <w:tab/>
      </w:r>
      <w:r>
        <w:fldChar w:fldCharType="begin"/>
      </w:r>
      <w:r>
        <w:instrText xml:space="preserve"> PAGEREF _Toc309309407 \h </w:instrText>
      </w:r>
      <w:r>
        <w:fldChar w:fldCharType="separate"/>
      </w:r>
      <w:r>
        <w:t>98</w:t>
      </w:r>
      <w:r>
        <w:fldChar w:fldCharType="end"/>
      </w:r>
    </w:p>
    <w:p>
      <w:pPr>
        <w:pStyle w:val="TOC6"/>
        <w:tabs>
          <w:tab w:val="right" w:leader="dot" w:pos="7086"/>
        </w:tabs>
        <w:rPr>
          <w:b w:val="0"/>
          <w:sz w:val="24"/>
          <w:szCs w:val="24"/>
          <w:lang w:val="en-US"/>
        </w:rPr>
      </w:pPr>
      <w:r>
        <w:t>Subdivision 3 — Bag limit for barramundi in the Ord River area</w:t>
      </w:r>
    </w:p>
    <w:p>
      <w:pPr>
        <w:pStyle w:val="TOC8"/>
        <w:rPr>
          <w:sz w:val="24"/>
          <w:szCs w:val="24"/>
          <w:lang w:val="en-US"/>
        </w:rPr>
      </w:pPr>
      <w:r>
        <w:t>64ZF.</w:t>
      </w:r>
      <w:r>
        <w:tab/>
        <w:t>Terms used</w:t>
      </w:r>
      <w:r>
        <w:tab/>
      </w:r>
      <w:r>
        <w:fldChar w:fldCharType="begin"/>
      </w:r>
      <w:r>
        <w:instrText xml:space="preserve"> PAGEREF _Toc309309409 \h </w:instrText>
      </w:r>
      <w:r>
        <w:fldChar w:fldCharType="separate"/>
      </w:r>
      <w:r>
        <w:t>99</w:t>
      </w:r>
      <w:r>
        <w:fldChar w:fldCharType="end"/>
      </w:r>
    </w:p>
    <w:p>
      <w:pPr>
        <w:pStyle w:val="TOC8"/>
        <w:rPr>
          <w:sz w:val="24"/>
          <w:szCs w:val="24"/>
          <w:lang w:val="en-US"/>
        </w:rPr>
      </w:pPr>
      <w:r>
        <w:t>64ZG</w:t>
      </w:r>
      <w:r>
        <w:rPr>
          <w:snapToGrid w:val="0"/>
        </w:rPr>
        <w:t>.</w:t>
      </w:r>
      <w:r>
        <w:rPr>
          <w:snapToGrid w:val="0"/>
        </w:rPr>
        <w:tab/>
        <w:t>Order River area waters, bag limit for barramundi</w:t>
      </w:r>
      <w:r>
        <w:tab/>
      </w:r>
      <w:r>
        <w:fldChar w:fldCharType="begin"/>
      </w:r>
      <w:r>
        <w:instrText xml:space="preserve"> PAGEREF _Toc309309410 \h </w:instrText>
      </w:r>
      <w:r>
        <w:fldChar w:fldCharType="separate"/>
      </w:r>
      <w:r>
        <w:t>100</w:t>
      </w:r>
      <w:r>
        <w:fldChar w:fldCharType="end"/>
      </w:r>
    </w:p>
    <w:p>
      <w:pPr>
        <w:pStyle w:val="TOC6"/>
        <w:tabs>
          <w:tab w:val="right" w:leader="dot" w:pos="7086"/>
        </w:tabs>
        <w:rPr>
          <w:b w:val="0"/>
          <w:sz w:val="24"/>
          <w:szCs w:val="24"/>
          <w:lang w:val="en-US"/>
        </w:rPr>
      </w:pPr>
      <w:r>
        <w:t>Subdivision 4 — Bag limit for marron in marron trophy waters</w:t>
      </w:r>
    </w:p>
    <w:p>
      <w:pPr>
        <w:pStyle w:val="TOC8"/>
        <w:rPr>
          <w:sz w:val="24"/>
          <w:szCs w:val="24"/>
          <w:lang w:val="en-US"/>
        </w:rPr>
      </w:pPr>
      <w:r>
        <w:t>64ZH.</w:t>
      </w:r>
      <w:r>
        <w:tab/>
        <w:t>Marron trophy waters</w:t>
      </w:r>
      <w:r>
        <w:rPr>
          <w:snapToGrid w:val="0"/>
        </w:rPr>
        <w:t>, bag limit for marron</w:t>
      </w:r>
      <w:r>
        <w:tab/>
      </w:r>
      <w:r>
        <w:fldChar w:fldCharType="begin"/>
      </w:r>
      <w:r>
        <w:instrText xml:space="preserve"> PAGEREF _Toc309309412 \h </w:instrText>
      </w:r>
      <w:r>
        <w:fldChar w:fldCharType="separate"/>
      </w:r>
      <w:r>
        <w:t>100</w:t>
      </w:r>
      <w:r>
        <w:fldChar w:fldCharType="end"/>
      </w:r>
    </w:p>
    <w:p>
      <w:pPr>
        <w:pStyle w:val="TOC6"/>
        <w:tabs>
          <w:tab w:val="right" w:leader="dot" w:pos="7086"/>
        </w:tabs>
        <w:rPr>
          <w:b w:val="0"/>
          <w:sz w:val="24"/>
          <w:szCs w:val="24"/>
          <w:lang w:val="en-US"/>
        </w:rPr>
      </w:pPr>
      <w:r>
        <w:t>Subdivision 6 — Bag limit for barramundi in the Broome area</w:t>
      </w:r>
    </w:p>
    <w:p>
      <w:pPr>
        <w:pStyle w:val="TOC8"/>
        <w:rPr>
          <w:sz w:val="24"/>
          <w:szCs w:val="24"/>
          <w:lang w:val="en-US"/>
        </w:rPr>
      </w:pPr>
      <w:r>
        <w:t>64ZJ.</w:t>
      </w:r>
      <w:r>
        <w:tab/>
        <w:t>Terms used</w:t>
      </w:r>
      <w:r>
        <w:tab/>
      </w:r>
      <w:r>
        <w:fldChar w:fldCharType="begin"/>
      </w:r>
      <w:r>
        <w:instrText xml:space="preserve"> PAGEREF _Toc309309414 \h </w:instrText>
      </w:r>
      <w:r>
        <w:fldChar w:fldCharType="separate"/>
      </w:r>
      <w:r>
        <w:t>101</w:t>
      </w:r>
      <w:r>
        <w:fldChar w:fldCharType="end"/>
      </w:r>
    </w:p>
    <w:p>
      <w:pPr>
        <w:pStyle w:val="TOC8"/>
        <w:rPr>
          <w:sz w:val="24"/>
          <w:szCs w:val="24"/>
          <w:lang w:val="en-US"/>
        </w:rPr>
      </w:pPr>
      <w:r>
        <w:t>64ZK.</w:t>
      </w:r>
      <w:r>
        <w:tab/>
      </w:r>
      <w:r>
        <w:rPr>
          <w:snapToGrid w:val="0"/>
        </w:rPr>
        <w:t>Broome area waters, bag limit for barramundi</w:t>
      </w:r>
      <w:r>
        <w:tab/>
      </w:r>
      <w:r>
        <w:fldChar w:fldCharType="begin"/>
      </w:r>
      <w:r>
        <w:instrText xml:space="preserve"> PAGEREF _Toc309309415 \h </w:instrText>
      </w:r>
      <w:r>
        <w:fldChar w:fldCharType="separate"/>
      </w:r>
      <w:r>
        <w:t>101</w:t>
      </w:r>
      <w:r>
        <w:fldChar w:fldCharType="end"/>
      </w:r>
    </w:p>
    <w:p>
      <w:pPr>
        <w:pStyle w:val="TOC2"/>
        <w:tabs>
          <w:tab w:val="right" w:leader="dot" w:pos="7086"/>
        </w:tabs>
        <w:rPr>
          <w:b w:val="0"/>
          <w:sz w:val="24"/>
          <w:szCs w:val="24"/>
          <w:lang w:val="en-US"/>
        </w:rPr>
      </w:pPr>
      <w:r>
        <w:t>Part 5 — Fish processing</w:t>
      </w:r>
    </w:p>
    <w:p>
      <w:pPr>
        <w:pStyle w:val="TOC8"/>
        <w:rPr>
          <w:sz w:val="24"/>
          <w:szCs w:val="24"/>
          <w:lang w:val="en-US"/>
        </w:rPr>
      </w:pPr>
      <w:r>
        <w:t>65</w:t>
      </w:r>
      <w:r>
        <w:rPr>
          <w:snapToGrid w:val="0"/>
        </w:rPr>
        <w:t>.</w:t>
      </w:r>
      <w:r>
        <w:rPr>
          <w:snapToGrid w:val="0"/>
        </w:rPr>
        <w:tab/>
        <w:t>Classes of fish prescribed (Act s. 82(2)(a))</w:t>
      </w:r>
      <w:r>
        <w:tab/>
      </w:r>
      <w:r>
        <w:fldChar w:fldCharType="begin"/>
      </w:r>
      <w:r>
        <w:instrText xml:space="preserve"> PAGEREF _Toc309309417 \h </w:instrText>
      </w:r>
      <w:r>
        <w:fldChar w:fldCharType="separate"/>
      </w:r>
      <w:r>
        <w:t>102</w:t>
      </w:r>
      <w:r>
        <w:fldChar w:fldCharType="end"/>
      </w:r>
    </w:p>
    <w:p>
      <w:pPr>
        <w:pStyle w:val="TOC8"/>
        <w:rPr>
          <w:sz w:val="24"/>
          <w:szCs w:val="24"/>
          <w:lang w:val="en-US"/>
        </w:rPr>
      </w:pPr>
      <w:r>
        <w:t>66.</w:t>
      </w:r>
      <w:r>
        <w:tab/>
        <w:t>Fish processor’s licences, conditions of</w:t>
      </w:r>
      <w:r>
        <w:tab/>
      </w:r>
      <w:r>
        <w:fldChar w:fldCharType="begin"/>
      </w:r>
      <w:r>
        <w:instrText xml:space="preserve"> PAGEREF _Toc309309418 \h </w:instrText>
      </w:r>
      <w:r>
        <w:fldChar w:fldCharType="separate"/>
      </w:r>
      <w:r>
        <w:t>102</w:t>
      </w:r>
      <w:r>
        <w:fldChar w:fldCharType="end"/>
      </w:r>
    </w:p>
    <w:p>
      <w:pPr>
        <w:pStyle w:val="TOC2"/>
        <w:tabs>
          <w:tab w:val="right" w:leader="dot" w:pos="7086"/>
        </w:tabs>
        <w:rPr>
          <w:b w:val="0"/>
          <w:sz w:val="24"/>
          <w:szCs w:val="24"/>
          <w:lang w:val="en-US"/>
        </w:rPr>
      </w:pPr>
      <w:r>
        <w:t>Part 6 — Aquaculture</w:t>
      </w:r>
    </w:p>
    <w:p>
      <w:pPr>
        <w:pStyle w:val="TOC8"/>
        <w:rPr>
          <w:sz w:val="24"/>
          <w:szCs w:val="24"/>
          <w:lang w:val="en-US"/>
        </w:rPr>
      </w:pPr>
      <w:r>
        <w:t>67</w:t>
      </w:r>
      <w:r>
        <w:rPr>
          <w:snapToGrid w:val="0"/>
        </w:rPr>
        <w:t>.</w:t>
      </w:r>
      <w:r>
        <w:rPr>
          <w:snapToGrid w:val="0"/>
        </w:rPr>
        <w:tab/>
        <w:t>Aquaculture leases, application for</w:t>
      </w:r>
      <w:r>
        <w:tab/>
      </w:r>
      <w:r>
        <w:fldChar w:fldCharType="begin"/>
      </w:r>
      <w:r>
        <w:instrText xml:space="preserve"> PAGEREF _Toc309309420 \h </w:instrText>
      </w:r>
      <w:r>
        <w:fldChar w:fldCharType="separate"/>
      </w:r>
      <w:r>
        <w:t>104</w:t>
      </w:r>
      <w:r>
        <w:fldChar w:fldCharType="end"/>
      </w:r>
    </w:p>
    <w:p>
      <w:pPr>
        <w:pStyle w:val="TOC8"/>
        <w:rPr>
          <w:sz w:val="24"/>
          <w:szCs w:val="24"/>
          <w:lang w:val="en-US"/>
        </w:rPr>
      </w:pPr>
      <w:r>
        <w:t>68</w:t>
      </w:r>
      <w:r>
        <w:rPr>
          <w:snapToGrid w:val="0"/>
        </w:rPr>
        <w:t>.</w:t>
      </w:r>
      <w:r>
        <w:rPr>
          <w:snapToGrid w:val="0"/>
        </w:rPr>
        <w:tab/>
        <w:t>Classes of fish etc. prescribed (Act s. 91)</w:t>
      </w:r>
      <w:r>
        <w:tab/>
      </w:r>
      <w:r>
        <w:fldChar w:fldCharType="begin"/>
      </w:r>
      <w:r>
        <w:instrText xml:space="preserve"> PAGEREF _Toc309309421 \h </w:instrText>
      </w:r>
      <w:r>
        <w:fldChar w:fldCharType="separate"/>
      </w:r>
      <w:r>
        <w:t>104</w:t>
      </w:r>
      <w:r>
        <w:fldChar w:fldCharType="end"/>
      </w:r>
    </w:p>
    <w:p>
      <w:pPr>
        <w:pStyle w:val="TOC8"/>
        <w:rPr>
          <w:sz w:val="24"/>
          <w:szCs w:val="24"/>
          <w:lang w:val="en-US"/>
        </w:rPr>
      </w:pPr>
      <w:r>
        <w:t>69</w:t>
      </w:r>
      <w:r>
        <w:rPr>
          <w:snapToGrid w:val="0"/>
        </w:rPr>
        <w:t>.</w:t>
      </w:r>
      <w:r>
        <w:rPr>
          <w:snapToGrid w:val="0"/>
        </w:rPr>
        <w:tab/>
        <w:t>Aquaculture licences, conditions of</w:t>
      </w:r>
      <w:r>
        <w:tab/>
      </w:r>
      <w:r>
        <w:fldChar w:fldCharType="begin"/>
      </w:r>
      <w:r>
        <w:instrText xml:space="preserve"> PAGEREF _Toc309309422 \h </w:instrText>
      </w:r>
      <w:r>
        <w:fldChar w:fldCharType="separate"/>
      </w:r>
      <w:r>
        <w:t>105</w:t>
      </w:r>
      <w:r>
        <w:fldChar w:fldCharType="end"/>
      </w:r>
    </w:p>
    <w:p>
      <w:pPr>
        <w:pStyle w:val="TOC2"/>
        <w:tabs>
          <w:tab w:val="right" w:leader="dot" w:pos="7086"/>
        </w:tabs>
        <w:rPr>
          <w:b w:val="0"/>
          <w:sz w:val="24"/>
          <w:szCs w:val="24"/>
          <w:lang w:val="en-US"/>
        </w:rPr>
      </w:pPr>
      <w:r>
        <w:t>Part 7 — Noxious fish</w:t>
      </w:r>
    </w:p>
    <w:p>
      <w:pPr>
        <w:pStyle w:val="TOC8"/>
        <w:rPr>
          <w:sz w:val="24"/>
          <w:szCs w:val="24"/>
          <w:lang w:val="en-US"/>
        </w:rPr>
      </w:pPr>
      <w:r>
        <w:t>70</w:t>
      </w:r>
      <w:r>
        <w:rPr>
          <w:snapToGrid w:val="0"/>
        </w:rPr>
        <w:t>.</w:t>
      </w:r>
      <w:r>
        <w:rPr>
          <w:snapToGrid w:val="0"/>
        </w:rPr>
        <w:tab/>
        <w:t>Species prescribed (Act s. 103)</w:t>
      </w:r>
      <w:r>
        <w:tab/>
      </w:r>
      <w:r>
        <w:fldChar w:fldCharType="begin"/>
      </w:r>
      <w:r>
        <w:instrText xml:space="preserve"> PAGEREF _Toc309309424 \h </w:instrText>
      </w:r>
      <w:r>
        <w:fldChar w:fldCharType="separate"/>
      </w:r>
      <w:r>
        <w:t>108</w:t>
      </w:r>
      <w:r>
        <w:fldChar w:fldCharType="end"/>
      </w:r>
    </w:p>
    <w:p>
      <w:pPr>
        <w:pStyle w:val="TOC2"/>
        <w:tabs>
          <w:tab w:val="right" w:leader="dot" w:pos="7086"/>
        </w:tabs>
        <w:rPr>
          <w:b w:val="0"/>
          <w:sz w:val="24"/>
          <w:szCs w:val="24"/>
          <w:lang w:val="en-US"/>
        </w:rPr>
      </w:pPr>
      <w:r>
        <w:t>Part 8 — Designated fishing zones</w:t>
      </w:r>
    </w:p>
    <w:p>
      <w:pPr>
        <w:pStyle w:val="TOC8"/>
        <w:rPr>
          <w:sz w:val="24"/>
          <w:szCs w:val="24"/>
          <w:lang w:val="en-US"/>
        </w:rPr>
      </w:pPr>
      <w:r>
        <w:t>71</w:t>
      </w:r>
      <w:r>
        <w:rPr>
          <w:snapToGrid w:val="0"/>
        </w:rPr>
        <w:t>.</w:t>
      </w:r>
      <w:r>
        <w:rPr>
          <w:snapToGrid w:val="0"/>
        </w:rPr>
        <w:tab/>
        <w:t>Fisheries officer may restrict activities etc. in zones</w:t>
      </w:r>
      <w:r>
        <w:tab/>
      </w:r>
      <w:r>
        <w:fldChar w:fldCharType="begin"/>
      </w:r>
      <w:r>
        <w:instrText xml:space="preserve"> PAGEREF _Toc309309426 \h </w:instrText>
      </w:r>
      <w:r>
        <w:fldChar w:fldCharType="separate"/>
      </w:r>
      <w:r>
        <w:t>109</w:t>
      </w:r>
      <w:r>
        <w:fldChar w:fldCharType="end"/>
      </w:r>
    </w:p>
    <w:p>
      <w:pPr>
        <w:pStyle w:val="TOC2"/>
        <w:tabs>
          <w:tab w:val="right" w:leader="dot" w:pos="7086"/>
        </w:tabs>
        <w:rPr>
          <w:b w:val="0"/>
          <w:sz w:val="24"/>
          <w:szCs w:val="24"/>
          <w:lang w:val="en-US"/>
        </w:rPr>
      </w:pPr>
      <w:r>
        <w:t>Part 9 — Abrolhos Islands reserve</w:t>
      </w:r>
    </w:p>
    <w:p>
      <w:pPr>
        <w:pStyle w:val="TOC4"/>
        <w:tabs>
          <w:tab w:val="right" w:leader="dot" w:pos="7086"/>
        </w:tabs>
        <w:rPr>
          <w:b w:val="0"/>
          <w:sz w:val="24"/>
          <w:szCs w:val="24"/>
          <w:lang w:val="en-US"/>
        </w:rPr>
      </w:pPr>
      <w:r>
        <w:t>Division 1</w:t>
      </w:r>
      <w:r>
        <w:rPr>
          <w:snapToGrid w:val="0"/>
        </w:rPr>
        <w:t> — </w:t>
      </w:r>
      <w:r>
        <w:t>Interpretation and application of Part</w:t>
      </w:r>
    </w:p>
    <w:p>
      <w:pPr>
        <w:pStyle w:val="TOC8"/>
        <w:rPr>
          <w:sz w:val="24"/>
          <w:szCs w:val="24"/>
          <w:lang w:val="en-US"/>
        </w:rPr>
      </w:pPr>
      <w:r>
        <w:t>72</w:t>
      </w:r>
      <w:r>
        <w:rPr>
          <w:snapToGrid w:val="0"/>
        </w:rPr>
        <w:t>.</w:t>
      </w:r>
      <w:r>
        <w:rPr>
          <w:snapToGrid w:val="0"/>
        </w:rPr>
        <w:tab/>
        <w:t>Terms used</w:t>
      </w:r>
      <w:r>
        <w:tab/>
      </w:r>
      <w:r>
        <w:fldChar w:fldCharType="begin"/>
      </w:r>
      <w:r>
        <w:instrText xml:space="preserve"> PAGEREF _Toc309309429 \h </w:instrText>
      </w:r>
      <w:r>
        <w:fldChar w:fldCharType="separate"/>
      </w:r>
      <w:r>
        <w:t>110</w:t>
      </w:r>
      <w:r>
        <w:fldChar w:fldCharType="end"/>
      </w:r>
    </w:p>
    <w:p>
      <w:pPr>
        <w:pStyle w:val="TOC8"/>
        <w:rPr>
          <w:sz w:val="24"/>
          <w:szCs w:val="24"/>
          <w:lang w:val="en-US"/>
        </w:rPr>
      </w:pPr>
      <w:r>
        <w:t>73</w:t>
      </w:r>
      <w:r>
        <w:rPr>
          <w:snapToGrid w:val="0"/>
        </w:rPr>
        <w:t>.</w:t>
      </w:r>
      <w:r>
        <w:rPr>
          <w:snapToGrid w:val="0"/>
        </w:rPr>
        <w:tab/>
        <w:t>Application of this Part</w:t>
      </w:r>
      <w:r>
        <w:tab/>
      </w:r>
      <w:r>
        <w:fldChar w:fldCharType="begin"/>
      </w:r>
      <w:r>
        <w:instrText xml:space="preserve"> PAGEREF _Toc309309430 \h </w:instrText>
      </w:r>
      <w:r>
        <w:fldChar w:fldCharType="separate"/>
      </w:r>
      <w:r>
        <w:t>111</w:t>
      </w:r>
      <w:r>
        <w:fldChar w:fldCharType="end"/>
      </w:r>
    </w:p>
    <w:p>
      <w:pPr>
        <w:pStyle w:val="TOC4"/>
        <w:tabs>
          <w:tab w:val="right" w:leader="dot" w:pos="7086"/>
        </w:tabs>
        <w:rPr>
          <w:b w:val="0"/>
          <w:sz w:val="24"/>
          <w:szCs w:val="24"/>
          <w:lang w:val="en-US"/>
        </w:rPr>
      </w:pPr>
      <w:r>
        <w:t>Division 2</w:t>
      </w:r>
      <w:r>
        <w:rPr>
          <w:snapToGrid w:val="0"/>
        </w:rPr>
        <w:t> — </w:t>
      </w:r>
      <w:r>
        <w:t>Jetties</w:t>
      </w:r>
    </w:p>
    <w:p>
      <w:pPr>
        <w:pStyle w:val="TOC8"/>
        <w:rPr>
          <w:sz w:val="24"/>
          <w:szCs w:val="24"/>
          <w:lang w:val="en-US"/>
        </w:rPr>
      </w:pPr>
      <w:r>
        <w:t>74</w:t>
      </w:r>
      <w:r>
        <w:rPr>
          <w:snapToGrid w:val="0"/>
        </w:rPr>
        <w:t>.</w:t>
      </w:r>
      <w:r>
        <w:rPr>
          <w:snapToGrid w:val="0"/>
        </w:rPr>
        <w:tab/>
        <w:t>Construction and modification of jetties and moorings</w:t>
      </w:r>
      <w:r>
        <w:tab/>
      </w:r>
      <w:r>
        <w:fldChar w:fldCharType="begin"/>
      </w:r>
      <w:r>
        <w:instrText xml:space="preserve"> PAGEREF _Toc309309432 \h </w:instrText>
      </w:r>
      <w:r>
        <w:fldChar w:fldCharType="separate"/>
      </w:r>
      <w:r>
        <w:t>111</w:t>
      </w:r>
      <w:r>
        <w:fldChar w:fldCharType="end"/>
      </w:r>
    </w:p>
    <w:p>
      <w:pPr>
        <w:pStyle w:val="TOC8"/>
        <w:rPr>
          <w:sz w:val="24"/>
          <w:szCs w:val="24"/>
          <w:lang w:val="en-US"/>
        </w:rPr>
      </w:pPr>
      <w:r>
        <w:t>75</w:t>
      </w:r>
      <w:r>
        <w:rPr>
          <w:snapToGrid w:val="0"/>
        </w:rPr>
        <w:t>.</w:t>
      </w:r>
      <w:r>
        <w:rPr>
          <w:snapToGrid w:val="0"/>
        </w:rPr>
        <w:tab/>
        <w:t>Unauthorised use of jetties and moorings</w:t>
      </w:r>
      <w:r>
        <w:tab/>
      </w:r>
      <w:r>
        <w:fldChar w:fldCharType="begin"/>
      </w:r>
      <w:r>
        <w:instrText xml:space="preserve"> PAGEREF _Toc309309433 \h </w:instrText>
      </w:r>
      <w:r>
        <w:fldChar w:fldCharType="separate"/>
      </w:r>
      <w:r>
        <w:t>112</w:t>
      </w:r>
      <w:r>
        <w:fldChar w:fldCharType="end"/>
      </w:r>
    </w:p>
    <w:p>
      <w:pPr>
        <w:pStyle w:val="TOC4"/>
        <w:tabs>
          <w:tab w:val="right" w:leader="dot" w:pos="7086"/>
        </w:tabs>
        <w:rPr>
          <w:b w:val="0"/>
          <w:sz w:val="24"/>
          <w:szCs w:val="24"/>
          <w:lang w:val="en-US"/>
        </w:rPr>
      </w:pPr>
      <w:r>
        <w:t>Division 3</w:t>
      </w:r>
      <w:r>
        <w:rPr>
          <w:snapToGrid w:val="0"/>
        </w:rPr>
        <w:t> — </w:t>
      </w:r>
      <w:r>
        <w:t>Buildings and facilities</w:t>
      </w:r>
    </w:p>
    <w:p>
      <w:pPr>
        <w:pStyle w:val="TOC8"/>
        <w:rPr>
          <w:sz w:val="24"/>
          <w:szCs w:val="24"/>
          <w:lang w:val="en-US"/>
        </w:rPr>
      </w:pPr>
      <w:r>
        <w:t>76</w:t>
      </w:r>
      <w:r>
        <w:rPr>
          <w:snapToGrid w:val="0"/>
        </w:rPr>
        <w:t>.</w:t>
      </w:r>
      <w:r>
        <w:rPr>
          <w:snapToGrid w:val="0"/>
        </w:rPr>
        <w:tab/>
        <w:t>CEO may waive requirements of this Division</w:t>
      </w:r>
      <w:r>
        <w:tab/>
      </w:r>
      <w:r>
        <w:fldChar w:fldCharType="begin"/>
      </w:r>
      <w:r>
        <w:instrText xml:space="preserve"> PAGEREF _Toc309309435 \h </w:instrText>
      </w:r>
      <w:r>
        <w:fldChar w:fldCharType="separate"/>
      </w:r>
      <w:r>
        <w:t>113</w:t>
      </w:r>
      <w:r>
        <w:fldChar w:fldCharType="end"/>
      </w:r>
    </w:p>
    <w:p>
      <w:pPr>
        <w:pStyle w:val="TOC8"/>
        <w:rPr>
          <w:sz w:val="24"/>
          <w:szCs w:val="24"/>
          <w:lang w:val="en-US"/>
        </w:rPr>
      </w:pPr>
      <w:r>
        <w:t>77</w:t>
      </w:r>
      <w:r>
        <w:rPr>
          <w:snapToGrid w:val="0"/>
        </w:rPr>
        <w:t>.</w:t>
      </w:r>
      <w:r>
        <w:rPr>
          <w:snapToGrid w:val="0"/>
        </w:rPr>
        <w:tab/>
        <w:t>Camps associated with rock lobster licences, transfer of etc.</w:t>
      </w:r>
      <w:r>
        <w:tab/>
      </w:r>
      <w:r>
        <w:fldChar w:fldCharType="begin"/>
      </w:r>
      <w:r>
        <w:instrText xml:space="preserve"> PAGEREF _Toc309309436 \h </w:instrText>
      </w:r>
      <w:r>
        <w:fldChar w:fldCharType="separate"/>
      </w:r>
      <w:r>
        <w:t>113</w:t>
      </w:r>
      <w:r>
        <w:fldChar w:fldCharType="end"/>
      </w:r>
    </w:p>
    <w:p>
      <w:pPr>
        <w:pStyle w:val="TOC8"/>
        <w:rPr>
          <w:sz w:val="24"/>
          <w:szCs w:val="24"/>
          <w:lang w:val="en-US"/>
        </w:rPr>
      </w:pPr>
      <w:r>
        <w:t>78</w:t>
      </w:r>
      <w:r>
        <w:rPr>
          <w:snapToGrid w:val="0"/>
        </w:rPr>
        <w:t>.</w:t>
      </w:r>
      <w:r>
        <w:rPr>
          <w:snapToGrid w:val="0"/>
        </w:rPr>
        <w:tab/>
        <w:t>Camp not transferred etc. under r. 77 becomes unauthorised structure</w:t>
      </w:r>
      <w:r>
        <w:tab/>
      </w:r>
      <w:r>
        <w:fldChar w:fldCharType="begin"/>
      </w:r>
      <w:r>
        <w:instrText xml:space="preserve"> PAGEREF _Toc309309437 \h </w:instrText>
      </w:r>
      <w:r>
        <w:fldChar w:fldCharType="separate"/>
      </w:r>
      <w:r>
        <w:t>114</w:t>
      </w:r>
      <w:r>
        <w:fldChar w:fldCharType="end"/>
      </w:r>
    </w:p>
    <w:p>
      <w:pPr>
        <w:pStyle w:val="TOC8"/>
        <w:rPr>
          <w:sz w:val="24"/>
          <w:szCs w:val="24"/>
          <w:lang w:val="en-US"/>
        </w:rPr>
      </w:pPr>
      <w:r>
        <w:t>79</w:t>
      </w:r>
      <w:r>
        <w:rPr>
          <w:snapToGrid w:val="0"/>
        </w:rPr>
        <w:t>.</w:t>
      </w:r>
      <w:r>
        <w:rPr>
          <w:snapToGrid w:val="0"/>
        </w:rPr>
        <w:tab/>
        <w:t>Building standards, owners’ duties as to</w:t>
      </w:r>
      <w:r>
        <w:tab/>
      </w:r>
      <w:r>
        <w:fldChar w:fldCharType="begin"/>
      </w:r>
      <w:r>
        <w:instrText xml:space="preserve"> PAGEREF _Toc309309438 \h </w:instrText>
      </w:r>
      <w:r>
        <w:fldChar w:fldCharType="separate"/>
      </w:r>
      <w:r>
        <w:t>115</w:t>
      </w:r>
      <w:r>
        <w:fldChar w:fldCharType="end"/>
      </w:r>
    </w:p>
    <w:p>
      <w:pPr>
        <w:pStyle w:val="TOC8"/>
        <w:rPr>
          <w:sz w:val="24"/>
          <w:szCs w:val="24"/>
          <w:lang w:val="en-US"/>
        </w:rPr>
      </w:pPr>
      <w:r>
        <w:t>80</w:t>
      </w:r>
      <w:r>
        <w:rPr>
          <w:snapToGrid w:val="0"/>
        </w:rPr>
        <w:t>.</w:t>
      </w:r>
      <w:r>
        <w:rPr>
          <w:snapToGrid w:val="0"/>
        </w:rPr>
        <w:tab/>
        <w:t>Minor structural changes to buildings, requirements for</w:t>
      </w:r>
      <w:r>
        <w:tab/>
      </w:r>
      <w:r>
        <w:fldChar w:fldCharType="begin"/>
      </w:r>
      <w:r>
        <w:instrText xml:space="preserve"> PAGEREF _Toc309309439 \h </w:instrText>
      </w:r>
      <w:r>
        <w:fldChar w:fldCharType="separate"/>
      </w:r>
      <w:r>
        <w:t>116</w:t>
      </w:r>
      <w:r>
        <w:fldChar w:fldCharType="end"/>
      </w:r>
    </w:p>
    <w:p>
      <w:pPr>
        <w:pStyle w:val="TOC8"/>
        <w:rPr>
          <w:sz w:val="24"/>
          <w:szCs w:val="24"/>
          <w:lang w:val="en-US"/>
        </w:rPr>
      </w:pPr>
      <w:r>
        <w:t>81</w:t>
      </w:r>
      <w:r>
        <w:rPr>
          <w:snapToGrid w:val="0"/>
        </w:rPr>
        <w:t>.</w:t>
      </w:r>
      <w:r>
        <w:rPr>
          <w:snapToGrid w:val="0"/>
        </w:rPr>
        <w:tab/>
        <w:t>Major structural changes to buildings and new buildings, requirements for</w:t>
      </w:r>
      <w:r>
        <w:tab/>
      </w:r>
      <w:r>
        <w:fldChar w:fldCharType="begin"/>
      </w:r>
      <w:r>
        <w:instrText xml:space="preserve"> PAGEREF _Toc309309440 \h </w:instrText>
      </w:r>
      <w:r>
        <w:fldChar w:fldCharType="separate"/>
      </w:r>
      <w:r>
        <w:t>117</w:t>
      </w:r>
      <w:r>
        <w:fldChar w:fldCharType="end"/>
      </w:r>
    </w:p>
    <w:p>
      <w:pPr>
        <w:pStyle w:val="TOC4"/>
        <w:tabs>
          <w:tab w:val="right" w:leader="dot" w:pos="7086"/>
        </w:tabs>
        <w:rPr>
          <w:b w:val="0"/>
          <w:sz w:val="24"/>
          <w:szCs w:val="24"/>
          <w:lang w:val="en-US"/>
        </w:rPr>
      </w:pPr>
      <w:r>
        <w:t>Division 4</w:t>
      </w:r>
      <w:r>
        <w:rPr>
          <w:snapToGrid w:val="0"/>
        </w:rPr>
        <w:t> — </w:t>
      </w:r>
      <w:r>
        <w:t>Power and maintenance</w:t>
      </w:r>
    </w:p>
    <w:p>
      <w:pPr>
        <w:pStyle w:val="TOC8"/>
        <w:rPr>
          <w:sz w:val="24"/>
          <w:szCs w:val="24"/>
          <w:lang w:val="en-US"/>
        </w:rPr>
      </w:pPr>
      <w:r>
        <w:t>84</w:t>
      </w:r>
      <w:r>
        <w:rPr>
          <w:snapToGrid w:val="0"/>
        </w:rPr>
        <w:t>.</w:t>
      </w:r>
      <w:r>
        <w:rPr>
          <w:snapToGrid w:val="0"/>
        </w:rPr>
        <w:tab/>
        <w:t>Water tanks etc., occupiers’ duties as to</w:t>
      </w:r>
      <w:r>
        <w:tab/>
      </w:r>
      <w:r>
        <w:fldChar w:fldCharType="begin"/>
      </w:r>
      <w:r>
        <w:instrText xml:space="preserve"> PAGEREF _Toc309309442 \h </w:instrText>
      </w:r>
      <w:r>
        <w:fldChar w:fldCharType="separate"/>
      </w:r>
      <w:r>
        <w:t>118</w:t>
      </w:r>
      <w:r>
        <w:fldChar w:fldCharType="end"/>
      </w:r>
    </w:p>
    <w:p>
      <w:pPr>
        <w:pStyle w:val="TOC8"/>
        <w:rPr>
          <w:sz w:val="24"/>
          <w:szCs w:val="24"/>
          <w:lang w:val="en-US"/>
        </w:rPr>
      </w:pPr>
      <w:r>
        <w:t>85</w:t>
      </w:r>
      <w:r>
        <w:rPr>
          <w:snapToGrid w:val="0"/>
        </w:rPr>
        <w:t>.</w:t>
      </w:r>
      <w:r>
        <w:rPr>
          <w:snapToGrid w:val="0"/>
        </w:rPr>
        <w:tab/>
        <w:t>Generators, installation and use of</w:t>
      </w:r>
      <w:r>
        <w:tab/>
      </w:r>
      <w:r>
        <w:fldChar w:fldCharType="begin"/>
      </w:r>
      <w:r>
        <w:instrText xml:space="preserve"> PAGEREF _Toc309309443 \h </w:instrText>
      </w:r>
      <w:r>
        <w:fldChar w:fldCharType="separate"/>
      </w:r>
      <w:r>
        <w:t>119</w:t>
      </w:r>
      <w:r>
        <w:fldChar w:fldCharType="end"/>
      </w:r>
    </w:p>
    <w:p>
      <w:pPr>
        <w:pStyle w:val="TOC8"/>
        <w:rPr>
          <w:sz w:val="24"/>
          <w:szCs w:val="24"/>
          <w:lang w:val="en-US"/>
        </w:rPr>
      </w:pPr>
      <w:r>
        <w:t>86</w:t>
      </w:r>
      <w:r>
        <w:rPr>
          <w:snapToGrid w:val="0"/>
        </w:rPr>
        <w:t>.</w:t>
      </w:r>
      <w:r>
        <w:rPr>
          <w:snapToGrid w:val="0"/>
        </w:rPr>
        <w:tab/>
        <w:t>Machinery noise, power to reduce</w:t>
      </w:r>
      <w:r>
        <w:tab/>
      </w:r>
      <w:r>
        <w:fldChar w:fldCharType="begin"/>
      </w:r>
      <w:r>
        <w:instrText xml:space="preserve"> PAGEREF _Toc309309444 \h </w:instrText>
      </w:r>
      <w:r>
        <w:fldChar w:fldCharType="separate"/>
      </w:r>
      <w:r>
        <w:t>119</w:t>
      </w:r>
      <w:r>
        <w:fldChar w:fldCharType="end"/>
      </w:r>
    </w:p>
    <w:p>
      <w:pPr>
        <w:pStyle w:val="TOC4"/>
        <w:tabs>
          <w:tab w:val="right" w:leader="dot" w:pos="7086"/>
        </w:tabs>
        <w:rPr>
          <w:b w:val="0"/>
          <w:sz w:val="24"/>
          <w:szCs w:val="24"/>
          <w:lang w:val="en-US"/>
        </w:rPr>
      </w:pPr>
      <w:r>
        <w:t>Division 5</w:t>
      </w:r>
      <w:r>
        <w:rPr>
          <w:snapToGrid w:val="0"/>
        </w:rPr>
        <w:t> — </w:t>
      </w:r>
      <w:r>
        <w:t>Unauthorised structures and termination of tenancy</w:t>
      </w:r>
    </w:p>
    <w:p>
      <w:pPr>
        <w:pStyle w:val="TOC8"/>
        <w:rPr>
          <w:sz w:val="24"/>
          <w:szCs w:val="24"/>
          <w:lang w:val="en-US"/>
        </w:rPr>
      </w:pPr>
      <w:r>
        <w:t>87</w:t>
      </w:r>
      <w:r>
        <w:rPr>
          <w:snapToGrid w:val="0"/>
        </w:rPr>
        <w:t>.</w:t>
      </w:r>
      <w:r>
        <w:rPr>
          <w:snapToGrid w:val="0"/>
        </w:rPr>
        <w:tab/>
        <w:t>Terms used</w:t>
      </w:r>
      <w:r>
        <w:tab/>
      </w:r>
      <w:r>
        <w:fldChar w:fldCharType="begin"/>
      </w:r>
      <w:r>
        <w:instrText xml:space="preserve"> PAGEREF _Toc309309446 \h </w:instrText>
      </w:r>
      <w:r>
        <w:fldChar w:fldCharType="separate"/>
      </w:r>
      <w:r>
        <w:t>120</w:t>
      </w:r>
      <w:r>
        <w:fldChar w:fldCharType="end"/>
      </w:r>
    </w:p>
    <w:p>
      <w:pPr>
        <w:pStyle w:val="TOC8"/>
        <w:rPr>
          <w:sz w:val="24"/>
          <w:szCs w:val="24"/>
          <w:lang w:val="en-US"/>
        </w:rPr>
      </w:pPr>
      <w:r>
        <w:t>88</w:t>
      </w:r>
      <w:r>
        <w:rPr>
          <w:snapToGrid w:val="0"/>
        </w:rPr>
        <w:t>.</w:t>
      </w:r>
      <w:r>
        <w:rPr>
          <w:snapToGrid w:val="0"/>
        </w:rPr>
        <w:tab/>
        <w:t>Unauthorised structures, CEO may direct removal of</w:t>
      </w:r>
      <w:r>
        <w:tab/>
      </w:r>
      <w:r>
        <w:fldChar w:fldCharType="begin"/>
      </w:r>
      <w:r>
        <w:instrText xml:space="preserve"> PAGEREF _Toc309309447 \h </w:instrText>
      </w:r>
      <w:r>
        <w:fldChar w:fldCharType="separate"/>
      </w:r>
      <w:r>
        <w:t>120</w:t>
      </w:r>
      <w:r>
        <w:fldChar w:fldCharType="end"/>
      </w:r>
    </w:p>
    <w:p>
      <w:pPr>
        <w:pStyle w:val="TOC8"/>
        <w:rPr>
          <w:sz w:val="24"/>
          <w:szCs w:val="24"/>
          <w:lang w:val="en-US"/>
        </w:rPr>
      </w:pPr>
      <w:r>
        <w:t>89</w:t>
      </w:r>
      <w:r>
        <w:rPr>
          <w:snapToGrid w:val="0"/>
        </w:rPr>
        <w:t>.</w:t>
      </w:r>
      <w:r>
        <w:rPr>
          <w:snapToGrid w:val="0"/>
        </w:rPr>
        <w:tab/>
        <w:t>Service of r. 88 notice</w:t>
      </w:r>
      <w:r>
        <w:tab/>
      </w:r>
      <w:r>
        <w:fldChar w:fldCharType="begin"/>
      </w:r>
      <w:r>
        <w:instrText xml:space="preserve"> PAGEREF _Toc309309448 \h </w:instrText>
      </w:r>
      <w:r>
        <w:fldChar w:fldCharType="separate"/>
      </w:r>
      <w:r>
        <w:t>121</w:t>
      </w:r>
      <w:r>
        <w:fldChar w:fldCharType="end"/>
      </w:r>
    </w:p>
    <w:p>
      <w:pPr>
        <w:pStyle w:val="TOC8"/>
        <w:rPr>
          <w:sz w:val="24"/>
          <w:szCs w:val="24"/>
          <w:lang w:val="en-US"/>
        </w:rPr>
      </w:pPr>
      <w:r>
        <w:t>90</w:t>
      </w:r>
      <w:r>
        <w:rPr>
          <w:snapToGrid w:val="0"/>
        </w:rPr>
        <w:t>.</w:t>
      </w:r>
      <w:r>
        <w:rPr>
          <w:snapToGrid w:val="0"/>
        </w:rPr>
        <w:tab/>
        <w:t>Non</w:t>
      </w:r>
      <w:r>
        <w:rPr>
          <w:snapToGrid w:val="0"/>
        </w:rPr>
        <w:noBreakHyphen/>
        <w:t>compliance with r. 88 notice</w:t>
      </w:r>
      <w:r>
        <w:tab/>
      </w:r>
      <w:r>
        <w:fldChar w:fldCharType="begin"/>
      </w:r>
      <w:r>
        <w:instrText xml:space="preserve"> PAGEREF _Toc309309449 \h </w:instrText>
      </w:r>
      <w:r>
        <w:fldChar w:fldCharType="separate"/>
      </w:r>
      <w:r>
        <w:t>121</w:t>
      </w:r>
      <w:r>
        <w:fldChar w:fldCharType="end"/>
      </w:r>
    </w:p>
    <w:p>
      <w:pPr>
        <w:pStyle w:val="TOC8"/>
        <w:rPr>
          <w:sz w:val="24"/>
          <w:szCs w:val="24"/>
          <w:lang w:val="en-US"/>
        </w:rPr>
      </w:pPr>
      <w:r>
        <w:t>91</w:t>
      </w:r>
      <w:r>
        <w:rPr>
          <w:snapToGrid w:val="0"/>
        </w:rPr>
        <w:t>.</w:t>
      </w:r>
      <w:r>
        <w:rPr>
          <w:snapToGrid w:val="0"/>
        </w:rPr>
        <w:tab/>
        <w:t>Site of unauthorised structure to be cleared completely</w:t>
      </w:r>
      <w:r>
        <w:tab/>
      </w:r>
      <w:r>
        <w:fldChar w:fldCharType="begin"/>
      </w:r>
      <w:r>
        <w:instrText xml:space="preserve"> PAGEREF _Toc309309450 \h </w:instrText>
      </w:r>
      <w:r>
        <w:fldChar w:fldCharType="separate"/>
      </w:r>
      <w:r>
        <w:t>122</w:t>
      </w:r>
      <w:r>
        <w:fldChar w:fldCharType="end"/>
      </w:r>
    </w:p>
    <w:p>
      <w:pPr>
        <w:pStyle w:val="TOC4"/>
        <w:tabs>
          <w:tab w:val="right" w:leader="dot" w:pos="7086"/>
        </w:tabs>
        <w:rPr>
          <w:b w:val="0"/>
          <w:sz w:val="24"/>
          <w:szCs w:val="24"/>
          <w:lang w:val="en-US"/>
        </w:rPr>
      </w:pPr>
      <w:r>
        <w:t>Division 6</w:t>
      </w:r>
      <w:r>
        <w:rPr>
          <w:snapToGrid w:val="0"/>
        </w:rPr>
        <w:t> — </w:t>
      </w:r>
      <w:r>
        <w:t>Share arrangements and dispute procedure</w:t>
      </w:r>
    </w:p>
    <w:p>
      <w:pPr>
        <w:pStyle w:val="TOC8"/>
        <w:rPr>
          <w:sz w:val="24"/>
          <w:szCs w:val="24"/>
          <w:lang w:val="en-US"/>
        </w:rPr>
      </w:pPr>
      <w:r>
        <w:t>92</w:t>
      </w:r>
      <w:r>
        <w:rPr>
          <w:snapToGrid w:val="0"/>
        </w:rPr>
        <w:t>.</w:t>
      </w:r>
      <w:r>
        <w:rPr>
          <w:snapToGrid w:val="0"/>
        </w:rPr>
        <w:tab/>
        <w:t>Share arrangement to be subject of written agreement</w:t>
      </w:r>
      <w:r>
        <w:tab/>
      </w:r>
      <w:r>
        <w:fldChar w:fldCharType="begin"/>
      </w:r>
      <w:r>
        <w:instrText xml:space="preserve"> PAGEREF _Toc309309452 \h </w:instrText>
      </w:r>
      <w:r>
        <w:fldChar w:fldCharType="separate"/>
      </w:r>
      <w:r>
        <w:t>123</w:t>
      </w:r>
      <w:r>
        <w:fldChar w:fldCharType="end"/>
      </w:r>
    </w:p>
    <w:p>
      <w:pPr>
        <w:pStyle w:val="TOC8"/>
        <w:rPr>
          <w:sz w:val="24"/>
          <w:szCs w:val="24"/>
          <w:lang w:val="en-US"/>
        </w:rPr>
      </w:pPr>
      <w:r>
        <w:t>93</w:t>
      </w:r>
      <w:r>
        <w:rPr>
          <w:snapToGrid w:val="0"/>
        </w:rPr>
        <w:t>.</w:t>
      </w:r>
      <w:r>
        <w:rPr>
          <w:snapToGrid w:val="0"/>
        </w:rPr>
        <w:tab/>
        <w:t>Disputes over use of shared buildings etc., resolution procedure for</w:t>
      </w:r>
      <w:r>
        <w:tab/>
      </w:r>
      <w:r>
        <w:fldChar w:fldCharType="begin"/>
      </w:r>
      <w:r>
        <w:instrText xml:space="preserve"> PAGEREF _Toc309309453 \h </w:instrText>
      </w:r>
      <w:r>
        <w:fldChar w:fldCharType="separate"/>
      </w:r>
      <w:r>
        <w:t>123</w:t>
      </w:r>
      <w:r>
        <w:fldChar w:fldCharType="end"/>
      </w:r>
    </w:p>
    <w:p>
      <w:pPr>
        <w:pStyle w:val="TOC8"/>
        <w:rPr>
          <w:sz w:val="24"/>
          <w:szCs w:val="24"/>
          <w:lang w:val="en-US"/>
        </w:rPr>
      </w:pPr>
      <w:r>
        <w:t>94</w:t>
      </w:r>
      <w:r>
        <w:rPr>
          <w:snapToGrid w:val="0"/>
        </w:rPr>
        <w:t>.</w:t>
      </w:r>
      <w:r>
        <w:rPr>
          <w:snapToGrid w:val="0"/>
        </w:rPr>
        <w:tab/>
        <w:t>Independent arbitrators, duties of</w:t>
      </w:r>
      <w:r>
        <w:tab/>
      </w:r>
      <w:r>
        <w:fldChar w:fldCharType="begin"/>
      </w:r>
      <w:r>
        <w:instrText xml:space="preserve"> PAGEREF _Toc309309454 \h </w:instrText>
      </w:r>
      <w:r>
        <w:fldChar w:fldCharType="separate"/>
      </w:r>
      <w:r>
        <w:t>124</w:t>
      </w:r>
      <w:r>
        <w:fldChar w:fldCharType="end"/>
      </w:r>
    </w:p>
    <w:p>
      <w:pPr>
        <w:pStyle w:val="TOC8"/>
        <w:rPr>
          <w:sz w:val="24"/>
          <w:szCs w:val="24"/>
          <w:lang w:val="en-US"/>
        </w:rPr>
      </w:pPr>
      <w:r>
        <w:t>95</w:t>
      </w:r>
      <w:r>
        <w:rPr>
          <w:snapToGrid w:val="0"/>
        </w:rPr>
        <w:t>.</w:t>
      </w:r>
      <w:r>
        <w:rPr>
          <w:snapToGrid w:val="0"/>
        </w:rPr>
        <w:tab/>
        <w:t>Arbitrator’s determination to be decided by Minister</w:t>
      </w:r>
      <w:r>
        <w:tab/>
      </w:r>
      <w:r>
        <w:fldChar w:fldCharType="begin"/>
      </w:r>
      <w:r>
        <w:instrText xml:space="preserve"> PAGEREF _Toc309309455 \h </w:instrText>
      </w:r>
      <w:r>
        <w:fldChar w:fldCharType="separate"/>
      </w:r>
      <w:r>
        <w:t>124</w:t>
      </w:r>
      <w:r>
        <w:fldChar w:fldCharType="end"/>
      </w:r>
    </w:p>
    <w:p>
      <w:pPr>
        <w:pStyle w:val="TOC4"/>
        <w:tabs>
          <w:tab w:val="right" w:leader="dot" w:pos="7086"/>
        </w:tabs>
        <w:rPr>
          <w:b w:val="0"/>
          <w:sz w:val="24"/>
          <w:szCs w:val="24"/>
          <w:lang w:val="en-US"/>
        </w:rPr>
      </w:pPr>
      <w:r>
        <w:t>Division 7</w:t>
      </w:r>
      <w:r>
        <w:rPr>
          <w:snapToGrid w:val="0"/>
        </w:rPr>
        <w:t> — </w:t>
      </w:r>
      <w:r>
        <w:t>Disposal of waste</w:t>
      </w:r>
    </w:p>
    <w:p>
      <w:pPr>
        <w:pStyle w:val="TOC8"/>
        <w:rPr>
          <w:sz w:val="24"/>
          <w:szCs w:val="24"/>
          <w:lang w:val="en-US"/>
        </w:rPr>
      </w:pPr>
      <w:r>
        <w:t>96</w:t>
      </w:r>
      <w:r>
        <w:rPr>
          <w:snapToGrid w:val="0"/>
        </w:rPr>
        <w:t>.</w:t>
      </w:r>
      <w:r>
        <w:rPr>
          <w:snapToGrid w:val="0"/>
        </w:rPr>
        <w:tab/>
        <w:t>Waste disposal to be in accordance with this Division</w:t>
      </w:r>
      <w:r>
        <w:tab/>
      </w:r>
      <w:r>
        <w:fldChar w:fldCharType="begin"/>
      </w:r>
      <w:r>
        <w:instrText xml:space="preserve"> PAGEREF _Toc309309457 \h </w:instrText>
      </w:r>
      <w:r>
        <w:fldChar w:fldCharType="separate"/>
      </w:r>
      <w:r>
        <w:t>124</w:t>
      </w:r>
      <w:r>
        <w:fldChar w:fldCharType="end"/>
      </w:r>
    </w:p>
    <w:p>
      <w:pPr>
        <w:pStyle w:val="TOC8"/>
        <w:rPr>
          <w:sz w:val="24"/>
          <w:szCs w:val="24"/>
          <w:lang w:val="en-US"/>
        </w:rPr>
      </w:pPr>
      <w:r>
        <w:t>97</w:t>
      </w:r>
      <w:r>
        <w:rPr>
          <w:snapToGrid w:val="0"/>
        </w:rPr>
        <w:t>.</w:t>
      </w:r>
      <w:r>
        <w:rPr>
          <w:snapToGrid w:val="0"/>
        </w:rPr>
        <w:tab/>
        <w:t>Food waste</w:t>
      </w:r>
      <w:r>
        <w:tab/>
      </w:r>
      <w:r>
        <w:fldChar w:fldCharType="begin"/>
      </w:r>
      <w:r>
        <w:instrText xml:space="preserve"> PAGEREF _Toc309309458 \h </w:instrText>
      </w:r>
      <w:r>
        <w:fldChar w:fldCharType="separate"/>
      </w:r>
      <w:r>
        <w:t>125</w:t>
      </w:r>
      <w:r>
        <w:fldChar w:fldCharType="end"/>
      </w:r>
    </w:p>
    <w:p>
      <w:pPr>
        <w:pStyle w:val="TOC8"/>
        <w:rPr>
          <w:sz w:val="24"/>
          <w:szCs w:val="24"/>
          <w:lang w:val="en-US"/>
        </w:rPr>
      </w:pPr>
      <w:r>
        <w:t>98</w:t>
      </w:r>
      <w:r>
        <w:rPr>
          <w:snapToGrid w:val="0"/>
        </w:rPr>
        <w:t>.</w:t>
      </w:r>
      <w:r>
        <w:rPr>
          <w:snapToGrid w:val="0"/>
        </w:rPr>
        <w:tab/>
        <w:t>Paper, plastic, cardboard, bait bags etc.</w:t>
      </w:r>
      <w:r>
        <w:tab/>
      </w:r>
      <w:r>
        <w:fldChar w:fldCharType="begin"/>
      </w:r>
      <w:r>
        <w:instrText xml:space="preserve"> PAGEREF _Toc309309459 \h </w:instrText>
      </w:r>
      <w:r>
        <w:fldChar w:fldCharType="separate"/>
      </w:r>
      <w:r>
        <w:t>125</w:t>
      </w:r>
      <w:r>
        <w:fldChar w:fldCharType="end"/>
      </w:r>
    </w:p>
    <w:p>
      <w:pPr>
        <w:pStyle w:val="TOC8"/>
        <w:rPr>
          <w:sz w:val="24"/>
          <w:szCs w:val="24"/>
          <w:lang w:val="en-US"/>
        </w:rPr>
      </w:pPr>
      <w:r>
        <w:t>99</w:t>
      </w:r>
      <w:r>
        <w:rPr>
          <w:snapToGrid w:val="0"/>
        </w:rPr>
        <w:t>.</w:t>
      </w:r>
      <w:r>
        <w:rPr>
          <w:snapToGrid w:val="0"/>
        </w:rPr>
        <w:tab/>
        <w:t>Non</w:t>
      </w:r>
      <w:r>
        <w:rPr>
          <w:snapToGrid w:val="0"/>
        </w:rPr>
        <w:noBreakHyphen/>
        <w:t>hazardous and non</w:t>
      </w:r>
      <w:r>
        <w:rPr>
          <w:snapToGrid w:val="0"/>
        </w:rPr>
        <w:noBreakHyphen/>
        <w:t>combustible waste</w:t>
      </w:r>
      <w:r>
        <w:tab/>
      </w:r>
      <w:r>
        <w:fldChar w:fldCharType="begin"/>
      </w:r>
      <w:r>
        <w:instrText xml:space="preserve"> PAGEREF _Toc309309460 \h </w:instrText>
      </w:r>
      <w:r>
        <w:fldChar w:fldCharType="separate"/>
      </w:r>
      <w:r>
        <w:t>126</w:t>
      </w:r>
      <w:r>
        <w:fldChar w:fldCharType="end"/>
      </w:r>
    </w:p>
    <w:p>
      <w:pPr>
        <w:pStyle w:val="TOC8"/>
        <w:rPr>
          <w:sz w:val="24"/>
          <w:szCs w:val="24"/>
          <w:lang w:val="en-US"/>
        </w:rPr>
      </w:pPr>
      <w:r>
        <w:t>100</w:t>
      </w:r>
      <w:r>
        <w:rPr>
          <w:snapToGrid w:val="0"/>
        </w:rPr>
        <w:t>.</w:t>
      </w:r>
      <w:r>
        <w:rPr>
          <w:snapToGrid w:val="0"/>
        </w:rPr>
        <w:tab/>
        <w:t>Oil, fuel, engine filters and batteries</w:t>
      </w:r>
      <w:r>
        <w:tab/>
      </w:r>
      <w:r>
        <w:fldChar w:fldCharType="begin"/>
      </w:r>
      <w:r>
        <w:instrText xml:space="preserve"> PAGEREF _Toc309309461 \h </w:instrText>
      </w:r>
      <w:r>
        <w:fldChar w:fldCharType="separate"/>
      </w:r>
      <w:r>
        <w:t>126</w:t>
      </w:r>
      <w:r>
        <w:fldChar w:fldCharType="end"/>
      </w:r>
    </w:p>
    <w:p>
      <w:pPr>
        <w:pStyle w:val="TOC8"/>
        <w:rPr>
          <w:sz w:val="24"/>
          <w:szCs w:val="24"/>
          <w:lang w:val="en-US"/>
        </w:rPr>
      </w:pPr>
      <w:r>
        <w:t>101</w:t>
      </w:r>
      <w:r>
        <w:rPr>
          <w:snapToGrid w:val="0"/>
        </w:rPr>
        <w:t>.</w:t>
      </w:r>
      <w:r>
        <w:rPr>
          <w:snapToGrid w:val="0"/>
        </w:rPr>
        <w:tab/>
        <w:t>Campsite waste</w:t>
      </w:r>
      <w:r>
        <w:tab/>
      </w:r>
      <w:r>
        <w:fldChar w:fldCharType="begin"/>
      </w:r>
      <w:r>
        <w:instrText xml:space="preserve"> PAGEREF _Toc309309462 \h </w:instrText>
      </w:r>
      <w:r>
        <w:fldChar w:fldCharType="separate"/>
      </w:r>
      <w:r>
        <w:t>126</w:t>
      </w:r>
      <w:r>
        <w:fldChar w:fldCharType="end"/>
      </w:r>
    </w:p>
    <w:p>
      <w:pPr>
        <w:pStyle w:val="TOC8"/>
        <w:rPr>
          <w:sz w:val="24"/>
          <w:szCs w:val="24"/>
          <w:lang w:val="en-US"/>
        </w:rPr>
      </w:pPr>
      <w:r>
        <w:t>102</w:t>
      </w:r>
      <w:r>
        <w:rPr>
          <w:snapToGrid w:val="0"/>
        </w:rPr>
        <w:t>.</w:t>
      </w:r>
      <w:r>
        <w:rPr>
          <w:snapToGrid w:val="0"/>
        </w:rPr>
        <w:tab/>
        <w:t>Sewage</w:t>
      </w:r>
      <w:r>
        <w:tab/>
      </w:r>
      <w:r>
        <w:fldChar w:fldCharType="begin"/>
      </w:r>
      <w:r>
        <w:instrText xml:space="preserve"> PAGEREF _Toc309309463 \h </w:instrText>
      </w:r>
      <w:r>
        <w:fldChar w:fldCharType="separate"/>
      </w:r>
      <w:r>
        <w:t>127</w:t>
      </w:r>
      <w:r>
        <w:fldChar w:fldCharType="end"/>
      </w:r>
    </w:p>
    <w:p>
      <w:pPr>
        <w:pStyle w:val="TOC8"/>
        <w:rPr>
          <w:sz w:val="24"/>
          <w:szCs w:val="24"/>
          <w:lang w:val="en-US"/>
        </w:rPr>
      </w:pPr>
      <w:r>
        <w:t>103</w:t>
      </w:r>
      <w:r>
        <w:rPr>
          <w:snapToGrid w:val="0"/>
        </w:rPr>
        <w:t>.</w:t>
      </w:r>
      <w:r>
        <w:rPr>
          <w:snapToGrid w:val="0"/>
        </w:rPr>
        <w:tab/>
        <w:t>Incinerators, construction and use of</w:t>
      </w:r>
      <w:r>
        <w:tab/>
      </w:r>
      <w:r>
        <w:fldChar w:fldCharType="begin"/>
      </w:r>
      <w:r>
        <w:instrText xml:space="preserve"> PAGEREF _Toc309309464 \h </w:instrText>
      </w:r>
      <w:r>
        <w:fldChar w:fldCharType="separate"/>
      </w:r>
      <w:r>
        <w:t>127</w:t>
      </w:r>
      <w:r>
        <w:fldChar w:fldCharType="end"/>
      </w:r>
    </w:p>
    <w:p>
      <w:pPr>
        <w:pStyle w:val="TOC4"/>
        <w:tabs>
          <w:tab w:val="right" w:leader="dot" w:pos="7086"/>
        </w:tabs>
        <w:rPr>
          <w:b w:val="0"/>
          <w:sz w:val="24"/>
          <w:szCs w:val="24"/>
          <w:lang w:val="en-US"/>
        </w:rPr>
      </w:pPr>
      <w:r>
        <w:t>Division 8</w:t>
      </w:r>
      <w:r>
        <w:rPr>
          <w:snapToGrid w:val="0"/>
        </w:rPr>
        <w:t> — </w:t>
      </w:r>
      <w:r>
        <w:t>Miscellaneous</w:t>
      </w:r>
    </w:p>
    <w:p>
      <w:pPr>
        <w:pStyle w:val="TOC8"/>
        <w:rPr>
          <w:sz w:val="24"/>
          <w:szCs w:val="24"/>
          <w:lang w:val="en-US"/>
        </w:rPr>
      </w:pPr>
      <w:r>
        <w:t>104</w:t>
      </w:r>
      <w:r>
        <w:rPr>
          <w:snapToGrid w:val="0"/>
        </w:rPr>
        <w:t>.</w:t>
      </w:r>
      <w:r>
        <w:rPr>
          <w:snapToGrid w:val="0"/>
        </w:rPr>
        <w:tab/>
        <w:t>Noise to be kept below certain levels</w:t>
      </w:r>
      <w:r>
        <w:tab/>
      </w:r>
      <w:r>
        <w:fldChar w:fldCharType="begin"/>
      </w:r>
      <w:r>
        <w:instrText xml:space="preserve"> PAGEREF _Toc309309466 \h </w:instrText>
      </w:r>
      <w:r>
        <w:fldChar w:fldCharType="separate"/>
      </w:r>
      <w:r>
        <w:t>128</w:t>
      </w:r>
      <w:r>
        <w:fldChar w:fldCharType="end"/>
      </w:r>
    </w:p>
    <w:p>
      <w:pPr>
        <w:pStyle w:val="TOC8"/>
        <w:rPr>
          <w:sz w:val="24"/>
          <w:szCs w:val="24"/>
          <w:lang w:val="en-US"/>
        </w:rPr>
      </w:pPr>
      <w:r>
        <w:t>105</w:t>
      </w:r>
      <w:r>
        <w:rPr>
          <w:snapToGrid w:val="0"/>
        </w:rPr>
        <w:t>.</w:t>
      </w:r>
      <w:r>
        <w:rPr>
          <w:snapToGrid w:val="0"/>
        </w:rPr>
        <w:tab/>
        <w:t>Vehicles not to be used without CEO’s approval</w:t>
      </w:r>
      <w:r>
        <w:tab/>
      </w:r>
      <w:r>
        <w:fldChar w:fldCharType="begin"/>
      </w:r>
      <w:r>
        <w:instrText xml:space="preserve"> PAGEREF _Toc309309467 \h </w:instrText>
      </w:r>
      <w:r>
        <w:fldChar w:fldCharType="separate"/>
      </w:r>
      <w:r>
        <w:t>128</w:t>
      </w:r>
      <w:r>
        <w:fldChar w:fldCharType="end"/>
      </w:r>
    </w:p>
    <w:p>
      <w:pPr>
        <w:pStyle w:val="TOC8"/>
        <w:rPr>
          <w:sz w:val="24"/>
          <w:szCs w:val="24"/>
          <w:lang w:val="en-US"/>
        </w:rPr>
      </w:pPr>
      <w:r>
        <w:t>106</w:t>
      </w:r>
      <w:r>
        <w:rPr>
          <w:snapToGrid w:val="0"/>
        </w:rPr>
        <w:t>.</w:t>
      </w:r>
      <w:r>
        <w:rPr>
          <w:snapToGrid w:val="0"/>
        </w:rPr>
        <w:tab/>
        <w:t>Domestic pets prohibited on reserve and boats at jetties</w:t>
      </w:r>
      <w:r>
        <w:tab/>
      </w:r>
      <w:r>
        <w:fldChar w:fldCharType="begin"/>
      </w:r>
      <w:r>
        <w:instrText xml:space="preserve"> PAGEREF _Toc309309468 \h </w:instrText>
      </w:r>
      <w:r>
        <w:fldChar w:fldCharType="separate"/>
      </w:r>
      <w:r>
        <w:t>129</w:t>
      </w:r>
      <w:r>
        <w:fldChar w:fldCharType="end"/>
      </w:r>
    </w:p>
    <w:p>
      <w:pPr>
        <w:pStyle w:val="TOC8"/>
        <w:rPr>
          <w:sz w:val="24"/>
          <w:szCs w:val="24"/>
          <w:lang w:val="en-US"/>
        </w:rPr>
      </w:pPr>
      <w:r>
        <w:t>107</w:t>
      </w:r>
      <w:r>
        <w:rPr>
          <w:snapToGrid w:val="0"/>
        </w:rPr>
        <w:t>.</w:t>
      </w:r>
      <w:r>
        <w:rPr>
          <w:snapToGrid w:val="0"/>
        </w:rPr>
        <w:tab/>
        <w:t>Flora and fauna not to be introduced without approval</w:t>
      </w:r>
      <w:r>
        <w:tab/>
      </w:r>
      <w:r>
        <w:fldChar w:fldCharType="begin"/>
      </w:r>
      <w:r>
        <w:instrText xml:space="preserve"> PAGEREF _Toc309309469 \h </w:instrText>
      </w:r>
      <w:r>
        <w:fldChar w:fldCharType="separate"/>
      </w:r>
      <w:r>
        <w:t>129</w:t>
      </w:r>
      <w:r>
        <w:fldChar w:fldCharType="end"/>
      </w:r>
    </w:p>
    <w:p>
      <w:pPr>
        <w:pStyle w:val="TOC8"/>
        <w:rPr>
          <w:sz w:val="24"/>
          <w:szCs w:val="24"/>
          <w:lang w:val="en-US"/>
        </w:rPr>
      </w:pPr>
      <w:r>
        <w:t>108</w:t>
      </w:r>
      <w:r>
        <w:rPr>
          <w:snapToGrid w:val="0"/>
        </w:rPr>
        <w:t>.</w:t>
      </w:r>
      <w:r>
        <w:rPr>
          <w:snapToGrid w:val="0"/>
        </w:rPr>
        <w:tab/>
        <w:t>Noxious etc. plants, pests etc., control of to be by approved methods</w:t>
      </w:r>
      <w:r>
        <w:tab/>
      </w:r>
      <w:r>
        <w:fldChar w:fldCharType="begin"/>
      </w:r>
      <w:r>
        <w:instrText xml:space="preserve"> PAGEREF _Toc309309470 \h </w:instrText>
      </w:r>
      <w:r>
        <w:fldChar w:fldCharType="separate"/>
      </w:r>
      <w:r>
        <w:t>130</w:t>
      </w:r>
      <w:r>
        <w:fldChar w:fldCharType="end"/>
      </w:r>
    </w:p>
    <w:p>
      <w:pPr>
        <w:pStyle w:val="TOC8"/>
        <w:rPr>
          <w:sz w:val="24"/>
          <w:szCs w:val="24"/>
          <w:lang w:val="en-US"/>
        </w:rPr>
      </w:pPr>
      <w:r>
        <w:t>109</w:t>
      </w:r>
      <w:r>
        <w:rPr>
          <w:snapToGrid w:val="0"/>
        </w:rPr>
        <w:t>.</w:t>
      </w:r>
      <w:r>
        <w:rPr>
          <w:snapToGrid w:val="0"/>
        </w:rPr>
        <w:tab/>
        <w:t>Behaviour standards for people; power to direct person to leave</w:t>
      </w:r>
      <w:r>
        <w:tab/>
      </w:r>
      <w:r>
        <w:fldChar w:fldCharType="begin"/>
      </w:r>
      <w:r>
        <w:instrText xml:space="preserve"> PAGEREF _Toc309309471 \h </w:instrText>
      </w:r>
      <w:r>
        <w:fldChar w:fldCharType="separate"/>
      </w:r>
      <w:r>
        <w:t>130</w:t>
      </w:r>
      <w:r>
        <w:fldChar w:fldCharType="end"/>
      </w:r>
    </w:p>
    <w:p>
      <w:pPr>
        <w:pStyle w:val="TOC8"/>
        <w:rPr>
          <w:sz w:val="24"/>
          <w:szCs w:val="24"/>
          <w:lang w:val="en-US"/>
        </w:rPr>
      </w:pPr>
      <w:r>
        <w:t>110</w:t>
      </w:r>
      <w:r>
        <w:rPr>
          <w:snapToGrid w:val="0"/>
        </w:rPr>
        <w:t>.</w:t>
      </w:r>
      <w:r>
        <w:rPr>
          <w:snapToGrid w:val="0"/>
        </w:rPr>
        <w:tab/>
        <w:t>Chlorine tarping of boats, restrictions on</w:t>
      </w:r>
      <w:r>
        <w:tab/>
      </w:r>
      <w:r>
        <w:fldChar w:fldCharType="begin"/>
      </w:r>
      <w:r>
        <w:instrText xml:space="preserve"> PAGEREF _Toc309309472 \h </w:instrText>
      </w:r>
      <w:r>
        <w:fldChar w:fldCharType="separate"/>
      </w:r>
      <w:r>
        <w:t>131</w:t>
      </w:r>
      <w:r>
        <w:fldChar w:fldCharType="end"/>
      </w:r>
    </w:p>
    <w:p>
      <w:pPr>
        <w:pStyle w:val="TOC8"/>
        <w:rPr>
          <w:sz w:val="24"/>
          <w:szCs w:val="24"/>
          <w:lang w:val="en-US"/>
        </w:rPr>
      </w:pPr>
      <w:r>
        <w:t>111</w:t>
      </w:r>
      <w:r>
        <w:rPr>
          <w:snapToGrid w:val="0"/>
        </w:rPr>
        <w:t>.</w:t>
      </w:r>
      <w:r>
        <w:rPr>
          <w:snapToGrid w:val="0"/>
        </w:rPr>
        <w:tab/>
        <w:t>Travel to reserve in off</w:t>
      </w:r>
      <w:r>
        <w:rPr>
          <w:snapToGrid w:val="0"/>
        </w:rPr>
        <w:noBreakHyphen/>
        <w:t>season, notice of required</w:t>
      </w:r>
      <w:r>
        <w:tab/>
      </w:r>
      <w:r>
        <w:fldChar w:fldCharType="begin"/>
      </w:r>
      <w:r>
        <w:instrText xml:space="preserve"> PAGEREF _Toc309309473 \h </w:instrText>
      </w:r>
      <w:r>
        <w:fldChar w:fldCharType="separate"/>
      </w:r>
      <w:r>
        <w:t>131</w:t>
      </w:r>
      <w:r>
        <w:fldChar w:fldCharType="end"/>
      </w:r>
    </w:p>
    <w:p>
      <w:pPr>
        <w:pStyle w:val="TOC8"/>
        <w:rPr>
          <w:sz w:val="24"/>
          <w:szCs w:val="24"/>
          <w:lang w:val="en-US"/>
        </w:rPr>
      </w:pPr>
      <w:r>
        <w:t>112</w:t>
      </w:r>
      <w:r>
        <w:rPr>
          <w:snapToGrid w:val="0"/>
        </w:rPr>
        <w:t>.</w:t>
      </w:r>
      <w:r>
        <w:rPr>
          <w:snapToGrid w:val="0"/>
        </w:rPr>
        <w:tab/>
        <w:t>Weapons prohibited</w:t>
      </w:r>
      <w:r>
        <w:tab/>
      </w:r>
      <w:r>
        <w:fldChar w:fldCharType="begin"/>
      </w:r>
      <w:r>
        <w:instrText xml:space="preserve"> PAGEREF _Toc309309474 \h </w:instrText>
      </w:r>
      <w:r>
        <w:fldChar w:fldCharType="separate"/>
      </w:r>
      <w:r>
        <w:t>132</w:t>
      </w:r>
      <w:r>
        <w:fldChar w:fldCharType="end"/>
      </w:r>
    </w:p>
    <w:p>
      <w:pPr>
        <w:pStyle w:val="TOC8"/>
        <w:rPr>
          <w:sz w:val="24"/>
          <w:szCs w:val="24"/>
          <w:lang w:val="en-US"/>
        </w:rPr>
      </w:pPr>
      <w:r>
        <w:t>113</w:t>
      </w:r>
      <w:r>
        <w:rPr>
          <w:snapToGrid w:val="0"/>
        </w:rPr>
        <w:t>.</w:t>
      </w:r>
      <w:r>
        <w:rPr>
          <w:snapToGrid w:val="0"/>
        </w:rPr>
        <w:tab/>
        <w:t>Open fires prohibited</w:t>
      </w:r>
      <w:r>
        <w:tab/>
      </w:r>
      <w:r>
        <w:fldChar w:fldCharType="begin"/>
      </w:r>
      <w:r>
        <w:instrText xml:space="preserve"> PAGEREF _Toc309309475 \h </w:instrText>
      </w:r>
      <w:r>
        <w:fldChar w:fldCharType="separate"/>
      </w:r>
      <w:r>
        <w:t>132</w:t>
      </w:r>
      <w:r>
        <w:fldChar w:fldCharType="end"/>
      </w:r>
    </w:p>
    <w:p>
      <w:pPr>
        <w:pStyle w:val="TOC2"/>
        <w:tabs>
          <w:tab w:val="right" w:leader="dot" w:pos="7086"/>
        </w:tabs>
        <w:rPr>
          <w:b w:val="0"/>
          <w:sz w:val="24"/>
          <w:szCs w:val="24"/>
          <w:lang w:val="en-US"/>
        </w:rPr>
      </w:pPr>
      <w:r>
        <w:t>Part 9A</w:t>
      </w:r>
      <w:r>
        <w:rPr>
          <w:b w:val="0"/>
        </w:rPr>
        <w:t> </w:t>
      </w:r>
      <w:r>
        <w:t>—</w:t>
      </w:r>
      <w:r>
        <w:rPr>
          <w:b w:val="0"/>
        </w:rPr>
        <w:t> </w:t>
      </w:r>
      <w:r>
        <w:t>Fish Habitat Protection Areas</w:t>
      </w:r>
    </w:p>
    <w:p>
      <w:pPr>
        <w:pStyle w:val="TOC4"/>
        <w:tabs>
          <w:tab w:val="right" w:leader="dot" w:pos="7086"/>
        </w:tabs>
        <w:rPr>
          <w:b w:val="0"/>
          <w:sz w:val="24"/>
          <w:szCs w:val="24"/>
          <w:lang w:val="en-US"/>
        </w:rPr>
      </w:pPr>
      <w:r>
        <w:t>Division 1 — Cottesloe Reef Fish Habitat Protection Area</w:t>
      </w:r>
    </w:p>
    <w:p>
      <w:pPr>
        <w:pStyle w:val="TOC8"/>
        <w:rPr>
          <w:sz w:val="24"/>
          <w:szCs w:val="24"/>
          <w:lang w:val="en-US"/>
        </w:rPr>
      </w:pPr>
      <w:r>
        <w:t>113A.</w:t>
      </w:r>
      <w:r>
        <w:tab/>
        <w:t>Prohibited activities</w:t>
      </w:r>
      <w:r>
        <w:tab/>
      </w:r>
      <w:r>
        <w:fldChar w:fldCharType="begin"/>
      </w:r>
      <w:r>
        <w:instrText xml:space="preserve"> PAGEREF _Toc309309478 \h </w:instrText>
      </w:r>
      <w:r>
        <w:fldChar w:fldCharType="separate"/>
      </w:r>
      <w:r>
        <w:t>133</w:t>
      </w:r>
      <w:r>
        <w:fldChar w:fldCharType="end"/>
      </w:r>
    </w:p>
    <w:p>
      <w:pPr>
        <w:pStyle w:val="TOC4"/>
        <w:tabs>
          <w:tab w:val="right" w:leader="dot" w:pos="7086"/>
        </w:tabs>
        <w:rPr>
          <w:b w:val="0"/>
          <w:sz w:val="24"/>
          <w:szCs w:val="24"/>
          <w:lang w:val="en-US"/>
        </w:rPr>
      </w:pPr>
      <w:r>
        <w:t>Division 2 — Lancelin Island Lagoon Fish Habitat Protection Area</w:t>
      </w:r>
    </w:p>
    <w:p>
      <w:pPr>
        <w:pStyle w:val="TOC8"/>
        <w:rPr>
          <w:sz w:val="24"/>
          <w:szCs w:val="24"/>
          <w:lang w:val="en-US"/>
        </w:rPr>
      </w:pPr>
      <w:r>
        <w:t>113B.</w:t>
      </w:r>
      <w:r>
        <w:tab/>
        <w:t>Prohibited activities</w:t>
      </w:r>
      <w:r>
        <w:tab/>
      </w:r>
      <w:r>
        <w:fldChar w:fldCharType="begin"/>
      </w:r>
      <w:r>
        <w:instrText xml:space="preserve"> PAGEREF _Toc309309480 \h </w:instrText>
      </w:r>
      <w:r>
        <w:fldChar w:fldCharType="separate"/>
      </w:r>
      <w:r>
        <w:t>134</w:t>
      </w:r>
      <w:r>
        <w:fldChar w:fldCharType="end"/>
      </w:r>
    </w:p>
    <w:p>
      <w:pPr>
        <w:pStyle w:val="TOC4"/>
        <w:tabs>
          <w:tab w:val="right" w:leader="dot" w:pos="7086"/>
        </w:tabs>
        <w:rPr>
          <w:b w:val="0"/>
          <w:sz w:val="24"/>
          <w:szCs w:val="24"/>
          <w:lang w:val="en-US"/>
        </w:rPr>
      </w:pPr>
      <w:r>
        <w:t>Division 3 — Kalbarri Blue Holes Fish Habitat Protection Area</w:t>
      </w:r>
    </w:p>
    <w:p>
      <w:pPr>
        <w:pStyle w:val="TOC8"/>
        <w:rPr>
          <w:sz w:val="24"/>
          <w:szCs w:val="24"/>
          <w:lang w:val="en-US"/>
        </w:rPr>
      </w:pPr>
      <w:r>
        <w:t>113C.</w:t>
      </w:r>
      <w:r>
        <w:tab/>
        <w:t>Prohibited activities</w:t>
      </w:r>
      <w:r>
        <w:tab/>
      </w:r>
      <w:r>
        <w:fldChar w:fldCharType="begin"/>
      </w:r>
      <w:r>
        <w:instrText xml:space="preserve"> PAGEREF _Toc309309482 \h </w:instrText>
      </w:r>
      <w:r>
        <w:fldChar w:fldCharType="separate"/>
      </w:r>
      <w:r>
        <w:t>134</w:t>
      </w:r>
      <w:r>
        <w:fldChar w:fldCharType="end"/>
      </w:r>
    </w:p>
    <w:p>
      <w:pPr>
        <w:pStyle w:val="TOC4"/>
        <w:tabs>
          <w:tab w:val="right" w:leader="dot" w:pos="7086"/>
        </w:tabs>
        <w:rPr>
          <w:b w:val="0"/>
          <w:sz w:val="24"/>
          <w:szCs w:val="24"/>
          <w:lang w:val="en-US"/>
        </w:rPr>
      </w:pPr>
      <w:r>
        <w:t>Division 4 — Point Quobba Fish Habitat Protection Area</w:t>
      </w:r>
    </w:p>
    <w:p>
      <w:pPr>
        <w:pStyle w:val="TOC8"/>
        <w:rPr>
          <w:sz w:val="24"/>
          <w:szCs w:val="24"/>
          <w:lang w:val="en-US"/>
        </w:rPr>
      </w:pPr>
      <w:r>
        <w:t>113D.</w:t>
      </w:r>
      <w:r>
        <w:tab/>
        <w:t>Terms used</w:t>
      </w:r>
      <w:r>
        <w:tab/>
      </w:r>
      <w:r>
        <w:fldChar w:fldCharType="begin"/>
      </w:r>
      <w:r>
        <w:instrText xml:space="preserve"> PAGEREF _Toc309309484 \h </w:instrText>
      </w:r>
      <w:r>
        <w:fldChar w:fldCharType="separate"/>
      </w:r>
      <w:r>
        <w:t>135</w:t>
      </w:r>
      <w:r>
        <w:fldChar w:fldCharType="end"/>
      </w:r>
    </w:p>
    <w:p>
      <w:pPr>
        <w:pStyle w:val="TOC8"/>
        <w:rPr>
          <w:sz w:val="24"/>
          <w:szCs w:val="24"/>
          <w:lang w:val="en-US"/>
        </w:rPr>
      </w:pPr>
      <w:r>
        <w:t>113E.</w:t>
      </w:r>
      <w:r>
        <w:tab/>
        <w:t>Prohibited activities</w:t>
      </w:r>
      <w:r>
        <w:tab/>
      </w:r>
      <w:r>
        <w:fldChar w:fldCharType="begin"/>
      </w:r>
      <w:r>
        <w:instrText xml:space="preserve"> PAGEREF _Toc309309485 \h </w:instrText>
      </w:r>
      <w:r>
        <w:fldChar w:fldCharType="separate"/>
      </w:r>
      <w:r>
        <w:t>135</w:t>
      </w:r>
      <w:r>
        <w:fldChar w:fldCharType="end"/>
      </w:r>
    </w:p>
    <w:p>
      <w:pPr>
        <w:pStyle w:val="TOC2"/>
        <w:tabs>
          <w:tab w:val="right" w:leader="dot" w:pos="7086"/>
        </w:tabs>
        <w:rPr>
          <w:b w:val="0"/>
          <w:sz w:val="24"/>
          <w:szCs w:val="24"/>
          <w:lang w:val="en-US"/>
        </w:rPr>
      </w:pPr>
      <w:r>
        <w:t>Part 10 — Register</w:t>
      </w:r>
    </w:p>
    <w:p>
      <w:pPr>
        <w:pStyle w:val="TOC8"/>
        <w:rPr>
          <w:sz w:val="24"/>
          <w:szCs w:val="24"/>
          <w:lang w:val="en-US"/>
        </w:rPr>
      </w:pPr>
      <w:r>
        <w:t>114</w:t>
      </w:r>
      <w:r>
        <w:rPr>
          <w:snapToGrid w:val="0"/>
        </w:rPr>
        <w:t>.</w:t>
      </w:r>
      <w:r>
        <w:rPr>
          <w:snapToGrid w:val="0"/>
        </w:rPr>
        <w:tab/>
        <w:t>Hours, place and fees prescribed (Act s. 124)</w:t>
      </w:r>
      <w:r>
        <w:tab/>
      </w:r>
      <w:r>
        <w:fldChar w:fldCharType="begin"/>
      </w:r>
      <w:r>
        <w:instrText xml:space="preserve"> PAGEREF _Toc309309487 \h </w:instrText>
      </w:r>
      <w:r>
        <w:fldChar w:fldCharType="separate"/>
      </w:r>
      <w:r>
        <w:t>136</w:t>
      </w:r>
      <w:r>
        <w:fldChar w:fldCharType="end"/>
      </w:r>
    </w:p>
    <w:p>
      <w:pPr>
        <w:pStyle w:val="TOC8"/>
        <w:rPr>
          <w:sz w:val="24"/>
          <w:szCs w:val="24"/>
          <w:lang w:val="en-US"/>
        </w:rPr>
      </w:pPr>
      <w:r>
        <w:t>115</w:t>
      </w:r>
      <w:r>
        <w:rPr>
          <w:snapToGrid w:val="0"/>
        </w:rPr>
        <w:t>.</w:t>
      </w:r>
      <w:r>
        <w:rPr>
          <w:snapToGrid w:val="0"/>
        </w:rPr>
        <w:tab/>
        <w:t>Details prescribed (Act s. 126)</w:t>
      </w:r>
      <w:r>
        <w:tab/>
      </w:r>
      <w:r>
        <w:fldChar w:fldCharType="begin"/>
      </w:r>
      <w:r>
        <w:instrText xml:space="preserve"> PAGEREF _Toc309309488 \h </w:instrText>
      </w:r>
      <w:r>
        <w:fldChar w:fldCharType="separate"/>
      </w:r>
      <w:r>
        <w:t>136</w:t>
      </w:r>
      <w:r>
        <w:fldChar w:fldCharType="end"/>
      </w:r>
    </w:p>
    <w:p>
      <w:pPr>
        <w:pStyle w:val="TOC8"/>
        <w:rPr>
          <w:sz w:val="24"/>
          <w:szCs w:val="24"/>
          <w:lang w:val="en-US"/>
        </w:rPr>
      </w:pPr>
      <w:r>
        <w:t>116</w:t>
      </w:r>
      <w:r>
        <w:rPr>
          <w:snapToGrid w:val="0"/>
        </w:rPr>
        <w:t>.</w:t>
      </w:r>
      <w:r>
        <w:rPr>
          <w:snapToGrid w:val="0"/>
        </w:rPr>
        <w:tab/>
        <w:t>Details of security interest prescribed (Act s. 128)</w:t>
      </w:r>
      <w:r>
        <w:tab/>
      </w:r>
      <w:r>
        <w:fldChar w:fldCharType="begin"/>
      </w:r>
      <w:r>
        <w:instrText xml:space="preserve"> PAGEREF _Toc309309489 \h </w:instrText>
      </w:r>
      <w:r>
        <w:fldChar w:fldCharType="separate"/>
      </w:r>
      <w:r>
        <w:t>137</w:t>
      </w:r>
      <w:r>
        <w:fldChar w:fldCharType="end"/>
      </w:r>
    </w:p>
    <w:p>
      <w:pPr>
        <w:pStyle w:val="TOC2"/>
        <w:tabs>
          <w:tab w:val="right" w:leader="dot" w:pos="7086"/>
        </w:tabs>
        <w:rPr>
          <w:b w:val="0"/>
          <w:sz w:val="24"/>
          <w:szCs w:val="24"/>
          <w:lang w:val="en-US"/>
        </w:rPr>
      </w:pPr>
      <w:r>
        <w:t>Part 11 — Authorisations</w:t>
      </w:r>
    </w:p>
    <w:p>
      <w:pPr>
        <w:pStyle w:val="TOC4"/>
        <w:tabs>
          <w:tab w:val="right" w:leader="dot" w:pos="7086"/>
        </w:tabs>
        <w:rPr>
          <w:b w:val="0"/>
          <w:sz w:val="24"/>
          <w:szCs w:val="24"/>
          <w:lang w:val="en-US"/>
        </w:rPr>
      </w:pPr>
      <w:r>
        <w:t>Division 1 — Commercial fishing</w:t>
      </w:r>
    </w:p>
    <w:p>
      <w:pPr>
        <w:pStyle w:val="TOC8"/>
        <w:rPr>
          <w:sz w:val="24"/>
          <w:szCs w:val="24"/>
          <w:lang w:val="en-US"/>
        </w:rPr>
      </w:pPr>
      <w:r>
        <w:t>117</w:t>
      </w:r>
      <w:r>
        <w:rPr>
          <w:snapToGrid w:val="0"/>
        </w:rPr>
        <w:t>.</w:t>
      </w:r>
      <w:r>
        <w:rPr>
          <w:snapToGrid w:val="0"/>
        </w:rPr>
        <w:tab/>
        <w:t>Fishing boats, duties of masters etc. as to licences, LFB numbers etc.</w:t>
      </w:r>
      <w:r>
        <w:tab/>
      </w:r>
      <w:r>
        <w:fldChar w:fldCharType="begin"/>
      </w:r>
      <w:r>
        <w:instrText xml:space="preserve"> PAGEREF _Toc309309492 \h </w:instrText>
      </w:r>
      <w:r>
        <w:fldChar w:fldCharType="separate"/>
      </w:r>
      <w:r>
        <w:t>138</w:t>
      </w:r>
      <w:r>
        <w:fldChar w:fldCharType="end"/>
      </w:r>
    </w:p>
    <w:p>
      <w:pPr>
        <w:pStyle w:val="TOC8"/>
        <w:rPr>
          <w:sz w:val="24"/>
          <w:szCs w:val="24"/>
          <w:lang w:val="en-US"/>
        </w:rPr>
      </w:pPr>
      <w:r>
        <w:t>118</w:t>
      </w:r>
      <w:r>
        <w:rPr>
          <w:snapToGrid w:val="0"/>
        </w:rPr>
        <w:t>.</w:t>
      </w:r>
      <w:r>
        <w:rPr>
          <w:snapToGrid w:val="0"/>
        </w:rPr>
        <w:tab/>
        <w:t>Fishing boat licences, grant of</w:t>
      </w:r>
      <w:r>
        <w:tab/>
      </w:r>
      <w:r>
        <w:fldChar w:fldCharType="begin"/>
      </w:r>
      <w:r>
        <w:instrText xml:space="preserve"> PAGEREF _Toc309309493 \h </w:instrText>
      </w:r>
      <w:r>
        <w:fldChar w:fldCharType="separate"/>
      </w:r>
      <w:r>
        <w:t>139</w:t>
      </w:r>
      <w:r>
        <w:fldChar w:fldCharType="end"/>
      </w:r>
    </w:p>
    <w:p>
      <w:pPr>
        <w:pStyle w:val="TOC8"/>
        <w:rPr>
          <w:sz w:val="24"/>
          <w:szCs w:val="24"/>
          <w:lang w:val="en-US"/>
        </w:rPr>
      </w:pPr>
      <w:r>
        <w:t>118A.</w:t>
      </w:r>
      <w:r>
        <w:tab/>
        <w:t>Fishing boat licence of no effect in some circumstances</w:t>
      </w:r>
      <w:r>
        <w:tab/>
      </w:r>
      <w:r>
        <w:fldChar w:fldCharType="begin"/>
      </w:r>
      <w:r>
        <w:instrText xml:space="preserve"> PAGEREF _Toc309309494 \h </w:instrText>
      </w:r>
      <w:r>
        <w:fldChar w:fldCharType="separate"/>
      </w:r>
      <w:r>
        <w:t>140</w:t>
      </w:r>
      <w:r>
        <w:fldChar w:fldCharType="end"/>
      </w:r>
    </w:p>
    <w:p>
      <w:pPr>
        <w:pStyle w:val="TOC8"/>
        <w:rPr>
          <w:sz w:val="24"/>
          <w:szCs w:val="24"/>
          <w:lang w:val="en-US"/>
        </w:rPr>
      </w:pPr>
      <w:r>
        <w:t>119</w:t>
      </w:r>
      <w:r>
        <w:rPr>
          <w:snapToGrid w:val="0"/>
        </w:rPr>
        <w:t>.</w:t>
      </w:r>
      <w:r>
        <w:rPr>
          <w:snapToGrid w:val="0"/>
        </w:rPr>
        <w:tab/>
        <w:t>Carrier boats, duties of masters etc. as to licences, LCB numbers etc.</w:t>
      </w:r>
      <w:r>
        <w:tab/>
      </w:r>
      <w:r>
        <w:fldChar w:fldCharType="begin"/>
      </w:r>
      <w:r>
        <w:instrText xml:space="preserve"> PAGEREF _Toc309309495 \h </w:instrText>
      </w:r>
      <w:r>
        <w:fldChar w:fldCharType="separate"/>
      </w:r>
      <w:r>
        <w:t>141</w:t>
      </w:r>
      <w:r>
        <w:fldChar w:fldCharType="end"/>
      </w:r>
    </w:p>
    <w:p>
      <w:pPr>
        <w:pStyle w:val="TOC8"/>
        <w:rPr>
          <w:sz w:val="24"/>
          <w:szCs w:val="24"/>
          <w:lang w:val="en-US"/>
        </w:rPr>
      </w:pPr>
      <w:r>
        <w:t>120</w:t>
      </w:r>
      <w:r>
        <w:rPr>
          <w:snapToGrid w:val="0"/>
        </w:rPr>
        <w:t>.</w:t>
      </w:r>
      <w:r>
        <w:rPr>
          <w:snapToGrid w:val="0"/>
        </w:rPr>
        <w:tab/>
        <w:t>Carrier boat licences, grant of</w:t>
      </w:r>
      <w:r>
        <w:tab/>
      </w:r>
      <w:r>
        <w:fldChar w:fldCharType="begin"/>
      </w:r>
      <w:r>
        <w:instrText xml:space="preserve"> PAGEREF _Toc309309496 \h </w:instrText>
      </w:r>
      <w:r>
        <w:fldChar w:fldCharType="separate"/>
      </w:r>
      <w:r>
        <w:t>142</w:t>
      </w:r>
      <w:r>
        <w:fldChar w:fldCharType="end"/>
      </w:r>
    </w:p>
    <w:p>
      <w:pPr>
        <w:pStyle w:val="TOC8"/>
        <w:rPr>
          <w:sz w:val="24"/>
          <w:szCs w:val="24"/>
          <w:lang w:val="en-US"/>
        </w:rPr>
      </w:pPr>
      <w:r>
        <w:t>121</w:t>
      </w:r>
      <w:r>
        <w:rPr>
          <w:snapToGrid w:val="0"/>
        </w:rPr>
        <w:t>.</w:t>
      </w:r>
      <w:r>
        <w:rPr>
          <w:snapToGrid w:val="0"/>
        </w:rPr>
        <w:tab/>
        <w:t>Commercial fishing licence, when required</w:t>
      </w:r>
      <w:r>
        <w:tab/>
      </w:r>
      <w:r>
        <w:fldChar w:fldCharType="begin"/>
      </w:r>
      <w:r>
        <w:instrText xml:space="preserve"> PAGEREF _Toc309309497 \h </w:instrText>
      </w:r>
      <w:r>
        <w:fldChar w:fldCharType="separate"/>
      </w:r>
      <w:r>
        <w:t>143</w:t>
      </w:r>
      <w:r>
        <w:fldChar w:fldCharType="end"/>
      </w:r>
    </w:p>
    <w:p>
      <w:pPr>
        <w:pStyle w:val="TOC8"/>
        <w:rPr>
          <w:sz w:val="24"/>
          <w:szCs w:val="24"/>
          <w:lang w:val="en-US"/>
        </w:rPr>
      </w:pPr>
      <w:r>
        <w:t>122</w:t>
      </w:r>
      <w:r>
        <w:rPr>
          <w:snapToGrid w:val="0"/>
        </w:rPr>
        <w:t>.</w:t>
      </w:r>
      <w:r>
        <w:rPr>
          <w:snapToGrid w:val="0"/>
        </w:rPr>
        <w:tab/>
        <w:t>Commercial fishing licences, grant of</w:t>
      </w:r>
      <w:r>
        <w:tab/>
      </w:r>
      <w:r>
        <w:fldChar w:fldCharType="begin"/>
      </w:r>
      <w:r>
        <w:instrText xml:space="preserve"> PAGEREF _Toc309309498 \h </w:instrText>
      </w:r>
      <w:r>
        <w:fldChar w:fldCharType="separate"/>
      </w:r>
      <w:r>
        <w:t>143</w:t>
      </w:r>
      <w:r>
        <w:fldChar w:fldCharType="end"/>
      </w:r>
    </w:p>
    <w:p>
      <w:pPr>
        <w:pStyle w:val="TOC4"/>
        <w:tabs>
          <w:tab w:val="right" w:leader="dot" w:pos="7086"/>
        </w:tabs>
        <w:rPr>
          <w:b w:val="0"/>
          <w:sz w:val="24"/>
          <w:szCs w:val="24"/>
          <w:lang w:val="en-US"/>
        </w:rPr>
      </w:pPr>
      <w:r>
        <w:t>Division 2 — Recreational fishing</w:t>
      </w:r>
    </w:p>
    <w:p>
      <w:pPr>
        <w:pStyle w:val="TOC6"/>
        <w:tabs>
          <w:tab w:val="right" w:leader="dot" w:pos="7086"/>
        </w:tabs>
        <w:rPr>
          <w:b w:val="0"/>
          <w:sz w:val="24"/>
          <w:szCs w:val="24"/>
          <w:lang w:val="en-US"/>
        </w:rPr>
      </w:pPr>
      <w:r>
        <w:t>Subdivision 1 — Recreational fishing licence</w:t>
      </w:r>
    </w:p>
    <w:p>
      <w:pPr>
        <w:pStyle w:val="TOC8"/>
        <w:rPr>
          <w:sz w:val="24"/>
          <w:szCs w:val="24"/>
          <w:lang w:val="en-US"/>
        </w:rPr>
      </w:pPr>
      <w:r>
        <w:t>123</w:t>
      </w:r>
      <w:r>
        <w:rPr>
          <w:snapToGrid w:val="0"/>
        </w:rPr>
        <w:t>.</w:t>
      </w:r>
      <w:r>
        <w:rPr>
          <w:snapToGrid w:val="0"/>
        </w:rPr>
        <w:tab/>
        <w:t>Recreational fishing licence, when required</w:t>
      </w:r>
      <w:r>
        <w:tab/>
      </w:r>
      <w:r>
        <w:fldChar w:fldCharType="begin"/>
      </w:r>
      <w:r>
        <w:instrText xml:space="preserve"> PAGEREF _Toc309309501 \h </w:instrText>
      </w:r>
      <w:r>
        <w:fldChar w:fldCharType="separate"/>
      </w:r>
      <w:r>
        <w:t>143</w:t>
      </w:r>
      <w:r>
        <w:fldChar w:fldCharType="end"/>
      </w:r>
    </w:p>
    <w:p>
      <w:pPr>
        <w:pStyle w:val="TOC8"/>
        <w:rPr>
          <w:sz w:val="24"/>
          <w:szCs w:val="24"/>
          <w:lang w:val="en-US"/>
        </w:rPr>
      </w:pPr>
      <w:r>
        <w:t>124</w:t>
      </w:r>
      <w:r>
        <w:rPr>
          <w:snapToGrid w:val="0"/>
        </w:rPr>
        <w:t>.</w:t>
      </w:r>
      <w:r>
        <w:rPr>
          <w:snapToGrid w:val="0"/>
        </w:rPr>
        <w:tab/>
        <w:t>Recreational fishing licences, grant of</w:t>
      </w:r>
      <w:r>
        <w:tab/>
      </w:r>
      <w:r>
        <w:fldChar w:fldCharType="begin"/>
      </w:r>
      <w:r>
        <w:instrText xml:space="preserve"> PAGEREF _Toc309309502 \h </w:instrText>
      </w:r>
      <w:r>
        <w:fldChar w:fldCharType="separate"/>
      </w:r>
      <w:r>
        <w:t>144</w:t>
      </w:r>
      <w:r>
        <w:fldChar w:fldCharType="end"/>
      </w:r>
    </w:p>
    <w:p>
      <w:pPr>
        <w:pStyle w:val="TOC8"/>
        <w:rPr>
          <w:sz w:val="24"/>
          <w:szCs w:val="24"/>
          <w:lang w:val="en-US"/>
        </w:rPr>
      </w:pPr>
      <w:r>
        <w:t>124A.</w:t>
      </w:r>
      <w:r>
        <w:tab/>
        <w:t>Recreational fishing licence receipt may have effect as a recreational fishing licence</w:t>
      </w:r>
      <w:r>
        <w:tab/>
      </w:r>
      <w:r>
        <w:fldChar w:fldCharType="begin"/>
      </w:r>
      <w:r>
        <w:instrText xml:space="preserve"> PAGEREF _Toc309309503 \h </w:instrText>
      </w:r>
      <w:r>
        <w:fldChar w:fldCharType="separate"/>
      </w:r>
      <w:r>
        <w:t>145</w:t>
      </w:r>
      <w:r>
        <w:fldChar w:fldCharType="end"/>
      </w:r>
    </w:p>
    <w:p>
      <w:pPr>
        <w:pStyle w:val="TOC6"/>
        <w:tabs>
          <w:tab w:val="right" w:leader="dot" w:pos="7086"/>
        </w:tabs>
        <w:rPr>
          <w:b w:val="0"/>
          <w:sz w:val="24"/>
          <w:szCs w:val="24"/>
          <w:lang w:val="en-US"/>
        </w:rPr>
      </w:pPr>
      <w:r>
        <w:t>Subdivision 2 — Recreational (boat) fishing licence</w:t>
      </w:r>
    </w:p>
    <w:p>
      <w:pPr>
        <w:pStyle w:val="TOC8"/>
        <w:rPr>
          <w:sz w:val="24"/>
          <w:szCs w:val="24"/>
          <w:lang w:val="en-US"/>
        </w:rPr>
      </w:pPr>
      <w:r>
        <w:t>124B.</w:t>
      </w:r>
      <w:r>
        <w:tab/>
        <w:t>Recreational (boat) fishing licence, when required</w:t>
      </w:r>
      <w:r>
        <w:tab/>
      </w:r>
      <w:r>
        <w:fldChar w:fldCharType="begin"/>
      </w:r>
      <w:r>
        <w:instrText xml:space="preserve"> PAGEREF _Toc309309505 \h </w:instrText>
      </w:r>
      <w:r>
        <w:fldChar w:fldCharType="separate"/>
      </w:r>
      <w:r>
        <w:t>146</w:t>
      </w:r>
      <w:r>
        <w:fldChar w:fldCharType="end"/>
      </w:r>
    </w:p>
    <w:p>
      <w:pPr>
        <w:pStyle w:val="TOC8"/>
        <w:rPr>
          <w:sz w:val="24"/>
          <w:szCs w:val="24"/>
          <w:lang w:val="en-US"/>
        </w:rPr>
      </w:pPr>
      <w:r>
        <w:t>124C.</w:t>
      </w:r>
      <w:r>
        <w:tab/>
        <w:t>Recreational (boat) fishing licences, grant of</w:t>
      </w:r>
      <w:r>
        <w:tab/>
      </w:r>
      <w:r>
        <w:fldChar w:fldCharType="begin"/>
      </w:r>
      <w:r>
        <w:instrText xml:space="preserve"> PAGEREF _Toc309309506 \h </w:instrText>
      </w:r>
      <w:r>
        <w:fldChar w:fldCharType="separate"/>
      </w:r>
      <w:r>
        <w:t>147</w:t>
      </w:r>
      <w:r>
        <w:fldChar w:fldCharType="end"/>
      </w:r>
    </w:p>
    <w:p>
      <w:pPr>
        <w:pStyle w:val="TOC4"/>
        <w:tabs>
          <w:tab w:val="right" w:leader="dot" w:pos="7086"/>
        </w:tabs>
        <w:rPr>
          <w:b w:val="0"/>
          <w:sz w:val="24"/>
          <w:szCs w:val="24"/>
          <w:lang w:val="en-US"/>
        </w:rPr>
      </w:pPr>
      <w:r>
        <w:t>Division 3 — Specific fish or specific methods of fishing</w:t>
      </w:r>
    </w:p>
    <w:p>
      <w:pPr>
        <w:pStyle w:val="TOC8"/>
        <w:rPr>
          <w:sz w:val="24"/>
          <w:szCs w:val="24"/>
          <w:lang w:val="en-US"/>
        </w:rPr>
      </w:pPr>
      <w:r>
        <w:t>125</w:t>
      </w:r>
      <w:r>
        <w:rPr>
          <w:snapToGrid w:val="0"/>
        </w:rPr>
        <w:t>.</w:t>
      </w:r>
      <w:r>
        <w:rPr>
          <w:snapToGrid w:val="0"/>
        </w:rPr>
        <w:tab/>
        <w:t>Rock lobster pot licence, when required</w:t>
      </w:r>
      <w:r>
        <w:tab/>
      </w:r>
      <w:r>
        <w:fldChar w:fldCharType="begin"/>
      </w:r>
      <w:r>
        <w:instrText xml:space="preserve"> PAGEREF _Toc309309508 \h </w:instrText>
      </w:r>
      <w:r>
        <w:fldChar w:fldCharType="separate"/>
      </w:r>
      <w:r>
        <w:t>147</w:t>
      </w:r>
      <w:r>
        <w:fldChar w:fldCharType="end"/>
      </w:r>
    </w:p>
    <w:p>
      <w:pPr>
        <w:pStyle w:val="TOC8"/>
        <w:rPr>
          <w:sz w:val="24"/>
          <w:szCs w:val="24"/>
          <w:lang w:val="en-US"/>
        </w:rPr>
      </w:pPr>
      <w:r>
        <w:t>126</w:t>
      </w:r>
      <w:r>
        <w:rPr>
          <w:snapToGrid w:val="0"/>
        </w:rPr>
        <w:t>.</w:t>
      </w:r>
      <w:r>
        <w:rPr>
          <w:snapToGrid w:val="0"/>
        </w:rPr>
        <w:tab/>
        <w:t>Rock lobster pot licence, grant of</w:t>
      </w:r>
      <w:r>
        <w:tab/>
      </w:r>
      <w:r>
        <w:fldChar w:fldCharType="begin"/>
      </w:r>
      <w:r>
        <w:instrText xml:space="preserve"> PAGEREF _Toc309309509 \h </w:instrText>
      </w:r>
      <w:r>
        <w:fldChar w:fldCharType="separate"/>
      </w:r>
      <w:r>
        <w:t>147</w:t>
      </w:r>
      <w:r>
        <w:fldChar w:fldCharType="end"/>
      </w:r>
    </w:p>
    <w:p>
      <w:pPr>
        <w:pStyle w:val="TOC4"/>
        <w:tabs>
          <w:tab w:val="right" w:leader="dot" w:pos="7086"/>
        </w:tabs>
        <w:rPr>
          <w:b w:val="0"/>
          <w:sz w:val="24"/>
          <w:szCs w:val="24"/>
          <w:lang w:val="en-US"/>
        </w:rPr>
      </w:pPr>
      <w:r>
        <w:t>Division 4 — Aquatic eco</w:t>
      </w:r>
      <w:r>
        <w:noBreakHyphen/>
        <w:t>tourism operators</w:t>
      </w:r>
    </w:p>
    <w:p>
      <w:pPr>
        <w:pStyle w:val="TOC8"/>
        <w:rPr>
          <w:sz w:val="24"/>
          <w:szCs w:val="24"/>
          <w:lang w:val="en-US"/>
        </w:rPr>
      </w:pPr>
      <w:r>
        <w:t>128A.</w:t>
      </w:r>
      <w:r>
        <w:tab/>
        <w:t>Aquatic eco</w:t>
      </w:r>
      <w:r>
        <w:noBreakHyphen/>
        <w:t>tourism operator’s licence, when required</w:t>
      </w:r>
      <w:r>
        <w:tab/>
      </w:r>
      <w:r>
        <w:fldChar w:fldCharType="begin"/>
      </w:r>
      <w:r>
        <w:instrText xml:space="preserve"> PAGEREF _Toc309309511 \h </w:instrText>
      </w:r>
      <w:r>
        <w:fldChar w:fldCharType="separate"/>
      </w:r>
      <w:r>
        <w:t>148</w:t>
      </w:r>
      <w:r>
        <w:fldChar w:fldCharType="end"/>
      </w:r>
    </w:p>
    <w:p>
      <w:pPr>
        <w:pStyle w:val="TOC8"/>
        <w:rPr>
          <w:sz w:val="24"/>
          <w:szCs w:val="24"/>
          <w:lang w:val="en-US"/>
        </w:rPr>
      </w:pPr>
      <w:r>
        <w:t>128B.</w:t>
      </w:r>
      <w:r>
        <w:tab/>
        <w:t>Aquatic eco</w:t>
      </w:r>
      <w:r>
        <w:noBreakHyphen/>
        <w:t>tourism operator’s licence, grant of</w:t>
      </w:r>
      <w:r>
        <w:tab/>
      </w:r>
      <w:r>
        <w:fldChar w:fldCharType="begin"/>
      </w:r>
      <w:r>
        <w:instrText xml:space="preserve"> PAGEREF _Toc309309512 \h </w:instrText>
      </w:r>
      <w:r>
        <w:fldChar w:fldCharType="separate"/>
      </w:r>
      <w:r>
        <w:t>149</w:t>
      </w:r>
      <w:r>
        <w:fldChar w:fldCharType="end"/>
      </w:r>
    </w:p>
    <w:p>
      <w:pPr>
        <w:pStyle w:val="TOC8"/>
        <w:rPr>
          <w:sz w:val="24"/>
          <w:szCs w:val="24"/>
          <w:lang w:val="en-US"/>
        </w:rPr>
      </w:pPr>
      <w:r>
        <w:t>128D.</w:t>
      </w:r>
      <w:r>
        <w:tab/>
        <w:t>Documents to be carried on boat etc. connected with aquatic eco-tour</w:t>
      </w:r>
      <w:r>
        <w:tab/>
      </w:r>
      <w:r>
        <w:fldChar w:fldCharType="begin"/>
      </w:r>
      <w:r>
        <w:instrText xml:space="preserve"> PAGEREF _Toc309309513 \h </w:instrText>
      </w:r>
      <w:r>
        <w:fldChar w:fldCharType="separate"/>
      </w:r>
      <w:r>
        <w:t>150</w:t>
      </w:r>
      <w:r>
        <w:fldChar w:fldCharType="end"/>
      </w:r>
    </w:p>
    <w:p>
      <w:pPr>
        <w:pStyle w:val="TOC8"/>
        <w:rPr>
          <w:sz w:val="24"/>
          <w:szCs w:val="24"/>
          <w:lang w:val="en-US"/>
        </w:rPr>
      </w:pPr>
      <w:r>
        <w:t>128E.</w:t>
      </w:r>
      <w:r>
        <w:tab/>
        <w:t>Records to be kept and returns to be given to Department</w:t>
      </w:r>
      <w:r>
        <w:tab/>
      </w:r>
      <w:r>
        <w:fldChar w:fldCharType="begin"/>
      </w:r>
      <w:r>
        <w:instrText xml:space="preserve"> PAGEREF _Toc309309514 \h </w:instrText>
      </w:r>
      <w:r>
        <w:fldChar w:fldCharType="separate"/>
      </w:r>
      <w:r>
        <w:t>151</w:t>
      </w:r>
      <w:r>
        <w:fldChar w:fldCharType="end"/>
      </w:r>
    </w:p>
    <w:p>
      <w:pPr>
        <w:pStyle w:val="TOC8"/>
        <w:rPr>
          <w:sz w:val="24"/>
          <w:szCs w:val="24"/>
          <w:lang w:val="en-US"/>
        </w:rPr>
      </w:pPr>
      <w:r>
        <w:t>128G.</w:t>
      </w:r>
      <w:r>
        <w:tab/>
        <w:t>Fishing etc. and fish prohibited on aquatic eco</w:t>
      </w:r>
      <w:r>
        <w:noBreakHyphen/>
        <w:t>tour</w:t>
      </w:r>
      <w:r>
        <w:tab/>
      </w:r>
      <w:r>
        <w:fldChar w:fldCharType="begin"/>
      </w:r>
      <w:r>
        <w:instrText xml:space="preserve"> PAGEREF _Toc309309515 \h </w:instrText>
      </w:r>
      <w:r>
        <w:fldChar w:fldCharType="separate"/>
      </w:r>
      <w:r>
        <w:t>152</w:t>
      </w:r>
      <w:r>
        <w:fldChar w:fldCharType="end"/>
      </w:r>
    </w:p>
    <w:p>
      <w:pPr>
        <w:pStyle w:val="TOC8"/>
        <w:rPr>
          <w:sz w:val="24"/>
          <w:szCs w:val="24"/>
          <w:lang w:val="en-US"/>
        </w:rPr>
      </w:pPr>
      <w:r>
        <w:t>128H.</w:t>
      </w:r>
      <w:r>
        <w:tab/>
        <w:t>Boat not to be used for both commercial fishing and aquatic eco</w:t>
      </w:r>
      <w:r>
        <w:noBreakHyphen/>
        <w:t>tour during single trip</w:t>
      </w:r>
      <w:r>
        <w:tab/>
      </w:r>
      <w:r>
        <w:fldChar w:fldCharType="begin"/>
      </w:r>
      <w:r>
        <w:instrText xml:space="preserve"> PAGEREF _Toc309309516 \h </w:instrText>
      </w:r>
      <w:r>
        <w:fldChar w:fldCharType="separate"/>
      </w:r>
      <w:r>
        <w:t>152</w:t>
      </w:r>
      <w:r>
        <w:fldChar w:fldCharType="end"/>
      </w:r>
    </w:p>
    <w:p>
      <w:pPr>
        <w:pStyle w:val="TOC4"/>
        <w:tabs>
          <w:tab w:val="right" w:leader="dot" w:pos="7086"/>
        </w:tabs>
        <w:rPr>
          <w:b w:val="0"/>
          <w:sz w:val="24"/>
          <w:szCs w:val="24"/>
          <w:lang w:val="en-US"/>
        </w:rPr>
      </w:pPr>
      <w:r>
        <w:t>Division 5 — Fishing tour operators</w:t>
      </w:r>
    </w:p>
    <w:p>
      <w:pPr>
        <w:pStyle w:val="TOC8"/>
        <w:rPr>
          <w:sz w:val="24"/>
          <w:szCs w:val="24"/>
          <w:lang w:val="en-US"/>
        </w:rPr>
      </w:pPr>
      <w:r>
        <w:t>128I.</w:t>
      </w:r>
      <w:r>
        <w:tab/>
        <w:t>Fishing tour operator’s licence, when required</w:t>
      </w:r>
      <w:r>
        <w:tab/>
      </w:r>
      <w:r>
        <w:fldChar w:fldCharType="begin"/>
      </w:r>
      <w:r>
        <w:instrText xml:space="preserve"> PAGEREF _Toc309309518 \h </w:instrText>
      </w:r>
      <w:r>
        <w:fldChar w:fldCharType="separate"/>
      </w:r>
      <w:r>
        <w:t>153</w:t>
      </w:r>
      <w:r>
        <w:fldChar w:fldCharType="end"/>
      </w:r>
    </w:p>
    <w:p>
      <w:pPr>
        <w:pStyle w:val="TOC8"/>
        <w:rPr>
          <w:sz w:val="24"/>
          <w:szCs w:val="24"/>
          <w:lang w:val="en-US"/>
        </w:rPr>
      </w:pPr>
      <w:r>
        <w:t>128J.</w:t>
      </w:r>
      <w:r>
        <w:tab/>
        <w:t>Fishing tour operator’s licence, grant of</w:t>
      </w:r>
      <w:r>
        <w:tab/>
      </w:r>
      <w:r>
        <w:fldChar w:fldCharType="begin"/>
      </w:r>
      <w:r>
        <w:instrText xml:space="preserve"> PAGEREF _Toc309309519 \h </w:instrText>
      </w:r>
      <w:r>
        <w:fldChar w:fldCharType="separate"/>
      </w:r>
      <w:r>
        <w:t>153</w:t>
      </w:r>
      <w:r>
        <w:fldChar w:fldCharType="end"/>
      </w:r>
    </w:p>
    <w:p>
      <w:pPr>
        <w:pStyle w:val="TOC8"/>
        <w:rPr>
          <w:sz w:val="24"/>
          <w:szCs w:val="24"/>
          <w:lang w:val="en-US"/>
        </w:rPr>
      </w:pPr>
      <w:r>
        <w:t>128K.</w:t>
      </w:r>
      <w:r>
        <w:tab/>
        <w:t>Master of fishing boat used for fishing tours to notify Department of commercial fishing trip</w:t>
      </w:r>
      <w:r>
        <w:tab/>
      </w:r>
      <w:r>
        <w:fldChar w:fldCharType="begin"/>
      </w:r>
      <w:r>
        <w:instrText xml:space="preserve"> PAGEREF _Toc309309520 \h </w:instrText>
      </w:r>
      <w:r>
        <w:fldChar w:fldCharType="separate"/>
      </w:r>
      <w:r>
        <w:t>154</w:t>
      </w:r>
      <w:r>
        <w:fldChar w:fldCharType="end"/>
      </w:r>
    </w:p>
    <w:p>
      <w:pPr>
        <w:pStyle w:val="TOC8"/>
        <w:rPr>
          <w:sz w:val="24"/>
          <w:szCs w:val="24"/>
          <w:lang w:val="en-US"/>
        </w:rPr>
      </w:pPr>
      <w:r>
        <w:t>128L.</w:t>
      </w:r>
      <w:r>
        <w:tab/>
        <w:t>Documents to be carried on boat etc. connected with fishing tour</w:t>
      </w:r>
      <w:r>
        <w:tab/>
      </w:r>
      <w:r>
        <w:fldChar w:fldCharType="begin"/>
      </w:r>
      <w:r>
        <w:instrText xml:space="preserve"> PAGEREF _Toc309309521 \h </w:instrText>
      </w:r>
      <w:r>
        <w:fldChar w:fldCharType="separate"/>
      </w:r>
      <w:r>
        <w:t>155</w:t>
      </w:r>
      <w:r>
        <w:fldChar w:fldCharType="end"/>
      </w:r>
    </w:p>
    <w:p>
      <w:pPr>
        <w:pStyle w:val="TOC8"/>
        <w:rPr>
          <w:sz w:val="24"/>
          <w:szCs w:val="24"/>
          <w:lang w:val="en-US"/>
        </w:rPr>
      </w:pPr>
      <w:r>
        <w:t>128M.</w:t>
      </w:r>
      <w:r>
        <w:tab/>
        <w:t>Operators etc. to ensure participants in fishing tour comply with recreational fishing laws</w:t>
      </w:r>
      <w:r>
        <w:tab/>
      </w:r>
      <w:r>
        <w:fldChar w:fldCharType="begin"/>
      </w:r>
      <w:r>
        <w:instrText xml:space="preserve"> PAGEREF _Toc309309522 \h </w:instrText>
      </w:r>
      <w:r>
        <w:fldChar w:fldCharType="separate"/>
      </w:r>
      <w:r>
        <w:t>156</w:t>
      </w:r>
      <w:r>
        <w:fldChar w:fldCharType="end"/>
      </w:r>
    </w:p>
    <w:p>
      <w:pPr>
        <w:pStyle w:val="TOC8"/>
        <w:rPr>
          <w:sz w:val="24"/>
          <w:szCs w:val="24"/>
          <w:lang w:val="en-US"/>
        </w:rPr>
      </w:pPr>
      <w:r>
        <w:t>128O.</w:t>
      </w:r>
      <w:r>
        <w:tab/>
        <w:t>Sale of fish taken on fishing tour prohibited</w:t>
      </w:r>
      <w:r>
        <w:tab/>
      </w:r>
      <w:r>
        <w:fldChar w:fldCharType="begin"/>
      </w:r>
      <w:r>
        <w:instrText xml:space="preserve"> PAGEREF _Toc309309523 \h </w:instrText>
      </w:r>
      <w:r>
        <w:fldChar w:fldCharType="separate"/>
      </w:r>
      <w:r>
        <w:t>156</w:t>
      </w:r>
      <w:r>
        <w:fldChar w:fldCharType="end"/>
      </w:r>
    </w:p>
    <w:p>
      <w:pPr>
        <w:pStyle w:val="TOC8"/>
        <w:rPr>
          <w:sz w:val="24"/>
          <w:szCs w:val="24"/>
          <w:lang w:val="en-US"/>
        </w:rPr>
      </w:pPr>
      <w:r>
        <w:t>128P.</w:t>
      </w:r>
      <w:r>
        <w:tab/>
        <w:t>Boat not to be used for both commercial fishing and fishing tour during single trip</w:t>
      </w:r>
      <w:r>
        <w:tab/>
      </w:r>
      <w:r>
        <w:fldChar w:fldCharType="begin"/>
      </w:r>
      <w:r>
        <w:instrText xml:space="preserve"> PAGEREF _Toc309309524 \h </w:instrText>
      </w:r>
      <w:r>
        <w:fldChar w:fldCharType="separate"/>
      </w:r>
      <w:r>
        <w:t>156</w:t>
      </w:r>
      <w:r>
        <w:fldChar w:fldCharType="end"/>
      </w:r>
    </w:p>
    <w:p>
      <w:pPr>
        <w:pStyle w:val="TOC8"/>
        <w:rPr>
          <w:sz w:val="24"/>
          <w:szCs w:val="24"/>
          <w:lang w:val="en-US"/>
        </w:rPr>
      </w:pPr>
      <w:r>
        <w:t>128R.</w:t>
      </w:r>
      <w:r>
        <w:tab/>
        <w:t>Person in charge of restricted fishing tour not to permit rod on boat</w:t>
      </w:r>
      <w:r>
        <w:tab/>
      </w:r>
      <w:r>
        <w:fldChar w:fldCharType="begin"/>
      </w:r>
      <w:r>
        <w:instrText xml:space="preserve"> PAGEREF _Toc309309525 \h </w:instrText>
      </w:r>
      <w:r>
        <w:fldChar w:fldCharType="separate"/>
      </w:r>
      <w:r>
        <w:t>157</w:t>
      </w:r>
      <w:r>
        <w:fldChar w:fldCharType="end"/>
      </w:r>
    </w:p>
    <w:p>
      <w:pPr>
        <w:pStyle w:val="TOC8"/>
        <w:rPr>
          <w:sz w:val="24"/>
          <w:szCs w:val="24"/>
          <w:lang w:val="en-US"/>
        </w:rPr>
      </w:pPr>
      <w:r>
        <w:t>128S.</w:t>
      </w:r>
      <w:r>
        <w:tab/>
        <w:t>Restricted fishing tours, limits on fishing etc. by participants etc.</w:t>
      </w:r>
      <w:r>
        <w:tab/>
      </w:r>
      <w:r>
        <w:fldChar w:fldCharType="begin"/>
      </w:r>
      <w:r>
        <w:instrText xml:space="preserve"> PAGEREF _Toc309309526 \h </w:instrText>
      </w:r>
      <w:r>
        <w:fldChar w:fldCharType="separate"/>
      </w:r>
      <w:r>
        <w:t>157</w:t>
      </w:r>
      <w:r>
        <w:fldChar w:fldCharType="end"/>
      </w:r>
    </w:p>
    <w:p>
      <w:pPr>
        <w:pStyle w:val="TOC4"/>
        <w:tabs>
          <w:tab w:val="right" w:leader="dot" w:pos="7086"/>
        </w:tabs>
        <w:rPr>
          <w:b w:val="0"/>
          <w:sz w:val="24"/>
          <w:szCs w:val="24"/>
          <w:lang w:val="en-US"/>
        </w:rPr>
      </w:pPr>
      <w:r>
        <w:t>Division 6A — Replacement of cancelled authorisations</w:t>
      </w:r>
    </w:p>
    <w:p>
      <w:pPr>
        <w:pStyle w:val="TOC8"/>
        <w:rPr>
          <w:sz w:val="24"/>
          <w:szCs w:val="24"/>
          <w:lang w:val="en-US"/>
        </w:rPr>
      </w:pPr>
      <w:r>
        <w:t>129A.</w:t>
      </w:r>
      <w:r>
        <w:tab/>
        <w:t>Terms used</w:t>
      </w:r>
      <w:r>
        <w:tab/>
      </w:r>
      <w:r>
        <w:fldChar w:fldCharType="begin"/>
      </w:r>
      <w:r>
        <w:instrText xml:space="preserve"> PAGEREF _Toc309309528 \h </w:instrText>
      </w:r>
      <w:r>
        <w:fldChar w:fldCharType="separate"/>
      </w:r>
      <w:r>
        <w:t>158</w:t>
      </w:r>
      <w:r>
        <w:fldChar w:fldCharType="end"/>
      </w:r>
    </w:p>
    <w:p>
      <w:pPr>
        <w:pStyle w:val="TOC8"/>
        <w:rPr>
          <w:sz w:val="24"/>
          <w:szCs w:val="24"/>
          <w:lang w:val="en-US"/>
        </w:rPr>
      </w:pPr>
      <w:r>
        <w:t>129B.</w:t>
      </w:r>
      <w:r>
        <w:tab/>
        <w:t>CEO may grant certain replacement authorisations</w:t>
      </w:r>
      <w:r>
        <w:tab/>
      </w:r>
      <w:r>
        <w:fldChar w:fldCharType="begin"/>
      </w:r>
      <w:r>
        <w:instrText xml:space="preserve"> PAGEREF _Toc309309529 \h </w:instrText>
      </w:r>
      <w:r>
        <w:fldChar w:fldCharType="separate"/>
      </w:r>
      <w:r>
        <w:t>158</w:t>
      </w:r>
      <w:r>
        <w:fldChar w:fldCharType="end"/>
      </w:r>
    </w:p>
    <w:p>
      <w:pPr>
        <w:pStyle w:val="TOC4"/>
        <w:tabs>
          <w:tab w:val="right" w:leader="dot" w:pos="7086"/>
        </w:tabs>
        <w:rPr>
          <w:b w:val="0"/>
          <w:sz w:val="24"/>
          <w:szCs w:val="24"/>
          <w:lang w:val="en-US"/>
        </w:rPr>
      </w:pPr>
      <w:r>
        <w:t>Division 6 — General</w:t>
      </w:r>
    </w:p>
    <w:p>
      <w:pPr>
        <w:pStyle w:val="TOC8"/>
        <w:rPr>
          <w:sz w:val="24"/>
          <w:szCs w:val="24"/>
          <w:lang w:val="en-US"/>
        </w:rPr>
      </w:pPr>
      <w:r>
        <w:t>129</w:t>
      </w:r>
      <w:r>
        <w:rPr>
          <w:snapToGrid w:val="0"/>
        </w:rPr>
        <w:t>.</w:t>
      </w:r>
      <w:r>
        <w:rPr>
          <w:snapToGrid w:val="0"/>
        </w:rPr>
        <w:tab/>
        <w:t>Lost etc. authorisations, replacement of</w:t>
      </w:r>
      <w:r>
        <w:tab/>
      </w:r>
      <w:r>
        <w:fldChar w:fldCharType="begin"/>
      </w:r>
      <w:r>
        <w:instrText xml:space="preserve"> PAGEREF _Toc309309531 \h </w:instrText>
      </w:r>
      <w:r>
        <w:fldChar w:fldCharType="separate"/>
      </w:r>
      <w:r>
        <w:t>159</w:t>
      </w:r>
      <w:r>
        <w:fldChar w:fldCharType="end"/>
      </w:r>
    </w:p>
    <w:p>
      <w:pPr>
        <w:pStyle w:val="TOC8"/>
        <w:rPr>
          <w:sz w:val="24"/>
          <w:szCs w:val="24"/>
          <w:lang w:val="en-US"/>
        </w:rPr>
      </w:pPr>
      <w:r>
        <w:t>130</w:t>
      </w:r>
      <w:r>
        <w:rPr>
          <w:snapToGrid w:val="0"/>
        </w:rPr>
        <w:t>.</w:t>
      </w:r>
      <w:r>
        <w:rPr>
          <w:snapToGrid w:val="0"/>
        </w:rPr>
        <w:tab/>
        <w:t>Conditions of licences, imposition of etc.</w:t>
      </w:r>
      <w:r>
        <w:tab/>
      </w:r>
      <w:r>
        <w:fldChar w:fldCharType="begin"/>
      </w:r>
      <w:r>
        <w:instrText xml:space="preserve"> PAGEREF _Toc309309532 \h </w:instrText>
      </w:r>
      <w:r>
        <w:fldChar w:fldCharType="separate"/>
      </w:r>
      <w:r>
        <w:t>159</w:t>
      </w:r>
      <w:r>
        <w:fldChar w:fldCharType="end"/>
      </w:r>
    </w:p>
    <w:p>
      <w:pPr>
        <w:pStyle w:val="TOC8"/>
        <w:rPr>
          <w:sz w:val="24"/>
          <w:szCs w:val="24"/>
          <w:lang w:val="en-US"/>
        </w:rPr>
      </w:pPr>
      <w:r>
        <w:t>130A.</w:t>
      </w:r>
      <w:r>
        <w:tab/>
        <w:t>Boat used for aquatic eco</w:t>
      </w:r>
      <w:r>
        <w:noBreakHyphen/>
        <w:t>tourism or fishing tour to be identified</w:t>
      </w:r>
      <w:r>
        <w:tab/>
      </w:r>
      <w:r>
        <w:fldChar w:fldCharType="begin"/>
      </w:r>
      <w:r>
        <w:instrText xml:space="preserve"> PAGEREF _Toc309309533 \h </w:instrText>
      </w:r>
      <w:r>
        <w:fldChar w:fldCharType="separate"/>
      </w:r>
      <w:r>
        <w:t>160</w:t>
      </w:r>
      <w:r>
        <w:fldChar w:fldCharType="end"/>
      </w:r>
    </w:p>
    <w:p>
      <w:pPr>
        <w:pStyle w:val="TOC8"/>
        <w:rPr>
          <w:sz w:val="24"/>
          <w:szCs w:val="24"/>
          <w:lang w:val="en-US"/>
        </w:rPr>
      </w:pPr>
      <w:r>
        <w:t>131</w:t>
      </w:r>
      <w:r>
        <w:rPr>
          <w:snapToGrid w:val="0"/>
        </w:rPr>
        <w:t>.</w:t>
      </w:r>
      <w:r>
        <w:rPr>
          <w:snapToGrid w:val="0"/>
        </w:rPr>
        <w:tab/>
        <w:t>Grounds for refusal of transfer of authorisations etc. prescribed (Act s. 140)</w:t>
      </w:r>
      <w:r>
        <w:tab/>
      </w:r>
      <w:r>
        <w:fldChar w:fldCharType="begin"/>
      </w:r>
      <w:r>
        <w:instrText xml:space="preserve"> PAGEREF _Toc309309534 \h </w:instrText>
      </w:r>
      <w:r>
        <w:fldChar w:fldCharType="separate"/>
      </w:r>
      <w:r>
        <w:t>160</w:t>
      </w:r>
      <w:r>
        <w:fldChar w:fldCharType="end"/>
      </w:r>
    </w:p>
    <w:p>
      <w:pPr>
        <w:pStyle w:val="TOC8"/>
        <w:rPr>
          <w:sz w:val="24"/>
          <w:szCs w:val="24"/>
          <w:lang w:val="en-US"/>
        </w:rPr>
      </w:pPr>
      <w:r>
        <w:t>132</w:t>
      </w:r>
      <w:r>
        <w:rPr>
          <w:snapToGrid w:val="0"/>
        </w:rPr>
        <w:t>.</w:t>
      </w:r>
      <w:r>
        <w:rPr>
          <w:snapToGrid w:val="0"/>
        </w:rPr>
        <w:tab/>
        <w:t>Short term use of boat instead of lost etc. licensed fishing boat etc., authorisation of</w:t>
      </w:r>
      <w:r>
        <w:tab/>
      </w:r>
      <w:r>
        <w:fldChar w:fldCharType="begin"/>
      </w:r>
      <w:r>
        <w:instrText xml:space="preserve"> PAGEREF _Toc309309535 \h </w:instrText>
      </w:r>
      <w:r>
        <w:fldChar w:fldCharType="separate"/>
      </w:r>
      <w:r>
        <w:t>162</w:t>
      </w:r>
      <w:r>
        <w:fldChar w:fldCharType="end"/>
      </w:r>
    </w:p>
    <w:p>
      <w:pPr>
        <w:pStyle w:val="TOC8"/>
        <w:rPr>
          <w:sz w:val="24"/>
          <w:szCs w:val="24"/>
          <w:lang w:val="en-US"/>
        </w:rPr>
      </w:pPr>
      <w:r>
        <w:t>133</w:t>
      </w:r>
      <w:r>
        <w:rPr>
          <w:snapToGrid w:val="0"/>
        </w:rPr>
        <w:t>.</w:t>
      </w:r>
      <w:r>
        <w:rPr>
          <w:snapToGrid w:val="0"/>
        </w:rPr>
        <w:tab/>
        <w:t>Duration of licences</w:t>
      </w:r>
      <w:r>
        <w:tab/>
      </w:r>
      <w:r>
        <w:fldChar w:fldCharType="begin"/>
      </w:r>
      <w:r>
        <w:instrText xml:space="preserve"> PAGEREF _Toc309309536 \h </w:instrText>
      </w:r>
      <w:r>
        <w:fldChar w:fldCharType="separate"/>
      </w:r>
      <w:r>
        <w:t>163</w:t>
      </w:r>
      <w:r>
        <w:fldChar w:fldCharType="end"/>
      </w:r>
    </w:p>
    <w:p>
      <w:pPr>
        <w:pStyle w:val="TOC8"/>
        <w:rPr>
          <w:sz w:val="24"/>
          <w:szCs w:val="24"/>
          <w:lang w:val="en-US"/>
        </w:rPr>
      </w:pPr>
      <w:r>
        <w:t>134</w:t>
      </w:r>
      <w:r>
        <w:rPr>
          <w:snapToGrid w:val="0"/>
        </w:rPr>
        <w:t>.</w:t>
      </w:r>
      <w:r>
        <w:rPr>
          <w:snapToGrid w:val="0"/>
        </w:rPr>
        <w:tab/>
        <w:t>Renewal of licences</w:t>
      </w:r>
      <w:r>
        <w:tab/>
      </w:r>
      <w:r>
        <w:fldChar w:fldCharType="begin"/>
      </w:r>
      <w:r>
        <w:instrText xml:space="preserve"> PAGEREF _Toc309309537 \h </w:instrText>
      </w:r>
      <w:r>
        <w:fldChar w:fldCharType="separate"/>
      </w:r>
      <w:r>
        <w:t>163</w:t>
      </w:r>
      <w:r>
        <w:fldChar w:fldCharType="end"/>
      </w:r>
    </w:p>
    <w:p>
      <w:pPr>
        <w:pStyle w:val="TOC8"/>
        <w:rPr>
          <w:sz w:val="24"/>
          <w:szCs w:val="24"/>
          <w:lang w:val="en-US"/>
        </w:rPr>
      </w:pPr>
      <w:r>
        <w:t>135</w:t>
      </w:r>
      <w:r>
        <w:rPr>
          <w:snapToGrid w:val="0"/>
        </w:rPr>
        <w:t>.</w:t>
      </w:r>
      <w:r>
        <w:rPr>
          <w:snapToGrid w:val="0"/>
        </w:rPr>
        <w:tab/>
        <w:t>Application fees (Sch. 1 Part 2)</w:t>
      </w:r>
      <w:r>
        <w:tab/>
      </w:r>
      <w:r>
        <w:fldChar w:fldCharType="begin"/>
      </w:r>
      <w:r>
        <w:instrText xml:space="preserve"> PAGEREF _Toc309309538 \h </w:instrText>
      </w:r>
      <w:r>
        <w:fldChar w:fldCharType="separate"/>
      </w:r>
      <w:r>
        <w:t>163</w:t>
      </w:r>
      <w:r>
        <w:fldChar w:fldCharType="end"/>
      </w:r>
    </w:p>
    <w:p>
      <w:pPr>
        <w:pStyle w:val="TOC8"/>
        <w:rPr>
          <w:sz w:val="24"/>
          <w:szCs w:val="24"/>
          <w:lang w:val="en-US"/>
        </w:rPr>
      </w:pPr>
      <w:r>
        <w:t>136</w:t>
      </w:r>
      <w:r>
        <w:rPr>
          <w:snapToGrid w:val="0"/>
        </w:rPr>
        <w:t>.</w:t>
      </w:r>
      <w:r>
        <w:rPr>
          <w:snapToGrid w:val="0"/>
        </w:rPr>
        <w:tab/>
        <w:t>Recreational fishing licence fee halved for pensioners etc.</w:t>
      </w:r>
      <w:r>
        <w:tab/>
      </w:r>
      <w:r>
        <w:fldChar w:fldCharType="begin"/>
      </w:r>
      <w:r>
        <w:instrText xml:space="preserve"> PAGEREF _Toc309309539 \h </w:instrText>
      </w:r>
      <w:r>
        <w:fldChar w:fldCharType="separate"/>
      </w:r>
      <w:r>
        <w:t>163</w:t>
      </w:r>
      <w:r>
        <w:fldChar w:fldCharType="end"/>
      </w:r>
    </w:p>
    <w:p>
      <w:pPr>
        <w:pStyle w:val="TOC8"/>
        <w:rPr>
          <w:sz w:val="24"/>
          <w:szCs w:val="24"/>
          <w:lang w:val="en-US"/>
        </w:rPr>
      </w:pPr>
      <w:r>
        <w:t>137</w:t>
      </w:r>
      <w:r>
        <w:rPr>
          <w:snapToGrid w:val="0"/>
        </w:rPr>
        <w:t>.</w:t>
      </w:r>
      <w:r>
        <w:rPr>
          <w:snapToGrid w:val="0"/>
        </w:rPr>
        <w:tab/>
        <w:t>Fees for grant or renewal of authorisation (Sch. 1 Part 3)</w:t>
      </w:r>
      <w:r>
        <w:tab/>
      </w:r>
      <w:r>
        <w:fldChar w:fldCharType="begin"/>
      </w:r>
      <w:r>
        <w:instrText xml:space="preserve"> PAGEREF _Toc309309540 \h </w:instrText>
      </w:r>
      <w:r>
        <w:fldChar w:fldCharType="separate"/>
      </w:r>
      <w:r>
        <w:t>164</w:t>
      </w:r>
      <w:r>
        <w:fldChar w:fldCharType="end"/>
      </w:r>
    </w:p>
    <w:p>
      <w:pPr>
        <w:pStyle w:val="TOC8"/>
        <w:rPr>
          <w:sz w:val="24"/>
          <w:szCs w:val="24"/>
          <w:lang w:val="en-US"/>
        </w:rPr>
      </w:pPr>
      <w:r>
        <w:t>138</w:t>
      </w:r>
      <w:r>
        <w:rPr>
          <w:snapToGrid w:val="0"/>
        </w:rPr>
        <w:t>.</w:t>
      </w:r>
      <w:r>
        <w:rPr>
          <w:snapToGrid w:val="0"/>
        </w:rPr>
        <w:tab/>
        <w:t>Transfer of part of entitlement not permitted in some cases</w:t>
      </w:r>
      <w:r>
        <w:tab/>
      </w:r>
      <w:r>
        <w:fldChar w:fldCharType="begin"/>
      </w:r>
      <w:r>
        <w:instrText xml:space="preserve"> PAGEREF _Toc309309541 \h </w:instrText>
      </w:r>
      <w:r>
        <w:fldChar w:fldCharType="separate"/>
      </w:r>
      <w:r>
        <w:t>166</w:t>
      </w:r>
      <w:r>
        <w:fldChar w:fldCharType="end"/>
      </w:r>
    </w:p>
    <w:p>
      <w:pPr>
        <w:pStyle w:val="TOC8"/>
        <w:rPr>
          <w:sz w:val="24"/>
          <w:szCs w:val="24"/>
          <w:lang w:val="en-US"/>
        </w:rPr>
      </w:pPr>
      <w:r>
        <w:t>139</w:t>
      </w:r>
      <w:r>
        <w:rPr>
          <w:snapToGrid w:val="0"/>
        </w:rPr>
        <w:t>.</w:t>
      </w:r>
      <w:r>
        <w:rPr>
          <w:snapToGrid w:val="0"/>
        </w:rPr>
        <w:tab/>
        <w:t>Change of name or address, duty to notify CEO</w:t>
      </w:r>
      <w:r>
        <w:tab/>
      </w:r>
      <w:r>
        <w:fldChar w:fldCharType="begin"/>
      </w:r>
      <w:r>
        <w:instrText xml:space="preserve"> PAGEREF _Toc309309542 \h </w:instrText>
      </w:r>
      <w:r>
        <w:fldChar w:fldCharType="separate"/>
      </w:r>
      <w:r>
        <w:t>166</w:t>
      </w:r>
      <w:r>
        <w:fldChar w:fldCharType="end"/>
      </w:r>
    </w:p>
    <w:p>
      <w:pPr>
        <w:pStyle w:val="TOC2"/>
        <w:tabs>
          <w:tab w:val="right" w:leader="dot" w:pos="7086"/>
        </w:tabs>
        <w:rPr>
          <w:b w:val="0"/>
          <w:sz w:val="24"/>
          <w:szCs w:val="24"/>
          <w:lang w:val="en-US"/>
        </w:rPr>
      </w:pPr>
      <w:r>
        <w:t>Part 13 — Miscellaneous offences</w:t>
      </w:r>
    </w:p>
    <w:p>
      <w:pPr>
        <w:pStyle w:val="TOC8"/>
        <w:rPr>
          <w:sz w:val="24"/>
          <w:szCs w:val="24"/>
          <w:lang w:val="en-US"/>
        </w:rPr>
      </w:pPr>
      <w:r>
        <w:t>144</w:t>
      </w:r>
      <w:r>
        <w:rPr>
          <w:snapToGrid w:val="0"/>
        </w:rPr>
        <w:t>.</w:t>
      </w:r>
      <w:r>
        <w:rPr>
          <w:snapToGrid w:val="0"/>
        </w:rPr>
        <w:tab/>
        <w:t>Certain activities in bays etc. and as to use of traps prohibited</w:t>
      </w:r>
      <w:r>
        <w:tab/>
      </w:r>
      <w:r>
        <w:fldChar w:fldCharType="begin"/>
      </w:r>
      <w:r>
        <w:instrText xml:space="preserve"> PAGEREF _Toc309309544 \h </w:instrText>
      </w:r>
      <w:r>
        <w:fldChar w:fldCharType="separate"/>
      </w:r>
      <w:r>
        <w:t>167</w:t>
      </w:r>
      <w:r>
        <w:fldChar w:fldCharType="end"/>
      </w:r>
    </w:p>
    <w:p>
      <w:pPr>
        <w:pStyle w:val="TOC8"/>
        <w:rPr>
          <w:sz w:val="24"/>
          <w:szCs w:val="24"/>
          <w:lang w:val="en-US"/>
        </w:rPr>
      </w:pPr>
      <w:r>
        <w:t>145</w:t>
      </w:r>
      <w:r>
        <w:rPr>
          <w:snapToGrid w:val="0"/>
        </w:rPr>
        <w:t>.</w:t>
      </w:r>
      <w:r>
        <w:rPr>
          <w:snapToGrid w:val="0"/>
        </w:rPr>
        <w:tab/>
        <w:t>Explosives or noxious substances, carriage of on boats</w:t>
      </w:r>
      <w:r>
        <w:tab/>
      </w:r>
      <w:r>
        <w:fldChar w:fldCharType="begin"/>
      </w:r>
      <w:r>
        <w:instrText xml:space="preserve"> PAGEREF _Toc309309545 \h </w:instrText>
      </w:r>
      <w:r>
        <w:fldChar w:fldCharType="separate"/>
      </w:r>
      <w:r>
        <w:t>167</w:t>
      </w:r>
      <w:r>
        <w:fldChar w:fldCharType="end"/>
      </w:r>
    </w:p>
    <w:p>
      <w:pPr>
        <w:pStyle w:val="TOC8"/>
        <w:rPr>
          <w:sz w:val="24"/>
          <w:szCs w:val="24"/>
          <w:lang w:val="en-US"/>
        </w:rPr>
      </w:pPr>
      <w:r>
        <w:t>146</w:t>
      </w:r>
      <w:r>
        <w:rPr>
          <w:snapToGrid w:val="0"/>
        </w:rPr>
        <w:t>.</w:t>
      </w:r>
      <w:r>
        <w:rPr>
          <w:snapToGrid w:val="0"/>
        </w:rPr>
        <w:tab/>
        <w:t>Explosive or noxious substance used to take fish, presumptions as to possession of</w:t>
      </w:r>
      <w:r>
        <w:tab/>
      </w:r>
      <w:r>
        <w:fldChar w:fldCharType="begin"/>
      </w:r>
      <w:r>
        <w:instrText xml:space="preserve"> PAGEREF _Toc309309546 \h </w:instrText>
      </w:r>
      <w:r>
        <w:fldChar w:fldCharType="separate"/>
      </w:r>
      <w:r>
        <w:t>167</w:t>
      </w:r>
      <w:r>
        <w:fldChar w:fldCharType="end"/>
      </w:r>
    </w:p>
    <w:p>
      <w:pPr>
        <w:pStyle w:val="TOC2"/>
        <w:tabs>
          <w:tab w:val="right" w:leader="dot" w:pos="7086"/>
        </w:tabs>
        <w:rPr>
          <w:b w:val="0"/>
          <w:sz w:val="24"/>
          <w:szCs w:val="24"/>
          <w:lang w:val="en-US"/>
        </w:rPr>
      </w:pPr>
      <w:r>
        <w:t>Part 14 — Fisheries officers</w:t>
      </w:r>
    </w:p>
    <w:p>
      <w:pPr>
        <w:pStyle w:val="TOC8"/>
        <w:rPr>
          <w:sz w:val="24"/>
          <w:szCs w:val="24"/>
          <w:lang w:val="en-US"/>
        </w:rPr>
      </w:pPr>
      <w:r>
        <w:t>147</w:t>
      </w:r>
      <w:r>
        <w:rPr>
          <w:snapToGrid w:val="0"/>
        </w:rPr>
        <w:t>.</w:t>
      </w:r>
      <w:r>
        <w:rPr>
          <w:snapToGrid w:val="0"/>
        </w:rPr>
        <w:tab/>
        <w:t>Warrant form prescribed (Act s. 187)</w:t>
      </w:r>
      <w:r>
        <w:tab/>
      </w:r>
      <w:r>
        <w:fldChar w:fldCharType="begin"/>
      </w:r>
      <w:r>
        <w:instrText xml:space="preserve"> PAGEREF _Toc309309548 \h </w:instrText>
      </w:r>
      <w:r>
        <w:fldChar w:fldCharType="separate"/>
      </w:r>
      <w:r>
        <w:t>169</w:t>
      </w:r>
      <w:r>
        <w:fldChar w:fldCharType="end"/>
      </w:r>
    </w:p>
    <w:p>
      <w:pPr>
        <w:pStyle w:val="TOC8"/>
        <w:rPr>
          <w:sz w:val="24"/>
          <w:szCs w:val="24"/>
          <w:lang w:val="en-US"/>
        </w:rPr>
      </w:pPr>
      <w:r>
        <w:t>148</w:t>
      </w:r>
      <w:r>
        <w:rPr>
          <w:snapToGrid w:val="0"/>
        </w:rPr>
        <w:t>.</w:t>
      </w:r>
      <w:r>
        <w:rPr>
          <w:snapToGrid w:val="0"/>
        </w:rPr>
        <w:tab/>
        <w:t>Ways of disposing of fish prescribed (Act s. 194)</w:t>
      </w:r>
      <w:r>
        <w:tab/>
      </w:r>
      <w:r>
        <w:fldChar w:fldCharType="begin"/>
      </w:r>
      <w:r>
        <w:instrText xml:space="preserve"> PAGEREF _Toc309309549 \h </w:instrText>
      </w:r>
      <w:r>
        <w:fldChar w:fldCharType="separate"/>
      </w:r>
      <w:r>
        <w:t>169</w:t>
      </w:r>
      <w:r>
        <w:fldChar w:fldCharType="end"/>
      </w:r>
    </w:p>
    <w:p>
      <w:pPr>
        <w:pStyle w:val="TOC8"/>
        <w:rPr>
          <w:sz w:val="24"/>
          <w:szCs w:val="24"/>
          <w:lang w:val="en-US"/>
        </w:rPr>
      </w:pPr>
      <w:r>
        <w:t>149</w:t>
      </w:r>
      <w:r>
        <w:rPr>
          <w:snapToGrid w:val="0"/>
        </w:rPr>
        <w:t>.</w:t>
      </w:r>
      <w:r>
        <w:rPr>
          <w:snapToGrid w:val="0"/>
        </w:rPr>
        <w:tab/>
        <w:t>Accounts prescribed (Act s. 194)</w:t>
      </w:r>
      <w:r>
        <w:tab/>
      </w:r>
      <w:r>
        <w:fldChar w:fldCharType="begin"/>
      </w:r>
      <w:r>
        <w:instrText xml:space="preserve"> PAGEREF _Toc309309550 \h </w:instrText>
      </w:r>
      <w:r>
        <w:fldChar w:fldCharType="separate"/>
      </w:r>
      <w:r>
        <w:t>169</w:t>
      </w:r>
      <w:r>
        <w:fldChar w:fldCharType="end"/>
      </w:r>
    </w:p>
    <w:p>
      <w:pPr>
        <w:pStyle w:val="TOC8"/>
        <w:rPr>
          <w:sz w:val="24"/>
          <w:szCs w:val="24"/>
          <w:lang w:val="en-US"/>
        </w:rPr>
      </w:pPr>
      <w:r>
        <w:t>150</w:t>
      </w:r>
      <w:r>
        <w:rPr>
          <w:snapToGrid w:val="0"/>
        </w:rPr>
        <w:t>.</w:t>
      </w:r>
      <w:r>
        <w:rPr>
          <w:snapToGrid w:val="0"/>
        </w:rPr>
        <w:tab/>
        <w:t>Applying for compensation under Act s. 197(3)</w:t>
      </w:r>
      <w:r>
        <w:tab/>
      </w:r>
      <w:r>
        <w:fldChar w:fldCharType="begin"/>
      </w:r>
      <w:r>
        <w:instrText xml:space="preserve"> PAGEREF _Toc309309551 \h </w:instrText>
      </w:r>
      <w:r>
        <w:fldChar w:fldCharType="separate"/>
      </w:r>
      <w:r>
        <w:t>170</w:t>
      </w:r>
      <w:r>
        <w:fldChar w:fldCharType="end"/>
      </w:r>
    </w:p>
    <w:p>
      <w:pPr>
        <w:pStyle w:val="TOC2"/>
        <w:tabs>
          <w:tab w:val="right" w:leader="dot" w:pos="7086"/>
        </w:tabs>
        <w:rPr>
          <w:b w:val="0"/>
          <w:sz w:val="24"/>
          <w:szCs w:val="24"/>
          <w:lang w:val="en-US"/>
        </w:rPr>
      </w:pPr>
      <w:r>
        <w:t>Part 15 — Legal proceedings</w:t>
      </w:r>
    </w:p>
    <w:p>
      <w:pPr>
        <w:pStyle w:val="TOC8"/>
        <w:rPr>
          <w:sz w:val="24"/>
          <w:szCs w:val="24"/>
          <w:lang w:val="en-US"/>
        </w:rPr>
      </w:pPr>
      <w:r>
        <w:t>151</w:t>
      </w:r>
      <w:r>
        <w:rPr>
          <w:snapToGrid w:val="0"/>
        </w:rPr>
        <w:t>.</w:t>
      </w:r>
      <w:r>
        <w:rPr>
          <w:snapToGrid w:val="0"/>
        </w:rPr>
        <w:tab/>
        <w:t>Method for determining size etc. of fish prescribed (Act s. 214)</w:t>
      </w:r>
      <w:r>
        <w:tab/>
      </w:r>
      <w:r>
        <w:fldChar w:fldCharType="begin"/>
      </w:r>
      <w:r>
        <w:instrText xml:space="preserve"> PAGEREF _Toc309309553 \h </w:instrText>
      </w:r>
      <w:r>
        <w:fldChar w:fldCharType="separate"/>
      </w:r>
      <w:r>
        <w:t>171</w:t>
      </w:r>
      <w:r>
        <w:fldChar w:fldCharType="end"/>
      </w:r>
    </w:p>
    <w:p>
      <w:pPr>
        <w:pStyle w:val="TOC8"/>
        <w:rPr>
          <w:sz w:val="24"/>
          <w:szCs w:val="24"/>
          <w:lang w:val="en-US"/>
        </w:rPr>
      </w:pPr>
      <w:r>
        <w:t>152.</w:t>
      </w:r>
      <w:r>
        <w:tab/>
        <w:t>Australian datum prescribed (Act s. 216)</w:t>
      </w:r>
      <w:r>
        <w:tab/>
      </w:r>
      <w:r>
        <w:fldChar w:fldCharType="begin"/>
      </w:r>
      <w:r>
        <w:instrText xml:space="preserve"> PAGEREF _Toc309309554 \h </w:instrText>
      </w:r>
      <w:r>
        <w:fldChar w:fldCharType="separate"/>
      </w:r>
      <w:r>
        <w:t>171</w:t>
      </w:r>
      <w:r>
        <w:fldChar w:fldCharType="end"/>
      </w:r>
    </w:p>
    <w:p>
      <w:pPr>
        <w:pStyle w:val="TOC8"/>
        <w:rPr>
          <w:sz w:val="24"/>
          <w:szCs w:val="24"/>
          <w:lang w:val="en-US"/>
        </w:rPr>
      </w:pPr>
      <w:r>
        <w:t>153</w:t>
      </w:r>
      <w:r>
        <w:rPr>
          <w:snapToGrid w:val="0"/>
        </w:rPr>
        <w:t>.</w:t>
      </w:r>
      <w:r>
        <w:rPr>
          <w:snapToGrid w:val="0"/>
        </w:rPr>
        <w:tab/>
        <w:t>Way of giving notice prescribed (Act s. 219(1))</w:t>
      </w:r>
      <w:r>
        <w:tab/>
      </w:r>
      <w:r>
        <w:fldChar w:fldCharType="begin"/>
      </w:r>
      <w:r>
        <w:instrText xml:space="preserve"> PAGEREF _Toc309309555 \h </w:instrText>
      </w:r>
      <w:r>
        <w:fldChar w:fldCharType="separate"/>
      </w:r>
      <w:r>
        <w:t>172</w:t>
      </w:r>
      <w:r>
        <w:fldChar w:fldCharType="end"/>
      </w:r>
    </w:p>
    <w:p>
      <w:pPr>
        <w:pStyle w:val="TOC8"/>
        <w:rPr>
          <w:sz w:val="24"/>
          <w:szCs w:val="24"/>
          <w:lang w:val="en-US"/>
        </w:rPr>
      </w:pPr>
      <w:r>
        <w:t>154</w:t>
      </w:r>
      <w:r>
        <w:rPr>
          <w:snapToGrid w:val="0"/>
        </w:rPr>
        <w:t>.</w:t>
      </w:r>
      <w:r>
        <w:rPr>
          <w:snapToGrid w:val="0"/>
        </w:rPr>
        <w:tab/>
        <w:t>Things forfeited to Crown, disposal of</w:t>
      </w:r>
      <w:r>
        <w:tab/>
      </w:r>
      <w:r>
        <w:fldChar w:fldCharType="begin"/>
      </w:r>
      <w:r>
        <w:instrText xml:space="preserve"> PAGEREF _Toc309309556 \h </w:instrText>
      </w:r>
      <w:r>
        <w:fldChar w:fldCharType="separate"/>
      </w:r>
      <w:r>
        <w:t>172</w:t>
      </w:r>
      <w:r>
        <w:fldChar w:fldCharType="end"/>
      </w:r>
    </w:p>
    <w:p>
      <w:pPr>
        <w:pStyle w:val="TOC8"/>
        <w:rPr>
          <w:sz w:val="24"/>
          <w:szCs w:val="24"/>
          <w:lang w:val="en-US"/>
        </w:rPr>
      </w:pPr>
      <w:r>
        <w:t>155</w:t>
      </w:r>
      <w:r>
        <w:rPr>
          <w:snapToGrid w:val="0"/>
        </w:rPr>
        <w:t>.</w:t>
      </w:r>
      <w:r>
        <w:rPr>
          <w:snapToGrid w:val="0"/>
        </w:rPr>
        <w:tab/>
        <w:t>Accounts prescribed (Act s. 221)</w:t>
      </w:r>
      <w:r>
        <w:tab/>
      </w:r>
      <w:r>
        <w:fldChar w:fldCharType="begin"/>
      </w:r>
      <w:r>
        <w:instrText xml:space="preserve"> PAGEREF _Toc309309557 \h </w:instrText>
      </w:r>
      <w:r>
        <w:fldChar w:fldCharType="separate"/>
      </w:r>
      <w:r>
        <w:t>173</w:t>
      </w:r>
      <w:r>
        <w:fldChar w:fldCharType="end"/>
      </w:r>
    </w:p>
    <w:p>
      <w:pPr>
        <w:pStyle w:val="TOC8"/>
        <w:rPr>
          <w:sz w:val="24"/>
          <w:szCs w:val="24"/>
          <w:lang w:val="en-US"/>
        </w:rPr>
      </w:pPr>
      <w:r>
        <w:t>156</w:t>
      </w:r>
      <w:r>
        <w:rPr>
          <w:snapToGrid w:val="0"/>
        </w:rPr>
        <w:t>.</w:t>
      </w:r>
      <w:r>
        <w:rPr>
          <w:snapToGrid w:val="0"/>
        </w:rPr>
        <w:tab/>
        <w:t>Provisions of regulations prescribed (Act s. 222(1))</w:t>
      </w:r>
      <w:r>
        <w:tab/>
      </w:r>
      <w:r>
        <w:fldChar w:fldCharType="begin"/>
      </w:r>
      <w:r>
        <w:instrText xml:space="preserve"> PAGEREF _Toc309309558 \h </w:instrText>
      </w:r>
      <w:r>
        <w:fldChar w:fldCharType="separate"/>
      </w:r>
      <w:r>
        <w:t>173</w:t>
      </w:r>
      <w:r>
        <w:fldChar w:fldCharType="end"/>
      </w:r>
    </w:p>
    <w:p>
      <w:pPr>
        <w:pStyle w:val="TOC8"/>
        <w:rPr>
          <w:sz w:val="24"/>
          <w:szCs w:val="24"/>
          <w:lang w:val="en-US"/>
        </w:rPr>
      </w:pPr>
      <w:r>
        <w:t>157.</w:t>
      </w:r>
      <w:r>
        <w:tab/>
        <w:t>Values prescribed (Act s. 222(4))</w:t>
      </w:r>
      <w:r>
        <w:tab/>
      </w:r>
      <w:r>
        <w:fldChar w:fldCharType="begin"/>
      </w:r>
      <w:r>
        <w:instrText xml:space="preserve"> PAGEREF _Toc309309559 \h </w:instrText>
      </w:r>
      <w:r>
        <w:fldChar w:fldCharType="separate"/>
      </w:r>
      <w:r>
        <w:t>174</w:t>
      </w:r>
      <w:r>
        <w:fldChar w:fldCharType="end"/>
      </w:r>
    </w:p>
    <w:p>
      <w:pPr>
        <w:pStyle w:val="TOC8"/>
        <w:rPr>
          <w:sz w:val="24"/>
          <w:szCs w:val="24"/>
          <w:lang w:val="en-US"/>
        </w:rPr>
      </w:pPr>
      <w:r>
        <w:t>158</w:t>
      </w:r>
      <w:r>
        <w:rPr>
          <w:snapToGrid w:val="0"/>
        </w:rPr>
        <w:t>.</w:t>
      </w:r>
      <w:r>
        <w:rPr>
          <w:snapToGrid w:val="0"/>
        </w:rPr>
        <w:tab/>
        <w:t>Offences prescribed (Act s. 224(1))</w:t>
      </w:r>
      <w:r>
        <w:tab/>
      </w:r>
      <w:r>
        <w:fldChar w:fldCharType="begin"/>
      </w:r>
      <w:r>
        <w:instrText xml:space="preserve"> PAGEREF _Toc309309560 \h </w:instrText>
      </w:r>
      <w:r>
        <w:fldChar w:fldCharType="separate"/>
      </w:r>
      <w:r>
        <w:t>174</w:t>
      </w:r>
      <w:r>
        <w:fldChar w:fldCharType="end"/>
      </w:r>
    </w:p>
    <w:p>
      <w:pPr>
        <w:pStyle w:val="TOC8"/>
        <w:rPr>
          <w:sz w:val="24"/>
          <w:szCs w:val="24"/>
          <w:lang w:val="en-US"/>
        </w:rPr>
      </w:pPr>
      <w:r>
        <w:t>159</w:t>
      </w:r>
      <w:r>
        <w:rPr>
          <w:snapToGrid w:val="0"/>
        </w:rPr>
        <w:t>.</w:t>
      </w:r>
      <w:r>
        <w:rPr>
          <w:snapToGrid w:val="0"/>
        </w:rPr>
        <w:tab/>
        <w:t>Offences prescribed (Act s. 228(1))</w:t>
      </w:r>
      <w:r>
        <w:tab/>
      </w:r>
      <w:r>
        <w:fldChar w:fldCharType="begin"/>
      </w:r>
      <w:r>
        <w:instrText xml:space="preserve"> PAGEREF _Toc309309561 \h </w:instrText>
      </w:r>
      <w:r>
        <w:fldChar w:fldCharType="separate"/>
      </w:r>
      <w:r>
        <w:t>175</w:t>
      </w:r>
      <w:r>
        <w:fldChar w:fldCharType="end"/>
      </w:r>
    </w:p>
    <w:p>
      <w:pPr>
        <w:pStyle w:val="TOC8"/>
        <w:rPr>
          <w:sz w:val="24"/>
          <w:szCs w:val="24"/>
          <w:lang w:val="en-US"/>
        </w:rPr>
      </w:pPr>
      <w:r>
        <w:t>160</w:t>
      </w:r>
      <w:r>
        <w:rPr>
          <w:snapToGrid w:val="0"/>
        </w:rPr>
        <w:t>.</w:t>
      </w:r>
      <w:r>
        <w:rPr>
          <w:snapToGrid w:val="0"/>
        </w:rPr>
        <w:tab/>
        <w:t>Infringement notice form prescribed (Act s. 229(1))</w:t>
      </w:r>
      <w:r>
        <w:tab/>
      </w:r>
      <w:r>
        <w:fldChar w:fldCharType="begin"/>
      </w:r>
      <w:r>
        <w:instrText xml:space="preserve"> PAGEREF _Toc309309562 \h </w:instrText>
      </w:r>
      <w:r>
        <w:fldChar w:fldCharType="separate"/>
      </w:r>
      <w:r>
        <w:t>175</w:t>
      </w:r>
      <w:r>
        <w:fldChar w:fldCharType="end"/>
      </w:r>
    </w:p>
    <w:p>
      <w:pPr>
        <w:pStyle w:val="TOC8"/>
        <w:rPr>
          <w:sz w:val="24"/>
          <w:szCs w:val="24"/>
          <w:lang w:val="en-US"/>
        </w:rPr>
      </w:pPr>
      <w:r>
        <w:t>161</w:t>
      </w:r>
      <w:r>
        <w:rPr>
          <w:snapToGrid w:val="0"/>
        </w:rPr>
        <w:t>.</w:t>
      </w:r>
      <w:r>
        <w:rPr>
          <w:snapToGrid w:val="0"/>
        </w:rPr>
        <w:tab/>
        <w:t>Withdrawal of infringement notice form prescribed (Act s. 231(1))</w:t>
      </w:r>
      <w:r>
        <w:tab/>
      </w:r>
      <w:r>
        <w:fldChar w:fldCharType="begin"/>
      </w:r>
      <w:r>
        <w:instrText xml:space="preserve"> PAGEREF _Toc309309563 \h </w:instrText>
      </w:r>
      <w:r>
        <w:fldChar w:fldCharType="separate"/>
      </w:r>
      <w:r>
        <w:t>175</w:t>
      </w:r>
      <w:r>
        <w:fldChar w:fldCharType="end"/>
      </w:r>
    </w:p>
    <w:p>
      <w:pPr>
        <w:pStyle w:val="TOC8"/>
        <w:rPr>
          <w:sz w:val="24"/>
          <w:szCs w:val="24"/>
          <w:lang w:val="en-US"/>
        </w:rPr>
      </w:pPr>
      <w:r>
        <w:t>162</w:t>
      </w:r>
      <w:r>
        <w:rPr>
          <w:snapToGrid w:val="0"/>
        </w:rPr>
        <w:t>.</w:t>
      </w:r>
      <w:r>
        <w:rPr>
          <w:snapToGrid w:val="0"/>
        </w:rPr>
        <w:tab/>
        <w:t>Modified penalties prescribed (Act s. 229)</w:t>
      </w:r>
      <w:r>
        <w:tab/>
      </w:r>
      <w:r>
        <w:fldChar w:fldCharType="begin"/>
      </w:r>
      <w:r>
        <w:instrText xml:space="preserve"> PAGEREF _Toc309309564 \h </w:instrText>
      </w:r>
      <w:r>
        <w:fldChar w:fldCharType="separate"/>
      </w:r>
      <w:r>
        <w:t>175</w:t>
      </w:r>
      <w:r>
        <w:fldChar w:fldCharType="end"/>
      </w:r>
    </w:p>
    <w:p>
      <w:pPr>
        <w:pStyle w:val="TOC2"/>
        <w:tabs>
          <w:tab w:val="right" w:leader="dot" w:pos="7086"/>
        </w:tabs>
        <w:rPr>
          <w:b w:val="0"/>
          <w:sz w:val="24"/>
          <w:szCs w:val="24"/>
          <w:lang w:val="en-US"/>
        </w:rPr>
      </w:pPr>
      <w:r>
        <w:t>Part 16 — Financial provisions</w:t>
      </w:r>
    </w:p>
    <w:p>
      <w:pPr>
        <w:pStyle w:val="TOC8"/>
        <w:rPr>
          <w:sz w:val="24"/>
          <w:szCs w:val="24"/>
          <w:lang w:val="en-US"/>
        </w:rPr>
      </w:pPr>
      <w:r>
        <w:t>163</w:t>
      </w:r>
      <w:r>
        <w:rPr>
          <w:snapToGrid w:val="0"/>
        </w:rPr>
        <w:t>.</w:t>
      </w:r>
      <w:r>
        <w:rPr>
          <w:snapToGrid w:val="0"/>
        </w:rPr>
        <w:tab/>
        <w:t>Times prescribed for special purpose audits (Act s. 240)</w:t>
      </w:r>
      <w:r>
        <w:tab/>
      </w:r>
      <w:r>
        <w:fldChar w:fldCharType="begin"/>
      </w:r>
      <w:r>
        <w:instrText xml:space="preserve"> PAGEREF _Toc309309566 \h </w:instrText>
      </w:r>
      <w:r>
        <w:fldChar w:fldCharType="separate"/>
      </w:r>
      <w:r>
        <w:t>176</w:t>
      </w:r>
      <w:r>
        <w:fldChar w:fldCharType="end"/>
      </w:r>
    </w:p>
    <w:p>
      <w:pPr>
        <w:pStyle w:val="TOC2"/>
        <w:tabs>
          <w:tab w:val="right" w:leader="dot" w:pos="7086"/>
        </w:tabs>
        <w:rPr>
          <w:b w:val="0"/>
          <w:sz w:val="24"/>
          <w:szCs w:val="24"/>
          <w:lang w:val="en-US"/>
        </w:rPr>
      </w:pPr>
      <w:r>
        <w:t>Part 17 — Miscellaneous</w:t>
      </w:r>
    </w:p>
    <w:p>
      <w:pPr>
        <w:pStyle w:val="TOC4"/>
        <w:tabs>
          <w:tab w:val="right" w:leader="dot" w:pos="7086"/>
        </w:tabs>
        <w:rPr>
          <w:b w:val="0"/>
          <w:sz w:val="24"/>
          <w:szCs w:val="24"/>
          <w:lang w:val="en-US"/>
        </w:rPr>
      </w:pPr>
      <w:r>
        <w:t>Division 1</w:t>
      </w:r>
      <w:r>
        <w:rPr>
          <w:snapToGrid w:val="0"/>
        </w:rPr>
        <w:t> — </w:t>
      </w:r>
      <w:r>
        <w:t>Guidelines</w:t>
      </w:r>
    </w:p>
    <w:p>
      <w:pPr>
        <w:pStyle w:val="TOC8"/>
        <w:rPr>
          <w:sz w:val="24"/>
          <w:szCs w:val="24"/>
          <w:lang w:val="en-US"/>
        </w:rPr>
      </w:pPr>
      <w:r>
        <w:t>164</w:t>
      </w:r>
      <w:r>
        <w:rPr>
          <w:snapToGrid w:val="0"/>
        </w:rPr>
        <w:t>.</w:t>
      </w:r>
      <w:r>
        <w:rPr>
          <w:snapToGrid w:val="0"/>
        </w:rPr>
        <w:tab/>
        <w:t>Ways of publishing guidelines prescribed (Act s. 246 and 247)</w:t>
      </w:r>
      <w:r>
        <w:tab/>
      </w:r>
      <w:r>
        <w:fldChar w:fldCharType="begin"/>
      </w:r>
      <w:r>
        <w:instrText xml:space="preserve"> PAGEREF _Toc309309569 \h </w:instrText>
      </w:r>
      <w:r>
        <w:fldChar w:fldCharType="separate"/>
      </w:r>
      <w:r>
        <w:t>177</w:t>
      </w:r>
      <w:r>
        <w:fldChar w:fldCharType="end"/>
      </w:r>
    </w:p>
    <w:p>
      <w:pPr>
        <w:pStyle w:val="TOC8"/>
        <w:rPr>
          <w:sz w:val="24"/>
          <w:szCs w:val="24"/>
          <w:lang w:val="en-US"/>
        </w:rPr>
      </w:pPr>
      <w:r>
        <w:t>165</w:t>
      </w:r>
      <w:r>
        <w:rPr>
          <w:snapToGrid w:val="0"/>
        </w:rPr>
        <w:t>.</w:t>
      </w:r>
      <w:r>
        <w:rPr>
          <w:snapToGrid w:val="0"/>
        </w:rPr>
        <w:tab/>
        <w:t>Form of notice to attend inquiry etc. (Act s. 249(3))</w:t>
      </w:r>
      <w:r>
        <w:tab/>
      </w:r>
      <w:r>
        <w:fldChar w:fldCharType="begin"/>
      </w:r>
      <w:r>
        <w:instrText xml:space="preserve"> PAGEREF _Toc309309570 \h </w:instrText>
      </w:r>
      <w:r>
        <w:fldChar w:fldCharType="separate"/>
      </w:r>
      <w:r>
        <w:t>177</w:t>
      </w:r>
      <w:r>
        <w:fldChar w:fldCharType="end"/>
      </w:r>
    </w:p>
    <w:p>
      <w:pPr>
        <w:pStyle w:val="TOC4"/>
        <w:tabs>
          <w:tab w:val="right" w:leader="dot" w:pos="7086"/>
        </w:tabs>
        <w:rPr>
          <w:b w:val="0"/>
          <w:sz w:val="24"/>
          <w:szCs w:val="24"/>
          <w:lang w:val="en-US"/>
        </w:rPr>
      </w:pPr>
      <w:r>
        <w:t>Division 2</w:t>
      </w:r>
      <w:r>
        <w:rPr>
          <w:snapToGrid w:val="0"/>
        </w:rPr>
        <w:t> — </w:t>
      </w:r>
      <w:r>
        <w:t>Exclusive licences</w:t>
      </w:r>
    </w:p>
    <w:p>
      <w:pPr>
        <w:pStyle w:val="TOC8"/>
        <w:rPr>
          <w:sz w:val="24"/>
          <w:szCs w:val="24"/>
          <w:lang w:val="en-US"/>
        </w:rPr>
      </w:pPr>
      <w:r>
        <w:t>166</w:t>
      </w:r>
      <w:r>
        <w:rPr>
          <w:snapToGrid w:val="0"/>
        </w:rPr>
        <w:t>.</w:t>
      </w:r>
      <w:r>
        <w:rPr>
          <w:snapToGrid w:val="0"/>
        </w:rPr>
        <w:tab/>
        <w:t>Applications for exclusive licences</w:t>
      </w:r>
      <w:r>
        <w:tab/>
      </w:r>
      <w:r>
        <w:fldChar w:fldCharType="begin"/>
      </w:r>
      <w:r>
        <w:instrText xml:space="preserve"> PAGEREF _Toc309309572 \h </w:instrText>
      </w:r>
      <w:r>
        <w:fldChar w:fldCharType="separate"/>
      </w:r>
      <w:r>
        <w:t>177</w:t>
      </w:r>
      <w:r>
        <w:fldChar w:fldCharType="end"/>
      </w:r>
    </w:p>
    <w:p>
      <w:pPr>
        <w:pStyle w:val="TOC8"/>
        <w:rPr>
          <w:sz w:val="24"/>
          <w:szCs w:val="24"/>
          <w:lang w:val="en-US"/>
        </w:rPr>
      </w:pPr>
      <w:r>
        <w:t>167</w:t>
      </w:r>
      <w:r>
        <w:rPr>
          <w:snapToGrid w:val="0"/>
        </w:rPr>
        <w:t>.</w:t>
      </w:r>
      <w:r>
        <w:rPr>
          <w:snapToGrid w:val="0"/>
        </w:rPr>
        <w:tab/>
        <w:t>Effect of exclusive licences</w:t>
      </w:r>
      <w:r>
        <w:tab/>
      </w:r>
      <w:r>
        <w:fldChar w:fldCharType="begin"/>
      </w:r>
      <w:r>
        <w:instrText xml:space="preserve"> PAGEREF _Toc309309573 \h </w:instrText>
      </w:r>
      <w:r>
        <w:fldChar w:fldCharType="separate"/>
      </w:r>
      <w:r>
        <w:t>178</w:t>
      </w:r>
      <w:r>
        <w:fldChar w:fldCharType="end"/>
      </w:r>
    </w:p>
    <w:p>
      <w:pPr>
        <w:pStyle w:val="TOC8"/>
        <w:rPr>
          <w:sz w:val="24"/>
          <w:szCs w:val="24"/>
          <w:lang w:val="en-US"/>
        </w:rPr>
      </w:pPr>
      <w:r>
        <w:t>168</w:t>
      </w:r>
      <w:r>
        <w:rPr>
          <w:snapToGrid w:val="0"/>
        </w:rPr>
        <w:t>.</w:t>
      </w:r>
      <w:r>
        <w:rPr>
          <w:snapToGrid w:val="0"/>
        </w:rPr>
        <w:tab/>
        <w:t>Form of exclusive licences</w:t>
      </w:r>
      <w:r>
        <w:tab/>
      </w:r>
      <w:r>
        <w:fldChar w:fldCharType="begin"/>
      </w:r>
      <w:r>
        <w:instrText xml:space="preserve"> PAGEREF _Toc309309574 \h </w:instrText>
      </w:r>
      <w:r>
        <w:fldChar w:fldCharType="separate"/>
      </w:r>
      <w:r>
        <w:t>178</w:t>
      </w:r>
      <w:r>
        <w:fldChar w:fldCharType="end"/>
      </w:r>
    </w:p>
    <w:p>
      <w:pPr>
        <w:pStyle w:val="TOC8"/>
        <w:rPr>
          <w:sz w:val="24"/>
          <w:szCs w:val="24"/>
          <w:lang w:val="en-US"/>
        </w:rPr>
      </w:pPr>
      <w:r>
        <w:t>169</w:t>
      </w:r>
      <w:r>
        <w:rPr>
          <w:snapToGrid w:val="0"/>
        </w:rPr>
        <w:t>.</w:t>
      </w:r>
      <w:r>
        <w:rPr>
          <w:snapToGrid w:val="0"/>
        </w:rPr>
        <w:tab/>
        <w:t>Renewal after expiry of exclusive licences</w:t>
      </w:r>
      <w:r>
        <w:tab/>
      </w:r>
      <w:r>
        <w:fldChar w:fldCharType="begin"/>
      </w:r>
      <w:r>
        <w:instrText xml:space="preserve"> PAGEREF _Toc309309575 \h </w:instrText>
      </w:r>
      <w:r>
        <w:fldChar w:fldCharType="separate"/>
      </w:r>
      <w:r>
        <w:t>178</w:t>
      </w:r>
      <w:r>
        <w:fldChar w:fldCharType="end"/>
      </w:r>
    </w:p>
    <w:p>
      <w:pPr>
        <w:pStyle w:val="TOC8"/>
        <w:rPr>
          <w:sz w:val="24"/>
          <w:szCs w:val="24"/>
          <w:lang w:val="en-US"/>
        </w:rPr>
      </w:pPr>
      <w:r>
        <w:t>170</w:t>
      </w:r>
      <w:r>
        <w:rPr>
          <w:snapToGrid w:val="0"/>
        </w:rPr>
        <w:t>.</w:t>
      </w:r>
      <w:r>
        <w:rPr>
          <w:snapToGrid w:val="0"/>
        </w:rPr>
        <w:tab/>
        <w:t>Some draft exclusive licences to go before Parliament</w:t>
      </w:r>
      <w:r>
        <w:tab/>
      </w:r>
      <w:r>
        <w:fldChar w:fldCharType="begin"/>
      </w:r>
      <w:r>
        <w:instrText xml:space="preserve"> PAGEREF _Toc309309576 \h </w:instrText>
      </w:r>
      <w:r>
        <w:fldChar w:fldCharType="separate"/>
      </w:r>
      <w:r>
        <w:t>178</w:t>
      </w:r>
      <w:r>
        <w:fldChar w:fldCharType="end"/>
      </w:r>
    </w:p>
    <w:p>
      <w:pPr>
        <w:pStyle w:val="TOC8"/>
        <w:rPr>
          <w:sz w:val="24"/>
          <w:szCs w:val="24"/>
          <w:lang w:val="en-US"/>
        </w:rPr>
      </w:pPr>
      <w:r>
        <w:t>171</w:t>
      </w:r>
      <w:r>
        <w:rPr>
          <w:snapToGrid w:val="0"/>
        </w:rPr>
        <w:t>.</w:t>
      </w:r>
      <w:r>
        <w:rPr>
          <w:snapToGrid w:val="0"/>
        </w:rPr>
        <w:tab/>
        <w:t>Conditions of exclusive licences</w:t>
      </w:r>
      <w:r>
        <w:tab/>
      </w:r>
      <w:r>
        <w:fldChar w:fldCharType="begin"/>
      </w:r>
      <w:r>
        <w:instrText xml:space="preserve"> PAGEREF _Toc309309577 \h </w:instrText>
      </w:r>
      <w:r>
        <w:fldChar w:fldCharType="separate"/>
      </w:r>
      <w:r>
        <w:t>179</w:t>
      </w:r>
      <w:r>
        <w:fldChar w:fldCharType="end"/>
      </w:r>
    </w:p>
    <w:p>
      <w:pPr>
        <w:pStyle w:val="TOC8"/>
        <w:rPr>
          <w:sz w:val="24"/>
          <w:szCs w:val="24"/>
          <w:lang w:val="en-US"/>
        </w:rPr>
      </w:pPr>
      <w:r>
        <w:t>172</w:t>
      </w:r>
      <w:r>
        <w:rPr>
          <w:snapToGrid w:val="0"/>
        </w:rPr>
        <w:t>.</w:t>
      </w:r>
      <w:r>
        <w:rPr>
          <w:snapToGrid w:val="0"/>
        </w:rPr>
        <w:tab/>
        <w:t>Who can fish in areas the subject of exclusive licences</w:t>
      </w:r>
      <w:r>
        <w:tab/>
      </w:r>
      <w:r>
        <w:fldChar w:fldCharType="begin"/>
      </w:r>
      <w:r>
        <w:instrText xml:space="preserve"> PAGEREF _Toc309309578 \h </w:instrText>
      </w:r>
      <w:r>
        <w:fldChar w:fldCharType="separate"/>
      </w:r>
      <w:r>
        <w:t>179</w:t>
      </w:r>
      <w:r>
        <w:fldChar w:fldCharType="end"/>
      </w:r>
    </w:p>
    <w:p>
      <w:pPr>
        <w:pStyle w:val="TOC4"/>
        <w:tabs>
          <w:tab w:val="right" w:leader="dot" w:pos="7086"/>
        </w:tabs>
        <w:rPr>
          <w:b w:val="0"/>
          <w:sz w:val="24"/>
          <w:szCs w:val="24"/>
          <w:lang w:val="en-US"/>
        </w:rPr>
      </w:pPr>
      <w:r>
        <w:t>Division 3</w:t>
      </w:r>
      <w:r>
        <w:rPr>
          <w:snapToGrid w:val="0"/>
        </w:rPr>
        <w:t> — </w:t>
      </w:r>
      <w:r>
        <w:t>Prohibition of activities that pollute waters</w:t>
      </w:r>
    </w:p>
    <w:p>
      <w:pPr>
        <w:pStyle w:val="TOC8"/>
        <w:rPr>
          <w:sz w:val="24"/>
          <w:szCs w:val="24"/>
          <w:lang w:val="en-US"/>
        </w:rPr>
      </w:pPr>
      <w:r>
        <w:t>173</w:t>
      </w:r>
      <w:r>
        <w:rPr>
          <w:snapToGrid w:val="0"/>
        </w:rPr>
        <w:t>.</w:t>
      </w:r>
      <w:r>
        <w:rPr>
          <w:snapToGrid w:val="0"/>
        </w:rPr>
        <w:tab/>
        <w:t>Form of notice prohibiting activities (Act s. 255(1))</w:t>
      </w:r>
      <w:r>
        <w:tab/>
      </w:r>
      <w:r>
        <w:fldChar w:fldCharType="begin"/>
      </w:r>
      <w:r>
        <w:instrText xml:space="preserve"> PAGEREF _Toc309309580 \h </w:instrText>
      </w:r>
      <w:r>
        <w:fldChar w:fldCharType="separate"/>
      </w:r>
      <w:r>
        <w:t>180</w:t>
      </w:r>
      <w:r>
        <w:fldChar w:fldCharType="end"/>
      </w:r>
    </w:p>
    <w:p>
      <w:pPr>
        <w:pStyle w:val="TOC8"/>
        <w:rPr>
          <w:sz w:val="24"/>
          <w:szCs w:val="24"/>
          <w:lang w:val="en-US"/>
        </w:rPr>
      </w:pPr>
      <w:r>
        <w:t>174</w:t>
      </w:r>
      <w:r>
        <w:rPr>
          <w:snapToGrid w:val="0"/>
        </w:rPr>
        <w:t>.</w:t>
      </w:r>
      <w:r>
        <w:rPr>
          <w:snapToGrid w:val="0"/>
        </w:rPr>
        <w:tab/>
        <w:t>Form of notice of variation or revocation (Act s. 255(2)(c))</w:t>
      </w:r>
      <w:r>
        <w:tab/>
      </w:r>
      <w:r>
        <w:fldChar w:fldCharType="begin"/>
      </w:r>
      <w:r>
        <w:instrText xml:space="preserve"> PAGEREF _Toc309309581 \h </w:instrText>
      </w:r>
      <w:r>
        <w:fldChar w:fldCharType="separate"/>
      </w:r>
      <w:r>
        <w:t>180</w:t>
      </w:r>
      <w:r>
        <w:fldChar w:fldCharType="end"/>
      </w:r>
    </w:p>
    <w:p>
      <w:pPr>
        <w:pStyle w:val="TOC4"/>
        <w:tabs>
          <w:tab w:val="right" w:leader="dot" w:pos="7086"/>
        </w:tabs>
        <w:rPr>
          <w:b w:val="0"/>
          <w:sz w:val="24"/>
          <w:szCs w:val="24"/>
          <w:lang w:val="en-US"/>
        </w:rPr>
      </w:pPr>
      <w:r>
        <w:t>Division 4</w:t>
      </w:r>
      <w:r>
        <w:rPr>
          <w:snapToGrid w:val="0"/>
        </w:rPr>
        <w:t> — </w:t>
      </w:r>
      <w:r>
        <w:t>General</w:t>
      </w:r>
    </w:p>
    <w:p>
      <w:pPr>
        <w:pStyle w:val="TOC8"/>
        <w:rPr>
          <w:sz w:val="24"/>
          <w:szCs w:val="24"/>
          <w:lang w:val="en-US"/>
        </w:rPr>
      </w:pPr>
      <w:r>
        <w:t>176</w:t>
      </w:r>
      <w:r>
        <w:rPr>
          <w:snapToGrid w:val="0"/>
        </w:rPr>
        <w:t>.</w:t>
      </w:r>
      <w:r>
        <w:rPr>
          <w:snapToGrid w:val="0"/>
        </w:rPr>
        <w:tab/>
        <w:t>Non</w:t>
      </w:r>
      <w:r>
        <w:rPr>
          <w:snapToGrid w:val="0"/>
        </w:rPr>
        <w:noBreakHyphen/>
        <w:t>endemic fish, approval to import into WA etc.</w:t>
      </w:r>
      <w:r>
        <w:tab/>
      </w:r>
      <w:r>
        <w:fldChar w:fldCharType="begin"/>
      </w:r>
      <w:r>
        <w:instrText xml:space="preserve"> PAGEREF _Toc309309583 \h </w:instrText>
      </w:r>
      <w:r>
        <w:fldChar w:fldCharType="separate"/>
      </w:r>
      <w:r>
        <w:t>180</w:t>
      </w:r>
      <w:r>
        <w:fldChar w:fldCharType="end"/>
      </w:r>
    </w:p>
    <w:p>
      <w:pPr>
        <w:pStyle w:val="TOC8"/>
        <w:rPr>
          <w:sz w:val="24"/>
          <w:szCs w:val="24"/>
          <w:lang w:val="en-US"/>
        </w:rPr>
      </w:pPr>
      <w:r>
        <w:t>177</w:t>
      </w:r>
      <w:r>
        <w:rPr>
          <w:snapToGrid w:val="0"/>
        </w:rPr>
        <w:t>.</w:t>
      </w:r>
      <w:r>
        <w:rPr>
          <w:snapToGrid w:val="0"/>
        </w:rPr>
        <w:tab/>
        <w:t>Disease control at fish processing or aquaculture places</w:t>
      </w:r>
      <w:r>
        <w:tab/>
      </w:r>
      <w:r>
        <w:fldChar w:fldCharType="begin"/>
      </w:r>
      <w:r>
        <w:instrText xml:space="preserve"> PAGEREF _Toc309309584 \h </w:instrText>
      </w:r>
      <w:r>
        <w:fldChar w:fldCharType="separate"/>
      </w:r>
      <w:r>
        <w:t>181</w:t>
      </w:r>
      <w:r>
        <w:fldChar w:fldCharType="end"/>
      </w:r>
    </w:p>
    <w:p>
      <w:pPr>
        <w:pStyle w:val="TOC8"/>
        <w:rPr>
          <w:sz w:val="24"/>
          <w:szCs w:val="24"/>
          <w:lang w:val="en-US"/>
        </w:rPr>
      </w:pPr>
      <w:r>
        <w:t>178</w:t>
      </w:r>
      <w:r>
        <w:rPr>
          <w:snapToGrid w:val="0"/>
        </w:rPr>
        <w:t>.</w:t>
      </w:r>
      <w:r>
        <w:rPr>
          <w:snapToGrid w:val="0"/>
        </w:rPr>
        <w:tab/>
        <w:t>Fish for scientific purposes, authority to fish for</w:t>
      </w:r>
      <w:r>
        <w:tab/>
      </w:r>
      <w:r>
        <w:fldChar w:fldCharType="begin"/>
      </w:r>
      <w:r>
        <w:instrText xml:space="preserve"> PAGEREF _Toc309309585 \h </w:instrText>
      </w:r>
      <w:r>
        <w:fldChar w:fldCharType="separate"/>
      </w:r>
      <w:r>
        <w:t>182</w:t>
      </w:r>
      <w:r>
        <w:fldChar w:fldCharType="end"/>
      </w:r>
    </w:p>
    <w:p>
      <w:pPr>
        <w:pStyle w:val="TOC8"/>
        <w:rPr>
          <w:sz w:val="24"/>
          <w:szCs w:val="24"/>
          <w:lang w:val="en-US"/>
        </w:rPr>
      </w:pPr>
      <w:r>
        <w:t>179</w:t>
      </w:r>
      <w:r>
        <w:rPr>
          <w:snapToGrid w:val="0"/>
        </w:rPr>
        <w:t>.</w:t>
      </w:r>
      <w:r>
        <w:rPr>
          <w:snapToGrid w:val="0"/>
        </w:rPr>
        <w:tab/>
        <w:t>Fish for genetic etc. analysis, approval to take etc.</w:t>
      </w:r>
      <w:r>
        <w:tab/>
      </w:r>
      <w:r>
        <w:fldChar w:fldCharType="begin"/>
      </w:r>
      <w:r>
        <w:instrText xml:space="preserve"> PAGEREF _Toc309309586 \h </w:instrText>
      </w:r>
      <w:r>
        <w:fldChar w:fldCharType="separate"/>
      </w:r>
      <w:r>
        <w:t>183</w:t>
      </w:r>
      <w:r>
        <w:fldChar w:fldCharType="end"/>
      </w:r>
    </w:p>
    <w:p>
      <w:pPr>
        <w:pStyle w:val="TOC8"/>
        <w:rPr>
          <w:sz w:val="24"/>
          <w:szCs w:val="24"/>
          <w:lang w:val="en-US"/>
        </w:rPr>
      </w:pPr>
      <w:r>
        <w:t>180</w:t>
      </w:r>
      <w:r>
        <w:rPr>
          <w:snapToGrid w:val="0"/>
        </w:rPr>
        <w:t>.</w:t>
      </w:r>
      <w:r>
        <w:rPr>
          <w:snapToGrid w:val="0"/>
        </w:rPr>
        <w:tab/>
        <w:t>Categories of fish (Sch. 4)</w:t>
      </w:r>
      <w:r>
        <w:tab/>
      </w:r>
      <w:r>
        <w:fldChar w:fldCharType="begin"/>
      </w:r>
      <w:r>
        <w:instrText xml:space="preserve"> PAGEREF _Toc309309587 \h </w:instrText>
      </w:r>
      <w:r>
        <w:fldChar w:fldCharType="separate"/>
      </w:r>
      <w:r>
        <w:t>184</w:t>
      </w:r>
      <w:r>
        <w:fldChar w:fldCharType="end"/>
      </w:r>
    </w:p>
    <w:p>
      <w:pPr>
        <w:pStyle w:val="TOC8"/>
        <w:rPr>
          <w:sz w:val="24"/>
          <w:szCs w:val="24"/>
          <w:lang w:val="en-US"/>
        </w:rPr>
      </w:pPr>
      <w:r>
        <w:t>181</w:t>
      </w:r>
      <w:r>
        <w:rPr>
          <w:snapToGrid w:val="0"/>
        </w:rPr>
        <w:t>.</w:t>
      </w:r>
      <w:r>
        <w:rPr>
          <w:snapToGrid w:val="0"/>
        </w:rPr>
        <w:tab/>
        <w:t>Fees and charges, reduction and waiver of</w:t>
      </w:r>
      <w:r>
        <w:tab/>
      </w:r>
      <w:r>
        <w:fldChar w:fldCharType="begin"/>
      </w:r>
      <w:r>
        <w:instrText xml:space="preserve"> PAGEREF _Toc309309588 \h </w:instrText>
      </w:r>
      <w:r>
        <w:fldChar w:fldCharType="separate"/>
      </w:r>
      <w:r>
        <w:t>184</w:t>
      </w:r>
      <w:r>
        <w:fldChar w:fldCharType="end"/>
      </w:r>
    </w:p>
    <w:p>
      <w:pPr>
        <w:pStyle w:val="TOC2"/>
        <w:tabs>
          <w:tab w:val="right" w:leader="dot" w:pos="7086"/>
        </w:tabs>
        <w:rPr>
          <w:b w:val="0"/>
          <w:sz w:val="24"/>
          <w:szCs w:val="24"/>
          <w:lang w:val="en-US"/>
        </w:rPr>
      </w:pPr>
      <w:r>
        <w:t>Part 18 — Savings and transitional provisions</w:t>
      </w:r>
    </w:p>
    <w:p>
      <w:pPr>
        <w:pStyle w:val="TOC8"/>
        <w:rPr>
          <w:sz w:val="24"/>
          <w:szCs w:val="24"/>
          <w:lang w:val="en-US"/>
        </w:rPr>
      </w:pPr>
      <w:r>
        <w:t>182</w:t>
      </w:r>
      <w:r>
        <w:rPr>
          <w:snapToGrid w:val="0"/>
        </w:rPr>
        <w:t>.</w:t>
      </w:r>
      <w:r>
        <w:rPr>
          <w:snapToGrid w:val="0"/>
        </w:rPr>
        <w:tab/>
        <w:t>Limited entry fisheries under repealed Act</w:t>
      </w:r>
      <w:r>
        <w:tab/>
      </w:r>
      <w:r>
        <w:fldChar w:fldCharType="begin"/>
      </w:r>
      <w:r>
        <w:instrText xml:space="preserve"> PAGEREF _Toc309309590 \h </w:instrText>
      </w:r>
      <w:r>
        <w:fldChar w:fldCharType="separate"/>
      </w:r>
      <w:r>
        <w:t>185</w:t>
      </w:r>
      <w:r>
        <w:fldChar w:fldCharType="end"/>
      </w:r>
    </w:p>
    <w:p>
      <w:pPr>
        <w:pStyle w:val="TOC8"/>
        <w:rPr>
          <w:sz w:val="24"/>
          <w:szCs w:val="24"/>
          <w:lang w:val="en-US"/>
        </w:rPr>
      </w:pPr>
      <w:r>
        <w:t>183</w:t>
      </w:r>
      <w:r>
        <w:rPr>
          <w:snapToGrid w:val="0"/>
        </w:rPr>
        <w:t>.</w:t>
      </w:r>
      <w:r>
        <w:rPr>
          <w:snapToGrid w:val="0"/>
        </w:rPr>
        <w:tab/>
        <w:t>Citation of notices</w:t>
      </w:r>
      <w:r>
        <w:tab/>
      </w:r>
      <w:r>
        <w:fldChar w:fldCharType="begin"/>
      </w:r>
      <w:r>
        <w:instrText xml:space="preserve"> PAGEREF _Toc309309591 \h </w:instrText>
      </w:r>
      <w:r>
        <w:fldChar w:fldCharType="separate"/>
      </w:r>
      <w:r>
        <w:t>185</w:t>
      </w:r>
      <w:r>
        <w:fldChar w:fldCharType="end"/>
      </w:r>
    </w:p>
    <w:p>
      <w:pPr>
        <w:pStyle w:val="TOC8"/>
        <w:rPr>
          <w:sz w:val="24"/>
          <w:szCs w:val="24"/>
          <w:lang w:val="en-US"/>
        </w:rPr>
      </w:pPr>
      <w:r>
        <w:t>186</w:t>
      </w:r>
      <w:r>
        <w:rPr>
          <w:snapToGrid w:val="0"/>
        </w:rPr>
        <w:t>.</w:t>
      </w:r>
      <w:r>
        <w:rPr>
          <w:snapToGrid w:val="0"/>
        </w:rPr>
        <w:tab/>
        <w:t>Certain notices under repealed Act continued as orders under Act s. 43</w:t>
      </w:r>
      <w:r>
        <w:tab/>
      </w:r>
      <w:r>
        <w:fldChar w:fldCharType="begin"/>
      </w:r>
      <w:r>
        <w:instrText xml:space="preserve"> PAGEREF _Toc309309592 \h </w:instrText>
      </w:r>
      <w:r>
        <w:fldChar w:fldCharType="separate"/>
      </w:r>
      <w:r>
        <w:t>186</w:t>
      </w:r>
      <w:r>
        <w:fldChar w:fldCharType="end"/>
      </w:r>
    </w:p>
    <w:p>
      <w:pPr>
        <w:pStyle w:val="TOC2"/>
        <w:tabs>
          <w:tab w:val="right" w:leader="dot" w:pos="7086"/>
        </w:tabs>
        <w:rPr>
          <w:b w:val="0"/>
          <w:sz w:val="24"/>
          <w:szCs w:val="24"/>
          <w:lang w:val="en-US"/>
        </w:rPr>
      </w:pPr>
      <w:r>
        <w:t>Schedule 1 — Fees</w:t>
      </w:r>
    </w:p>
    <w:p>
      <w:pPr>
        <w:pStyle w:val="TOC2"/>
        <w:tabs>
          <w:tab w:val="right" w:leader="dot" w:pos="7086"/>
        </w:tabs>
        <w:rPr>
          <w:b w:val="0"/>
          <w:sz w:val="24"/>
          <w:szCs w:val="24"/>
          <w:lang w:val="en-US"/>
        </w:rPr>
      </w:pPr>
      <w:r>
        <w:t>Part 1 — General fees</w:t>
      </w:r>
    </w:p>
    <w:p>
      <w:pPr>
        <w:pStyle w:val="TOC2"/>
        <w:tabs>
          <w:tab w:val="right" w:leader="dot" w:pos="7086"/>
        </w:tabs>
        <w:rPr>
          <w:b w:val="0"/>
          <w:sz w:val="24"/>
          <w:szCs w:val="24"/>
          <w:lang w:val="en-US"/>
        </w:rPr>
      </w:pPr>
      <w:r>
        <w:t>Part 2 — Application fees</w:t>
      </w:r>
    </w:p>
    <w:p>
      <w:pPr>
        <w:pStyle w:val="TOC2"/>
        <w:tabs>
          <w:tab w:val="right" w:leader="dot" w:pos="7086"/>
        </w:tabs>
        <w:rPr>
          <w:b w:val="0"/>
          <w:sz w:val="24"/>
          <w:szCs w:val="24"/>
          <w:lang w:val="en-US"/>
        </w:rPr>
      </w:pPr>
      <w:r>
        <w:t>Part 3 — Fees for the grant or renewal of authorisations</w:t>
      </w:r>
    </w:p>
    <w:p>
      <w:pPr>
        <w:pStyle w:val="TOC2"/>
        <w:tabs>
          <w:tab w:val="right" w:leader="dot" w:pos="7086"/>
        </w:tabs>
        <w:rPr>
          <w:b w:val="0"/>
          <w:sz w:val="24"/>
          <w:szCs w:val="24"/>
          <w:lang w:val="en-US"/>
        </w:rPr>
      </w:pPr>
      <w:r>
        <w:t>Schedule 2</w:t>
      </w:r>
    </w:p>
    <w:p>
      <w:pPr>
        <w:pStyle w:val="TOC2"/>
        <w:tabs>
          <w:tab w:val="right" w:leader="dot" w:pos="7086"/>
        </w:tabs>
        <w:rPr>
          <w:b w:val="0"/>
          <w:sz w:val="24"/>
          <w:szCs w:val="24"/>
          <w:lang w:val="en-US"/>
        </w:rPr>
      </w:pPr>
      <w:r>
        <w:t>Protected fish</w:t>
      </w:r>
    </w:p>
    <w:p>
      <w:pPr>
        <w:pStyle w:val="TOC2"/>
        <w:tabs>
          <w:tab w:val="right" w:leader="dot" w:pos="7086"/>
        </w:tabs>
        <w:rPr>
          <w:b w:val="0"/>
          <w:sz w:val="24"/>
          <w:szCs w:val="24"/>
          <w:lang w:val="en-US"/>
        </w:rPr>
      </w:pPr>
      <w:r>
        <w:t>Part 1 — Commercially protected fish</w:t>
      </w:r>
    </w:p>
    <w:p>
      <w:pPr>
        <w:pStyle w:val="TOC2"/>
        <w:tabs>
          <w:tab w:val="right" w:leader="dot" w:pos="7086"/>
        </w:tabs>
        <w:rPr>
          <w:b w:val="0"/>
          <w:sz w:val="24"/>
          <w:szCs w:val="24"/>
          <w:lang w:val="en-US"/>
        </w:rPr>
      </w:pPr>
      <w:r>
        <w:t>Part 2 — Totally protected fish</w:t>
      </w:r>
    </w:p>
    <w:p>
      <w:pPr>
        <w:pStyle w:val="TOC4"/>
        <w:tabs>
          <w:tab w:val="right" w:leader="dot" w:pos="7086"/>
        </w:tabs>
        <w:rPr>
          <w:b w:val="0"/>
          <w:sz w:val="24"/>
          <w:szCs w:val="24"/>
          <w:lang w:val="en-US"/>
        </w:rPr>
      </w:pPr>
      <w:r>
        <w:t>Division 1 — Certain reproducing crustaceans</w:t>
      </w:r>
    </w:p>
    <w:p>
      <w:pPr>
        <w:pStyle w:val="TOC4"/>
        <w:tabs>
          <w:tab w:val="right" w:leader="dot" w:pos="7086"/>
        </w:tabs>
        <w:rPr>
          <w:b w:val="0"/>
          <w:sz w:val="24"/>
          <w:szCs w:val="24"/>
          <w:lang w:val="en-US"/>
        </w:rPr>
      </w:pPr>
      <w:r>
        <w:t>Division 2 — Miscellaneous</w:t>
      </w:r>
    </w:p>
    <w:p>
      <w:pPr>
        <w:pStyle w:val="TOC4"/>
        <w:tabs>
          <w:tab w:val="right" w:leader="dot" w:pos="7086"/>
        </w:tabs>
        <w:rPr>
          <w:b w:val="0"/>
          <w:sz w:val="24"/>
          <w:szCs w:val="24"/>
          <w:lang w:val="en-US"/>
        </w:rPr>
      </w:pPr>
      <w:r>
        <w:t>Division 3 — Marine or fluvio</w:t>
      </w:r>
      <w:r>
        <w:noBreakHyphen/>
        <w:t>marine fish</w:t>
      </w:r>
    </w:p>
    <w:p>
      <w:pPr>
        <w:pStyle w:val="TOC6"/>
        <w:tabs>
          <w:tab w:val="right" w:leader="dot" w:pos="7086"/>
        </w:tabs>
        <w:rPr>
          <w:b w:val="0"/>
          <w:sz w:val="24"/>
          <w:szCs w:val="24"/>
          <w:lang w:val="en-US"/>
        </w:rPr>
      </w:pPr>
      <w:r>
        <w:t>Subdivision 1 — Protected by reference to species, area and period</w:t>
      </w:r>
    </w:p>
    <w:p>
      <w:pPr>
        <w:pStyle w:val="TOC8"/>
        <w:rPr>
          <w:sz w:val="24"/>
          <w:szCs w:val="24"/>
          <w:lang w:val="en-US"/>
        </w:rPr>
      </w:pPr>
      <w:r>
        <w:t>1.</w:t>
      </w:r>
      <w:r>
        <w:tab/>
        <w:t>Pink Snapper</w:t>
      </w:r>
      <w:r>
        <w:tab/>
      </w:r>
      <w:r>
        <w:fldChar w:fldCharType="begin"/>
      </w:r>
      <w:r>
        <w:instrText xml:space="preserve"> PAGEREF _Toc309309605 \h </w:instrText>
      </w:r>
      <w:r>
        <w:fldChar w:fldCharType="separate"/>
      </w:r>
      <w:r>
        <w:t>203</w:t>
      </w:r>
      <w:r>
        <w:fldChar w:fldCharType="end"/>
      </w:r>
    </w:p>
    <w:p>
      <w:pPr>
        <w:pStyle w:val="TOC8"/>
        <w:rPr>
          <w:sz w:val="24"/>
          <w:szCs w:val="24"/>
          <w:lang w:val="en-US"/>
        </w:rPr>
      </w:pPr>
      <w:r>
        <w:t>2.</w:t>
      </w:r>
      <w:r>
        <w:tab/>
        <w:t>Baldchin Groper</w:t>
      </w:r>
      <w:r>
        <w:tab/>
      </w:r>
      <w:r>
        <w:fldChar w:fldCharType="begin"/>
      </w:r>
      <w:r>
        <w:instrText xml:space="preserve"> PAGEREF _Toc309309606 \h </w:instrText>
      </w:r>
      <w:r>
        <w:fldChar w:fldCharType="separate"/>
      </w:r>
      <w:r>
        <w:t>203</w:t>
      </w:r>
      <w:r>
        <w:fldChar w:fldCharType="end"/>
      </w:r>
    </w:p>
    <w:p>
      <w:pPr>
        <w:pStyle w:val="TOC8"/>
        <w:rPr>
          <w:sz w:val="24"/>
          <w:szCs w:val="24"/>
          <w:lang w:val="en-US"/>
        </w:rPr>
      </w:pPr>
      <w:r>
        <w:t>3.</w:t>
      </w:r>
      <w:r>
        <w:tab/>
        <w:t>Cobbler</w:t>
      </w:r>
      <w:r>
        <w:tab/>
      </w:r>
      <w:r>
        <w:fldChar w:fldCharType="begin"/>
      </w:r>
      <w:r>
        <w:instrText xml:space="preserve"> PAGEREF _Toc309309607 \h </w:instrText>
      </w:r>
      <w:r>
        <w:fldChar w:fldCharType="separate"/>
      </w:r>
      <w:r>
        <w:t>204</w:t>
      </w:r>
      <w:r>
        <w:fldChar w:fldCharType="end"/>
      </w:r>
    </w:p>
    <w:p>
      <w:pPr>
        <w:pStyle w:val="TOC8"/>
        <w:rPr>
          <w:sz w:val="24"/>
          <w:szCs w:val="24"/>
          <w:lang w:val="en-US"/>
        </w:rPr>
      </w:pPr>
      <w:r>
        <w:t>4.</w:t>
      </w:r>
      <w:r>
        <w:tab/>
        <w:t>Blue Groper</w:t>
      </w:r>
      <w:r>
        <w:tab/>
      </w:r>
      <w:r>
        <w:fldChar w:fldCharType="begin"/>
      </w:r>
      <w:r>
        <w:instrText xml:space="preserve"> PAGEREF _Toc309309608 \h </w:instrText>
      </w:r>
      <w:r>
        <w:fldChar w:fldCharType="separate"/>
      </w:r>
      <w:r>
        <w:t>204</w:t>
      </w:r>
      <w:r>
        <w:fldChar w:fldCharType="end"/>
      </w:r>
    </w:p>
    <w:p>
      <w:pPr>
        <w:pStyle w:val="TOC6"/>
        <w:tabs>
          <w:tab w:val="right" w:leader="dot" w:pos="7086"/>
        </w:tabs>
        <w:rPr>
          <w:b w:val="0"/>
          <w:sz w:val="24"/>
          <w:szCs w:val="24"/>
          <w:lang w:val="en-US"/>
        </w:rPr>
      </w:pPr>
      <w:r>
        <w:t>Subdivision 2 — Protected by reference to species length or other factors</w:t>
      </w:r>
    </w:p>
    <w:p>
      <w:pPr>
        <w:pStyle w:val="TOC4"/>
        <w:tabs>
          <w:tab w:val="right" w:leader="dot" w:pos="7086"/>
        </w:tabs>
        <w:rPr>
          <w:b w:val="0"/>
          <w:sz w:val="24"/>
          <w:szCs w:val="24"/>
          <w:lang w:val="en-US"/>
        </w:rPr>
      </w:pPr>
      <w:r>
        <w:t>Division 4 — Freshwater fish</w:t>
      </w:r>
    </w:p>
    <w:p>
      <w:pPr>
        <w:pStyle w:val="TOC4"/>
        <w:tabs>
          <w:tab w:val="right" w:leader="dot" w:pos="7086"/>
        </w:tabs>
        <w:rPr>
          <w:b w:val="0"/>
          <w:sz w:val="24"/>
          <w:szCs w:val="24"/>
          <w:lang w:val="en-US"/>
        </w:rPr>
      </w:pPr>
      <w:r>
        <w:t>Division 5 — Crustaceans, other than those listed in Division 1</w:t>
      </w:r>
    </w:p>
    <w:p>
      <w:pPr>
        <w:pStyle w:val="TOC4"/>
        <w:tabs>
          <w:tab w:val="right" w:leader="dot" w:pos="7086"/>
        </w:tabs>
        <w:rPr>
          <w:b w:val="0"/>
          <w:sz w:val="24"/>
          <w:szCs w:val="24"/>
          <w:lang w:val="en-US"/>
        </w:rPr>
      </w:pPr>
      <w:r>
        <w:t>Division 6 — Molluscs</w:t>
      </w:r>
    </w:p>
    <w:p>
      <w:pPr>
        <w:pStyle w:val="TOC2"/>
        <w:tabs>
          <w:tab w:val="right" w:leader="dot" w:pos="7086"/>
        </w:tabs>
        <w:rPr>
          <w:b w:val="0"/>
          <w:sz w:val="24"/>
          <w:szCs w:val="24"/>
          <w:lang w:val="en-US"/>
        </w:rPr>
      </w:pPr>
      <w:r>
        <w:t>Schedule 3</w:t>
      </w:r>
    </w:p>
    <w:p>
      <w:pPr>
        <w:pStyle w:val="TOC2"/>
        <w:tabs>
          <w:tab w:val="right" w:leader="dot" w:pos="7086"/>
        </w:tabs>
        <w:rPr>
          <w:b w:val="0"/>
          <w:sz w:val="24"/>
          <w:szCs w:val="24"/>
          <w:lang w:val="en-US"/>
        </w:rPr>
      </w:pPr>
      <w:r>
        <w:t>Bag limits</w:t>
      </w:r>
    </w:p>
    <w:p>
      <w:pPr>
        <w:pStyle w:val="TOC2"/>
        <w:tabs>
          <w:tab w:val="right" w:leader="dot" w:pos="7086"/>
        </w:tabs>
        <w:rPr>
          <w:b w:val="0"/>
          <w:sz w:val="24"/>
          <w:szCs w:val="24"/>
          <w:lang w:val="en-US"/>
        </w:rPr>
      </w:pPr>
      <w:r>
        <w:t>Part 1 — Bag limits in the Gascoyne Region</w:t>
      </w:r>
    </w:p>
    <w:p>
      <w:pPr>
        <w:pStyle w:val="TOC4"/>
        <w:tabs>
          <w:tab w:val="right" w:leader="dot" w:pos="7086"/>
        </w:tabs>
        <w:rPr>
          <w:b w:val="0"/>
          <w:sz w:val="24"/>
          <w:szCs w:val="24"/>
          <w:lang w:val="en-US"/>
        </w:rPr>
      </w:pPr>
      <w:r>
        <w:t>Division 1 — Grouped bag limit of 7 fish</w:t>
      </w:r>
    </w:p>
    <w:p>
      <w:pPr>
        <w:pStyle w:val="TOC4"/>
        <w:tabs>
          <w:tab w:val="right" w:leader="dot" w:pos="7086"/>
        </w:tabs>
        <w:rPr>
          <w:b w:val="0"/>
          <w:sz w:val="24"/>
          <w:szCs w:val="24"/>
          <w:lang w:val="en-US"/>
        </w:rPr>
      </w:pPr>
      <w:r>
        <w:t>Division 2 — Grouped bag limit of 16 fish</w:t>
      </w:r>
    </w:p>
    <w:p>
      <w:pPr>
        <w:pStyle w:val="TOC4"/>
        <w:tabs>
          <w:tab w:val="right" w:leader="dot" w:pos="7086"/>
        </w:tabs>
        <w:rPr>
          <w:b w:val="0"/>
          <w:sz w:val="24"/>
          <w:szCs w:val="24"/>
          <w:lang w:val="en-US"/>
        </w:rPr>
      </w:pPr>
      <w:r>
        <w:t>Division 3 — Low risk finfish — grouped bag limit of 40 fish</w:t>
      </w:r>
    </w:p>
    <w:p>
      <w:pPr>
        <w:pStyle w:val="TOC4"/>
        <w:tabs>
          <w:tab w:val="right" w:leader="dot" w:pos="7086"/>
        </w:tabs>
        <w:rPr>
          <w:b w:val="0"/>
          <w:sz w:val="24"/>
          <w:szCs w:val="24"/>
          <w:lang w:val="en-US"/>
        </w:rPr>
      </w:pPr>
      <w:r>
        <w:t>Division 4 — Crustaceans</w:t>
      </w:r>
    </w:p>
    <w:p>
      <w:pPr>
        <w:pStyle w:val="TOC4"/>
        <w:tabs>
          <w:tab w:val="right" w:leader="dot" w:pos="7086"/>
        </w:tabs>
        <w:rPr>
          <w:b w:val="0"/>
          <w:sz w:val="24"/>
          <w:szCs w:val="24"/>
          <w:lang w:val="en-US"/>
        </w:rPr>
      </w:pPr>
      <w:r>
        <w:t>Division 5 — Molluscs</w:t>
      </w:r>
    </w:p>
    <w:p>
      <w:pPr>
        <w:pStyle w:val="TOC2"/>
        <w:tabs>
          <w:tab w:val="right" w:leader="dot" w:pos="7086"/>
        </w:tabs>
        <w:rPr>
          <w:b w:val="0"/>
          <w:sz w:val="24"/>
          <w:szCs w:val="24"/>
          <w:lang w:val="en-US"/>
        </w:rPr>
      </w:pPr>
      <w:r>
        <w:t>Part 2 — Bag limits in the Pilbara and Kimberley Region</w:t>
      </w:r>
    </w:p>
    <w:p>
      <w:pPr>
        <w:pStyle w:val="TOC4"/>
        <w:tabs>
          <w:tab w:val="right" w:leader="dot" w:pos="7086"/>
        </w:tabs>
        <w:rPr>
          <w:b w:val="0"/>
          <w:sz w:val="24"/>
          <w:szCs w:val="24"/>
          <w:lang w:val="en-US"/>
        </w:rPr>
      </w:pPr>
      <w:r>
        <w:t>Division 1 — Grouped bag limit of 7 fish</w:t>
      </w:r>
    </w:p>
    <w:p>
      <w:pPr>
        <w:pStyle w:val="TOC4"/>
        <w:tabs>
          <w:tab w:val="right" w:leader="dot" w:pos="7086"/>
        </w:tabs>
        <w:rPr>
          <w:b w:val="0"/>
          <w:sz w:val="24"/>
          <w:szCs w:val="24"/>
          <w:lang w:val="en-US"/>
        </w:rPr>
      </w:pPr>
      <w:r>
        <w:t>Division 2 — Grouped bag limit of 16 fish</w:t>
      </w:r>
    </w:p>
    <w:p>
      <w:pPr>
        <w:pStyle w:val="TOC4"/>
        <w:tabs>
          <w:tab w:val="right" w:leader="dot" w:pos="7086"/>
        </w:tabs>
        <w:rPr>
          <w:b w:val="0"/>
          <w:sz w:val="24"/>
          <w:szCs w:val="24"/>
          <w:lang w:val="en-US"/>
        </w:rPr>
      </w:pPr>
      <w:r>
        <w:t>Division 3 — Low risk finfish — grouped bag limit of 40 fish</w:t>
      </w:r>
    </w:p>
    <w:p>
      <w:pPr>
        <w:pStyle w:val="TOC4"/>
        <w:tabs>
          <w:tab w:val="right" w:leader="dot" w:pos="7086"/>
        </w:tabs>
        <w:rPr>
          <w:b w:val="0"/>
          <w:sz w:val="24"/>
          <w:szCs w:val="24"/>
          <w:lang w:val="en-US"/>
        </w:rPr>
      </w:pPr>
      <w:r>
        <w:t>Division 4 — Crustaceans</w:t>
      </w:r>
    </w:p>
    <w:p>
      <w:pPr>
        <w:pStyle w:val="TOC4"/>
        <w:tabs>
          <w:tab w:val="right" w:leader="dot" w:pos="7086"/>
        </w:tabs>
        <w:rPr>
          <w:b w:val="0"/>
          <w:sz w:val="24"/>
          <w:szCs w:val="24"/>
          <w:lang w:val="en-US"/>
        </w:rPr>
      </w:pPr>
      <w:r>
        <w:t>Division 5 — Molluscs</w:t>
      </w:r>
    </w:p>
    <w:p>
      <w:pPr>
        <w:pStyle w:val="TOC4"/>
        <w:tabs>
          <w:tab w:val="right" w:leader="dot" w:pos="7086"/>
        </w:tabs>
        <w:rPr>
          <w:b w:val="0"/>
          <w:sz w:val="24"/>
          <w:szCs w:val="24"/>
          <w:lang w:val="en-US"/>
        </w:rPr>
      </w:pPr>
      <w:r>
        <w:t>Division 6 — Miscellaneous</w:t>
      </w:r>
    </w:p>
    <w:p>
      <w:pPr>
        <w:pStyle w:val="TOC2"/>
        <w:tabs>
          <w:tab w:val="right" w:leader="dot" w:pos="7086"/>
        </w:tabs>
        <w:rPr>
          <w:b w:val="0"/>
          <w:sz w:val="24"/>
          <w:szCs w:val="24"/>
          <w:lang w:val="en-US"/>
        </w:rPr>
      </w:pPr>
      <w:r>
        <w:t>Part 3 — Bag limits in the West Coast Region</w:t>
      </w:r>
    </w:p>
    <w:p>
      <w:pPr>
        <w:pStyle w:val="TOC4"/>
        <w:tabs>
          <w:tab w:val="right" w:leader="dot" w:pos="7086"/>
        </w:tabs>
        <w:rPr>
          <w:b w:val="0"/>
          <w:sz w:val="24"/>
          <w:szCs w:val="24"/>
          <w:lang w:val="en-US"/>
        </w:rPr>
      </w:pPr>
      <w:r>
        <w:t>Division 1 — Grouped bag limit of 2 fish (demersal scalefish)</w:t>
      </w:r>
    </w:p>
    <w:p>
      <w:pPr>
        <w:pStyle w:val="TOC4"/>
        <w:tabs>
          <w:tab w:val="right" w:leader="dot" w:pos="7086"/>
        </w:tabs>
        <w:rPr>
          <w:b w:val="0"/>
          <w:sz w:val="24"/>
          <w:szCs w:val="24"/>
          <w:lang w:val="en-US"/>
        </w:rPr>
      </w:pPr>
      <w:r>
        <w:t>Division 2A — Grouped bag limit of 2 fish (pelagic species)</w:t>
      </w:r>
    </w:p>
    <w:p>
      <w:pPr>
        <w:pStyle w:val="TOC4"/>
        <w:tabs>
          <w:tab w:val="right" w:leader="dot" w:pos="7086"/>
        </w:tabs>
        <w:rPr>
          <w:b w:val="0"/>
          <w:sz w:val="24"/>
          <w:szCs w:val="24"/>
          <w:lang w:val="en-US"/>
        </w:rPr>
      </w:pPr>
      <w:r>
        <w:t>Division 2 — Grouped bag limit of 12 fish</w:t>
      </w:r>
    </w:p>
    <w:p>
      <w:pPr>
        <w:pStyle w:val="TOC4"/>
        <w:tabs>
          <w:tab w:val="right" w:leader="dot" w:pos="7086"/>
        </w:tabs>
        <w:rPr>
          <w:b w:val="0"/>
          <w:sz w:val="24"/>
          <w:szCs w:val="24"/>
          <w:lang w:val="en-US"/>
        </w:rPr>
      </w:pPr>
      <w:r>
        <w:t>Division 3 — Low risk finfish — grouped bag limit of 30 fish</w:t>
      </w:r>
    </w:p>
    <w:p>
      <w:pPr>
        <w:pStyle w:val="TOC4"/>
        <w:tabs>
          <w:tab w:val="right" w:leader="dot" w:pos="7086"/>
        </w:tabs>
        <w:rPr>
          <w:b w:val="0"/>
          <w:sz w:val="24"/>
          <w:szCs w:val="24"/>
          <w:lang w:val="en-US"/>
        </w:rPr>
      </w:pPr>
      <w:r>
        <w:t>Division 4 — Crustaceans</w:t>
      </w:r>
    </w:p>
    <w:p>
      <w:pPr>
        <w:pStyle w:val="TOC4"/>
        <w:tabs>
          <w:tab w:val="right" w:leader="dot" w:pos="7086"/>
        </w:tabs>
        <w:rPr>
          <w:b w:val="0"/>
          <w:sz w:val="24"/>
          <w:szCs w:val="24"/>
          <w:lang w:val="en-US"/>
        </w:rPr>
      </w:pPr>
      <w:r>
        <w:t>Division 5 — Molluscs</w:t>
      </w:r>
    </w:p>
    <w:p>
      <w:pPr>
        <w:pStyle w:val="TOC4"/>
        <w:tabs>
          <w:tab w:val="right" w:leader="dot" w:pos="7086"/>
        </w:tabs>
        <w:rPr>
          <w:b w:val="0"/>
          <w:sz w:val="24"/>
          <w:szCs w:val="24"/>
          <w:lang w:val="en-US"/>
        </w:rPr>
      </w:pPr>
      <w:r>
        <w:t>Division 6 — Miscellaneous</w:t>
      </w:r>
    </w:p>
    <w:p>
      <w:pPr>
        <w:pStyle w:val="TOC2"/>
        <w:tabs>
          <w:tab w:val="right" w:leader="dot" w:pos="7086"/>
        </w:tabs>
        <w:rPr>
          <w:b w:val="0"/>
          <w:sz w:val="24"/>
          <w:szCs w:val="24"/>
          <w:lang w:val="en-US"/>
        </w:rPr>
      </w:pPr>
      <w:r>
        <w:t>Part 4 — Bag limits in the South Coast Region</w:t>
      </w:r>
    </w:p>
    <w:p>
      <w:pPr>
        <w:pStyle w:val="TOC4"/>
        <w:tabs>
          <w:tab w:val="right" w:leader="dot" w:pos="7086"/>
        </w:tabs>
        <w:rPr>
          <w:b w:val="0"/>
          <w:sz w:val="24"/>
          <w:szCs w:val="24"/>
          <w:lang w:val="en-US"/>
        </w:rPr>
      </w:pPr>
      <w:r>
        <w:t>Division 1 — Grouped bag limit of 7 fish</w:t>
      </w:r>
    </w:p>
    <w:p>
      <w:pPr>
        <w:pStyle w:val="TOC4"/>
        <w:tabs>
          <w:tab w:val="right" w:leader="dot" w:pos="7086"/>
        </w:tabs>
        <w:rPr>
          <w:b w:val="0"/>
          <w:sz w:val="24"/>
          <w:szCs w:val="24"/>
          <w:lang w:val="en-US"/>
        </w:rPr>
      </w:pPr>
      <w:r>
        <w:t>Division 2 — Grouped bag limit of 16 fish</w:t>
      </w:r>
    </w:p>
    <w:p>
      <w:pPr>
        <w:pStyle w:val="TOC4"/>
        <w:tabs>
          <w:tab w:val="right" w:leader="dot" w:pos="7086"/>
        </w:tabs>
        <w:rPr>
          <w:b w:val="0"/>
          <w:sz w:val="24"/>
          <w:szCs w:val="24"/>
          <w:lang w:val="en-US"/>
        </w:rPr>
      </w:pPr>
      <w:r>
        <w:t>Division 3 — Low risk finfish — grouped bag limit of 40 fish</w:t>
      </w:r>
    </w:p>
    <w:p>
      <w:pPr>
        <w:pStyle w:val="TOC4"/>
        <w:tabs>
          <w:tab w:val="right" w:leader="dot" w:pos="7086"/>
        </w:tabs>
        <w:rPr>
          <w:b w:val="0"/>
          <w:sz w:val="24"/>
          <w:szCs w:val="24"/>
          <w:lang w:val="en-US"/>
        </w:rPr>
      </w:pPr>
      <w:r>
        <w:t>Division 4 — Crustaceans</w:t>
      </w:r>
    </w:p>
    <w:p>
      <w:pPr>
        <w:pStyle w:val="TOC4"/>
        <w:tabs>
          <w:tab w:val="right" w:leader="dot" w:pos="7086"/>
        </w:tabs>
        <w:rPr>
          <w:b w:val="0"/>
          <w:sz w:val="24"/>
          <w:szCs w:val="24"/>
          <w:lang w:val="en-US"/>
        </w:rPr>
      </w:pPr>
      <w:r>
        <w:t>Division 5 — Molluscs</w:t>
      </w:r>
    </w:p>
    <w:p>
      <w:pPr>
        <w:pStyle w:val="TOC4"/>
        <w:tabs>
          <w:tab w:val="right" w:leader="dot" w:pos="7086"/>
        </w:tabs>
        <w:rPr>
          <w:b w:val="0"/>
          <w:sz w:val="24"/>
          <w:szCs w:val="24"/>
          <w:lang w:val="en-US"/>
        </w:rPr>
      </w:pPr>
      <w:r>
        <w:t>Division 6 — Miscellaneous</w:t>
      </w:r>
    </w:p>
    <w:p>
      <w:pPr>
        <w:pStyle w:val="TOC2"/>
        <w:tabs>
          <w:tab w:val="right" w:leader="dot" w:pos="7086"/>
        </w:tabs>
        <w:rPr>
          <w:b w:val="0"/>
          <w:sz w:val="24"/>
          <w:szCs w:val="24"/>
          <w:lang w:val="en-US"/>
        </w:rPr>
      </w:pPr>
      <w:r>
        <w:t>Part 5</w:t>
      </w:r>
      <w:r>
        <w:rPr>
          <w:b w:val="0"/>
        </w:rPr>
        <w:t> </w:t>
      </w:r>
      <w:r>
        <w:t>—</w:t>
      </w:r>
      <w:r>
        <w:rPr>
          <w:b w:val="0"/>
        </w:rPr>
        <w:t> </w:t>
      </w:r>
      <w:r>
        <w:t>Bag limits for persons on West Coast Purse Seine Managed Fishery Boat</w:t>
      </w:r>
    </w:p>
    <w:p>
      <w:pPr>
        <w:pStyle w:val="TOC2"/>
        <w:tabs>
          <w:tab w:val="right" w:leader="dot" w:pos="7086"/>
        </w:tabs>
        <w:rPr>
          <w:b w:val="0"/>
          <w:sz w:val="24"/>
          <w:szCs w:val="24"/>
          <w:lang w:val="en-US"/>
        </w:rPr>
      </w:pPr>
      <w:r>
        <w:t>Schedule 4 — Categories of fish</w:t>
      </w:r>
    </w:p>
    <w:p>
      <w:pPr>
        <w:pStyle w:val="TOC2"/>
        <w:tabs>
          <w:tab w:val="right" w:leader="dot" w:pos="7086"/>
        </w:tabs>
        <w:rPr>
          <w:b w:val="0"/>
          <w:sz w:val="24"/>
          <w:szCs w:val="24"/>
          <w:lang w:val="en-US"/>
        </w:rPr>
      </w:pPr>
      <w:r>
        <w:t>Schedule 5 — Noxious fish</w:t>
      </w:r>
    </w:p>
    <w:p>
      <w:pPr>
        <w:pStyle w:val="TOC2"/>
        <w:tabs>
          <w:tab w:val="right" w:leader="dot" w:pos="7086"/>
        </w:tabs>
        <w:rPr>
          <w:b w:val="0"/>
          <w:sz w:val="24"/>
          <w:szCs w:val="24"/>
          <w:lang w:val="en-US"/>
        </w:rPr>
      </w:pPr>
      <w:r>
        <w:t>Schedule 6</w:t>
      </w:r>
    </w:p>
    <w:p>
      <w:pPr>
        <w:pStyle w:val="TOC2"/>
        <w:tabs>
          <w:tab w:val="right" w:leader="dot" w:pos="7086"/>
        </w:tabs>
        <w:rPr>
          <w:b w:val="0"/>
          <w:sz w:val="24"/>
          <w:szCs w:val="24"/>
          <w:lang w:val="en-US"/>
        </w:rPr>
      </w:pPr>
      <w:r>
        <w:t>Area of land prescribed under section 91(d) of the Act</w:t>
      </w:r>
    </w:p>
    <w:p>
      <w:pPr>
        <w:pStyle w:val="TOC2"/>
        <w:tabs>
          <w:tab w:val="right" w:leader="dot" w:pos="7086"/>
        </w:tabs>
        <w:rPr>
          <w:b w:val="0"/>
          <w:sz w:val="24"/>
          <w:szCs w:val="24"/>
          <w:lang w:val="en-US"/>
        </w:rPr>
      </w:pPr>
      <w:r>
        <w:t>Schedule 7</w:t>
      </w:r>
    </w:p>
    <w:p>
      <w:pPr>
        <w:pStyle w:val="TOC2"/>
        <w:tabs>
          <w:tab w:val="right" w:leader="dot" w:pos="7086"/>
        </w:tabs>
        <w:rPr>
          <w:b w:val="0"/>
          <w:sz w:val="24"/>
          <w:szCs w:val="24"/>
          <w:lang w:val="en-US"/>
        </w:rPr>
      </w:pPr>
      <w:r>
        <w:t>List of common and scientific names</w:t>
      </w:r>
    </w:p>
    <w:p>
      <w:pPr>
        <w:pStyle w:val="TOC4"/>
        <w:tabs>
          <w:tab w:val="right" w:leader="dot" w:pos="7086"/>
        </w:tabs>
        <w:rPr>
          <w:b w:val="0"/>
          <w:sz w:val="24"/>
          <w:szCs w:val="24"/>
          <w:lang w:val="en-US"/>
        </w:rPr>
      </w:pPr>
      <w:r>
        <w:t>Division 1 — Marine or fluvio</w:t>
      </w:r>
      <w:r>
        <w:noBreakHyphen/>
        <w:t>marine fish</w:t>
      </w:r>
    </w:p>
    <w:p>
      <w:pPr>
        <w:pStyle w:val="TOC4"/>
        <w:tabs>
          <w:tab w:val="right" w:leader="dot" w:pos="7086"/>
        </w:tabs>
        <w:rPr>
          <w:b w:val="0"/>
          <w:sz w:val="24"/>
          <w:szCs w:val="24"/>
          <w:lang w:val="en-US"/>
        </w:rPr>
      </w:pPr>
      <w:r>
        <w:t>Division 2 — Freshwater fish</w:t>
      </w:r>
    </w:p>
    <w:p>
      <w:pPr>
        <w:pStyle w:val="TOC4"/>
        <w:tabs>
          <w:tab w:val="right" w:leader="dot" w:pos="7086"/>
        </w:tabs>
        <w:rPr>
          <w:b w:val="0"/>
          <w:sz w:val="24"/>
          <w:szCs w:val="24"/>
          <w:lang w:val="en-US"/>
        </w:rPr>
      </w:pPr>
      <w:r>
        <w:t>Division 3 — Crustaceans</w:t>
      </w:r>
    </w:p>
    <w:p>
      <w:pPr>
        <w:pStyle w:val="TOC4"/>
        <w:tabs>
          <w:tab w:val="right" w:leader="dot" w:pos="7086"/>
        </w:tabs>
        <w:rPr>
          <w:b w:val="0"/>
          <w:sz w:val="24"/>
          <w:szCs w:val="24"/>
          <w:lang w:val="en-US"/>
        </w:rPr>
      </w:pPr>
      <w:r>
        <w:t>Division 4 — Molluscs</w:t>
      </w:r>
    </w:p>
    <w:p>
      <w:pPr>
        <w:pStyle w:val="TOC4"/>
        <w:tabs>
          <w:tab w:val="right" w:leader="dot" w:pos="7086"/>
        </w:tabs>
        <w:rPr>
          <w:b w:val="0"/>
          <w:sz w:val="24"/>
          <w:szCs w:val="24"/>
          <w:lang w:val="en-US"/>
        </w:rPr>
      </w:pPr>
      <w:r>
        <w:t>Division 5 — Other</w:t>
      </w:r>
    </w:p>
    <w:p>
      <w:pPr>
        <w:pStyle w:val="TOC2"/>
        <w:tabs>
          <w:tab w:val="right" w:leader="dot" w:pos="7086"/>
        </w:tabs>
        <w:rPr>
          <w:b w:val="0"/>
          <w:sz w:val="24"/>
          <w:szCs w:val="24"/>
          <w:lang w:val="en-US"/>
        </w:rPr>
      </w:pPr>
      <w:r>
        <w:t>Schedule 8</w:t>
      </w:r>
    </w:p>
    <w:p>
      <w:pPr>
        <w:pStyle w:val="TOC2"/>
        <w:tabs>
          <w:tab w:val="right" w:leader="dot" w:pos="7086"/>
        </w:tabs>
        <w:rPr>
          <w:b w:val="0"/>
          <w:sz w:val="24"/>
          <w:szCs w:val="24"/>
          <w:lang w:val="en-US"/>
        </w:rPr>
      </w:pPr>
      <w:r>
        <w:t>Determination of characteristics of fish</w:t>
      </w:r>
    </w:p>
    <w:p>
      <w:pPr>
        <w:pStyle w:val="TOC2"/>
        <w:tabs>
          <w:tab w:val="right" w:leader="dot" w:pos="7086"/>
        </w:tabs>
        <w:rPr>
          <w:b w:val="0"/>
          <w:sz w:val="24"/>
          <w:szCs w:val="24"/>
          <w:lang w:val="en-US"/>
        </w:rPr>
      </w:pPr>
      <w:r>
        <w:t>Part 1 — Length</w:t>
      </w:r>
    </w:p>
    <w:p>
      <w:pPr>
        <w:pStyle w:val="TOC2"/>
        <w:tabs>
          <w:tab w:val="right" w:leader="dot" w:pos="7086"/>
        </w:tabs>
        <w:rPr>
          <w:b w:val="0"/>
          <w:sz w:val="24"/>
          <w:szCs w:val="24"/>
          <w:lang w:val="en-US"/>
        </w:rPr>
      </w:pPr>
      <w:r>
        <w:t>Part 2 — Method of determining the volume of fish</w:t>
      </w:r>
    </w:p>
    <w:p>
      <w:pPr>
        <w:pStyle w:val="TOC2"/>
        <w:tabs>
          <w:tab w:val="right" w:leader="dot" w:pos="7086"/>
        </w:tabs>
        <w:rPr>
          <w:b w:val="0"/>
          <w:sz w:val="24"/>
          <w:szCs w:val="24"/>
          <w:lang w:val="en-US"/>
        </w:rPr>
      </w:pPr>
      <w:r>
        <w:t>Part 3 — Method of determining the length of fish trunks and fillets</w:t>
      </w:r>
    </w:p>
    <w:p>
      <w:pPr>
        <w:pStyle w:val="TOC2"/>
        <w:tabs>
          <w:tab w:val="right" w:leader="dot" w:pos="7086"/>
        </w:tabs>
        <w:rPr>
          <w:b w:val="0"/>
          <w:sz w:val="24"/>
          <w:szCs w:val="24"/>
          <w:lang w:val="en-US"/>
        </w:rPr>
      </w:pPr>
      <w:r>
        <w:t>Schedule 9 — Determining the value of fish</w:t>
      </w:r>
    </w:p>
    <w:p>
      <w:pPr>
        <w:pStyle w:val="TOC2"/>
        <w:tabs>
          <w:tab w:val="right" w:leader="dot" w:pos="7086"/>
        </w:tabs>
        <w:rPr>
          <w:b w:val="0"/>
          <w:sz w:val="24"/>
          <w:szCs w:val="24"/>
          <w:lang w:val="en-US"/>
        </w:rPr>
      </w:pPr>
      <w:r>
        <w:t>Schedule 10</w:t>
      </w:r>
    </w:p>
    <w:p>
      <w:pPr>
        <w:pStyle w:val="TOC2"/>
        <w:tabs>
          <w:tab w:val="right" w:leader="dot" w:pos="7086"/>
        </w:tabs>
        <w:rPr>
          <w:b w:val="0"/>
          <w:sz w:val="24"/>
          <w:szCs w:val="24"/>
          <w:lang w:val="en-US"/>
        </w:rPr>
      </w:pPr>
      <w:r>
        <w:t>Non</w:t>
      </w:r>
      <w:r>
        <w:noBreakHyphen/>
        <w:t>endemic species of fish permitted to be brought into the State</w:t>
      </w:r>
    </w:p>
    <w:p>
      <w:pPr>
        <w:pStyle w:val="TOC2"/>
        <w:tabs>
          <w:tab w:val="right" w:leader="dot" w:pos="7086"/>
        </w:tabs>
        <w:rPr>
          <w:b w:val="0"/>
          <w:sz w:val="24"/>
          <w:szCs w:val="24"/>
          <w:lang w:val="en-US"/>
        </w:rPr>
      </w:pPr>
      <w:r>
        <w:t>Part 1 — Species of fish endemic to areas of Australia outside the State</w:t>
      </w:r>
    </w:p>
    <w:p>
      <w:pPr>
        <w:pStyle w:val="TOC2"/>
        <w:tabs>
          <w:tab w:val="right" w:leader="dot" w:pos="7086"/>
        </w:tabs>
        <w:rPr>
          <w:b w:val="0"/>
          <w:sz w:val="24"/>
          <w:szCs w:val="24"/>
          <w:lang w:val="en-US"/>
        </w:rPr>
      </w:pPr>
      <w:r>
        <w:t>Part 2 — Species of fish not endemic to Australia</w:t>
      </w:r>
    </w:p>
    <w:p>
      <w:pPr>
        <w:pStyle w:val="TOC2"/>
        <w:tabs>
          <w:tab w:val="right" w:leader="dot" w:pos="7086"/>
        </w:tabs>
        <w:rPr>
          <w:b w:val="0"/>
          <w:sz w:val="24"/>
          <w:szCs w:val="24"/>
          <w:lang w:val="en-US"/>
        </w:rPr>
      </w:pPr>
      <w:r>
        <w:t>Schedule 11</w:t>
      </w:r>
    </w:p>
    <w:p>
      <w:pPr>
        <w:pStyle w:val="TOC2"/>
        <w:tabs>
          <w:tab w:val="right" w:leader="dot" w:pos="7086"/>
        </w:tabs>
        <w:rPr>
          <w:b w:val="0"/>
          <w:sz w:val="24"/>
          <w:szCs w:val="24"/>
          <w:lang w:val="en-US"/>
        </w:rPr>
      </w:pPr>
      <w:r>
        <w:t>Authorised trade names of fish</w:t>
      </w:r>
    </w:p>
    <w:p>
      <w:pPr>
        <w:pStyle w:val="TOC2"/>
        <w:tabs>
          <w:tab w:val="right" w:leader="dot" w:pos="7086"/>
        </w:tabs>
        <w:rPr>
          <w:b w:val="0"/>
          <w:sz w:val="24"/>
          <w:szCs w:val="24"/>
          <w:lang w:val="en-US"/>
        </w:rPr>
      </w:pPr>
      <w:r>
        <w:t>Schedule 12</w:t>
      </w:r>
    </w:p>
    <w:p>
      <w:pPr>
        <w:pStyle w:val="TOC2"/>
        <w:tabs>
          <w:tab w:val="right" w:leader="dot" w:pos="7086"/>
        </w:tabs>
        <w:rPr>
          <w:b w:val="0"/>
          <w:sz w:val="24"/>
          <w:szCs w:val="24"/>
          <w:lang w:val="en-US"/>
        </w:rPr>
      </w:pPr>
      <w:r>
        <w:t>Modified penalties</w:t>
      </w:r>
    </w:p>
    <w:p>
      <w:pPr>
        <w:pStyle w:val="TOC2"/>
        <w:tabs>
          <w:tab w:val="right" w:leader="dot" w:pos="7086"/>
        </w:tabs>
        <w:rPr>
          <w:b w:val="0"/>
          <w:sz w:val="24"/>
          <w:szCs w:val="24"/>
          <w:lang w:val="en-US"/>
        </w:rPr>
      </w:pPr>
      <w:r>
        <w:t>Schedule 13</w:t>
      </w:r>
    </w:p>
    <w:p>
      <w:pPr>
        <w:pStyle w:val="TOC2"/>
        <w:tabs>
          <w:tab w:val="right" w:leader="dot" w:pos="7086"/>
        </w:tabs>
        <w:rPr>
          <w:b w:val="0"/>
          <w:sz w:val="24"/>
          <w:szCs w:val="24"/>
          <w:lang w:val="en-US"/>
        </w:rPr>
      </w:pPr>
      <w:r>
        <w:t>Specifications for rock lobster pots</w:t>
      </w:r>
    </w:p>
    <w:p>
      <w:pPr>
        <w:pStyle w:val="TOC2"/>
        <w:tabs>
          <w:tab w:val="right" w:leader="dot" w:pos="7086"/>
        </w:tabs>
        <w:rPr>
          <w:b w:val="0"/>
          <w:sz w:val="24"/>
          <w:szCs w:val="24"/>
          <w:lang w:val="en-US"/>
        </w:rPr>
      </w:pPr>
      <w:r>
        <w:t>Part 1 — Waters north of 21˚ 44′ south latitude</w:t>
      </w:r>
    </w:p>
    <w:p>
      <w:pPr>
        <w:pStyle w:val="TOC8"/>
        <w:rPr>
          <w:sz w:val="24"/>
          <w:szCs w:val="24"/>
          <w:lang w:val="en-US"/>
        </w:rPr>
      </w:pPr>
      <w:r>
        <w:t>1.</w:t>
      </w:r>
      <w:r>
        <w:tab/>
        <w:t>Entrance or neck of pot</w:t>
      </w:r>
      <w:r>
        <w:tab/>
      </w:r>
      <w:r>
        <w:fldChar w:fldCharType="begin"/>
      </w:r>
      <w:r>
        <w:instrText xml:space="preserve"> PAGEREF _Toc309309672 \h </w:instrText>
      </w:r>
      <w:r>
        <w:fldChar w:fldCharType="separate"/>
      </w:r>
      <w:r>
        <w:t>262</w:t>
      </w:r>
      <w:r>
        <w:fldChar w:fldCharType="end"/>
      </w:r>
    </w:p>
    <w:p>
      <w:pPr>
        <w:pStyle w:val="TOC2"/>
        <w:tabs>
          <w:tab w:val="right" w:leader="dot" w:pos="7086"/>
        </w:tabs>
        <w:rPr>
          <w:b w:val="0"/>
          <w:sz w:val="24"/>
          <w:szCs w:val="24"/>
          <w:lang w:val="en-US"/>
        </w:rPr>
      </w:pPr>
      <w:r>
        <w:t>Part 2 — Waters between 21˚ 44′ south latitude and 34˚ 24′ south latitude (excluding some waters off the South Coast)</w:t>
      </w:r>
    </w:p>
    <w:p>
      <w:pPr>
        <w:pStyle w:val="TOC8"/>
        <w:rPr>
          <w:sz w:val="24"/>
          <w:szCs w:val="24"/>
          <w:lang w:val="en-US"/>
        </w:rPr>
      </w:pPr>
      <w:r>
        <w:t>2.</w:t>
      </w:r>
      <w:r>
        <w:tab/>
        <w:t>Entrance or neck of pot</w:t>
      </w:r>
      <w:r>
        <w:tab/>
      </w:r>
      <w:r>
        <w:fldChar w:fldCharType="begin"/>
      </w:r>
      <w:r>
        <w:instrText xml:space="preserve"> PAGEREF _Toc309309674 \h </w:instrText>
      </w:r>
      <w:r>
        <w:fldChar w:fldCharType="separate"/>
      </w:r>
      <w:r>
        <w:t>262</w:t>
      </w:r>
      <w:r>
        <w:fldChar w:fldCharType="end"/>
      </w:r>
    </w:p>
    <w:p>
      <w:pPr>
        <w:pStyle w:val="TOC8"/>
        <w:rPr>
          <w:sz w:val="24"/>
          <w:szCs w:val="24"/>
          <w:lang w:val="en-US"/>
        </w:rPr>
      </w:pPr>
      <w:r>
        <w:t>3.</w:t>
      </w:r>
      <w:r>
        <w:tab/>
        <w:t>Beehive pots</w:t>
      </w:r>
      <w:r>
        <w:tab/>
      </w:r>
      <w:r>
        <w:fldChar w:fldCharType="begin"/>
      </w:r>
      <w:r>
        <w:instrText xml:space="preserve"> PAGEREF _Toc309309675 \h </w:instrText>
      </w:r>
      <w:r>
        <w:fldChar w:fldCharType="separate"/>
      </w:r>
      <w:r>
        <w:t>262</w:t>
      </w:r>
      <w:r>
        <w:fldChar w:fldCharType="end"/>
      </w:r>
    </w:p>
    <w:p>
      <w:pPr>
        <w:pStyle w:val="TOC8"/>
        <w:rPr>
          <w:sz w:val="24"/>
          <w:szCs w:val="24"/>
          <w:lang w:val="en-US"/>
        </w:rPr>
      </w:pPr>
      <w:r>
        <w:t>4.</w:t>
      </w:r>
      <w:r>
        <w:tab/>
        <w:t>Batten pots</w:t>
      </w:r>
      <w:r>
        <w:tab/>
      </w:r>
      <w:r>
        <w:fldChar w:fldCharType="begin"/>
      </w:r>
      <w:r>
        <w:instrText xml:space="preserve"> PAGEREF _Toc309309676 \h </w:instrText>
      </w:r>
      <w:r>
        <w:fldChar w:fldCharType="separate"/>
      </w:r>
      <w:r>
        <w:t>264</w:t>
      </w:r>
      <w:r>
        <w:fldChar w:fldCharType="end"/>
      </w:r>
    </w:p>
    <w:p>
      <w:pPr>
        <w:pStyle w:val="TOC8"/>
        <w:rPr>
          <w:sz w:val="24"/>
          <w:szCs w:val="24"/>
          <w:lang w:val="en-US"/>
        </w:rPr>
      </w:pPr>
      <w:r>
        <w:t>5.</w:t>
      </w:r>
      <w:r>
        <w:tab/>
        <w:t>Other pots</w:t>
      </w:r>
      <w:r>
        <w:tab/>
      </w:r>
      <w:r>
        <w:fldChar w:fldCharType="begin"/>
      </w:r>
      <w:r>
        <w:instrText xml:space="preserve"> PAGEREF _Toc309309677 \h </w:instrText>
      </w:r>
      <w:r>
        <w:fldChar w:fldCharType="separate"/>
      </w:r>
      <w:r>
        <w:t>267</w:t>
      </w:r>
      <w:r>
        <w:fldChar w:fldCharType="end"/>
      </w:r>
    </w:p>
    <w:p>
      <w:pPr>
        <w:pStyle w:val="TOC8"/>
        <w:rPr>
          <w:sz w:val="24"/>
          <w:szCs w:val="24"/>
          <w:lang w:val="en-US"/>
        </w:rPr>
      </w:pPr>
      <w:r>
        <w:t>7.</w:t>
      </w:r>
      <w:r>
        <w:tab/>
        <w:t>All pots</w:t>
      </w:r>
      <w:r>
        <w:tab/>
      </w:r>
      <w:r>
        <w:fldChar w:fldCharType="begin"/>
      </w:r>
      <w:r>
        <w:instrText xml:space="preserve"> PAGEREF _Toc309309678 \h </w:instrText>
      </w:r>
      <w:r>
        <w:fldChar w:fldCharType="separate"/>
      </w:r>
      <w:r>
        <w:t>267</w:t>
      </w:r>
      <w:r>
        <w:fldChar w:fldCharType="end"/>
      </w:r>
    </w:p>
    <w:p>
      <w:pPr>
        <w:pStyle w:val="TOC2"/>
        <w:tabs>
          <w:tab w:val="right" w:leader="dot" w:pos="7086"/>
        </w:tabs>
        <w:rPr>
          <w:b w:val="0"/>
          <w:sz w:val="24"/>
          <w:szCs w:val="24"/>
          <w:lang w:val="en-US"/>
        </w:rPr>
      </w:pPr>
      <w:r>
        <w:t>Part 3 — All other waters</w:t>
      </w:r>
    </w:p>
    <w:p>
      <w:pPr>
        <w:pStyle w:val="TOC8"/>
        <w:rPr>
          <w:sz w:val="24"/>
          <w:szCs w:val="24"/>
          <w:lang w:val="en-US"/>
        </w:rPr>
      </w:pPr>
      <w:r>
        <w:t>8.</w:t>
      </w:r>
      <w:r>
        <w:tab/>
        <w:t>Entrance or neck of pot</w:t>
      </w:r>
      <w:r>
        <w:tab/>
      </w:r>
      <w:r>
        <w:fldChar w:fldCharType="begin"/>
      </w:r>
      <w:r>
        <w:instrText xml:space="preserve"> PAGEREF _Toc309309680 \h </w:instrText>
      </w:r>
      <w:r>
        <w:fldChar w:fldCharType="separate"/>
      </w:r>
      <w:r>
        <w:t>268</w:t>
      </w:r>
      <w:r>
        <w:fldChar w:fldCharType="end"/>
      </w:r>
    </w:p>
    <w:p>
      <w:pPr>
        <w:pStyle w:val="TOC8"/>
        <w:rPr>
          <w:sz w:val="24"/>
          <w:szCs w:val="24"/>
          <w:lang w:val="en-US"/>
        </w:rPr>
      </w:pPr>
      <w:r>
        <w:t>9.</w:t>
      </w:r>
      <w:r>
        <w:tab/>
        <w:t>Beehive pots</w:t>
      </w:r>
      <w:r>
        <w:tab/>
      </w:r>
      <w:r>
        <w:fldChar w:fldCharType="begin"/>
      </w:r>
      <w:r>
        <w:instrText xml:space="preserve"> PAGEREF _Toc309309681 \h </w:instrText>
      </w:r>
      <w:r>
        <w:fldChar w:fldCharType="separate"/>
      </w:r>
      <w:r>
        <w:t>268</w:t>
      </w:r>
      <w:r>
        <w:fldChar w:fldCharType="end"/>
      </w:r>
    </w:p>
    <w:p>
      <w:pPr>
        <w:pStyle w:val="TOC8"/>
        <w:rPr>
          <w:sz w:val="24"/>
          <w:szCs w:val="24"/>
          <w:lang w:val="en-US"/>
        </w:rPr>
      </w:pPr>
      <w:r>
        <w:t>10.</w:t>
      </w:r>
      <w:r>
        <w:tab/>
        <w:t>Batten pots</w:t>
      </w:r>
      <w:r>
        <w:tab/>
      </w:r>
      <w:r>
        <w:fldChar w:fldCharType="begin"/>
      </w:r>
      <w:r>
        <w:instrText xml:space="preserve"> PAGEREF _Toc309309682 \h </w:instrText>
      </w:r>
      <w:r>
        <w:fldChar w:fldCharType="separate"/>
      </w:r>
      <w:r>
        <w:t>269</w:t>
      </w:r>
      <w:r>
        <w:fldChar w:fldCharType="end"/>
      </w:r>
    </w:p>
    <w:p>
      <w:pPr>
        <w:pStyle w:val="TOC8"/>
        <w:rPr>
          <w:sz w:val="24"/>
          <w:szCs w:val="24"/>
          <w:lang w:val="en-US"/>
        </w:rPr>
      </w:pPr>
      <w:r>
        <w:t>11.</w:t>
      </w:r>
      <w:r>
        <w:tab/>
        <w:t>Other pots</w:t>
      </w:r>
      <w:r>
        <w:tab/>
      </w:r>
      <w:r>
        <w:fldChar w:fldCharType="begin"/>
      </w:r>
      <w:r>
        <w:instrText xml:space="preserve"> PAGEREF _Toc309309683 \h </w:instrText>
      </w:r>
      <w:r>
        <w:fldChar w:fldCharType="separate"/>
      </w:r>
      <w:r>
        <w:t>270</w:t>
      </w:r>
      <w:r>
        <w:fldChar w:fldCharType="end"/>
      </w:r>
    </w:p>
    <w:p>
      <w:pPr>
        <w:pStyle w:val="TOC8"/>
        <w:rPr>
          <w:sz w:val="24"/>
          <w:szCs w:val="24"/>
          <w:lang w:val="en-US"/>
        </w:rPr>
      </w:pPr>
      <w:r>
        <w:t>13.</w:t>
      </w:r>
      <w:r>
        <w:tab/>
        <w:t>All pots</w:t>
      </w:r>
      <w:r>
        <w:tab/>
      </w:r>
      <w:r>
        <w:fldChar w:fldCharType="begin"/>
      </w:r>
      <w:r>
        <w:instrText xml:space="preserve"> PAGEREF _Toc309309684 \h </w:instrText>
      </w:r>
      <w:r>
        <w:fldChar w:fldCharType="separate"/>
      </w:r>
      <w:r>
        <w:t>271</w:t>
      </w:r>
      <w:r>
        <w:fldChar w:fldCharType="end"/>
      </w:r>
    </w:p>
    <w:p>
      <w:pPr>
        <w:pStyle w:val="TOC2"/>
        <w:tabs>
          <w:tab w:val="right" w:leader="dot" w:pos="7086"/>
        </w:tabs>
        <w:rPr>
          <w:b w:val="0"/>
          <w:sz w:val="24"/>
          <w:szCs w:val="24"/>
          <w:lang w:val="en-US"/>
        </w:rPr>
      </w:pPr>
      <w:r>
        <w:t>Schedule 14</w:t>
      </w:r>
    </w:p>
    <w:p>
      <w:pPr>
        <w:pStyle w:val="TOC2"/>
        <w:tabs>
          <w:tab w:val="right" w:leader="dot" w:pos="7086"/>
        </w:tabs>
        <w:rPr>
          <w:b w:val="0"/>
          <w:sz w:val="24"/>
          <w:szCs w:val="24"/>
          <w:lang w:val="en-US"/>
        </w:rPr>
      </w:pPr>
      <w:r>
        <w:t>Forms</w:t>
      </w:r>
    </w:p>
    <w:p>
      <w:pPr>
        <w:pStyle w:val="TOC2"/>
        <w:tabs>
          <w:tab w:val="right" w:leader="dot" w:pos="7086"/>
        </w:tabs>
        <w:rPr>
          <w:b w:val="0"/>
          <w:sz w:val="24"/>
          <w:szCs w:val="24"/>
          <w:lang w:val="en-US"/>
        </w:rPr>
      </w:pPr>
      <w:r>
        <w:t>Schedule 15 — Tour management zones</w:t>
      </w:r>
    </w:p>
    <w:p>
      <w:pPr>
        <w:pStyle w:val="TOC8"/>
        <w:rPr>
          <w:sz w:val="24"/>
          <w:szCs w:val="24"/>
          <w:lang w:val="en-US"/>
        </w:rPr>
      </w:pPr>
      <w:r>
        <w:t>1.</w:t>
      </w:r>
      <w:r>
        <w:tab/>
        <w:t>Zone 1: Pilbara/Kimberley</w:t>
      </w:r>
      <w:r>
        <w:tab/>
      </w:r>
      <w:r>
        <w:fldChar w:fldCharType="begin"/>
      </w:r>
      <w:r>
        <w:instrText xml:space="preserve"> PAGEREF _Toc309309688 \h </w:instrText>
      </w:r>
      <w:r>
        <w:fldChar w:fldCharType="separate"/>
      </w:r>
      <w:r>
        <w:t>288</w:t>
      </w:r>
      <w:r>
        <w:fldChar w:fldCharType="end"/>
      </w:r>
    </w:p>
    <w:p>
      <w:pPr>
        <w:pStyle w:val="TOC8"/>
        <w:rPr>
          <w:sz w:val="24"/>
          <w:szCs w:val="24"/>
          <w:lang w:val="en-US"/>
        </w:rPr>
      </w:pPr>
      <w:r>
        <w:t>2.</w:t>
      </w:r>
      <w:r>
        <w:tab/>
        <w:t>Zone 2: Gascoyne</w:t>
      </w:r>
      <w:r>
        <w:tab/>
      </w:r>
      <w:r>
        <w:fldChar w:fldCharType="begin"/>
      </w:r>
      <w:r>
        <w:instrText xml:space="preserve"> PAGEREF _Toc309309689 \h </w:instrText>
      </w:r>
      <w:r>
        <w:fldChar w:fldCharType="separate"/>
      </w:r>
      <w:r>
        <w:t>288</w:t>
      </w:r>
      <w:r>
        <w:fldChar w:fldCharType="end"/>
      </w:r>
    </w:p>
    <w:p>
      <w:pPr>
        <w:pStyle w:val="TOC8"/>
        <w:rPr>
          <w:sz w:val="24"/>
          <w:szCs w:val="24"/>
          <w:lang w:val="en-US"/>
        </w:rPr>
      </w:pPr>
      <w:r>
        <w:t>3.</w:t>
      </w:r>
      <w:r>
        <w:tab/>
        <w:t>Zone 3: West Coast</w:t>
      </w:r>
      <w:r>
        <w:tab/>
      </w:r>
      <w:r>
        <w:fldChar w:fldCharType="begin"/>
      </w:r>
      <w:r>
        <w:instrText xml:space="preserve"> PAGEREF _Toc309309690 \h </w:instrText>
      </w:r>
      <w:r>
        <w:fldChar w:fldCharType="separate"/>
      </w:r>
      <w:r>
        <w:t>288</w:t>
      </w:r>
      <w:r>
        <w:fldChar w:fldCharType="end"/>
      </w:r>
    </w:p>
    <w:p>
      <w:pPr>
        <w:pStyle w:val="TOC8"/>
        <w:rPr>
          <w:sz w:val="24"/>
          <w:szCs w:val="24"/>
          <w:lang w:val="en-US"/>
        </w:rPr>
      </w:pPr>
      <w:r>
        <w:t>4.</w:t>
      </w:r>
      <w:r>
        <w:tab/>
        <w:t>Zone 4: South Coast</w:t>
      </w:r>
      <w:r>
        <w:tab/>
      </w:r>
      <w:r>
        <w:fldChar w:fldCharType="begin"/>
      </w:r>
      <w:r>
        <w:instrText xml:space="preserve"> PAGEREF _Toc309309691 \h </w:instrText>
      </w:r>
      <w:r>
        <w:fldChar w:fldCharType="separate"/>
      </w:r>
      <w:r>
        <w:t>288</w:t>
      </w:r>
      <w:r>
        <w:fldChar w:fldCharType="end"/>
      </w:r>
    </w:p>
    <w:p>
      <w:pPr>
        <w:pStyle w:val="TOC2"/>
        <w:tabs>
          <w:tab w:val="right" w:leader="dot" w:pos="7086"/>
        </w:tabs>
        <w:rPr>
          <w:b w:val="0"/>
          <w:sz w:val="24"/>
          <w:szCs w:val="24"/>
          <w:lang w:val="en-US"/>
        </w:rPr>
      </w:pPr>
      <w:r>
        <w:t>Schedule 16 — Abalone zones</w:t>
      </w:r>
    </w:p>
    <w:p>
      <w:pPr>
        <w:pStyle w:val="TOC8"/>
        <w:rPr>
          <w:sz w:val="24"/>
          <w:szCs w:val="24"/>
          <w:lang w:val="en-US"/>
        </w:rPr>
      </w:pPr>
      <w:r>
        <w:t>1.</w:t>
      </w:r>
      <w:r>
        <w:tab/>
        <w:t>Abalone Zone 1: Busselton Jetty to Greenough River mouth</w:t>
      </w:r>
      <w:r>
        <w:tab/>
      </w:r>
      <w:r>
        <w:fldChar w:fldCharType="begin"/>
      </w:r>
      <w:r>
        <w:instrText xml:space="preserve"> PAGEREF _Toc309309693 \h </w:instrText>
      </w:r>
      <w:r>
        <w:fldChar w:fldCharType="separate"/>
      </w:r>
      <w:r>
        <w:t>289</w:t>
      </w:r>
      <w:r>
        <w:fldChar w:fldCharType="end"/>
      </w:r>
    </w:p>
    <w:p>
      <w:pPr>
        <w:pStyle w:val="TOC8"/>
        <w:rPr>
          <w:sz w:val="24"/>
          <w:szCs w:val="24"/>
          <w:lang w:val="en-US"/>
        </w:rPr>
      </w:pPr>
      <w:r>
        <w:t>2.</w:t>
      </w:r>
      <w:r>
        <w:tab/>
        <w:t>Abalone Zone 2: Greenough River mouth to Northern Territory border</w:t>
      </w:r>
      <w:r>
        <w:tab/>
      </w:r>
      <w:r>
        <w:fldChar w:fldCharType="begin"/>
      </w:r>
      <w:r>
        <w:instrText xml:space="preserve"> PAGEREF _Toc309309694 \h </w:instrText>
      </w:r>
      <w:r>
        <w:fldChar w:fldCharType="separate"/>
      </w:r>
      <w:r>
        <w:t>289</w:t>
      </w:r>
      <w:r>
        <w:fldChar w:fldCharType="end"/>
      </w:r>
    </w:p>
    <w:p>
      <w:pPr>
        <w:pStyle w:val="TOC8"/>
        <w:rPr>
          <w:sz w:val="24"/>
          <w:szCs w:val="24"/>
          <w:lang w:val="en-US"/>
        </w:rPr>
      </w:pPr>
      <w:r>
        <w:t>3.</w:t>
      </w:r>
      <w:r>
        <w:tab/>
        <w:t>Abalone Zone 3: Busselton Jetty to South Australian border</w:t>
      </w:r>
      <w:r>
        <w:tab/>
      </w:r>
      <w:r>
        <w:fldChar w:fldCharType="begin"/>
      </w:r>
      <w:r>
        <w:instrText xml:space="preserve"> PAGEREF _Toc309309695 \h </w:instrText>
      </w:r>
      <w:r>
        <w:fldChar w:fldCharType="separate"/>
      </w:r>
      <w:r>
        <w:t>290</w:t>
      </w:r>
      <w:r>
        <w:fldChar w:fldCharType="end"/>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_Toc309309697 \h </w:instrText>
      </w:r>
      <w:r>
        <w:fldChar w:fldCharType="separate"/>
      </w:r>
      <w:r>
        <w:t>291</w:t>
      </w:r>
      <w:r>
        <w:fldChar w:fldCharType="end"/>
      </w:r>
    </w:p>
    <w:p>
      <w:pPr>
        <w:pStyle w:val="TOC2"/>
        <w:tabs>
          <w:tab w:val="right" w:leader="dot" w:pos="7086"/>
        </w:tabs>
        <w:rPr>
          <w:b w:val="0"/>
          <w:sz w:val="24"/>
          <w:szCs w:val="24"/>
          <w:lang w:val="en-US"/>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PrincipalActReg"/>
        <w:rPr>
          <w:snapToGrid w:val="0"/>
        </w:rPr>
      </w:pPr>
      <w:r>
        <w:rPr>
          <w:snapToGrid w:val="0"/>
        </w:rPr>
        <w:t>Fish Resources Management Act 1994</w:t>
      </w:r>
    </w:p>
    <w:p>
      <w:pPr>
        <w:pStyle w:val="NameofActReg"/>
      </w:pPr>
      <w:r>
        <w:t>Fish Resources Management Regulations 1995</w:t>
      </w:r>
    </w:p>
    <w:p>
      <w:pPr>
        <w:pStyle w:val="Heading2"/>
        <w:pageBreakBefore w:val="0"/>
        <w:spacing w:before="240"/>
      </w:pPr>
      <w:bookmarkStart w:id="1" w:name="_Toc189987820"/>
      <w:bookmarkStart w:id="2" w:name="_Toc192041403"/>
      <w:bookmarkStart w:id="3" w:name="_Toc199570637"/>
      <w:bookmarkStart w:id="4" w:name="_Toc199738633"/>
      <w:bookmarkStart w:id="5" w:name="_Toc199814735"/>
      <w:bookmarkStart w:id="6" w:name="_Toc215040541"/>
      <w:bookmarkStart w:id="7" w:name="_Toc215040986"/>
      <w:bookmarkStart w:id="8" w:name="_Toc222129195"/>
      <w:bookmarkStart w:id="9" w:name="_Toc222222900"/>
      <w:bookmarkStart w:id="10" w:name="_Toc225914152"/>
      <w:bookmarkStart w:id="11" w:name="_Toc231282197"/>
      <w:bookmarkStart w:id="12" w:name="_Toc231282641"/>
      <w:bookmarkStart w:id="13" w:name="_Toc234899228"/>
      <w:bookmarkStart w:id="14" w:name="_Toc236632510"/>
      <w:bookmarkStart w:id="15" w:name="_Toc236720123"/>
      <w:bookmarkStart w:id="16" w:name="_Toc237764322"/>
      <w:bookmarkStart w:id="17" w:name="_Toc238355946"/>
      <w:bookmarkStart w:id="18" w:name="_Toc238368651"/>
      <w:bookmarkStart w:id="19" w:name="_Toc238375604"/>
      <w:bookmarkStart w:id="20" w:name="_Toc240338928"/>
      <w:bookmarkStart w:id="21" w:name="_Toc241993434"/>
      <w:bookmarkStart w:id="22" w:name="_Toc243192577"/>
      <w:bookmarkStart w:id="23" w:name="_Toc243295278"/>
      <w:bookmarkStart w:id="24" w:name="_Toc245112851"/>
      <w:bookmarkStart w:id="25" w:name="_Toc245198013"/>
      <w:bookmarkStart w:id="26" w:name="_Toc245198462"/>
      <w:bookmarkStart w:id="27" w:name="_Toc245198911"/>
      <w:bookmarkStart w:id="28" w:name="_Toc248121941"/>
      <w:bookmarkStart w:id="29" w:name="_Toc248122392"/>
      <w:bookmarkStart w:id="30" w:name="_Toc253670379"/>
      <w:bookmarkStart w:id="31" w:name="_Toc253670829"/>
      <w:bookmarkStart w:id="32" w:name="_Toc254942599"/>
      <w:bookmarkStart w:id="33" w:name="_Toc254943052"/>
      <w:bookmarkStart w:id="34" w:name="_Toc255475644"/>
      <w:bookmarkStart w:id="35" w:name="_Toc256431965"/>
      <w:bookmarkStart w:id="36" w:name="_Toc257720302"/>
      <w:bookmarkStart w:id="37" w:name="_Toc257721984"/>
      <w:bookmarkStart w:id="38" w:name="_Toc258335660"/>
      <w:bookmarkStart w:id="39" w:name="_Toc260406102"/>
      <w:bookmarkStart w:id="40" w:name="_Toc261271288"/>
      <w:bookmarkStart w:id="41" w:name="_Toc262807970"/>
      <w:bookmarkStart w:id="42" w:name="_Toc267572363"/>
      <w:bookmarkStart w:id="43" w:name="_Toc270684114"/>
      <w:bookmarkStart w:id="44" w:name="_Toc274214291"/>
      <w:bookmarkStart w:id="45" w:name="_Toc274214740"/>
      <w:bookmarkStart w:id="46" w:name="_Toc278976071"/>
      <w:bookmarkStart w:id="47" w:name="_Toc286760394"/>
      <w:bookmarkStart w:id="48" w:name="_Toc289080739"/>
      <w:bookmarkStart w:id="49" w:name="_Toc290283933"/>
      <w:bookmarkStart w:id="50" w:name="_Toc290642754"/>
      <w:bookmarkStart w:id="51" w:name="_Toc290643203"/>
      <w:bookmarkStart w:id="52" w:name="_Toc290643656"/>
      <w:bookmarkStart w:id="53" w:name="_Toc294701473"/>
      <w:bookmarkStart w:id="54" w:name="_Toc295199881"/>
      <w:bookmarkStart w:id="55" w:name="_Toc296954322"/>
      <w:bookmarkStart w:id="56" w:name="_Toc297275954"/>
      <w:bookmarkStart w:id="57" w:name="_Toc297276406"/>
      <w:bookmarkStart w:id="58" w:name="_Toc297276856"/>
      <w:bookmarkStart w:id="59" w:name="_Toc297726225"/>
      <w:bookmarkStart w:id="60" w:name="_Toc299980009"/>
      <w:bookmarkStart w:id="61" w:name="_Toc300234635"/>
      <w:bookmarkStart w:id="62" w:name="_Toc301961138"/>
      <w:bookmarkStart w:id="63" w:name="_Toc301966708"/>
      <w:bookmarkStart w:id="64" w:name="_Toc303252917"/>
      <w:bookmarkStart w:id="65" w:name="_Toc303257081"/>
      <w:bookmarkStart w:id="66" w:name="_Toc307992716"/>
      <w:bookmarkStart w:id="67" w:name="_Toc309029746"/>
      <w:bookmarkStart w:id="68" w:name="_Toc309303969"/>
      <w:bookmarkStart w:id="69" w:name="_Toc309304422"/>
      <w:bookmarkStart w:id="70" w:name="_Toc309309246"/>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p>
    <w:p>
      <w:pPr>
        <w:pStyle w:val="Heading5"/>
        <w:rPr>
          <w:snapToGrid w:val="0"/>
        </w:rPr>
      </w:pPr>
      <w:bookmarkStart w:id="71" w:name="_Toc309309247"/>
      <w:r>
        <w:rPr>
          <w:rStyle w:val="CharSectno"/>
        </w:rPr>
        <w:t>1</w:t>
      </w:r>
      <w:r>
        <w:rPr>
          <w:snapToGrid w:val="0"/>
        </w:rPr>
        <w:t>.</w:t>
      </w:r>
      <w:r>
        <w:rPr>
          <w:snapToGrid w:val="0"/>
        </w:rPr>
        <w:tab/>
        <w:t>Citation</w:t>
      </w:r>
      <w:bookmarkEnd w:id="71"/>
    </w:p>
    <w:p>
      <w:pPr>
        <w:pStyle w:val="Subsection"/>
        <w:rPr>
          <w:i/>
          <w:snapToGrid w:val="0"/>
        </w:rPr>
      </w:pPr>
      <w:r>
        <w:rPr>
          <w:snapToGrid w:val="0"/>
        </w:rPr>
        <w:tab/>
      </w:r>
      <w:r>
        <w:rPr>
          <w:snapToGrid w:val="0"/>
        </w:rPr>
        <w:tab/>
        <w:t xml:space="preserve">These regulations may be cited as the </w:t>
      </w:r>
      <w:r>
        <w:rPr>
          <w:i/>
          <w:snapToGrid w:val="0"/>
        </w:rPr>
        <w:t>Fish Resources Management Regulations 1995</w:t>
      </w:r>
      <w:r>
        <w:rPr>
          <w:snapToGrid w:val="0"/>
          <w:vertAlign w:val="superscript"/>
        </w:rPr>
        <w:t> 1</w:t>
      </w:r>
      <w:r>
        <w:rPr>
          <w:snapToGrid w:val="0"/>
        </w:rPr>
        <w:t>.</w:t>
      </w:r>
    </w:p>
    <w:p>
      <w:pPr>
        <w:pStyle w:val="Heading5"/>
        <w:rPr>
          <w:snapToGrid w:val="0"/>
        </w:rPr>
      </w:pPr>
      <w:bookmarkStart w:id="72" w:name="_Toc309309248"/>
      <w:r>
        <w:rPr>
          <w:rStyle w:val="CharSectno"/>
        </w:rPr>
        <w:t>2</w:t>
      </w:r>
      <w:r>
        <w:rPr>
          <w:snapToGrid w:val="0"/>
        </w:rPr>
        <w:t>.</w:t>
      </w:r>
      <w:r>
        <w:rPr>
          <w:snapToGrid w:val="0"/>
        </w:rPr>
        <w:tab/>
        <w:t>Commencement</w:t>
      </w:r>
      <w:bookmarkEnd w:id="72"/>
    </w:p>
    <w:p>
      <w:pPr>
        <w:pStyle w:val="Subsection"/>
        <w:rPr>
          <w:snapToGrid w:val="0"/>
        </w:rPr>
      </w:pPr>
      <w:r>
        <w:rPr>
          <w:snapToGrid w:val="0"/>
        </w:rPr>
        <w:tab/>
      </w:r>
      <w:r>
        <w:rPr>
          <w:snapToGrid w:val="0"/>
        </w:rPr>
        <w:tab/>
        <w:t xml:space="preserve">These regulations come into operation on the day on which the </w:t>
      </w:r>
      <w:r>
        <w:rPr>
          <w:i/>
          <w:snapToGrid w:val="0"/>
        </w:rPr>
        <w:t>Fish Resources Management Act 1994</w:t>
      </w:r>
      <w:r>
        <w:rPr>
          <w:snapToGrid w:val="0"/>
        </w:rPr>
        <w:t xml:space="preserve"> comes into operation</w:t>
      </w:r>
      <w:r>
        <w:rPr>
          <w:snapToGrid w:val="0"/>
          <w:vertAlign w:val="superscript"/>
        </w:rPr>
        <w:t> 1</w:t>
      </w:r>
      <w:r>
        <w:rPr>
          <w:snapToGrid w:val="0"/>
        </w:rPr>
        <w:t>.</w:t>
      </w:r>
    </w:p>
    <w:p>
      <w:pPr>
        <w:pStyle w:val="Heading5"/>
        <w:rPr>
          <w:snapToGrid w:val="0"/>
        </w:rPr>
      </w:pPr>
      <w:bookmarkStart w:id="73" w:name="_Toc309309249"/>
      <w:r>
        <w:rPr>
          <w:rStyle w:val="CharSectno"/>
        </w:rPr>
        <w:t>3</w:t>
      </w:r>
      <w:r>
        <w:rPr>
          <w:snapToGrid w:val="0"/>
        </w:rPr>
        <w:t>.</w:t>
      </w:r>
      <w:r>
        <w:rPr>
          <w:snapToGrid w:val="0"/>
        </w:rPr>
        <w:tab/>
        <w:t>Terms used</w:t>
      </w:r>
      <w:bookmarkEnd w:id="73"/>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aircraft</w:t>
      </w:r>
      <w:r>
        <w:t xml:space="preserve"> includes a float plane and an air cushioned craft;</w:t>
      </w:r>
    </w:p>
    <w:p>
      <w:pPr>
        <w:pStyle w:val="Defstart"/>
      </w:pPr>
      <w:r>
        <w:rPr>
          <w:b/>
        </w:rPr>
        <w:tab/>
      </w:r>
      <w:r>
        <w:rPr>
          <w:rStyle w:val="CharDefText"/>
        </w:rPr>
        <w:t>bag limit</w:t>
      </w:r>
      <w:r>
        <w:t xml:space="preserve"> has the same meaning as in section 50 of the Act;</w:t>
      </w:r>
    </w:p>
    <w:p>
      <w:pPr>
        <w:pStyle w:val="Defstart"/>
      </w:pPr>
      <w:r>
        <w:rPr>
          <w:b/>
        </w:rPr>
        <w:tab/>
      </w:r>
      <w:r>
        <w:rPr>
          <w:rStyle w:val="CharDefText"/>
        </w:rPr>
        <w:t>carrier boat licence</w:t>
      </w:r>
      <w:r>
        <w:t xml:space="preserve"> means a licence referred to in regulation 119;</w:t>
      </w:r>
    </w:p>
    <w:p>
      <w:pPr>
        <w:pStyle w:val="Defstart"/>
      </w:pPr>
      <w:r>
        <w:rPr>
          <w:b/>
        </w:rPr>
        <w:tab/>
      </w:r>
      <w:r>
        <w:rPr>
          <w:rStyle w:val="CharDefText"/>
        </w:rPr>
        <w:t>commercial fishing licence</w:t>
      </w:r>
      <w:r>
        <w:t xml:space="preserve"> means a licence referred to in regulation 121;</w:t>
      </w:r>
    </w:p>
    <w:p>
      <w:pPr>
        <w:pStyle w:val="Defstart"/>
        <w:keepNext/>
      </w:pPr>
      <w:r>
        <w:tab/>
      </w:r>
      <w:r>
        <w:rPr>
          <w:rStyle w:val="CharDefText"/>
        </w:rPr>
        <w:t>complying drop net</w:t>
      </w:r>
      <w:r>
        <w:t xml:space="preserve"> means a drop net that —</w:t>
      </w:r>
    </w:p>
    <w:p>
      <w:pPr>
        <w:pStyle w:val="Defpara"/>
      </w:pPr>
      <w:r>
        <w:tab/>
        <w:t>(a)</w:t>
      </w:r>
      <w:r>
        <w:tab/>
        <w:t>is not more than 1.5 m at its widest point; and</w:t>
      </w:r>
    </w:p>
    <w:p>
      <w:pPr>
        <w:pStyle w:val="Defpara"/>
      </w:pPr>
      <w:r>
        <w:tab/>
        <w:t>(b)</w:t>
      </w:r>
      <w:r>
        <w:tab/>
        <w:t>is so constructed that when set —</w:t>
      </w:r>
    </w:p>
    <w:p>
      <w:pPr>
        <w:pStyle w:val="Defsubpara"/>
      </w:pPr>
      <w:r>
        <w:tab/>
        <w:t>(i)</w:t>
      </w:r>
      <w:r>
        <w:tab/>
        <w:t>its side or sides collapse so that its netting lies flat on the ground; and</w:t>
      </w:r>
    </w:p>
    <w:p>
      <w:pPr>
        <w:pStyle w:val="Defsubpara"/>
      </w:pPr>
      <w:r>
        <w:tab/>
        <w:t>(ii)</w:t>
      </w:r>
      <w:r>
        <w:tab/>
        <w:t>its netting is not capable of ensnaring or entangling a fish;</w:t>
      </w:r>
    </w:p>
    <w:p>
      <w:pPr>
        <w:pStyle w:val="Defstart"/>
      </w:pPr>
      <w:r>
        <w:rPr>
          <w:b/>
        </w:rPr>
        <w:tab/>
      </w:r>
      <w:r>
        <w:rPr>
          <w:rStyle w:val="CharDefText"/>
        </w:rPr>
        <w:t>Cottesloe Reef waters</w:t>
      </w:r>
      <w:r>
        <w:t xml:space="preserve"> means the waters of the Cottesloe Reef as defined in the </w:t>
      </w:r>
      <w:r>
        <w:rPr>
          <w:i/>
        </w:rPr>
        <w:t>Cottesloe Reef Fish Habitat Protection Area Order 2001</w:t>
      </w:r>
      <w:r>
        <w:t>;</w:t>
      </w:r>
    </w:p>
    <w:p>
      <w:pPr>
        <w:pStyle w:val="Defstart"/>
      </w:pPr>
      <w:r>
        <w:rPr>
          <w:b/>
        </w:rPr>
        <w:tab/>
      </w:r>
      <w:r>
        <w:rPr>
          <w:rStyle w:val="CharDefText"/>
        </w:rPr>
        <w:t>disease</w:t>
      </w:r>
      <w:r>
        <w:t xml:space="preserve"> means any disease of fish;</w:t>
      </w:r>
    </w:p>
    <w:p>
      <w:pPr>
        <w:pStyle w:val="Defstart"/>
      </w:pPr>
      <w:r>
        <w:rPr>
          <w:b/>
        </w:rPr>
        <w:tab/>
      </w:r>
      <w:r>
        <w:rPr>
          <w:rStyle w:val="CharDefText"/>
        </w:rPr>
        <w:t>eastern gulf land area</w:t>
      </w:r>
      <w:r>
        <w:t xml:space="preserve"> means the land adjacent to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eastern gulf;</w:t>
      </w:r>
    </w:p>
    <w:p>
      <w:pPr>
        <w:pStyle w:val="Defstart"/>
      </w:pPr>
      <w:r>
        <w:rPr>
          <w:b/>
        </w:rPr>
        <w:tab/>
      </w:r>
      <w:r>
        <w:rPr>
          <w:rStyle w:val="CharDefText"/>
        </w:rPr>
        <w:t>fillet</w:t>
      </w:r>
      <w:r>
        <w:t xml:space="preserve"> means any part or piece of a finfish, other than a whole fish, fish trunk, head, tail, fin or a product of gilling or gutting the fish;</w:t>
      </w:r>
    </w:p>
    <w:p>
      <w:pPr>
        <w:pStyle w:val="Defstart"/>
      </w:pPr>
      <w:r>
        <w:rPr>
          <w:b/>
        </w:rPr>
        <w:tab/>
      </w:r>
      <w:r>
        <w:rPr>
          <w:rStyle w:val="CharDefText"/>
        </w:rPr>
        <w:t>finfish</w:t>
      </w:r>
      <w:r>
        <w:t xml:space="preserve"> means fish of the </w:t>
      </w:r>
      <w:r>
        <w:rPr>
          <w:u w:val="single"/>
        </w:rPr>
        <w:t>Class</w:t>
      </w:r>
      <w:r>
        <w:t xml:space="preserve"> Elasmobranchii (Chondrichthyes) or Osteichthyes;</w:t>
      </w:r>
    </w:p>
    <w:p>
      <w:pPr>
        <w:pStyle w:val="Defstart"/>
      </w:pPr>
      <w:r>
        <w:rPr>
          <w:b/>
        </w:rPr>
        <w:tab/>
      </w:r>
      <w:r>
        <w:rPr>
          <w:rStyle w:val="CharDefText"/>
        </w:rPr>
        <w:t>fish processor’s licence</w:t>
      </w:r>
      <w:r>
        <w:t xml:space="preserve"> means a licence granted under section 83 of the Act;</w:t>
      </w:r>
    </w:p>
    <w:p>
      <w:pPr>
        <w:pStyle w:val="Defstart"/>
      </w:pPr>
      <w:r>
        <w:rPr>
          <w:b/>
        </w:rPr>
        <w:tab/>
      </w:r>
      <w:r>
        <w:rPr>
          <w:rStyle w:val="CharDefText"/>
        </w:rPr>
        <w:t>fish trunk</w:t>
      </w:r>
      <w:r>
        <w:t xml:space="preserve"> means —</w:t>
      </w:r>
    </w:p>
    <w:p>
      <w:pPr>
        <w:pStyle w:val="Defpara"/>
      </w:pPr>
      <w:r>
        <w:tab/>
        <w:t>(a)</w:t>
      </w:r>
      <w:r>
        <w:tab/>
        <w:t>a finfish that would be a whole fish except that —</w:t>
      </w:r>
    </w:p>
    <w:p>
      <w:pPr>
        <w:pStyle w:val="Defsubpara"/>
      </w:pPr>
      <w:r>
        <w:tab/>
        <w:t>(i)</w:t>
      </w:r>
      <w:r>
        <w:tab/>
        <w:t>all of its head; and</w:t>
      </w:r>
    </w:p>
    <w:p>
      <w:pPr>
        <w:pStyle w:val="Defsubpara"/>
      </w:pPr>
      <w:r>
        <w:tab/>
        <w:t>(ii)</w:t>
      </w:r>
      <w:r>
        <w:tab/>
        <w:t>all of its tail,</w:t>
      </w:r>
    </w:p>
    <w:p>
      <w:pPr>
        <w:pStyle w:val="Defpara"/>
      </w:pPr>
      <w:r>
        <w:tab/>
      </w:r>
      <w:r>
        <w:tab/>
        <w:t>has been removed; or</w:t>
      </w:r>
    </w:p>
    <w:p>
      <w:pPr>
        <w:pStyle w:val="Defpara"/>
      </w:pPr>
      <w:r>
        <w:tab/>
        <w:t>(b)</w:t>
      </w:r>
      <w:r>
        <w:tab/>
        <w:t>a low risk finfish that would be a whole fish except that all, or any part of, its head, tail or scales has been removed; or</w:t>
      </w:r>
    </w:p>
    <w:p>
      <w:pPr>
        <w:pStyle w:val="Defpara"/>
      </w:pPr>
      <w:r>
        <w:tab/>
        <w:t>(c)</w:t>
      </w:r>
      <w:r>
        <w:tab/>
        <w:t>a shark that would be a whole fish except that —</w:t>
      </w:r>
    </w:p>
    <w:p>
      <w:pPr>
        <w:pStyle w:val="Defsubpara"/>
      </w:pPr>
      <w:r>
        <w:tab/>
        <w:t>(i)</w:t>
      </w:r>
      <w:r>
        <w:tab/>
        <w:t>all of its head; and</w:t>
      </w:r>
    </w:p>
    <w:p>
      <w:pPr>
        <w:pStyle w:val="Defsubpara"/>
      </w:pPr>
      <w:r>
        <w:tab/>
        <w:t>(ii)</w:t>
      </w:r>
      <w:r>
        <w:tab/>
        <w:t>all of its tail; and</w:t>
      </w:r>
    </w:p>
    <w:p>
      <w:pPr>
        <w:pStyle w:val="Defsubpara"/>
      </w:pPr>
      <w:r>
        <w:tab/>
        <w:t>(iii)</w:t>
      </w:r>
      <w:r>
        <w:tab/>
        <w:t>one or more of its fins,</w:t>
      </w:r>
    </w:p>
    <w:p>
      <w:pPr>
        <w:pStyle w:val="Defpara"/>
      </w:pPr>
      <w:r>
        <w:tab/>
      </w:r>
      <w:r>
        <w:tab/>
        <w:t>has been removed;</w:t>
      </w:r>
    </w:p>
    <w:p>
      <w:pPr>
        <w:pStyle w:val="Defstart"/>
      </w:pPr>
      <w:r>
        <w:rPr>
          <w:b/>
        </w:rPr>
        <w:tab/>
      </w:r>
      <w:r>
        <w:rPr>
          <w:rStyle w:val="CharDefText"/>
        </w:rPr>
        <w:t>fishing boat licence</w:t>
      </w:r>
      <w:r>
        <w:t xml:space="preserve"> means a licence referred to in regulation 117;</w:t>
      </w:r>
    </w:p>
    <w:p>
      <w:pPr>
        <w:pStyle w:val="Defstart"/>
      </w:pPr>
      <w:r>
        <w:rPr>
          <w:b/>
        </w:rPr>
        <w:tab/>
      </w:r>
      <w:r>
        <w:rPr>
          <w:rStyle w:val="CharDefText"/>
        </w:rPr>
        <w:t>fishing net</w:t>
      </w:r>
      <w:r>
        <w:t xml:space="preserve"> means any fishing net other than —</w:t>
      </w:r>
    </w:p>
    <w:p>
      <w:pPr>
        <w:pStyle w:val="Defpara"/>
      </w:pPr>
      <w:r>
        <w:tab/>
        <w:t>(a)</w:t>
      </w:r>
      <w:r>
        <w:tab/>
        <w:t>a hand scoop or hand dip net; or</w:t>
      </w:r>
    </w:p>
    <w:p>
      <w:pPr>
        <w:pStyle w:val="Defpara"/>
      </w:pPr>
      <w:r>
        <w:tab/>
        <w:t>(b)</w:t>
      </w:r>
      <w:r>
        <w:tab/>
        <w:t>a prawn hand trawl net; or</w:t>
      </w:r>
    </w:p>
    <w:p>
      <w:pPr>
        <w:pStyle w:val="Defpara"/>
      </w:pPr>
      <w:r>
        <w:tab/>
        <w:t>(c)</w:t>
      </w:r>
      <w:r>
        <w:tab/>
        <w:t>a complying drop net;</w:t>
      </w:r>
    </w:p>
    <w:p>
      <w:pPr>
        <w:pStyle w:val="Defstart"/>
      </w:pPr>
      <w:r>
        <w:rPr>
          <w:b/>
        </w:rPr>
        <w:tab/>
      </w:r>
      <w:r>
        <w:rPr>
          <w:rStyle w:val="CharDefText"/>
        </w:rPr>
        <w:t>form</w:t>
      </w:r>
      <w:r>
        <w:t xml:space="preserve"> followed by a number means the form of that number in Schedule 14;</w:t>
      </w:r>
    </w:p>
    <w:p>
      <w:pPr>
        <w:pStyle w:val="Defstart"/>
      </w:pPr>
      <w:r>
        <w:tab/>
      </w:r>
      <w:r>
        <w:rPr>
          <w:rStyle w:val="CharDefText"/>
        </w:rPr>
        <w:t>Freycinet Estuary</w:t>
      </w:r>
      <w:r>
        <w:t xml:space="preserve"> means the waters of Shark Bay western gulf south of 26° 13′ south latitude, excluding the waters of Useless Inlet and Blind Inlet;</w:t>
      </w:r>
    </w:p>
    <w:p>
      <w:pPr>
        <w:pStyle w:val="Defstart"/>
      </w:pPr>
      <w:r>
        <w:tab/>
      </w:r>
      <w:r>
        <w:rPr>
          <w:rStyle w:val="CharDefText"/>
        </w:rPr>
        <w:t>Gascoyne Region</w:t>
      </w:r>
      <w:r>
        <w:t xml:space="preserve"> means —</w:t>
      </w:r>
    </w:p>
    <w:p>
      <w:pPr>
        <w:pStyle w:val="Defpara"/>
      </w:pPr>
      <w:r>
        <w:tab/>
        <w:t>(a)</w:t>
      </w:r>
      <w:r>
        <w:tab/>
        <w:t>all land in the State; and</w:t>
      </w:r>
    </w:p>
    <w:p>
      <w:pPr>
        <w:pStyle w:val="Defpara"/>
      </w:pPr>
      <w:r>
        <w:tab/>
        <w:t>(b)</w:t>
      </w:r>
      <w:r>
        <w:tab/>
        <w:t>all WA waters,</w:t>
      </w:r>
    </w:p>
    <w:p>
      <w:pPr>
        <w:pStyle w:val="Defstart"/>
      </w:pPr>
      <w:r>
        <w:tab/>
        <w:t>that are north of 27° 00′ south latitude, excluding the Pilbara and Kimberley Region;</w:t>
      </w:r>
    </w:p>
    <w:p>
      <w:pPr>
        <w:pStyle w:val="Defstart"/>
      </w:pPr>
      <w:r>
        <w:rPr>
          <w:b/>
        </w:rPr>
        <w:tab/>
      </w:r>
      <w:r>
        <w:rPr>
          <w:rStyle w:val="CharDefText"/>
        </w:rPr>
        <w:t>gear identification number</w:t>
      </w:r>
      <w:r>
        <w:t xml:space="preserve"> of a person means —</w:t>
      </w:r>
    </w:p>
    <w:p>
      <w:pPr>
        <w:pStyle w:val="Defpara"/>
      </w:pPr>
      <w:r>
        <w:tab/>
        <w:t>(a)</w:t>
      </w:r>
      <w:r>
        <w:tab/>
        <w:t>any letters and numbers specified in accordance with —</w:t>
      </w:r>
    </w:p>
    <w:p>
      <w:pPr>
        <w:pStyle w:val="Defsubpara"/>
      </w:pPr>
      <w:r>
        <w:tab/>
        <w:t>(i)</w:t>
      </w:r>
      <w:r>
        <w:tab/>
        <w:t>regulation 124(2)(b) on a recreational fishing licence held by the person; or</w:t>
      </w:r>
    </w:p>
    <w:p>
      <w:pPr>
        <w:pStyle w:val="Defsubpara"/>
      </w:pPr>
      <w:r>
        <w:tab/>
        <w:t>(ii)</w:t>
      </w:r>
      <w:r>
        <w:tab/>
        <w:t>regulation 124A(4) on a receipt, within the meaning of that regulation, for an application for a recreational fishing licence issued to the person;</w:t>
      </w:r>
    </w:p>
    <w:p>
      <w:pPr>
        <w:pStyle w:val="Defpara"/>
      </w:pPr>
      <w:r>
        <w:tab/>
      </w:r>
      <w:r>
        <w:tab/>
        <w:t>or</w:t>
      </w:r>
    </w:p>
    <w:p>
      <w:pPr>
        <w:pStyle w:val="Defpara"/>
      </w:pPr>
      <w:r>
        <w:tab/>
        <w:t>(b)</w:t>
      </w:r>
      <w:r>
        <w:tab/>
        <w:t>where the person is an Aboriginal person who does not hold a recreational fishing licence, the letter “A” followed by the day, month and year of the birth of the person in numbers (ie. A 29/3/59);</w:t>
      </w:r>
    </w:p>
    <w:p>
      <w:pPr>
        <w:pStyle w:val="Defstart"/>
      </w:pPr>
      <w:r>
        <w:rPr>
          <w:b/>
        </w:rPr>
        <w:tab/>
      </w:r>
      <w:r>
        <w:rPr>
          <w:rStyle w:val="CharDefText"/>
        </w:rPr>
        <w:t>jet ski</w:t>
      </w:r>
      <w:r>
        <w:t xml:space="preserve"> means a jet ski or any other any vessel designed for the transport of one, 2 or 3 persons that —</w:t>
      </w:r>
    </w:p>
    <w:p>
      <w:pPr>
        <w:pStyle w:val="Defpara"/>
      </w:pPr>
      <w:r>
        <w:tab/>
        <w:t>(a)</w:t>
      </w:r>
      <w:r>
        <w:tab/>
        <w:t>is propelled by means of an inboard motor powering a water jet pump; and</w:t>
      </w:r>
    </w:p>
    <w:p>
      <w:pPr>
        <w:pStyle w:val="Defpara"/>
      </w:pPr>
      <w:r>
        <w:tab/>
        <w:t>(b)</w:t>
      </w:r>
      <w:r>
        <w:tab/>
        <w:t>is designed to be steered by means of handlebars by a person sitting, standing or kneeling on the vessel and not within it;</w:t>
      </w:r>
    </w:p>
    <w:p>
      <w:pPr>
        <w:pStyle w:val="Defstart"/>
      </w:pPr>
      <w:r>
        <w:rPr>
          <w:b/>
        </w:rPr>
        <w:tab/>
      </w:r>
      <w:r>
        <w:rPr>
          <w:rStyle w:val="CharDefText"/>
        </w:rPr>
        <w:t>Kalbarri Blue Holes waters</w:t>
      </w:r>
      <w:r>
        <w:t xml:space="preserve"> means the waters of the Kalbarri Blue Holes as defined in the </w:t>
      </w:r>
      <w:r>
        <w:rPr>
          <w:i/>
          <w:iCs/>
        </w:rPr>
        <w:t>Kalbarri Blue Holes Fish Habitat Protection Area Order 2007</w:t>
      </w:r>
      <w:r>
        <w:t>;</w:t>
      </w:r>
    </w:p>
    <w:p>
      <w:pPr>
        <w:pStyle w:val="Defstart"/>
      </w:pPr>
      <w:r>
        <w:rPr>
          <w:b/>
        </w:rPr>
        <w:tab/>
      </w:r>
      <w:r>
        <w:rPr>
          <w:rStyle w:val="CharDefText"/>
        </w:rPr>
        <w:t>Lancelin Island Lagoon</w:t>
      </w:r>
      <w:r>
        <w:t xml:space="preserve"> means the waters of the Lancelin Island Lagoon as defined by the </w:t>
      </w:r>
      <w:smartTag w:uri="urn:schemas-microsoft-com:office:smarttags" w:element="place">
        <w:smartTag w:uri="urn:schemas-microsoft-com:office:smarttags" w:element="PlaceName">
          <w:r>
            <w:rPr>
              <w:i/>
              <w:spacing w:val="-4"/>
            </w:rPr>
            <w:t>Lancelin</w:t>
          </w:r>
        </w:smartTag>
        <w:r>
          <w:rPr>
            <w:i/>
            <w:spacing w:val="-4"/>
          </w:rPr>
          <w:t xml:space="preserve"> </w:t>
        </w:r>
        <w:smartTag w:uri="urn:schemas-microsoft-com:office:smarttags" w:element="PlaceType">
          <w:r>
            <w:rPr>
              <w:i/>
              <w:spacing w:val="-4"/>
            </w:rPr>
            <w:t>Island</w:t>
          </w:r>
        </w:smartTag>
      </w:smartTag>
      <w:r>
        <w:rPr>
          <w:i/>
          <w:spacing w:val="-4"/>
        </w:rPr>
        <w:t xml:space="preserve"> Lagoon Fish Habitat Protection Area Order 2001</w:t>
      </w:r>
      <w:r>
        <w:rPr>
          <w:spacing w:val="-4"/>
        </w:rPr>
        <w:t>;</w:t>
      </w:r>
    </w:p>
    <w:p>
      <w:pPr>
        <w:pStyle w:val="Defstart"/>
      </w:pPr>
      <w:r>
        <w:rPr>
          <w:b/>
        </w:rPr>
        <w:tab/>
      </w:r>
      <w:r>
        <w:rPr>
          <w:rStyle w:val="CharDefText"/>
        </w:rPr>
        <w:t>lawful overnight stay on an island</w:t>
      </w:r>
      <w:r>
        <w:t xml:space="preserve"> means staying on an island —</w:t>
      </w:r>
    </w:p>
    <w:p>
      <w:pPr>
        <w:pStyle w:val="Defpara"/>
      </w:pPr>
      <w:r>
        <w:tab/>
        <w:t>(a)</w:t>
      </w:r>
      <w:r>
        <w:tab/>
        <w:t>for a period of at least 5 hours which includes midnight; and</w:t>
      </w:r>
    </w:p>
    <w:p>
      <w:pPr>
        <w:pStyle w:val="Defpara"/>
      </w:pPr>
      <w:r>
        <w:tab/>
        <w:t>(b)</w:t>
      </w:r>
      <w:r>
        <w:tab/>
        <w:t>without contravening any relevant written law about —</w:t>
      </w:r>
    </w:p>
    <w:p>
      <w:pPr>
        <w:pStyle w:val="Defsubpara"/>
      </w:pPr>
      <w:r>
        <w:tab/>
        <w:t>(i)</w:t>
      </w:r>
      <w:r>
        <w:tab/>
        <w:t>accommodation on the island; or</w:t>
      </w:r>
    </w:p>
    <w:p>
      <w:pPr>
        <w:pStyle w:val="Defsubpara"/>
      </w:pPr>
      <w:r>
        <w:tab/>
        <w:t>(ii)</w:t>
      </w:r>
      <w:r>
        <w:tab/>
        <w:t>staying overnight on the island;</w:t>
      </w:r>
    </w:p>
    <w:p>
      <w:pPr>
        <w:pStyle w:val="Defstart"/>
      </w:pPr>
      <w:r>
        <w:rPr>
          <w:b/>
        </w:rPr>
        <w:tab/>
      </w:r>
      <w:r>
        <w:rPr>
          <w:rStyle w:val="CharDefText"/>
        </w:rPr>
        <w:t>licensed carrier boat</w:t>
      </w:r>
      <w:r>
        <w:t xml:space="preserve"> means a boat in respect of which a carrier boat licence is held;</w:t>
      </w:r>
    </w:p>
    <w:p>
      <w:pPr>
        <w:pStyle w:val="Defstart"/>
      </w:pPr>
      <w:r>
        <w:rPr>
          <w:b/>
        </w:rPr>
        <w:tab/>
      </w:r>
      <w:r>
        <w:rPr>
          <w:rStyle w:val="CharDefText"/>
        </w:rPr>
        <w:t>licensed carrier boat number</w:t>
      </w:r>
      <w:r>
        <w:t xml:space="preserve"> in respect of a licensed carrier boat means the number allocated under regulation 120(3) in respect of the boat;</w:t>
      </w:r>
    </w:p>
    <w:p>
      <w:pPr>
        <w:pStyle w:val="Defstart"/>
      </w:pPr>
      <w:r>
        <w:rPr>
          <w:b/>
        </w:rPr>
        <w:tab/>
      </w:r>
      <w:r>
        <w:rPr>
          <w:rStyle w:val="CharDefText"/>
        </w:rPr>
        <w:t>licensed fishing boat</w:t>
      </w:r>
      <w:r>
        <w:t xml:space="preserve"> means a boat in respect of which a fishing boat licence is held;</w:t>
      </w:r>
    </w:p>
    <w:p>
      <w:pPr>
        <w:pStyle w:val="Defstart"/>
      </w:pPr>
      <w:r>
        <w:rPr>
          <w:b/>
        </w:rPr>
        <w:tab/>
      </w:r>
      <w:r>
        <w:rPr>
          <w:rStyle w:val="CharDefText"/>
        </w:rPr>
        <w:t>licensed fishing boat number</w:t>
      </w:r>
      <w:r>
        <w:t xml:space="preserve"> in respect of a licensed fishing boat means the letter and number allocated under regulation 118(3) in respect of the boat;</w:t>
      </w:r>
    </w:p>
    <w:p>
      <w:pPr>
        <w:pStyle w:val="Defstart"/>
      </w:pPr>
      <w:r>
        <w:rPr>
          <w:b/>
        </w:rPr>
        <w:tab/>
      </w:r>
      <w:r>
        <w:rPr>
          <w:rStyle w:val="CharDefText"/>
        </w:rPr>
        <w:t>low risk finfish</w:t>
      </w:r>
      <w:r>
        <w:t xml:space="preserve"> has the same meaning as in regulation 16(1);</w:t>
      </w:r>
    </w:p>
    <w:p>
      <w:pPr>
        <w:pStyle w:val="Defstart"/>
        <w:keepNext/>
      </w:pPr>
      <w:r>
        <w:rPr>
          <w:b/>
        </w:rPr>
        <w:tab/>
      </w:r>
      <w:r>
        <w:rPr>
          <w:rStyle w:val="CharDefText"/>
        </w:rPr>
        <w:t>marron drop net</w:t>
      </w:r>
      <w:r>
        <w:t xml:space="preserve"> has the same meaning as in regulation 38G;</w:t>
      </w:r>
    </w:p>
    <w:p>
      <w:pPr>
        <w:pStyle w:val="Defstart"/>
      </w:pPr>
      <w:r>
        <w:rPr>
          <w:b/>
        </w:rPr>
        <w:tab/>
      </w:r>
      <w:r>
        <w:rPr>
          <w:rStyle w:val="CharDefText"/>
        </w:rPr>
        <w:t>marron pole snare</w:t>
      </w:r>
      <w:r>
        <w:t xml:space="preserve"> has the same meaning as in regulation 38G;</w:t>
      </w:r>
    </w:p>
    <w:p>
      <w:pPr>
        <w:pStyle w:val="Defstart"/>
      </w:pPr>
      <w:r>
        <w:rPr>
          <w:b/>
        </w:rPr>
        <w:tab/>
      </w:r>
      <w:r>
        <w:rPr>
          <w:rStyle w:val="CharDefText"/>
        </w:rPr>
        <w:t>marron scoop net</w:t>
      </w:r>
      <w:r>
        <w:t xml:space="preserve"> has the same meaning as in regulation 38G;</w:t>
      </w:r>
    </w:p>
    <w:p>
      <w:pPr>
        <w:pStyle w:val="Defstart"/>
      </w:pPr>
      <w:r>
        <w:rPr>
          <w:b/>
        </w:rPr>
        <w:tab/>
      </w:r>
      <w:r>
        <w:rPr>
          <w:rStyle w:val="CharDefText"/>
        </w:rPr>
        <w:t>marron trophy waters</w:t>
      </w:r>
      <w:r>
        <w:t xml:space="preserve"> means the waters of —</w:t>
      </w:r>
    </w:p>
    <w:p>
      <w:pPr>
        <w:pStyle w:val="Defpara"/>
      </w:pPr>
      <w:r>
        <w:tab/>
        <w:t>(a)</w:t>
      </w:r>
      <w:r>
        <w:tab/>
        <w:t>Harvey Weir; and</w:t>
      </w:r>
    </w:p>
    <w:p>
      <w:pPr>
        <w:pStyle w:val="Defpara"/>
      </w:pPr>
      <w:r>
        <w:tab/>
        <w:t>(b)</w:t>
      </w:r>
      <w:r>
        <w:tab/>
      </w:r>
      <w:smartTag w:uri="urn:schemas-microsoft-com:office:smarttags" w:element="place">
        <w:smartTag w:uri="urn:schemas-microsoft-com:office:smarttags" w:element="PlaceType">
          <w:r>
            <w:t>Lake</w:t>
          </w:r>
        </w:smartTag>
        <w:r>
          <w:t xml:space="preserve"> </w:t>
        </w:r>
        <w:smartTag w:uri="urn:schemas-microsoft-com:office:smarttags" w:element="PlaceName">
          <w:r>
            <w:t>Navarino</w:t>
          </w:r>
        </w:smartTag>
      </w:smartTag>
      <w:r>
        <w:t xml:space="preserve"> (Waroona Dam) and its tributaries; and</w:t>
      </w:r>
    </w:p>
    <w:p>
      <w:pPr>
        <w:pStyle w:val="Defpara"/>
      </w:pPr>
      <w:r>
        <w:tab/>
        <w:t>(c)</w:t>
      </w:r>
      <w:r>
        <w:tab/>
      </w:r>
      <w:smartTag w:uri="urn:schemas-microsoft-com:office:smarttags" w:element="place">
        <w:smartTag w:uri="urn:schemas-microsoft-com:office:smarttags" w:element="PlaceName">
          <w:r>
            <w:t>Hutt</w:t>
          </w:r>
        </w:smartTag>
        <w:r>
          <w:t xml:space="preserve"> </w:t>
        </w:r>
        <w:smartTag w:uri="urn:schemas-microsoft-com:office:smarttags" w:element="PlaceType">
          <w:r>
            <w:t>River</w:t>
          </w:r>
        </w:smartTag>
      </w:smartTag>
      <w:r>
        <w:t>;</w:t>
      </w:r>
    </w:p>
    <w:p>
      <w:pPr>
        <w:pStyle w:val="Defstart"/>
      </w:pPr>
      <w:r>
        <w:rPr>
          <w:b/>
        </w:rPr>
        <w:tab/>
      </w:r>
      <w:r>
        <w:rPr>
          <w:rStyle w:val="CharDefText"/>
        </w:rPr>
        <w:t>metropolitan waters</w:t>
      </w:r>
      <w:r>
        <w:t xml:space="preserve"> means all WA waters between 31</w:t>
      </w:r>
      <w:r>
        <w:sym w:font="Symbol" w:char="F0B0"/>
      </w:r>
      <w:r>
        <w:t> 29.580′ south latitude (northern wall of the Two Rocks Marina) and 32</w:t>
      </w:r>
      <w:r>
        <w:sym w:font="Symbol" w:char="F0B0"/>
      </w:r>
      <w:r>
        <w:t> 41.453′ south latitude (</w:t>
      </w:r>
      <w:smartTag w:uri="urn:schemas-microsoft-com:office:smarttags" w:element="place">
        <w:smartTag w:uri="urn:schemas-microsoft-com:office:smarttags" w:element="PlaceType">
          <w:r>
            <w:t>Cape</w:t>
          </w:r>
        </w:smartTag>
        <w:r>
          <w:t xml:space="preserve"> </w:t>
        </w:r>
        <w:smartTag w:uri="urn:schemas-microsoft-com:office:smarttags" w:element="PlaceName">
          <w:r>
            <w:t>Bouvard</w:t>
          </w:r>
        </w:smartTag>
      </w:smartTag>
      <w:r>
        <w:t>);</w:t>
      </w:r>
    </w:p>
    <w:p>
      <w:pPr>
        <w:pStyle w:val="Defstart"/>
      </w:pPr>
      <w:r>
        <w:rPr>
          <w:b/>
        </w:rPr>
        <w:tab/>
      </w:r>
      <w:r>
        <w:rPr>
          <w:rStyle w:val="CharDefText"/>
        </w:rPr>
        <w:t>mollusc</w:t>
      </w:r>
      <w:r>
        <w:t xml:space="preserve"> does not include pearl oyster;</w:t>
      </w:r>
    </w:p>
    <w:p>
      <w:pPr>
        <w:pStyle w:val="Defstart"/>
      </w:pPr>
      <w:r>
        <w:rPr>
          <w:b/>
        </w:rPr>
        <w:tab/>
      </w:r>
      <w:r>
        <w:rPr>
          <w:rStyle w:val="CharDefText"/>
        </w:rPr>
        <w:t>motor boat</w:t>
      </w:r>
      <w:r>
        <w:rPr>
          <w:bCs/>
        </w:rPr>
        <w:t xml:space="preserve"> means a vessel propelled otherwise than by oars or sail and includes a personal watercraft within the meaning of the </w:t>
      </w:r>
      <w:r>
        <w:rPr>
          <w:bCs/>
          <w:i/>
          <w:iCs/>
        </w:rPr>
        <w:t>Navigable Waters Regulations 1958</w:t>
      </w:r>
      <w:r>
        <w:t>;</w:t>
      </w:r>
    </w:p>
    <w:p>
      <w:pPr>
        <w:pStyle w:val="Defstart"/>
      </w:pPr>
      <w:r>
        <w:rPr>
          <w:b/>
        </w:rPr>
        <w:tab/>
      </w:r>
      <w:r>
        <w:rPr>
          <w:rStyle w:val="CharDefText"/>
        </w:rPr>
        <w:t>Ningaloo Marine Park</w:t>
      </w:r>
      <w:r>
        <w:t xml:space="preserve"> means all waters reserved under section 13 of the </w:t>
      </w:r>
      <w:r>
        <w:rPr>
          <w:i/>
        </w:rPr>
        <w:t>Conservation and Land Management Act 1984</w:t>
      </w:r>
      <w:r>
        <w:t xml:space="preserve"> as </w:t>
      </w:r>
      <w:smartTag w:uri="urn:schemas-microsoft-com:office:smarttags" w:element="PlaceName">
        <w:r>
          <w:t>Class</w:t>
        </w:r>
      </w:smartTag>
      <w:r>
        <w:t xml:space="preserve"> </w:t>
      </w:r>
      <w:smartTag w:uri="urn:schemas-microsoft-com:office:smarttags" w:element="PlaceName">
        <w:r>
          <w:t>“A”</w:t>
        </w:r>
      </w:smartTag>
      <w:r>
        <w:t xml:space="preserve"> </w:t>
      </w:r>
      <w:smartTag w:uri="urn:schemas-microsoft-com:office:smarttags" w:element="PlaceName">
        <w:r>
          <w:t>Marine</w:t>
        </w:r>
      </w:smartTag>
      <w:r>
        <w:t xml:space="preserve"> </w:t>
      </w:r>
      <w:smartTag w:uri="urn:schemas-microsoft-com:office:smarttags" w:element="PlaceType">
        <w:r>
          <w:t>Park</w:t>
        </w:r>
      </w:smartTag>
      <w:r>
        <w:t xml:space="preserve"> Reserve No. 2, </w:t>
      </w:r>
      <w:smartTag w:uri="urn:schemas-microsoft-com:office:smarttags" w:element="place">
        <w:smartTag w:uri="urn:schemas-microsoft-com:office:smarttags" w:element="PlaceName">
          <w:r>
            <w:t>Ningaloo</w:t>
          </w:r>
        </w:smartTag>
        <w:r>
          <w:t xml:space="preserve"> </w:t>
        </w:r>
        <w:smartTag w:uri="urn:schemas-microsoft-com:office:smarttags" w:element="PlaceName">
          <w:r>
            <w:t>Marine</w:t>
          </w:r>
        </w:smartTag>
        <w:r>
          <w:t xml:space="preserve"> </w:t>
        </w:r>
        <w:smartTag w:uri="urn:schemas-microsoft-com:office:smarttags" w:element="PlaceType">
          <w:r>
            <w:t>Park</w:t>
          </w:r>
        </w:smartTag>
      </w:smartTag>
      <w:r>
        <w:t>;</w:t>
      </w:r>
    </w:p>
    <w:p>
      <w:pPr>
        <w:pStyle w:val="Defstart"/>
      </w:pPr>
      <w:r>
        <w:rPr>
          <w:b/>
        </w:rPr>
        <w:tab/>
      </w:r>
      <w:r>
        <w:rPr>
          <w:rStyle w:val="CharDefText"/>
        </w:rPr>
        <w:t>one day</w:t>
      </w:r>
      <w:r>
        <w:t xml:space="preserve"> means a period of 24 hours commencing at midnight, other than in relation to fishing for marron or prawns or fishing by means of a fishing net, where it means a period of 24 hours commencing at midday;</w:t>
      </w:r>
    </w:p>
    <w:p>
      <w:pPr>
        <w:pStyle w:val="Defstart"/>
      </w:pPr>
      <w:r>
        <w:tab/>
      </w:r>
      <w:r>
        <w:rPr>
          <w:rStyle w:val="CharDefText"/>
        </w:rPr>
        <w:t>Pilbara and Kimberley Region</w:t>
      </w:r>
      <w:r>
        <w:t xml:space="preserve"> means —</w:t>
      </w:r>
    </w:p>
    <w:p>
      <w:pPr>
        <w:pStyle w:val="Defpara"/>
      </w:pPr>
      <w:r>
        <w:tab/>
        <w:t>(a)</w:t>
      </w:r>
      <w:r>
        <w:tab/>
        <w:t>all land in the State; and</w:t>
      </w:r>
    </w:p>
    <w:p>
      <w:pPr>
        <w:pStyle w:val="Defpara"/>
      </w:pPr>
      <w:r>
        <w:tab/>
        <w:t>(b)</w:t>
      </w:r>
      <w:r>
        <w:tab/>
        <w:t>all WA waters,</w:t>
      </w:r>
    </w:p>
    <w:p>
      <w:pPr>
        <w:pStyle w:val="Defstart"/>
      </w:pPr>
      <w:r>
        <w:tab/>
        <w:t>that are east of 114° 50′ east longitude and north of 21° 46′ south latitude;</w:t>
      </w:r>
    </w:p>
    <w:p>
      <w:pPr>
        <w:pStyle w:val="Defstart"/>
      </w:pPr>
      <w:r>
        <w:rPr>
          <w:b/>
        </w:rPr>
        <w:tab/>
      </w:r>
      <w:r>
        <w:rPr>
          <w:rStyle w:val="CharDefText"/>
        </w:rPr>
        <w:t>prawn hand trawl net</w:t>
      </w:r>
      <w:r>
        <w:t xml:space="preserve"> means a net —</w:t>
      </w:r>
    </w:p>
    <w:p>
      <w:pPr>
        <w:pStyle w:val="Defpara"/>
      </w:pPr>
      <w:r>
        <w:tab/>
        <w:t>(a)</w:t>
      </w:r>
      <w:r>
        <w:tab/>
        <w:t>of not more than 4 m in length; and</w:t>
      </w:r>
    </w:p>
    <w:p>
      <w:pPr>
        <w:pStyle w:val="Defpara"/>
      </w:pPr>
      <w:r>
        <w:tab/>
        <w:t>(b)</w:t>
      </w:r>
      <w:r>
        <w:tab/>
        <w:t>with a mesh of not less than 16 mm;</w:t>
      </w:r>
    </w:p>
    <w:p>
      <w:pPr>
        <w:pStyle w:val="Defstart"/>
      </w:pPr>
      <w:r>
        <w:rPr>
          <w:b/>
        </w:rPr>
        <w:tab/>
      </w:r>
      <w:r>
        <w:rPr>
          <w:rStyle w:val="CharDefText"/>
        </w:rPr>
        <w:t>principal place of residence</w:t>
      </w:r>
      <w:r>
        <w:t xml:space="preserve"> in respect of a person, does not include —</w:t>
      </w:r>
    </w:p>
    <w:p>
      <w:pPr>
        <w:pStyle w:val="Defpara"/>
      </w:pPr>
      <w:r>
        <w:tab/>
        <w:t>(a)</w:t>
      </w:r>
      <w:r>
        <w:tab/>
        <w:t>a tent, vehicle or boat; or</w:t>
      </w:r>
    </w:p>
    <w:p>
      <w:pPr>
        <w:pStyle w:val="Defpara"/>
      </w:pPr>
      <w:r>
        <w:tab/>
        <w:t>(b)</w:t>
      </w:r>
      <w:r>
        <w:tab/>
        <w:t xml:space="preserve">a caravan, within the meaning of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unless the caravan is the person’s principal place of residence; or</w:t>
      </w:r>
    </w:p>
    <w:p>
      <w:pPr>
        <w:pStyle w:val="Defpara"/>
      </w:pPr>
      <w:r>
        <w:tab/>
        <w:t>(c)</w:t>
      </w:r>
      <w:r>
        <w:tab/>
        <w:t>premises where fish are processed or stored for a commercial purpose; or</w:t>
      </w:r>
    </w:p>
    <w:p>
      <w:pPr>
        <w:pStyle w:val="Defpara"/>
      </w:pPr>
      <w:r>
        <w:tab/>
        <w:t>(d)</w:t>
      </w:r>
      <w:r>
        <w:tab/>
        <w:t>premises where fish are sold or purchased;</w:t>
      </w:r>
    </w:p>
    <w:p>
      <w:pPr>
        <w:pStyle w:val="Defstart"/>
      </w:pPr>
      <w:r>
        <w:rPr>
          <w:b/>
        </w:rPr>
        <w:tab/>
      </w:r>
      <w:r>
        <w:rPr>
          <w:rStyle w:val="CharDefText"/>
        </w:rPr>
        <w:t>pull</w:t>
      </w:r>
      <w:r>
        <w:t xml:space="preserve"> in relation to a rock lobster pot, means to bring the pot from the seabed to the surface of the sea;</w:t>
      </w:r>
    </w:p>
    <w:p>
      <w:pPr>
        <w:pStyle w:val="Defstart"/>
      </w:pPr>
      <w:r>
        <w:rPr>
          <w:b/>
        </w:rPr>
        <w:tab/>
      </w:r>
      <w:r>
        <w:rPr>
          <w:rStyle w:val="CharDefText"/>
        </w:rPr>
        <w:t>recreational fishing licence</w:t>
      </w:r>
      <w:r>
        <w:t xml:space="preserve"> means a licence referred to in regulation 123;</w:t>
      </w:r>
    </w:p>
    <w:p>
      <w:pPr>
        <w:pStyle w:val="Defstart"/>
        <w:keepNext/>
      </w:pPr>
      <w:r>
        <w:rPr>
          <w:b/>
        </w:rPr>
        <w:tab/>
      </w:r>
      <w:r>
        <w:rPr>
          <w:rStyle w:val="CharDefText"/>
        </w:rPr>
        <w:t>region</w:t>
      </w:r>
      <w:r>
        <w:t xml:space="preserve"> means any of the following areas of the State —</w:t>
      </w:r>
    </w:p>
    <w:p>
      <w:pPr>
        <w:pStyle w:val="Defpara"/>
      </w:pPr>
      <w:r>
        <w:tab/>
        <w:t>(a)</w:t>
      </w:r>
      <w:r>
        <w:tab/>
        <w:t>the Gascoyne Region;</w:t>
      </w:r>
    </w:p>
    <w:p>
      <w:pPr>
        <w:pStyle w:val="Defpara"/>
      </w:pPr>
      <w:r>
        <w:tab/>
        <w:t>(b)</w:t>
      </w:r>
      <w:r>
        <w:tab/>
        <w:t xml:space="preserve">the Pilbara and </w:t>
      </w:r>
      <w:smartTag w:uri="urn:schemas-microsoft-com:office:smarttags" w:element="place">
        <w:smartTag w:uri="urn:schemas-microsoft-com:office:smarttags" w:element="City">
          <w:r>
            <w:t>Kimberley</w:t>
          </w:r>
        </w:smartTag>
      </w:smartTag>
      <w:r>
        <w:t xml:space="preserve"> Region;</w:t>
      </w:r>
    </w:p>
    <w:p>
      <w:pPr>
        <w:pStyle w:val="Defpara"/>
      </w:pPr>
      <w:r>
        <w:tab/>
        <w:t>(c)</w:t>
      </w:r>
      <w:r>
        <w:tab/>
        <w:t xml:space="preserve">the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p>
    <w:p>
      <w:pPr>
        <w:pStyle w:val="Defpara"/>
      </w:pPr>
      <w:r>
        <w:tab/>
        <w:t>(d)</w:t>
      </w:r>
      <w:r>
        <w:tab/>
        <w:t>the West Coast Region;</w:t>
      </w:r>
    </w:p>
    <w:p>
      <w:pPr>
        <w:pStyle w:val="Defstart"/>
      </w:pPr>
      <w:r>
        <w:rPr>
          <w:b/>
        </w:rPr>
        <w:tab/>
      </w:r>
      <w:r>
        <w:rPr>
          <w:rStyle w:val="CharDefText"/>
        </w:rPr>
        <w:t>rock lobster pot</w:t>
      </w:r>
      <w:r>
        <w:t xml:space="preserve"> means any fishing gear, other than a hand held instrument, that is capable of being used to fish for rock lobster;</w:t>
      </w:r>
    </w:p>
    <w:p>
      <w:pPr>
        <w:pStyle w:val="Defstart"/>
      </w:pPr>
      <w:r>
        <w:rPr>
          <w:b/>
        </w:rPr>
        <w:tab/>
      </w:r>
      <w:r>
        <w:rPr>
          <w:rStyle w:val="CharDefText"/>
        </w:rPr>
        <w:t>rock lobster pot licence</w:t>
      </w:r>
      <w:r>
        <w:t xml:space="preserve"> means a licence referred to in regulation 125;</w:t>
      </w:r>
    </w:p>
    <w:p>
      <w:pPr>
        <w:pStyle w:val="Defstart"/>
      </w:pPr>
      <w:r>
        <w:rPr>
          <w:b/>
        </w:rPr>
        <w:tab/>
      </w:r>
      <w:r>
        <w:rPr>
          <w:rStyle w:val="CharDefText"/>
        </w:rPr>
        <w:t>rock lobster tail</w:t>
      </w:r>
      <w:r>
        <w:t xml:space="preserve"> means the whole or part of the abdomen of a rock lobster at any time after that abdomen or part of that abdomen has been severed from the carapace;</w:t>
      </w:r>
    </w:p>
    <w:p>
      <w:pPr>
        <w:pStyle w:val="Defstart"/>
      </w:pPr>
      <w:r>
        <w:rPr>
          <w:b/>
        </w:rPr>
        <w:tab/>
      </w:r>
      <w:r>
        <w:rPr>
          <w:rStyle w:val="CharDefText"/>
        </w:rPr>
        <w:t>set</w:t>
      </w:r>
      <w:r>
        <w:t xml:space="preserve"> in respect of a net or any other fishing gear, means to fix the net or fishing gear in place so that it remains stationary;</w:t>
      </w:r>
    </w:p>
    <w:p>
      <w:pPr>
        <w:pStyle w:val="Defstart"/>
      </w:pPr>
      <w:r>
        <w:rPr>
          <w:b/>
        </w:rPr>
        <w:tab/>
      </w:r>
      <w:r>
        <w:rPr>
          <w:rStyle w:val="CharDefText"/>
        </w:rPr>
        <w:t>single</w:t>
      </w:r>
      <w:r>
        <w:rPr>
          <w:rStyle w:val="CharDefText"/>
        </w:rPr>
        <w:noBreakHyphen/>
        <w:t>sided fillet</w:t>
      </w:r>
      <w:r>
        <w:t xml:space="preserve"> means a fillet that is taken from one side only of a fish;</w:t>
      </w:r>
    </w:p>
    <w:p>
      <w:pPr>
        <w:pStyle w:val="Defstart"/>
      </w:pPr>
      <w:r>
        <w:tab/>
      </w:r>
      <w:r>
        <w:rPr>
          <w:rStyle w:val="CharDefText"/>
        </w:rPr>
        <w:t>South Coast Region</w:t>
      </w:r>
      <w:r>
        <w:t xml:space="preserve"> means —</w:t>
      </w:r>
    </w:p>
    <w:p>
      <w:pPr>
        <w:pStyle w:val="Defpara"/>
      </w:pPr>
      <w:r>
        <w:tab/>
        <w:t>(a)</w:t>
      </w:r>
      <w:r>
        <w:tab/>
        <w:t>all WA waters off the southern coast of WA east of 115° 30′ east longitude; and</w:t>
      </w:r>
    </w:p>
    <w:p>
      <w:pPr>
        <w:pStyle w:val="Defpara"/>
      </w:pPr>
      <w:r>
        <w:tab/>
        <w:t>(b)</w:t>
      </w:r>
      <w:r>
        <w:tab/>
        <w:t xml:space="preserve">all land and all WA waters east of 115° 30′ east longitude and in any of the following local government districts designated under the </w:t>
      </w:r>
      <w:r>
        <w:rPr>
          <w:i/>
        </w:rPr>
        <w:t>Local Government Act 1995</w:t>
      </w:r>
      <w:r>
        <w:t> —</w:t>
      </w:r>
    </w:p>
    <w:p>
      <w:pPr>
        <w:pStyle w:val="Defsubpara"/>
      </w:pPr>
      <w:r>
        <w:tab/>
        <w:t>(i)</w:t>
      </w:r>
      <w:r>
        <w:tab/>
        <w:t xml:space="preserve">the Cities of </w:t>
      </w:r>
      <w:smartTag w:uri="urn:schemas-microsoft-com:office:smarttags" w:element="place">
        <w:smartTag w:uri="urn:schemas-microsoft-com:office:smarttags" w:element="City">
          <w:r>
            <w:t>Albany</w:t>
          </w:r>
        </w:smartTag>
      </w:smartTag>
      <w:r>
        <w:t xml:space="preserve"> and Kalgoorlie</w:t>
      </w:r>
      <w:r>
        <w:noBreakHyphen/>
        <w:t>Boulder; and</w:t>
      </w:r>
    </w:p>
    <w:p>
      <w:pPr>
        <w:pStyle w:val="Defsubpara"/>
        <w:keepLines w:val="0"/>
      </w:pPr>
      <w:r>
        <w:tab/>
        <w:t>(ii)</w:t>
      </w:r>
      <w:r>
        <w:tab/>
        <w:t>the Shires of Boyup Brook, Bridgetown</w:t>
      </w:r>
      <w:r>
        <w:noBreakHyphen/>
        <w:t>Greenbushes, Broomehill, Coolgardie, Cranbrook, Denmark, Dumbleyung, Dundas, Esperance, Gnowangerup, Jerramungup, Katanning, Kent, Kojonup, Kondinin, Kulin, Lake Grace, Manjimup, Nannup, Plantagenet, Ravensthorpe, Tambellup and Woodanilling;</w:t>
      </w:r>
    </w:p>
    <w:p>
      <w:pPr>
        <w:pStyle w:val="Defstart"/>
      </w:pPr>
      <w:r>
        <w:rPr>
          <w:b/>
        </w:rPr>
        <w:tab/>
      </w:r>
      <w:r>
        <w:rPr>
          <w:rStyle w:val="CharDefText"/>
        </w:rPr>
        <w:t>special risk finfish</w:t>
      </w:r>
      <w:r>
        <w:t xml:space="preserve"> has the same meaning as in regulation 14(1);</w:t>
      </w:r>
    </w:p>
    <w:p>
      <w:pPr>
        <w:pStyle w:val="Defstart"/>
      </w:pPr>
      <w:r>
        <w:rPr>
          <w:b/>
        </w:rPr>
        <w:tab/>
      </w:r>
      <w:r>
        <w:rPr>
          <w:rStyle w:val="CharDefText"/>
        </w:rPr>
        <w:t>sunrise</w:t>
      </w:r>
      <w:r>
        <w:t xml:space="preserve"> and </w:t>
      </w:r>
      <w:r>
        <w:rPr>
          <w:rStyle w:val="CharDefText"/>
        </w:rPr>
        <w:t>sunset</w:t>
      </w:r>
      <w:r>
        <w:t xml:space="preserve"> mean the times provided by the Perth Astronomical Observatory for sunrise and sunset on the relevant day;</w:t>
      </w:r>
    </w:p>
    <w:p>
      <w:pPr>
        <w:pStyle w:val="Defstart"/>
      </w:pPr>
      <w:r>
        <w:rPr>
          <w:b/>
        </w:rPr>
        <w:tab/>
      </w:r>
      <w:r>
        <w:rPr>
          <w:rStyle w:val="CharDefText"/>
        </w:rPr>
        <w:t xml:space="preserve">waters of </w:t>
      </w:r>
      <w:smartTag w:uri="urn:schemas-microsoft-com:office:smarttags" w:element="PlaceName">
        <w:r>
          <w:rPr>
            <w:rStyle w:val="CharDefText"/>
          </w:rPr>
          <w:t>Shark</w:t>
        </w:r>
      </w:smartTag>
      <w:r>
        <w:rPr>
          <w:rStyle w:val="CharDefText"/>
        </w:rPr>
        <w:t xml:space="preserve"> </w:t>
      </w:r>
      <w:smartTag w:uri="urn:schemas-microsoft-com:office:smarttags" w:element="PlaceType">
        <w:r>
          <w:rPr>
            <w:rStyle w:val="CharDefText"/>
          </w:rPr>
          <w:t>Bay</w:t>
        </w:r>
      </w:smartTag>
      <w:r>
        <w:t xml:space="preserve"> means the waters of </w:t>
      </w:r>
      <w:smartTag w:uri="urn:schemas-microsoft-com:office:smarttags" w:element="PlaceName">
        <w:r>
          <w:t>Shark</w:t>
        </w:r>
      </w:smartTag>
      <w:r>
        <w:t xml:space="preserve"> </w:t>
      </w:r>
      <w:smartTag w:uri="urn:schemas-microsoft-com:office:smarttags" w:element="PlaceType">
        <w:r>
          <w:t>Bay</w:t>
        </w:r>
      </w:smartTag>
      <w:r>
        <w:t xml:space="preserve"> lying south of a line drawn from </w:t>
      </w:r>
      <w:smartTag w:uri="urn:schemas-microsoft-com:office:smarttags" w:element="place">
        <w:r>
          <w:t>Cape</w:t>
        </w:r>
      </w:smartTag>
      <w:r>
        <w:t xml:space="preserve"> Inscription on Dirk Hartog Island due east to the mainland;</w:t>
      </w:r>
    </w:p>
    <w:p>
      <w:pPr>
        <w:pStyle w:val="Defstart"/>
      </w:pPr>
      <w:r>
        <w:rPr>
          <w:b/>
        </w:rPr>
        <w:tab/>
      </w:r>
      <w:r>
        <w:rPr>
          <w:rStyle w:val="CharDefText"/>
        </w:rPr>
        <w:t>waters of the Shark Bay eastern gul</w:t>
      </w:r>
      <w:r>
        <w:rPr>
          <w:rStyle w:val="CharDefText"/>
          <w:spacing w:val="40"/>
        </w:rPr>
        <w:t>f</w:t>
      </w:r>
      <w:r>
        <w:t xml:space="preserve"> means the waters of Shark Bay south and east of a line commencing at the high water mark of the northernmost point of Cape Peron, from there due north to the intersection with a line drawn due east from the high water mark of the southernmost point of Cape St Cricq, and from there due east to the mainland, but not including the waters of Denham Sound nor the Freycinet Estuary;</w:t>
      </w:r>
    </w:p>
    <w:p>
      <w:pPr>
        <w:pStyle w:val="Defstart"/>
      </w:pPr>
      <w:r>
        <w:rPr>
          <w:b/>
        </w:rPr>
        <w:tab/>
      </w:r>
      <w:r>
        <w:rPr>
          <w:rStyle w:val="CharDefText"/>
        </w:rPr>
        <w:t>waters of the Shark Bay western gul</w:t>
      </w:r>
      <w:r>
        <w:rPr>
          <w:rStyle w:val="CharDefText"/>
          <w:spacing w:val="40"/>
        </w:rPr>
        <w:t>f</w:t>
      </w:r>
      <w:r>
        <w:t xml:space="preserve"> means the waters of Shark Bay (including the waters of Denham Sound and Freycinet Estuary) bounded by a line commencing at the high water mark at the intersection of 25° 35.125′ south latitude and 113° 01.227′ east longitude (Withnell Point); thence extending east along the parallel to the intersection with 113° 15′ east longitude; thence north along the meridian to the intersection of 25° 30.200′ south latitude; thence east along the parallel to the high water mark of Cape Peron at the intersection of 25° 30.200′ south latitude and 113° 30.600′ east longitude; thence generally in a southerly direction along the high water mark on the western side of Peron Peninsula; thence continuing westerly then northerly along the high water mark on the eastern side of Edel Land Peninsula; thence following the high water mark around Heirisson Prong and Bellefin Prong to the intersection of the high water mark and 113</w:t>
      </w:r>
      <w:r>
        <w:sym w:font="Symbol" w:char="F0B0"/>
      </w:r>
      <w:r>
        <w:t> 12.9</w:t>
      </w:r>
      <w:r>
        <w:sym w:font="Symbol" w:char="F0A2"/>
      </w:r>
      <w:r>
        <w:t xml:space="preserve"> east longitude; thence along the geodesic to the intersection of 113</w:t>
      </w:r>
      <w:r>
        <w:sym w:font="Symbol" w:char="F0B0"/>
      </w:r>
      <w:r>
        <w:t xml:space="preserve"> 12.9</w:t>
      </w:r>
      <w:r>
        <w:sym w:font="Symbol" w:char="F0A2"/>
      </w:r>
      <w:r>
        <w:t xml:space="preserve"> east longitude and the high water mark (southern end) of Dirk Hartog Island; thence generally northerly along the high water mark on the eastern side of Dirk Hartog Island to the commencement point;</w:t>
      </w:r>
    </w:p>
    <w:p>
      <w:pPr>
        <w:pStyle w:val="Defstart"/>
      </w:pPr>
      <w:r>
        <w:tab/>
      </w:r>
      <w:r>
        <w:rPr>
          <w:rStyle w:val="CharDefText"/>
        </w:rPr>
        <w:t>West Coast Region</w:t>
      </w:r>
      <w:r>
        <w:t xml:space="preserve"> means —</w:t>
      </w:r>
    </w:p>
    <w:p>
      <w:pPr>
        <w:pStyle w:val="Defpara"/>
      </w:pPr>
      <w:r>
        <w:tab/>
        <w:t>(a)</w:t>
      </w:r>
      <w:r>
        <w:tab/>
        <w:t>all land in the State; and</w:t>
      </w:r>
    </w:p>
    <w:p>
      <w:pPr>
        <w:pStyle w:val="Defpara"/>
      </w:pPr>
      <w:r>
        <w:tab/>
        <w:t>(b)</w:t>
      </w:r>
      <w:r>
        <w:tab/>
        <w:t>all WA waters,</w:t>
      </w:r>
    </w:p>
    <w:p>
      <w:pPr>
        <w:pStyle w:val="Defstart"/>
      </w:pPr>
      <w:r>
        <w:tab/>
        <w:t>that are south of 27° 00′ south latitude, excluding the South Coast Region;</w:t>
      </w:r>
    </w:p>
    <w:p>
      <w:pPr>
        <w:pStyle w:val="Defstart"/>
      </w:pPr>
      <w:r>
        <w:rPr>
          <w:b/>
        </w:rPr>
        <w:tab/>
      </w:r>
      <w:r>
        <w:rPr>
          <w:rStyle w:val="CharDefText"/>
        </w:rPr>
        <w:t>western gulf land area</w:t>
      </w:r>
      <w:r>
        <w:t xml:space="preserve"> means the land adjacent to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western gulf;</w:t>
      </w:r>
    </w:p>
    <w:p>
      <w:pPr>
        <w:pStyle w:val="Defstart"/>
      </w:pPr>
      <w:r>
        <w:rPr>
          <w:b/>
        </w:rPr>
        <w:tab/>
      </w:r>
      <w:r>
        <w:rPr>
          <w:rStyle w:val="CharDefText"/>
        </w:rPr>
        <w:t>whole fish</w:t>
      </w:r>
      <w:r>
        <w:t xml:space="preserve"> means a finfish that is —</w:t>
      </w:r>
    </w:p>
    <w:p>
      <w:pPr>
        <w:pStyle w:val="Defpara"/>
      </w:pPr>
      <w:r>
        <w:tab/>
        <w:t>(a)</w:t>
      </w:r>
      <w:r>
        <w:tab/>
        <w:t>entire; or</w:t>
      </w:r>
    </w:p>
    <w:p>
      <w:pPr>
        <w:pStyle w:val="Defpara"/>
      </w:pPr>
      <w:r>
        <w:tab/>
        <w:t>(b)</w:t>
      </w:r>
      <w:r>
        <w:tab/>
        <w:t>entire except that it has been gilled or gutted, or both.</w:t>
      </w:r>
    </w:p>
    <w:p>
      <w:pPr>
        <w:pStyle w:val="Subsection"/>
        <w:rPr>
          <w:snapToGrid w:val="0"/>
        </w:rPr>
      </w:pPr>
      <w:r>
        <w:rPr>
          <w:snapToGrid w:val="0"/>
        </w:rPr>
        <w:tab/>
        <w:t>(2)</w:t>
      </w:r>
      <w:r>
        <w:rPr>
          <w:snapToGrid w:val="0"/>
        </w:rPr>
        <w:tab/>
        <w:t>Where in these regulations fish is referred to by only a common name set out in column 1 of Schedule 7 the fish referred to is the fish described by the scientific classification set out in column 2 of that Schedule opposite that common name.</w:t>
      </w:r>
    </w:p>
    <w:p>
      <w:pPr>
        <w:pStyle w:val="Footnotesection"/>
      </w:pPr>
      <w:r>
        <w:tab/>
        <w:t>[Regulation 3 amended in Gazette 29 Jun 2001 p. 3163; 28 Feb 2003 p. 660</w:t>
      </w:r>
      <w:r>
        <w:noBreakHyphen/>
        <w:t>1; 7 Mar 2003 p. 743</w:t>
      </w:r>
      <w:r>
        <w:noBreakHyphen/>
        <w:t>4; 1 Oct 2003 p. 4281</w:t>
      </w:r>
      <w:r>
        <w:noBreakHyphen/>
        <w:t>4; 28 Nov 2003 p. 4775; 23 Dec 2003 p. 5204</w:t>
      </w:r>
      <w:r>
        <w:noBreakHyphen/>
        <w:t>5; 6 Apr 2004 p. 1132; 3 Jun 2005 p. 2490; 4 Nov 2005 p. 5300</w:t>
      </w:r>
      <w:r>
        <w:noBreakHyphen/>
        <w:t>1; 29 Dec 2006 p. 5889; 4 Sep 2007 p. 4519; 21 Dec 2007 p. 6326; 6 Nov 2009 p. 4470</w:t>
      </w:r>
      <w:r>
        <w:noBreakHyphen/>
        <w:t>1.]</w:t>
      </w:r>
    </w:p>
    <w:p>
      <w:pPr>
        <w:pStyle w:val="Ednotesection"/>
      </w:pPr>
      <w:r>
        <w:t>[</w:t>
      </w:r>
      <w:r>
        <w:rPr>
          <w:b/>
        </w:rPr>
        <w:t>3A.</w:t>
      </w:r>
      <w:r>
        <w:tab/>
        <w:t>Deleted in Gazette 4 Nov 2005 p. 5301.]</w:t>
      </w:r>
    </w:p>
    <w:p>
      <w:pPr>
        <w:pStyle w:val="Heading5"/>
        <w:rPr>
          <w:snapToGrid w:val="0"/>
        </w:rPr>
      </w:pPr>
      <w:bookmarkStart w:id="74" w:name="_Toc309309250"/>
      <w:r>
        <w:rPr>
          <w:rStyle w:val="CharSectno"/>
        </w:rPr>
        <w:t>4</w:t>
      </w:r>
      <w:r>
        <w:rPr>
          <w:snapToGrid w:val="0"/>
        </w:rPr>
        <w:t>.</w:t>
      </w:r>
      <w:r>
        <w:rPr>
          <w:snapToGrid w:val="0"/>
        </w:rPr>
        <w:tab/>
        <w:t xml:space="preserve">Body prescribed (Act s. 4(1) </w:t>
      </w:r>
      <w:r>
        <w:rPr>
          <w:i/>
          <w:snapToGrid w:val="0"/>
        </w:rPr>
        <w:t>peak industry body</w:t>
      </w:r>
      <w:r>
        <w:rPr>
          <w:snapToGrid w:val="0"/>
        </w:rPr>
        <w:t>)</w:t>
      </w:r>
      <w:bookmarkEnd w:id="74"/>
    </w:p>
    <w:p>
      <w:pPr>
        <w:pStyle w:val="Subsection"/>
        <w:rPr>
          <w:snapToGrid w:val="0"/>
        </w:rPr>
      </w:pPr>
      <w:r>
        <w:rPr>
          <w:snapToGrid w:val="0"/>
        </w:rPr>
        <w:tab/>
      </w:r>
      <w:r>
        <w:rPr>
          <w:snapToGrid w:val="0"/>
        </w:rPr>
        <w:tab/>
        <w:t xml:space="preserve">The Western Australian Fishing Industry Council (Inc.) is the body prescribed for the purposes of the definition of </w:t>
      </w:r>
      <w:r>
        <w:rPr>
          <w:b/>
          <w:bCs/>
          <w:i/>
          <w:iCs/>
          <w:snapToGrid w:val="0"/>
        </w:rPr>
        <w:t>peak industry body</w:t>
      </w:r>
      <w:r>
        <w:rPr>
          <w:snapToGrid w:val="0"/>
        </w:rPr>
        <w:t xml:space="preserve"> in section 4(1) of the Act.</w:t>
      </w:r>
    </w:p>
    <w:p>
      <w:pPr>
        <w:pStyle w:val="Heading5"/>
        <w:rPr>
          <w:snapToGrid w:val="0"/>
        </w:rPr>
      </w:pPr>
      <w:bookmarkStart w:id="75" w:name="_Toc309309251"/>
      <w:r>
        <w:rPr>
          <w:rStyle w:val="CharSectno"/>
        </w:rPr>
        <w:t>5</w:t>
      </w:r>
      <w:r>
        <w:rPr>
          <w:snapToGrid w:val="0"/>
        </w:rPr>
        <w:t>.</w:t>
      </w:r>
      <w:r>
        <w:rPr>
          <w:snapToGrid w:val="0"/>
        </w:rPr>
        <w:tab/>
        <w:t xml:space="preserve">Classes of fish prescribed (Act s. 4(1) </w:t>
      </w:r>
      <w:r>
        <w:rPr>
          <w:i/>
          <w:snapToGrid w:val="0"/>
        </w:rPr>
        <w:t>process</w:t>
      </w:r>
      <w:r>
        <w:rPr>
          <w:snapToGrid w:val="0"/>
        </w:rPr>
        <w:t>)</w:t>
      </w:r>
      <w:bookmarkEnd w:id="75"/>
    </w:p>
    <w:p>
      <w:pPr>
        <w:pStyle w:val="Subsection"/>
        <w:rPr>
          <w:snapToGrid w:val="0"/>
        </w:rPr>
      </w:pPr>
      <w:r>
        <w:rPr>
          <w:snapToGrid w:val="0"/>
        </w:rPr>
        <w:tab/>
      </w:r>
      <w:r>
        <w:rPr>
          <w:snapToGrid w:val="0"/>
        </w:rPr>
        <w:tab/>
        <w:t xml:space="preserve">Rock lobster and marron are fish of a prescribed class for the purpose of the definition of </w:t>
      </w:r>
      <w:r>
        <w:rPr>
          <w:b/>
          <w:bCs/>
          <w:i/>
          <w:iCs/>
          <w:snapToGrid w:val="0"/>
        </w:rPr>
        <w:t>process</w:t>
      </w:r>
      <w:r>
        <w:rPr>
          <w:snapToGrid w:val="0"/>
        </w:rPr>
        <w:t xml:space="preserve"> in section 4(1) of the Act.</w:t>
      </w:r>
    </w:p>
    <w:p>
      <w:pPr>
        <w:pStyle w:val="Heading5"/>
        <w:rPr>
          <w:snapToGrid w:val="0"/>
        </w:rPr>
      </w:pPr>
      <w:bookmarkStart w:id="76" w:name="_Toc309309252"/>
      <w:r>
        <w:rPr>
          <w:rStyle w:val="CharSectno"/>
        </w:rPr>
        <w:t>6</w:t>
      </w:r>
      <w:r>
        <w:rPr>
          <w:snapToGrid w:val="0"/>
        </w:rPr>
        <w:t>.</w:t>
      </w:r>
      <w:r>
        <w:rPr>
          <w:snapToGrid w:val="0"/>
        </w:rPr>
        <w:tab/>
        <w:t>Fee prescribed for exemption application (Act s. 7(4))</w:t>
      </w:r>
      <w:bookmarkEnd w:id="76"/>
    </w:p>
    <w:p>
      <w:pPr>
        <w:pStyle w:val="Subsection"/>
        <w:rPr>
          <w:snapToGrid w:val="0"/>
        </w:rPr>
      </w:pPr>
      <w:r>
        <w:rPr>
          <w:snapToGrid w:val="0"/>
        </w:rPr>
        <w:tab/>
      </w:r>
      <w:r>
        <w:rPr>
          <w:snapToGrid w:val="0"/>
        </w:rPr>
        <w:tab/>
        <w:t>The fee that is to accompany an application for an exemption under section 7(4) of the Act is as set out in item 1 of Part 1 of Schedule 1.</w:t>
      </w:r>
    </w:p>
    <w:p>
      <w:pPr>
        <w:pStyle w:val="Heading5"/>
        <w:rPr>
          <w:snapToGrid w:val="0"/>
        </w:rPr>
      </w:pPr>
      <w:bookmarkStart w:id="77" w:name="_Toc309309253"/>
      <w:r>
        <w:rPr>
          <w:rStyle w:val="CharSectno"/>
        </w:rPr>
        <w:t>7</w:t>
      </w:r>
      <w:r>
        <w:rPr>
          <w:snapToGrid w:val="0"/>
        </w:rPr>
        <w:t>.</w:t>
      </w:r>
      <w:r>
        <w:rPr>
          <w:snapToGrid w:val="0"/>
        </w:rPr>
        <w:tab/>
        <w:t>Exemption, power to require return of</w:t>
      </w:r>
      <w:bookmarkEnd w:id="77"/>
    </w:p>
    <w:p>
      <w:pPr>
        <w:pStyle w:val="Subsection"/>
        <w:rPr>
          <w:snapToGrid w:val="0"/>
        </w:rPr>
      </w:pPr>
      <w:r>
        <w:rPr>
          <w:snapToGrid w:val="0"/>
        </w:rPr>
        <w:tab/>
        <w:t>(1)</w:t>
      </w:r>
      <w:r>
        <w:rPr>
          <w:snapToGrid w:val="0"/>
        </w:rPr>
        <w:tab/>
        <w:t>The CEO may, by notice in writing given to the holder of an exemption, require the person to return the exemption to the CEO within a period specified in the notice if —</w:t>
      </w:r>
    </w:p>
    <w:p>
      <w:pPr>
        <w:pStyle w:val="Indenta"/>
        <w:rPr>
          <w:snapToGrid w:val="0"/>
        </w:rPr>
      </w:pPr>
      <w:r>
        <w:rPr>
          <w:snapToGrid w:val="0"/>
        </w:rPr>
        <w:tab/>
        <w:t>(a)</w:t>
      </w:r>
      <w:r>
        <w:rPr>
          <w:snapToGrid w:val="0"/>
        </w:rPr>
        <w:tab/>
        <w:t>the exemption has expired or has been revoked; or</w:t>
      </w:r>
    </w:p>
    <w:p>
      <w:pPr>
        <w:pStyle w:val="Indenta"/>
        <w:rPr>
          <w:snapToGrid w:val="0"/>
        </w:rPr>
      </w:pPr>
      <w:r>
        <w:rPr>
          <w:snapToGrid w:val="0"/>
        </w:rPr>
        <w:tab/>
        <w:t>(b)</w:t>
      </w:r>
      <w:r>
        <w:rPr>
          <w:snapToGrid w:val="0"/>
        </w:rPr>
        <w:tab/>
        <w:t>the Minister or the CEO has exercised a power under section 7(6)(b) of the Act to delete, vary or add to any conditions imposed in relation to the exemption.</w:t>
      </w:r>
    </w:p>
    <w:p>
      <w:pPr>
        <w:pStyle w:val="Subsection"/>
        <w:rPr>
          <w:snapToGrid w:val="0"/>
        </w:rPr>
      </w:pPr>
      <w:r>
        <w:rPr>
          <w:snapToGrid w:val="0"/>
        </w:rPr>
        <w:tab/>
        <w:t>(2)</w:t>
      </w:r>
      <w:r>
        <w:rPr>
          <w:snapToGrid w:val="0"/>
        </w:rPr>
        <w:tab/>
        <w:t>A person must not, without reasonable excuse, refuse or fail to comply with a requirement made under subregulation (1).</w:t>
      </w:r>
    </w:p>
    <w:p>
      <w:pPr>
        <w:pStyle w:val="Penstart"/>
        <w:rPr>
          <w:snapToGrid w:val="0"/>
        </w:rPr>
      </w:pPr>
      <w:r>
        <w:rPr>
          <w:snapToGrid w:val="0"/>
        </w:rPr>
        <w:tab/>
        <w:t>Penalty: In the case of an individual, $5 000 or, in the case of a body corporate, $10 000.</w:t>
      </w:r>
    </w:p>
    <w:p>
      <w:pPr>
        <w:pStyle w:val="Footnotesection"/>
      </w:pPr>
      <w:r>
        <w:tab/>
        <w:t>[Regulation 7 amended in Gazette 6 Jul 2007 p. 3389.]</w:t>
      </w:r>
    </w:p>
    <w:p>
      <w:pPr>
        <w:pStyle w:val="Heading2"/>
      </w:pPr>
      <w:bookmarkStart w:id="78" w:name="_Toc189987828"/>
      <w:bookmarkStart w:id="79" w:name="_Toc192041411"/>
      <w:bookmarkStart w:id="80" w:name="_Toc199570645"/>
      <w:bookmarkStart w:id="81" w:name="_Toc199738641"/>
      <w:bookmarkStart w:id="82" w:name="_Toc199814743"/>
      <w:bookmarkStart w:id="83" w:name="_Toc215040549"/>
      <w:bookmarkStart w:id="84" w:name="_Toc215040994"/>
      <w:bookmarkStart w:id="85" w:name="_Toc222129203"/>
      <w:bookmarkStart w:id="86" w:name="_Toc222222908"/>
      <w:bookmarkStart w:id="87" w:name="_Toc225914160"/>
      <w:bookmarkStart w:id="88" w:name="_Toc231282205"/>
      <w:bookmarkStart w:id="89" w:name="_Toc231282649"/>
      <w:bookmarkStart w:id="90" w:name="_Toc234899236"/>
      <w:bookmarkStart w:id="91" w:name="_Toc236632518"/>
      <w:bookmarkStart w:id="92" w:name="_Toc236720131"/>
      <w:bookmarkStart w:id="93" w:name="_Toc237764330"/>
      <w:bookmarkStart w:id="94" w:name="_Toc238355954"/>
      <w:bookmarkStart w:id="95" w:name="_Toc238368659"/>
      <w:bookmarkStart w:id="96" w:name="_Toc238375612"/>
      <w:bookmarkStart w:id="97" w:name="_Toc240338936"/>
      <w:bookmarkStart w:id="98" w:name="_Toc241993442"/>
      <w:bookmarkStart w:id="99" w:name="_Toc243192585"/>
      <w:bookmarkStart w:id="100" w:name="_Toc243295286"/>
      <w:bookmarkStart w:id="101" w:name="_Toc245112859"/>
      <w:bookmarkStart w:id="102" w:name="_Toc245198021"/>
      <w:bookmarkStart w:id="103" w:name="_Toc245198470"/>
      <w:bookmarkStart w:id="104" w:name="_Toc245198919"/>
      <w:bookmarkStart w:id="105" w:name="_Toc248121949"/>
      <w:bookmarkStart w:id="106" w:name="_Toc248122400"/>
      <w:bookmarkStart w:id="107" w:name="_Toc253670387"/>
      <w:bookmarkStart w:id="108" w:name="_Toc253670837"/>
      <w:bookmarkStart w:id="109" w:name="_Toc254942607"/>
      <w:bookmarkStart w:id="110" w:name="_Toc254943060"/>
      <w:bookmarkStart w:id="111" w:name="_Toc255475652"/>
      <w:bookmarkStart w:id="112" w:name="_Toc256431973"/>
      <w:bookmarkStart w:id="113" w:name="_Toc257720310"/>
      <w:bookmarkStart w:id="114" w:name="_Toc257721992"/>
      <w:bookmarkStart w:id="115" w:name="_Toc258335668"/>
      <w:bookmarkStart w:id="116" w:name="_Toc260406110"/>
      <w:bookmarkStart w:id="117" w:name="_Toc261271296"/>
      <w:bookmarkStart w:id="118" w:name="_Toc262807978"/>
      <w:bookmarkStart w:id="119" w:name="_Toc267572371"/>
      <w:bookmarkStart w:id="120" w:name="_Toc270684122"/>
      <w:bookmarkStart w:id="121" w:name="_Toc274214299"/>
      <w:bookmarkStart w:id="122" w:name="_Toc274214748"/>
      <w:bookmarkStart w:id="123" w:name="_Toc278976079"/>
      <w:bookmarkStart w:id="124" w:name="_Toc286760402"/>
      <w:bookmarkStart w:id="125" w:name="_Toc289080747"/>
      <w:bookmarkStart w:id="126" w:name="_Toc290283941"/>
      <w:bookmarkStart w:id="127" w:name="_Toc290642762"/>
      <w:bookmarkStart w:id="128" w:name="_Toc290643211"/>
      <w:bookmarkStart w:id="129" w:name="_Toc290643664"/>
      <w:bookmarkStart w:id="130" w:name="_Toc294701481"/>
      <w:bookmarkStart w:id="131" w:name="_Toc295199889"/>
      <w:bookmarkStart w:id="132" w:name="_Toc296954330"/>
      <w:bookmarkStart w:id="133" w:name="_Toc297275962"/>
      <w:bookmarkStart w:id="134" w:name="_Toc297276414"/>
      <w:bookmarkStart w:id="135" w:name="_Toc297276864"/>
      <w:bookmarkStart w:id="136" w:name="_Toc297726233"/>
      <w:bookmarkStart w:id="137" w:name="_Toc299980017"/>
      <w:bookmarkStart w:id="138" w:name="_Toc300234643"/>
      <w:bookmarkStart w:id="139" w:name="_Toc301961146"/>
      <w:bookmarkStart w:id="140" w:name="_Toc301966716"/>
      <w:bookmarkStart w:id="141" w:name="_Toc303252925"/>
      <w:bookmarkStart w:id="142" w:name="_Toc303257089"/>
      <w:bookmarkStart w:id="143" w:name="_Toc307992724"/>
      <w:bookmarkStart w:id="144" w:name="_Toc309029754"/>
      <w:bookmarkStart w:id="145" w:name="_Toc309303977"/>
      <w:bookmarkStart w:id="146" w:name="_Toc309304430"/>
      <w:bookmarkStart w:id="147" w:name="_Toc309309254"/>
      <w:r>
        <w:rPr>
          <w:rStyle w:val="CharPartNo"/>
        </w:rPr>
        <w:t>Part 2</w:t>
      </w:r>
      <w:r>
        <w:rPr>
          <w:rStyle w:val="CharDivNo"/>
        </w:rPr>
        <w:t> </w:t>
      </w:r>
      <w:r>
        <w:t>—</w:t>
      </w:r>
      <w:r>
        <w:rPr>
          <w:rStyle w:val="CharDivText"/>
        </w:rPr>
        <w:t> </w:t>
      </w:r>
      <w:r>
        <w:rPr>
          <w:rStyle w:val="CharPartText"/>
        </w:rPr>
        <w:t>Administration</w:t>
      </w:r>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p>
    <w:p>
      <w:pPr>
        <w:pStyle w:val="Heading5"/>
        <w:rPr>
          <w:snapToGrid w:val="0"/>
        </w:rPr>
      </w:pPr>
      <w:bookmarkStart w:id="148" w:name="_Toc309309255"/>
      <w:r>
        <w:rPr>
          <w:rStyle w:val="CharSectno"/>
        </w:rPr>
        <w:t>8</w:t>
      </w:r>
      <w:r>
        <w:rPr>
          <w:snapToGrid w:val="0"/>
        </w:rPr>
        <w:t>.</w:t>
      </w:r>
      <w:r>
        <w:rPr>
          <w:snapToGrid w:val="0"/>
        </w:rPr>
        <w:tab/>
        <w:t>Common seal of Minister for Fisheries, use of etc.</w:t>
      </w:r>
      <w:bookmarkEnd w:id="148"/>
    </w:p>
    <w:p>
      <w:pPr>
        <w:pStyle w:val="Subsection"/>
        <w:rPr>
          <w:snapToGrid w:val="0"/>
        </w:rPr>
      </w:pPr>
      <w:r>
        <w:rPr>
          <w:snapToGrid w:val="0"/>
        </w:rPr>
        <w:tab/>
      </w:r>
      <w:r>
        <w:rPr>
          <w:snapToGrid w:val="0"/>
        </w:rPr>
        <w:tab/>
        <w:t>The common seal of the Minister for Fisheries is to be kept in safe custody by the CEO, and is not to be affixed to any document except by the Minister in the presence of the CEO, or a person appointed by the CEO for that purpose, who is to —</w:t>
      </w:r>
    </w:p>
    <w:p>
      <w:pPr>
        <w:pStyle w:val="Indenta"/>
        <w:rPr>
          <w:snapToGrid w:val="0"/>
        </w:rPr>
      </w:pPr>
      <w:r>
        <w:rPr>
          <w:snapToGrid w:val="0"/>
        </w:rPr>
        <w:tab/>
        <w:t>(a)</w:t>
      </w:r>
      <w:r>
        <w:rPr>
          <w:snapToGrid w:val="0"/>
        </w:rPr>
        <w:tab/>
        <w:t>sign their name as witness to the affixing of the seal; and</w:t>
      </w:r>
    </w:p>
    <w:p>
      <w:pPr>
        <w:pStyle w:val="Indenta"/>
        <w:rPr>
          <w:snapToGrid w:val="0"/>
        </w:rPr>
      </w:pPr>
      <w:r>
        <w:rPr>
          <w:snapToGrid w:val="0"/>
        </w:rPr>
        <w:tab/>
        <w:t>(b)</w:t>
      </w:r>
      <w:r>
        <w:rPr>
          <w:snapToGrid w:val="0"/>
        </w:rPr>
        <w:tab/>
        <w:t>print on the document their name and the date on which, and the place where, the seal was affixed to the document.</w:t>
      </w:r>
    </w:p>
    <w:p>
      <w:pPr>
        <w:pStyle w:val="Footnotesection"/>
      </w:pPr>
      <w:r>
        <w:tab/>
        <w:t>[Regulation 8 amended in Gazette 6 Jul 2007 p. 3389.]</w:t>
      </w:r>
    </w:p>
    <w:p>
      <w:pPr>
        <w:pStyle w:val="Heading2"/>
      </w:pPr>
      <w:bookmarkStart w:id="149" w:name="_Toc189987830"/>
      <w:bookmarkStart w:id="150" w:name="_Toc192041413"/>
      <w:bookmarkStart w:id="151" w:name="_Toc199570647"/>
      <w:bookmarkStart w:id="152" w:name="_Toc199738643"/>
      <w:bookmarkStart w:id="153" w:name="_Toc199814745"/>
      <w:bookmarkStart w:id="154" w:name="_Toc215040551"/>
      <w:bookmarkStart w:id="155" w:name="_Toc215040996"/>
      <w:bookmarkStart w:id="156" w:name="_Toc222129205"/>
      <w:bookmarkStart w:id="157" w:name="_Toc222222910"/>
      <w:bookmarkStart w:id="158" w:name="_Toc225914162"/>
      <w:bookmarkStart w:id="159" w:name="_Toc231282207"/>
      <w:bookmarkStart w:id="160" w:name="_Toc231282651"/>
      <w:bookmarkStart w:id="161" w:name="_Toc234899238"/>
      <w:bookmarkStart w:id="162" w:name="_Toc236632520"/>
      <w:bookmarkStart w:id="163" w:name="_Toc236720133"/>
      <w:bookmarkStart w:id="164" w:name="_Toc237764332"/>
      <w:bookmarkStart w:id="165" w:name="_Toc238355956"/>
      <w:bookmarkStart w:id="166" w:name="_Toc238368661"/>
      <w:bookmarkStart w:id="167" w:name="_Toc238375614"/>
      <w:bookmarkStart w:id="168" w:name="_Toc240338938"/>
      <w:bookmarkStart w:id="169" w:name="_Toc241993444"/>
      <w:bookmarkStart w:id="170" w:name="_Toc243192587"/>
      <w:bookmarkStart w:id="171" w:name="_Toc243295288"/>
      <w:bookmarkStart w:id="172" w:name="_Toc245112861"/>
      <w:bookmarkStart w:id="173" w:name="_Toc245198023"/>
      <w:bookmarkStart w:id="174" w:name="_Toc245198472"/>
      <w:bookmarkStart w:id="175" w:name="_Toc245198921"/>
      <w:bookmarkStart w:id="176" w:name="_Toc248121951"/>
      <w:bookmarkStart w:id="177" w:name="_Toc248122402"/>
      <w:bookmarkStart w:id="178" w:name="_Toc253670389"/>
      <w:bookmarkStart w:id="179" w:name="_Toc253670839"/>
      <w:bookmarkStart w:id="180" w:name="_Toc254942609"/>
      <w:bookmarkStart w:id="181" w:name="_Toc254943062"/>
      <w:bookmarkStart w:id="182" w:name="_Toc255475654"/>
      <w:bookmarkStart w:id="183" w:name="_Toc256431975"/>
      <w:bookmarkStart w:id="184" w:name="_Toc257720312"/>
      <w:bookmarkStart w:id="185" w:name="_Toc257721994"/>
      <w:bookmarkStart w:id="186" w:name="_Toc258335670"/>
      <w:bookmarkStart w:id="187" w:name="_Toc260406112"/>
      <w:bookmarkStart w:id="188" w:name="_Toc261271298"/>
      <w:bookmarkStart w:id="189" w:name="_Toc262807980"/>
      <w:bookmarkStart w:id="190" w:name="_Toc267572373"/>
      <w:bookmarkStart w:id="191" w:name="_Toc270684124"/>
      <w:bookmarkStart w:id="192" w:name="_Toc274214301"/>
      <w:bookmarkStart w:id="193" w:name="_Toc274214750"/>
      <w:bookmarkStart w:id="194" w:name="_Toc278976081"/>
      <w:bookmarkStart w:id="195" w:name="_Toc286760404"/>
      <w:bookmarkStart w:id="196" w:name="_Toc289080749"/>
      <w:bookmarkStart w:id="197" w:name="_Toc290283943"/>
      <w:bookmarkStart w:id="198" w:name="_Toc290642764"/>
      <w:bookmarkStart w:id="199" w:name="_Toc290643213"/>
      <w:bookmarkStart w:id="200" w:name="_Toc290643666"/>
      <w:bookmarkStart w:id="201" w:name="_Toc294701483"/>
      <w:bookmarkStart w:id="202" w:name="_Toc295199891"/>
      <w:bookmarkStart w:id="203" w:name="_Toc296954332"/>
      <w:bookmarkStart w:id="204" w:name="_Toc297275964"/>
      <w:bookmarkStart w:id="205" w:name="_Toc297276416"/>
      <w:bookmarkStart w:id="206" w:name="_Toc297276866"/>
      <w:bookmarkStart w:id="207" w:name="_Toc297726235"/>
      <w:bookmarkStart w:id="208" w:name="_Toc299980019"/>
      <w:bookmarkStart w:id="209" w:name="_Toc300234645"/>
      <w:bookmarkStart w:id="210" w:name="_Toc301961148"/>
      <w:bookmarkStart w:id="211" w:name="_Toc301966718"/>
      <w:bookmarkStart w:id="212" w:name="_Toc303252927"/>
      <w:bookmarkStart w:id="213" w:name="_Toc303257091"/>
      <w:bookmarkStart w:id="214" w:name="_Toc307992726"/>
      <w:bookmarkStart w:id="215" w:name="_Toc309029756"/>
      <w:bookmarkStart w:id="216" w:name="_Toc309303979"/>
      <w:bookmarkStart w:id="217" w:name="_Toc309304432"/>
      <w:bookmarkStart w:id="218" w:name="_Toc309309256"/>
      <w:r>
        <w:rPr>
          <w:rStyle w:val="CharPartNo"/>
        </w:rPr>
        <w:t>Part 3</w:t>
      </w:r>
      <w:r>
        <w:rPr>
          <w:rStyle w:val="CharDivNo"/>
        </w:rPr>
        <w:t> </w:t>
      </w:r>
      <w:r>
        <w:t>—</w:t>
      </w:r>
      <w:r>
        <w:rPr>
          <w:rStyle w:val="CharDivText"/>
        </w:rPr>
        <w:t> </w:t>
      </w:r>
      <w:r>
        <w:rPr>
          <w:rStyle w:val="CharPartText"/>
        </w:rPr>
        <w:t>Advisory committees</w:t>
      </w:r>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p>
    <w:p>
      <w:pPr>
        <w:pStyle w:val="Heading5"/>
        <w:rPr>
          <w:snapToGrid w:val="0"/>
        </w:rPr>
      </w:pPr>
      <w:bookmarkStart w:id="219" w:name="_Toc309309257"/>
      <w:r>
        <w:rPr>
          <w:rStyle w:val="CharSectno"/>
        </w:rPr>
        <w:t>9</w:t>
      </w:r>
      <w:r>
        <w:rPr>
          <w:snapToGrid w:val="0"/>
        </w:rPr>
        <w:t>.</w:t>
      </w:r>
      <w:r>
        <w:rPr>
          <w:snapToGrid w:val="0"/>
        </w:rPr>
        <w:tab/>
        <w:t>Procedure for appointments prescribed (Act s. 29(2), 33(2) and 37(2))</w:t>
      </w:r>
      <w:bookmarkEnd w:id="219"/>
    </w:p>
    <w:p>
      <w:pPr>
        <w:pStyle w:val="Subsection"/>
        <w:rPr>
          <w:snapToGrid w:val="0"/>
        </w:rPr>
      </w:pPr>
      <w:r>
        <w:rPr>
          <w:snapToGrid w:val="0"/>
        </w:rPr>
        <w:tab/>
      </w:r>
      <w:r>
        <w:rPr>
          <w:snapToGrid w:val="0"/>
        </w:rPr>
        <w:tab/>
        <w:t>The prescribed procedure in respect of the appointment of persons by the Minister for the purposes of sections 29(2)(c), 33(2)(b) and 37(2)(b) of the Act is that the Minister is to —</w:t>
      </w:r>
    </w:p>
    <w:p>
      <w:pPr>
        <w:pStyle w:val="Indenta"/>
        <w:rPr>
          <w:snapToGrid w:val="0"/>
        </w:rPr>
      </w:pPr>
      <w:r>
        <w:rPr>
          <w:snapToGrid w:val="0"/>
        </w:rPr>
        <w:tab/>
        <w:t>(a)</w:t>
      </w:r>
      <w:r>
        <w:rPr>
          <w:snapToGrid w:val="0"/>
        </w:rPr>
        <w:tab/>
        <w:t>arrange for there to be published in a newspaper circulating daily in the State a notice to the effect that a person is, or persons are, required under the relevant section of the Act and that interested persons may, within the time specified in the notice, apply to the Minister with details of relevant qualifications and experience for appointment under the relevant section of the Act; and</w:t>
      </w:r>
    </w:p>
    <w:p>
      <w:pPr>
        <w:pStyle w:val="Indenta"/>
        <w:rPr>
          <w:snapToGrid w:val="0"/>
        </w:rPr>
      </w:pPr>
      <w:r>
        <w:rPr>
          <w:snapToGrid w:val="0"/>
        </w:rPr>
        <w:tab/>
        <w:t>(b)</w:t>
      </w:r>
      <w:r>
        <w:rPr>
          <w:snapToGrid w:val="0"/>
        </w:rPr>
        <w:tab/>
        <w:t>after the expiry of the time specified in the notice, consider all of the applications and the qualifications and experience of each applicant and of such other persons as the Minister thinks fit; and</w:t>
      </w:r>
    </w:p>
    <w:p>
      <w:pPr>
        <w:pStyle w:val="Indenta"/>
        <w:rPr>
          <w:snapToGrid w:val="0"/>
        </w:rPr>
      </w:pPr>
      <w:r>
        <w:rPr>
          <w:snapToGrid w:val="0"/>
        </w:rPr>
        <w:tab/>
        <w:t>(c)</w:t>
      </w:r>
      <w:r>
        <w:rPr>
          <w:snapToGrid w:val="0"/>
        </w:rPr>
        <w:tab/>
        <w:t>appoint the required number of persons in accordance with the relevant section of the Act.</w:t>
      </w:r>
    </w:p>
    <w:p>
      <w:pPr>
        <w:pStyle w:val="Heading2"/>
      </w:pPr>
      <w:bookmarkStart w:id="220" w:name="_Toc189987832"/>
      <w:bookmarkStart w:id="221" w:name="_Toc192041415"/>
      <w:bookmarkStart w:id="222" w:name="_Toc199570649"/>
      <w:bookmarkStart w:id="223" w:name="_Toc199738645"/>
      <w:bookmarkStart w:id="224" w:name="_Toc199814747"/>
      <w:bookmarkStart w:id="225" w:name="_Toc215040553"/>
      <w:bookmarkStart w:id="226" w:name="_Toc215040998"/>
      <w:bookmarkStart w:id="227" w:name="_Toc222129207"/>
      <w:bookmarkStart w:id="228" w:name="_Toc222222912"/>
      <w:bookmarkStart w:id="229" w:name="_Toc225914164"/>
      <w:bookmarkStart w:id="230" w:name="_Toc231282209"/>
      <w:bookmarkStart w:id="231" w:name="_Toc231282653"/>
      <w:bookmarkStart w:id="232" w:name="_Toc234899240"/>
      <w:bookmarkStart w:id="233" w:name="_Toc236632522"/>
      <w:bookmarkStart w:id="234" w:name="_Toc236720135"/>
      <w:bookmarkStart w:id="235" w:name="_Toc237764334"/>
      <w:bookmarkStart w:id="236" w:name="_Toc238355958"/>
      <w:bookmarkStart w:id="237" w:name="_Toc238368663"/>
      <w:bookmarkStart w:id="238" w:name="_Toc238375616"/>
      <w:bookmarkStart w:id="239" w:name="_Toc240338940"/>
      <w:bookmarkStart w:id="240" w:name="_Toc241993446"/>
      <w:bookmarkStart w:id="241" w:name="_Toc243192589"/>
      <w:bookmarkStart w:id="242" w:name="_Toc243295290"/>
      <w:bookmarkStart w:id="243" w:name="_Toc245112863"/>
      <w:bookmarkStart w:id="244" w:name="_Toc245198025"/>
      <w:bookmarkStart w:id="245" w:name="_Toc245198474"/>
      <w:bookmarkStart w:id="246" w:name="_Toc245198923"/>
      <w:bookmarkStart w:id="247" w:name="_Toc248121953"/>
      <w:bookmarkStart w:id="248" w:name="_Toc248122404"/>
      <w:bookmarkStart w:id="249" w:name="_Toc253670391"/>
      <w:bookmarkStart w:id="250" w:name="_Toc253670841"/>
      <w:bookmarkStart w:id="251" w:name="_Toc254942611"/>
      <w:bookmarkStart w:id="252" w:name="_Toc254943064"/>
      <w:bookmarkStart w:id="253" w:name="_Toc255475656"/>
      <w:bookmarkStart w:id="254" w:name="_Toc256431977"/>
      <w:bookmarkStart w:id="255" w:name="_Toc257720314"/>
      <w:bookmarkStart w:id="256" w:name="_Toc257721996"/>
      <w:bookmarkStart w:id="257" w:name="_Toc258335672"/>
      <w:bookmarkStart w:id="258" w:name="_Toc260406114"/>
      <w:bookmarkStart w:id="259" w:name="_Toc261271300"/>
      <w:bookmarkStart w:id="260" w:name="_Toc262807982"/>
      <w:bookmarkStart w:id="261" w:name="_Toc267572375"/>
      <w:bookmarkStart w:id="262" w:name="_Toc270684126"/>
      <w:bookmarkStart w:id="263" w:name="_Toc274214303"/>
      <w:bookmarkStart w:id="264" w:name="_Toc274214752"/>
      <w:bookmarkStart w:id="265" w:name="_Toc278976083"/>
      <w:bookmarkStart w:id="266" w:name="_Toc286760406"/>
      <w:bookmarkStart w:id="267" w:name="_Toc289080751"/>
      <w:bookmarkStart w:id="268" w:name="_Toc290283945"/>
      <w:bookmarkStart w:id="269" w:name="_Toc290642766"/>
      <w:bookmarkStart w:id="270" w:name="_Toc290643215"/>
      <w:bookmarkStart w:id="271" w:name="_Toc290643668"/>
      <w:bookmarkStart w:id="272" w:name="_Toc294701485"/>
      <w:bookmarkStart w:id="273" w:name="_Toc295199893"/>
      <w:bookmarkStart w:id="274" w:name="_Toc296954334"/>
      <w:bookmarkStart w:id="275" w:name="_Toc297275966"/>
      <w:bookmarkStart w:id="276" w:name="_Toc297276418"/>
      <w:bookmarkStart w:id="277" w:name="_Toc297276868"/>
      <w:bookmarkStart w:id="278" w:name="_Toc297726237"/>
      <w:bookmarkStart w:id="279" w:name="_Toc299980021"/>
      <w:bookmarkStart w:id="280" w:name="_Toc300234647"/>
      <w:bookmarkStart w:id="281" w:name="_Toc301961150"/>
      <w:bookmarkStart w:id="282" w:name="_Toc301966720"/>
      <w:bookmarkStart w:id="283" w:name="_Toc303252929"/>
      <w:bookmarkStart w:id="284" w:name="_Toc303257093"/>
      <w:bookmarkStart w:id="285" w:name="_Toc307992728"/>
      <w:bookmarkStart w:id="286" w:name="_Toc309029758"/>
      <w:bookmarkStart w:id="287" w:name="_Toc309303981"/>
      <w:bookmarkStart w:id="288" w:name="_Toc309304434"/>
      <w:bookmarkStart w:id="289" w:name="_Toc309309258"/>
      <w:r>
        <w:rPr>
          <w:rStyle w:val="CharPartNo"/>
        </w:rPr>
        <w:t>Part 4</w:t>
      </w:r>
      <w:r>
        <w:t> — </w:t>
      </w:r>
      <w:r>
        <w:rPr>
          <w:rStyle w:val="CharPartText"/>
        </w:rPr>
        <w:t>General regulation of fishing</w:t>
      </w:r>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p>
    <w:p>
      <w:pPr>
        <w:pStyle w:val="Heading3"/>
      </w:pPr>
      <w:bookmarkStart w:id="290" w:name="_Toc189987833"/>
      <w:bookmarkStart w:id="291" w:name="_Toc192041416"/>
      <w:bookmarkStart w:id="292" w:name="_Toc199570650"/>
      <w:bookmarkStart w:id="293" w:name="_Toc199738646"/>
      <w:bookmarkStart w:id="294" w:name="_Toc199814748"/>
      <w:bookmarkStart w:id="295" w:name="_Toc215040554"/>
      <w:bookmarkStart w:id="296" w:name="_Toc215040999"/>
      <w:bookmarkStart w:id="297" w:name="_Toc222129208"/>
      <w:bookmarkStart w:id="298" w:name="_Toc222222913"/>
      <w:bookmarkStart w:id="299" w:name="_Toc225914165"/>
      <w:bookmarkStart w:id="300" w:name="_Toc231282210"/>
      <w:bookmarkStart w:id="301" w:name="_Toc231282654"/>
      <w:bookmarkStart w:id="302" w:name="_Toc234899241"/>
      <w:bookmarkStart w:id="303" w:name="_Toc236632523"/>
      <w:bookmarkStart w:id="304" w:name="_Toc236720136"/>
      <w:bookmarkStart w:id="305" w:name="_Toc237764335"/>
      <w:bookmarkStart w:id="306" w:name="_Toc238355959"/>
      <w:bookmarkStart w:id="307" w:name="_Toc238368664"/>
      <w:bookmarkStart w:id="308" w:name="_Toc238375617"/>
      <w:bookmarkStart w:id="309" w:name="_Toc240338941"/>
      <w:bookmarkStart w:id="310" w:name="_Toc241993447"/>
      <w:bookmarkStart w:id="311" w:name="_Toc243192590"/>
      <w:bookmarkStart w:id="312" w:name="_Toc243295291"/>
      <w:bookmarkStart w:id="313" w:name="_Toc245112864"/>
      <w:bookmarkStart w:id="314" w:name="_Toc245198026"/>
      <w:bookmarkStart w:id="315" w:name="_Toc245198475"/>
      <w:bookmarkStart w:id="316" w:name="_Toc245198924"/>
      <w:bookmarkStart w:id="317" w:name="_Toc248121954"/>
      <w:bookmarkStart w:id="318" w:name="_Toc248122405"/>
      <w:bookmarkStart w:id="319" w:name="_Toc253670392"/>
      <w:bookmarkStart w:id="320" w:name="_Toc253670842"/>
      <w:bookmarkStart w:id="321" w:name="_Toc254942612"/>
      <w:bookmarkStart w:id="322" w:name="_Toc254943065"/>
      <w:bookmarkStart w:id="323" w:name="_Toc255475657"/>
      <w:bookmarkStart w:id="324" w:name="_Toc256431978"/>
      <w:bookmarkStart w:id="325" w:name="_Toc257720315"/>
      <w:bookmarkStart w:id="326" w:name="_Toc257721997"/>
      <w:bookmarkStart w:id="327" w:name="_Toc258335673"/>
      <w:bookmarkStart w:id="328" w:name="_Toc260406115"/>
      <w:bookmarkStart w:id="329" w:name="_Toc261271301"/>
      <w:bookmarkStart w:id="330" w:name="_Toc262807983"/>
      <w:bookmarkStart w:id="331" w:name="_Toc267572376"/>
      <w:bookmarkStart w:id="332" w:name="_Toc270684127"/>
      <w:bookmarkStart w:id="333" w:name="_Toc274214304"/>
      <w:bookmarkStart w:id="334" w:name="_Toc274214753"/>
      <w:bookmarkStart w:id="335" w:name="_Toc278976084"/>
      <w:bookmarkStart w:id="336" w:name="_Toc286760407"/>
      <w:bookmarkStart w:id="337" w:name="_Toc289080752"/>
      <w:bookmarkStart w:id="338" w:name="_Toc290283946"/>
      <w:bookmarkStart w:id="339" w:name="_Toc290642767"/>
      <w:bookmarkStart w:id="340" w:name="_Toc290643216"/>
      <w:bookmarkStart w:id="341" w:name="_Toc290643669"/>
      <w:bookmarkStart w:id="342" w:name="_Toc294701486"/>
      <w:bookmarkStart w:id="343" w:name="_Toc295199894"/>
      <w:bookmarkStart w:id="344" w:name="_Toc296954335"/>
      <w:bookmarkStart w:id="345" w:name="_Toc297275967"/>
      <w:bookmarkStart w:id="346" w:name="_Toc297276419"/>
      <w:bookmarkStart w:id="347" w:name="_Toc297276869"/>
      <w:bookmarkStart w:id="348" w:name="_Toc297726238"/>
      <w:bookmarkStart w:id="349" w:name="_Toc299980022"/>
      <w:bookmarkStart w:id="350" w:name="_Toc300234648"/>
      <w:bookmarkStart w:id="351" w:name="_Toc301961151"/>
      <w:bookmarkStart w:id="352" w:name="_Toc301966721"/>
      <w:bookmarkStart w:id="353" w:name="_Toc303252930"/>
      <w:bookmarkStart w:id="354" w:name="_Toc303257094"/>
      <w:bookmarkStart w:id="355" w:name="_Toc307992729"/>
      <w:bookmarkStart w:id="356" w:name="_Toc309029759"/>
      <w:bookmarkStart w:id="357" w:name="_Toc309303982"/>
      <w:bookmarkStart w:id="358" w:name="_Toc309304435"/>
      <w:bookmarkStart w:id="359" w:name="_Toc309309259"/>
      <w:r>
        <w:rPr>
          <w:rStyle w:val="CharDivNo"/>
        </w:rPr>
        <w:t>Division 1</w:t>
      </w:r>
      <w:r>
        <w:rPr>
          <w:snapToGrid w:val="0"/>
        </w:rPr>
        <w:t> — </w:t>
      </w:r>
      <w:r>
        <w:rPr>
          <w:rStyle w:val="CharDivText"/>
        </w:rPr>
        <w:t>Protected fish</w:t>
      </w:r>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p>
    <w:p>
      <w:pPr>
        <w:pStyle w:val="Heading5"/>
        <w:rPr>
          <w:snapToGrid w:val="0"/>
        </w:rPr>
      </w:pPr>
      <w:bookmarkStart w:id="360" w:name="_Toc309309260"/>
      <w:r>
        <w:rPr>
          <w:rStyle w:val="CharSectno"/>
        </w:rPr>
        <w:t>10</w:t>
      </w:r>
      <w:r>
        <w:rPr>
          <w:snapToGrid w:val="0"/>
        </w:rPr>
        <w:t>.</w:t>
      </w:r>
      <w:r>
        <w:rPr>
          <w:snapToGrid w:val="0"/>
        </w:rPr>
        <w:tab/>
        <w:t>Classes of fish prescribed (Act s. 45)</w:t>
      </w:r>
      <w:bookmarkEnd w:id="360"/>
    </w:p>
    <w:p>
      <w:pPr>
        <w:pStyle w:val="Subsection"/>
        <w:rPr>
          <w:snapToGrid w:val="0"/>
        </w:rPr>
      </w:pPr>
      <w:r>
        <w:rPr>
          <w:snapToGrid w:val="0"/>
        </w:rPr>
        <w:tab/>
      </w:r>
      <w:r>
        <w:rPr>
          <w:snapToGrid w:val="0"/>
        </w:rPr>
        <w:tab/>
        <w:t>For the purposes of the Act, the classes of fish listed —</w:t>
      </w:r>
    </w:p>
    <w:p>
      <w:pPr>
        <w:pStyle w:val="Indenta"/>
        <w:rPr>
          <w:snapToGrid w:val="0"/>
        </w:rPr>
      </w:pPr>
      <w:r>
        <w:rPr>
          <w:snapToGrid w:val="0"/>
        </w:rPr>
        <w:tab/>
        <w:t>(a)</w:t>
      </w:r>
      <w:r>
        <w:rPr>
          <w:snapToGrid w:val="0"/>
        </w:rPr>
        <w:tab/>
        <w:t>in Part 1 of Schedule 2 are commercially protected fish; and</w:t>
      </w:r>
    </w:p>
    <w:p>
      <w:pPr>
        <w:pStyle w:val="Indenta"/>
        <w:rPr>
          <w:snapToGrid w:val="0"/>
        </w:rPr>
      </w:pPr>
      <w:r>
        <w:rPr>
          <w:snapToGrid w:val="0"/>
        </w:rPr>
        <w:tab/>
        <w:t>(b)</w:t>
      </w:r>
      <w:r>
        <w:rPr>
          <w:snapToGrid w:val="0"/>
        </w:rPr>
        <w:tab/>
        <w:t>in Part 2 of Schedule 2 are totally protected fish.</w:t>
      </w:r>
    </w:p>
    <w:p>
      <w:pPr>
        <w:pStyle w:val="Footnotesection"/>
      </w:pPr>
      <w:r>
        <w:tab/>
        <w:t>[Regulation 10 amended in Gazette 14 Nov 2001 p. 5977</w:t>
      </w:r>
      <w:r>
        <w:noBreakHyphen/>
        <w:t>8; 1 Oct 2003 p. 4285.]</w:t>
      </w:r>
    </w:p>
    <w:p>
      <w:pPr>
        <w:pStyle w:val="Heading5"/>
      </w:pPr>
      <w:bookmarkStart w:id="361" w:name="_Toc309309261"/>
      <w:r>
        <w:rPr>
          <w:rStyle w:val="CharSectno"/>
        </w:rPr>
        <w:t>11</w:t>
      </w:r>
      <w:r>
        <w:t>.</w:t>
      </w:r>
      <w:r>
        <w:tab/>
        <w:t>Defences etc. prescribed (Act s. 48)</w:t>
      </w:r>
      <w:bookmarkEnd w:id="361"/>
    </w:p>
    <w:p>
      <w:pPr>
        <w:pStyle w:val="Subsection"/>
        <w:rPr>
          <w:snapToGrid w:val="0"/>
        </w:rPr>
      </w:pPr>
      <w:r>
        <w:rPr>
          <w:snapToGrid w:val="0"/>
        </w:rPr>
        <w:tab/>
        <w:t>(1)</w:t>
      </w:r>
      <w:r>
        <w:rPr>
          <w:snapToGrid w:val="0"/>
        </w:rPr>
        <w:tab/>
        <w:t>For the purposes of section 48(b) of the Act all fish the subject of an aquaculture licence are fish of a prescribed class.</w:t>
      </w:r>
    </w:p>
    <w:p>
      <w:pPr>
        <w:pStyle w:val="Subsection"/>
        <w:rPr>
          <w:snapToGrid w:val="0"/>
        </w:rPr>
      </w:pPr>
      <w:r>
        <w:rPr>
          <w:snapToGrid w:val="0"/>
        </w:rPr>
        <w:tab/>
        <w:t>(2)</w:t>
      </w:r>
      <w:r>
        <w:rPr>
          <w:snapToGrid w:val="0"/>
        </w:rPr>
        <w:tab/>
        <w:t>For the purposes of section 48(c) of the Act it is a defence that the fish was taken by a person acting under an authority to fish for fish for scientific purposes issued under regulation 178.</w:t>
      </w:r>
    </w:p>
    <w:p>
      <w:pPr>
        <w:pStyle w:val="Subsection"/>
        <w:rPr>
          <w:snapToGrid w:val="0"/>
        </w:rPr>
      </w:pPr>
      <w:r>
        <w:rPr>
          <w:snapToGrid w:val="0"/>
        </w:rPr>
        <w:tab/>
        <w:t>(3)</w:t>
      </w:r>
      <w:r>
        <w:rPr>
          <w:snapToGrid w:val="0"/>
        </w:rPr>
        <w:tab/>
        <w:t>For the purposes of section 48(c) of the Act it is a defence that the person is a person to whom, or in relation to whom, section 90 of the Act does not apply due to the operation of section 91 of the Act.</w:t>
      </w:r>
    </w:p>
    <w:p>
      <w:pPr>
        <w:pStyle w:val="Subsection"/>
      </w:pPr>
      <w:r>
        <w:tab/>
        <w:t>(4)</w:t>
      </w:r>
      <w:r>
        <w:tab/>
        <w:t>For the purposes of section 48(c) of the Act, where the fish the subject of an offence —</w:t>
      </w:r>
    </w:p>
    <w:p>
      <w:pPr>
        <w:pStyle w:val="Indenta"/>
      </w:pPr>
      <w:r>
        <w:tab/>
        <w:t>(a)</w:t>
      </w:r>
      <w:r>
        <w:tab/>
        <w:t>is a shark or ray that is commercially protected; and</w:t>
      </w:r>
    </w:p>
    <w:p>
      <w:pPr>
        <w:pStyle w:val="Indenta"/>
      </w:pPr>
      <w:r>
        <w:tab/>
        <w:t>(b)</w:t>
      </w:r>
      <w:r>
        <w:tab/>
        <w:t>in the case of a dusky shark, has an interdorsal fin length, within the meaning in Schedule 2 Part 2 Division 2, of less than 70 cm,</w:t>
      </w:r>
    </w:p>
    <w:p>
      <w:pPr>
        <w:pStyle w:val="Subsection"/>
      </w:pPr>
      <w:r>
        <w:tab/>
      </w:r>
      <w:r>
        <w:tab/>
        <w:t>it is a defence that the fish was taken by a person acting under a managed fishery licence granted in respect of —</w:t>
      </w:r>
    </w:p>
    <w:p>
      <w:pPr>
        <w:pStyle w:val="Indenta"/>
      </w:pPr>
      <w:r>
        <w:tab/>
        <w:t>(c)</w:t>
      </w:r>
      <w:r>
        <w:tab/>
        <w:t>the Marine Aquarium Fish Managed Fishery; or</w:t>
      </w:r>
    </w:p>
    <w:p>
      <w:pPr>
        <w:pStyle w:val="Indenta"/>
      </w:pPr>
      <w:r>
        <w:tab/>
        <w:t>(d)</w:t>
      </w:r>
      <w:r>
        <w:tab/>
        <w:t xml:space="preserve">the </w:t>
      </w:r>
      <w:smartTag w:uri="urn:schemas-microsoft-com:office:smarttags" w:element="place">
        <w:smartTag w:uri="urn:schemas-microsoft-com:office:smarttags" w:element="City">
          <w:r>
            <w:t>Kimberley</w:t>
          </w:r>
        </w:smartTag>
      </w:smartTag>
      <w:r>
        <w:t xml:space="preserve"> Gillnet and Barramundi Managed Fishery; or</w:t>
      </w:r>
    </w:p>
    <w:p>
      <w:pPr>
        <w:pStyle w:val="Indenta"/>
      </w:pPr>
      <w:r>
        <w:tab/>
        <w:t>(e)</w:t>
      </w:r>
      <w:r>
        <w:tab/>
        <w:t>any other managed fishery the management plan for which specifically allows for the taking of sharks or rays; or</w:t>
      </w:r>
    </w:p>
    <w:p>
      <w:pPr>
        <w:pStyle w:val="Indenta"/>
      </w:pPr>
      <w:r>
        <w:tab/>
        <w:t>(f)</w:t>
      </w:r>
      <w:r>
        <w:tab/>
        <w:t>if the fish is an Eagle Ray, the South Coast Estuarine Managed Fishery.</w:t>
      </w:r>
    </w:p>
    <w:p>
      <w:pPr>
        <w:pStyle w:val="Subsection"/>
        <w:spacing w:before="120"/>
      </w:pPr>
      <w:r>
        <w:tab/>
        <w:t>(5)</w:t>
      </w:r>
      <w:r>
        <w:tab/>
        <w:t>For the purposes of section 48(c) of the Act, where the fish the subject of an offence is a totally protected whaler shark other than a dusky shark, it is a defence that the fish was taken by a person acting under a managed fishery licence granted in respect of a managed fishery the management plan for which specifically allows for the taking of sharks or rays.</w:t>
      </w:r>
    </w:p>
    <w:p>
      <w:pPr>
        <w:pStyle w:val="Subsection"/>
      </w:pPr>
      <w:r>
        <w:tab/>
        <w:t>(6)</w:t>
      </w:r>
      <w:r>
        <w:tab/>
        <w:t>For the purposes of section 48(c) of the Act, where the fish the subject of an offence is a weedy seadragon, it is a defence that the fish was taken by a person acting under a managed fishery licence granted in respect of the Marine Aquarium Fish Managed Fishery.</w:t>
      </w:r>
    </w:p>
    <w:p>
      <w:pPr>
        <w:pStyle w:val="Footnotesection"/>
        <w:spacing w:before="100"/>
        <w:ind w:left="890" w:hanging="890"/>
      </w:pPr>
      <w:r>
        <w:tab/>
        <w:t>[Regulation 11 inserted in Gazette 10 Nov 2006 p. 4704</w:t>
      </w:r>
      <w:r>
        <w:noBreakHyphen/>
        <w:t>5; amended in Gazette 13 Feb 2009 p. 298; 2 Nov 2011 p. 4620.]</w:t>
      </w:r>
    </w:p>
    <w:p>
      <w:pPr>
        <w:pStyle w:val="Heading5"/>
        <w:spacing w:before="160"/>
        <w:rPr>
          <w:snapToGrid w:val="0"/>
        </w:rPr>
      </w:pPr>
      <w:bookmarkStart w:id="362" w:name="_Toc309309262"/>
      <w:r>
        <w:rPr>
          <w:rStyle w:val="CharSectno"/>
        </w:rPr>
        <w:t>12</w:t>
      </w:r>
      <w:r>
        <w:rPr>
          <w:snapToGrid w:val="0"/>
        </w:rPr>
        <w:t>.</w:t>
      </w:r>
      <w:r>
        <w:rPr>
          <w:snapToGrid w:val="0"/>
        </w:rPr>
        <w:tab/>
        <w:t>Totally protected rock lobsters and crabs to be released</w:t>
      </w:r>
      <w:bookmarkEnd w:id="362"/>
    </w:p>
    <w:p>
      <w:pPr>
        <w:pStyle w:val="Subsection"/>
        <w:spacing w:before="120"/>
        <w:rPr>
          <w:snapToGrid w:val="0"/>
        </w:rPr>
      </w:pPr>
      <w:r>
        <w:rPr>
          <w:snapToGrid w:val="0"/>
        </w:rPr>
        <w:tab/>
        <w:t>(1)</w:t>
      </w:r>
      <w:r>
        <w:rPr>
          <w:snapToGrid w:val="0"/>
        </w:rPr>
        <w:tab/>
        <w:t>Any person who takes from the sea any totally protected fish that is a rock lobster must ensure that the rock lobster is —</w:t>
      </w:r>
    </w:p>
    <w:p>
      <w:pPr>
        <w:pStyle w:val="Indenta"/>
        <w:rPr>
          <w:snapToGrid w:val="0"/>
        </w:rPr>
      </w:pPr>
      <w:r>
        <w:rPr>
          <w:snapToGrid w:val="0"/>
        </w:rPr>
        <w:tab/>
        <w:t>(a)</w:t>
      </w:r>
      <w:r>
        <w:rPr>
          <w:snapToGrid w:val="0"/>
        </w:rPr>
        <w:tab/>
        <w:t>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Subsection"/>
        <w:spacing w:before="120"/>
        <w:rPr>
          <w:snapToGrid w:val="0"/>
        </w:rPr>
      </w:pPr>
      <w:r>
        <w:rPr>
          <w:snapToGrid w:val="0"/>
        </w:rPr>
        <w:tab/>
        <w:t>(2)</w:t>
      </w:r>
      <w:r>
        <w:rPr>
          <w:snapToGrid w:val="0"/>
        </w:rPr>
        <w:tab/>
        <w:t>The master of a boat must ensure that any totally protected fish that is a rock lobster taken from the sea and brought on board the boat —</w:t>
      </w:r>
    </w:p>
    <w:p>
      <w:pPr>
        <w:pStyle w:val="Indenta"/>
        <w:rPr>
          <w:snapToGrid w:val="0"/>
        </w:rPr>
      </w:pPr>
      <w:r>
        <w:rPr>
          <w:snapToGrid w:val="0"/>
        </w:rPr>
        <w:tab/>
        <w:t>(a)</w:t>
      </w:r>
      <w:r>
        <w:rPr>
          <w:snapToGrid w:val="0"/>
        </w:rPr>
        <w:tab/>
        <w:t>is 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Subsection"/>
        <w:spacing w:before="120"/>
        <w:rPr>
          <w:snapToGrid w:val="0"/>
        </w:rPr>
      </w:pPr>
      <w:r>
        <w:rPr>
          <w:snapToGrid w:val="0"/>
        </w:rPr>
        <w:tab/>
        <w:t>(3)</w:t>
      </w:r>
      <w:r>
        <w:rPr>
          <w:snapToGrid w:val="0"/>
        </w:rPr>
        <w:tab/>
        <w:t>Any person, other than the holder of a commercial fishing licence, who takes any totally protected fish that is a crab must —</w:t>
      </w:r>
    </w:p>
    <w:p>
      <w:pPr>
        <w:pStyle w:val="Indenta"/>
        <w:spacing w:before="40"/>
        <w:rPr>
          <w:snapToGrid w:val="0"/>
        </w:rPr>
      </w:pPr>
      <w:r>
        <w:rPr>
          <w:snapToGrid w:val="0"/>
        </w:rPr>
        <w:tab/>
        <w:t>(a)</w:t>
      </w:r>
      <w:r>
        <w:rPr>
          <w:snapToGrid w:val="0"/>
        </w:rPr>
        <w:tab/>
        <w:t>ensure that the crab is released to the waters from which it was taken within 5 minutes of being taken; and</w:t>
      </w:r>
    </w:p>
    <w:p>
      <w:pPr>
        <w:pStyle w:val="Indenta"/>
        <w:rPr>
          <w:snapToGrid w:val="0"/>
        </w:rPr>
      </w:pPr>
      <w:r>
        <w:rPr>
          <w:snapToGrid w:val="0"/>
        </w:rPr>
        <w:tab/>
        <w:t>(b)</w:t>
      </w:r>
      <w:r>
        <w:rPr>
          <w:snapToGrid w:val="0"/>
        </w:rPr>
        <w:tab/>
        <w:t>not pull any drop net before the crab is released to the waters from which it was taken.</w:t>
      </w:r>
    </w:p>
    <w:p>
      <w:pPr>
        <w:pStyle w:val="Penstart"/>
        <w:rPr>
          <w:snapToGrid w:val="0"/>
        </w:rPr>
      </w:pPr>
      <w:r>
        <w:rPr>
          <w:snapToGrid w:val="0"/>
        </w:rPr>
        <w:tab/>
        <w:t>Penalty: In the case of an individual, $3 000 or, in the case of a body corporate, $6 000.</w:t>
      </w:r>
    </w:p>
    <w:p>
      <w:pPr>
        <w:pStyle w:val="Heading5"/>
        <w:rPr>
          <w:snapToGrid w:val="0"/>
        </w:rPr>
      </w:pPr>
      <w:bookmarkStart w:id="363" w:name="_Toc309309263"/>
      <w:r>
        <w:rPr>
          <w:rStyle w:val="CharSectno"/>
        </w:rPr>
        <w:t>13</w:t>
      </w:r>
      <w:r>
        <w:rPr>
          <w:snapToGrid w:val="0"/>
        </w:rPr>
        <w:t>.</w:t>
      </w:r>
      <w:r>
        <w:rPr>
          <w:snapToGrid w:val="0"/>
        </w:rPr>
        <w:tab/>
        <w:t>Mutilated etc. protected fish, possession of</w:t>
      </w:r>
      <w:bookmarkEnd w:id="363"/>
    </w:p>
    <w:p>
      <w:pPr>
        <w:pStyle w:val="Subsection"/>
        <w:rPr>
          <w:snapToGrid w:val="0"/>
        </w:rPr>
      </w:pPr>
      <w:r>
        <w:rPr>
          <w:snapToGrid w:val="0"/>
        </w:rPr>
        <w:tab/>
      </w:r>
      <w:r>
        <w:rPr>
          <w:snapToGrid w:val="0"/>
        </w:rPr>
        <w:tab/>
        <w:t>A person must not, without reasonable excuse, be in possession of, or sell, any fish which has been altered, mutilated or disfigured so that it is not possible to readily identify whether or not the fish is a protected fish.</w:t>
      </w:r>
    </w:p>
    <w:p>
      <w:pPr>
        <w:pStyle w:val="Penstart"/>
        <w:rPr>
          <w:snapToGrid w:val="0"/>
        </w:rPr>
      </w:pPr>
      <w:r>
        <w:rPr>
          <w:snapToGrid w:val="0"/>
        </w:rPr>
        <w:tab/>
        <w:t>Penalty: In the case of an individual, $5 000 or, in the case of a body corporate, $10 000.</w:t>
      </w:r>
    </w:p>
    <w:p>
      <w:pPr>
        <w:pStyle w:val="Heading3"/>
      </w:pPr>
      <w:bookmarkStart w:id="364" w:name="_Toc189987838"/>
      <w:bookmarkStart w:id="365" w:name="_Toc192041421"/>
      <w:bookmarkStart w:id="366" w:name="_Toc199570655"/>
      <w:bookmarkStart w:id="367" w:name="_Toc199738651"/>
      <w:bookmarkStart w:id="368" w:name="_Toc199814753"/>
      <w:bookmarkStart w:id="369" w:name="_Toc215040559"/>
      <w:bookmarkStart w:id="370" w:name="_Toc215041004"/>
      <w:bookmarkStart w:id="371" w:name="_Toc222129213"/>
      <w:bookmarkStart w:id="372" w:name="_Toc222222918"/>
      <w:bookmarkStart w:id="373" w:name="_Toc225914170"/>
      <w:bookmarkStart w:id="374" w:name="_Toc231282215"/>
      <w:bookmarkStart w:id="375" w:name="_Toc231282659"/>
      <w:bookmarkStart w:id="376" w:name="_Toc234899246"/>
      <w:bookmarkStart w:id="377" w:name="_Toc236632528"/>
      <w:bookmarkStart w:id="378" w:name="_Toc236720141"/>
      <w:bookmarkStart w:id="379" w:name="_Toc237764340"/>
      <w:bookmarkStart w:id="380" w:name="_Toc238355964"/>
      <w:bookmarkStart w:id="381" w:name="_Toc238368669"/>
      <w:bookmarkStart w:id="382" w:name="_Toc238375622"/>
      <w:bookmarkStart w:id="383" w:name="_Toc240338946"/>
      <w:bookmarkStart w:id="384" w:name="_Toc241993452"/>
      <w:bookmarkStart w:id="385" w:name="_Toc243192595"/>
      <w:bookmarkStart w:id="386" w:name="_Toc243295296"/>
      <w:bookmarkStart w:id="387" w:name="_Toc245112869"/>
      <w:bookmarkStart w:id="388" w:name="_Toc245198031"/>
      <w:bookmarkStart w:id="389" w:name="_Toc245198480"/>
      <w:bookmarkStart w:id="390" w:name="_Toc245198929"/>
      <w:bookmarkStart w:id="391" w:name="_Toc248121959"/>
      <w:bookmarkStart w:id="392" w:name="_Toc248122410"/>
      <w:bookmarkStart w:id="393" w:name="_Toc253670397"/>
      <w:bookmarkStart w:id="394" w:name="_Toc253670847"/>
      <w:bookmarkStart w:id="395" w:name="_Toc254942617"/>
      <w:bookmarkStart w:id="396" w:name="_Toc254943070"/>
      <w:bookmarkStart w:id="397" w:name="_Toc255475662"/>
      <w:bookmarkStart w:id="398" w:name="_Toc256431983"/>
      <w:bookmarkStart w:id="399" w:name="_Toc257720320"/>
      <w:bookmarkStart w:id="400" w:name="_Toc257722002"/>
      <w:bookmarkStart w:id="401" w:name="_Toc258335678"/>
      <w:bookmarkStart w:id="402" w:name="_Toc260406120"/>
      <w:bookmarkStart w:id="403" w:name="_Toc261271306"/>
      <w:bookmarkStart w:id="404" w:name="_Toc262807988"/>
      <w:bookmarkStart w:id="405" w:name="_Toc267572381"/>
      <w:bookmarkStart w:id="406" w:name="_Toc270684132"/>
      <w:bookmarkStart w:id="407" w:name="_Toc274214309"/>
      <w:bookmarkStart w:id="408" w:name="_Toc274214758"/>
      <w:bookmarkStart w:id="409" w:name="_Toc278976089"/>
      <w:bookmarkStart w:id="410" w:name="_Toc286760412"/>
      <w:bookmarkStart w:id="411" w:name="_Toc289080757"/>
      <w:bookmarkStart w:id="412" w:name="_Toc290283951"/>
      <w:bookmarkStart w:id="413" w:name="_Toc290642772"/>
      <w:bookmarkStart w:id="414" w:name="_Toc290643221"/>
      <w:bookmarkStart w:id="415" w:name="_Toc290643674"/>
      <w:bookmarkStart w:id="416" w:name="_Toc294701491"/>
      <w:bookmarkStart w:id="417" w:name="_Toc295199899"/>
      <w:bookmarkStart w:id="418" w:name="_Toc296954340"/>
      <w:bookmarkStart w:id="419" w:name="_Toc297275972"/>
      <w:bookmarkStart w:id="420" w:name="_Toc297276424"/>
      <w:bookmarkStart w:id="421" w:name="_Toc297276874"/>
      <w:bookmarkStart w:id="422" w:name="_Toc297726243"/>
      <w:bookmarkStart w:id="423" w:name="_Toc299980027"/>
      <w:bookmarkStart w:id="424" w:name="_Toc300234653"/>
      <w:bookmarkStart w:id="425" w:name="_Toc301961156"/>
      <w:bookmarkStart w:id="426" w:name="_Toc301966726"/>
      <w:bookmarkStart w:id="427" w:name="_Toc303252935"/>
      <w:bookmarkStart w:id="428" w:name="_Toc303257099"/>
      <w:bookmarkStart w:id="429" w:name="_Toc307992734"/>
      <w:bookmarkStart w:id="430" w:name="_Toc309029764"/>
      <w:bookmarkStart w:id="431" w:name="_Toc309303987"/>
      <w:bookmarkStart w:id="432" w:name="_Toc309304440"/>
      <w:bookmarkStart w:id="433" w:name="_Toc309309264"/>
      <w:r>
        <w:rPr>
          <w:rStyle w:val="CharDivNo"/>
        </w:rPr>
        <w:t>Division 2</w:t>
      </w:r>
      <w:r>
        <w:rPr>
          <w:snapToGrid w:val="0"/>
        </w:rPr>
        <w:t> — </w:t>
      </w:r>
      <w:r>
        <w:rPr>
          <w:rStyle w:val="CharDivText"/>
        </w:rPr>
        <w:t>Requirements regarding fish trunks and fillets</w:t>
      </w:r>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p>
    <w:p>
      <w:pPr>
        <w:pStyle w:val="Footnoteheading"/>
        <w:tabs>
          <w:tab w:val="left" w:pos="851"/>
        </w:tabs>
      </w:pPr>
      <w:r>
        <w:tab/>
        <w:t>[Heading inserted in Gazette 4 Nov 2005 p. 5301.]</w:t>
      </w:r>
    </w:p>
    <w:p>
      <w:pPr>
        <w:pStyle w:val="Heading5"/>
      </w:pPr>
      <w:bookmarkStart w:id="434" w:name="_Toc309309265"/>
      <w:r>
        <w:rPr>
          <w:rStyle w:val="CharSectno"/>
        </w:rPr>
        <w:t>14</w:t>
      </w:r>
      <w:r>
        <w:t>.</w:t>
      </w:r>
      <w:r>
        <w:tab/>
        <w:t>Special risk finfish to be landed as whole fish in certain cases</w:t>
      </w:r>
      <w:bookmarkEnd w:id="434"/>
    </w:p>
    <w:p>
      <w:pPr>
        <w:pStyle w:val="Subsection"/>
      </w:pPr>
      <w:r>
        <w:rPr>
          <w:snapToGrid w:val="0"/>
        </w:rPr>
        <w:tab/>
        <w:t>(1)</w:t>
      </w:r>
      <w:r>
        <w:rPr>
          <w:snapToGrid w:val="0"/>
        </w:rPr>
        <w:tab/>
        <w:t>In this regulation —</w:t>
      </w:r>
    </w:p>
    <w:p>
      <w:pPr>
        <w:pStyle w:val="Defstart"/>
      </w:pPr>
      <w:r>
        <w:tab/>
      </w:r>
      <w:r>
        <w:rPr>
          <w:rStyle w:val="CharDefText"/>
        </w:rPr>
        <w:t>special risk finfish</w:t>
      </w:r>
      <w:r>
        <w:t xml:space="preserve"> means a finfish referred to in column 1 of the Table to this subregulation if it is brought onto land as specified in column 2 of that Table opposite the fish.</w:t>
      </w:r>
    </w:p>
    <w:p>
      <w:pPr>
        <w:pStyle w:val="THeadingNAm"/>
      </w:pPr>
      <w:r>
        <w:t>Special risk finfish</w:t>
      </w:r>
    </w:p>
    <w:tbl>
      <w:tblPr>
        <w:tblW w:w="0" w:type="auto"/>
        <w:tblInd w:w="708" w:type="dxa"/>
        <w:tblLayout w:type="fixed"/>
        <w:tblLook w:val="0000" w:firstRow="0" w:lastRow="0" w:firstColumn="0" w:lastColumn="0" w:noHBand="0" w:noVBand="0"/>
      </w:tblPr>
      <w:tblGrid>
        <w:gridCol w:w="2040"/>
        <w:gridCol w:w="4440"/>
      </w:tblGrid>
      <w:tr>
        <w:trPr>
          <w:tblHeader/>
        </w:trPr>
        <w:tc>
          <w:tcPr>
            <w:tcW w:w="2040" w:type="dxa"/>
            <w:tcBorders>
              <w:top w:val="single" w:sz="4" w:space="0" w:color="auto"/>
              <w:bottom w:val="single" w:sz="4" w:space="0" w:color="auto"/>
            </w:tcBorders>
          </w:tcPr>
          <w:p>
            <w:pPr>
              <w:pStyle w:val="TableNAm"/>
              <w:spacing w:before="60"/>
              <w:jc w:val="center"/>
              <w:rPr>
                <w:b/>
                <w:bCs/>
                <w:sz w:val="22"/>
              </w:rPr>
            </w:pPr>
            <w:r>
              <w:rPr>
                <w:b/>
                <w:bCs/>
                <w:sz w:val="22"/>
              </w:rPr>
              <w:t>finfish</w:t>
            </w:r>
          </w:p>
        </w:tc>
        <w:tc>
          <w:tcPr>
            <w:tcW w:w="4440" w:type="dxa"/>
            <w:tcBorders>
              <w:top w:val="single" w:sz="4" w:space="0" w:color="auto"/>
              <w:bottom w:val="single" w:sz="4" w:space="0" w:color="auto"/>
            </w:tcBorders>
          </w:tcPr>
          <w:p>
            <w:pPr>
              <w:pStyle w:val="TableNAm"/>
              <w:spacing w:before="60"/>
              <w:jc w:val="center"/>
              <w:rPr>
                <w:b/>
                <w:bCs/>
                <w:sz w:val="22"/>
              </w:rPr>
            </w:pPr>
            <w:r>
              <w:rPr>
                <w:b/>
                <w:bCs/>
                <w:sz w:val="22"/>
              </w:rPr>
              <w:t>brought onto land</w:t>
            </w:r>
          </w:p>
        </w:tc>
      </w:tr>
      <w:tr>
        <w:tc>
          <w:tcPr>
            <w:tcW w:w="2040" w:type="dxa"/>
            <w:tcBorders>
              <w:top w:val="single" w:sz="4" w:space="0" w:color="auto"/>
            </w:tcBorders>
          </w:tcPr>
          <w:p>
            <w:pPr>
              <w:pStyle w:val="TableNAm"/>
              <w:spacing w:before="60"/>
              <w:jc w:val="center"/>
              <w:rPr>
                <w:sz w:val="22"/>
              </w:rPr>
            </w:pPr>
            <w:r>
              <w:rPr>
                <w:sz w:val="22"/>
              </w:rPr>
              <w:t>barramundi</w:t>
            </w:r>
          </w:p>
        </w:tc>
        <w:tc>
          <w:tcPr>
            <w:tcW w:w="4440" w:type="dxa"/>
            <w:tcBorders>
              <w:top w:val="single" w:sz="4" w:space="0" w:color="auto"/>
            </w:tcBorders>
          </w:tcPr>
          <w:p>
            <w:pPr>
              <w:pStyle w:val="TableNAm"/>
              <w:spacing w:before="60"/>
              <w:rPr>
                <w:sz w:val="22"/>
              </w:rPr>
            </w:pPr>
            <w:r>
              <w:rPr>
                <w:sz w:val="22"/>
              </w:rPr>
              <w:t xml:space="preserve">brought onto land in the </w:t>
            </w:r>
            <w:smartTag w:uri="urn:schemas-microsoft-com:office:smarttags" w:element="place">
              <w:smartTag w:uri="urn:schemas-microsoft-com:office:smarttags" w:element="PlaceName">
                <w:r>
                  <w:rPr>
                    <w:sz w:val="22"/>
                  </w:rPr>
                  <w:t>Ord</w:t>
                </w:r>
              </w:smartTag>
              <w:r>
                <w:rPr>
                  <w:sz w:val="22"/>
                </w:rPr>
                <w:t xml:space="preserve"> </w:t>
              </w:r>
              <w:smartTag w:uri="urn:schemas-microsoft-com:office:smarttags" w:element="PlaceType">
                <w:r>
                  <w:rPr>
                    <w:sz w:val="22"/>
                  </w:rPr>
                  <w:t>River</w:t>
                </w:r>
              </w:smartTag>
            </w:smartTag>
            <w:r>
              <w:rPr>
                <w:sz w:val="22"/>
              </w:rPr>
              <w:t xml:space="preserve"> area, as defined in regulation 64ZF</w:t>
            </w:r>
          </w:p>
        </w:tc>
      </w:tr>
      <w:tr>
        <w:trPr>
          <w:cantSplit/>
        </w:trPr>
        <w:tc>
          <w:tcPr>
            <w:tcW w:w="2040" w:type="dxa"/>
          </w:tcPr>
          <w:p>
            <w:pPr>
              <w:pStyle w:val="TableNAm"/>
              <w:spacing w:before="60"/>
              <w:jc w:val="center"/>
              <w:rPr>
                <w:sz w:val="22"/>
              </w:rPr>
            </w:pPr>
            <w:r>
              <w:rPr>
                <w:sz w:val="22"/>
              </w:rPr>
              <w:t>barramundi</w:t>
            </w:r>
          </w:p>
        </w:tc>
        <w:tc>
          <w:tcPr>
            <w:tcW w:w="4440" w:type="dxa"/>
          </w:tcPr>
          <w:p>
            <w:pPr>
              <w:pStyle w:val="TableNAm"/>
              <w:spacing w:before="60"/>
              <w:rPr>
                <w:sz w:val="22"/>
              </w:rPr>
            </w:pPr>
            <w:r>
              <w:rPr>
                <w:sz w:val="22"/>
              </w:rPr>
              <w:t>brought onto land from the waters of King Sound south of 17</w:t>
            </w:r>
            <w:r>
              <w:rPr>
                <w:sz w:val="22"/>
              </w:rPr>
              <w:sym w:font="Symbol" w:char="F0B0"/>
            </w:r>
            <w:r>
              <w:rPr>
                <w:sz w:val="22"/>
              </w:rPr>
              <w:t xml:space="preserve"> 27</w:t>
            </w:r>
            <w:r>
              <w:rPr>
                <w:sz w:val="22"/>
              </w:rPr>
              <w:sym w:font="Symbol" w:char="F0A2"/>
            </w:r>
            <w:r>
              <w:rPr>
                <w:sz w:val="22"/>
              </w:rPr>
              <w:t xml:space="preserve"> south latitude, including all waters of the </w:t>
            </w:r>
            <w:smartTag w:uri="urn:schemas-microsoft-com:office:smarttags" w:element="place">
              <w:smartTag w:uri="urn:schemas-microsoft-com:office:smarttags" w:element="PlaceName">
                <w:r>
                  <w:rPr>
                    <w:sz w:val="22"/>
                  </w:rPr>
                  <w:t>Fitzroy</w:t>
                </w:r>
              </w:smartTag>
              <w:r>
                <w:rPr>
                  <w:sz w:val="22"/>
                </w:rPr>
                <w:t xml:space="preserve"> </w:t>
              </w:r>
              <w:smartTag w:uri="urn:schemas-microsoft-com:office:smarttags" w:element="PlaceType">
                <w:r>
                  <w:rPr>
                    <w:sz w:val="22"/>
                  </w:rPr>
                  <w:t>River</w:t>
                </w:r>
              </w:smartTag>
            </w:smartTag>
            <w:r>
              <w:rPr>
                <w:sz w:val="22"/>
              </w:rPr>
              <w:t xml:space="preserve"> and its tributaries</w:t>
            </w:r>
          </w:p>
        </w:tc>
      </w:tr>
      <w:tr>
        <w:trPr>
          <w:cantSplit/>
        </w:trPr>
        <w:tc>
          <w:tcPr>
            <w:tcW w:w="2040" w:type="dxa"/>
          </w:tcPr>
          <w:p>
            <w:pPr>
              <w:pStyle w:val="TableNAm"/>
              <w:spacing w:before="60"/>
              <w:jc w:val="center"/>
              <w:rPr>
                <w:sz w:val="22"/>
              </w:rPr>
            </w:pPr>
            <w:r>
              <w:rPr>
                <w:sz w:val="22"/>
              </w:rPr>
              <w:t>black bream</w:t>
            </w:r>
          </w:p>
        </w:tc>
        <w:tc>
          <w:tcPr>
            <w:tcW w:w="4440" w:type="dxa"/>
          </w:tcPr>
          <w:p>
            <w:pPr>
              <w:pStyle w:val="TableNAm"/>
              <w:spacing w:before="60"/>
              <w:rPr>
                <w:sz w:val="22"/>
              </w:rPr>
            </w:pPr>
            <w:r>
              <w:rPr>
                <w:sz w:val="22"/>
              </w:rPr>
              <w:t xml:space="preserve">brought onto land from the waters of the </w:t>
            </w:r>
            <w:smartTag w:uri="urn:schemas-microsoft-com:office:smarttags" w:element="PlaceName">
              <w:r>
                <w:rPr>
                  <w:sz w:val="22"/>
                </w:rPr>
                <w:t>Swan</w:t>
              </w:r>
            </w:smartTag>
            <w:r>
              <w:rPr>
                <w:sz w:val="22"/>
              </w:rPr>
              <w:t xml:space="preserve"> </w:t>
            </w:r>
            <w:smartTag w:uri="urn:schemas-microsoft-com:office:smarttags" w:element="PlaceType">
              <w:r>
                <w:rPr>
                  <w:sz w:val="22"/>
                </w:rPr>
                <w:t>River</w:t>
              </w:r>
            </w:smartTag>
            <w:r>
              <w:rPr>
                <w:sz w:val="22"/>
              </w:rPr>
              <w:t xml:space="preserve"> or </w:t>
            </w:r>
            <w:smartTag w:uri="urn:schemas-microsoft-com:office:smarttags" w:element="place">
              <w:smartTag w:uri="urn:schemas-microsoft-com:office:smarttags" w:element="PlaceName">
                <w:r>
                  <w:rPr>
                    <w:sz w:val="22"/>
                  </w:rPr>
                  <w:t>Canning</w:t>
                </w:r>
              </w:smartTag>
              <w:r>
                <w:rPr>
                  <w:sz w:val="22"/>
                </w:rPr>
                <w:t xml:space="preserve"> </w:t>
              </w:r>
              <w:smartTag w:uri="urn:schemas-microsoft-com:office:smarttags" w:element="PlaceType">
                <w:r>
                  <w:rPr>
                    <w:sz w:val="22"/>
                  </w:rPr>
                  <w:t>River</w:t>
                </w:r>
              </w:smartTag>
            </w:smartTag>
          </w:p>
        </w:tc>
      </w:tr>
      <w:tr>
        <w:trPr>
          <w:cantSplit/>
        </w:trPr>
        <w:tc>
          <w:tcPr>
            <w:tcW w:w="2040" w:type="dxa"/>
          </w:tcPr>
          <w:p>
            <w:pPr>
              <w:pStyle w:val="TableNAm"/>
              <w:spacing w:before="60"/>
              <w:jc w:val="center"/>
              <w:rPr>
                <w:sz w:val="22"/>
              </w:rPr>
            </w:pPr>
            <w:r>
              <w:rPr>
                <w:sz w:val="22"/>
              </w:rPr>
              <w:t>estuary cod</w:t>
            </w:r>
          </w:p>
        </w:tc>
        <w:tc>
          <w:tcPr>
            <w:tcW w:w="4440" w:type="dxa"/>
          </w:tcPr>
          <w:p>
            <w:pPr>
              <w:pStyle w:val="TableNAm"/>
              <w:spacing w:before="60"/>
              <w:rPr>
                <w:sz w:val="22"/>
              </w:rPr>
            </w:pPr>
            <w:r>
              <w:rPr>
                <w:sz w:val="22"/>
              </w:rPr>
              <w:t>brought onto land anywhere in the State</w:t>
            </w:r>
          </w:p>
        </w:tc>
      </w:tr>
      <w:tr>
        <w:trPr>
          <w:cantSplit/>
        </w:trPr>
        <w:tc>
          <w:tcPr>
            <w:tcW w:w="2040" w:type="dxa"/>
          </w:tcPr>
          <w:p>
            <w:pPr>
              <w:pStyle w:val="TableNAm"/>
              <w:spacing w:before="60"/>
              <w:jc w:val="center"/>
              <w:rPr>
                <w:sz w:val="22"/>
              </w:rPr>
            </w:pPr>
            <w:r>
              <w:rPr>
                <w:sz w:val="22"/>
              </w:rPr>
              <w:t>malabar cod</w:t>
            </w:r>
          </w:p>
        </w:tc>
        <w:tc>
          <w:tcPr>
            <w:tcW w:w="4440" w:type="dxa"/>
          </w:tcPr>
          <w:p>
            <w:pPr>
              <w:pStyle w:val="TableNAm"/>
              <w:spacing w:before="60"/>
              <w:rPr>
                <w:sz w:val="22"/>
              </w:rPr>
            </w:pPr>
            <w:r>
              <w:rPr>
                <w:sz w:val="22"/>
              </w:rPr>
              <w:t>brought onto land anywhere in the State</w:t>
            </w:r>
          </w:p>
        </w:tc>
      </w:tr>
      <w:tr>
        <w:trPr>
          <w:cantSplit/>
        </w:trPr>
        <w:tc>
          <w:tcPr>
            <w:tcW w:w="2040" w:type="dxa"/>
          </w:tcPr>
          <w:p>
            <w:pPr>
              <w:pStyle w:val="TableNAm"/>
              <w:keepNext/>
              <w:spacing w:before="60"/>
              <w:jc w:val="center"/>
              <w:rPr>
                <w:sz w:val="22"/>
              </w:rPr>
            </w:pPr>
            <w:smartTag w:uri="urn:schemas-microsoft-com:office:smarttags" w:element="place">
              <w:smartTag w:uri="urn:schemas-microsoft-com:office:smarttags" w:element="State">
                <w:r>
                  <w:rPr>
                    <w:sz w:val="22"/>
                  </w:rPr>
                  <w:t>Queensland</w:t>
                </w:r>
              </w:smartTag>
            </w:smartTag>
            <w:r>
              <w:rPr>
                <w:sz w:val="22"/>
              </w:rPr>
              <w:t xml:space="preserve"> groper</w:t>
            </w:r>
          </w:p>
        </w:tc>
        <w:tc>
          <w:tcPr>
            <w:tcW w:w="4440" w:type="dxa"/>
          </w:tcPr>
          <w:p>
            <w:pPr>
              <w:pStyle w:val="TableNAm"/>
              <w:keepNext/>
              <w:spacing w:before="60"/>
              <w:rPr>
                <w:sz w:val="22"/>
              </w:rPr>
            </w:pPr>
            <w:r>
              <w:rPr>
                <w:sz w:val="22"/>
              </w:rPr>
              <w:t>brought onto land anywhere in the State</w:t>
            </w:r>
          </w:p>
        </w:tc>
      </w:tr>
      <w:tr>
        <w:trPr>
          <w:cantSplit/>
        </w:trPr>
        <w:tc>
          <w:tcPr>
            <w:tcW w:w="2040" w:type="dxa"/>
          </w:tcPr>
          <w:p>
            <w:pPr>
              <w:pStyle w:val="TableNAm"/>
              <w:spacing w:before="60"/>
              <w:jc w:val="center"/>
              <w:rPr>
                <w:sz w:val="22"/>
              </w:rPr>
            </w:pPr>
            <w:r>
              <w:rPr>
                <w:sz w:val="22"/>
              </w:rPr>
              <w:t>tailor</w:t>
            </w:r>
          </w:p>
        </w:tc>
        <w:tc>
          <w:tcPr>
            <w:tcW w:w="4440" w:type="dxa"/>
          </w:tcPr>
          <w:p>
            <w:pPr>
              <w:pStyle w:val="TableNAm"/>
              <w:spacing w:before="60"/>
              <w:rPr>
                <w:sz w:val="22"/>
              </w:rPr>
            </w:pPr>
            <w:r>
              <w:rPr>
                <w:sz w:val="22"/>
              </w:rPr>
              <w:t>brought onto land in the West Coast Region</w:t>
            </w:r>
          </w:p>
        </w:tc>
      </w:tr>
      <w:tr>
        <w:tc>
          <w:tcPr>
            <w:tcW w:w="2040" w:type="dxa"/>
            <w:tcBorders>
              <w:bottom w:val="single" w:sz="4" w:space="0" w:color="auto"/>
            </w:tcBorders>
          </w:tcPr>
          <w:p>
            <w:pPr>
              <w:pStyle w:val="TableNAm"/>
              <w:spacing w:before="60"/>
              <w:jc w:val="center"/>
              <w:rPr>
                <w:sz w:val="22"/>
              </w:rPr>
            </w:pPr>
            <w:r>
              <w:rPr>
                <w:sz w:val="22"/>
              </w:rPr>
              <w:t>whaler shark</w:t>
            </w:r>
          </w:p>
        </w:tc>
        <w:tc>
          <w:tcPr>
            <w:tcW w:w="4440" w:type="dxa"/>
            <w:tcBorders>
              <w:bottom w:val="single" w:sz="4" w:space="0" w:color="auto"/>
            </w:tcBorders>
          </w:tcPr>
          <w:p>
            <w:pPr>
              <w:pStyle w:val="TableNAm"/>
              <w:spacing w:before="60"/>
              <w:rPr>
                <w:sz w:val="22"/>
              </w:rPr>
            </w:pPr>
            <w:r>
              <w:rPr>
                <w:sz w:val="22"/>
              </w:rPr>
              <w:t>brought onto land in the West Coast Region or the South Coast Region</w:t>
            </w:r>
          </w:p>
        </w:tc>
      </w:tr>
    </w:tbl>
    <w:p>
      <w:pPr>
        <w:pStyle w:val="Subsection"/>
        <w:rPr>
          <w:snapToGrid w:val="0"/>
        </w:rPr>
      </w:pPr>
      <w:r>
        <w:tab/>
      </w:r>
      <w:r>
        <w:rPr>
          <w:snapToGrid w:val="0"/>
        </w:rPr>
        <w:t>(2)</w:t>
      </w:r>
      <w:r>
        <w:rPr>
          <w:snapToGrid w:val="0"/>
        </w:rPr>
        <w:tab/>
        <w:t>A person must not bring onto land a finfish that is a special risk finfish when brought onto that land unless it is a whole fish.</w:t>
      </w:r>
    </w:p>
    <w:p>
      <w:pPr>
        <w:pStyle w:val="Penstart"/>
      </w:pPr>
      <w:r>
        <w:tab/>
        <w:t>Penalty: $3 000 and the penalty provided in section 222 of the Act.</w:t>
      </w:r>
    </w:p>
    <w:p>
      <w:pPr>
        <w:pStyle w:val="Subsection"/>
        <w:rPr>
          <w:snapToGrid w:val="0"/>
        </w:rPr>
      </w:pPr>
      <w:r>
        <w:rPr>
          <w:snapToGrid w:val="0"/>
        </w:rPr>
        <w:tab/>
        <w:t>(3)</w:t>
      </w:r>
      <w:r>
        <w:rPr>
          <w:snapToGrid w:val="0"/>
        </w:rPr>
        <w:tab/>
        <w:t>Subregulation (2) does not apply to, or in respect of —</w:t>
      </w:r>
    </w:p>
    <w:p>
      <w:pPr>
        <w:pStyle w:val="Indenta"/>
      </w:pPr>
      <w:r>
        <w:tab/>
        <w:t>(a)</w:t>
      </w:r>
      <w:r>
        <w:tab/>
        <w:t>finfish taken for a commercial purpose in accordance with an authorisation; or</w:t>
      </w:r>
    </w:p>
    <w:p>
      <w:pPr>
        <w:pStyle w:val="Indenta"/>
      </w:pPr>
      <w:r>
        <w:tab/>
        <w:t>(b)</w:t>
      </w:r>
      <w:r>
        <w:tab/>
        <w:t>finfish if it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Indenta"/>
      </w:pPr>
      <w:r>
        <w:tab/>
      </w:r>
      <w:r>
        <w:tab/>
        <w:t>or</w:t>
      </w:r>
    </w:p>
    <w:p>
      <w:pPr>
        <w:pStyle w:val="Indenta"/>
      </w:pPr>
      <w:r>
        <w:tab/>
        <w:t>(c)</w:t>
      </w:r>
      <w:r>
        <w:tab/>
        <w:t>whaler shark that is a fish trunk.</w:t>
      </w:r>
    </w:p>
    <w:p>
      <w:pPr>
        <w:pStyle w:val="Footnotesection"/>
      </w:pPr>
      <w:r>
        <w:tab/>
        <w:t>[Regulation 14 inserted in Gazette 4 Nov 2005 p. 5301</w:t>
      </w:r>
      <w:r>
        <w:noBreakHyphen/>
        <w:t>2; amended in Gazette 13 Feb 2009 p. 298; 29 Mar 2011 p. 1151.]</w:t>
      </w:r>
    </w:p>
    <w:p>
      <w:pPr>
        <w:pStyle w:val="Heading5"/>
      </w:pPr>
      <w:bookmarkStart w:id="435" w:name="_Toc309309266"/>
      <w:r>
        <w:rPr>
          <w:rStyle w:val="CharSectno"/>
        </w:rPr>
        <w:t>15</w:t>
      </w:r>
      <w:r>
        <w:t>.</w:t>
      </w:r>
      <w:r>
        <w:tab/>
        <w:t>High risk finfish to be landed as whole fish, or as fish trunks or fillets meeting set criteria, in certain cases</w:t>
      </w:r>
      <w:bookmarkEnd w:id="435"/>
    </w:p>
    <w:p>
      <w:pPr>
        <w:pStyle w:val="Subsection"/>
        <w:keepNext/>
      </w:pPr>
      <w:r>
        <w:tab/>
        <w:t>(1)</w:t>
      </w:r>
      <w:r>
        <w:tab/>
        <w:t>In this regulation —</w:t>
      </w:r>
    </w:p>
    <w:p>
      <w:pPr>
        <w:pStyle w:val="Defstart"/>
        <w:keepNext/>
      </w:pPr>
      <w:r>
        <w:rPr>
          <w:b/>
        </w:rPr>
        <w:tab/>
      </w:r>
      <w:r>
        <w:rPr>
          <w:rStyle w:val="CharDefText"/>
        </w:rPr>
        <w:t>high risk finfish</w:t>
      </w:r>
      <w:r>
        <w:t xml:space="preserve"> means all finfish other than —</w:t>
      </w:r>
    </w:p>
    <w:p>
      <w:pPr>
        <w:pStyle w:val="Defpara"/>
      </w:pPr>
      <w:r>
        <w:tab/>
        <w:t>(a)</w:t>
      </w:r>
      <w:r>
        <w:tab/>
        <w:t>low risk finfish; and</w:t>
      </w:r>
    </w:p>
    <w:p>
      <w:pPr>
        <w:pStyle w:val="Defpara"/>
      </w:pPr>
      <w:r>
        <w:tab/>
        <w:t>(b)</w:t>
      </w:r>
      <w:r>
        <w:tab/>
        <w:t>special risk finfish.</w:t>
      </w:r>
    </w:p>
    <w:p>
      <w:pPr>
        <w:pStyle w:val="Subsection"/>
        <w:keepNext/>
      </w:pPr>
      <w:r>
        <w:tab/>
        <w:t>(2)</w:t>
      </w:r>
      <w:r>
        <w:tab/>
        <w:t>Subject to regulation 16A, a person must not bring onto land a finfish that is a high risk finfish when brought onto land unless it is —</w:t>
      </w:r>
    </w:p>
    <w:p>
      <w:pPr>
        <w:pStyle w:val="Indenta"/>
      </w:pPr>
      <w:r>
        <w:tab/>
        <w:t>(a)</w:t>
      </w:r>
      <w:r>
        <w:tab/>
        <w:t>a whole fish; or</w:t>
      </w:r>
    </w:p>
    <w:p>
      <w:pPr>
        <w:pStyle w:val="Indenta"/>
      </w:pPr>
      <w:r>
        <w:tab/>
        <w:t>(b)</w:t>
      </w:r>
      <w:r>
        <w:tab/>
        <w:t>a fish trunk or fillet that —</w:t>
      </w:r>
    </w:p>
    <w:p>
      <w:pPr>
        <w:pStyle w:val="Indenti"/>
      </w:pPr>
      <w:r>
        <w:tab/>
        <w:t>(i)</w:t>
      </w:r>
      <w:r>
        <w:tab/>
        <w:t>has the skin and scales attached; and</w:t>
      </w:r>
    </w:p>
    <w:p>
      <w:pPr>
        <w:pStyle w:val="Indenti"/>
      </w:pPr>
      <w:r>
        <w:tab/>
        <w:t>(ii)</w:t>
      </w:r>
      <w:r>
        <w:tab/>
        <w:t>is at least 300 mm in length; and</w:t>
      </w:r>
    </w:p>
    <w:p>
      <w:pPr>
        <w:pStyle w:val="Indenti"/>
      </w:pPr>
      <w:r>
        <w:tab/>
        <w:t>(iii)</w:t>
      </w:r>
      <w:r>
        <w:tab/>
        <w:t>is packaged flat; and</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Penstart"/>
      </w:pPr>
      <w:r>
        <w:tab/>
        <w:t>Penalty: $3 000 and the penalty provided in section 222 of the Act.</w:t>
      </w:r>
    </w:p>
    <w:p>
      <w:pPr>
        <w:pStyle w:val="Subsection"/>
      </w:pPr>
      <w:r>
        <w:tab/>
        <w:t>(3)</w:t>
      </w:r>
      <w:r>
        <w:tab/>
        <w:t>Subregulation (2) does not apply to, or in respect of —</w:t>
      </w:r>
    </w:p>
    <w:p>
      <w:pPr>
        <w:pStyle w:val="Indenta"/>
      </w:pPr>
      <w:r>
        <w:tab/>
        <w:t>(a)</w:t>
      </w:r>
      <w:r>
        <w:tab/>
        <w:t>finfish taken for a commercial purpose in accordance with an authorisation; or</w:t>
      </w:r>
    </w:p>
    <w:p>
      <w:pPr>
        <w:pStyle w:val="Indenta"/>
      </w:pPr>
      <w:r>
        <w:tab/>
        <w:t>(b)</w:t>
      </w:r>
      <w:r>
        <w:tab/>
        <w:t>finfish if it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15 inserted in Gazette 4 Nov 2005 p. 5303.]</w:t>
      </w:r>
    </w:p>
    <w:p>
      <w:pPr>
        <w:pStyle w:val="Heading5"/>
      </w:pPr>
      <w:bookmarkStart w:id="436" w:name="_Toc309309267"/>
      <w:r>
        <w:rPr>
          <w:rStyle w:val="CharSectno"/>
        </w:rPr>
        <w:t>16</w:t>
      </w:r>
      <w:r>
        <w:t>.</w:t>
      </w:r>
      <w:r>
        <w:tab/>
        <w:t>Low risk finfish to be landed as whole fish, or as fish trunks or fillets with skin attached, in certain cases</w:t>
      </w:r>
      <w:bookmarkEnd w:id="436"/>
    </w:p>
    <w:p>
      <w:pPr>
        <w:pStyle w:val="Subsection"/>
      </w:pPr>
      <w:r>
        <w:tab/>
        <w:t>(1)</w:t>
      </w:r>
      <w:r>
        <w:tab/>
        <w:t>In this regulation —</w:t>
      </w:r>
    </w:p>
    <w:p>
      <w:pPr>
        <w:pStyle w:val="Defstart"/>
      </w:pPr>
      <w:r>
        <w:rPr>
          <w:b/>
        </w:rPr>
        <w:tab/>
      </w:r>
      <w:r>
        <w:rPr>
          <w:rStyle w:val="CharDefText"/>
        </w:rPr>
        <w:t>low risk finfish</w:t>
      </w:r>
      <w:r>
        <w:t xml:space="preserve"> means a finfish of a class specified in Schedule 3 —</w:t>
      </w:r>
    </w:p>
    <w:p>
      <w:pPr>
        <w:pStyle w:val="Defpara"/>
      </w:pPr>
      <w:r>
        <w:tab/>
        <w:t>(a)</w:t>
      </w:r>
      <w:r>
        <w:tab/>
        <w:t>Part 1 Division 3 if it is brought onto land in the Gascoyne Region; or</w:t>
      </w:r>
    </w:p>
    <w:p>
      <w:pPr>
        <w:pStyle w:val="Defpara"/>
      </w:pPr>
      <w:r>
        <w:tab/>
        <w:t>(b)</w:t>
      </w:r>
      <w:r>
        <w:tab/>
        <w:t>Part 2 Division 3 if it is brought onto land in the Pilbara and Kimberley Region; or</w:t>
      </w:r>
    </w:p>
    <w:p>
      <w:pPr>
        <w:pStyle w:val="Defpara"/>
      </w:pPr>
      <w:r>
        <w:tab/>
        <w:t>(c)</w:t>
      </w:r>
      <w:r>
        <w:tab/>
        <w:t>Part 3 Division 3 if it is brought onto land in the West Coast Region; or</w:t>
      </w:r>
    </w:p>
    <w:p>
      <w:pPr>
        <w:pStyle w:val="Defpara"/>
      </w:pPr>
      <w:r>
        <w:tab/>
        <w:t>(d)</w:t>
      </w:r>
      <w:r>
        <w:tab/>
        <w:t>Part 4 Division 3 if it is brought onto land in the South Coast Region.</w:t>
      </w:r>
    </w:p>
    <w:p>
      <w:pPr>
        <w:pStyle w:val="Subsection"/>
      </w:pPr>
      <w:r>
        <w:tab/>
        <w:t>(2)</w:t>
      </w:r>
      <w:r>
        <w:tab/>
        <w:t>Subject to regulation 16A, a person must not bring onto land a finfish that is a low risk finfish in the region where it is brought onto land unless it is —</w:t>
      </w:r>
    </w:p>
    <w:p>
      <w:pPr>
        <w:pStyle w:val="Indenta"/>
      </w:pPr>
      <w:r>
        <w:tab/>
        <w:t>(a)</w:t>
      </w:r>
      <w:r>
        <w:tab/>
        <w:t>a whole fish; or</w:t>
      </w:r>
    </w:p>
    <w:p>
      <w:pPr>
        <w:pStyle w:val="Indenta"/>
      </w:pPr>
      <w:r>
        <w:tab/>
        <w:t>(b)</w:t>
      </w:r>
      <w:r>
        <w:tab/>
        <w:t>a fish trunk or fillet that has the skin attached.</w:t>
      </w:r>
    </w:p>
    <w:p>
      <w:pPr>
        <w:pStyle w:val="Penstart"/>
      </w:pPr>
      <w:r>
        <w:tab/>
        <w:t>Penalty: $1 000 and the penalty provided in section 222 of the Act.</w:t>
      </w:r>
    </w:p>
    <w:p>
      <w:pPr>
        <w:pStyle w:val="Subsection"/>
      </w:pPr>
      <w:r>
        <w:tab/>
        <w:t>(3)</w:t>
      </w:r>
      <w:r>
        <w:tab/>
        <w:t>Subregulation (2) does not apply to, or in respect of —</w:t>
      </w:r>
    </w:p>
    <w:p>
      <w:pPr>
        <w:pStyle w:val="Indenta"/>
      </w:pPr>
      <w:r>
        <w:tab/>
        <w:t>(a)</w:t>
      </w:r>
      <w:r>
        <w:tab/>
        <w:t>finfish taken for a commercial purpose in accordance with an authorisation; or</w:t>
      </w:r>
    </w:p>
    <w:p>
      <w:pPr>
        <w:pStyle w:val="Indenta"/>
      </w:pPr>
      <w:r>
        <w:tab/>
        <w:t>(b)</w:t>
      </w:r>
      <w:r>
        <w:tab/>
        <w:t>finfish if it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16 inserted in Gazette 4 Nov 2005 p. 5303</w:t>
      </w:r>
      <w:r>
        <w:noBreakHyphen/>
        <w:t>4; amended in Gazette 22 Dec 2005 p. 6217</w:t>
      </w:r>
      <w:r>
        <w:noBreakHyphen/>
        <w:t>18.]</w:t>
      </w:r>
    </w:p>
    <w:p>
      <w:pPr>
        <w:pStyle w:val="Heading5"/>
      </w:pPr>
      <w:bookmarkStart w:id="437" w:name="_Toc309309268"/>
      <w:r>
        <w:rPr>
          <w:rStyle w:val="CharSectno"/>
        </w:rPr>
        <w:t>16A</w:t>
      </w:r>
      <w:r>
        <w:t>.</w:t>
      </w:r>
      <w:r>
        <w:tab/>
        <w:t xml:space="preserve">Finfish at </w:t>
      </w:r>
      <w:smartTag w:uri="urn:schemas-microsoft-com:office:smarttags" w:element="PlaceName">
        <w:r>
          <w:t>Shark</w:t>
        </w:r>
      </w:smartTag>
      <w:r>
        <w:t xml:space="preserve"> Bay, possession of etc.</w:t>
      </w:r>
      <w:bookmarkEnd w:id="437"/>
    </w:p>
    <w:p>
      <w:pPr>
        <w:pStyle w:val="Subsection"/>
      </w:pPr>
      <w:r>
        <w:tab/>
        <w:t>(1)</w:t>
      </w:r>
      <w:r>
        <w:tab/>
        <w:t>Subject to subregulations (2) and (3) —</w:t>
      </w:r>
    </w:p>
    <w:p>
      <w:pPr>
        <w:pStyle w:val="Indenta"/>
      </w:pPr>
      <w:r>
        <w:tab/>
        <w:t>(a)</w:t>
      </w:r>
      <w:r>
        <w:tab/>
        <w:t>a person on a boat in the waters of the Shark Bay eastern gulf or the waters of the Shark Bay western gulf must not be in possession of a finfish unless it is a whole fish; and</w:t>
      </w:r>
    </w:p>
    <w:p>
      <w:pPr>
        <w:pStyle w:val="Indenta"/>
      </w:pPr>
      <w:r>
        <w:tab/>
        <w:t>(b)</w:t>
      </w:r>
      <w:r>
        <w:tab/>
        <w:t>a person must not bring onto the eastern gulf land area or the western gulf land area, a finfish unless it is a whole fish; and</w:t>
      </w:r>
    </w:p>
    <w:p>
      <w:pPr>
        <w:pStyle w:val="Indenta"/>
      </w:pPr>
      <w:r>
        <w:tab/>
        <w:t>(c)</w:t>
      </w:r>
      <w:r>
        <w:tab/>
        <w:t xml:space="preserve">the master of a boat in the waters of the </w:t>
      </w:r>
      <w:smartTag w:uri="urn:schemas-microsoft-com:office:smarttags" w:element="PlaceName">
        <w:r>
          <w:t>Shark</w:t>
        </w:r>
      </w:smartTag>
      <w:r>
        <w:t xml:space="preserve"> </w:t>
      </w:r>
      <w:smartTag w:uri="urn:schemas-microsoft-com:office:smarttags" w:element="PlaceType">
        <w:r>
          <w:t>Bay</w:t>
        </w:r>
      </w:smartTag>
      <w:r>
        <w:t xml:space="preserve"> eastern gulf or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western gulf must ensure that there is not any finfish on the boat unless it is a whole fish.</w:t>
      </w:r>
    </w:p>
    <w:p>
      <w:pPr>
        <w:pStyle w:val="Penstart"/>
      </w:pPr>
      <w:r>
        <w:tab/>
        <w:t>Penalty: $3 000 and the penalty provided in section 222 of the Act.</w:t>
      </w:r>
    </w:p>
    <w:p>
      <w:pPr>
        <w:pStyle w:val="Subsection"/>
      </w:pPr>
      <w:r>
        <w:tab/>
        <w:t>(2)</w:t>
      </w:r>
      <w:r>
        <w:tab/>
        <w:t>Subregulation (1) does not apply to, or in respect of —</w:t>
      </w:r>
    </w:p>
    <w:p>
      <w:pPr>
        <w:pStyle w:val="Indenta"/>
      </w:pPr>
      <w:r>
        <w:tab/>
        <w:t>(a)</w:t>
      </w:r>
      <w:r>
        <w:tab/>
        <w:t>finfish taken for a commercial purpose in accordance with an authorisation; or</w:t>
      </w:r>
    </w:p>
    <w:p>
      <w:pPr>
        <w:pStyle w:val="Indenta"/>
      </w:pPr>
      <w:r>
        <w:tab/>
        <w:t>(b)</w:t>
      </w:r>
      <w:r>
        <w:tab/>
        <w:t xml:space="preserve">mackerel or tuna of the </w:t>
      </w:r>
      <w:r>
        <w:rPr>
          <w:u w:val="single"/>
        </w:rPr>
        <w:t>Family</w:t>
      </w:r>
      <w:r>
        <w:t xml:space="preserve"> Scombridae that is a fish trunk or fillet that —</w:t>
      </w:r>
    </w:p>
    <w:p>
      <w:pPr>
        <w:pStyle w:val="Indenti"/>
      </w:pPr>
      <w:r>
        <w:tab/>
        <w:t>(i)</w:t>
      </w:r>
      <w:r>
        <w:tab/>
        <w:t>has the skin and scales attached; and</w:t>
      </w:r>
    </w:p>
    <w:p>
      <w:pPr>
        <w:pStyle w:val="Indenti"/>
      </w:pPr>
      <w:r>
        <w:tab/>
        <w:t>(ii)</w:t>
      </w:r>
      <w:r>
        <w:tab/>
        <w:t>is at least 300 mm in length; and</w:t>
      </w:r>
    </w:p>
    <w:p>
      <w:pPr>
        <w:pStyle w:val="Indenti"/>
      </w:pPr>
      <w:r>
        <w:tab/>
        <w:t>(iii)</w:t>
      </w:r>
      <w:r>
        <w:tab/>
        <w:t>is packaged flat; and</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Indenta"/>
      </w:pPr>
      <w:r>
        <w:tab/>
      </w:r>
      <w:r>
        <w:tab/>
        <w:t>and if the fish is filleted, each fillet —</w:t>
      </w:r>
    </w:p>
    <w:p>
      <w:pPr>
        <w:pStyle w:val="Indenti"/>
      </w:pPr>
      <w:r>
        <w:tab/>
        <w:t>(vi)</w:t>
      </w:r>
      <w:r>
        <w:tab/>
        <w:t>is taken from one side only of the fish; and</w:t>
      </w:r>
    </w:p>
    <w:p>
      <w:pPr>
        <w:pStyle w:val="Indenti"/>
      </w:pPr>
      <w:r>
        <w:tab/>
        <w:t>(vii)</w:t>
      </w:r>
      <w:r>
        <w:tab/>
        <w:t>has the skin and pectoral fin intact and attached to the fillet.</w:t>
      </w:r>
    </w:p>
    <w:p>
      <w:pPr>
        <w:pStyle w:val="Subsection"/>
      </w:pPr>
      <w:r>
        <w:tab/>
        <w:t>(3)</w:t>
      </w:r>
      <w:r>
        <w:tab/>
        <w:t>Subregulation (1)(a) and (c) do not apply to, or in respect of, a finfish, other than pink snapper, if the fish is —</w:t>
      </w:r>
    </w:p>
    <w:p>
      <w:pPr>
        <w:pStyle w:val="Indenta"/>
      </w:pPr>
      <w:r>
        <w:tab/>
        <w:t>(a)</w:t>
      </w:r>
      <w:r>
        <w:tab/>
        <w:t>being consumed on the boat; or</w:t>
      </w:r>
    </w:p>
    <w:p>
      <w:pPr>
        <w:pStyle w:val="Indenta"/>
      </w:pPr>
      <w:r>
        <w:tab/>
        <w:t>(b)</w:t>
      </w:r>
      <w:r>
        <w:tab/>
        <w:t>prepared, or being prepared, for the purpose of immediate consumption on the boat.</w:t>
      </w:r>
    </w:p>
    <w:p>
      <w:pPr>
        <w:pStyle w:val="Subsection"/>
      </w:pPr>
      <w:r>
        <w:tab/>
        <w:t>(4)</w:t>
      </w:r>
      <w:r>
        <w:tab/>
        <w:t>This regulation applies despite anything to the contrary in, or any inconsistent provision of, regulation 15 or 16.</w:t>
      </w:r>
    </w:p>
    <w:p>
      <w:pPr>
        <w:pStyle w:val="Footnotesection"/>
      </w:pPr>
      <w:r>
        <w:tab/>
        <w:t>[Regulation 16A inserted in Gazette 4 Nov 2005 p. 5304</w:t>
      </w:r>
      <w:r>
        <w:noBreakHyphen/>
        <w:t>5.]</w:t>
      </w:r>
    </w:p>
    <w:p>
      <w:pPr>
        <w:pStyle w:val="Heading5"/>
      </w:pPr>
      <w:bookmarkStart w:id="438" w:name="_Toc309309269"/>
      <w:r>
        <w:rPr>
          <w:rStyle w:val="CharSectno"/>
        </w:rPr>
        <w:t>16B</w:t>
      </w:r>
      <w:r>
        <w:t>.</w:t>
      </w:r>
      <w:r>
        <w:tab/>
        <w:t>Sharks and rays, processing of by commercial fishers</w:t>
      </w:r>
      <w:bookmarkEnd w:id="438"/>
    </w:p>
    <w:p>
      <w:pPr>
        <w:pStyle w:val="Subsection"/>
      </w:pPr>
      <w:r>
        <w:tab/>
        <w:t>(1)</w:t>
      </w:r>
      <w:r>
        <w:tab/>
        <w:t>A master of a fishing boat must not have on the boat any shark or ray other than a whole shark or ray.</w:t>
      </w:r>
    </w:p>
    <w:p>
      <w:pPr>
        <w:pStyle w:val="Penstart"/>
      </w:pPr>
      <w:r>
        <w:tab/>
        <w:t>Penalty: $10 000 and the penalty provided in section 222 of the Act.</w:t>
      </w:r>
    </w:p>
    <w:p>
      <w:pPr>
        <w:pStyle w:val="Subsection"/>
      </w:pPr>
      <w:r>
        <w:tab/>
        <w:t>(2)</w:t>
      </w:r>
      <w:r>
        <w:tab/>
        <w:t>Subregulation (1) does not prevent the master of a fishing boat from having on the boat a shark or ray that is not a whole shark or ray if —</w:t>
      </w:r>
    </w:p>
    <w:p>
      <w:pPr>
        <w:pStyle w:val="Indenta"/>
      </w:pPr>
      <w:r>
        <w:tab/>
        <w:t>(a)</w:t>
      </w:r>
      <w:r>
        <w:tab/>
        <w:t>all of the parts of the shark or ray (other than disposable parts) are on the boat together; and</w:t>
      </w:r>
    </w:p>
    <w:p>
      <w:pPr>
        <w:pStyle w:val="Indenta"/>
      </w:pPr>
      <w:r>
        <w:tab/>
        <w:t>(b)</w:t>
      </w:r>
      <w:r>
        <w:tab/>
        <w:t>either —</w:t>
      </w:r>
    </w:p>
    <w:p>
      <w:pPr>
        <w:pStyle w:val="Indenti"/>
      </w:pPr>
      <w:r>
        <w:tab/>
        <w:t>(i)</w:t>
      </w:r>
      <w:r>
        <w:tab/>
        <w:t>the only parts (other than disposable parts) that have been removed from the shark or ray are one or more of the fins; or</w:t>
      </w:r>
    </w:p>
    <w:p>
      <w:pPr>
        <w:pStyle w:val="Indenti"/>
      </w:pPr>
      <w:r>
        <w:tab/>
        <w:t>(ii)</w:t>
      </w:r>
      <w:r>
        <w:tab/>
        <w:t>both —</w:t>
      </w:r>
    </w:p>
    <w:p>
      <w:pPr>
        <w:pStyle w:val="IndentI0"/>
      </w:pPr>
      <w:r>
        <w:tab/>
        <w:t>(I)</w:t>
      </w:r>
      <w:r>
        <w:tab/>
        <w:t>the boat is north of 26° south latitude; and</w:t>
      </w:r>
    </w:p>
    <w:p>
      <w:pPr>
        <w:pStyle w:val="IndentI0"/>
      </w:pPr>
      <w:r>
        <w:tab/>
        <w:t>(II)</w:t>
      </w:r>
      <w:r>
        <w:tab/>
        <w:t>the fish is not a dusky shark.</w:t>
      </w:r>
    </w:p>
    <w:p>
      <w:pPr>
        <w:pStyle w:val="Subsection"/>
      </w:pPr>
      <w:r>
        <w:tab/>
        <w:t>(3)</w:t>
      </w:r>
      <w:r>
        <w:tab/>
        <w:t>A person must not bring onto land any shark or ray taken for a commercial purpose in accordance with an authorisation other than a whole shark or ray.</w:t>
      </w:r>
    </w:p>
    <w:p>
      <w:pPr>
        <w:pStyle w:val="Penstart"/>
      </w:pPr>
      <w:r>
        <w:tab/>
        <w:t>Penalty: $10 000 and the penalty provided in section 222 of the Act.</w:t>
      </w:r>
    </w:p>
    <w:p>
      <w:pPr>
        <w:pStyle w:val="Subsection"/>
      </w:pPr>
      <w:r>
        <w:tab/>
        <w:t>(4)</w:t>
      </w:r>
      <w:r>
        <w:tab/>
        <w:t>Subregulation (3) does not prevent a person bringing onto land a shark or ray that is not a whole shark or ray if —</w:t>
      </w:r>
    </w:p>
    <w:p>
      <w:pPr>
        <w:pStyle w:val="Indenta"/>
      </w:pPr>
      <w:r>
        <w:tab/>
        <w:t>(a)</w:t>
      </w:r>
      <w:r>
        <w:tab/>
        <w:t>all of the parts of the shark or ray (other than the disposable parts) are brought onto land together; and</w:t>
      </w:r>
    </w:p>
    <w:p>
      <w:pPr>
        <w:pStyle w:val="Indenta"/>
        <w:keepNext/>
      </w:pPr>
      <w:r>
        <w:tab/>
        <w:t>(b)</w:t>
      </w:r>
      <w:r>
        <w:tab/>
        <w:t>either —</w:t>
      </w:r>
    </w:p>
    <w:p>
      <w:pPr>
        <w:pStyle w:val="Indenti"/>
      </w:pPr>
      <w:r>
        <w:tab/>
        <w:t>(i)</w:t>
      </w:r>
      <w:r>
        <w:tab/>
        <w:t>the only parts (other than disposable parts) that have been removed from the shark or ray are one or more of the fins; or</w:t>
      </w:r>
    </w:p>
    <w:p>
      <w:pPr>
        <w:pStyle w:val="Indenti"/>
      </w:pPr>
      <w:r>
        <w:tab/>
        <w:t>(ii)</w:t>
      </w:r>
      <w:r>
        <w:tab/>
        <w:t>both —</w:t>
      </w:r>
    </w:p>
    <w:p>
      <w:pPr>
        <w:pStyle w:val="IndentI0"/>
      </w:pPr>
      <w:r>
        <w:tab/>
        <w:t>(I)</w:t>
      </w:r>
      <w:r>
        <w:tab/>
        <w:t>the place where the fish is brought onto land is north of 26° south latitude; and</w:t>
      </w:r>
    </w:p>
    <w:p>
      <w:pPr>
        <w:pStyle w:val="IndentI0"/>
      </w:pPr>
      <w:r>
        <w:tab/>
        <w:t>(II)</w:t>
      </w:r>
      <w:r>
        <w:tab/>
        <w:t>the fish is not a dusky shark.</w:t>
      </w:r>
    </w:p>
    <w:p>
      <w:pPr>
        <w:pStyle w:val="Subsection"/>
      </w:pPr>
      <w:r>
        <w:tab/>
        <w:t>(5)</w:t>
      </w:r>
      <w:r>
        <w:tab/>
        <w:t>In this regulation —</w:t>
      </w:r>
    </w:p>
    <w:p>
      <w:pPr>
        <w:pStyle w:val="Defstart"/>
      </w:pPr>
      <w:r>
        <w:rPr>
          <w:b/>
        </w:rPr>
        <w:tab/>
      </w:r>
      <w:r>
        <w:rPr>
          <w:rStyle w:val="CharDefText"/>
        </w:rPr>
        <w:t>disposable part</w:t>
      </w:r>
      <w:r>
        <w:t xml:space="preserve"> means any of the following —</w:t>
      </w:r>
    </w:p>
    <w:p>
      <w:pPr>
        <w:pStyle w:val="Defpara"/>
      </w:pPr>
      <w:r>
        <w:tab/>
        <w:t>(a)</w:t>
      </w:r>
      <w:r>
        <w:tab/>
        <w:t>the head;</w:t>
      </w:r>
    </w:p>
    <w:p>
      <w:pPr>
        <w:pStyle w:val="Defpara"/>
      </w:pPr>
      <w:r>
        <w:tab/>
        <w:t>(b)</w:t>
      </w:r>
      <w:r>
        <w:tab/>
        <w:t>the tail;</w:t>
      </w:r>
    </w:p>
    <w:p>
      <w:pPr>
        <w:pStyle w:val="Defpara"/>
      </w:pPr>
      <w:r>
        <w:tab/>
        <w:t>(c)</w:t>
      </w:r>
      <w:r>
        <w:tab/>
        <w:t>the parts removed during gutting;</w:t>
      </w:r>
    </w:p>
    <w:p>
      <w:pPr>
        <w:pStyle w:val="Defstart"/>
      </w:pPr>
      <w:r>
        <w:rPr>
          <w:b/>
        </w:rPr>
        <w:tab/>
      </w:r>
      <w:r>
        <w:rPr>
          <w:rStyle w:val="CharDefText"/>
        </w:rPr>
        <w:t>whole shark or ray</w:t>
      </w:r>
      <w:r>
        <w:t xml:space="preserve"> means a shark or ray that is —</w:t>
      </w:r>
    </w:p>
    <w:p>
      <w:pPr>
        <w:pStyle w:val="Defpara"/>
      </w:pPr>
      <w:r>
        <w:tab/>
        <w:t>(a)</w:t>
      </w:r>
      <w:r>
        <w:tab/>
        <w:t>entire; or</w:t>
      </w:r>
    </w:p>
    <w:p>
      <w:pPr>
        <w:pStyle w:val="Defpara"/>
      </w:pPr>
      <w:r>
        <w:tab/>
        <w:t>(b)</w:t>
      </w:r>
      <w:r>
        <w:tab/>
        <w:t>entire except that any or all of the disposable parts have been removed.</w:t>
      </w:r>
    </w:p>
    <w:p>
      <w:pPr>
        <w:pStyle w:val="Footnotesection"/>
      </w:pPr>
      <w:r>
        <w:tab/>
        <w:t>[Regulation 16B inserted in Gazette 10 Nov 2006 p. 4705</w:t>
      </w:r>
      <w:r>
        <w:noBreakHyphen/>
        <w:t>6.]</w:t>
      </w:r>
    </w:p>
    <w:p>
      <w:pPr>
        <w:pStyle w:val="Heading3"/>
        <w:keepNext w:val="0"/>
      </w:pPr>
      <w:bookmarkStart w:id="439" w:name="_Toc189987844"/>
      <w:bookmarkStart w:id="440" w:name="_Toc192041427"/>
      <w:bookmarkStart w:id="441" w:name="_Toc199570661"/>
      <w:bookmarkStart w:id="442" w:name="_Toc199738657"/>
      <w:bookmarkStart w:id="443" w:name="_Toc199814759"/>
      <w:bookmarkStart w:id="444" w:name="_Toc215040565"/>
      <w:bookmarkStart w:id="445" w:name="_Toc215041010"/>
      <w:bookmarkStart w:id="446" w:name="_Toc222129219"/>
      <w:bookmarkStart w:id="447" w:name="_Toc222222924"/>
      <w:bookmarkStart w:id="448" w:name="_Toc225914176"/>
      <w:bookmarkStart w:id="449" w:name="_Toc231282221"/>
      <w:bookmarkStart w:id="450" w:name="_Toc231282665"/>
      <w:bookmarkStart w:id="451" w:name="_Toc234899252"/>
      <w:bookmarkStart w:id="452" w:name="_Toc236632534"/>
      <w:bookmarkStart w:id="453" w:name="_Toc236720147"/>
      <w:bookmarkStart w:id="454" w:name="_Toc237764346"/>
      <w:bookmarkStart w:id="455" w:name="_Toc238355970"/>
      <w:bookmarkStart w:id="456" w:name="_Toc238368675"/>
      <w:bookmarkStart w:id="457" w:name="_Toc238375628"/>
      <w:bookmarkStart w:id="458" w:name="_Toc240338952"/>
      <w:bookmarkStart w:id="459" w:name="_Toc241993458"/>
      <w:bookmarkStart w:id="460" w:name="_Toc243192601"/>
      <w:bookmarkStart w:id="461" w:name="_Toc243295302"/>
      <w:bookmarkStart w:id="462" w:name="_Toc245112875"/>
      <w:bookmarkStart w:id="463" w:name="_Toc245198037"/>
      <w:bookmarkStart w:id="464" w:name="_Toc245198486"/>
      <w:bookmarkStart w:id="465" w:name="_Toc245198935"/>
      <w:bookmarkStart w:id="466" w:name="_Toc248121965"/>
      <w:bookmarkStart w:id="467" w:name="_Toc248122416"/>
      <w:bookmarkStart w:id="468" w:name="_Toc253670403"/>
      <w:bookmarkStart w:id="469" w:name="_Toc253670853"/>
      <w:bookmarkStart w:id="470" w:name="_Toc254942623"/>
      <w:bookmarkStart w:id="471" w:name="_Toc254943076"/>
      <w:bookmarkStart w:id="472" w:name="_Toc255475668"/>
      <w:bookmarkStart w:id="473" w:name="_Toc256431989"/>
      <w:bookmarkStart w:id="474" w:name="_Toc257720326"/>
      <w:bookmarkStart w:id="475" w:name="_Toc257722008"/>
      <w:bookmarkStart w:id="476" w:name="_Toc258335684"/>
      <w:bookmarkStart w:id="477" w:name="_Toc260406126"/>
      <w:bookmarkStart w:id="478" w:name="_Toc261271312"/>
      <w:bookmarkStart w:id="479" w:name="_Toc262807994"/>
      <w:bookmarkStart w:id="480" w:name="_Toc267572387"/>
      <w:bookmarkStart w:id="481" w:name="_Toc270684138"/>
      <w:bookmarkStart w:id="482" w:name="_Toc274214315"/>
      <w:bookmarkStart w:id="483" w:name="_Toc274214764"/>
      <w:bookmarkStart w:id="484" w:name="_Toc278976095"/>
      <w:bookmarkStart w:id="485" w:name="_Toc286760418"/>
      <w:bookmarkStart w:id="486" w:name="_Toc289080763"/>
      <w:bookmarkStart w:id="487" w:name="_Toc290283957"/>
      <w:bookmarkStart w:id="488" w:name="_Toc290642778"/>
      <w:bookmarkStart w:id="489" w:name="_Toc290643227"/>
      <w:bookmarkStart w:id="490" w:name="_Toc290643680"/>
      <w:bookmarkStart w:id="491" w:name="_Toc294701497"/>
      <w:bookmarkStart w:id="492" w:name="_Toc295199905"/>
      <w:bookmarkStart w:id="493" w:name="_Toc296954346"/>
      <w:bookmarkStart w:id="494" w:name="_Toc297275978"/>
      <w:bookmarkStart w:id="495" w:name="_Toc297276430"/>
      <w:bookmarkStart w:id="496" w:name="_Toc297276880"/>
      <w:bookmarkStart w:id="497" w:name="_Toc297726249"/>
      <w:bookmarkStart w:id="498" w:name="_Toc299980033"/>
      <w:bookmarkStart w:id="499" w:name="_Toc300234659"/>
      <w:bookmarkStart w:id="500" w:name="_Toc301961162"/>
      <w:bookmarkStart w:id="501" w:name="_Toc301966732"/>
      <w:bookmarkStart w:id="502" w:name="_Toc303252941"/>
      <w:bookmarkStart w:id="503" w:name="_Toc303257105"/>
      <w:bookmarkStart w:id="504" w:name="_Toc307992740"/>
      <w:bookmarkStart w:id="505" w:name="_Toc309029770"/>
      <w:bookmarkStart w:id="506" w:name="_Toc309303993"/>
      <w:bookmarkStart w:id="507" w:name="_Toc309304446"/>
      <w:bookmarkStart w:id="508" w:name="_Toc309309270"/>
      <w:r>
        <w:rPr>
          <w:rStyle w:val="CharDivNo"/>
        </w:rPr>
        <w:t>Division 3</w:t>
      </w:r>
      <w:r>
        <w:t> — </w:t>
      </w:r>
      <w:r>
        <w:rPr>
          <w:rStyle w:val="CharDivText"/>
        </w:rPr>
        <w:t>Possession limits</w:t>
      </w:r>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p>
    <w:p>
      <w:pPr>
        <w:pStyle w:val="Footnoteheading"/>
        <w:tabs>
          <w:tab w:val="left" w:pos="851"/>
        </w:tabs>
      </w:pPr>
      <w:r>
        <w:tab/>
        <w:t>[Heading inserted in Gazette 1 Oct 2003 p. 4289.]</w:t>
      </w:r>
    </w:p>
    <w:p>
      <w:pPr>
        <w:pStyle w:val="Heading4"/>
        <w:keepNext w:val="0"/>
      </w:pPr>
      <w:bookmarkStart w:id="509" w:name="_Toc189987845"/>
      <w:bookmarkStart w:id="510" w:name="_Toc192041428"/>
      <w:bookmarkStart w:id="511" w:name="_Toc199570662"/>
      <w:bookmarkStart w:id="512" w:name="_Toc199738658"/>
      <w:bookmarkStart w:id="513" w:name="_Toc199814760"/>
      <w:bookmarkStart w:id="514" w:name="_Toc215040566"/>
      <w:bookmarkStart w:id="515" w:name="_Toc215041011"/>
      <w:bookmarkStart w:id="516" w:name="_Toc222129220"/>
      <w:bookmarkStart w:id="517" w:name="_Toc222222925"/>
      <w:bookmarkStart w:id="518" w:name="_Toc225914177"/>
      <w:bookmarkStart w:id="519" w:name="_Toc231282222"/>
      <w:bookmarkStart w:id="520" w:name="_Toc231282666"/>
      <w:bookmarkStart w:id="521" w:name="_Toc234899253"/>
      <w:bookmarkStart w:id="522" w:name="_Toc236632535"/>
      <w:bookmarkStart w:id="523" w:name="_Toc236720148"/>
      <w:bookmarkStart w:id="524" w:name="_Toc237764347"/>
      <w:bookmarkStart w:id="525" w:name="_Toc238355971"/>
      <w:bookmarkStart w:id="526" w:name="_Toc238368676"/>
      <w:bookmarkStart w:id="527" w:name="_Toc238375629"/>
      <w:bookmarkStart w:id="528" w:name="_Toc240338953"/>
      <w:bookmarkStart w:id="529" w:name="_Toc241993459"/>
      <w:bookmarkStart w:id="530" w:name="_Toc243192602"/>
      <w:bookmarkStart w:id="531" w:name="_Toc243295303"/>
      <w:bookmarkStart w:id="532" w:name="_Toc245112876"/>
      <w:bookmarkStart w:id="533" w:name="_Toc245198038"/>
      <w:bookmarkStart w:id="534" w:name="_Toc245198487"/>
      <w:bookmarkStart w:id="535" w:name="_Toc245198936"/>
      <w:bookmarkStart w:id="536" w:name="_Toc248121966"/>
      <w:bookmarkStart w:id="537" w:name="_Toc248122417"/>
      <w:bookmarkStart w:id="538" w:name="_Toc253670404"/>
      <w:bookmarkStart w:id="539" w:name="_Toc253670854"/>
      <w:bookmarkStart w:id="540" w:name="_Toc254942624"/>
      <w:bookmarkStart w:id="541" w:name="_Toc254943077"/>
      <w:bookmarkStart w:id="542" w:name="_Toc255475669"/>
      <w:bookmarkStart w:id="543" w:name="_Toc256431990"/>
      <w:bookmarkStart w:id="544" w:name="_Toc257720327"/>
      <w:bookmarkStart w:id="545" w:name="_Toc257722009"/>
      <w:bookmarkStart w:id="546" w:name="_Toc258335685"/>
      <w:bookmarkStart w:id="547" w:name="_Toc260406127"/>
      <w:bookmarkStart w:id="548" w:name="_Toc261271313"/>
      <w:bookmarkStart w:id="549" w:name="_Toc262807995"/>
      <w:bookmarkStart w:id="550" w:name="_Toc267572388"/>
      <w:bookmarkStart w:id="551" w:name="_Toc270684139"/>
      <w:bookmarkStart w:id="552" w:name="_Toc274214316"/>
      <w:bookmarkStart w:id="553" w:name="_Toc274214765"/>
      <w:bookmarkStart w:id="554" w:name="_Toc278976096"/>
      <w:bookmarkStart w:id="555" w:name="_Toc286760419"/>
      <w:bookmarkStart w:id="556" w:name="_Toc289080764"/>
      <w:bookmarkStart w:id="557" w:name="_Toc290283958"/>
      <w:bookmarkStart w:id="558" w:name="_Toc290642779"/>
      <w:bookmarkStart w:id="559" w:name="_Toc290643228"/>
      <w:bookmarkStart w:id="560" w:name="_Toc290643681"/>
      <w:bookmarkStart w:id="561" w:name="_Toc294701498"/>
      <w:bookmarkStart w:id="562" w:name="_Toc295199906"/>
      <w:bookmarkStart w:id="563" w:name="_Toc296954347"/>
      <w:bookmarkStart w:id="564" w:name="_Toc297275979"/>
      <w:bookmarkStart w:id="565" w:name="_Toc297276431"/>
      <w:bookmarkStart w:id="566" w:name="_Toc297276881"/>
      <w:bookmarkStart w:id="567" w:name="_Toc297726250"/>
      <w:bookmarkStart w:id="568" w:name="_Toc299980034"/>
      <w:bookmarkStart w:id="569" w:name="_Toc300234660"/>
      <w:bookmarkStart w:id="570" w:name="_Toc301961163"/>
      <w:bookmarkStart w:id="571" w:name="_Toc301966733"/>
      <w:bookmarkStart w:id="572" w:name="_Toc303252942"/>
      <w:bookmarkStart w:id="573" w:name="_Toc303257106"/>
      <w:bookmarkStart w:id="574" w:name="_Toc307992741"/>
      <w:bookmarkStart w:id="575" w:name="_Toc309029771"/>
      <w:bookmarkStart w:id="576" w:name="_Toc309303994"/>
      <w:bookmarkStart w:id="577" w:name="_Toc309304447"/>
      <w:bookmarkStart w:id="578" w:name="_Toc309309271"/>
      <w:r>
        <w:t>Subdivision 1A — Preliminary</w:t>
      </w:r>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p>
    <w:p>
      <w:pPr>
        <w:pStyle w:val="Footnoteheading"/>
      </w:pPr>
      <w:r>
        <w:tab/>
        <w:t>[Heading inserted in Gazette 4 Nov 2005 p. 5306.]</w:t>
      </w:r>
    </w:p>
    <w:p>
      <w:pPr>
        <w:pStyle w:val="Heading5"/>
        <w:keepNext w:val="0"/>
        <w:keepLines w:val="0"/>
        <w:spacing w:before="180"/>
      </w:pPr>
      <w:bookmarkStart w:id="579" w:name="_Toc309309272"/>
      <w:r>
        <w:rPr>
          <w:rStyle w:val="CharSectno"/>
        </w:rPr>
        <w:t>16C</w:t>
      </w:r>
      <w:r>
        <w:t>.</w:t>
      </w:r>
      <w:r>
        <w:tab/>
        <w:t>Term used: finfish</w:t>
      </w:r>
      <w:bookmarkEnd w:id="579"/>
    </w:p>
    <w:p>
      <w:pPr>
        <w:pStyle w:val="Subsection"/>
        <w:spacing w:before="120"/>
      </w:pPr>
      <w:r>
        <w:tab/>
      </w:r>
      <w:r>
        <w:tab/>
        <w:t>In this Division —</w:t>
      </w:r>
    </w:p>
    <w:p>
      <w:pPr>
        <w:pStyle w:val="Defstart"/>
      </w:pPr>
      <w:r>
        <w:rPr>
          <w:b/>
        </w:rPr>
        <w:tab/>
      </w:r>
      <w:r>
        <w:rPr>
          <w:rStyle w:val="CharDefText"/>
        </w:rPr>
        <w:t>finfish</w:t>
      </w:r>
      <w:r>
        <w:t xml:space="preserve"> does not include fish of the </w:t>
      </w:r>
      <w:r>
        <w:rPr>
          <w:u w:val="single"/>
        </w:rPr>
        <w:t>Family</w:t>
      </w:r>
      <w:r>
        <w:t xml:space="preserve"> Atherinidae, Clupeidae, Engraulidae, Hemirhamphidae or Mugilidae.</w:t>
      </w:r>
    </w:p>
    <w:p>
      <w:pPr>
        <w:pStyle w:val="Footnotesection"/>
      </w:pPr>
      <w:r>
        <w:tab/>
        <w:t>[Regulation 16C inserted in Gazette 4 Nov 2005 p. 5306; amended in Gazette 22 Dec 2005 p. 6218.]</w:t>
      </w:r>
    </w:p>
    <w:p>
      <w:pPr>
        <w:pStyle w:val="Heading5"/>
        <w:spacing w:before="180"/>
      </w:pPr>
      <w:bookmarkStart w:id="580" w:name="_Toc309309273"/>
      <w:r>
        <w:rPr>
          <w:rStyle w:val="CharSectno"/>
        </w:rPr>
        <w:t>16CA</w:t>
      </w:r>
      <w:r>
        <w:t>.</w:t>
      </w:r>
      <w:r>
        <w:tab/>
        <w:t>Bag limits, application and effect of</w:t>
      </w:r>
      <w:bookmarkEnd w:id="580"/>
    </w:p>
    <w:p>
      <w:pPr>
        <w:pStyle w:val="Subsection"/>
      </w:pPr>
      <w:r>
        <w:tab/>
        <w:t>(1)</w:t>
      </w:r>
      <w:r>
        <w:tab/>
        <w:t>The bag limit that applies in respect of fish that a person is in possession of is the bag limit that applies in any region or other area of the State in which the person is in possession of any fish which would permit the person to be in possession of the greatest number of fish.</w:t>
      </w:r>
    </w:p>
    <w:p>
      <w:pPr>
        <w:pStyle w:val="Subsection"/>
      </w:pPr>
      <w:r>
        <w:tab/>
        <w:t>(2)</w:t>
      </w:r>
      <w:r>
        <w:tab/>
        <w:t>Despite subregulation (1), the maximum quantity of fish that a person may be in possession of must not exceed the bag limit that applies in respect of the fish in the region or other area of the State where the fish is, or are, located.</w:t>
      </w:r>
    </w:p>
    <w:p>
      <w:pPr>
        <w:pStyle w:val="Footnotesection"/>
      </w:pPr>
      <w:r>
        <w:tab/>
        <w:t>[Regulation 16CA inserted in Gazette 4 Nov 2005 p. 5306.]</w:t>
      </w:r>
    </w:p>
    <w:p>
      <w:pPr>
        <w:pStyle w:val="Heading4"/>
      </w:pPr>
      <w:bookmarkStart w:id="581" w:name="_Toc189987848"/>
      <w:bookmarkStart w:id="582" w:name="_Toc192041431"/>
      <w:bookmarkStart w:id="583" w:name="_Toc199570665"/>
      <w:bookmarkStart w:id="584" w:name="_Toc199738661"/>
      <w:bookmarkStart w:id="585" w:name="_Toc199814763"/>
      <w:bookmarkStart w:id="586" w:name="_Toc215040569"/>
      <w:bookmarkStart w:id="587" w:name="_Toc215041014"/>
      <w:bookmarkStart w:id="588" w:name="_Toc222129223"/>
      <w:bookmarkStart w:id="589" w:name="_Toc222222928"/>
      <w:bookmarkStart w:id="590" w:name="_Toc225914180"/>
      <w:bookmarkStart w:id="591" w:name="_Toc231282225"/>
      <w:bookmarkStart w:id="592" w:name="_Toc231282669"/>
      <w:bookmarkStart w:id="593" w:name="_Toc234899256"/>
      <w:bookmarkStart w:id="594" w:name="_Toc236632538"/>
      <w:bookmarkStart w:id="595" w:name="_Toc236720151"/>
      <w:bookmarkStart w:id="596" w:name="_Toc237764350"/>
      <w:bookmarkStart w:id="597" w:name="_Toc238355974"/>
      <w:bookmarkStart w:id="598" w:name="_Toc238368679"/>
      <w:bookmarkStart w:id="599" w:name="_Toc238375632"/>
      <w:bookmarkStart w:id="600" w:name="_Toc240338956"/>
      <w:bookmarkStart w:id="601" w:name="_Toc241993462"/>
      <w:bookmarkStart w:id="602" w:name="_Toc243192605"/>
      <w:bookmarkStart w:id="603" w:name="_Toc243295306"/>
      <w:bookmarkStart w:id="604" w:name="_Toc245112879"/>
      <w:bookmarkStart w:id="605" w:name="_Toc245198041"/>
      <w:bookmarkStart w:id="606" w:name="_Toc245198490"/>
      <w:bookmarkStart w:id="607" w:name="_Toc245198939"/>
      <w:bookmarkStart w:id="608" w:name="_Toc248121969"/>
      <w:bookmarkStart w:id="609" w:name="_Toc248122420"/>
      <w:bookmarkStart w:id="610" w:name="_Toc253670407"/>
      <w:bookmarkStart w:id="611" w:name="_Toc253670857"/>
      <w:bookmarkStart w:id="612" w:name="_Toc254942627"/>
      <w:bookmarkStart w:id="613" w:name="_Toc254943080"/>
      <w:bookmarkStart w:id="614" w:name="_Toc255475672"/>
      <w:bookmarkStart w:id="615" w:name="_Toc256431993"/>
      <w:bookmarkStart w:id="616" w:name="_Toc257720330"/>
      <w:bookmarkStart w:id="617" w:name="_Toc257722012"/>
      <w:bookmarkStart w:id="618" w:name="_Toc258335688"/>
      <w:bookmarkStart w:id="619" w:name="_Toc260406130"/>
      <w:bookmarkStart w:id="620" w:name="_Toc261271316"/>
      <w:bookmarkStart w:id="621" w:name="_Toc262807998"/>
      <w:bookmarkStart w:id="622" w:name="_Toc267572391"/>
      <w:bookmarkStart w:id="623" w:name="_Toc270684142"/>
      <w:bookmarkStart w:id="624" w:name="_Toc274214319"/>
      <w:bookmarkStart w:id="625" w:name="_Toc274214768"/>
      <w:bookmarkStart w:id="626" w:name="_Toc278976099"/>
      <w:bookmarkStart w:id="627" w:name="_Toc286760422"/>
      <w:bookmarkStart w:id="628" w:name="_Toc289080767"/>
      <w:bookmarkStart w:id="629" w:name="_Toc290283961"/>
      <w:bookmarkStart w:id="630" w:name="_Toc290642782"/>
      <w:bookmarkStart w:id="631" w:name="_Toc290643231"/>
      <w:bookmarkStart w:id="632" w:name="_Toc290643684"/>
      <w:bookmarkStart w:id="633" w:name="_Toc294701501"/>
      <w:bookmarkStart w:id="634" w:name="_Toc295199909"/>
      <w:bookmarkStart w:id="635" w:name="_Toc296954350"/>
      <w:bookmarkStart w:id="636" w:name="_Toc297275982"/>
      <w:bookmarkStart w:id="637" w:name="_Toc297276434"/>
      <w:bookmarkStart w:id="638" w:name="_Toc297276884"/>
      <w:bookmarkStart w:id="639" w:name="_Toc297726253"/>
      <w:bookmarkStart w:id="640" w:name="_Toc299980037"/>
      <w:bookmarkStart w:id="641" w:name="_Toc300234663"/>
      <w:bookmarkStart w:id="642" w:name="_Toc301961166"/>
      <w:bookmarkStart w:id="643" w:name="_Toc301966736"/>
      <w:bookmarkStart w:id="644" w:name="_Toc303252945"/>
      <w:bookmarkStart w:id="645" w:name="_Toc303257109"/>
      <w:bookmarkStart w:id="646" w:name="_Toc307992744"/>
      <w:bookmarkStart w:id="647" w:name="_Toc309029774"/>
      <w:bookmarkStart w:id="648" w:name="_Toc309303997"/>
      <w:bookmarkStart w:id="649" w:name="_Toc309304450"/>
      <w:bookmarkStart w:id="650" w:name="_Toc309309274"/>
      <w:r>
        <w:t>Subdivision 1 — Possession limits Statewide</w:t>
      </w:r>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p>
    <w:p>
      <w:pPr>
        <w:pStyle w:val="Footnoteheading"/>
        <w:tabs>
          <w:tab w:val="left" w:pos="851"/>
        </w:tabs>
      </w:pPr>
      <w:r>
        <w:tab/>
        <w:t>[Heading inserted in Gazette 1 Oct 2003 p. 4289.]</w:t>
      </w:r>
    </w:p>
    <w:p>
      <w:pPr>
        <w:pStyle w:val="Heading5"/>
        <w:rPr>
          <w:snapToGrid w:val="0"/>
        </w:rPr>
      </w:pPr>
      <w:bookmarkStart w:id="651" w:name="_Toc309309275"/>
      <w:r>
        <w:rPr>
          <w:rStyle w:val="CharSectno"/>
        </w:rPr>
        <w:t>16D</w:t>
      </w:r>
      <w:r>
        <w:rPr>
          <w:snapToGrid w:val="0"/>
        </w:rPr>
        <w:t>.</w:t>
      </w:r>
      <w:r>
        <w:rPr>
          <w:snapToGrid w:val="0"/>
        </w:rPr>
        <w:tab/>
        <w:t>Finfish, general possession limit of</w:t>
      </w:r>
      <w:bookmarkEnd w:id="651"/>
    </w:p>
    <w:p>
      <w:pPr>
        <w:pStyle w:val="Subsection"/>
      </w:pPr>
      <w:r>
        <w:tab/>
        <w:t>(1)</w:t>
      </w:r>
      <w:r>
        <w:tab/>
        <w:t>For the purposes of section 51(1) of the Act, the maximum quantity of finfish that a person may be in possession of in circumstances other than those to which regulation 16E(2) or (3) applies is —</w:t>
      </w:r>
    </w:p>
    <w:p>
      <w:pPr>
        <w:pStyle w:val="Indenta"/>
        <w:rPr>
          <w:snapToGrid w:val="0"/>
        </w:rPr>
      </w:pPr>
      <w:r>
        <w:rPr>
          <w:snapToGrid w:val="0"/>
        </w:rPr>
        <w:tab/>
        <w:t>(a)</w:t>
      </w:r>
      <w:r>
        <w:rPr>
          <w:snapToGrid w:val="0"/>
        </w:rPr>
        <w:tab/>
        <w:t>20 kg of fillets of fish; or</w:t>
      </w:r>
    </w:p>
    <w:p>
      <w:pPr>
        <w:pStyle w:val="Indenta"/>
        <w:rPr>
          <w:snapToGrid w:val="0"/>
        </w:rPr>
      </w:pPr>
      <w:r>
        <w:rPr>
          <w:snapToGrid w:val="0"/>
        </w:rPr>
        <w:tab/>
        <w:t>(b)</w:t>
      </w:r>
      <w:r>
        <w:rPr>
          <w:snapToGrid w:val="0"/>
        </w:rPr>
        <w:tab/>
        <w:t xml:space="preserve">10 kg of fillets of fish and one day’s bag limit of whole fish </w:t>
      </w:r>
      <w:r>
        <w:t>or fish trunks</w:t>
      </w:r>
      <w:r>
        <w:rPr>
          <w:snapToGrid w:val="0"/>
        </w:rPr>
        <w:t>; or</w:t>
      </w:r>
    </w:p>
    <w:p>
      <w:pPr>
        <w:pStyle w:val="Indenta"/>
        <w:rPr>
          <w:snapToGrid w:val="0"/>
        </w:rPr>
      </w:pPr>
      <w:r>
        <w:rPr>
          <w:snapToGrid w:val="0"/>
        </w:rPr>
        <w:tab/>
        <w:t>(c)</w:t>
      </w:r>
      <w:r>
        <w:rPr>
          <w:snapToGrid w:val="0"/>
        </w:rPr>
        <w:tab/>
        <w:t xml:space="preserve">2 days’ bag limit of whole fish </w:t>
      </w:r>
      <w:r>
        <w:t>or fish trunks</w:t>
      </w:r>
      <w:r>
        <w:rPr>
          <w:snapToGrid w:val="0"/>
        </w:rPr>
        <w:t>.</w:t>
      </w:r>
    </w:p>
    <w:p>
      <w:pPr>
        <w:pStyle w:val="Subsection"/>
        <w:rPr>
          <w:snapToGrid w:val="0"/>
        </w:rPr>
      </w:pPr>
      <w:r>
        <w:tab/>
        <w:t>(2)</w:t>
      </w:r>
      <w:r>
        <w:tab/>
        <w:t xml:space="preserve">This regulation is </w:t>
      </w:r>
      <w:r>
        <w:rPr>
          <w:snapToGrid w:val="0"/>
        </w:rPr>
        <w:t>subject to regulations</w:t>
      </w:r>
      <w:r>
        <w:t xml:space="preserve"> </w:t>
      </w:r>
      <w:r>
        <w:rPr>
          <w:snapToGrid w:val="0"/>
        </w:rPr>
        <w:t>16H, 16I, 16J and 16M.</w:t>
      </w:r>
    </w:p>
    <w:p>
      <w:pPr>
        <w:pStyle w:val="Footnotesection"/>
        <w:ind w:left="890" w:hanging="890"/>
      </w:pPr>
      <w:r>
        <w:tab/>
        <w:t>[Regulation 16D inserted in Gazette 1 Oct 2003 p. 4289</w:t>
      </w:r>
      <w:r>
        <w:noBreakHyphen/>
        <w:t>90; amended in Gazette 4 Nov 2005 p. 5306; 29 May 2008 p. 2055</w:t>
      </w:r>
      <w:r>
        <w:noBreakHyphen/>
        <w:t>6.]</w:t>
      </w:r>
    </w:p>
    <w:p>
      <w:pPr>
        <w:pStyle w:val="Heading5"/>
        <w:spacing w:before="180"/>
        <w:rPr>
          <w:snapToGrid w:val="0"/>
        </w:rPr>
      </w:pPr>
      <w:bookmarkStart w:id="652" w:name="_Toc309309276"/>
      <w:r>
        <w:rPr>
          <w:rStyle w:val="CharSectno"/>
        </w:rPr>
        <w:t>16E</w:t>
      </w:r>
      <w:r>
        <w:t>.</w:t>
      </w:r>
      <w:r>
        <w:tab/>
        <w:t>Fish on boats</w:t>
      </w:r>
      <w:bookmarkEnd w:id="652"/>
    </w:p>
    <w:p>
      <w:pPr>
        <w:pStyle w:val="Subsection"/>
        <w:keepNext/>
        <w:keepLines/>
        <w:spacing w:before="120"/>
      </w:pPr>
      <w:r>
        <w:tab/>
        <w:t>(1)</w:t>
      </w:r>
      <w:r>
        <w:tab/>
        <w:t>In this regulation —</w:t>
      </w:r>
    </w:p>
    <w:p>
      <w:pPr>
        <w:pStyle w:val="Defstart"/>
        <w:spacing w:before="120"/>
      </w:pPr>
      <w:r>
        <w:tab/>
      </w:r>
      <w:r>
        <w:rPr>
          <w:rStyle w:val="CharDefText"/>
        </w:rPr>
        <w:t>charter boat</w:t>
      </w:r>
      <w:r>
        <w:t xml:space="preserve"> means a boat that is used to conduct a fishing tour for a commercial purpose in accordance with a fishing tour operator’s licence or a restricted fishing tour operator’s licence;</w:t>
      </w:r>
    </w:p>
    <w:p>
      <w:pPr>
        <w:pStyle w:val="Defstart"/>
        <w:spacing w:before="120"/>
      </w:pPr>
      <w:r>
        <w:rPr>
          <w:b/>
        </w:rPr>
        <w:tab/>
      </w:r>
      <w:r>
        <w:rPr>
          <w:rStyle w:val="CharDefText"/>
        </w:rPr>
        <w:t>day trip</w:t>
      </w:r>
      <w:r>
        <w:t xml:space="preserve"> means a voyage undertaken by a person on a boat, except a voyage which —</w:t>
      </w:r>
    </w:p>
    <w:p>
      <w:pPr>
        <w:pStyle w:val="Defpara"/>
        <w:spacing w:before="120"/>
      </w:pPr>
      <w:r>
        <w:tab/>
        <w:t>(a)</w:t>
      </w:r>
      <w:r>
        <w:tab/>
        <w:t>has taken place over more than one day; or</w:t>
      </w:r>
    </w:p>
    <w:p>
      <w:pPr>
        <w:pStyle w:val="Defpara"/>
        <w:spacing w:before="120"/>
      </w:pPr>
      <w:r>
        <w:tab/>
        <w:t>(b)</w:t>
      </w:r>
      <w:r>
        <w:tab/>
        <w:t>follows a lawful overnight stay on an island by the person and ends on the mainland;</w:t>
      </w:r>
    </w:p>
    <w:p>
      <w:pPr>
        <w:pStyle w:val="Defstart"/>
        <w:spacing w:before="120"/>
      </w:pPr>
      <w:r>
        <w:rPr>
          <w:b/>
        </w:rPr>
        <w:tab/>
      </w:r>
      <w:r>
        <w:rPr>
          <w:rStyle w:val="CharDefText"/>
        </w:rPr>
        <w:t>single</w:t>
      </w:r>
      <w:r>
        <w:rPr>
          <w:rStyle w:val="CharDefText"/>
        </w:rPr>
        <w:noBreakHyphen/>
        <w:t>sided fillet</w:t>
      </w:r>
      <w:r>
        <w:t xml:space="preserve"> means a fillet that is taken from one side only of a fish.</w:t>
      </w:r>
    </w:p>
    <w:p>
      <w:pPr>
        <w:pStyle w:val="Subsection"/>
      </w:pPr>
      <w:r>
        <w:tab/>
        <w:t>(2)</w:t>
      </w:r>
      <w:r>
        <w:tab/>
        <w:t>For the purposes of section 51(1) of the Act, the maximum quantity of finfish that a person on a boat may be in possession of where the person is on, or has just completed, a day trip is —</w:t>
      </w:r>
    </w:p>
    <w:p>
      <w:pPr>
        <w:pStyle w:val="Indenta"/>
        <w:spacing w:before="120"/>
      </w:pPr>
      <w:r>
        <w:tab/>
        <w:t>(a)</w:t>
      </w:r>
      <w:r>
        <w:tab/>
        <w:t>where all of the fish is filleted, 20 kg of fillets of fish; or</w:t>
      </w:r>
    </w:p>
    <w:p>
      <w:pPr>
        <w:pStyle w:val="Indenta"/>
        <w:spacing w:before="120"/>
      </w:pPr>
      <w:r>
        <w:tab/>
        <w:t>(b)</w:t>
      </w:r>
      <w:r>
        <w:tab/>
        <w:t>where not all of the fish is filleted, one day’s bag limit of whole fish or fish trunk, not more than 10 kg of which is filleted.</w:t>
      </w:r>
    </w:p>
    <w:p>
      <w:pPr>
        <w:pStyle w:val="Subsection"/>
      </w:pPr>
      <w:r>
        <w:tab/>
        <w:t>(3)</w:t>
      </w:r>
      <w:r>
        <w:tab/>
        <w:t>For the purposes of section 51(1) of the Act, the maximum quantity of finfish that the master of a boat may be in possession of on the boat where the master is on, or has just completed, a day trip is —</w:t>
      </w:r>
    </w:p>
    <w:p>
      <w:pPr>
        <w:pStyle w:val="Indenta"/>
      </w:pPr>
      <w:r>
        <w:tab/>
        <w:t>(a)</w:t>
      </w:r>
      <w:r>
        <w:tab/>
        <w:t>where all of the fish is filleted, 20 kg of fillets of fish; or</w:t>
      </w:r>
    </w:p>
    <w:p>
      <w:pPr>
        <w:pStyle w:val="Indenta"/>
      </w:pPr>
      <w:r>
        <w:tab/>
        <w:t>(b)</w:t>
      </w:r>
      <w:r>
        <w:tab/>
        <w:t>where not all of the fish is filleted, one day’s bag limit of whole fish or fish trunks, not more than 10 kg of which is filleted.</w:t>
      </w:r>
    </w:p>
    <w:p>
      <w:pPr>
        <w:pStyle w:val="Subsection"/>
      </w:pPr>
      <w:r>
        <w:tab/>
        <w:t>(3A)</w:t>
      </w:r>
      <w:r>
        <w:tab/>
        <w:t>For the purposes of section 51(1) of the Act, the maximum quantity of fish of the species referred to in this subregulation that a person on a boat may be in possession of, whether the fish is on or attached to the boat or any tender or other vessel operating with or attached to the boat, is —</w:t>
      </w:r>
    </w:p>
    <w:p>
      <w:pPr>
        <w:pStyle w:val="Indenta"/>
      </w:pPr>
      <w:r>
        <w:tab/>
        <w:t>(a)</w:t>
      </w:r>
      <w:r>
        <w:tab/>
        <w:t>if there is only one person on the boat —</w:t>
      </w:r>
    </w:p>
    <w:p>
      <w:pPr>
        <w:pStyle w:val="Indenti"/>
        <w:rPr>
          <w:snapToGrid w:val="0"/>
        </w:rPr>
      </w:pPr>
      <w:r>
        <w:tab/>
        <w:t>(i)</w:t>
      </w:r>
      <w:r>
        <w:tab/>
      </w:r>
      <w:r>
        <w:rPr>
          <w:snapToGrid w:val="0"/>
        </w:rPr>
        <w:t>one day’s bag limit of blue manna crabs; and</w:t>
      </w:r>
    </w:p>
    <w:p>
      <w:pPr>
        <w:pStyle w:val="Indenti"/>
      </w:pPr>
      <w:r>
        <w:rPr>
          <w:snapToGrid w:val="0"/>
        </w:rPr>
        <w:tab/>
        <w:t>(ii)</w:t>
      </w:r>
      <w:r>
        <w:rPr>
          <w:snapToGrid w:val="0"/>
        </w:rPr>
        <w:tab/>
        <w:t xml:space="preserve">one day’s bag limit </w:t>
      </w:r>
      <w:r>
        <w:t>of brown mud and green mud crabs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pPr>
      <w:r>
        <w:tab/>
        <w:t>(b)</w:t>
      </w:r>
      <w:r>
        <w:tab/>
        <w:t>if there are 2 or more persons on the boat —</w:t>
      </w:r>
    </w:p>
    <w:p>
      <w:pPr>
        <w:pStyle w:val="Indenti"/>
        <w:rPr>
          <w:snapToGrid w:val="0"/>
        </w:rPr>
      </w:pPr>
      <w:r>
        <w:tab/>
        <w:t>(i)</w:t>
      </w:r>
      <w:r>
        <w:tab/>
        <w:t>2 days’</w:t>
      </w:r>
      <w:r>
        <w:rPr>
          <w:snapToGrid w:val="0"/>
        </w:rPr>
        <w:t xml:space="preserve"> bag limit of blue manna crabs; and</w:t>
      </w:r>
    </w:p>
    <w:p>
      <w:pPr>
        <w:pStyle w:val="Indenti"/>
      </w:pPr>
      <w:r>
        <w:rPr>
          <w:snapToGrid w:val="0"/>
        </w:rPr>
        <w:tab/>
        <w:t>(ii)</w:t>
      </w:r>
      <w:r>
        <w:rPr>
          <w:snapToGrid w:val="0"/>
        </w:rPr>
        <w:tab/>
      </w:r>
      <w:r>
        <w:t>2 days’</w:t>
      </w:r>
      <w:r>
        <w:rPr>
          <w:snapToGrid w:val="0"/>
        </w:rPr>
        <w:t xml:space="preserve"> bag limit </w:t>
      </w:r>
      <w:r>
        <w:t>of brown mud and green mud crabs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rPr>
          <w:snapToGrid w:val="0"/>
        </w:rPr>
        <w:tab/>
        <w:t>(iv)</w:t>
      </w:r>
      <w:r>
        <w:rPr>
          <w:snapToGrid w:val="0"/>
        </w:rPr>
        <w:tab/>
      </w:r>
      <w:r>
        <w:t>2 days’</w:t>
      </w:r>
      <w:r>
        <w:rPr>
          <w:snapToGrid w:val="0"/>
        </w:rPr>
        <w:t xml:space="preserve"> bag limit of rock lobster; and</w:t>
      </w:r>
    </w:p>
    <w:p>
      <w:pPr>
        <w:pStyle w:val="Indenti"/>
        <w:rPr>
          <w:snapToGrid w:val="0"/>
        </w:rPr>
      </w:pPr>
      <w:r>
        <w:rPr>
          <w:snapToGrid w:val="0"/>
        </w:rPr>
        <w:tab/>
        <w:t>(v)</w:t>
      </w:r>
      <w:r>
        <w:rPr>
          <w:snapToGrid w:val="0"/>
        </w:rPr>
        <w:tab/>
      </w:r>
      <w:r>
        <w:t>2 days’</w:t>
      </w:r>
      <w:r>
        <w:rPr>
          <w:snapToGrid w:val="0"/>
        </w:rPr>
        <w:t xml:space="preserve"> bag limit of brownlip and greenlip abalone </w:t>
      </w:r>
      <w:r>
        <w:t>(combined)</w:t>
      </w:r>
      <w:r>
        <w:rPr>
          <w:snapToGrid w:val="0"/>
        </w:rPr>
        <w:t>.</w:t>
      </w:r>
    </w:p>
    <w:p>
      <w:pPr>
        <w:pStyle w:val="Subsection"/>
      </w:pPr>
      <w:r>
        <w:tab/>
        <w:t>(3B)</w:t>
      </w:r>
      <w:r>
        <w:tab/>
        <w:t>For the purposes of section 51(1) of the Act, the maximum quantity of fish of the species referred to in this subregulation that the master of a boat may be in possession of on the boat, whether the fish is on or attached to the boat or any tender or other vessel operating with or attached to the boat, is —</w:t>
      </w:r>
    </w:p>
    <w:p>
      <w:pPr>
        <w:pStyle w:val="Indenta"/>
      </w:pPr>
      <w:r>
        <w:tab/>
        <w:t>(a)</w:t>
      </w:r>
      <w:r>
        <w:tab/>
        <w:t>if there is only one person on the boat —</w:t>
      </w:r>
    </w:p>
    <w:p>
      <w:pPr>
        <w:pStyle w:val="Indenti"/>
        <w:rPr>
          <w:snapToGrid w:val="0"/>
        </w:rPr>
      </w:pPr>
      <w:r>
        <w:tab/>
        <w:t>(i)</w:t>
      </w:r>
      <w:r>
        <w:tab/>
      </w:r>
      <w:r>
        <w:rPr>
          <w:snapToGrid w:val="0"/>
        </w:rPr>
        <w:t>one day’s bag limit of blue manna crabs; and</w:t>
      </w:r>
    </w:p>
    <w:p>
      <w:pPr>
        <w:pStyle w:val="Indenti"/>
      </w:pPr>
      <w:r>
        <w:rPr>
          <w:snapToGrid w:val="0"/>
        </w:rPr>
        <w:tab/>
        <w:t>(ii)</w:t>
      </w:r>
      <w:r>
        <w:rPr>
          <w:snapToGrid w:val="0"/>
        </w:rPr>
        <w:tab/>
        <w:t xml:space="preserve">one day’s bag limit </w:t>
      </w:r>
      <w:r>
        <w:t>of brown mud and green mud crabs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pPr>
      <w:r>
        <w:tab/>
        <w:t>(b)</w:t>
      </w:r>
      <w:r>
        <w:tab/>
        <w:t>if there are 2 or more persons on the boat —</w:t>
      </w:r>
    </w:p>
    <w:p>
      <w:pPr>
        <w:pStyle w:val="Indenti"/>
        <w:rPr>
          <w:snapToGrid w:val="0"/>
        </w:rPr>
      </w:pPr>
      <w:r>
        <w:tab/>
        <w:t>(i)</w:t>
      </w:r>
      <w:r>
        <w:tab/>
        <w:t>2 days’</w:t>
      </w:r>
      <w:r>
        <w:rPr>
          <w:snapToGrid w:val="0"/>
        </w:rPr>
        <w:t xml:space="preserve"> bag limit of blue manna crabs; and</w:t>
      </w:r>
    </w:p>
    <w:p>
      <w:pPr>
        <w:pStyle w:val="Indenti"/>
      </w:pPr>
      <w:r>
        <w:rPr>
          <w:snapToGrid w:val="0"/>
        </w:rPr>
        <w:tab/>
        <w:t>(ii)</w:t>
      </w:r>
      <w:r>
        <w:rPr>
          <w:snapToGrid w:val="0"/>
        </w:rPr>
        <w:tab/>
      </w:r>
      <w:r>
        <w:t>2 days’</w:t>
      </w:r>
      <w:r>
        <w:rPr>
          <w:snapToGrid w:val="0"/>
        </w:rPr>
        <w:t xml:space="preserve"> bag limit </w:t>
      </w:r>
      <w:r>
        <w:t>of brown mud and green mud crabs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rPr>
          <w:snapToGrid w:val="0"/>
        </w:rPr>
        <w:tab/>
        <w:t>(iv)</w:t>
      </w:r>
      <w:r>
        <w:rPr>
          <w:snapToGrid w:val="0"/>
        </w:rPr>
        <w:tab/>
      </w:r>
      <w:r>
        <w:t>2 days’</w:t>
      </w:r>
      <w:r>
        <w:rPr>
          <w:snapToGrid w:val="0"/>
        </w:rPr>
        <w:t xml:space="preserve"> bag limit of rock lobster; and</w:t>
      </w:r>
    </w:p>
    <w:p>
      <w:pPr>
        <w:pStyle w:val="Indenti"/>
        <w:rPr>
          <w:snapToGrid w:val="0"/>
        </w:rPr>
      </w:pPr>
      <w:r>
        <w:rPr>
          <w:snapToGrid w:val="0"/>
        </w:rPr>
        <w:tab/>
        <w:t>(v)</w:t>
      </w:r>
      <w:r>
        <w:rPr>
          <w:snapToGrid w:val="0"/>
        </w:rPr>
        <w:tab/>
      </w:r>
      <w:r>
        <w:t>2 days’</w:t>
      </w:r>
      <w:r>
        <w:rPr>
          <w:snapToGrid w:val="0"/>
        </w:rPr>
        <w:t xml:space="preserve"> bag limit of brownlip and greenlip abalone </w:t>
      </w:r>
      <w:r>
        <w:t>(combined)</w:t>
      </w:r>
      <w:r>
        <w:rPr>
          <w:snapToGrid w:val="0"/>
        </w:rPr>
        <w:t>.</w:t>
      </w:r>
    </w:p>
    <w:p>
      <w:pPr>
        <w:pStyle w:val="Subsection"/>
      </w:pPr>
      <w:r>
        <w:tab/>
        <w:t>(3C)</w:t>
      </w:r>
      <w:r>
        <w:tab/>
        <w:t>Despite subregulations (3A) and (3B), the master of a boat that is not a fishing boat must ensure that the quantity of fish of the species referred to in this subregulation that is on or attached to the boat and any tender or other vessel operating with or attached to the boat is not more than —</w:t>
      </w:r>
    </w:p>
    <w:p>
      <w:pPr>
        <w:pStyle w:val="Indenta"/>
      </w:pPr>
      <w:r>
        <w:tab/>
        <w:t>(a)</w:t>
      </w:r>
      <w:r>
        <w:tab/>
        <w:t>if there is only one person on the boat —</w:t>
      </w:r>
    </w:p>
    <w:p>
      <w:pPr>
        <w:pStyle w:val="Indenti"/>
        <w:rPr>
          <w:snapToGrid w:val="0"/>
        </w:rPr>
      </w:pPr>
      <w:r>
        <w:tab/>
        <w:t>(i)</w:t>
      </w:r>
      <w:r>
        <w:tab/>
      </w:r>
      <w:r>
        <w:rPr>
          <w:snapToGrid w:val="0"/>
        </w:rPr>
        <w:t>one day’s bag limit of blue manna crabs; and</w:t>
      </w:r>
    </w:p>
    <w:p>
      <w:pPr>
        <w:pStyle w:val="Indenti"/>
      </w:pPr>
      <w:r>
        <w:rPr>
          <w:snapToGrid w:val="0"/>
        </w:rPr>
        <w:tab/>
        <w:t>(ii)</w:t>
      </w:r>
      <w:r>
        <w:rPr>
          <w:snapToGrid w:val="0"/>
        </w:rPr>
        <w:tab/>
        <w:t xml:space="preserve">one day’s bag limit </w:t>
      </w:r>
      <w:r>
        <w:t>of brown mud and green mud crabs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pPr>
      <w:r>
        <w:tab/>
        <w:t>(b)</w:t>
      </w:r>
      <w:r>
        <w:tab/>
        <w:t>if there are 2 or more persons on the boat —</w:t>
      </w:r>
    </w:p>
    <w:p>
      <w:pPr>
        <w:pStyle w:val="Indenti"/>
        <w:rPr>
          <w:snapToGrid w:val="0"/>
        </w:rPr>
      </w:pPr>
      <w:r>
        <w:tab/>
        <w:t>(i)</w:t>
      </w:r>
      <w:r>
        <w:tab/>
        <w:t>2 days’</w:t>
      </w:r>
      <w:r>
        <w:rPr>
          <w:snapToGrid w:val="0"/>
        </w:rPr>
        <w:t xml:space="preserve"> bag limit of blue manna crabs; and</w:t>
      </w:r>
    </w:p>
    <w:p>
      <w:pPr>
        <w:pStyle w:val="Indenti"/>
      </w:pPr>
      <w:r>
        <w:rPr>
          <w:snapToGrid w:val="0"/>
        </w:rPr>
        <w:tab/>
        <w:t>(ii)</w:t>
      </w:r>
      <w:r>
        <w:rPr>
          <w:snapToGrid w:val="0"/>
        </w:rPr>
        <w:tab/>
      </w:r>
      <w:r>
        <w:t>2 days’</w:t>
      </w:r>
      <w:r>
        <w:rPr>
          <w:snapToGrid w:val="0"/>
        </w:rPr>
        <w:t xml:space="preserve"> bag limit </w:t>
      </w:r>
      <w:r>
        <w:t>of brown mud and green mud crabs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rPr>
          <w:snapToGrid w:val="0"/>
        </w:rPr>
        <w:tab/>
        <w:t>(iv)</w:t>
      </w:r>
      <w:r>
        <w:rPr>
          <w:snapToGrid w:val="0"/>
        </w:rPr>
        <w:tab/>
      </w:r>
      <w:r>
        <w:t>2 days’</w:t>
      </w:r>
      <w:r>
        <w:rPr>
          <w:snapToGrid w:val="0"/>
        </w:rPr>
        <w:t xml:space="preserve"> bag limit of rock lobster; and</w:t>
      </w:r>
    </w:p>
    <w:p>
      <w:pPr>
        <w:pStyle w:val="Indenti"/>
        <w:rPr>
          <w:snapToGrid w:val="0"/>
        </w:rPr>
      </w:pPr>
      <w:r>
        <w:rPr>
          <w:snapToGrid w:val="0"/>
        </w:rPr>
        <w:tab/>
        <w:t>(v)</w:t>
      </w:r>
      <w:r>
        <w:rPr>
          <w:snapToGrid w:val="0"/>
        </w:rPr>
        <w:tab/>
      </w:r>
      <w:r>
        <w:t>2 days’</w:t>
      </w:r>
      <w:r>
        <w:rPr>
          <w:snapToGrid w:val="0"/>
        </w:rPr>
        <w:t xml:space="preserve"> bag limit of brownlip and greenlip abalone </w:t>
      </w:r>
      <w:r>
        <w:t>(combined)</w:t>
      </w:r>
      <w:r>
        <w:rPr>
          <w:snapToGrid w:val="0"/>
        </w:rPr>
        <w:t>.</w:t>
      </w:r>
    </w:p>
    <w:p>
      <w:pPr>
        <w:pStyle w:val="Penstart"/>
      </w:pPr>
      <w:r>
        <w:tab/>
        <w:t>Penalty: a fine of $10 000 and the penalty provided in section 222 of the Act.</w:t>
      </w:r>
    </w:p>
    <w:p>
      <w:pPr>
        <w:pStyle w:val="Subsection"/>
      </w:pPr>
      <w:r>
        <w:tab/>
        <w:t>(3D)</w:t>
      </w:r>
      <w:r>
        <w:tab/>
        <w:t>Subregulations (3A)(a)(ii) and (b)(ii), (3B)(a)(ii) and (b)(ii) and (3C)(a)(ii) and (b)(ii) are subject to regulation 17A.</w:t>
      </w:r>
    </w:p>
    <w:p>
      <w:pPr>
        <w:pStyle w:val="Subsection"/>
      </w:pPr>
      <w:r>
        <w:tab/>
        <w:t>(3E)</w:t>
      </w:r>
      <w:r>
        <w:tab/>
        <w:t>The master of a boat, other than a fishing boat, being used for taking fish in the West Coast Region must ensure that the number of West Australian dhufish on, or attached to, the boat, and any tender or other vessel operating with or attached to the boat, at any one time —</w:t>
      </w:r>
    </w:p>
    <w:p>
      <w:pPr>
        <w:pStyle w:val="Indenta"/>
      </w:pPr>
      <w:r>
        <w:tab/>
        <w:t>(a)</w:t>
      </w:r>
      <w:r>
        <w:tab/>
        <w:t>if the boat is a charter boat — is not more than 6; or</w:t>
      </w:r>
    </w:p>
    <w:p>
      <w:pPr>
        <w:pStyle w:val="Indenta"/>
      </w:pPr>
      <w:r>
        <w:tab/>
        <w:t>(b)</w:t>
      </w:r>
      <w:r>
        <w:tab/>
        <w:t>if the boat is other than a charter boat — is not more than 2.</w:t>
      </w:r>
    </w:p>
    <w:p>
      <w:pPr>
        <w:pStyle w:val="Penstart"/>
      </w:pPr>
      <w:r>
        <w:tab/>
        <w:t>Penalty: a fine of $10 000 and the penalty provided in section 222 of the Act.</w:t>
      </w:r>
    </w:p>
    <w:p>
      <w:pPr>
        <w:pStyle w:val="Subsection"/>
        <w:spacing w:before="180"/>
        <w:rPr>
          <w:snapToGrid w:val="0"/>
        </w:rPr>
      </w:pPr>
      <w:r>
        <w:rPr>
          <w:snapToGrid w:val="0"/>
        </w:rPr>
        <w:tab/>
        <w:t>(4)</w:t>
      </w:r>
      <w:r>
        <w:rPr>
          <w:snapToGrid w:val="0"/>
        </w:rPr>
        <w:tab/>
        <w:t xml:space="preserve">In any proceedings for an offence under section 51(2) of the Act in the circumstances referred to in </w:t>
      </w:r>
      <w:r>
        <w:t xml:space="preserve">subregulations (3a) or (3b) </w:t>
      </w:r>
      <w:r>
        <w:rPr>
          <w:snapToGrid w:val="0"/>
        </w:rPr>
        <w:t>it is a defence for the person charged to prove that the person was the master of a commercial passenger boat not used for fishing.</w:t>
      </w:r>
    </w:p>
    <w:p>
      <w:pPr>
        <w:pStyle w:val="Subsection"/>
      </w:pPr>
      <w:r>
        <w:tab/>
        <w:t>(5)</w:t>
      </w:r>
      <w:r>
        <w:tab/>
        <w:t>For the purpose of —</w:t>
      </w:r>
    </w:p>
    <w:p>
      <w:pPr>
        <w:pStyle w:val="Indenta"/>
      </w:pPr>
      <w:r>
        <w:tab/>
        <w:t>(a)</w:t>
      </w:r>
      <w:r>
        <w:tab/>
        <w:t>subregulations (3) and (3b), fish on a boat that are not in the possession of any other person on the boat are to be taken to be in the possession of the master of the boat; and</w:t>
      </w:r>
    </w:p>
    <w:p>
      <w:pPr>
        <w:pStyle w:val="Indenta"/>
        <w:keepLines/>
      </w:pPr>
      <w:r>
        <w:tab/>
        <w:t>(b)</w:t>
      </w:r>
      <w:r>
        <w:tab/>
        <w:t>determining the number of fish in a person’s possession under subregulation (2)(b) or (3)(b) 2 single</w:t>
      </w:r>
      <w:r>
        <w:noBreakHyphen/>
        <w:t>sided fillets of finfish are to be taken to be equivalent to one whole fish.</w:t>
      </w:r>
    </w:p>
    <w:p>
      <w:pPr>
        <w:pStyle w:val="Footnotesection"/>
        <w:keepLines w:val="0"/>
        <w:spacing w:before="80"/>
        <w:ind w:left="890" w:hanging="890"/>
      </w:pPr>
      <w:r>
        <w:tab/>
        <w:t>[Regulation 16E inserted in Gazette 1 Oct 2003 p. 4290; amended in Gazette 4 Nov 2005 p. 5306</w:t>
      </w:r>
      <w:r>
        <w:noBreakHyphen/>
        <w:t>8; 11 Nov 2005 p. 5565</w:t>
      </w:r>
      <w:r>
        <w:noBreakHyphen/>
        <w:t>6; 22 Dec 2005 p. 6218</w:t>
      </w:r>
      <w:r>
        <w:noBreakHyphen/>
        <w:t>19; 19 Dec 2008 p. 5361</w:t>
      </w:r>
      <w:r>
        <w:noBreakHyphen/>
        <w:t>2; 8 Dec 2009 p. 4994; 1 Mar 2011 p. 668</w:t>
      </w:r>
      <w:r>
        <w:noBreakHyphen/>
        <w:t>70.]</w:t>
      </w:r>
    </w:p>
    <w:p>
      <w:pPr>
        <w:pStyle w:val="Heading4"/>
        <w:keepLines/>
      </w:pPr>
      <w:bookmarkStart w:id="653" w:name="_Toc189987851"/>
      <w:bookmarkStart w:id="654" w:name="_Toc192041434"/>
      <w:bookmarkStart w:id="655" w:name="_Toc199570668"/>
      <w:bookmarkStart w:id="656" w:name="_Toc199738664"/>
      <w:bookmarkStart w:id="657" w:name="_Toc199814766"/>
      <w:bookmarkStart w:id="658" w:name="_Toc215040572"/>
      <w:bookmarkStart w:id="659" w:name="_Toc215041017"/>
      <w:bookmarkStart w:id="660" w:name="_Toc222129226"/>
      <w:bookmarkStart w:id="661" w:name="_Toc222222931"/>
      <w:bookmarkStart w:id="662" w:name="_Toc225914183"/>
      <w:bookmarkStart w:id="663" w:name="_Toc231282228"/>
      <w:bookmarkStart w:id="664" w:name="_Toc231282672"/>
      <w:bookmarkStart w:id="665" w:name="_Toc234899259"/>
      <w:bookmarkStart w:id="666" w:name="_Toc236632541"/>
      <w:bookmarkStart w:id="667" w:name="_Toc236720154"/>
      <w:bookmarkStart w:id="668" w:name="_Toc237764353"/>
      <w:bookmarkStart w:id="669" w:name="_Toc238355977"/>
      <w:bookmarkStart w:id="670" w:name="_Toc238368682"/>
      <w:bookmarkStart w:id="671" w:name="_Toc238375635"/>
      <w:bookmarkStart w:id="672" w:name="_Toc240338959"/>
      <w:bookmarkStart w:id="673" w:name="_Toc241993465"/>
      <w:bookmarkStart w:id="674" w:name="_Toc243192608"/>
      <w:bookmarkStart w:id="675" w:name="_Toc243295309"/>
      <w:bookmarkStart w:id="676" w:name="_Toc245112882"/>
      <w:bookmarkStart w:id="677" w:name="_Toc245198044"/>
      <w:bookmarkStart w:id="678" w:name="_Toc245198493"/>
      <w:bookmarkStart w:id="679" w:name="_Toc245198942"/>
      <w:bookmarkStart w:id="680" w:name="_Toc248121972"/>
      <w:bookmarkStart w:id="681" w:name="_Toc248122423"/>
      <w:bookmarkStart w:id="682" w:name="_Toc253670410"/>
      <w:bookmarkStart w:id="683" w:name="_Toc253670860"/>
      <w:bookmarkStart w:id="684" w:name="_Toc254942630"/>
      <w:bookmarkStart w:id="685" w:name="_Toc254943083"/>
      <w:bookmarkStart w:id="686" w:name="_Toc255475675"/>
      <w:bookmarkStart w:id="687" w:name="_Toc256431996"/>
      <w:bookmarkStart w:id="688" w:name="_Toc257720333"/>
      <w:bookmarkStart w:id="689" w:name="_Toc257722015"/>
      <w:bookmarkStart w:id="690" w:name="_Toc258335691"/>
      <w:bookmarkStart w:id="691" w:name="_Toc260406133"/>
      <w:bookmarkStart w:id="692" w:name="_Toc261271319"/>
      <w:bookmarkStart w:id="693" w:name="_Toc262808001"/>
      <w:bookmarkStart w:id="694" w:name="_Toc267572394"/>
      <w:bookmarkStart w:id="695" w:name="_Toc270684145"/>
      <w:bookmarkStart w:id="696" w:name="_Toc274214322"/>
      <w:bookmarkStart w:id="697" w:name="_Toc274214771"/>
      <w:bookmarkStart w:id="698" w:name="_Toc278976102"/>
      <w:bookmarkStart w:id="699" w:name="_Toc286760425"/>
      <w:bookmarkStart w:id="700" w:name="_Toc289080770"/>
      <w:bookmarkStart w:id="701" w:name="_Toc290283964"/>
      <w:bookmarkStart w:id="702" w:name="_Toc290642785"/>
      <w:bookmarkStart w:id="703" w:name="_Toc290643234"/>
      <w:bookmarkStart w:id="704" w:name="_Toc290643687"/>
      <w:bookmarkStart w:id="705" w:name="_Toc294701504"/>
      <w:bookmarkStart w:id="706" w:name="_Toc295199912"/>
      <w:bookmarkStart w:id="707" w:name="_Toc296954353"/>
      <w:bookmarkStart w:id="708" w:name="_Toc297275985"/>
      <w:bookmarkStart w:id="709" w:name="_Toc297276437"/>
      <w:bookmarkStart w:id="710" w:name="_Toc297276887"/>
      <w:bookmarkStart w:id="711" w:name="_Toc297726256"/>
      <w:bookmarkStart w:id="712" w:name="_Toc299980040"/>
      <w:bookmarkStart w:id="713" w:name="_Toc300234666"/>
      <w:bookmarkStart w:id="714" w:name="_Toc301961169"/>
      <w:bookmarkStart w:id="715" w:name="_Toc301966739"/>
      <w:bookmarkStart w:id="716" w:name="_Toc303252948"/>
      <w:bookmarkStart w:id="717" w:name="_Toc303257112"/>
      <w:bookmarkStart w:id="718" w:name="_Toc307992747"/>
      <w:bookmarkStart w:id="719" w:name="_Toc309029777"/>
      <w:bookmarkStart w:id="720" w:name="_Toc309304000"/>
      <w:bookmarkStart w:id="721" w:name="_Toc309304453"/>
      <w:bookmarkStart w:id="722" w:name="_Toc309309277"/>
      <w:r>
        <w:t>Subdivision 2 — Possession limits for regions</w:t>
      </w:r>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p>
    <w:p>
      <w:pPr>
        <w:pStyle w:val="Footnoteheading"/>
        <w:keepNext/>
        <w:keepLines/>
        <w:tabs>
          <w:tab w:val="left" w:pos="851"/>
        </w:tabs>
      </w:pPr>
      <w:r>
        <w:tab/>
        <w:t>[Heading inserted in Gazette 1 Oct 2003 p. 4291.]</w:t>
      </w:r>
    </w:p>
    <w:p>
      <w:pPr>
        <w:pStyle w:val="Heading5"/>
        <w:spacing w:before="240"/>
      </w:pPr>
      <w:bookmarkStart w:id="723" w:name="_Toc309309278"/>
      <w:r>
        <w:rPr>
          <w:rStyle w:val="CharSectno"/>
        </w:rPr>
        <w:t>16FA</w:t>
      </w:r>
      <w:r>
        <w:t>.</w:t>
      </w:r>
      <w:r>
        <w:tab/>
        <w:t>Western rock lobster in West Coast Region</w:t>
      </w:r>
      <w:bookmarkEnd w:id="723"/>
    </w:p>
    <w:p>
      <w:pPr>
        <w:pStyle w:val="Subsection"/>
      </w:pPr>
      <w:r>
        <w:tab/>
      </w:r>
      <w:r>
        <w:tab/>
        <w:t>Subject to regulation 16E(3A)(a)(iv) and (b)(iv), (3B)(a)(iv) and (b)(iv) and (3C)(a)(iv) and (b)(iv), for the purposes of section 51(1) of the Act, the maximum quantity of western rock lobster that a person may be in possession of in the West Coast Region is 24 western rock lobsters.</w:t>
      </w:r>
    </w:p>
    <w:p>
      <w:pPr>
        <w:pStyle w:val="Footnotesection"/>
      </w:pPr>
      <w:r>
        <w:tab/>
        <w:t>[Regulation 16FA inserted in Gazette 21 Nov 2008 p. 4926; amended in Gazette 1 Mar 2011 p. 670.]</w:t>
      </w:r>
    </w:p>
    <w:p>
      <w:pPr>
        <w:pStyle w:val="Heading5"/>
        <w:spacing w:before="180"/>
      </w:pPr>
      <w:bookmarkStart w:id="724" w:name="_Toc309309279"/>
      <w:r>
        <w:rPr>
          <w:rStyle w:val="CharSectno"/>
        </w:rPr>
        <w:t>16F</w:t>
      </w:r>
      <w:r>
        <w:t>.</w:t>
      </w:r>
      <w:r>
        <w:tab/>
        <w:t xml:space="preserve">Rock lobster in Pilbara and </w:t>
      </w:r>
      <w:smartTag w:uri="urn:schemas-microsoft-com:office:smarttags" w:element="place">
        <w:smartTag w:uri="urn:schemas-microsoft-com:office:smarttags" w:element="City">
          <w:r>
            <w:t>Kimberley</w:t>
          </w:r>
        </w:smartTag>
      </w:smartTag>
      <w:r>
        <w:t xml:space="preserve"> Region</w:t>
      </w:r>
      <w:bookmarkEnd w:id="724"/>
    </w:p>
    <w:p>
      <w:pPr>
        <w:pStyle w:val="Subsection"/>
      </w:pPr>
      <w:r>
        <w:tab/>
      </w:r>
      <w:r>
        <w:tab/>
        <w:t>For the purposes of section 51(1) of the Act, the maximum quantity of rock lobster that a person may be in possession of in the Pilbara and Kimberley Region, other than at the person’s principal place of residence, is 2 days’ bag limit of rock lobsters.</w:t>
      </w:r>
    </w:p>
    <w:p>
      <w:pPr>
        <w:pStyle w:val="Footnotesection"/>
      </w:pPr>
      <w:r>
        <w:tab/>
        <w:t>[Regulation 16F inserted in Gazette 22 Dec 2005 p. 6219; amended in Gazette 1 Mar 2011 p. 670.]</w:t>
      </w:r>
    </w:p>
    <w:p>
      <w:pPr>
        <w:pStyle w:val="Heading4"/>
      </w:pPr>
      <w:bookmarkStart w:id="725" w:name="_Toc189987853"/>
      <w:bookmarkStart w:id="726" w:name="_Toc192041436"/>
      <w:bookmarkStart w:id="727" w:name="_Toc199570670"/>
      <w:bookmarkStart w:id="728" w:name="_Toc199738666"/>
      <w:bookmarkStart w:id="729" w:name="_Toc199814768"/>
      <w:bookmarkStart w:id="730" w:name="_Toc215040575"/>
      <w:bookmarkStart w:id="731" w:name="_Toc215041020"/>
      <w:bookmarkStart w:id="732" w:name="_Toc222129229"/>
      <w:bookmarkStart w:id="733" w:name="_Toc222222934"/>
      <w:bookmarkStart w:id="734" w:name="_Toc225914186"/>
      <w:bookmarkStart w:id="735" w:name="_Toc231282231"/>
      <w:bookmarkStart w:id="736" w:name="_Toc231282675"/>
      <w:bookmarkStart w:id="737" w:name="_Toc234899262"/>
      <w:bookmarkStart w:id="738" w:name="_Toc236632544"/>
      <w:bookmarkStart w:id="739" w:name="_Toc236720157"/>
      <w:bookmarkStart w:id="740" w:name="_Toc237764356"/>
      <w:bookmarkStart w:id="741" w:name="_Toc238355980"/>
      <w:bookmarkStart w:id="742" w:name="_Toc238368685"/>
      <w:bookmarkStart w:id="743" w:name="_Toc238375638"/>
      <w:bookmarkStart w:id="744" w:name="_Toc240338962"/>
      <w:bookmarkStart w:id="745" w:name="_Toc241993468"/>
      <w:bookmarkStart w:id="746" w:name="_Toc243192611"/>
      <w:bookmarkStart w:id="747" w:name="_Toc243295312"/>
      <w:bookmarkStart w:id="748" w:name="_Toc245112885"/>
      <w:bookmarkStart w:id="749" w:name="_Toc245198047"/>
      <w:bookmarkStart w:id="750" w:name="_Toc245198496"/>
      <w:bookmarkStart w:id="751" w:name="_Toc245198945"/>
      <w:bookmarkStart w:id="752" w:name="_Toc248121975"/>
      <w:bookmarkStart w:id="753" w:name="_Toc248122426"/>
      <w:bookmarkStart w:id="754" w:name="_Toc253670413"/>
      <w:bookmarkStart w:id="755" w:name="_Toc253670863"/>
      <w:bookmarkStart w:id="756" w:name="_Toc254942633"/>
      <w:bookmarkStart w:id="757" w:name="_Toc254943086"/>
      <w:bookmarkStart w:id="758" w:name="_Toc255475678"/>
      <w:bookmarkStart w:id="759" w:name="_Toc256431999"/>
      <w:bookmarkStart w:id="760" w:name="_Toc257720336"/>
      <w:bookmarkStart w:id="761" w:name="_Toc257722018"/>
      <w:bookmarkStart w:id="762" w:name="_Toc258335694"/>
      <w:bookmarkStart w:id="763" w:name="_Toc260406136"/>
      <w:bookmarkStart w:id="764" w:name="_Toc261271322"/>
      <w:bookmarkStart w:id="765" w:name="_Toc262808004"/>
      <w:bookmarkStart w:id="766" w:name="_Toc267572397"/>
      <w:bookmarkStart w:id="767" w:name="_Toc270684148"/>
      <w:bookmarkStart w:id="768" w:name="_Toc274214325"/>
      <w:bookmarkStart w:id="769" w:name="_Toc274214774"/>
      <w:bookmarkStart w:id="770" w:name="_Toc278976105"/>
      <w:bookmarkStart w:id="771" w:name="_Toc286760428"/>
      <w:bookmarkStart w:id="772" w:name="_Toc289080773"/>
      <w:bookmarkStart w:id="773" w:name="_Toc290283967"/>
      <w:bookmarkStart w:id="774" w:name="_Toc290642788"/>
      <w:bookmarkStart w:id="775" w:name="_Toc290643237"/>
      <w:bookmarkStart w:id="776" w:name="_Toc290643690"/>
      <w:bookmarkStart w:id="777" w:name="_Toc294701507"/>
      <w:bookmarkStart w:id="778" w:name="_Toc295199915"/>
      <w:bookmarkStart w:id="779" w:name="_Toc296954356"/>
      <w:bookmarkStart w:id="780" w:name="_Toc297275988"/>
      <w:bookmarkStart w:id="781" w:name="_Toc297276440"/>
      <w:bookmarkStart w:id="782" w:name="_Toc297276890"/>
      <w:bookmarkStart w:id="783" w:name="_Toc297726259"/>
      <w:bookmarkStart w:id="784" w:name="_Toc299980043"/>
      <w:bookmarkStart w:id="785" w:name="_Toc300234669"/>
      <w:bookmarkStart w:id="786" w:name="_Toc301961172"/>
      <w:bookmarkStart w:id="787" w:name="_Toc301966742"/>
      <w:bookmarkStart w:id="788" w:name="_Toc303252951"/>
      <w:bookmarkStart w:id="789" w:name="_Toc303257115"/>
      <w:bookmarkStart w:id="790" w:name="_Toc307992750"/>
      <w:bookmarkStart w:id="791" w:name="_Toc309029780"/>
      <w:bookmarkStart w:id="792" w:name="_Toc309304003"/>
      <w:bookmarkStart w:id="793" w:name="_Toc309304456"/>
      <w:bookmarkStart w:id="794" w:name="_Toc309309280"/>
      <w:r>
        <w:t xml:space="preserve">Subdivision 3 — Possession limits — pink snapper at </w:t>
      </w:r>
      <w:smartTag w:uri="urn:schemas-microsoft-com:office:smarttags" w:element="place">
        <w:smartTag w:uri="urn:schemas-microsoft-com:office:smarttags" w:element="PlaceName">
          <w:r>
            <w:t>Shark</w:t>
          </w:r>
        </w:smartTag>
        <w:r>
          <w:t> </w:t>
        </w:r>
        <w:smartTag w:uri="urn:schemas-microsoft-com:office:smarttags" w:element="PlaceType">
          <w:r>
            <w:t>Bay</w:t>
          </w:r>
        </w:smartTag>
      </w:smartTag>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p>
    <w:p>
      <w:pPr>
        <w:pStyle w:val="Footnoteheading"/>
        <w:keepNext/>
        <w:tabs>
          <w:tab w:val="left" w:pos="851"/>
        </w:tabs>
      </w:pPr>
      <w:r>
        <w:tab/>
        <w:t>[Heading inserted in Gazette 1 Oct 2003 p. 4291.]</w:t>
      </w:r>
    </w:p>
    <w:p>
      <w:pPr>
        <w:pStyle w:val="Heading5"/>
        <w:spacing w:before="180"/>
        <w:rPr>
          <w:snapToGrid w:val="0"/>
        </w:rPr>
      </w:pPr>
      <w:bookmarkStart w:id="795" w:name="_Toc309309281"/>
      <w:r>
        <w:rPr>
          <w:rStyle w:val="CharSectno"/>
        </w:rPr>
        <w:t>16G</w:t>
      </w:r>
      <w:r>
        <w:t>.</w:t>
      </w:r>
      <w:r>
        <w:tab/>
      </w:r>
      <w:r>
        <w:rPr>
          <w:snapToGrid w:val="0"/>
        </w:rPr>
        <w:t>Terms used</w:t>
      </w:r>
      <w:bookmarkEnd w:id="795"/>
    </w:p>
    <w:p>
      <w:pPr>
        <w:pStyle w:val="Subsection"/>
        <w:rPr>
          <w:snapToGrid w:val="0"/>
        </w:rPr>
      </w:pPr>
      <w:r>
        <w:rPr>
          <w:snapToGrid w:val="0"/>
        </w:rPr>
        <w:tab/>
      </w:r>
      <w:r>
        <w:rPr>
          <w:snapToGrid w:val="0"/>
        </w:rPr>
        <w:tab/>
        <w:t>In this Subdivision —</w:t>
      </w:r>
    </w:p>
    <w:p>
      <w:pPr>
        <w:pStyle w:val="Defstart"/>
      </w:pPr>
      <w:r>
        <w:rPr>
          <w:b/>
        </w:rPr>
        <w:tab/>
      </w:r>
      <w:r>
        <w:rPr>
          <w:rStyle w:val="CharDefText"/>
        </w:rPr>
        <w:t>fishing year</w:t>
      </w:r>
      <w:r>
        <w:t xml:space="preserve"> means calendar year excluding the period beginning on 15 August and ending on 30 September in that year;</w:t>
      </w:r>
    </w:p>
    <w:p>
      <w:pPr>
        <w:pStyle w:val="Defstart"/>
      </w:pPr>
      <w:r>
        <w:tab/>
      </w:r>
      <w:r>
        <w:rPr>
          <w:rStyle w:val="CharDefText"/>
        </w:rPr>
        <w:t>Freycinet Estuary area</w:t>
      </w:r>
      <w:r>
        <w:t xml:space="preserve"> means —</w:t>
      </w:r>
    </w:p>
    <w:p>
      <w:pPr>
        <w:pStyle w:val="Defpara"/>
      </w:pPr>
      <w:r>
        <w:tab/>
        <w:t>(a)</w:t>
      </w:r>
      <w:r>
        <w:tab/>
        <w:t>the waters of the Freycinet Estuary; and</w:t>
      </w:r>
    </w:p>
    <w:p>
      <w:pPr>
        <w:pStyle w:val="Defpara"/>
      </w:pPr>
      <w:r>
        <w:tab/>
        <w:t>(b)</w:t>
      </w:r>
      <w:r>
        <w:tab/>
        <w:t>land that is within 50 m of the high water mark of the Freycinet Estuary.</w:t>
      </w:r>
    </w:p>
    <w:p>
      <w:pPr>
        <w:pStyle w:val="Footnotesection"/>
        <w:spacing w:before="60"/>
        <w:ind w:left="890" w:hanging="890"/>
      </w:pPr>
      <w:r>
        <w:tab/>
        <w:t>[Regulation 16G inserted in Gazette 1 Oct 2003 p. 4291</w:t>
      </w:r>
      <w:r>
        <w:noBreakHyphen/>
        <w:t>2; amended in Gazette 6 Apr 2004 p. 1133.]</w:t>
      </w:r>
    </w:p>
    <w:p>
      <w:pPr>
        <w:pStyle w:val="Heading5"/>
        <w:rPr>
          <w:snapToGrid w:val="0"/>
        </w:rPr>
      </w:pPr>
      <w:bookmarkStart w:id="796" w:name="_Toc309309282"/>
      <w:r>
        <w:rPr>
          <w:rStyle w:val="CharSectno"/>
        </w:rPr>
        <w:t>16H</w:t>
      </w:r>
      <w:r>
        <w:rPr>
          <w:snapToGrid w:val="0"/>
        </w:rPr>
        <w:t>.</w:t>
      </w:r>
      <w:r>
        <w:rPr>
          <w:snapToGrid w:val="0"/>
        </w:rPr>
        <w:tab/>
        <w:t>Pink snapper in Freycinet Estuary area</w:t>
      </w:r>
      <w:bookmarkEnd w:id="796"/>
    </w:p>
    <w:p>
      <w:pPr>
        <w:pStyle w:val="Subsection"/>
        <w:rPr>
          <w:snapToGrid w:val="0"/>
        </w:rPr>
      </w:pPr>
      <w:r>
        <w:rPr>
          <w:snapToGrid w:val="0"/>
        </w:rPr>
        <w:tab/>
        <w:t>(1)</w:t>
      </w:r>
      <w:r>
        <w:rPr>
          <w:snapToGrid w:val="0"/>
        </w:rPr>
        <w:tab/>
        <w:t>A person in or on the Freycinet Estuary must not have any pink snapper in his or her possession.</w:t>
      </w:r>
    </w:p>
    <w:p>
      <w:pPr>
        <w:pStyle w:val="Subsection"/>
        <w:rPr>
          <w:snapToGrid w:val="0"/>
        </w:rPr>
      </w:pPr>
      <w:r>
        <w:rPr>
          <w:snapToGrid w:val="0"/>
        </w:rPr>
        <w:tab/>
        <w:t>(2)</w:t>
      </w:r>
      <w:r>
        <w:rPr>
          <w:snapToGrid w:val="0"/>
        </w:rPr>
        <w:tab/>
        <w:t>It is a defence in proceedings against a person under section 51(2) of the Act in respect of the possession of a pink snapper in or on the Freycinet Estuary area that the person had possession of not more than one pink snapper and that the pink snapper —</w:t>
      </w:r>
    </w:p>
    <w:p>
      <w:pPr>
        <w:pStyle w:val="Indenta"/>
        <w:rPr>
          <w:snapToGrid w:val="0"/>
        </w:rPr>
      </w:pPr>
      <w:r>
        <w:rPr>
          <w:snapToGrid w:val="0"/>
        </w:rPr>
        <w:tab/>
        <w:t>(a)</w:t>
      </w:r>
      <w:r>
        <w:rPr>
          <w:snapToGrid w:val="0"/>
        </w:rPr>
        <w:tab/>
        <w:t>was at least 500 mm and not more than 700 mm in length; and</w:t>
      </w:r>
    </w:p>
    <w:p>
      <w:pPr>
        <w:pStyle w:val="Indenta"/>
        <w:rPr>
          <w:snapToGrid w:val="0"/>
        </w:rPr>
      </w:pPr>
      <w:r>
        <w:rPr>
          <w:snapToGrid w:val="0"/>
        </w:rPr>
        <w:tab/>
        <w:t>(b)</w:t>
      </w:r>
      <w:r>
        <w:rPr>
          <w:snapToGrid w:val="0"/>
        </w:rPr>
        <w:tab/>
        <w:t>had a current tag issued to the person under regulation 16I and marked with the date on which the pink snapper was taken attached to it in accordance with subregulation (3).</w:t>
      </w:r>
    </w:p>
    <w:p>
      <w:pPr>
        <w:pStyle w:val="Subsection"/>
      </w:pPr>
      <w:r>
        <w:tab/>
        <w:t>(3)</w:t>
      </w:r>
      <w:r>
        <w:tab/>
        <w:t>For the purposes of subregulation (2)(b) a tag must be attached to a pink snapper by passing the tag through the unsevered bottom jaw of the pink snapper and securing the tag through the tag’s locking device in such a manner that the tag is locked and intact and cannot be reused.</w:t>
      </w:r>
    </w:p>
    <w:p>
      <w:pPr>
        <w:pStyle w:val="Footnotesection"/>
      </w:pPr>
      <w:r>
        <w:tab/>
        <w:t>[Regulation 16H inserted in Gazette 1 Oct 2003 p. 4292; amended in Gazette 4 Nov 2005 p. 5308.]</w:t>
      </w:r>
    </w:p>
    <w:p>
      <w:pPr>
        <w:pStyle w:val="Heading5"/>
        <w:rPr>
          <w:snapToGrid w:val="0"/>
        </w:rPr>
      </w:pPr>
      <w:bookmarkStart w:id="797" w:name="_Toc309309283"/>
      <w:r>
        <w:rPr>
          <w:rStyle w:val="CharSectno"/>
        </w:rPr>
        <w:t>16I</w:t>
      </w:r>
      <w:r>
        <w:rPr>
          <w:snapToGrid w:val="0"/>
        </w:rPr>
        <w:t>.</w:t>
      </w:r>
      <w:r>
        <w:rPr>
          <w:snapToGrid w:val="0"/>
        </w:rPr>
        <w:tab/>
        <w:t>Tags authorising possession of pink snapper in Freycinet Estuary area, application for and issue of</w:t>
      </w:r>
      <w:bookmarkEnd w:id="797"/>
    </w:p>
    <w:p>
      <w:pPr>
        <w:pStyle w:val="Subsection"/>
        <w:rPr>
          <w:snapToGrid w:val="0"/>
        </w:rPr>
      </w:pPr>
      <w:r>
        <w:rPr>
          <w:snapToGrid w:val="0"/>
        </w:rPr>
        <w:tab/>
        <w:t>(1)</w:t>
      </w:r>
      <w:r>
        <w:rPr>
          <w:snapToGrid w:val="0"/>
        </w:rPr>
        <w:tab/>
        <w:t xml:space="preserve">A </w:t>
      </w:r>
      <w:r>
        <w:t>person</w:t>
      </w:r>
      <w:r>
        <w:rPr>
          <w:snapToGrid w:val="0"/>
        </w:rPr>
        <w:t xml:space="preserve"> may apply to the CEO for the issue of up to 2 tags authorising the person to possess one pink snapper per tag in the Freycinet Estuary area.</w:t>
      </w:r>
    </w:p>
    <w:p>
      <w:pPr>
        <w:pStyle w:val="Subsection"/>
      </w:pPr>
      <w:r>
        <w:tab/>
        <w:t>(2)</w:t>
      </w:r>
      <w:r>
        <w:tab/>
        <w:t>An application may be made by electronic or written application in the manner, and during the period, approved by the CEO.</w:t>
      </w:r>
    </w:p>
    <w:p>
      <w:pPr>
        <w:pStyle w:val="Subsection"/>
        <w:rPr>
          <w:snapToGrid w:val="0"/>
        </w:rPr>
      </w:pPr>
      <w:r>
        <w:rPr>
          <w:snapToGrid w:val="0"/>
        </w:rPr>
        <w:tab/>
        <w:t>(3)</w:t>
      </w:r>
      <w:r>
        <w:rPr>
          <w:snapToGrid w:val="0"/>
        </w:rPr>
        <w:tab/>
        <w:t xml:space="preserve">An </w:t>
      </w:r>
      <w:r>
        <w:t>application</w:t>
      </w:r>
      <w:r>
        <w:rPr>
          <w:snapToGrid w:val="0"/>
        </w:rPr>
        <w:t xml:space="preserve"> is to be made in the form approved by the CEO.</w:t>
      </w:r>
    </w:p>
    <w:p>
      <w:pPr>
        <w:pStyle w:val="Ednotesubsection"/>
      </w:pPr>
      <w:r>
        <w:tab/>
        <w:t>[(4), (5)</w:t>
      </w:r>
      <w:r>
        <w:tab/>
        <w:t>deleted]</w:t>
      </w:r>
    </w:p>
    <w:p>
      <w:pPr>
        <w:pStyle w:val="Subsection"/>
        <w:keepNext/>
        <w:rPr>
          <w:snapToGrid w:val="0"/>
        </w:rPr>
      </w:pPr>
      <w:r>
        <w:rPr>
          <w:snapToGrid w:val="0"/>
        </w:rPr>
        <w:tab/>
        <w:t>(6)</w:t>
      </w:r>
      <w:r>
        <w:rPr>
          <w:snapToGrid w:val="0"/>
        </w:rPr>
        <w:tab/>
        <w:t>If —</w:t>
      </w:r>
    </w:p>
    <w:p>
      <w:pPr>
        <w:pStyle w:val="Indenta"/>
        <w:rPr>
          <w:snapToGrid w:val="0"/>
        </w:rPr>
      </w:pPr>
      <w:r>
        <w:rPr>
          <w:snapToGrid w:val="0"/>
        </w:rPr>
        <w:tab/>
        <w:t>(a)</w:t>
      </w:r>
      <w:r>
        <w:rPr>
          <w:snapToGrid w:val="0"/>
        </w:rPr>
        <w:tab/>
        <w:t>a person makes a written or electronic application</w:t>
      </w:r>
      <w:r>
        <w:t xml:space="preserve"> during the period approved under subregulation (2)</w:t>
      </w:r>
      <w:r>
        <w:rPr>
          <w:snapToGrid w:val="0"/>
        </w:rPr>
        <w:t>; and</w:t>
      </w:r>
    </w:p>
    <w:p>
      <w:pPr>
        <w:pStyle w:val="Indenta"/>
        <w:rPr>
          <w:snapToGrid w:val="0"/>
        </w:rPr>
      </w:pPr>
      <w:r>
        <w:rPr>
          <w:snapToGrid w:val="0"/>
        </w:rPr>
        <w:tab/>
        <w:t>(b)</w:t>
      </w:r>
      <w:r>
        <w:rPr>
          <w:snapToGrid w:val="0"/>
        </w:rPr>
        <w:tab/>
        <w:t>that person has not made any other written or electronic application under subregulation (1) during that period; and</w:t>
      </w:r>
    </w:p>
    <w:p>
      <w:pPr>
        <w:pStyle w:val="Indenta"/>
        <w:rPr>
          <w:snapToGrid w:val="0"/>
        </w:rPr>
      </w:pPr>
      <w:r>
        <w:rPr>
          <w:snapToGrid w:val="0"/>
        </w:rPr>
        <w:tab/>
        <w:t>(c)</w:t>
      </w:r>
      <w:r>
        <w:rPr>
          <w:snapToGrid w:val="0"/>
        </w:rPr>
        <w:tab/>
        <w:t>the CEO has not issued more than 1 050 tags pursuant to written or electronic application during that period; and</w:t>
      </w:r>
    </w:p>
    <w:p>
      <w:pPr>
        <w:pStyle w:val="Indenta"/>
        <w:rPr>
          <w:snapToGrid w:val="0"/>
        </w:rPr>
      </w:pPr>
      <w:r>
        <w:rPr>
          <w:snapToGrid w:val="0"/>
        </w:rPr>
        <w:tab/>
        <w:t>(d)</w:t>
      </w:r>
      <w:r>
        <w:rPr>
          <w:snapToGrid w:val="0"/>
        </w:rPr>
        <w:tab/>
        <w:t>the CEO determines by ballot conducted in a manner approved by the CEO that the person is eligible to be issued with a tag; and</w:t>
      </w:r>
    </w:p>
    <w:p>
      <w:pPr>
        <w:pStyle w:val="Indenta"/>
        <w:rPr>
          <w:snapToGrid w:val="0"/>
        </w:rPr>
      </w:pPr>
      <w:r>
        <w:rPr>
          <w:snapToGrid w:val="0"/>
        </w:rPr>
        <w:tab/>
        <w:t>(e)</w:t>
      </w:r>
      <w:r>
        <w:rPr>
          <w:snapToGrid w:val="0"/>
        </w:rPr>
        <w:tab/>
        <w:t>the fee set out in Schedule 1 Part 3 item 7 is paid,</w:t>
      </w:r>
    </w:p>
    <w:p>
      <w:pPr>
        <w:pStyle w:val="Subsection"/>
        <w:rPr>
          <w:snapToGrid w:val="0"/>
        </w:rPr>
      </w:pPr>
      <w:r>
        <w:rPr>
          <w:snapToGrid w:val="0"/>
        </w:rPr>
        <w:tab/>
      </w:r>
      <w:r>
        <w:rPr>
          <w:snapToGrid w:val="0"/>
        </w:rPr>
        <w:tab/>
        <w:t xml:space="preserve">the </w:t>
      </w:r>
      <w:r>
        <w:t>CEO</w:t>
      </w:r>
      <w:r>
        <w:rPr>
          <w:snapToGrid w:val="0"/>
        </w:rPr>
        <w:t xml:space="preserve"> may issue a tag to the person.</w:t>
      </w:r>
    </w:p>
    <w:p>
      <w:pPr>
        <w:pStyle w:val="Subsection"/>
        <w:rPr>
          <w:snapToGrid w:val="0"/>
        </w:rPr>
      </w:pPr>
      <w:r>
        <w:rPr>
          <w:snapToGrid w:val="0"/>
        </w:rPr>
        <w:tab/>
        <w:t>(7)</w:t>
      </w:r>
      <w:r>
        <w:rPr>
          <w:snapToGrid w:val="0"/>
        </w:rPr>
        <w:tab/>
        <w:t>When a tag is issued to a person the CEO is to record the name of the person on the tag.</w:t>
      </w:r>
    </w:p>
    <w:p>
      <w:pPr>
        <w:pStyle w:val="Subsection"/>
        <w:keepNext/>
        <w:spacing w:before="100"/>
        <w:rPr>
          <w:snapToGrid w:val="0"/>
        </w:rPr>
      </w:pPr>
      <w:r>
        <w:rPr>
          <w:snapToGrid w:val="0"/>
        </w:rPr>
        <w:tab/>
        <w:t>(8)</w:t>
      </w:r>
      <w:r>
        <w:rPr>
          <w:snapToGrid w:val="0"/>
        </w:rPr>
        <w:tab/>
        <w:t>A tag is current for the fishing year in which it is issued.</w:t>
      </w:r>
    </w:p>
    <w:p>
      <w:pPr>
        <w:pStyle w:val="Footnotesection"/>
      </w:pPr>
      <w:r>
        <w:tab/>
        <w:t>[Regulation 16I inserted in Gazette 1 Oct 2003 p. 4293</w:t>
      </w:r>
      <w:r>
        <w:noBreakHyphen/>
        <w:t>4; amended in Gazette 6 Apr 2004 p. 1133; 7 Mar 2006 p. 975; 6 Jul 2007 p. 3389.]</w:t>
      </w:r>
    </w:p>
    <w:p>
      <w:pPr>
        <w:pStyle w:val="Heading5"/>
        <w:rPr>
          <w:snapToGrid w:val="0"/>
        </w:rPr>
      </w:pPr>
      <w:bookmarkStart w:id="798" w:name="_Toc309309284"/>
      <w:r>
        <w:rPr>
          <w:rStyle w:val="CharSectno"/>
        </w:rPr>
        <w:t>16J</w:t>
      </w:r>
      <w:r>
        <w:t>.</w:t>
      </w:r>
      <w:r>
        <w:tab/>
      </w:r>
      <w:r>
        <w:rPr>
          <w:snapToGrid w:val="0"/>
        </w:rPr>
        <w:t>Form of tag issued under r. 16I</w:t>
      </w:r>
      <w:bookmarkEnd w:id="798"/>
    </w:p>
    <w:p>
      <w:pPr>
        <w:pStyle w:val="Subsection"/>
        <w:rPr>
          <w:snapToGrid w:val="0"/>
        </w:rPr>
      </w:pPr>
      <w:r>
        <w:rPr>
          <w:snapToGrid w:val="0"/>
        </w:rPr>
        <w:tab/>
      </w:r>
      <w:r>
        <w:rPr>
          <w:snapToGrid w:val="0"/>
        </w:rPr>
        <w:tab/>
        <w:t>A tag issued under regulation 16I —</w:t>
      </w:r>
    </w:p>
    <w:p>
      <w:pPr>
        <w:pStyle w:val="Indenta"/>
        <w:rPr>
          <w:snapToGrid w:val="0"/>
        </w:rPr>
      </w:pPr>
      <w:r>
        <w:rPr>
          <w:snapToGrid w:val="0"/>
        </w:rPr>
        <w:tab/>
        <w:t>(a)</w:t>
      </w:r>
      <w:r>
        <w:rPr>
          <w:snapToGrid w:val="0"/>
        </w:rPr>
        <w:tab/>
        <w:t>is to be in a form approved by the CEO;</w:t>
      </w:r>
    </w:p>
    <w:p>
      <w:pPr>
        <w:pStyle w:val="Indenta"/>
        <w:rPr>
          <w:snapToGrid w:val="0"/>
        </w:rPr>
      </w:pPr>
      <w:r>
        <w:rPr>
          <w:snapToGrid w:val="0"/>
        </w:rPr>
        <w:tab/>
        <w:t>(b)</w:t>
      </w:r>
      <w:r>
        <w:rPr>
          <w:snapToGrid w:val="0"/>
        </w:rPr>
        <w:tab/>
        <w:t>is to specify —</w:t>
      </w:r>
    </w:p>
    <w:p>
      <w:pPr>
        <w:pStyle w:val="Indenti"/>
        <w:rPr>
          <w:snapToGrid w:val="0"/>
        </w:rPr>
      </w:pPr>
      <w:r>
        <w:rPr>
          <w:snapToGrid w:val="0"/>
        </w:rPr>
        <w:tab/>
        <w:t>(i)</w:t>
      </w:r>
      <w:r>
        <w:rPr>
          <w:snapToGrid w:val="0"/>
        </w:rPr>
        <w:tab/>
        <w:t>the fishing year for which the tag is current; and</w:t>
      </w:r>
    </w:p>
    <w:p>
      <w:pPr>
        <w:pStyle w:val="Indenti"/>
        <w:rPr>
          <w:snapToGrid w:val="0"/>
        </w:rPr>
      </w:pPr>
      <w:r>
        <w:rPr>
          <w:snapToGrid w:val="0"/>
        </w:rPr>
        <w:tab/>
        <w:t>(ii)</w:t>
      </w:r>
      <w:r>
        <w:rPr>
          <w:snapToGrid w:val="0"/>
        </w:rPr>
        <w:tab/>
        <w:t>a distinguishing letter and number (tag serial number) allocated in respect of the tag.</w:t>
      </w:r>
    </w:p>
    <w:p>
      <w:pPr>
        <w:pStyle w:val="Footnotesection"/>
      </w:pPr>
      <w:r>
        <w:tab/>
        <w:t>[Regulation 16J inserted in Gazette 1 Oct 2003 p. 4294; amended in Gazette 6 Jul 2007 p. 3389.]</w:t>
      </w:r>
    </w:p>
    <w:p>
      <w:pPr>
        <w:pStyle w:val="Heading4"/>
        <w:keepLines/>
      </w:pPr>
      <w:bookmarkStart w:id="799" w:name="_Toc189987858"/>
      <w:bookmarkStart w:id="800" w:name="_Toc192041441"/>
      <w:bookmarkStart w:id="801" w:name="_Toc199570675"/>
      <w:bookmarkStart w:id="802" w:name="_Toc199738671"/>
      <w:bookmarkStart w:id="803" w:name="_Toc199814773"/>
      <w:bookmarkStart w:id="804" w:name="_Toc215040580"/>
      <w:bookmarkStart w:id="805" w:name="_Toc215041025"/>
      <w:bookmarkStart w:id="806" w:name="_Toc222129234"/>
      <w:bookmarkStart w:id="807" w:name="_Toc222222939"/>
      <w:bookmarkStart w:id="808" w:name="_Toc225914191"/>
      <w:bookmarkStart w:id="809" w:name="_Toc231282236"/>
      <w:bookmarkStart w:id="810" w:name="_Toc231282680"/>
      <w:bookmarkStart w:id="811" w:name="_Toc234899267"/>
      <w:bookmarkStart w:id="812" w:name="_Toc236632549"/>
      <w:bookmarkStart w:id="813" w:name="_Toc236720162"/>
      <w:bookmarkStart w:id="814" w:name="_Toc237764361"/>
      <w:bookmarkStart w:id="815" w:name="_Toc238355985"/>
      <w:bookmarkStart w:id="816" w:name="_Toc238368690"/>
      <w:bookmarkStart w:id="817" w:name="_Toc238375643"/>
      <w:bookmarkStart w:id="818" w:name="_Toc240338967"/>
      <w:bookmarkStart w:id="819" w:name="_Toc241993473"/>
      <w:bookmarkStart w:id="820" w:name="_Toc243192616"/>
      <w:bookmarkStart w:id="821" w:name="_Toc243295317"/>
      <w:bookmarkStart w:id="822" w:name="_Toc245112890"/>
      <w:bookmarkStart w:id="823" w:name="_Toc245198052"/>
      <w:bookmarkStart w:id="824" w:name="_Toc245198501"/>
      <w:bookmarkStart w:id="825" w:name="_Toc245198950"/>
      <w:bookmarkStart w:id="826" w:name="_Toc248121980"/>
      <w:bookmarkStart w:id="827" w:name="_Toc248122431"/>
      <w:bookmarkStart w:id="828" w:name="_Toc253670418"/>
      <w:bookmarkStart w:id="829" w:name="_Toc253670868"/>
      <w:bookmarkStart w:id="830" w:name="_Toc254942638"/>
      <w:bookmarkStart w:id="831" w:name="_Toc254943091"/>
      <w:bookmarkStart w:id="832" w:name="_Toc255475683"/>
      <w:bookmarkStart w:id="833" w:name="_Toc256432004"/>
      <w:bookmarkStart w:id="834" w:name="_Toc257720341"/>
      <w:bookmarkStart w:id="835" w:name="_Toc257722023"/>
      <w:bookmarkStart w:id="836" w:name="_Toc258335699"/>
      <w:bookmarkStart w:id="837" w:name="_Toc260406141"/>
      <w:bookmarkStart w:id="838" w:name="_Toc261271327"/>
      <w:bookmarkStart w:id="839" w:name="_Toc262808009"/>
      <w:bookmarkStart w:id="840" w:name="_Toc267572402"/>
      <w:bookmarkStart w:id="841" w:name="_Toc270684153"/>
      <w:bookmarkStart w:id="842" w:name="_Toc274214330"/>
      <w:bookmarkStart w:id="843" w:name="_Toc274214779"/>
      <w:bookmarkStart w:id="844" w:name="_Toc278976110"/>
      <w:bookmarkStart w:id="845" w:name="_Toc286760433"/>
      <w:bookmarkStart w:id="846" w:name="_Toc289080778"/>
      <w:bookmarkStart w:id="847" w:name="_Toc290283972"/>
      <w:bookmarkStart w:id="848" w:name="_Toc290642793"/>
      <w:bookmarkStart w:id="849" w:name="_Toc290643242"/>
      <w:bookmarkStart w:id="850" w:name="_Toc290643695"/>
      <w:bookmarkStart w:id="851" w:name="_Toc294701512"/>
      <w:bookmarkStart w:id="852" w:name="_Toc295199920"/>
      <w:bookmarkStart w:id="853" w:name="_Toc296954361"/>
      <w:bookmarkStart w:id="854" w:name="_Toc297275993"/>
      <w:bookmarkStart w:id="855" w:name="_Toc297276445"/>
      <w:bookmarkStart w:id="856" w:name="_Toc297276895"/>
      <w:bookmarkStart w:id="857" w:name="_Toc297726264"/>
      <w:bookmarkStart w:id="858" w:name="_Toc299980048"/>
      <w:bookmarkStart w:id="859" w:name="_Toc300234674"/>
      <w:bookmarkStart w:id="860" w:name="_Toc301961177"/>
      <w:bookmarkStart w:id="861" w:name="_Toc301966747"/>
      <w:bookmarkStart w:id="862" w:name="_Toc303252956"/>
      <w:bookmarkStart w:id="863" w:name="_Toc303257120"/>
      <w:bookmarkStart w:id="864" w:name="_Toc307992755"/>
      <w:bookmarkStart w:id="865" w:name="_Toc309029785"/>
      <w:bookmarkStart w:id="866" w:name="_Toc309304008"/>
      <w:bookmarkStart w:id="867" w:name="_Toc309304461"/>
      <w:bookmarkStart w:id="868" w:name="_Toc309309285"/>
      <w:r>
        <w:t>Subdivision 4 — Possession limits in certain other areas</w:t>
      </w:r>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p>
    <w:p>
      <w:pPr>
        <w:pStyle w:val="Footnoteheading"/>
        <w:keepNext/>
        <w:keepLines/>
        <w:tabs>
          <w:tab w:val="left" w:pos="851"/>
        </w:tabs>
      </w:pPr>
      <w:r>
        <w:tab/>
        <w:t>[Heading inserted in Gazette 1 Oct 2003 p. 4295.]</w:t>
      </w:r>
    </w:p>
    <w:p>
      <w:pPr>
        <w:pStyle w:val="Heading5"/>
      </w:pPr>
      <w:bookmarkStart w:id="869" w:name="_Toc309309286"/>
      <w:r>
        <w:rPr>
          <w:rStyle w:val="CharSectno"/>
        </w:rPr>
        <w:t>16K</w:t>
      </w:r>
      <w:r>
        <w:t>.</w:t>
      </w:r>
      <w:r>
        <w:tab/>
        <w:t xml:space="preserve">Finfish in </w:t>
      </w:r>
      <w:smartTag w:uri="urn:schemas-microsoft-com:office:smarttags" w:element="PlaceName">
        <w:r>
          <w:t>Abrolhos</w:t>
        </w:r>
      </w:smartTag>
      <w:r>
        <w:t xml:space="preserve"> </w:t>
      </w:r>
      <w:smartTag w:uri="urn:schemas-microsoft-com:office:smarttags" w:element="PlaceType">
        <w:r>
          <w:t>Islands</w:t>
        </w:r>
      </w:smartTag>
      <w:r>
        <w:t xml:space="preserve"> reserve or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Fish Habitat Protection Area</w:t>
      </w:r>
      <w:bookmarkEnd w:id="869"/>
    </w:p>
    <w:p>
      <w:pPr>
        <w:pStyle w:val="Subsection"/>
      </w:pPr>
      <w:r>
        <w:tab/>
      </w:r>
      <w:r>
        <w:tab/>
        <w:t>For the purposes of section 51(1) of the Act, the maximum quantity of finfish that a person may be in possession of —</w:t>
      </w:r>
    </w:p>
    <w:p>
      <w:pPr>
        <w:pStyle w:val="Indenta"/>
      </w:pPr>
      <w:r>
        <w:tab/>
        <w:t>(a)</w:t>
      </w:r>
      <w:r>
        <w:tab/>
        <w:t xml:space="preserve">in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reserve; or</w:t>
      </w:r>
    </w:p>
    <w:p>
      <w:pPr>
        <w:pStyle w:val="Indenta"/>
      </w:pPr>
      <w:r>
        <w:tab/>
        <w:t>(b)</w:t>
      </w:r>
      <w:r>
        <w:tab/>
        <w:t>in the Abrolhos Islands Fish Habitat Protection Area within the meaning given in Schedule 2 Part 2 Division 3 Subdivision 1 clause 2(2),</w:t>
      </w:r>
    </w:p>
    <w:p>
      <w:pPr>
        <w:pStyle w:val="Subsection"/>
      </w:pPr>
      <w:r>
        <w:tab/>
      </w:r>
      <w:r>
        <w:tab/>
        <w:t>is —</w:t>
      </w:r>
    </w:p>
    <w:p>
      <w:pPr>
        <w:pStyle w:val="Indenta"/>
      </w:pPr>
      <w:r>
        <w:tab/>
        <w:t>(c)</w:t>
      </w:r>
      <w:r>
        <w:tab/>
        <w:t>10 kg of fillets of finfish; or</w:t>
      </w:r>
    </w:p>
    <w:p>
      <w:pPr>
        <w:pStyle w:val="Indenta"/>
      </w:pPr>
      <w:r>
        <w:tab/>
        <w:t>(d)</w:t>
      </w:r>
      <w:r>
        <w:tab/>
        <w:t>one day’s bag limit of whole fish or fish trunks.</w:t>
      </w:r>
    </w:p>
    <w:p>
      <w:pPr>
        <w:pStyle w:val="Footnotesection"/>
      </w:pPr>
      <w:r>
        <w:tab/>
        <w:t>[Regulation 16K inserted in Gazette 19 Dec 2008 p. 5362.]</w:t>
      </w:r>
    </w:p>
    <w:p>
      <w:pPr>
        <w:pStyle w:val="Heading5"/>
      </w:pPr>
      <w:bookmarkStart w:id="870" w:name="_Toc309309287"/>
      <w:r>
        <w:rPr>
          <w:rStyle w:val="CharSectno"/>
        </w:rPr>
        <w:t>16L</w:t>
      </w:r>
      <w:r>
        <w:t>.</w:t>
      </w:r>
      <w:r>
        <w:tab/>
        <w:t>Rock lobster at Ningaloo or Exmouth townsite</w:t>
      </w:r>
      <w:bookmarkEnd w:id="870"/>
    </w:p>
    <w:p>
      <w:pPr>
        <w:pStyle w:val="Subsection"/>
      </w:pPr>
      <w:r>
        <w:tab/>
        <w:t>(1)</w:t>
      </w:r>
      <w:r>
        <w:tab/>
        <w:t>In this regulation —</w:t>
      </w:r>
    </w:p>
    <w:p>
      <w:pPr>
        <w:pStyle w:val="Defstart"/>
      </w:pPr>
      <w:r>
        <w:rPr>
          <w:b/>
        </w:rPr>
        <w:tab/>
      </w:r>
      <w:r>
        <w:rPr>
          <w:rStyle w:val="CharDefText"/>
        </w:rPr>
        <w:t>Exmouth townsite</w:t>
      </w:r>
      <w:r>
        <w:t xml:space="preserve"> means the area of land constituting the townsite of Exmouth for the purposes of the </w:t>
      </w:r>
      <w:r>
        <w:rPr>
          <w:i/>
          <w:iCs/>
        </w:rPr>
        <w:t>Land Administration Act 1997</w:t>
      </w:r>
      <w:r>
        <w:t>;</w:t>
      </w:r>
    </w:p>
    <w:p>
      <w:pPr>
        <w:pStyle w:val="Defstart"/>
      </w:pPr>
      <w:r>
        <w:rPr>
          <w:b/>
        </w:rPr>
        <w:tab/>
      </w:r>
      <w:r>
        <w:rPr>
          <w:rStyle w:val="CharDefText"/>
        </w:rPr>
        <w:t>Ningaloo Marine Park Land Zone</w:t>
      </w:r>
      <w:r>
        <w:t xml:space="preserve"> means all land —</w:t>
      </w:r>
    </w:p>
    <w:p>
      <w:pPr>
        <w:pStyle w:val="Defpara"/>
      </w:pPr>
      <w:r>
        <w:tab/>
        <w:t>(a)</w:t>
      </w:r>
      <w:r>
        <w:tab/>
        <w:t>between 24° 01.8636′ south latitude (Red Bluff) and</w:t>
      </w:r>
      <w:r>
        <w:br/>
        <w:t>21° 52.9218′ south latitude and west of the North West Coastal Highway, Learmonth</w:t>
      </w:r>
      <w:r>
        <w:noBreakHyphen/>
        <w:t>Minilya and Murat Roads but excluding Exmouth townsite; and</w:t>
      </w:r>
    </w:p>
    <w:p>
      <w:pPr>
        <w:pStyle w:val="Defpara"/>
      </w:pPr>
      <w:r>
        <w:tab/>
        <w:t>(b)</w:t>
      </w:r>
      <w:r>
        <w:tab/>
        <w:t xml:space="preserve">on </w:t>
      </w:r>
      <w:smartTag w:uri="urn:schemas-microsoft-com:office:smarttags" w:element="place">
        <w:smartTag w:uri="urn:schemas-microsoft-com:office:smarttags" w:element="PlaceName">
          <w:r>
            <w:t>North West</w:t>
          </w:r>
        </w:smartTag>
        <w:r>
          <w:t xml:space="preserve"> </w:t>
        </w:r>
        <w:smartTag w:uri="urn:schemas-microsoft-com:office:smarttags" w:element="PlaceType">
          <w:r>
            <w:t>Cape</w:t>
          </w:r>
        </w:smartTag>
      </w:smartTag>
      <w:r>
        <w:t>, north of 21° 52.9218′ south latitude.</w:t>
      </w:r>
    </w:p>
    <w:p>
      <w:pPr>
        <w:pStyle w:val="Subsection"/>
      </w:pPr>
      <w:r>
        <w:tab/>
        <w:t>(2)</w:t>
      </w:r>
      <w:r>
        <w:tab/>
        <w:t>For the purposes of section 51(1) of the Act, the maximum quantity of rock lobster that a person may be in possession of —</w:t>
      </w:r>
    </w:p>
    <w:p>
      <w:pPr>
        <w:pStyle w:val="Indenta"/>
        <w:rPr>
          <w:snapToGrid w:val="0"/>
        </w:rPr>
      </w:pPr>
      <w:r>
        <w:rPr>
          <w:snapToGrid w:val="0"/>
        </w:rPr>
        <w:tab/>
        <w:t>(a)</w:t>
      </w:r>
      <w:r>
        <w:rPr>
          <w:snapToGrid w:val="0"/>
        </w:rPr>
        <w:tab/>
        <w:t xml:space="preserve">in the </w:t>
      </w:r>
      <w:smartTag w:uri="urn:schemas-microsoft-com:office:smarttags" w:element="place">
        <w:smartTag w:uri="urn:schemas-microsoft-com:office:smarttags" w:element="PlaceName">
          <w:r>
            <w:rPr>
              <w:snapToGrid w:val="0"/>
            </w:rPr>
            <w:t>Ningaloo</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 or</w:t>
      </w:r>
    </w:p>
    <w:p>
      <w:pPr>
        <w:pStyle w:val="Indenta"/>
        <w:rPr>
          <w:snapToGrid w:val="0"/>
        </w:rPr>
      </w:pPr>
      <w:r>
        <w:rPr>
          <w:snapToGrid w:val="0"/>
        </w:rPr>
        <w:tab/>
        <w:t>(b)</w:t>
      </w:r>
      <w:r>
        <w:rPr>
          <w:snapToGrid w:val="0"/>
        </w:rPr>
        <w:tab/>
        <w:t>in the Ningaloo Marine Park Land Zone; or</w:t>
      </w:r>
    </w:p>
    <w:p>
      <w:pPr>
        <w:pStyle w:val="Indenta"/>
        <w:rPr>
          <w:snapToGrid w:val="0"/>
        </w:rPr>
      </w:pPr>
      <w:r>
        <w:rPr>
          <w:snapToGrid w:val="0"/>
        </w:rPr>
        <w:tab/>
        <w:t>(c)</w:t>
      </w:r>
      <w:r>
        <w:rPr>
          <w:snapToGrid w:val="0"/>
        </w:rPr>
        <w:tab/>
      </w:r>
      <w:r>
        <w:t xml:space="preserve">in the </w:t>
      </w:r>
      <w:r>
        <w:rPr>
          <w:snapToGrid w:val="0"/>
        </w:rPr>
        <w:t>Exmouth townsite,</w:t>
      </w:r>
    </w:p>
    <w:p>
      <w:pPr>
        <w:pStyle w:val="Subsection"/>
        <w:rPr>
          <w:snapToGrid w:val="0"/>
        </w:rPr>
      </w:pPr>
      <w:r>
        <w:tab/>
      </w:r>
      <w:r>
        <w:tab/>
        <w:t>is 8 rock lobsters.</w:t>
      </w:r>
    </w:p>
    <w:p>
      <w:pPr>
        <w:pStyle w:val="Footnotesection"/>
      </w:pPr>
      <w:r>
        <w:tab/>
        <w:t>[Regulation 16L inserted in Gazette 1 Oct 2003 p. 4296; amended in Gazette 29 May 2008 p. 2056.]</w:t>
      </w:r>
    </w:p>
    <w:p>
      <w:pPr>
        <w:pStyle w:val="Heading5"/>
      </w:pPr>
      <w:bookmarkStart w:id="871" w:name="_Toc309309288"/>
      <w:r>
        <w:rPr>
          <w:rStyle w:val="CharSectno"/>
        </w:rPr>
        <w:t>16M</w:t>
      </w:r>
      <w:r>
        <w:t>.</w:t>
      </w:r>
      <w:r>
        <w:tab/>
        <w:t>Barramundi</w:t>
      </w:r>
      <w:bookmarkEnd w:id="871"/>
    </w:p>
    <w:p>
      <w:pPr>
        <w:pStyle w:val="Subsection"/>
        <w:keepNext/>
        <w:keepLines/>
      </w:pPr>
      <w:r>
        <w:tab/>
        <w:t>(1)</w:t>
      </w:r>
      <w:r>
        <w:tab/>
        <w:t>For the purposes of section 51(1) of the Act, the maximum quantity of barramundi that a person may be in possession of, other than at the person’s principal place of residence —</w:t>
      </w:r>
    </w:p>
    <w:p>
      <w:pPr>
        <w:pStyle w:val="Indenta"/>
      </w:pPr>
      <w:r>
        <w:tab/>
        <w:t>(a)</w:t>
      </w:r>
      <w:r>
        <w:tab/>
        <w:t xml:space="preserve">in the </w:t>
      </w:r>
      <w:smartTag w:uri="urn:schemas-microsoft-com:office:smarttags" w:element="place">
        <w:smartTag w:uri="urn:schemas-microsoft-com:office:smarttags" w:element="PlaceName">
          <w:r>
            <w:t>Ord</w:t>
          </w:r>
        </w:smartTag>
        <w:r>
          <w:t xml:space="preserve"> </w:t>
        </w:r>
        <w:smartTag w:uri="urn:schemas-microsoft-com:office:smarttags" w:element="PlaceType">
          <w:r>
            <w:t>River</w:t>
          </w:r>
        </w:smartTag>
      </w:smartTag>
      <w:r>
        <w:t xml:space="preserve"> area is one barramundi; and</w:t>
      </w:r>
    </w:p>
    <w:p>
      <w:pPr>
        <w:pStyle w:val="Indenta"/>
      </w:pPr>
      <w:r>
        <w:tab/>
        <w:t>(b)</w:t>
      </w:r>
      <w:r>
        <w:tab/>
        <w:t xml:space="preserve">other than in the </w:t>
      </w:r>
      <w:smartTag w:uri="urn:schemas-microsoft-com:office:smarttags" w:element="place">
        <w:smartTag w:uri="urn:schemas-microsoft-com:office:smarttags" w:element="PlaceName">
          <w:r>
            <w:t>Ord</w:t>
          </w:r>
        </w:smartTag>
        <w:r>
          <w:t xml:space="preserve"> </w:t>
        </w:r>
        <w:smartTag w:uri="urn:schemas-microsoft-com:office:smarttags" w:element="PlaceType">
          <w:r>
            <w:t>River</w:t>
          </w:r>
        </w:smartTag>
      </w:smartTag>
      <w:r>
        <w:t xml:space="preserve"> area is 2 barramundi.</w:t>
      </w:r>
    </w:p>
    <w:p>
      <w:pPr>
        <w:pStyle w:val="Subsection"/>
      </w:pPr>
      <w:r>
        <w:tab/>
        <w:t>(2)</w:t>
      </w:r>
      <w:r>
        <w:tab/>
        <w:t>For the purpose of determining the number of barramundi in a person’s possession 2 single</w:t>
      </w:r>
      <w:r>
        <w:noBreakHyphen/>
        <w:t>sided fillets of barramundi are to be taken to be equivalent to one whole barramundi.</w:t>
      </w:r>
    </w:p>
    <w:p>
      <w:pPr>
        <w:pStyle w:val="Subsection"/>
        <w:keepNext/>
      </w:pPr>
      <w:r>
        <w:tab/>
        <w:t>(3)</w:t>
      </w:r>
      <w:r>
        <w:tab/>
        <w:t>In this regulation —</w:t>
      </w:r>
    </w:p>
    <w:p>
      <w:pPr>
        <w:pStyle w:val="Defstart"/>
      </w:pPr>
      <w:r>
        <w:rPr>
          <w:b/>
        </w:rPr>
        <w:tab/>
      </w:r>
      <w:smartTag w:uri="urn:schemas-microsoft-com:office:smarttags" w:element="place">
        <w:smartTag w:uri="urn:schemas-microsoft-com:office:smarttags" w:element="PlaceName">
          <w:r>
            <w:rPr>
              <w:rStyle w:val="CharDefText"/>
            </w:rPr>
            <w:t>Ord</w:t>
          </w:r>
        </w:smartTag>
        <w:r>
          <w:rPr>
            <w:rStyle w:val="CharDefText"/>
          </w:rPr>
          <w:t xml:space="preserve"> </w:t>
        </w:r>
        <w:smartTag w:uri="urn:schemas-microsoft-com:office:smarttags" w:element="PlaceType">
          <w:r>
            <w:rPr>
              <w:rStyle w:val="CharDefText"/>
            </w:rPr>
            <w:t>River</w:t>
          </w:r>
        </w:smartTag>
      </w:smartTag>
      <w:r>
        <w:rPr>
          <w:rStyle w:val="CharDefText"/>
        </w:rPr>
        <w:t xml:space="preserve"> area</w:t>
      </w:r>
      <w:r>
        <w:t xml:space="preserve"> has the same meaning as in regulation 64ZF;</w:t>
      </w:r>
    </w:p>
    <w:p>
      <w:pPr>
        <w:pStyle w:val="Defstart"/>
      </w:pPr>
      <w:r>
        <w:rPr>
          <w:b/>
        </w:rPr>
        <w:tab/>
      </w:r>
      <w:r>
        <w:rPr>
          <w:rStyle w:val="CharDefText"/>
        </w:rPr>
        <w:t>single</w:t>
      </w:r>
      <w:r>
        <w:rPr>
          <w:rStyle w:val="CharDefText"/>
        </w:rPr>
        <w:noBreakHyphen/>
        <w:t>sided fillet</w:t>
      </w:r>
      <w:r>
        <w:t xml:space="preserve"> means a fillet that is taken from one side only of a barramundi.</w:t>
      </w:r>
    </w:p>
    <w:p>
      <w:pPr>
        <w:pStyle w:val="Footnotesection"/>
      </w:pPr>
      <w:r>
        <w:tab/>
        <w:t>[Regulation 16M inserted in Gazette 4 Nov 2005 p. 5309.]</w:t>
      </w:r>
    </w:p>
    <w:p>
      <w:pPr>
        <w:pStyle w:val="Heading5"/>
      </w:pPr>
      <w:bookmarkStart w:id="872" w:name="_Toc309309289"/>
      <w:r>
        <w:rPr>
          <w:rStyle w:val="CharSectno"/>
        </w:rPr>
        <w:t>16N</w:t>
      </w:r>
      <w:r>
        <w:t>.</w:t>
      </w:r>
      <w:r>
        <w:tab/>
        <w:t>Marron</w:t>
      </w:r>
      <w:bookmarkEnd w:id="872"/>
    </w:p>
    <w:p>
      <w:pPr>
        <w:pStyle w:val="Subsection"/>
      </w:pPr>
      <w:r>
        <w:tab/>
        <w:t>(1)</w:t>
      </w:r>
      <w:r>
        <w:tab/>
        <w:t>For the purposes of section 51(1) of the Act the maximum quantity of marron that a person may be in possession of —</w:t>
      </w:r>
    </w:p>
    <w:p>
      <w:pPr>
        <w:pStyle w:val="Indenta"/>
      </w:pPr>
      <w:r>
        <w:tab/>
        <w:t>(a)</w:t>
      </w:r>
      <w:r>
        <w:tab/>
        <w:t>on marron trophy waters or within 500 m of the high water mark of marron trophy waters, is 5 marron; and</w:t>
      </w:r>
    </w:p>
    <w:p>
      <w:pPr>
        <w:pStyle w:val="Indenta"/>
      </w:pPr>
      <w:r>
        <w:tab/>
        <w:t>(b)</w:t>
      </w:r>
      <w:r>
        <w:tab/>
        <w:t>at any other place, is 20 marron.</w:t>
      </w:r>
    </w:p>
    <w:p>
      <w:pPr>
        <w:pStyle w:val="Subsection"/>
      </w:pPr>
      <w:r>
        <w:tab/>
        <w:t>(2)</w:t>
      </w:r>
      <w:r>
        <w:tab/>
        <w:t>The possession limits prescribed by subregulation (1) do not apply during the non</w:t>
      </w:r>
      <w:r>
        <w:noBreakHyphen/>
        <w:t>possession period as defined in regulation 38O.</w:t>
      </w:r>
    </w:p>
    <w:p>
      <w:pPr>
        <w:pStyle w:val="Subsection"/>
      </w:pPr>
      <w:r>
        <w:tab/>
        <w:t>(3)</w:t>
      </w:r>
      <w:r>
        <w:tab/>
        <w:t>The possession limit prescribed by subregulation (1)(b) does not apply to a person who is on private land owned or occupied by the person.</w:t>
      </w:r>
    </w:p>
    <w:p>
      <w:pPr>
        <w:pStyle w:val="Subsection"/>
      </w:pPr>
      <w:r>
        <w:tab/>
        <w:t>(4)</w:t>
      </w:r>
      <w:r>
        <w:tab/>
        <w:t>It is a defence in proceedings against a person under section 51(2) of the Act in respect of the possession of marron —</w:t>
      </w:r>
    </w:p>
    <w:p>
      <w:pPr>
        <w:pStyle w:val="Indenta"/>
      </w:pPr>
      <w:r>
        <w:tab/>
        <w:t>(a)</w:t>
      </w:r>
      <w:r>
        <w:tab/>
        <w:t>that the marron had been sold by retail to the public; or</w:t>
      </w:r>
    </w:p>
    <w:p>
      <w:pPr>
        <w:pStyle w:val="Indenta"/>
      </w:pPr>
      <w:r>
        <w:tab/>
        <w:t>(b)</w:t>
      </w:r>
      <w:r>
        <w:tab/>
        <w:t>that the marron were in the person’s possession at a place for the purpose of being —</w:t>
      </w:r>
    </w:p>
    <w:p>
      <w:pPr>
        <w:pStyle w:val="Indenti"/>
      </w:pPr>
      <w:r>
        <w:tab/>
        <w:t>(i)</w:t>
      </w:r>
      <w:r>
        <w:tab/>
        <w:t>sold by retail to the public; or</w:t>
      </w:r>
    </w:p>
    <w:p>
      <w:pPr>
        <w:pStyle w:val="Indenti"/>
      </w:pPr>
      <w:r>
        <w:tab/>
        <w:t>(ii)</w:t>
      </w:r>
      <w:r>
        <w:tab/>
        <w:t>served as meals to the public,</w:t>
      </w:r>
    </w:p>
    <w:p>
      <w:pPr>
        <w:pStyle w:val="Indenta"/>
      </w:pPr>
      <w:r>
        <w:tab/>
      </w:r>
      <w:r>
        <w:tab/>
        <w:t>in, on or from that place; or</w:t>
      </w:r>
    </w:p>
    <w:p>
      <w:pPr>
        <w:pStyle w:val="Indenta"/>
        <w:keepNext/>
      </w:pPr>
      <w:r>
        <w:tab/>
        <w:t>(c)</w:t>
      </w:r>
      <w:r>
        <w:tab/>
        <w:t>that the marron were in the person’s possession —</w:t>
      </w:r>
    </w:p>
    <w:p>
      <w:pPr>
        <w:pStyle w:val="Indenti"/>
      </w:pPr>
      <w:r>
        <w:tab/>
        <w:t>(i)</w:t>
      </w:r>
      <w:r>
        <w:tab/>
        <w:t>at a place specified in a fish processor’s licence under section 83(2) of the Act; and</w:t>
      </w:r>
    </w:p>
    <w:p>
      <w:pPr>
        <w:pStyle w:val="Indenti"/>
      </w:pPr>
      <w:r>
        <w:tab/>
        <w:t>(ii)</w:t>
      </w:r>
      <w:r>
        <w:tab/>
        <w:t>for the purpose of being processed in accordance with that licence.</w:t>
      </w:r>
    </w:p>
    <w:p>
      <w:pPr>
        <w:pStyle w:val="Footnotesection"/>
      </w:pPr>
      <w:r>
        <w:tab/>
        <w:t>[Regulation 16N inserted in Gazette 29 Dec 2006 p. 5889</w:t>
      </w:r>
      <w:r>
        <w:noBreakHyphen/>
        <w:t>90.]</w:t>
      </w:r>
    </w:p>
    <w:p>
      <w:pPr>
        <w:pStyle w:val="Ednotesection"/>
      </w:pPr>
      <w:r>
        <w:t>[</w:t>
      </w:r>
      <w:r>
        <w:rPr>
          <w:b/>
        </w:rPr>
        <w:t>16NA.</w:t>
      </w:r>
      <w:r>
        <w:rPr>
          <w:b/>
        </w:rPr>
        <w:tab/>
      </w:r>
      <w:r>
        <w:t>Deleted in Gazette 29 Dec 2006 p. 5889.]</w:t>
      </w:r>
    </w:p>
    <w:p>
      <w:pPr>
        <w:pStyle w:val="Heading5"/>
        <w:rPr>
          <w:snapToGrid w:val="0"/>
        </w:rPr>
      </w:pPr>
      <w:bookmarkStart w:id="873" w:name="_Toc309309290"/>
      <w:r>
        <w:rPr>
          <w:rStyle w:val="CharSectno"/>
        </w:rPr>
        <w:t>17</w:t>
      </w:r>
      <w:r>
        <w:rPr>
          <w:snapToGrid w:val="0"/>
        </w:rPr>
        <w:t>.</w:t>
      </w:r>
      <w:r>
        <w:rPr>
          <w:snapToGrid w:val="0"/>
        </w:rPr>
        <w:tab/>
        <w:t>Abalone</w:t>
      </w:r>
      <w:bookmarkEnd w:id="873"/>
    </w:p>
    <w:p>
      <w:pPr>
        <w:pStyle w:val="Subsection"/>
        <w:keepNext/>
        <w:keepLines/>
        <w:rPr>
          <w:snapToGrid w:val="0"/>
        </w:rPr>
      </w:pPr>
      <w:r>
        <w:rPr>
          <w:snapToGrid w:val="0"/>
        </w:rPr>
        <w:tab/>
        <w:t>(1)</w:t>
      </w:r>
      <w:r>
        <w:rPr>
          <w:snapToGrid w:val="0"/>
        </w:rPr>
        <w:tab/>
        <w:t>For the purposes of section 51(1) of the Act the maximum quantity of abalone that a person may be in possession of, other than at the person’s principal place of residence, is —</w:t>
      </w:r>
    </w:p>
    <w:p>
      <w:pPr>
        <w:pStyle w:val="Indenta"/>
        <w:rPr>
          <w:snapToGrid w:val="0"/>
        </w:rPr>
      </w:pPr>
      <w:r>
        <w:rPr>
          <w:snapToGrid w:val="0"/>
        </w:rPr>
        <w:tab/>
        <w:t>(a)</w:t>
      </w:r>
      <w:r>
        <w:rPr>
          <w:snapToGrid w:val="0"/>
        </w:rPr>
        <w:tab/>
        <w:t>20 abalone that are other than prescribed abalone; and</w:t>
      </w:r>
    </w:p>
    <w:p>
      <w:pPr>
        <w:pStyle w:val="Indenta"/>
        <w:rPr>
          <w:snapToGrid w:val="0"/>
        </w:rPr>
      </w:pPr>
      <w:r>
        <w:rPr>
          <w:snapToGrid w:val="0"/>
        </w:rPr>
        <w:tab/>
        <w:t>(b)</w:t>
      </w:r>
      <w:r>
        <w:rPr>
          <w:snapToGrid w:val="0"/>
        </w:rPr>
        <w:tab/>
        <w:t>10 prescribed abalone.</w:t>
      </w:r>
    </w:p>
    <w:p>
      <w:pPr>
        <w:pStyle w:val="Subsection"/>
        <w:rPr>
          <w:snapToGrid w:val="0"/>
        </w:rPr>
      </w:pPr>
      <w:r>
        <w:tab/>
        <w:t>(1a)</w:t>
      </w:r>
      <w:r>
        <w:tab/>
      </w:r>
      <w:r>
        <w:rPr>
          <w:snapToGrid w:val="0"/>
        </w:rPr>
        <w:t>For the purposes of section 51(1) of the Act, the maximum quantity of abalone that a person may have at the person’s principal place of residence is —</w:t>
      </w:r>
    </w:p>
    <w:p>
      <w:pPr>
        <w:pStyle w:val="Indenta"/>
        <w:rPr>
          <w:snapToGrid w:val="0"/>
        </w:rPr>
      </w:pPr>
      <w:r>
        <w:rPr>
          <w:snapToGrid w:val="0"/>
        </w:rPr>
        <w:tab/>
        <w:t>(a)</w:t>
      </w:r>
      <w:r>
        <w:rPr>
          <w:snapToGrid w:val="0"/>
        </w:rPr>
        <w:tab/>
        <w:t>80 abalone that are other than prescribed abalone; and</w:t>
      </w:r>
    </w:p>
    <w:p>
      <w:pPr>
        <w:pStyle w:val="Indenta"/>
      </w:pPr>
      <w:r>
        <w:rPr>
          <w:snapToGrid w:val="0"/>
        </w:rPr>
        <w:tab/>
        <w:t>(b)</w:t>
      </w:r>
      <w:r>
        <w:rPr>
          <w:snapToGrid w:val="0"/>
        </w:rPr>
        <w:tab/>
        <w:t>20 prescribed abalone.</w:t>
      </w:r>
    </w:p>
    <w:p>
      <w:pPr>
        <w:pStyle w:val="Subsection"/>
        <w:rPr>
          <w:snapToGrid w:val="0"/>
        </w:rPr>
      </w:pPr>
      <w:r>
        <w:rPr>
          <w:snapToGrid w:val="0"/>
        </w:rPr>
        <w:tab/>
        <w:t>(2)</w:t>
      </w:r>
      <w:r>
        <w:rPr>
          <w:snapToGrid w:val="0"/>
        </w:rPr>
        <w:tab/>
        <w:t>In this regulation —</w:t>
      </w:r>
    </w:p>
    <w:p>
      <w:pPr>
        <w:pStyle w:val="Defstart"/>
      </w:pPr>
      <w:r>
        <w:rPr>
          <w:b/>
        </w:rPr>
        <w:tab/>
      </w:r>
      <w:r>
        <w:rPr>
          <w:rStyle w:val="CharDefText"/>
        </w:rPr>
        <w:t>prescribed abalone</w:t>
      </w:r>
      <w:r>
        <w:t xml:space="preserve"> means brownlip abalone, greenlip abalone or any combination of those 2 species of abalone.</w:t>
      </w:r>
    </w:p>
    <w:p>
      <w:pPr>
        <w:pStyle w:val="Footnotesection"/>
      </w:pPr>
      <w:r>
        <w:tab/>
        <w:t>[Regulation 17 amended in Gazette 1 Oct 2003 p. 4297.]</w:t>
      </w:r>
    </w:p>
    <w:p>
      <w:pPr>
        <w:pStyle w:val="Heading5"/>
      </w:pPr>
      <w:bookmarkStart w:id="874" w:name="_Toc309309291"/>
      <w:r>
        <w:rPr>
          <w:rStyle w:val="CharSectno"/>
        </w:rPr>
        <w:t>17A</w:t>
      </w:r>
      <w:r>
        <w:t>.</w:t>
      </w:r>
      <w:r>
        <w:tab/>
        <w:t>Mud crabs in King Sound</w:t>
      </w:r>
      <w:bookmarkEnd w:id="874"/>
    </w:p>
    <w:p>
      <w:pPr>
        <w:pStyle w:val="Subsection"/>
      </w:pPr>
      <w:r>
        <w:tab/>
        <w:t>(1)</w:t>
      </w:r>
      <w:r>
        <w:tab/>
        <w:t>For the purposes of section 51(1) of the Act, the maximum quantity of brown mud and green mud crabs (combined) that a person on a boat in the King Sound may be in possession of, whether the crabs are on or attached to the boat or any tender or other vessel operating with or attached to the boat, is —</w:t>
      </w:r>
    </w:p>
    <w:p>
      <w:pPr>
        <w:pStyle w:val="Indenta"/>
      </w:pPr>
      <w:r>
        <w:tab/>
        <w:t>(a)</w:t>
      </w:r>
      <w:r>
        <w:tab/>
        <w:t>if there is only one person on the boat — one day’s bag limit of those crabs; or</w:t>
      </w:r>
    </w:p>
    <w:p>
      <w:pPr>
        <w:pStyle w:val="Indenta"/>
      </w:pPr>
      <w:r>
        <w:tab/>
        <w:t>(b)</w:t>
      </w:r>
      <w:r>
        <w:tab/>
        <w:t>if there are 2 or more persons on the boat — 4 days’ bag limit of those crabs.</w:t>
      </w:r>
    </w:p>
    <w:p>
      <w:pPr>
        <w:pStyle w:val="Subsection"/>
      </w:pPr>
      <w:r>
        <w:tab/>
        <w:t>(2A)</w:t>
      </w:r>
      <w:r>
        <w:tab/>
        <w:t>For the purposes of section 51(1) of the Act, the maximum quantity of brown mud and green mud crabs (combined) that the master of a boat in the King Sound may be in possession of on the boat, whether the crabs are on or attached to the boat or any tender or other vessel operating with or attached to the boat, is —</w:t>
      </w:r>
    </w:p>
    <w:p>
      <w:pPr>
        <w:pStyle w:val="Indenta"/>
      </w:pPr>
      <w:r>
        <w:tab/>
        <w:t>(a)</w:t>
      </w:r>
      <w:r>
        <w:tab/>
        <w:t>if there is only one person on the boat — one day’s bag limit of those crabs; or</w:t>
      </w:r>
    </w:p>
    <w:p>
      <w:pPr>
        <w:pStyle w:val="Indenta"/>
      </w:pPr>
      <w:r>
        <w:tab/>
        <w:t>(b)</w:t>
      </w:r>
      <w:r>
        <w:tab/>
        <w:t>if there are 2 or more persons on the boat — 4 days’ bag limit of those crabs.</w:t>
      </w:r>
    </w:p>
    <w:p>
      <w:pPr>
        <w:pStyle w:val="Subsection"/>
      </w:pPr>
      <w:r>
        <w:tab/>
        <w:t>(2)</w:t>
      </w:r>
      <w:r>
        <w:tab/>
        <w:t>In any proceedings for an offence under section 51(2) of the Act in the circumstances referred to in subregulation (1) it is a defence for the person charged to prove that the person was the master of a commercial passenger boat not used for fishing.</w:t>
      </w:r>
    </w:p>
    <w:p>
      <w:pPr>
        <w:pStyle w:val="Subsection"/>
      </w:pPr>
      <w:r>
        <w:tab/>
        <w:t>(3)</w:t>
      </w:r>
      <w:r>
        <w:tab/>
        <w:t>Despite subregulations (1) and (2A), the master of a boat in the King Sound that is not a fishing boat must ensure that the quantity of brown mud and green mud crabs (combined) that is on or attached to the boat and any tender or other vessel operating with or attached to the boat is not more than —</w:t>
      </w:r>
    </w:p>
    <w:p>
      <w:pPr>
        <w:pStyle w:val="Indenta"/>
      </w:pPr>
      <w:r>
        <w:tab/>
        <w:t>(a)</w:t>
      </w:r>
      <w:r>
        <w:tab/>
        <w:t>if there is only one person on the boat — one day’s bag limit of those crabs; or</w:t>
      </w:r>
    </w:p>
    <w:p>
      <w:pPr>
        <w:pStyle w:val="Indenta"/>
      </w:pPr>
      <w:r>
        <w:tab/>
        <w:t>(b)</w:t>
      </w:r>
      <w:r>
        <w:tab/>
        <w:t>if there are 2 or more persons on the boat — 4 days’ bag limit of those crabs.</w:t>
      </w:r>
    </w:p>
    <w:p>
      <w:pPr>
        <w:pStyle w:val="Penstart"/>
      </w:pPr>
      <w:r>
        <w:tab/>
        <w:t>Penalty: a fine of $5 000 and the penalty provided in section 222 of the Act.</w:t>
      </w:r>
    </w:p>
    <w:p>
      <w:pPr>
        <w:pStyle w:val="Subsection"/>
      </w:pPr>
      <w:r>
        <w:tab/>
        <w:t>(4)</w:t>
      </w:r>
      <w:r>
        <w:tab/>
        <w:t>In this regulation —</w:t>
      </w:r>
    </w:p>
    <w:p>
      <w:pPr>
        <w:pStyle w:val="Defstart"/>
      </w:pPr>
      <w:r>
        <w:rPr>
          <w:b/>
        </w:rPr>
        <w:tab/>
      </w:r>
      <w:r>
        <w:rPr>
          <w:rStyle w:val="CharDefText"/>
        </w:rPr>
        <w:t>King Sound</w:t>
      </w:r>
      <w:r>
        <w:t xml:space="preserve"> means the waters of King Sound and the </w:t>
      </w:r>
      <w:smartTag w:uri="urn:schemas-microsoft-com:office:smarttags" w:element="place">
        <w:smartTag w:uri="urn:schemas-microsoft-com:office:smarttags" w:element="PlaceName">
          <w:r>
            <w:t>Fitzroy</w:t>
          </w:r>
        </w:smartTag>
        <w:r>
          <w:t xml:space="preserve"> </w:t>
        </w:r>
        <w:smartTag w:uri="urn:schemas-microsoft-com:office:smarttags" w:element="PlaceType">
          <w:r>
            <w:t>River</w:t>
          </w:r>
        </w:smartTag>
      </w:smartTag>
      <w:r>
        <w:t xml:space="preserve"> and their tributaries, south of 17° 27′ south latitude.</w:t>
      </w:r>
    </w:p>
    <w:p>
      <w:pPr>
        <w:pStyle w:val="Footnotesection"/>
      </w:pPr>
      <w:r>
        <w:tab/>
        <w:t>[Regulation 17A inserted in Gazette 22 Dec 2005 p. 6220</w:t>
      </w:r>
      <w:r>
        <w:noBreakHyphen/>
        <w:t>1; amended in Gazette 1 Mar 2011 p. 670</w:t>
      </w:r>
      <w:r>
        <w:noBreakHyphen/>
        <w:t>1.]</w:t>
      </w:r>
    </w:p>
    <w:p>
      <w:pPr>
        <w:pStyle w:val="Heading5"/>
        <w:rPr>
          <w:snapToGrid w:val="0"/>
        </w:rPr>
      </w:pPr>
      <w:bookmarkStart w:id="875" w:name="_Toc309309292"/>
      <w:r>
        <w:rPr>
          <w:rStyle w:val="CharSectno"/>
        </w:rPr>
        <w:t>18</w:t>
      </w:r>
      <w:r>
        <w:rPr>
          <w:snapToGrid w:val="0"/>
        </w:rPr>
        <w:t>.</w:t>
      </w:r>
      <w:r>
        <w:rPr>
          <w:snapToGrid w:val="0"/>
        </w:rPr>
        <w:tab/>
        <w:t>Fish on fishing boats (commercial)</w:t>
      </w:r>
      <w:bookmarkEnd w:id="875"/>
    </w:p>
    <w:p>
      <w:pPr>
        <w:pStyle w:val="Subsection"/>
        <w:rPr>
          <w:snapToGrid w:val="0"/>
        </w:rPr>
      </w:pPr>
      <w:r>
        <w:rPr>
          <w:snapToGrid w:val="0"/>
        </w:rPr>
        <w:tab/>
        <w:t>(1)</w:t>
      </w:r>
      <w:r>
        <w:rPr>
          <w:snapToGrid w:val="0"/>
        </w:rPr>
        <w:tab/>
        <w:t>The maximum quantity of fish of a type specified in an item of the Table to this regulation that a master of a fishing boat may be in possession of on that boat is as set out opposite that item in column 2 of that Table.</w:t>
      </w:r>
    </w:p>
    <w:p>
      <w:pPr>
        <w:pStyle w:val="Subsection"/>
        <w:rPr>
          <w:snapToGrid w:val="0"/>
        </w:rPr>
      </w:pPr>
      <w:r>
        <w:rPr>
          <w:snapToGrid w:val="0"/>
        </w:rPr>
        <w:tab/>
        <w:t>(2)</w:t>
      </w:r>
      <w:r>
        <w:rPr>
          <w:snapToGrid w:val="0"/>
        </w:rPr>
        <w:tab/>
        <w:t>For the purposes of subregulation (1), the master of the fishing boat on which the fish are held or transported is to be taken to be in possession of the fish.</w:t>
      </w:r>
    </w:p>
    <w:p>
      <w:pPr>
        <w:pStyle w:val="Subsection"/>
        <w:rPr>
          <w:snapToGrid w:val="0"/>
        </w:rPr>
      </w:pPr>
      <w:r>
        <w:rPr>
          <w:snapToGrid w:val="0"/>
        </w:rPr>
        <w:tab/>
        <w:t>(3)</w:t>
      </w:r>
      <w:r>
        <w:rPr>
          <w:snapToGrid w:val="0"/>
        </w:rPr>
        <w:tab/>
        <w:t>This regulation does not apply —</w:t>
      </w:r>
    </w:p>
    <w:p>
      <w:pPr>
        <w:pStyle w:val="Indenta"/>
        <w:rPr>
          <w:snapToGrid w:val="0"/>
        </w:rPr>
      </w:pPr>
      <w:r>
        <w:rPr>
          <w:snapToGrid w:val="0"/>
        </w:rPr>
        <w:tab/>
        <w:t>(a)</w:t>
      </w:r>
      <w:r>
        <w:rPr>
          <w:snapToGrid w:val="0"/>
        </w:rPr>
        <w:tab/>
        <w:t>to fish taken in accordance with a Fishing Permit or Statutory Fishing Right granted under the Commonwealth Act; or</w:t>
      </w:r>
    </w:p>
    <w:p>
      <w:pPr>
        <w:pStyle w:val="Indenta"/>
        <w:rPr>
          <w:snapToGrid w:val="0"/>
        </w:rPr>
      </w:pPr>
      <w:r>
        <w:rPr>
          <w:snapToGrid w:val="0"/>
        </w:rPr>
        <w:tab/>
        <w:t>(b)</w:t>
      </w:r>
      <w:r>
        <w:rPr>
          <w:snapToGrid w:val="0"/>
        </w:rPr>
        <w:tab/>
        <w:t>where all the fish held or transported on the fishing boat were taken solely for a non</w:t>
      </w:r>
      <w:r>
        <w:rPr>
          <w:snapToGrid w:val="0"/>
        </w:rPr>
        <w:noBreakHyphen/>
        <w:t>commercial purpose.</w:t>
      </w:r>
    </w:p>
    <w:p>
      <w:pPr>
        <w:pStyle w:val="Subsection"/>
        <w:rPr>
          <w:snapToGrid w:val="0"/>
        </w:rPr>
      </w:pPr>
      <w:r>
        <w:tab/>
        <w:t>(3a)</w:t>
      </w:r>
      <w:r>
        <w:tab/>
        <w:t>The master of a fishing boat must not be in possession of more fish on that boat than is specified in accordance with this regulation.</w:t>
      </w:r>
    </w:p>
    <w:p>
      <w:pPr>
        <w:pStyle w:val="Penstart"/>
        <w:rPr>
          <w:snapToGrid w:val="0"/>
        </w:rPr>
      </w:pPr>
      <w:r>
        <w:rPr>
          <w:snapToGrid w:val="0"/>
        </w:rPr>
        <w:tab/>
        <w:t>Penalty: In the case of an individual, $5 000 or, in the case of a body corporate, $10 000.</w:t>
      </w:r>
    </w:p>
    <w:p>
      <w:pPr>
        <w:pStyle w:val="THeadingNAm"/>
      </w:pPr>
      <w:r>
        <w:t>Table</w:t>
      </w:r>
    </w:p>
    <w:tbl>
      <w:tblPr>
        <w:tblW w:w="0" w:type="auto"/>
        <w:tblInd w:w="890" w:type="dxa"/>
        <w:tblLayout w:type="fixed"/>
        <w:tblLook w:val="0000" w:firstRow="0" w:lastRow="0" w:firstColumn="0" w:lastColumn="0" w:noHBand="0" w:noVBand="0"/>
      </w:tblPr>
      <w:tblGrid>
        <w:gridCol w:w="494"/>
        <w:gridCol w:w="4394"/>
        <w:gridCol w:w="993"/>
      </w:tblGrid>
      <w:tr>
        <w:tc>
          <w:tcPr>
            <w:tcW w:w="494" w:type="dxa"/>
          </w:tcPr>
          <w:p>
            <w:pPr>
              <w:pStyle w:val="TableNAm"/>
              <w:spacing w:before="60"/>
              <w:rPr>
                <w:snapToGrid w:val="0"/>
                <w:sz w:val="22"/>
              </w:rPr>
            </w:pPr>
            <w:r>
              <w:rPr>
                <w:snapToGrid w:val="0"/>
                <w:sz w:val="22"/>
              </w:rPr>
              <w:t>1.</w:t>
            </w:r>
          </w:p>
        </w:tc>
        <w:tc>
          <w:tcPr>
            <w:tcW w:w="4394" w:type="dxa"/>
          </w:tcPr>
          <w:p>
            <w:pPr>
              <w:pStyle w:val="TableNAm"/>
              <w:spacing w:before="60"/>
              <w:rPr>
                <w:snapToGrid w:val="0"/>
                <w:sz w:val="22"/>
              </w:rPr>
            </w:pPr>
            <w:r>
              <w:rPr>
                <w:sz w:val="22"/>
              </w:rPr>
              <w:t>Billfish (marlins, sailfish and spearfish)</w:t>
            </w:r>
            <w:r>
              <w:rPr>
                <w:snapToGrid w:val="0"/>
                <w:sz w:val="22"/>
              </w:rPr>
              <w:t xml:space="preserve"> and swordfish </w:t>
            </w:r>
          </w:p>
        </w:tc>
        <w:tc>
          <w:tcPr>
            <w:tcW w:w="993" w:type="dxa"/>
          </w:tcPr>
          <w:p>
            <w:pPr>
              <w:pStyle w:val="TableNAm"/>
              <w:spacing w:before="60"/>
              <w:rPr>
                <w:snapToGrid w:val="0"/>
                <w:sz w:val="22"/>
              </w:rPr>
            </w:pPr>
            <w:r>
              <w:rPr>
                <w:snapToGrid w:val="0"/>
                <w:sz w:val="22"/>
              </w:rPr>
              <w:t>0</w:t>
            </w:r>
          </w:p>
        </w:tc>
      </w:tr>
      <w:tr>
        <w:tc>
          <w:tcPr>
            <w:tcW w:w="494" w:type="dxa"/>
          </w:tcPr>
          <w:p>
            <w:pPr>
              <w:pStyle w:val="TableNAm"/>
              <w:spacing w:before="60"/>
              <w:rPr>
                <w:snapToGrid w:val="0"/>
                <w:sz w:val="22"/>
              </w:rPr>
            </w:pPr>
          </w:p>
        </w:tc>
        <w:tc>
          <w:tcPr>
            <w:tcW w:w="4394" w:type="dxa"/>
          </w:tcPr>
          <w:p>
            <w:pPr>
              <w:pStyle w:val="TableNAm"/>
              <w:spacing w:before="60"/>
              <w:rPr>
                <w:snapToGrid w:val="0"/>
                <w:sz w:val="22"/>
              </w:rPr>
            </w:pPr>
            <w:r>
              <w:rPr>
                <w:snapToGrid w:val="0"/>
                <w:sz w:val="22"/>
              </w:rPr>
              <w:t>Tuna, southern bluefin and northern bluefin</w:t>
            </w:r>
          </w:p>
        </w:tc>
        <w:tc>
          <w:tcPr>
            <w:tcW w:w="993" w:type="dxa"/>
          </w:tcPr>
          <w:p>
            <w:pPr>
              <w:pStyle w:val="TableNAm"/>
              <w:spacing w:before="60"/>
              <w:rPr>
                <w:snapToGrid w:val="0"/>
                <w:sz w:val="22"/>
              </w:rPr>
            </w:pPr>
          </w:p>
        </w:tc>
      </w:tr>
      <w:tr>
        <w:tc>
          <w:tcPr>
            <w:tcW w:w="494" w:type="dxa"/>
          </w:tcPr>
          <w:p>
            <w:pPr>
              <w:pStyle w:val="TableNAm"/>
              <w:spacing w:before="60"/>
              <w:rPr>
                <w:snapToGrid w:val="0"/>
                <w:sz w:val="22"/>
              </w:rPr>
            </w:pPr>
            <w:r>
              <w:rPr>
                <w:snapToGrid w:val="0"/>
                <w:sz w:val="22"/>
              </w:rPr>
              <w:t>2.</w:t>
            </w:r>
          </w:p>
        </w:tc>
        <w:tc>
          <w:tcPr>
            <w:tcW w:w="4394" w:type="dxa"/>
          </w:tcPr>
          <w:p>
            <w:pPr>
              <w:pStyle w:val="TableNAm"/>
              <w:spacing w:before="60"/>
              <w:rPr>
                <w:snapToGrid w:val="0"/>
                <w:sz w:val="22"/>
              </w:rPr>
            </w:pPr>
            <w:r>
              <w:rPr>
                <w:snapToGrid w:val="0"/>
                <w:sz w:val="22"/>
              </w:rPr>
              <w:t xml:space="preserve">Tuna, yellowfin and bigeye </w:t>
            </w:r>
          </w:p>
        </w:tc>
        <w:tc>
          <w:tcPr>
            <w:tcW w:w="993" w:type="dxa"/>
          </w:tcPr>
          <w:p>
            <w:pPr>
              <w:pStyle w:val="TableNAm"/>
              <w:spacing w:before="60"/>
              <w:rPr>
                <w:snapToGrid w:val="0"/>
                <w:sz w:val="22"/>
              </w:rPr>
            </w:pPr>
            <w:r>
              <w:rPr>
                <w:snapToGrid w:val="0"/>
                <w:sz w:val="22"/>
              </w:rPr>
              <w:t>2</w:t>
            </w:r>
          </w:p>
        </w:tc>
      </w:tr>
      <w:tr>
        <w:tc>
          <w:tcPr>
            <w:tcW w:w="494" w:type="dxa"/>
          </w:tcPr>
          <w:p>
            <w:pPr>
              <w:pStyle w:val="TableNAm"/>
              <w:spacing w:before="60"/>
              <w:rPr>
                <w:snapToGrid w:val="0"/>
                <w:sz w:val="22"/>
              </w:rPr>
            </w:pPr>
            <w:r>
              <w:rPr>
                <w:snapToGrid w:val="0"/>
                <w:sz w:val="22"/>
              </w:rPr>
              <w:t>3.</w:t>
            </w:r>
          </w:p>
        </w:tc>
        <w:tc>
          <w:tcPr>
            <w:tcW w:w="4394" w:type="dxa"/>
          </w:tcPr>
          <w:p>
            <w:pPr>
              <w:pStyle w:val="TableNAm"/>
              <w:spacing w:before="60"/>
              <w:rPr>
                <w:snapToGrid w:val="0"/>
                <w:sz w:val="22"/>
              </w:rPr>
            </w:pPr>
            <w:r>
              <w:rPr>
                <w:snapToGrid w:val="0"/>
                <w:sz w:val="22"/>
              </w:rPr>
              <w:t xml:space="preserve">Mackerel, jack, Peruvian jack, yellowtail jack and blue </w:t>
            </w:r>
          </w:p>
        </w:tc>
        <w:tc>
          <w:tcPr>
            <w:tcW w:w="993" w:type="dxa"/>
          </w:tcPr>
          <w:p>
            <w:pPr>
              <w:pStyle w:val="TableNAm"/>
              <w:spacing w:before="60"/>
              <w:rPr>
                <w:snapToGrid w:val="0"/>
                <w:sz w:val="22"/>
              </w:rPr>
            </w:pPr>
            <w:r>
              <w:rPr>
                <w:snapToGrid w:val="0"/>
                <w:sz w:val="22"/>
              </w:rPr>
              <w:t>10</w:t>
            </w:r>
          </w:p>
        </w:tc>
      </w:tr>
      <w:tr>
        <w:tc>
          <w:tcPr>
            <w:tcW w:w="494" w:type="dxa"/>
          </w:tcPr>
          <w:p>
            <w:pPr>
              <w:pStyle w:val="TableNAm"/>
              <w:spacing w:before="60"/>
              <w:rPr>
                <w:snapToGrid w:val="0"/>
                <w:sz w:val="22"/>
              </w:rPr>
            </w:pPr>
          </w:p>
        </w:tc>
        <w:tc>
          <w:tcPr>
            <w:tcW w:w="4394" w:type="dxa"/>
          </w:tcPr>
          <w:p>
            <w:pPr>
              <w:pStyle w:val="TableNAm"/>
              <w:spacing w:before="60"/>
              <w:rPr>
                <w:snapToGrid w:val="0"/>
                <w:sz w:val="22"/>
              </w:rPr>
            </w:pPr>
            <w:r>
              <w:rPr>
                <w:snapToGrid w:val="0"/>
                <w:sz w:val="22"/>
              </w:rPr>
              <w:t xml:space="preserve">Tuna, albacore, longtail and skipjack </w:t>
            </w:r>
          </w:p>
        </w:tc>
        <w:tc>
          <w:tcPr>
            <w:tcW w:w="993" w:type="dxa"/>
          </w:tcPr>
          <w:p>
            <w:pPr>
              <w:pStyle w:val="TableNAm"/>
              <w:spacing w:before="60"/>
              <w:rPr>
                <w:snapToGrid w:val="0"/>
                <w:sz w:val="22"/>
              </w:rPr>
            </w:pPr>
          </w:p>
        </w:tc>
      </w:tr>
      <w:tr>
        <w:tc>
          <w:tcPr>
            <w:tcW w:w="494" w:type="dxa"/>
          </w:tcPr>
          <w:p>
            <w:pPr>
              <w:pStyle w:val="TableNAm"/>
              <w:spacing w:before="60"/>
              <w:rPr>
                <w:snapToGrid w:val="0"/>
                <w:sz w:val="22"/>
              </w:rPr>
            </w:pPr>
          </w:p>
        </w:tc>
        <w:tc>
          <w:tcPr>
            <w:tcW w:w="4394" w:type="dxa"/>
          </w:tcPr>
          <w:p>
            <w:pPr>
              <w:pStyle w:val="TableNAm"/>
              <w:spacing w:before="60"/>
              <w:rPr>
                <w:snapToGrid w:val="0"/>
                <w:sz w:val="22"/>
              </w:rPr>
            </w:pPr>
            <w:r>
              <w:rPr>
                <w:snapToGrid w:val="0"/>
                <w:sz w:val="22"/>
              </w:rPr>
              <w:t>Redbait</w:t>
            </w:r>
          </w:p>
        </w:tc>
        <w:tc>
          <w:tcPr>
            <w:tcW w:w="993" w:type="dxa"/>
          </w:tcPr>
          <w:p>
            <w:pPr>
              <w:pStyle w:val="TableNAm"/>
              <w:spacing w:before="60"/>
              <w:rPr>
                <w:snapToGrid w:val="0"/>
                <w:sz w:val="22"/>
              </w:rPr>
            </w:pPr>
          </w:p>
        </w:tc>
      </w:tr>
      <w:tr>
        <w:tc>
          <w:tcPr>
            <w:tcW w:w="494" w:type="dxa"/>
          </w:tcPr>
          <w:p>
            <w:pPr>
              <w:pStyle w:val="TableNAm"/>
              <w:spacing w:before="60"/>
              <w:rPr>
                <w:snapToGrid w:val="0"/>
                <w:sz w:val="22"/>
              </w:rPr>
            </w:pPr>
          </w:p>
        </w:tc>
        <w:tc>
          <w:tcPr>
            <w:tcW w:w="4394" w:type="dxa"/>
          </w:tcPr>
          <w:p>
            <w:pPr>
              <w:pStyle w:val="TableNAm"/>
              <w:spacing w:before="60"/>
              <w:rPr>
                <w:snapToGrid w:val="0"/>
                <w:sz w:val="22"/>
              </w:rPr>
            </w:pPr>
            <w:r>
              <w:rPr>
                <w:snapToGrid w:val="0"/>
                <w:sz w:val="22"/>
              </w:rPr>
              <w:t xml:space="preserve">Fish of the </w:t>
            </w:r>
            <w:r>
              <w:rPr>
                <w:snapToGrid w:val="0"/>
                <w:sz w:val="22"/>
                <w:u w:val="single"/>
              </w:rPr>
              <w:t>Family</w:t>
            </w:r>
            <w:r>
              <w:rPr>
                <w:i/>
                <w:snapToGrid w:val="0"/>
                <w:sz w:val="22"/>
              </w:rPr>
              <w:t xml:space="preserve"> </w:t>
            </w:r>
            <w:r>
              <w:rPr>
                <w:snapToGrid w:val="0"/>
                <w:sz w:val="22"/>
              </w:rPr>
              <w:t>Bramidae when taken in WA waters outside the 200 m isobath</w:t>
            </w:r>
          </w:p>
        </w:tc>
        <w:tc>
          <w:tcPr>
            <w:tcW w:w="993" w:type="dxa"/>
          </w:tcPr>
          <w:p>
            <w:pPr>
              <w:pStyle w:val="TableNAm"/>
              <w:spacing w:before="60"/>
              <w:rPr>
                <w:snapToGrid w:val="0"/>
                <w:sz w:val="22"/>
              </w:rPr>
            </w:pPr>
          </w:p>
        </w:tc>
      </w:tr>
    </w:tbl>
    <w:p>
      <w:pPr>
        <w:pStyle w:val="Footnotesection"/>
      </w:pPr>
      <w:r>
        <w:tab/>
        <w:t>[Regulation 18 amended in Gazette 12 Sep 1997 p. 5152; 1 Oct 2003 p. 4297 and 4344.]</w:t>
      </w:r>
    </w:p>
    <w:p>
      <w:pPr>
        <w:pStyle w:val="Ednotesection"/>
      </w:pPr>
      <w:r>
        <w:t>[</w:t>
      </w:r>
      <w:r>
        <w:rPr>
          <w:b/>
        </w:rPr>
        <w:t>19.</w:t>
      </w:r>
      <w:r>
        <w:tab/>
        <w:t>Deleted in Gazette 1 Oct 2003 p. 4297.]</w:t>
      </w:r>
    </w:p>
    <w:p>
      <w:pPr>
        <w:pStyle w:val="Heading5"/>
        <w:rPr>
          <w:snapToGrid w:val="0"/>
        </w:rPr>
      </w:pPr>
      <w:bookmarkStart w:id="876" w:name="_Toc309309293"/>
      <w:r>
        <w:rPr>
          <w:rStyle w:val="CharSectno"/>
        </w:rPr>
        <w:t>20</w:t>
      </w:r>
      <w:r>
        <w:rPr>
          <w:snapToGrid w:val="0"/>
        </w:rPr>
        <w:t>.</w:t>
      </w:r>
      <w:r>
        <w:rPr>
          <w:snapToGrid w:val="0"/>
        </w:rPr>
        <w:tab/>
        <w:t>Defence prescribed (Act s. 51)</w:t>
      </w:r>
      <w:bookmarkEnd w:id="876"/>
    </w:p>
    <w:p>
      <w:pPr>
        <w:pStyle w:val="Subsection"/>
        <w:spacing w:before="120"/>
        <w:rPr>
          <w:snapToGrid w:val="0"/>
        </w:rPr>
      </w:pPr>
      <w:r>
        <w:rPr>
          <w:snapToGrid w:val="0"/>
        </w:rPr>
        <w:tab/>
      </w:r>
      <w:r>
        <w:rPr>
          <w:snapToGrid w:val="0"/>
        </w:rPr>
        <w:tab/>
        <w:t>It is a defence in proceedings for an offence against section 51(2) of the Act that the person was acting in accordance with an authority to fish for fish for scientific purposes issued under regulation 178.</w:t>
      </w:r>
    </w:p>
    <w:p>
      <w:pPr>
        <w:pStyle w:val="Footnotesection"/>
      </w:pPr>
      <w:r>
        <w:tab/>
        <w:t>[Regulation 20 amended in Gazette 30 Aug 1996 p. 4319; 4 Jul 1997 p. 3475; 30 Sep 1997 p. 5417; 1 Oct 2003 p. 4297</w:t>
      </w:r>
      <w:r>
        <w:noBreakHyphen/>
        <w:t>8; 4 Nov 2005 p. 5309.]</w:t>
      </w:r>
    </w:p>
    <w:p>
      <w:pPr>
        <w:pStyle w:val="Heading5"/>
      </w:pPr>
      <w:bookmarkStart w:id="877" w:name="_Toc309309294"/>
      <w:r>
        <w:rPr>
          <w:rStyle w:val="CharSectno"/>
        </w:rPr>
        <w:t>21</w:t>
      </w:r>
      <w:r>
        <w:t>.</w:t>
      </w:r>
      <w:r>
        <w:tab/>
        <w:t>People presumed to be in possession of fish for Act s. 51</w:t>
      </w:r>
      <w:bookmarkEnd w:id="877"/>
    </w:p>
    <w:p>
      <w:pPr>
        <w:pStyle w:val="Subsection"/>
      </w:pPr>
      <w:r>
        <w:tab/>
        <w:t>(1)</w:t>
      </w:r>
      <w:r>
        <w:tab/>
        <w:t>In any proceedings for an offence against section 51 of the Act, in the absence of proof to the contrary —</w:t>
      </w:r>
    </w:p>
    <w:p>
      <w:pPr>
        <w:pStyle w:val="Indenta"/>
      </w:pPr>
      <w:r>
        <w:tab/>
        <w:t>(a)</w:t>
      </w:r>
      <w:r>
        <w:tab/>
        <w:t>subject to subregulation (2), a person using, or in control of, a vehicle in which fish are found is taken to be in possession of the fish; and</w:t>
      </w:r>
    </w:p>
    <w:p>
      <w:pPr>
        <w:pStyle w:val="Indenta"/>
      </w:pPr>
      <w:r>
        <w:tab/>
        <w:t>(b)</w:t>
      </w:r>
      <w:r>
        <w:tab/>
        <w:t>a person using or in control of a refrigerator, freezer, icebox, or other storage device in which fish are found is taken to be in possession of the fish.</w:t>
      </w:r>
    </w:p>
    <w:p>
      <w:pPr>
        <w:pStyle w:val="Subsection"/>
      </w:pPr>
      <w:r>
        <w:tab/>
        <w:t>(2)</w:t>
      </w:r>
      <w:r>
        <w:tab/>
        <w:t>In any proceedings for an offence against section 51 of the Act, a person who provides payment to a courier business in consideration for the transportation of fish, is to be taken to be in possession of the fish until the fish are actually in the possession of the person to whom the fish are being transported.</w:t>
      </w:r>
    </w:p>
    <w:p>
      <w:pPr>
        <w:pStyle w:val="Subsection"/>
      </w:pPr>
      <w:r>
        <w:tab/>
        <w:t>(3)</w:t>
      </w:r>
      <w:r>
        <w:tab/>
        <w:t>In this regulation —</w:t>
      </w:r>
    </w:p>
    <w:p>
      <w:pPr>
        <w:pStyle w:val="Defstart"/>
      </w:pPr>
      <w:r>
        <w:rPr>
          <w:b/>
        </w:rPr>
        <w:tab/>
      </w:r>
      <w:r>
        <w:rPr>
          <w:rStyle w:val="CharDefText"/>
        </w:rPr>
        <w:t>courier business</w:t>
      </w:r>
      <w:r>
        <w:t xml:space="preserve"> means a business that —</w:t>
      </w:r>
    </w:p>
    <w:p>
      <w:pPr>
        <w:pStyle w:val="Defpara"/>
      </w:pPr>
      <w:r>
        <w:tab/>
        <w:t>(a)</w:t>
      </w:r>
      <w:r>
        <w:tab/>
        <w:t>has an established place of business; and</w:t>
      </w:r>
    </w:p>
    <w:p>
      <w:pPr>
        <w:pStyle w:val="Defpara"/>
      </w:pPr>
      <w:r>
        <w:tab/>
        <w:t>(b)</w:t>
      </w:r>
      <w:r>
        <w:tab/>
        <w:t>carries on the business of transporting freight.</w:t>
      </w:r>
    </w:p>
    <w:p>
      <w:pPr>
        <w:pStyle w:val="Footnotesection"/>
      </w:pPr>
      <w:r>
        <w:tab/>
        <w:t>[Regulation 21 inserted in Gazette 1 Oct 2003 p. 4298</w:t>
      </w:r>
      <w:r>
        <w:noBreakHyphen/>
        <w:t>9.]</w:t>
      </w:r>
    </w:p>
    <w:p>
      <w:pPr>
        <w:pStyle w:val="Heading3"/>
        <w:keepLines/>
      </w:pPr>
      <w:bookmarkStart w:id="878" w:name="_Toc189987868"/>
      <w:bookmarkStart w:id="879" w:name="_Toc192041451"/>
      <w:bookmarkStart w:id="880" w:name="_Toc199570685"/>
      <w:bookmarkStart w:id="881" w:name="_Toc199738681"/>
      <w:bookmarkStart w:id="882" w:name="_Toc199814782"/>
      <w:bookmarkStart w:id="883" w:name="_Toc215040589"/>
      <w:bookmarkStart w:id="884" w:name="_Toc215041034"/>
      <w:bookmarkStart w:id="885" w:name="_Toc222129244"/>
      <w:bookmarkStart w:id="886" w:name="_Toc222222949"/>
      <w:bookmarkStart w:id="887" w:name="_Toc225914201"/>
      <w:bookmarkStart w:id="888" w:name="_Toc231282246"/>
      <w:bookmarkStart w:id="889" w:name="_Toc231282690"/>
      <w:bookmarkStart w:id="890" w:name="_Toc234899277"/>
      <w:bookmarkStart w:id="891" w:name="_Toc236632559"/>
      <w:bookmarkStart w:id="892" w:name="_Toc236720172"/>
      <w:bookmarkStart w:id="893" w:name="_Toc237764371"/>
      <w:bookmarkStart w:id="894" w:name="_Toc238355995"/>
      <w:bookmarkStart w:id="895" w:name="_Toc238368700"/>
      <w:bookmarkStart w:id="896" w:name="_Toc238375653"/>
      <w:bookmarkStart w:id="897" w:name="_Toc240338977"/>
      <w:bookmarkStart w:id="898" w:name="_Toc241993483"/>
      <w:bookmarkStart w:id="899" w:name="_Toc243192626"/>
      <w:bookmarkStart w:id="900" w:name="_Toc243295327"/>
      <w:bookmarkStart w:id="901" w:name="_Toc245112900"/>
      <w:bookmarkStart w:id="902" w:name="_Toc245198062"/>
      <w:bookmarkStart w:id="903" w:name="_Toc245198511"/>
      <w:bookmarkStart w:id="904" w:name="_Toc245198960"/>
      <w:bookmarkStart w:id="905" w:name="_Toc248121990"/>
      <w:bookmarkStart w:id="906" w:name="_Toc248122441"/>
      <w:bookmarkStart w:id="907" w:name="_Toc253670428"/>
      <w:bookmarkStart w:id="908" w:name="_Toc253670878"/>
      <w:bookmarkStart w:id="909" w:name="_Toc254942648"/>
      <w:bookmarkStart w:id="910" w:name="_Toc254943101"/>
      <w:bookmarkStart w:id="911" w:name="_Toc255475693"/>
      <w:bookmarkStart w:id="912" w:name="_Toc256432014"/>
      <w:bookmarkStart w:id="913" w:name="_Toc257720351"/>
      <w:bookmarkStart w:id="914" w:name="_Toc257722033"/>
      <w:bookmarkStart w:id="915" w:name="_Toc258335709"/>
      <w:bookmarkStart w:id="916" w:name="_Toc260406151"/>
      <w:bookmarkStart w:id="917" w:name="_Toc261271337"/>
      <w:bookmarkStart w:id="918" w:name="_Toc262808019"/>
      <w:bookmarkStart w:id="919" w:name="_Toc267572412"/>
      <w:bookmarkStart w:id="920" w:name="_Toc270684163"/>
      <w:bookmarkStart w:id="921" w:name="_Toc274214340"/>
      <w:bookmarkStart w:id="922" w:name="_Toc274214789"/>
      <w:bookmarkStart w:id="923" w:name="_Toc278976120"/>
      <w:bookmarkStart w:id="924" w:name="_Toc286760443"/>
      <w:bookmarkStart w:id="925" w:name="_Toc289080788"/>
      <w:bookmarkStart w:id="926" w:name="_Toc290283982"/>
      <w:bookmarkStart w:id="927" w:name="_Toc290642803"/>
      <w:bookmarkStart w:id="928" w:name="_Toc290643252"/>
      <w:bookmarkStart w:id="929" w:name="_Toc290643705"/>
      <w:bookmarkStart w:id="930" w:name="_Toc294701522"/>
      <w:bookmarkStart w:id="931" w:name="_Toc295199930"/>
      <w:bookmarkStart w:id="932" w:name="_Toc296954371"/>
      <w:bookmarkStart w:id="933" w:name="_Toc297276003"/>
      <w:bookmarkStart w:id="934" w:name="_Toc297276455"/>
      <w:bookmarkStart w:id="935" w:name="_Toc297276905"/>
      <w:bookmarkStart w:id="936" w:name="_Toc297726274"/>
      <w:bookmarkStart w:id="937" w:name="_Toc299980058"/>
      <w:bookmarkStart w:id="938" w:name="_Toc300234684"/>
      <w:bookmarkStart w:id="939" w:name="_Toc301961187"/>
      <w:bookmarkStart w:id="940" w:name="_Toc301966757"/>
      <w:bookmarkStart w:id="941" w:name="_Toc303252966"/>
      <w:bookmarkStart w:id="942" w:name="_Toc303257130"/>
      <w:bookmarkStart w:id="943" w:name="_Toc307992765"/>
      <w:bookmarkStart w:id="944" w:name="_Toc309029795"/>
      <w:bookmarkStart w:id="945" w:name="_Toc309304018"/>
      <w:bookmarkStart w:id="946" w:name="_Toc309304471"/>
      <w:bookmarkStart w:id="947" w:name="_Toc309309295"/>
      <w:r>
        <w:rPr>
          <w:rStyle w:val="CharDivNo"/>
        </w:rPr>
        <w:t>Division 4</w:t>
      </w:r>
      <w:r>
        <w:t> — </w:t>
      </w:r>
      <w:r>
        <w:rPr>
          <w:rStyle w:val="CharDivText"/>
        </w:rPr>
        <w:t>Labelling of fish</w:t>
      </w:r>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p>
    <w:p>
      <w:pPr>
        <w:pStyle w:val="Footnoteheading"/>
        <w:keepNext/>
        <w:keepLines/>
      </w:pPr>
      <w:r>
        <w:tab/>
        <w:t>[Heading inserted in Gazette 1 Oct 2003 p. 4299.]</w:t>
      </w:r>
    </w:p>
    <w:p>
      <w:pPr>
        <w:pStyle w:val="Heading5"/>
      </w:pPr>
      <w:bookmarkStart w:id="948" w:name="_Toc309309296"/>
      <w:r>
        <w:rPr>
          <w:rStyle w:val="CharSectno"/>
        </w:rPr>
        <w:t>22</w:t>
      </w:r>
      <w:r>
        <w:t>.</w:t>
      </w:r>
      <w:r>
        <w:tab/>
        <w:t>Labelling requirements for packed or stored fish</w:t>
      </w:r>
      <w:bookmarkEnd w:id="948"/>
    </w:p>
    <w:p>
      <w:pPr>
        <w:pStyle w:val="Subsection"/>
      </w:pPr>
      <w:r>
        <w:tab/>
        <w:t>(1)</w:t>
      </w:r>
      <w:r>
        <w:tab/>
        <w:t>A person who packages or stores fish —</w:t>
      </w:r>
    </w:p>
    <w:p>
      <w:pPr>
        <w:pStyle w:val="Indenta"/>
      </w:pPr>
      <w:r>
        <w:tab/>
        <w:t>(a)</w:t>
      </w:r>
      <w:r>
        <w:tab/>
        <w:t>other than at the person’s principal place of residence; or</w:t>
      </w:r>
    </w:p>
    <w:p>
      <w:pPr>
        <w:pStyle w:val="Indenta"/>
        <w:rPr>
          <w:snapToGrid w:val="0"/>
        </w:rPr>
      </w:pPr>
      <w:r>
        <w:tab/>
        <w:t>(b)</w:t>
      </w:r>
      <w:r>
        <w:tab/>
        <w:t xml:space="preserve">at the person’s principal place of residence if that place is </w:t>
      </w:r>
      <w:r>
        <w:rPr>
          <w:snapToGrid w:val="0"/>
        </w:rPr>
        <w:t>in —</w:t>
      </w:r>
    </w:p>
    <w:p>
      <w:pPr>
        <w:pStyle w:val="Indenti"/>
        <w:rPr>
          <w:snapToGrid w:val="0"/>
        </w:rPr>
      </w:pPr>
      <w:r>
        <w:rPr>
          <w:snapToGrid w:val="0"/>
        </w:rPr>
        <w:tab/>
        <w:t>(i)</w:t>
      </w:r>
      <w:r>
        <w:rPr>
          <w:snapToGrid w:val="0"/>
        </w:rPr>
        <w:tab/>
        <w:t>the Exmouth townsite,</w:t>
      </w:r>
      <w:r>
        <w:t xml:space="preserve"> as referred to in regulation 16L(1)</w:t>
      </w:r>
      <w:r>
        <w:rPr>
          <w:snapToGrid w:val="0"/>
        </w:rPr>
        <w:t>; or</w:t>
      </w:r>
    </w:p>
    <w:p>
      <w:pPr>
        <w:pStyle w:val="Indenti"/>
        <w:keepNext/>
        <w:rPr>
          <w:snapToGrid w:val="0"/>
        </w:rPr>
      </w:pPr>
      <w:r>
        <w:rPr>
          <w:snapToGrid w:val="0"/>
        </w:rPr>
        <w:tab/>
        <w:t>(ii)</w:t>
      </w:r>
      <w:r>
        <w:rPr>
          <w:snapToGrid w:val="0"/>
        </w:rPr>
        <w:tab/>
        <w:t>Ningaloo Marine Park Land Zone, as referred to in</w:t>
      </w:r>
      <w:r>
        <w:t xml:space="preserve"> regulation 16L(1)</w:t>
      </w:r>
      <w:r>
        <w:rPr>
          <w:snapToGrid w:val="0"/>
        </w:rPr>
        <w:t>,</w:t>
      </w:r>
    </w:p>
    <w:p>
      <w:pPr>
        <w:pStyle w:val="Subsection"/>
      </w:pPr>
      <w:r>
        <w:tab/>
      </w:r>
      <w:r>
        <w:tab/>
        <w:t>must ensure that a label, as described in subregulation (2), is securely attached to each package containing fish and to each fish that is stored other than in a package.</w:t>
      </w:r>
    </w:p>
    <w:p>
      <w:pPr>
        <w:pStyle w:val="Penstart"/>
      </w:pPr>
      <w:r>
        <w:tab/>
        <w:t>Penalty: $5 000 and the penalty provided in section 222 of the Act.</w:t>
      </w:r>
    </w:p>
    <w:p>
      <w:pPr>
        <w:pStyle w:val="Subsection"/>
      </w:pPr>
      <w:r>
        <w:tab/>
        <w:t>(2)</w:t>
      </w:r>
      <w:r>
        <w:tab/>
        <w:t>For the purposes of subregulation (1) a label must —</w:t>
      </w:r>
    </w:p>
    <w:p>
      <w:pPr>
        <w:pStyle w:val="Indenta"/>
      </w:pPr>
      <w:r>
        <w:tab/>
        <w:t>(a)</w:t>
      </w:r>
      <w:r>
        <w:tab/>
        <w:t>be not less than 75 mm in length and 25 mm in width; and</w:t>
      </w:r>
    </w:p>
    <w:p>
      <w:pPr>
        <w:pStyle w:val="Indenta"/>
      </w:pPr>
      <w:r>
        <w:tab/>
        <w:t>(b)</w:t>
      </w:r>
      <w:r>
        <w:tab/>
        <w:t>have legibly written on it the full name of the owner of the fish or package to which the label is attached; and</w:t>
      </w:r>
    </w:p>
    <w:p>
      <w:pPr>
        <w:pStyle w:val="Indenta"/>
      </w:pPr>
      <w:r>
        <w:tab/>
        <w:t>(c)</w:t>
      </w:r>
      <w:r>
        <w:tab/>
        <w:t>be attached to the fish or package in such a manner that it is clearly visible for inspection.</w:t>
      </w:r>
    </w:p>
    <w:p>
      <w:pPr>
        <w:pStyle w:val="Subsection"/>
      </w:pPr>
      <w:r>
        <w:tab/>
        <w:t>(3)</w:t>
      </w:r>
      <w:r>
        <w:tab/>
        <w:t>Subregulation (1) does not apply to, and in respect of —</w:t>
      </w:r>
    </w:p>
    <w:p>
      <w:pPr>
        <w:pStyle w:val="Indenta"/>
      </w:pPr>
      <w:r>
        <w:tab/>
        <w:t>(a)</w:t>
      </w:r>
      <w:r>
        <w:tab/>
        <w:t>fish taken for a commercial purpose by a person in accordance with an authorisation; or</w:t>
      </w:r>
    </w:p>
    <w:p>
      <w:pPr>
        <w:pStyle w:val="Indenta"/>
      </w:pPr>
      <w:r>
        <w:tab/>
        <w:t>(b)</w:t>
      </w:r>
      <w:r>
        <w:tab/>
        <w:t>fish kept, bred, hatched or cultured by the person in accordance with an aquaculture licence; or</w:t>
      </w:r>
    </w:p>
    <w:p>
      <w:pPr>
        <w:pStyle w:val="Indenta"/>
      </w:pPr>
      <w:r>
        <w:tab/>
        <w:t>(c)</w:t>
      </w:r>
      <w:r>
        <w:tab/>
        <w:t xml:space="preserve">fish of the </w:t>
      </w:r>
      <w:r>
        <w:rPr>
          <w:u w:val="single"/>
        </w:rPr>
        <w:t>Family</w:t>
      </w:r>
      <w:r>
        <w:t> Atherinidae, Clupeidae, Engraulidae, Hemirhamphidae or Mugilidae; or</w:t>
      </w:r>
    </w:p>
    <w:p>
      <w:pPr>
        <w:pStyle w:val="Indenta"/>
      </w:pPr>
      <w:r>
        <w:tab/>
        <w:t>(d)</w:t>
      </w:r>
      <w:r>
        <w:tab/>
        <w:t>fish —</w:t>
      </w:r>
    </w:p>
    <w:p>
      <w:pPr>
        <w:pStyle w:val="Indenti"/>
      </w:pPr>
      <w:r>
        <w:tab/>
        <w:t>(i)</w:t>
      </w:r>
      <w:r>
        <w:tab/>
        <w:t>in the possession and under the direct physical control of the person who took the fish; and</w:t>
      </w:r>
    </w:p>
    <w:p>
      <w:pPr>
        <w:pStyle w:val="Indenti"/>
      </w:pPr>
      <w:r>
        <w:tab/>
        <w:t>(ii)</w:t>
      </w:r>
      <w:r>
        <w:tab/>
        <w:t>packaged or stored together only with fish taken by the same person;</w:t>
      </w:r>
    </w:p>
    <w:p>
      <w:pPr>
        <w:pStyle w:val="Indenta"/>
      </w:pPr>
      <w:r>
        <w:tab/>
      </w:r>
      <w:r>
        <w:tab/>
        <w:t>or</w:t>
      </w:r>
    </w:p>
    <w:p>
      <w:pPr>
        <w:pStyle w:val="Indenta"/>
      </w:pPr>
      <w:r>
        <w:tab/>
        <w:t>(e)</w:t>
      </w:r>
      <w:r>
        <w:tab/>
        <w:t>fish taken by a person on, or who has just completed, a day trip; or</w:t>
      </w:r>
    </w:p>
    <w:p>
      <w:pPr>
        <w:pStyle w:val="Indenta"/>
      </w:pPr>
      <w:r>
        <w:tab/>
        <w:t>(f)</w:t>
      </w:r>
      <w:r>
        <w:tab/>
        <w:t>fish taken by a person and packaged or stored with fish not taken by the person, if —</w:t>
      </w:r>
    </w:p>
    <w:p>
      <w:pPr>
        <w:pStyle w:val="Indenti"/>
      </w:pPr>
      <w:r>
        <w:tab/>
        <w:t>(i)</w:t>
      </w:r>
      <w:r>
        <w:tab/>
        <w:t>the quantity of fish packaged or stored together does not exceed the total of the maximum quantity of fish that one person may be in possession of in accordance with regulation 16D; and</w:t>
      </w:r>
    </w:p>
    <w:p>
      <w:pPr>
        <w:pStyle w:val="Indenti"/>
      </w:pPr>
      <w:r>
        <w:tab/>
        <w:t>(ii)</w:t>
      </w:r>
      <w:r>
        <w:tab/>
        <w:t>no other fish are packaged or stored by the person.</w:t>
      </w:r>
    </w:p>
    <w:p>
      <w:pPr>
        <w:pStyle w:val="Subsection"/>
      </w:pPr>
      <w:r>
        <w:tab/>
        <w:t>(4)</w:t>
      </w:r>
      <w:r>
        <w:tab/>
        <w:t>For the purposes of subregulation (1), a person using or having control of —</w:t>
      </w:r>
    </w:p>
    <w:p>
      <w:pPr>
        <w:pStyle w:val="Indenta"/>
      </w:pPr>
      <w:r>
        <w:tab/>
        <w:t>(a)</w:t>
      </w:r>
      <w:r>
        <w:tab/>
        <w:t>a vehicle in which fish is present; or</w:t>
      </w:r>
    </w:p>
    <w:p>
      <w:pPr>
        <w:pStyle w:val="Indenta"/>
        <w:keepNext/>
        <w:keepLines/>
      </w:pPr>
      <w:r>
        <w:tab/>
        <w:t>(b)</w:t>
      </w:r>
      <w:r>
        <w:tab/>
        <w:t>a refrigerator, freezer, icebox, or other storage container in which fish is present,</w:t>
      </w:r>
    </w:p>
    <w:p>
      <w:pPr>
        <w:pStyle w:val="Subsection"/>
        <w:spacing w:before="120"/>
      </w:pPr>
      <w:r>
        <w:tab/>
      </w:r>
      <w:r>
        <w:tab/>
        <w:t>is, in the absence of proof to the contrary, to be taken to have packaged or stored the fish.</w:t>
      </w:r>
    </w:p>
    <w:p>
      <w:pPr>
        <w:pStyle w:val="Subsection"/>
      </w:pPr>
      <w:r>
        <w:tab/>
        <w:t>(5)</w:t>
      </w:r>
      <w:r>
        <w:tab/>
        <w:t>In this regulation —</w:t>
      </w:r>
    </w:p>
    <w:p>
      <w:pPr>
        <w:pStyle w:val="Defstart"/>
      </w:pPr>
      <w:r>
        <w:rPr>
          <w:b/>
        </w:rPr>
        <w:tab/>
      </w:r>
      <w:r>
        <w:rPr>
          <w:rStyle w:val="CharDefText"/>
        </w:rPr>
        <w:t>day trip</w:t>
      </w:r>
      <w:r>
        <w:t xml:space="preserve"> has the same meaning as in regulation 16E;</w:t>
      </w:r>
    </w:p>
    <w:p>
      <w:pPr>
        <w:pStyle w:val="Defstart"/>
      </w:pPr>
      <w:r>
        <w:tab/>
      </w:r>
      <w:r>
        <w:rPr>
          <w:rStyle w:val="CharDefText"/>
        </w:rPr>
        <w:t>package</w:t>
      </w:r>
      <w:r>
        <w:t xml:space="preserve"> means any type of wrapping, package, or container;</w:t>
      </w:r>
    </w:p>
    <w:p>
      <w:pPr>
        <w:pStyle w:val="Defstart"/>
        <w:keepNext/>
        <w:rPr>
          <w:snapToGrid/>
        </w:rPr>
      </w:pPr>
      <w:r>
        <w:rPr>
          <w:snapToGrid/>
        </w:rPr>
        <w:tab/>
      </w:r>
      <w:r>
        <w:rPr>
          <w:rStyle w:val="CharDefText"/>
        </w:rPr>
        <w:t>store</w:t>
      </w:r>
      <w:r>
        <w:rPr>
          <w:snapToGrid/>
        </w:rPr>
        <w:t>, in relation to fish, includes the act of placing in a refrigerator, freezer, icebox, or other storage container.</w:t>
      </w:r>
    </w:p>
    <w:p>
      <w:pPr>
        <w:pStyle w:val="Footnotesection"/>
        <w:keepLines w:val="0"/>
        <w:rPr>
          <w:snapToGrid/>
        </w:rPr>
      </w:pPr>
      <w:r>
        <w:rPr>
          <w:snapToGrid/>
        </w:rPr>
        <w:tab/>
        <w:t>[Regulation 22 inserted in Gazette 1 Oct 2003 p. 4299</w:t>
      </w:r>
      <w:r>
        <w:rPr>
          <w:snapToGrid/>
        </w:rPr>
        <w:noBreakHyphen/>
        <w:t>300; amended in Gazette 4 Nov 2005 p. 5309</w:t>
      </w:r>
      <w:r>
        <w:rPr>
          <w:snapToGrid/>
        </w:rPr>
        <w:noBreakHyphen/>
        <w:t>10; 22 Dec 2005 p. 6221; 29 May 2008 p. 2057.]</w:t>
      </w:r>
    </w:p>
    <w:p>
      <w:pPr>
        <w:pStyle w:val="Ednotedivision"/>
      </w:pPr>
      <w:r>
        <w:t>[Division 3: Former heading and r. 23</w:t>
      </w:r>
      <w:r>
        <w:noBreakHyphen/>
        <w:t>29 deleted in Gazette 1 Oct 2003 p. 4299.]</w:t>
      </w:r>
    </w:p>
    <w:p>
      <w:pPr>
        <w:pStyle w:val="Ednotedivision"/>
      </w:pPr>
      <w:r>
        <w:t>[Division 3A: Heading and r. 29A</w:t>
      </w:r>
      <w:r>
        <w:noBreakHyphen/>
        <w:t>29C deleted in Gazette 1 Oct 2003 p. 4299.]</w:t>
      </w:r>
    </w:p>
    <w:p>
      <w:pPr>
        <w:pStyle w:val="Ednotedivision"/>
      </w:pPr>
      <w:r>
        <w:t>[Division 4: Former heading and r. 30 deleted in Gazette 1 Oct 2003 p. 4299.]</w:t>
      </w:r>
    </w:p>
    <w:p>
      <w:pPr>
        <w:pStyle w:val="Ednotedivision"/>
      </w:pPr>
      <w:r>
        <w:t>[Division 4A: Heading and r. 30A, 30B deleted in Gazette 1 Oct 2003 p. 4299.]</w:t>
      </w:r>
    </w:p>
    <w:p>
      <w:pPr>
        <w:pStyle w:val="Ednotedivision"/>
      </w:pPr>
      <w:r>
        <w:t>[Division 4B: Heading and r. 30BA, 30C, 30E</w:t>
      </w:r>
      <w:r>
        <w:noBreakHyphen/>
        <w:t>30EC deleted in Gazette 1 Oct 2003 p. 4299; r. 30D deleted in Gazette 28 Feb 2003 p. 661.]</w:t>
      </w:r>
    </w:p>
    <w:p>
      <w:pPr>
        <w:pStyle w:val="Ednotedivision"/>
      </w:pPr>
      <w:r>
        <w:t>[Division 4C</w:t>
      </w:r>
      <w:r>
        <w:noBreakHyphen/>
        <w:t>4F: Headings and r. 30F</w:t>
      </w:r>
      <w:r>
        <w:noBreakHyphen/>
        <w:t>30M deleted in Gazette 1 Oct 2003 p. 4299.]</w:t>
      </w:r>
    </w:p>
    <w:p>
      <w:pPr>
        <w:pStyle w:val="Heading3"/>
      </w:pPr>
      <w:bookmarkStart w:id="949" w:name="_Toc189987870"/>
      <w:bookmarkStart w:id="950" w:name="_Toc192041453"/>
      <w:bookmarkStart w:id="951" w:name="_Toc199570687"/>
      <w:bookmarkStart w:id="952" w:name="_Toc199738683"/>
      <w:bookmarkStart w:id="953" w:name="_Toc199814784"/>
      <w:bookmarkStart w:id="954" w:name="_Toc215040591"/>
      <w:bookmarkStart w:id="955" w:name="_Toc215041036"/>
      <w:bookmarkStart w:id="956" w:name="_Toc222129246"/>
      <w:bookmarkStart w:id="957" w:name="_Toc222222951"/>
      <w:bookmarkStart w:id="958" w:name="_Toc225914203"/>
      <w:bookmarkStart w:id="959" w:name="_Toc231282248"/>
      <w:bookmarkStart w:id="960" w:name="_Toc231282692"/>
      <w:bookmarkStart w:id="961" w:name="_Toc234899279"/>
      <w:bookmarkStart w:id="962" w:name="_Toc236632561"/>
      <w:bookmarkStart w:id="963" w:name="_Toc236720174"/>
      <w:bookmarkStart w:id="964" w:name="_Toc237764373"/>
      <w:bookmarkStart w:id="965" w:name="_Toc238355997"/>
      <w:bookmarkStart w:id="966" w:name="_Toc238368702"/>
      <w:bookmarkStart w:id="967" w:name="_Toc238375655"/>
      <w:bookmarkStart w:id="968" w:name="_Toc240338979"/>
      <w:bookmarkStart w:id="969" w:name="_Toc241993485"/>
      <w:bookmarkStart w:id="970" w:name="_Toc243192628"/>
      <w:bookmarkStart w:id="971" w:name="_Toc243295329"/>
      <w:bookmarkStart w:id="972" w:name="_Toc245112902"/>
      <w:bookmarkStart w:id="973" w:name="_Toc245198064"/>
      <w:bookmarkStart w:id="974" w:name="_Toc245198513"/>
      <w:bookmarkStart w:id="975" w:name="_Toc245198962"/>
      <w:bookmarkStart w:id="976" w:name="_Toc248121992"/>
      <w:bookmarkStart w:id="977" w:name="_Toc248122443"/>
      <w:bookmarkStart w:id="978" w:name="_Toc253670430"/>
      <w:bookmarkStart w:id="979" w:name="_Toc253670880"/>
      <w:bookmarkStart w:id="980" w:name="_Toc254942650"/>
      <w:bookmarkStart w:id="981" w:name="_Toc254943103"/>
      <w:bookmarkStart w:id="982" w:name="_Toc255475695"/>
      <w:bookmarkStart w:id="983" w:name="_Toc256432016"/>
      <w:bookmarkStart w:id="984" w:name="_Toc257720353"/>
      <w:bookmarkStart w:id="985" w:name="_Toc257722035"/>
      <w:bookmarkStart w:id="986" w:name="_Toc258335711"/>
      <w:bookmarkStart w:id="987" w:name="_Toc260406153"/>
      <w:bookmarkStart w:id="988" w:name="_Toc261271339"/>
      <w:bookmarkStart w:id="989" w:name="_Toc262808021"/>
      <w:bookmarkStart w:id="990" w:name="_Toc267572414"/>
      <w:bookmarkStart w:id="991" w:name="_Toc270684165"/>
      <w:bookmarkStart w:id="992" w:name="_Toc274214342"/>
      <w:bookmarkStart w:id="993" w:name="_Toc274214791"/>
      <w:bookmarkStart w:id="994" w:name="_Toc278976122"/>
      <w:bookmarkStart w:id="995" w:name="_Toc286760445"/>
      <w:bookmarkStart w:id="996" w:name="_Toc289080790"/>
      <w:bookmarkStart w:id="997" w:name="_Toc290283984"/>
      <w:bookmarkStart w:id="998" w:name="_Toc290642805"/>
      <w:bookmarkStart w:id="999" w:name="_Toc290643254"/>
      <w:bookmarkStart w:id="1000" w:name="_Toc290643707"/>
      <w:bookmarkStart w:id="1001" w:name="_Toc294701524"/>
      <w:bookmarkStart w:id="1002" w:name="_Toc295199932"/>
      <w:bookmarkStart w:id="1003" w:name="_Toc296954373"/>
      <w:bookmarkStart w:id="1004" w:name="_Toc297276005"/>
      <w:bookmarkStart w:id="1005" w:name="_Toc297276457"/>
      <w:bookmarkStart w:id="1006" w:name="_Toc297276907"/>
      <w:bookmarkStart w:id="1007" w:name="_Toc297726276"/>
      <w:bookmarkStart w:id="1008" w:name="_Toc299980060"/>
      <w:bookmarkStart w:id="1009" w:name="_Toc300234686"/>
      <w:bookmarkStart w:id="1010" w:name="_Toc301961189"/>
      <w:bookmarkStart w:id="1011" w:name="_Toc301966759"/>
      <w:bookmarkStart w:id="1012" w:name="_Toc303252968"/>
      <w:bookmarkStart w:id="1013" w:name="_Toc303257132"/>
      <w:bookmarkStart w:id="1014" w:name="_Toc307992767"/>
      <w:bookmarkStart w:id="1015" w:name="_Toc309029797"/>
      <w:bookmarkStart w:id="1016" w:name="_Toc309304020"/>
      <w:bookmarkStart w:id="1017" w:name="_Toc309304473"/>
      <w:bookmarkStart w:id="1018" w:name="_Toc309309297"/>
      <w:r>
        <w:rPr>
          <w:rStyle w:val="CharDivNo"/>
        </w:rPr>
        <w:t>Division 5</w:t>
      </w:r>
      <w:r>
        <w:rPr>
          <w:snapToGrid w:val="0"/>
        </w:rPr>
        <w:t> — </w:t>
      </w:r>
      <w:r>
        <w:rPr>
          <w:rStyle w:val="CharDivText"/>
        </w:rPr>
        <w:t>Requirements regarding rock lobsters</w:t>
      </w:r>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p>
    <w:p>
      <w:pPr>
        <w:pStyle w:val="Heading5"/>
        <w:rPr>
          <w:snapToGrid w:val="0"/>
        </w:rPr>
      </w:pPr>
      <w:bookmarkStart w:id="1019" w:name="_Toc309309298"/>
      <w:r>
        <w:rPr>
          <w:rStyle w:val="CharSectno"/>
        </w:rPr>
        <w:t>31</w:t>
      </w:r>
      <w:r>
        <w:rPr>
          <w:snapToGrid w:val="0"/>
        </w:rPr>
        <w:t>.</w:t>
      </w:r>
      <w:r>
        <w:rPr>
          <w:snapToGrid w:val="0"/>
        </w:rPr>
        <w:tab/>
        <w:t>Fishing for rock lobster, manner of; tail marking</w:t>
      </w:r>
      <w:bookmarkEnd w:id="1019"/>
    </w:p>
    <w:p>
      <w:pPr>
        <w:pStyle w:val="Subsection"/>
        <w:keepNext/>
        <w:keepLines/>
        <w:rPr>
          <w:snapToGrid w:val="0"/>
        </w:rPr>
      </w:pPr>
      <w:r>
        <w:rPr>
          <w:snapToGrid w:val="0"/>
        </w:rPr>
        <w:tab/>
        <w:t>(1)</w:t>
      </w:r>
      <w:r>
        <w:rPr>
          <w:snapToGrid w:val="0"/>
        </w:rPr>
        <w:tab/>
        <w:t>A person, other than the holder of a commercial fishing licence, must not fish for rock lobster other than —</w:t>
      </w:r>
    </w:p>
    <w:p>
      <w:pPr>
        <w:pStyle w:val="Indenta"/>
        <w:rPr>
          <w:snapToGrid w:val="0"/>
        </w:rPr>
      </w:pPr>
      <w:r>
        <w:rPr>
          <w:snapToGrid w:val="0"/>
        </w:rPr>
        <w:tab/>
        <w:t>(a)</w:t>
      </w:r>
      <w:r>
        <w:rPr>
          <w:snapToGrid w:val="0"/>
        </w:rPr>
        <w:tab/>
        <w:t>by hand —</w:t>
      </w:r>
    </w:p>
    <w:p>
      <w:pPr>
        <w:pStyle w:val="Indenti"/>
        <w:rPr>
          <w:snapToGrid w:val="0"/>
        </w:rPr>
      </w:pPr>
      <w:r>
        <w:rPr>
          <w:snapToGrid w:val="0"/>
        </w:rPr>
        <w:tab/>
        <w:t>(i)</w:t>
      </w:r>
      <w:r>
        <w:rPr>
          <w:snapToGrid w:val="0"/>
        </w:rPr>
        <w:tab/>
        <w:t>without the use of an instrument; or</w:t>
      </w:r>
    </w:p>
    <w:p>
      <w:pPr>
        <w:pStyle w:val="Indenti"/>
        <w:rPr>
          <w:snapToGrid w:val="0"/>
        </w:rPr>
      </w:pPr>
      <w:r>
        <w:rPr>
          <w:snapToGrid w:val="0"/>
        </w:rPr>
        <w:tab/>
        <w:t>(ii)</w:t>
      </w:r>
      <w:r>
        <w:rPr>
          <w:snapToGrid w:val="0"/>
        </w:rPr>
        <w:tab/>
        <w:t>using an instrument which is not capable of piercing a rock lobster,</w:t>
      </w:r>
    </w:p>
    <w:p>
      <w:pPr>
        <w:pStyle w:val="Indenta"/>
        <w:rPr>
          <w:snapToGrid w:val="0"/>
        </w:rPr>
      </w:pPr>
      <w:r>
        <w:rPr>
          <w:snapToGrid w:val="0"/>
        </w:rPr>
        <w:tab/>
      </w:r>
      <w:r>
        <w:rPr>
          <w:snapToGrid w:val="0"/>
        </w:rPr>
        <w:tab/>
        <w:t>and without piercing or damaging the rock lobster; or</w:t>
      </w:r>
    </w:p>
    <w:p>
      <w:pPr>
        <w:pStyle w:val="Indenta"/>
        <w:keepNext/>
        <w:rPr>
          <w:snapToGrid w:val="0"/>
        </w:rPr>
      </w:pPr>
      <w:r>
        <w:rPr>
          <w:snapToGrid w:val="0"/>
        </w:rPr>
        <w:tab/>
        <w:t>(b)</w:t>
      </w:r>
      <w:r>
        <w:rPr>
          <w:snapToGrid w:val="0"/>
        </w:rPr>
        <w:tab/>
        <w:t>by means of using or submerging at any one time not more than 2 rock lobster pots which —</w:t>
      </w:r>
    </w:p>
    <w:p>
      <w:pPr>
        <w:pStyle w:val="Indenti"/>
        <w:rPr>
          <w:snapToGrid w:val="0"/>
        </w:rPr>
      </w:pPr>
      <w:r>
        <w:rPr>
          <w:snapToGrid w:val="0"/>
        </w:rPr>
        <w:tab/>
        <w:t>(i)</w:t>
      </w:r>
      <w:r>
        <w:rPr>
          <w:snapToGrid w:val="0"/>
        </w:rPr>
        <w:tab/>
        <w:t>are attached to a surface float which conforms to the requirements of regulation 32; and</w:t>
      </w:r>
    </w:p>
    <w:p>
      <w:pPr>
        <w:pStyle w:val="Indenti"/>
        <w:rPr>
          <w:snapToGrid w:val="0"/>
        </w:rPr>
      </w:pPr>
      <w:r>
        <w:rPr>
          <w:snapToGrid w:val="0"/>
        </w:rPr>
        <w:tab/>
        <w:t>(ii)</w:t>
      </w:r>
      <w:r>
        <w:rPr>
          <w:snapToGrid w:val="0"/>
        </w:rPr>
        <w:tab/>
        <w:t>are pulled from the water by the holder of the licence personally.</w:t>
      </w:r>
    </w:p>
    <w:p>
      <w:pPr>
        <w:pStyle w:val="Subsection"/>
        <w:rPr>
          <w:snapToGrid w:val="0"/>
        </w:rPr>
      </w:pPr>
      <w:r>
        <w:rPr>
          <w:snapToGrid w:val="0"/>
        </w:rPr>
        <w:tab/>
        <w:t>(2)</w:t>
      </w:r>
      <w:r>
        <w:rPr>
          <w:snapToGrid w:val="0"/>
        </w:rPr>
        <w:tab/>
        <w:t>A person, other than the holder of a commercial fishing licence, who takes and keeps any rock lobster must tail clip or tail punch the rock lobster —</w:t>
      </w:r>
    </w:p>
    <w:p>
      <w:pPr>
        <w:pStyle w:val="Indenta"/>
        <w:rPr>
          <w:snapToGrid w:val="0"/>
        </w:rPr>
      </w:pPr>
      <w:r>
        <w:rPr>
          <w:snapToGrid w:val="0"/>
        </w:rPr>
        <w:tab/>
        <w:t>(a)</w:t>
      </w:r>
      <w:r>
        <w:rPr>
          <w:snapToGrid w:val="0"/>
        </w:rPr>
        <w:tab/>
        <w:t>where a boat is used in connection with the taking of the rock lobster, within 5 minutes of bringing the rock lobster to the boat; or</w:t>
      </w:r>
    </w:p>
    <w:p>
      <w:pPr>
        <w:pStyle w:val="Indenta"/>
        <w:rPr>
          <w:snapToGrid w:val="0"/>
        </w:rPr>
      </w:pPr>
      <w:r>
        <w:rPr>
          <w:snapToGrid w:val="0"/>
        </w:rPr>
        <w:tab/>
        <w:t>(b)</w:t>
      </w:r>
      <w:r>
        <w:rPr>
          <w:snapToGrid w:val="0"/>
        </w:rPr>
        <w:tab/>
        <w:t>where no boat is used in connection with the taking of the rock lobster, within 5 minutes of bringing the rock lobster onto land.</w:t>
      </w:r>
    </w:p>
    <w:p>
      <w:pPr>
        <w:pStyle w:val="Subsection"/>
        <w:rPr>
          <w:snapToGrid w:val="0"/>
        </w:rPr>
      </w:pPr>
      <w:r>
        <w:rPr>
          <w:snapToGrid w:val="0"/>
        </w:rPr>
        <w:tab/>
        <w:t>(3)</w:t>
      </w:r>
      <w:r>
        <w:rPr>
          <w:snapToGrid w:val="0"/>
        </w:rPr>
        <w:tab/>
        <w:t>In this regulation —</w:t>
      </w:r>
    </w:p>
    <w:p>
      <w:pPr>
        <w:pStyle w:val="Defstart"/>
      </w:pPr>
      <w:r>
        <w:rPr>
          <w:b/>
        </w:rPr>
        <w:tab/>
      </w:r>
      <w:r>
        <w:rPr>
          <w:rStyle w:val="CharDefText"/>
        </w:rPr>
        <w:t>tail clip</w:t>
      </w:r>
      <w:r>
        <w:t xml:space="preserve"> means the removal of the bottom half of the central segment (telson) of the tail fan of a rock lobster by horizontal cut, so that only the upper portion of the telson remains attached to the last (6th) segment of the rock lobster tail;</w:t>
      </w:r>
    </w:p>
    <w:p>
      <w:pPr>
        <w:pStyle w:val="Defstart"/>
      </w:pPr>
      <w:r>
        <w:rPr>
          <w:b/>
        </w:rPr>
        <w:tab/>
      </w:r>
      <w:r>
        <w:rPr>
          <w:rStyle w:val="CharDefText"/>
        </w:rPr>
        <w:t>tail punch</w:t>
      </w:r>
      <w:r>
        <w:t xml:space="preserve"> means the punching of a circular hole of no less than 10 mm in diameter in the central segment of the tail fan (telson) of a rock lobster by any means.</w:t>
      </w:r>
    </w:p>
    <w:p>
      <w:pPr>
        <w:pStyle w:val="Penstart"/>
        <w:rPr>
          <w:snapToGrid w:val="0"/>
        </w:rPr>
      </w:pPr>
      <w:r>
        <w:rPr>
          <w:snapToGrid w:val="0"/>
        </w:rPr>
        <w:tab/>
        <w:t>Penalty: $5 000 and the penalty provided in section 222 of the Act.</w:t>
      </w:r>
    </w:p>
    <w:p>
      <w:pPr>
        <w:pStyle w:val="Footnotesection"/>
      </w:pPr>
      <w:r>
        <w:tab/>
        <w:t>[Regulation 31 amended in Gazette 4 Nov 2005 p. 5310.]</w:t>
      </w:r>
    </w:p>
    <w:p>
      <w:pPr>
        <w:pStyle w:val="Heading5"/>
      </w:pPr>
      <w:bookmarkStart w:id="1020" w:name="_Toc309309299"/>
      <w:r>
        <w:rPr>
          <w:rStyle w:val="CharSectno"/>
        </w:rPr>
        <w:t>31A</w:t>
      </w:r>
      <w:r>
        <w:t>.</w:t>
      </w:r>
      <w:r>
        <w:tab/>
        <w:t>Bait for rock lobster, limits on type of</w:t>
      </w:r>
      <w:bookmarkEnd w:id="1020"/>
    </w:p>
    <w:p>
      <w:pPr>
        <w:pStyle w:val="Subsection"/>
      </w:pPr>
      <w:r>
        <w:tab/>
        <w:t>(1)</w:t>
      </w:r>
      <w:r>
        <w:tab/>
        <w:t>A person must not fish for rock lobster using as bait —</w:t>
      </w:r>
    </w:p>
    <w:p>
      <w:pPr>
        <w:pStyle w:val="Indenta"/>
      </w:pPr>
      <w:r>
        <w:tab/>
        <w:t>(a)</w:t>
      </w:r>
      <w:r>
        <w:tab/>
        <w:t>any bovine material other than gelatine or tallow; or</w:t>
      </w:r>
    </w:p>
    <w:p>
      <w:pPr>
        <w:pStyle w:val="Indenta"/>
      </w:pPr>
      <w:r>
        <w:tab/>
        <w:t>(b)</w:t>
      </w:r>
      <w:r>
        <w:tab/>
        <w:t>any skin or hide; or</w:t>
      </w:r>
    </w:p>
    <w:p>
      <w:pPr>
        <w:pStyle w:val="Indenta"/>
      </w:pPr>
      <w:r>
        <w:tab/>
        <w:t>(c)</w:t>
      </w:r>
      <w:r>
        <w:tab/>
        <w:t>anything to which any mammal skin or hide is attached; or</w:t>
      </w:r>
    </w:p>
    <w:p>
      <w:pPr>
        <w:pStyle w:val="Indenta"/>
      </w:pPr>
      <w:r>
        <w:tab/>
        <w:t>(d)</w:t>
      </w:r>
      <w:r>
        <w:tab/>
        <w:t>any lobster material.</w:t>
      </w:r>
    </w:p>
    <w:p>
      <w:pPr>
        <w:pStyle w:val="Penstart"/>
      </w:pPr>
      <w:r>
        <w:tab/>
        <w:t>Penalty: $10 000 and the penalty provided in section 222 of the Act.</w:t>
      </w:r>
    </w:p>
    <w:p>
      <w:pPr>
        <w:pStyle w:val="Subsection"/>
        <w:keepNext/>
      </w:pPr>
      <w:r>
        <w:tab/>
        <w:t>(2)</w:t>
      </w:r>
      <w:r>
        <w:tab/>
        <w:t>The master of a boat used or intended to be used to fish for rock lobster must not cause or permit to be carried on the boat —</w:t>
      </w:r>
    </w:p>
    <w:p>
      <w:pPr>
        <w:pStyle w:val="Indenta"/>
      </w:pPr>
      <w:r>
        <w:tab/>
        <w:t>(a)</w:t>
      </w:r>
      <w:r>
        <w:tab/>
        <w:t>any bovine material other than gelatine or tallow; or</w:t>
      </w:r>
    </w:p>
    <w:p>
      <w:pPr>
        <w:pStyle w:val="Indenta"/>
      </w:pPr>
      <w:r>
        <w:tab/>
        <w:t>(b)</w:t>
      </w:r>
      <w:r>
        <w:tab/>
        <w:t>any skin or hide; or</w:t>
      </w:r>
    </w:p>
    <w:p>
      <w:pPr>
        <w:pStyle w:val="Indenta"/>
      </w:pPr>
      <w:r>
        <w:tab/>
        <w:t>(c)</w:t>
      </w:r>
      <w:r>
        <w:tab/>
        <w:t>anything to which any mammal skin or hide is attached; or</w:t>
      </w:r>
    </w:p>
    <w:p>
      <w:pPr>
        <w:pStyle w:val="Indenta"/>
        <w:keepNext/>
      </w:pPr>
      <w:r>
        <w:tab/>
        <w:t>(d)</w:t>
      </w:r>
      <w:r>
        <w:tab/>
        <w:t>any lobster material,</w:t>
      </w:r>
    </w:p>
    <w:p>
      <w:pPr>
        <w:pStyle w:val="Subsection"/>
      </w:pPr>
      <w:r>
        <w:tab/>
      </w:r>
      <w:r>
        <w:tab/>
        <w:t>for use as bait.</w:t>
      </w:r>
    </w:p>
    <w:p>
      <w:pPr>
        <w:pStyle w:val="Penstart"/>
      </w:pPr>
      <w:r>
        <w:tab/>
        <w:t>Penalty: $10 000.</w:t>
      </w:r>
    </w:p>
    <w:p>
      <w:pPr>
        <w:pStyle w:val="Subsection"/>
      </w:pPr>
      <w:r>
        <w:tab/>
        <w:t>(3)</w:t>
      </w:r>
      <w:r>
        <w:tab/>
        <w:t>Subregulations (1)(b) and (2)(b) do not apply to the skin of any fish other than rock lobster.</w:t>
      </w:r>
    </w:p>
    <w:p>
      <w:pPr>
        <w:pStyle w:val="Subsection"/>
      </w:pPr>
      <w:r>
        <w:tab/>
        <w:t>(4)</w:t>
      </w:r>
      <w:r>
        <w:tab/>
        <w:t>It is a defence in proceedings for an offence against subregulation (2) that the bovine material or skin or hide —</w:t>
      </w:r>
    </w:p>
    <w:p>
      <w:pPr>
        <w:pStyle w:val="Indenta"/>
      </w:pPr>
      <w:r>
        <w:tab/>
        <w:t>(a)</w:t>
      </w:r>
      <w:r>
        <w:tab/>
        <w:t>was food intended for human consumption; or</w:t>
      </w:r>
    </w:p>
    <w:p>
      <w:pPr>
        <w:pStyle w:val="Indenta"/>
      </w:pPr>
      <w:r>
        <w:tab/>
        <w:t>(b)</w:t>
      </w:r>
      <w:r>
        <w:tab/>
        <w:t>was human clothing intended to be used as human clothing.</w:t>
      </w:r>
    </w:p>
    <w:p>
      <w:pPr>
        <w:pStyle w:val="Footnotesection"/>
      </w:pPr>
      <w:r>
        <w:tab/>
        <w:t>[Regulation 31A inserted in Gazette 29 Nov 2002 p. 5654</w:t>
      </w:r>
      <w:r>
        <w:noBreakHyphen/>
        <w:t>5.]</w:t>
      </w:r>
    </w:p>
    <w:p>
      <w:pPr>
        <w:pStyle w:val="Heading5"/>
        <w:rPr>
          <w:snapToGrid w:val="0"/>
        </w:rPr>
      </w:pPr>
      <w:bookmarkStart w:id="1021" w:name="_Toc309309300"/>
      <w:r>
        <w:rPr>
          <w:rStyle w:val="CharSectno"/>
        </w:rPr>
        <w:t>32</w:t>
      </w:r>
      <w:r>
        <w:rPr>
          <w:snapToGrid w:val="0"/>
        </w:rPr>
        <w:t>.</w:t>
      </w:r>
      <w:r>
        <w:rPr>
          <w:snapToGrid w:val="0"/>
        </w:rPr>
        <w:tab/>
        <w:t>Rock lobster pot floats, requirements for</w:t>
      </w:r>
      <w:bookmarkEnd w:id="1021"/>
    </w:p>
    <w:p>
      <w:pPr>
        <w:pStyle w:val="Subsection"/>
        <w:rPr>
          <w:snapToGrid w:val="0"/>
        </w:rPr>
      </w:pPr>
      <w:r>
        <w:rPr>
          <w:snapToGrid w:val="0"/>
        </w:rPr>
        <w:tab/>
        <w:t>(1)</w:t>
      </w:r>
      <w:r>
        <w:rPr>
          <w:snapToGrid w:val="0"/>
        </w:rPr>
        <w:tab/>
        <w:t>A person must not use a rock lobster pot to fish for rock lobster unless the rock lobster pot is attached to a surface float that —</w:t>
      </w:r>
    </w:p>
    <w:p>
      <w:pPr>
        <w:pStyle w:val="Indenta"/>
        <w:rPr>
          <w:snapToGrid w:val="0"/>
        </w:rPr>
      </w:pPr>
      <w:r>
        <w:rPr>
          <w:snapToGrid w:val="0"/>
        </w:rPr>
        <w:tab/>
        <w:t>(a)</w:t>
      </w:r>
      <w:r>
        <w:rPr>
          <w:snapToGrid w:val="0"/>
        </w:rPr>
        <w:tab/>
        <w:t>has a diameter of not less than 150 mm if the float is spherical and, in any other case, has a length of not less than 200 mm and a width of not less than 100 mm; and</w:t>
      </w:r>
    </w:p>
    <w:p>
      <w:pPr>
        <w:pStyle w:val="Indenta"/>
        <w:keepNext/>
        <w:rPr>
          <w:snapToGrid w:val="0"/>
        </w:rPr>
      </w:pPr>
      <w:r>
        <w:rPr>
          <w:snapToGrid w:val="0"/>
        </w:rPr>
        <w:tab/>
        <w:t>(b)</w:t>
      </w:r>
      <w:r>
        <w:rPr>
          <w:snapToGrid w:val="0"/>
        </w:rPr>
        <w:tab/>
        <w:t>is marked by branding or stamping with legible characters not less than 60 mm high and not less than 10 mm wide showing —</w:t>
      </w:r>
    </w:p>
    <w:p>
      <w:pPr>
        <w:pStyle w:val="Indenti"/>
        <w:rPr>
          <w:snapToGrid w:val="0"/>
        </w:rPr>
      </w:pPr>
      <w:r>
        <w:rPr>
          <w:snapToGrid w:val="0"/>
        </w:rPr>
        <w:tab/>
        <w:t>(i)</w:t>
      </w:r>
      <w:r>
        <w:rPr>
          <w:snapToGrid w:val="0"/>
        </w:rPr>
        <w:tab/>
        <w:t>in the case of a pot used by a person who is the holder of a commercial fishing licence, the licensed fishing boat number of the boat that is used to set or pull the pot; or</w:t>
      </w:r>
    </w:p>
    <w:p>
      <w:pPr>
        <w:pStyle w:val="Indenti"/>
        <w:spacing w:before="100"/>
        <w:rPr>
          <w:snapToGrid w:val="0"/>
        </w:rPr>
      </w:pPr>
      <w:r>
        <w:rPr>
          <w:snapToGrid w:val="0"/>
        </w:rPr>
        <w:tab/>
        <w:t>(ii)</w:t>
      </w:r>
      <w:r>
        <w:rPr>
          <w:snapToGrid w:val="0"/>
        </w:rPr>
        <w:tab/>
        <w:t>in the case of a pot used by a person who is not the holder of a commercial fishing licence, the gear identification number of that person setting or pulling the pot;</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(c)</w:t>
      </w:r>
      <w:r>
        <w:rPr>
          <w:snapToGrid w:val="0"/>
        </w:rPr>
        <w:tab/>
        <w:t>is marked with only one of the numbers referred to in paragraph (b).</w:t>
      </w:r>
    </w:p>
    <w:p>
      <w:pPr>
        <w:pStyle w:val="Penstart"/>
        <w:spacing w:before="100"/>
        <w:rPr>
          <w:snapToGrid w:val="0"/>
        </w:rPr>
      </w:pPr>
      <w:r>
        <w:rPr>
          <w:snapToGrid w:val="0"/>
        </w:rPr>
        <w:tab/>
        <w:t>Penalty: $5 000.</w:t>
      </w:r>
    </w:p>
    <w:p>
      <w:pPr>
        <w:pStyle w:val="Subsection"/>
        <w:rPr>
          <w:snapToGrid w:val="0"/>
        </w:rPr>
      </w:pPr>
      <w:r>
        <w:rPr>
          <w:snapToGrid w:val="0"/>
        </w:rPr>
        <w:tab/>
        <w:t>(2)</w:t>
      </w:r>
      <w:r>
        <w:rPr>
          <w:snapToGrid w:val="0"/>
        </w:rPr>
        <w:tab/>
        <w:t>A fisheries officer may seize a rock lobster pot and all floats and ropes if —</w:t>
      </w:r>
    </w:p>
    <w:p>
      <w:pPr>
        <w:pStyle w:val="Indenta"/>
        <w:spacing w:before="100"/>
        <w:rPr>
          <w:snapToGrid w:val="0"/>
        </w:rPr>
      </w:pPr>
      <w:r>
        <w:rPr>
          <w:snapToGrid w:val="0"/>
        </w:rPr>
        <w:tab/>
        <w:t>(a)</w:t>
      </w:r>
      <w:r>
        <w:rPr>
          <w:snapToGrid w:val="0"/>
        </w:rPr>
        <w:tab/>
        <w:t>the pot is not attached to a surface float; or</w:t>
      </w:r>
    </w:p>
    <w:p>
      <w:pPr>
        <w:pStyle w:val="Indenta"/>
        <w:spacing w:before="100"/>
        <w:rPr>
          <w:snapToGrid w:val="0"/>
        </w:rPr>
      </w:pPr>
      <w:r>
        <w:rPr>
          <w:snapToGrid w:val="0"/>
        </w:rPr>
        <w:tab/>
        <w:t>(b)</w:t>
      </w:r>
      <w:r>
        <w:rPr>
          <w:snapToGrid w:val="0"/>
        </w:rPr>
        <w:tab/>
        <w:t>the surface float to which the pot is attached does not comply with subregulation (1).</w:t>
      </w:r>
    </w:p>
    <w:p>
      <w:pPr>
        <w:pStyle w:val="Ednotesection"/>
        <w:spacing w:before="240"/>
        <w:ind w:left="890" w:hanging="890"/>
      </w:pPr>
      <w:r>
        <w:t>[</w:t>
      </w:r>
      <w:r>
        <w:rPr>
          <w:b/>
        </w:rPr>
        <w:t>33, 34.</w:t>
      </w:r>
      <w:r>
        <w:tab/>
        <w:t>Deleted in Gazette 27 Aug 2010 p. 4106.]</w:t>
      </w:r>
    </w:p>
    <w:p>
      <w:pPr>
        <w:pStyle w:val="Heading5"/>
        <w:spacing w:before="240"/>
        <w:rPr>
          <w:snapToGrid w:val="0"/>
        </w:rPr>
      </w:pPr>
      <w:bookmarkStart w:id="1022" w:name="_Toc309309301"/>
      <w:r>
        <w:rPr>
          <w:rStyle w:val="CharSectno"/>
        </w:rPr>
        <w:t>35</w:t>
      </w:r>
      <w:r>
        <w:rPr>
          <w:snapToGrid w:val="0"/>
        </w:rPr>
        <w:t>.</w:t>
      </w:r>
      <w:r>
        <w:rPr>
          <w:snapToGrid w:val="0"/>
        </w:rPr>
        <w:tab/>
        <w:t>Rock lobster flesh, possession of</w:t>
      </w:r>
      <w:bookmarkEnd w:id="1022"/>
    </w:p>
    <w:p>
      <w:pPr>
        <w:pStyle w:val="Subsection"/>
        <w:rPr>
          <w:snapToGrid w:val="0"/>
        </w:rPr>
      </w:pPr>
      <w:r>
        <w:rPr>
          <w:snapToGrid w:val="0"/>
        </w:rPr>
        <w:tab/>
      </w:r>
      <w:r>
        <w:rPr>
          <w:snapToGrid w:val="0"/>
        </w:rPr>
        <w:tab/>
        <w:t xml:space="preserve">A person </w:t>
      </w:r>
      <w:r>
        <w:t>must</w:t>
      </w:r>
      <w:r>
        <w:rPr>
          <w:snapToGrid w:val="0"/>
        </w:rPr>
        <w:t xml:space="preserve"> not possess or sell a part only of a rock lobster unless —</w:t>
      </w:r>
    </w:p>
    <w:p>
      <w:pPr>
        <w:pStyle w:val="Indenta"/>
        <w:spacing w:before="100"/>
        <w:rPr>
          <w:snapToGrid w:val="0"/>
        </w:rPr>
      </w:pPr>
      <w:r>
        <w:rPr>
          <w:snapToGrid w:val="0"/>
        </w:rPr>
        <w:tab/>
        <w:t>(a)</w:t>
      </w:r>
      <w:r>
        <w:rPr>
          <w:snapToGrid w:val="0"/>
        </w:rPr>
        <w:tab/>
        <w:t>authorised to do so under a fish processor’s licence and the part is a part of a whole rock lobster which was processed at the place specified in the licence as the place at which fish are to be processed; or</w:t>
      </w:r>
    </w:p>
    <w:p>
      <w:pPr>
        <w:pStyle w:val="Indenta"/>
        <w:spacing w:before="100"/>
        <w:rPr>
          <w:snapToGrid w:val="0"/>
        </w:rPr>
      </w:pPr>
      <w:r>
        <w:rPr>
          <w:snapToGrid w:val="0"/>
        </w:rPr>
        <w:tab/>
        <w:t>(b)</w:t>
      </w:r>
      <w:r>
        <w:rPr>
          <w:snapToGrid w:val="0"/>
        </w:rPr>
        <w:tab/>
        <w:t>the part was purchased from the place specified in a fish processor’s licence as the place at which rock lobster is to be processed and the person has a receipt detailing that purchase; or</w:t>
      </w:r>
    </w:p>
    <w:p>
      <w:pPr>
        <w:pStyle w:val="Indenta"/>
        <w:spacing w:before="100"/>
      </w:pPr>
      <w:r>
        <w:rPr>
          <w:snapToGrid w:val="0"/>
        </w:rPr>
        <w:tab/>
        <w:t>(c)</w:t>
      </w:r>
      <w:r>
        <w:rPr>
          <w:snapToGrid w:val="0"/>
        </w:rPr>
        <w:tab/>
        <w:t>the part</w:t>
      </w:r>
      <w:r>
        <w:t xml:space="preserve"> is —</w:t>
      </w:r>
    </w:p>
    <w:p>
      <w:pPr>
        <w:pStyle w:val="Indenti"/>
        <w:spacing w:before="100"/>
      </w:pPr>
      <w:r>
        <w:tab/>
        <w:t>(i)</w:t>
      </w:r>
      <w:r>
        <w:tab/>
        <w:t>being consumed; or</w:t>
      </w:r>
    </w:p>
    <w:p>
      <w:pPr>
        <w:pStyle w:val="Indenti"/>
        <w:keepNext/>
      </w:pPr>
      <w:r>
        <w:tab/>
        <w:t>(ii)</w:t>
      </w:r>
      <w:r>
        <w:tab/>
        <w:t>prepared, or being prepared, for immediate consumption.</w:t>
      </w:r>
    </w:p>
    <w:p>
      <w:pPr>
        <w:pStyle w:val="Penstart"/>
        <w:rPr>
          <w:snapToGrid w:val="0"/>
        </w:rPr>
      </w:pPr>
      <w:r>
        <w:rPr>
          <w:snapToGrid w:val="0"/>
        </w:rPr>
        <w:tab/>
        <w:t>Penalty: In the case of an individual, $5 000 or, in the case of a body corporate, $10 000 and in either case, the penalty provided in section 222 of the Act.</w:t>
      </w:r>
    </w:p>
    <w:p>
      <w:pPr>
        <w:pStyle w:val="Footnotesection"/>
      </w:pPr>
      <w:r>
        <w:tab/>
        <w:t>[Regulation 35 amended in Gazette 4 Nov 2005 p. 5310.]</w:t>
      </w:r>
    </w:p>
    <w:p>
      <w:pPr>
        <w:pStyle w:val="Heading5"/>
        <w:keepLines w:val="0"/>
        <w:spacing w:before="180"/>
        <w:rPr>
          <w:snapToGrid w:val="0"/>
        </w:rPr>
      </w:pPr>
      <w:bookmarkStart w:id="1023" w:name="_Toc309309302"/>
      <w:r>
        <w:rPr>
          <w:rStyle w:val="CharSectno"/>
        </w:rPr>
        <w:t>36</w:t>
      </w:r>
      <w:r>
        <w:rPr>
          <w:snapToGrid w:val="0"/>
        </w:rPr>
        <w:t>.</w:t>
      </w:r>
      <w:r>
        <w:rPr>
          <w:snapToGrid w:val="0"/>
        </w:rPr>
        <w:tab/>
        <w:t>Boats (not fishing boats) used to fish for rock lobsters, rules for</w:t>
      </w:r>
      <w:bookmarkEnd w:id="1023"/>
    </w:p>
    <w:p>
      <w:pPr>
        <w:pStyle w:val="Subsection"/>
        <w:rPr>
          <w:snapToGrid w:val="0"/>
        </w:rPr>
      </w:pPr>
      <w:r>
        <w:rPr>
          <w:snapToGrid w:val="0"/>
        </w:rPr>
        <w:tab/>
        <w:t>(1)</w:t>
      </w:r>
      <w:r>
        <w:rPr>
          <w:snapToGrid w:val="0"/>
        </w:rPr>
        <w:tab/>
        <w:t>The master of a boat, other than a fishing boat, must not cause or permit —</w:t>
      </w:r>
    </w:p>
    <w:p>
      <w:pPr>
        <w:pStyle w:val="Indenta"/>
        <w:rPr>
          <w:snapToGrid w:val="0"/>
        </w:rPr>
      </w:pPr>
      <w:r>
        <w:rPr>
          <w:snapToGrid w:val="0"/>
        </w:rPr>
        <w:tab/>
        <w:t>(a)</w:t>
      </w:r>
      <w:r>
        <w:rPr>
          <w:snapToGrid w:val="0"/>
        </w:rPr>
        <w:tab/>
        <w:t>more than 4 rock lobster pots to be carried on the boat at any time; or</w:t>
      </w:r>
    </w:p>
    <w:p>
      <w:pPr>
        <w:pStyle w:val="Indenta"/>
        <w:rPr>
          <w:snapToGrid w:val="0"/>
        </w:rPr>
      </w:pPr>
      <w:r>
        <w:rPr>
          <w:snapToGrid w:val="0"/>
        </w:rPr>
        <w:tab/>
        <w:t>(b)</w:t>
      </w:r>
      <w:r>
        <w:rPr>
          <w:snapToGrid w:val="0"/>
        </w:rPr>
        <w:tab/>
        <w:t>a person on board the boat to pull a rock lobster pot unless that person is the holder of a recreational fishing licence specifying that the holder may fish for rock lobsters; or</w:t>
      </w:r>
    </w:p>
    <w:p>
      <w:pPr>
        <w:pStyle w:val="Indenta"/>
      </w:pPr>
      <w:r>
        <w:tab/>
        <w:t>(c)</w:t>
      </w:r>
      <w:r>
        <w:tab/>
        <w:t>more than 4 rock lobster pots to be pulled by persons on board the boat —</w:t>
      </w:r>
    </w:p>
    <w:p>
      <w:pPr>
        <w:pStyle w:val="Indenti"/>
      </w:pPr>
      <w:r>
        <w:tab/>
        <w:t>(i)</w:t>
      </w:r>
      <w:r>
        <w:tab/>
        <w:t>if the boat makes more than one voyage in a day, during any one voyage; or</w:t>
      </w:r>
    </w:p>
    <w:p>
      <w:pPr>
        <w:pStyle w:val="Indenti"/>
      </w:pPr>
      <w:r>
        <w:tab/>
        <w:t>(ii)</w:t>
      </w:r>
      <w:r>
        <w:tab/>
        <w:t>if the boat —</w:t>
      </w:r>
    </w:p>
    <w:p>
      <w:pPr>
        <w:pStyle w:val="IndentI0"/>
      </w:pPr>
      <w:r>
        <w:tab/>
        <w:t>(I)</w:t>
      </w:r>
      <w:r>
        <w:tab/>
        <w:t>makes only one voyage in a day; or</w:t>
      </w:r>
    </w:p>
    <w:p>
      <w:pPr>
        <w:pStyle w:val="IndentI0"/>
        <w:keepNext/>
        <w:keepLines/>
      </w:pPr>
      <w:r>
        <w:tab/>
        <w:t>(II)</w:t>
      </w:r>
      <w:r>
        <w:tab/>
        <w:t>is on a voyage lasting more than one day,</w:t>
      </w:r>
    </w:p>
    <w:p>
      <w:pPr>
        <w:pStyle w:val="Indenti"/>
        <w:keepNext/>
        <w:keepLines/>
      </w:pPr>
      <w:r>
        <w:tab/>
      </w:r>
      <w:r>
        <w:tab/>
        <w:t>during any one day.</w:t>
      </w:r>
    </w:p>
    <w:p>
      <w:pPr>
        <w:pStyle w:val="Subsection"/>
        <w:spacing w:before="120"/>
      </w:pPr>
      <w:r>
        <w:tab/>
        <w:t>(2A)</w:t>
      </w:r>
      <w:r>
        <w:tab/>
        <w:t>Subregulation (1)(a) does not apply in respect of a licensed carrier boat carrying unbaited rock lobster pots under the terms of its licence.</w:t>
      </w:r>
    </w:p>
    <w:p>
      <w:pPr>
        <w:pStyle w:val="Subsection"/>
        <w:spacing w:before="120"/>
        <w:rPr>
          <w:snapToGrid w:val="0"/>
        </w:rPr>
      </w:pPr>
      <w:r>
        <w:rPr>
          <w:snapToGrid w:val="0"/>
        </w:rPr>
        <w:tab/>
        <w:t>(2)</w:t>
      </w:r>
      <w:r>
        <w:rPr>
          <w:snapToGrid w:val="0"/>
        </w:rPr>
        <w:tab/>
        <w:t>The master of a fishing boat must not cause or permit any person on board the boat to pull a rock lobster pot unless —</w:t>
      </w:r>
    </w:p>
    <w:p>
      <w:pPr>
        <w:pStyle w:val="Indenta"/>
        <w:rPr>
          <w:snapToGrid w:val="0"/>
        </w:rPr>
      </w:pPr>
      <w:r>
        <w:rPr>
          <w:snapToGrid w:val="0"/>
        </w:rPr>
        <w:tab/>
        <w:t>(a)</w:t>
      </w:r>
      <w:r>
        <w:rPr>
          <w:snapToGrid w:val="0"/>
        </w:rPr>
        <w:tab/>
        <w:t>the use of that pot is authorised under an authorisation granted under section 66 of the Act; or</w:t>
      </w:r>
    </w:p>
    <w:p>
      <w:pPr>
        <w:pStyle w:val="Indenta"/>
        <w:keepNext/>
        <w:rPr>
          <w:snapToGrid w:val="0"/>
        </w:rPr>
      </w:pPr>
      <w:r>
        <w:rPr>
          <w:snapToGrid w:val="0"/>
        </w:rPr>
        <w:tab/>
        <w:t>(b)</w:t>
      </w:r>
      <w:r>
        <w:rPr>
          <w:snapToGrid w:val="0"/>
        </w:rPr>
        <w:tab/>
        <w:t>the use of that pot is authorised under a rock lobster pot licence.</w:t>
      </w:r>
    </w:p>
    <w:p>
      <w:pPr>
        <w:pStyle w:val="Penstart"/>
        <w:rPr>
          <w:snapToGrid w:val="0"/>
        </w:rPr>
      </w:pPr>
      <w:r>
        <w:rPr>
          <w:snapToGrid w:val="0"/>
        </w:rPr>
        <w:tab/>
        <w:t>Penalty: $5 000.</w:t>
      </w:r>
    </w:p>
    <w:p>
      <w:pPr>
        <w:pStyle w:val="Footnotesection"/>
        <w:ind w:left="890" w:hanging="890"/>
      </w:pPr>
      <w:r>
        <w:tab/>
        <w:t>[Regulation 36 amended in Gazette 10 Nov 2006 p. 4707; 6 Jul 2007 p. 3387; 5 Nov 2009 p. 4412.]</w:t>
      </w:r>
    </w:p>
    <w:p>
      <w:pPr>
        <w:pStyle w:val="Heading5"/>
        <w:rPr>
          <w:snapToGrid w:val="0"/>
        </w:rPr>
      </w:pPr>
      <w:bookmarkStart w:id="1024" w:name="_Toc309309303"/>
      <w:r>
        <w:rPr>
          <w:rStyle w:val="CharSectno"/>
        </w:rPr>
        <w:t>37</w:t>
      </w:r>
      <w:r>
        <w:rPr>
          <w:snapToGrid w:val="0"/>
        </w:rPr>
        <w:t>.</w:t>
      </w:r>
      <w:r>
        <w:rPr>
          <w:snapToGrid w:val="0"/>
        </w:rPr>
        <w:tab/>
        <w:t>Offences against r. 36, defences for</w:t>
      </w:r>
      <w:bookmarkEnd w:id="1024"/>
    </w:p>
    <w:p>
      <w:pPr>
        <w:pStyle w:val="Subsection"/>
        <w:rPr>
          <w:snapToGrid w:val="0"/>
        </w:rPr>
      </w:pPr>
      <w:r>
        <w:rPr>
          <w:snapToGrid w:val="0"/>
        </w:rPr>
        <w:tab/>
      </w:r>
      <w:r>
        <w:rPr>
          <w:snapToGrid w:val="0"/>
        </w:rPr>
        <w:tab/>
        <w:t>In any proceedings for an offence referred to in paragraph (a) or (b), it is a defence for the person charged to prove that the person did not know and could not reasonably have known that —</w:t>
      </w:r>
    </w:p>
    <w:p>
      <w:pPr>
        <w:pStyle w:val="Indenta"/>
        <w:rPr>
          <w:snapToGrid w:val="0"/>
        </w:rPr>
      </w:pPr>
      <w:r>
        <w:rPr>
          <w:snapToGrid w:val="0"/>
        </w:rPr>
        <w:tab/>
        <w:t>(a)</w:t>
      </w:r>
      <w:r>
        <w:rPr>
          <w:snapToGrid w:val="0"/>
        </w:rPr>
        <w:tab/>
        <w:t>in the case of an alleged offence against regulation 36(1)(b), the person who pulled the rock lobster pot did not hold a recreational fishing licence specifying that the holder may fish for rock lobsters; or</w:t>
      </w:r>
    </w:p>
    <w:p>
      <w:pPr>
        <w:pStyle w:val="Indenta"/>
        <w:rPr>
          <w:snapToGrid w:val="0"/>
        </w:rPr>
      </w:pPr>
      <w:r>
        <w:rPr>
          <w:snapToGrid w:val="0"/>
        </w:rPr>
        <w:tab/>
        <w:t>(b)</w:t>
      </w:r>
      <w:r>
        <w:rPr>
          <w:snapToGrid w:val="0"/>
        </w:rPr>
        <w:tab/>
        <w:t>in the case of an alleged offence against regulation 36(1)(c), 4 rock lobster pots had already been pulled by persons on board the boat in the relevant period.</w:t>
      </w:r>
    </w:p>
    <w:p>
      <w:pPr>
        <w:pStyle w:val="Heading5"/>
        <w:rPr>
          <w:snapToGrid w:val="0"/>
        </w:rPr>
      </w:pPr>
      <w:bookmarkStart w:id="1025" w:name="_Toc309309304"/>
      <w:r>
        <w:rPr>
          <w:rStyle w:val="CharSectno"/>
        </w:rPr>
        <w:t>38</w:t>
      </w:r>
      <w:r>
        <w:rPr>
          <w:snapToGrid w:val="0"/>
        </w:rPr>
        <w:t>.</w:t>
      </w:r>
      <w:r>
        <w:rPr>
          <w:snapToGrid w:val="0"/>
        </w:rPr>
        <w:tab/>
        <w:t>Rock lobster pots, requirements for</w:t>
      </w:r>
      <w:bookmarkEnd w:id="1025"/>
    </w:p>
    <w:p>
      <w:pPr>
        <w:pStyle w:val="Subsection"/>
      </w:pPr>
      <w:r>
        <w:tab/>
        <w:t>(1)</w:t>
      </w:r>
      <w:r>
        <w:tab/>
        <w:t>In this regulation —</w:t>
      </w:r>
    </w:p>
    <w:p>
      <w:pPr>
        <w:pStyle w:val="Defstart"/>
      </w:pPr>
      <w:r>
        <w:tab/>
      </w:r>
      <w:r>
        <w:rPr>
          <w:rStyle w:val="CharDefText"/>
        </w:rPr>
        <w:t>Central West Zone</w:t>
      </w:r>
      <w:r>
        <w:t xml:space="preserve"> means the waters off the west coast bounded by a line commencing at the high water mark at 30° 51.06′ south latitude (south of Wedge Island) and extending — </w:t>
      </w:r>
      <w:r>
        <w:br/>
        <w:t>west along the parallel to the intersection with 115° 10.32′ east longitude;</w:t>
      </w:r>
      <w:r>
        <w:br/>
        <w:t>then north</w:t>
      </w:r>
      <w:r>
        <w:noBreakHyphen/>
        <w:t>north</w:t>
      </w:r>
      <w:r>
        <w:noBreakHyphen/>
        <w:t>westerly along the geodesic to the point 30° 30.54′ south latitude and 115° 0.06′ east longitude;</w:t>
      </w:r>
      <w:r>
        <w:br/>
        <w:t>then northerly along the geodesic to the point 30° 25.02′ south latitude and 114° 58.5′ east longitude;</w:t>
      </w:r>
      <w:r>
        <w:br/>
        <w:t>then northerly along the geodesic to the point 30° 12.42′ south latitude and 114° 57′ east longitude;</w:t>
      </w:r>
      <w:r>
        <w:br/>
        <w:t>then northerly along the geodesic to the point 30° 4.2′ south latitude and 114° 54.42′ east longitude;</w:t>
      </w:r>
      <w:r>
        <w:br/>
        <w:t>then northerly along the geodesic to the point 29° 54.96′ south latitude and 114° 53.52′ east longitude;</w:t>
      </w:r>
      <w:r>
        <w:br/>
        <w:t>then north</w:t>
      </w:r>
      <w:r>
        <w:noBreakHyphen/>
        <w:t>north</w:t>
      </w:r>
      <w:r>
        <w:noBreakHyphen/>
        <w:t xml:space="preserve">westerly along the geodesic to the point 29° 47.82′ south latitude and 114° 50.64′ east longitude; </w:t>
      </w:r>
      <w:r>
        <w:br/>
        <w:t>then north</w:t>
      </w:r>
      <w:r>
        <w:noBreakHyphen/>
        <w:t xml:space="preserve">easterly along the geodesic to the point 29° 44.28′ south latitude and 114° 52.2′ east longitude; </w:t>
      </w:r>
      <w:r>
        <w:br/>
        <w:t>then northerly along the geodesic to the point 29° 35.16′ south latitude and 114° 53.58′ east longitude;</w:t>
      </w:r>
      <w:r>
        <w:br/>
        <w:t>then east along the parallel to its intersection with the high water mark (north of Freshwater Point);</w:t>
      </w:r>
      <w:r>
        <w:br/>
        <w:t>then generally southerly along the high water mark to the commencement point;</w:t>
      </w:r>
    </w:p>
    <w:p>
      <w:pPr>
        <w:pStyle w:val="Defstart"/>
        <w:spacing w:before="160"/>
      </w:pPr>
      <w:r>
        <w:tab/>
      </w:r>
      <w:r>
        <w:rPr>
          <w:rStyle w:val="CharDefText"/>
        </w:rPr>
        <w:t xml:space="preserve">Easter Group Zone </w:t>
      </w:r>
      <w:r>
        <w:t>means the waters of the Easter Group bounded by a line commencing at the point 28° 38.128</w:t>
      </w:r>
      <w:r>
        <w:rPr>
          <w:lang w:val="en"/>
        </w:rPr>
        <w:t>′</w:t>
      </w:r>
      <w:r>
        <w:t xml:space="preserve"> south latitude and 113° 38.951</w:t>
      </w:r>
      <w:r>
        <w:rPr>
          <w:lang w:val="en"/>
        </w:rPr>
        <w:t xml:space="preserve">′ </w:t>
      </w:r>
      <w:r>
        <w:t xml:space="preserve">east longitude and extending — </w:t>
      </w:r>
      <w:r>
        <w:br/>
        <w:t>generally easterly along the geodesic to the point 28° 36.66</w:t>
      </w:r>
      <w:r>
        <w:rPr>
          <w:lang w:val="en"/>
        </w:rPr>
        <w:t>′</w:t>
      </w:r>
      <w:r>
        <w:t xml:space="preserve"> south latitude and 113° 54.402</w:t>
      </w:r>
      <w:r>
        <w:rPr>
          <w:lang w:val="en"/>
        </w:rPr>
        <w:t>′</w:t>
      </w:r>
      <w:r>
        <w:t xml:space="preserve"> east longitude;</w:t>
      </w:r>
      <w:r>
        <w:br/>
        <w:t>then generally southerly along the geodesic to the point 28° 44.415</w:t>
      </w:r>
      <w:r>
        <w:rPr>
          <w:lang w:val="en"/>
        </w:rPr>
        <w:t>′</w:t>
      </w:r>
      <w:r>
        <w:t xml:space="preserve"> south latitude and 113° 53.496</w:t>
      </w:r>
      <w:r>
        <w:rPr>
          <w:lang w:val="en"/>
        </w:rPr>
        <w:t>′</w:t>
      </w:r>
      <w:r>
        <w:t xml:space="preserve"> east longitude;</w:t>
      </w:r>
      <w:r>
        <w:br/>
        <w:t>then south</w:t>
      </w:r>
      <w:r>
        <w:noBreakHyphen/>
        <w:t>westerly along the geodesic to the point 28° 48.924</w:t>
      </w:r>
      <w:r>
        <w:rPr>
          <w:lang w:val="en"/>
        </w:rPr>
        <w:t>′</w:t>
      </w:r>
      <w:r>
        <w:t xml:space="preserve"> south latitude and 113° 45.5</w:t>
      </w:r>
      <w:r>
        <w:rPr>
          <w:lang w:val="en"/>
        </w:rPr>
        <w:t>′</w:t>
      </w:r>
      <w:r>
        <w:t xml:space="preserve"> east longitude;</w:t>
      </w:r>
      <w:r>
        <w:br/>
        <w:t>then generally westerly along the geodesic to the point 28° 48.71</w:t>
      </w:r>
      <w:r>
        <w:rPr>
          <w:lang w:val="en"/>
        </w:rPr>
        <w:t>′</w:t>
      </w:r>
      <w:r>
        <w:t xml:space="preserve"> south latitude and 113° 43.602</w:t>
      </w:r>
      <w:r>
        <w:rPr>
          <w:lang w:val="en"/>
        </w:rPr>
        <w:t>′</w:t>
      </w:r>
      <w:r>
        <w:t xml:space="preserve"> east longitude;</w:t>
      </w:r>
      <w:r>
        <w:br/>
        <w:t>then generally north</w:t>
      </w:r>
      <w:r>
        <w:noBreakHyphen/>
        <w:t>westerly along the geodesic to the commencement point;</w:t>
      </w:r>
    </w:p>
    <w:p>
      <w:pPr>
        <w:pStyle w:val="Defstart"/>
        <w:spacing w:before="160"/>
      </w:pPr>
      <w:r>
        <w:rPr>
          <w:b/>
        </w:rPr>
        <w:tab/>
      </w:r>
      <w:r>
        <w:rPr>
          <w:rStyle w:val="CharDefText"/>
        </w:rPr>
        <w:t>internal SLED</w:t>
      </w:r>
      <w:r>
        <w:t xml:space="preserve"> means a sea lion exclusion device consisting of a rod inside a rock lobster pot secured to the base of the pot and rising vertically towards the neck;</w:t>
      </w:r>
    </w:p>
    <w:p>
      <w:pPr>
        <w:pStyle w:val="Defstart"/>
        <w:spacing w:before="160"/>
        <w:rPr>
          <w:szCs w:val="24"/>
        </w:rPr>
      </w:pPr>
      <w:r>
        <w:tab/>
      </w:r>
      <w:r>
        <w:rPr>
          <w:rStyle w:val="CharDefText"/>
        </w:rPr>
        <w:t>Pelsaert Group Zone</w:t>
      </w:r>
      <w:r>
        <w:rPr>
          <w:b/>
          <w:bCs/>
          <w:i/>
          <w:iCs/>
        </w:rPr>
        <w:t xml:space="preserve"> </w:t>
      </w:r>
      <w:r>
        <w:rPr>
          <w:szCs w:val="24"/>
        </w:rPr>
        <w:t>means the waters of the Pelsaert Group bounded by a line commencing at the point 28° 51.579</w:t>
      </w:r>
      <w:r>
        <w:rPr>
          <w:lang w:val="en"/>
        </w:rPr>
        <w:t>′</w:t>
      </w:r>
      <w:r>
        <w:rPr>
          <w:szCs w:val="24"/>
        </w:rPr>
        <w:t xml:space="preserve"> south latitude and 113° 47.171</w:t>
      </w:r>
      <w:r>
        <w:rPr>
          <w:lang w:val="en"/>
        </w:rPr>
        <w:t>′</w:t>
      </w:r>
      <w:r>
        <w:rPr>
          <w:szCs w:val="24"/>
        </w:rPr>
        <w:t xml:space="preserve"> east longitude and extending — </w:t>
      </w:r>
      <w:r>
        <w:rPr>
          <w:szCs w:val="24"/>
        </w:rPr>
        <w:br/>
        <w:t>north</w:t>
      </w:r>
      <w:r>
        <w:rPr>
          <w:szCs w:val="24"/>
        </w:rPr>
        <w:noBreakHyphen/>
        <w:t>westerly along the geodesic to the point 28° 50.308</w:t>
      </w:r>
      <w:r>
        <w:rPr>
          <w:lang w:val="en"/>
        </w:rPr>
        <w:t>′</w:t>
      </w:r>
      <w:r>
        <w:rPr>
          <w:szCs w:val="24"/>
        </w:rPr>
        <w:t xml:space="preserve"> south latitude and 113° 49.270</w:t>
      </w:r>
      <w:r>
        <w:rPr>
          <w:lang w:val="en"/>
        </w:rPr>
        <w:t>′</w:t>
      </w:r>
      <w:r>
        <w:rPr>
          <w:szCs w:val="24"/>
        </w:rPr>
        <w:t xml:space="preserve"> east longitude;</w:t>
      </w:r>
      <w:r>
        <w:rPr>
          <w:szCs w:val="24"/>
        </w:rPr>
        <w:br/>
        <w:t>then westerly along the geodesic to the point 28° 50.158</w:t>
      </w:r>
      <w:r>
        <w:rPr>
          <w:lang w:val="en"/>
        </w:rPr>
        <w:t>′</w:t>
      </w:r>
      <w:r>
        <w:rPr>
          <w:szCs w:val="24"/>
        </w:rPr>
        <w:t xml:space="preserve"> south latitude and 114° 2.323</w:t>
      </w:r>
      <w:r>
        <w:rPr>
          <w:lang w:val="en"/>
        </w:rPr>
        <w:t>′</w:t>
      </w:r>
      <w:r>
        <w:rPr>
          <w:szCs w:val="24"/>
        </w:rPr>
        <w:t xml:space="preserve"> east longitude;</w:t>
      </w:r>
      <w:r>
        <w:rPr>
          <w:szCs w:val="24"/>
        </w:rPr>
        <w:br/>
        <w:t>then south along the geodesic to the point 28° 53.456</w:t>
      </w:r>
      <w:r>
        <w:rPr>
          <w:lang w:val="en"/>
        </w:rPr>
        <w:t>′</w:t>
      </w:r>
      <w:r>
        <w:rPr>
          <w:szCs w:val="24"/>
        </w:rPr>
        <w:t xml:space="preserve"> south latitude and 114° 2.133</w:t>
      </w:r>
      <w:r>
        <w:rPr>
          <w:lang w:val="en"/>
        </w:rPr>
        <w:t>′</w:t>
      </w:r>
      <w:r>
        <w:rPr>
          <w:szCs w:val="24"/>
        </w:rPr>
        <w:t xml:space="preserve"> east longitude;</w:t>
      </w:r>
      <w:r>
        <w:rPr>
          <w:szCs w:val="24"/>
        </w:rPr>
        <w:br/>
        <w:t>then south</w:t>
      </w:r>
      <w:r>
        <w:rPr>
          <w:szCs w:val="24"/>
        </w:rPr>
        <w:noBreakHyphen/>
        <w:t>westerly along the geodesic to the point 28° 59.577</w:t>
      </w:r>
      <w:r>
        <w:rPr>
          <w:lang w:val="en"/>
        </w:rPr>
        <w:t>′</w:t>
      </w:r>
      <w:r>
        <w:rPr>
          <w:szCs w:val="24"/>
        </w:rPr>
        <w:t xml:space="preserve"> south latitude and 113° 58.218</w:t>
      </w:r>
      <w:r>
        <w:rPr>
          <w:lang w:val="en"/>
        </w:rPr>
        <w:t>′</w:t>
      </w:r>
      <w:r>
        <w:rPr>
          <w:szCs w:val="24"/>
        </w:rPr>
        <w:t xml:space="preserve"> east longitude;</w:t>
      </w:r>
      <w:r>
        <w:rPr>
          <w:szCs w:val="24"/>
        </w:rPr>
        <w:br/>
        <w:t>then westerly along the geodesic to the point 28° 59.506</w:t>
      </w:r>
      <w:r>
        <w:rPr>
          <w:lang w:val="en"/>
        </w:rPr>
        <w:t>′</w:t>
      </w:r>
      <w:r>
        <w:rPr>
          <w:szCs w:val="24"/>
        </w:rPr>
        <w:t xml:space="preserve"> south latitude and 113° 55.205</w:t>
      </w:r>
      <w:r>
        <w:rPr>
          <w:lang w:val="en"/>
        </w:rPr>
        <w:t>′</w:t>
      </w:r>
      <w:r>
        <w:rPr>
          <w:szCs w:val="24"/>
        </w:rPr>
        <w:t xml:space="preserve"> east longitude;</w:t>
      </w:r>
      <w:r>
        <w:rPr>
          <w:szCs w:val="24"/>
        </w:rPr>
        <w:br/>
        <w:t>then north</w:t>
      </w:r>
      <w:r>
        <w:rPr>
          <w:szCs w:val="24"/>
        </w:rPr>
        <w:noBreakHyphen/>
        <w:t>westerly along the geodesic to the point 28° 56.93</w:t>
      </w:r>
      <w:r>
        <w:rPr>
          <w:lang w:val="en"/>
        </w:rPr>
        <w:t>′</w:t>
      </w:r>
      <w:r>
        <w:rPr>
          <w:szCs w:val="24"/>
        </w:rPr>
        <w:t xml:space="preserve"> south latitude and 113° 51.251</w:t>
      </w:r>
      <w:r>
        <w:rPr>
          <w:lang w:val="en"/>
        </w:rPr>
        <w:t>′</w:t>
      </w:r>
      <w:r>
        <w:rPr>
          <w:szCs w:val="24"/>
        </w:rPr>
        <w:t xml:space="preserve"> east longitude;</w:t>
      </w:r>
      <w:r>
        <w:rPr>
          <w:szCs w:val="24"/>
        </w:rPr>
        <w:br/>
        <w:t>then generally north</w:t>
      </w:r>
      <w:r>
        <w:rPr>
          <w:szCs w:val="24"/>
        </w:rPr>
        <w:noBreakHyphen/>
        <w:t>westerly along the geodesic to the commencement point;</w:t>
      </w:r>
    </w:p>
    <w:p>
      <w:pPr>
        <w:pStyle w:val="Defstart"/>
      </w:pPr>
      <w:r>
        <w:tab/>
      </w:r>
      <w:r>
        <w:rPr>
          <w:rStyle w:val="CharDefText"/>
        </w:rPr>
        <w:t>Sea Lion Protection Zone</w:t>
      </w:r>
      <w:r>
        <w:t xml:space="preserve"> means the Central West Zone, Easter Group Zone or Pelsaert Group Zone.</w:t>
      </w:r>
    </w:p>
    <w:p>
      <w:pPr>
        <w:pStyle w:val="Subsection"/>
        <w:rPr>
          <w:snapToGrid w:val="0"/>
        </w:rPr>
      </w:pPr>
      <w:r>
        <w:rPr>
          <w:snapToGrid w:val="0"/>
        </w:rPr>
        <w:tab/>
        <w:t>(2)</w:t>
      </w:r>
      <w:r>
        <w:rPr>
          <w:snapToGrid w:val="0"/>
        </w:rPr>
        <w:tab/>
        <w:t>A person must not use a rock lobster pot to fish for rock lobster —</w:t>
      </w:r>
    </w:p>
    <w:p>
      <w:pPr>
        <w:pStyle w:val="Indenta"/>
        <w:rPr>
          <w:snapToGrid w:val="0"/>
        </w:rPr>
      </w:pPr>
      <w:r>
        <w:rPr>
          <w:snapToGrid w:val="0"/>
        </w:rPr>
        <w:tab/>
        <w:t>(a)</w:t>
      </w:r>
      <w:r>
        <w:rPr>
          <w:snapToGrid w:val="0"/>
        </w:rPr>
        <w:tab/>
        <w:t>in the waters north of 21° 44′ south latitude, unless the pot conforms to the specifications set out in Part 1 of Schedule 13; and</w:t>
      </w:r>
    </w:p>
    <w:p>
      <w:pPr>
        <w:pStyle w:val="Indenta"/>
        <w:rPr>
          <w:snapToGrid w:val="0"/>
        </w:rPr>
      </w:pPr>
      <w:r>
        <w:rPr>
          <w:snapToGrid w:val="0"/>
        </w:rPr>
        <w:tab/>
        <w:t>(b)</w:t>
      </w:r>
      <w:r>
        <w:rPr>
          <w:snapToGrid w:val="0"/>
        </w:rPr>
        <w:tab/>
        <w:t xml:space="preserve">in the waters between 21° 44′ south latitude and 34° 24′ south latitude, but excluding the waters off the south coast east of </w:t>
      </w:r>
      <w:r>
        <w:t>115</w:t>
      </w:r>
      <w:r>
        <w:rPr>
          <w:snapToGrid w:val="0"/>
        </w:rPr>
        <w:t>° 08.091′ east longitude, unless the pot conforms to the specifications set out in Part 2 of Schedule 13; and</w:t>
      </w:r>
    </w:p>
    <w:p>
      <w:pPr>
        <w:pStyle w:val="Indenta"/>
        <w:rPr>
          <w:snapToGrid w:val="0"/>
        </w:rPr>
      </w:pPr>
      <w:r>
        <w:rPr>
          <w:snapToGrid w:val="0"/>
        </w:rPr>
        <w:tab/>
        <w:t>(c)</w:t>
      </w:r>
      <w:r>
        <w:rPr>
          <w:snapToGrid w:val="0"/>
        </w:rPr>
        <w:tab/>
        <w:t>in all waters other than those referred to in paragraphs (a) and (b), unless the pot conforms to the specifications set out in Part 3 of Schedule 13.</w:t>
      </w:r>
    </w:p>
    <w:p>
      <w:pPr>
        <w:pStyle w:val="Penstart"/>
        <w:rPr>
          <w:snapToGrid w:val="0"/>
        </w:rPr>
      </w:pPr>
      <w:r>
        <w:rPr>
          <w:snapToGrid w:val="0"/>
        </w:rPr>
        <w:tab/>
        <w:t>Penalty: $5 000.</w:t>
      </w:r>
    </w:p>
    <w:p>
      <w:pPr>
        <w:pStyle w:val="Subsection"/>
      </w:pPr>
      <w:r>
        <w:tab/>
        <w:t>(3)</w:t>
      </w:r>
      <w:r>
        <w:tab/>
        <w:t xml:space="preserve">A person must not use a </w:t>
      </w:r>
      <w:r>
        <w:rPr>
          <w:snapToGrid w:val="0"/>
        </w:rPr>
        <w:t>rock</w:t>
      </w:r>
      <w:r>
        <w:t xml:space="preserve"> lobster pot to fish for rock lobster in the Sea Lion Protection Zone unless the pot is constructed with, or has fitted to it, a device (a </w:t>
      </w:r>
      <w:r>
        <w:rPr>
          <w:rStyle w:val="CharDefText"/>
        </w:rPr>
        <w:t>sea lion exclusion device</w:t>
      </w:r>
      <w:r>
        <w:t>) that —</w:t>
      </w:r>
    </w:p>
    <w:p>
      <w:pPr>
        <w:pStyle w:val="Indenta"/>
      </w:pPr>
      <w:r>
        <w:tab/>
        <w:t>(a)</w:t>
      </w:r>
      <w:r>
        <w:tab/>
        <w:t>prevents a spherical object with a diameter of 132 mm being able to enter the pot through the neck; and</w:t>
      </w:r>
    </w:p>
    <w:p>
      <w:pPr>
        <w:pStyle w:val="Indenta"/>
        <w:keepLines/>
      </w:pPr>
      <w:r>
        <w:tab/>
        <w:t>(b)</w:t>
      </w:r>
      <w:r>
        <w:tab/>
        <w:t>complies with subregulation (4).</w:t>
      </w:r>
    </w:p>
    <w:p>
      <w:pPr>
        <w:pStyle w:val="Penstart"/>
        <w:keepLines/>
      </w:pPr>
      <w:r>
        <w:tab/>
        <w:t>Penalty: $5 000.</w:t>
      </w:r>
    </w:p>
    <w:p>
      <w:pPr>
        <w:pStyle w:val="Subsection"/>
      </w:pPr>
      <w:r>
        <w:tab/>
        <w:t>(4)</w:t>
      </w:r>
      <w:r>
        <w:tab/>
        <w:t>A sea lion exclusion device complies with this subregulation if —</w:t>
      </w:r>
    </w:p>
    <w:p>
      <w:pPr>
        <w:pStyle w:val="Indenta"/>
      </w:pPr>
      <w:r>
        <w:tab/>
        <w:t>(a)</w:t>
      </w:r>
      <w:r>
        <w:tab/>
        <w:t>it is made of non</w:t>
      </w:r>
      <w:r>
        <w:noBreakHyphen/>
        <w:t>flexible material; and</w:t>
      </w:r>
    </w:p>
    <w:p>
      <w:pPr>
        <w:pStyle w:val="Indenta"/>
      </w:pPr>
      <w:r>
        <w:tab/>
        <w:t>(b)</w:t>
      </w:r>
      <w:r>
        <w:tab/>
        <w:t>it is —</w:t>
      </w:r>
    </w:p>
    <w:p>
      <w:pPr>
        <w:pStyle w:val="Indenti"/>
      </w:pPr>
      <w:r>
        <w:tab/>
        <w:t>(i)</w:t>
      </w:r>
      <w:r>
        <w:tab/>
        <w:t>constructed; and</w:t>
      </w:r>
    </w:p>
    <w:p>
      <w:pPr>
        <w:pStyle w:val="Indenti"/>
      </w:pPr>
      <w:r>
        <w:tab/>
        <w:t>(ii)</w:t>
      </w:r>
      <w:r>
        <w:tab/>
        <w:t>secured to the pot,</w:t>
      </w:r>
    </w:p>
    <w:p>
      <w:pPr>
        <w:pStyle w:val="Indenta"/>
      </w:pPr>
      <w:r>
        <w:tab/>
      </w:r>
      <w:r>
        <w:tab/>
        <w:t>in such a way that it is unlikely that it could be bent, broken, pushed aside or removed by a sea lion; and</w:t>
      </w:r>
    </w:p>
    <w:p>
      <w:pPr>
        <w:pStyle w:val="Indenta"/>
      </w:pPr>
      <w:r>
        <w:tab/>
        <w:t>(c)</w:t>
      </w:r>
      <w:r>
        <w:tab/>
        <w:t>it does not have any sharp points, spikes or sharp edges; and</w:t>
      </w:r>
    </w:p>
    <w:p>
      <w:pPr>
        <w:pStyle w:val="Indenta"/>
      </w:pPr>
      <w:r>
        <w:tab/>
        <w:t>(d)</w:t>
      </w:r>
      <w:r>
        <w:tab/>
        <w:t>in the case of an internal SLED, at every point along the device (but not including any bracket or other thing used to secure the rod to the base of the pot) —</w:t>
      </w:r>
    </w:p>
    <w:p>
      <w:pPr>
        <w:pStyle w:val="Indenti"/>
      </w:pPr>
      <w:r>
        <w:tab/>
        <w:t>(i)</w:t>
      </w:r>
      <w:r>
        <w:tab/>
        <w:t>the shortest cross</w:t>
      </w:r>
      <w:r>
        <w:noBreakHyphen/>
        <w:t>sectional measurement is not less than 10 mm; and</w:t>
      </w:r>
    </w:p>
    <w:p>
      <w:pPr>
        <w:pStyle w:val="Indenti"/>
      </w:pPr>
      <w:r>
        <w:tab/>
        <w:t>(ii)</w:t>
      </w:r>
      <w:r>
        <w:tab/>
        <w:t>the longest cross</w:t>
      </w:r>
      <w:r>
        <w:noBreakHyphen/>
        <w:t>sectional measurement is not more than 30 mm.</w:t>
      </w:r>
    </w:p>
    <w:p>
      <w:pPr>
        <w:pStyle w:val="Footnotesection"/>
      </w:pPr>
      <w:r>
        <w:tab/>
        <w:t>[Regulation 38 amended in Gazette 31 Oct 2003 p. 4562; 10 Nov 2006 p. 4707</w:t>
      </w:r>
      <w:r>
        <w:noBreakHyphen/>
        <w:t>8; 4 Sep 2007 p. 4519; 1 Mar 2011 p. 673</w:t>
      </w:r>
      <w:r>
        <w:noBreakHyphen/>
        <w:t>5.]</w:t>
      </w:r>
    </w:p>
    <w:p>
      <w:pPr>
        <w:pStyle w:val="Heading3"/>
        <w:keepLines/>
      </w:pPr>
      <w:bookmarkStart w:id="1026" w:name="_Toc189987880"/>
      <w:bookmarkStart w:id="1027" w:name="_Toc192041463"/>
      <w:bookmarkStart w:id="1028" w:name="_Toc199570697"/>
      <w:bookmarkStart w:id="1029" w:name="_Toc199738693"/>
      <w:bookmarkStart w:id="1030" w:name="_Toc199814794"/>
      <w:bookmarkStart w:id="1031" w:name="_Toc215040601"/>
      <w:bookmarkStart w:id="1032" w:name="_Toc215041046"/>
      <w:bookmarkStart w:id="1033" w:name="_Toc222129256"/>
      <w:bookmarkStart w:id="1034" w:name="_Toc222222961"/>
      <w:bookmarkStart w:id="1035" w:name="_Toc225914213"/>
      <w:bookmarkStart w:id="1036" w:name="_Toc231282258"/>
      <w:bookmarkStart w:id="1037" w:name="_Toc231282702"/>
      <w:bookmarkStart w:id="1038" w:name="_Toc234899289"/>
      <w:bookmarkStart w:id="1039" w:name="_Toc236632571"/>
      <w:bookmarkStart w:id="1040" w:name="_Toc236720184"/>
      <w:bookmarkStart w:id="1041" w:name="_Toc237764383"/>
      <w:bookmarkStart w:id="1042" w:name="_Toc238356007"/>
      <w:bookmarkStart w:id="1043" w:name="_Toc238368712"/>
      <w:bookmarkStart w:id="1044" w:name="_Toc238375665"/>
      <w:bookmarkStart w:id="1045" w:name="_Toc240338989"/>
      <w:bookmarkStart w:id="1046" w:name="_Toc241993495"/>
      <w:bookmarkStart w:id="1047" w:name="_Toc243192638"/>
      <w:bookmarkStart w:id="1048" w:name="_Toc243295339"/>
      <w:bookmarkStart w:id="1049" w:name="_Toc245112912"/>
      <w:bookmarkStart w:id="1050" w:name="_Toc245198074"/>
      <w:bookmarkStart w:id="1051" w:name="_Toc245198523"/>
      <w:bookmarkStart w:id="1052" w:name="_Toc245198972"/>
      <w:bookmarkStart w:id="1053" w:name="_Toc248122002"/>
      <w:bookmarkStart w:id="1054" w:name="_Toc248122453"/>
      <w:bookmarkStart w:id="1055" w:name="_Toc253670440"/>
      <w:bookmarkStart w:id="1056" w:name="_Toc253670890"/>
      <w:bookmarkStart w:id="1057" w:name="_Toc254942660"/>
      <w:bookmarkStart w:id="1058" w:name="_Toc254943113"/>
      <w:bookmarkStart w:id="1059" w:name="_Toc255475705"/>
      <w:bookmarkStart w:id="1060" w:name="_Toc256432026"/>
      <w:bookmarkStart w:id="1061" w:name="_Toc257720363"/>
      <w:bookmarkStart w:id="1062" w:name="_Toc257722045"/>
      <w:bookmarkStart w:id="1063" w:name="_Toc258335721"/>
      <w:bookmarkStart w:id="1064" w:name="_Toc260406163"/>
      <w:bookmarkStart w:id="1065" w:name="_Toc261271349"/>
      <w:bookmarkStart w:id="1066" w:name="_Toc262808031"/>
      <w:bookmarkStart w:id="1067" w:name="_Toc267572424"/>
      <w:bookmarkStart w:id="1068" w:name="_Toc270684173"/>
      <w:bookmarkStart w:id="1069" w:name="_Toc274214350"/>
      <w:bookmarkStart w:id="1070" w:name="_Toc274214799"/>
      <w:bookmarkStart w:id="1071" w:name="_Toc278976130"/>
      <w:bookmarkStart w:id="1072" w:name="_Toc286760453"/>
      <w:bookmarkStart w:id="1073" w:name="_Toc289080798"/>
      <w:bookmarkStart w:id="1074" w:name="_Toc290283992"/>
      <w:bookmarkStart w:id="1075" w:name="_Toc290642813"/>
      <w:bookmarkStart w:id="1076" w:name="_Toc290643262"/>
      <w:bookmarkStart w:id="1077" w:name="_Toc290643715"/>
      <w:bookmarkStart w:id="1078" w:name="_Toc294701532"/>
      <w:bookmarkStart w:id="1079" w:name="_Toc295199940"/>
      <w:bookmarkStart w:id="1080" w:name="_Toc296954381"/>
      <w:bookmarkStart w:id="1081" w:name="_Toc297276013"/>
      <w:bookmarkStart w:id="1082" w:name="_Toc297276465"/>
      <w:bookmarkStart w:id="1083" w:name="_Toc297276915"/>
      <w:bookmarkStart w:id="1084" w:name="_Toc297726284"/>
      <w:bookmarkStart w:id="1085" w:name="_Toc299980068"/>
      <w:bookmarkStart w:id="1086" w:name="_Toc300234694"/>
      <w:bookmarkStart w:id="1087" w:name="_Toc301961197"/>
      <w:bookmarkStart w:id="1088" w:name="_Toc301966767"/>
      <w:bookmarkStart w:id="1089" w:name="_Toc303252976"/>
      <w:bookmarkStart w:id="1090" w:name="_Toc303257140"/>
      <w:bookmarkStart w:id="1091" w:name="_Toc307992775"/>
      <w:bookmarkStart w:id="1092" w:name="_Toc309029805"/>
      <w:bookmarkStart w:id="1093" w:name="_Toc309304028"/>
      <w:bookmarkStart w:id="1094" w:name="_Toc309304481"/>
      <w:bookmarkStart w:id="1095" w:name="_Toc309309305"/>
      <w:r>
        <w:rPr>
          <w:rStyle w:val="CharDivNo"/>
        </w:rPr>
        <w:t>Division 5A</w:t>
      </w:r>
      <w:r>
        <w:t xml:space="preserve"> — </w:t>
      </w:r>
      <w:r>
        <w:rPr>
          <w:rStyle w:val="CharDivText"/>
        </w:rPr>
        <w:t>Requirements regarding deep sea crabs</w:t>
      </w:r>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p>
    <w:p>
      <w:pPr>
        <w:pStyle w:val="Footnoteheading"/>
        <w:keepLines/>
        <w:tabs>
          <w:tab w:val="left" w:pos="909"/>
        </w:tabs>
        <w:ind w:left="923" w:hanging="923"/>
      </w:pPr>
      <w:r>
        <w:tab/>
        <w:t>[Heading inserted in Gazette 21 Dec 1999 p. 6407.]</w:t>
      </w:r>
    </w:p>
    <w:p>
      <w:pPr>
        <w:pStyle w:val="Heading5"/>
      </w:pPr>
      <w:bookmarkStart w:id="1096" w:name="_Toc309309306"/>
      <w:r>
        <w:rPr>
          <w:rStyle w:val="CharSectno"/>
        </w:rPr>
        <w:t>38A</w:t>
      </w:r>
      <w:r>
        <w:t>.</w:t>
      </w:r>
      <w:r>
        <w:tab/>
        <w:t>Term used: deep sea crab</w:t>
      </w:r>
      <w:bookmarkEnd w:id="1096"/>
    </w:p>
    <w:p>
      <w:pPr>
        <w:pStyle w:val="Subsection"/>
        <w:spacing w:before="120"/>
      </w:pPr>
      <w:r>
        <w:tab/>
      </w:r>
      <w:r>
        <w:tab/>
        <w:t>In this Division —</w:t>
      </w:r>
    </w:p>
    <w:p>
      <w:pPr>
        <w:pStyle w:val="Defstart"/>
      </w:pPr>
      <w:r>
        <w:rPr>
          <w:b/>
        </w:rPr>
        <w:tab/>
      </w:r>
      <w:r>
        <w:rPr>
          <w:rStyle w:val="CharDefText"/>
        </w:rPr>
        <w:t>deep sea crab</w:t>
      </w:r>
      <w:r>
        <w:t xml:space="preserve"> means a champagne crab, crystal crab or giant crab.</w:t>
      </w:r>
    </w:p>
    <w:p>
      <w:pPr>
        <w:pStyle w:val="Footnotesection"/>
      </w:pPr>
      <w:r>
        <w:tab/>
        <w:t>[Regulation 38A inserted in Gazette 21 Dec 1999 p. 6407; amended in Gazette 13 Nov 2007 p. 5691.]</w:t>
      </w:r>
    </w:p>
    <w:p>
      <w:pPr>
        <w:pStyle w:val="Heading5"/>
      </w:pPr>
      <w:bookmarkStart w:id="1097" w:name="_Toc309309307"/>
      <w:r>
        <w:rPr>
          <w:rStyle w:val="CharSectno"/>
        </w:rPr>
        <w:t>38B</w:t>
      </w:r>
      <w:r>
        <w:t>.</w:t>
      </w:r>
      <w:r>
        <w:tab/>
        <w:t>Possession or sale of parts of deep sea crabs</w:t>
      </w:r>
      <w:bookmarkEnd w:id="1097"/>
    </w:p>
    <w:p>
      <w:pPr>
        <w:pStyle w:val="Subsection"/>
        <w:spacing w:before="120"/>
      </w:pPr>
      <w:r>
        <w:tab/>
      </w:r>
      <w:r>
        <w:tab/>
        <w:t>A person must not possess or sell a part only of a deep sea crab unless —</w:t>
      </w:r>
    </w:p>
    <w:p>
      <w:pPr>
        <w:pStyle w:val="Indenta"/>
      </w:pPr>
      <w:r>
        <w:tab/>
        <w:t>(a)</w:t>
      </w:r>
      <w:r>
        <w:tab/>
        <w:t>authorised to do so under a fish processor’s licence, and the part is a part of a whole deep sea crab which was processed at the place specified in the licence as the place at which fish are to be processed; or</w:t>
      </w:r>
    </w:p>
    <w:p>
      <w:pPr>
        <w:pStyle w:val="Indenta"/>
      </w:pPr>
      <w:r>
        <w:tab/>
        <w:t>(b)</w:t>
      </w:r>
      <w:r>
        <w:tab/>
        <w:t>the part was purchased from the place specified in a fish processor’s licence as the place at which deep sea crabs are to be processed, and the person has a receipt detailing that purchase; or</w:t>
      </w:r>
    </w:p>
    <w:p>
      <w:pPr>
        <w:pStyle w:val="Indenta"/>
      </w:pPr>
      <w:r>
        <w:tab/>
        <w:t>(c)</w:t>
      </w:r>
      <w:r>
        <w:tab/>
        <w:t>the part is —</w:t>
      </w:r>
    </w:p>
    <w:p>
      <w:pPr>
        <w:pStyle w:val="Indenti"/>
        <w:spacing w:before="60"/>
      </w:pPr>
      <w:r>
        <w:tab/>
        <w:t>(i)</w:t>
      </w:r>
      <w:r>
        <w:tab/>
        <w:t>being consumed; or</w:t>
      </w:r>
    </w:p>
    <w:p>
      <w:pPr>
        <w:pStyle w:val="Indenti"/>
        <w:spacing w:before="60"/>
      </w:pPr>
      <w:r>
        <w:tab/>
        <w:t>(ii)</w:t>
      </w:r>
      <w:r>
        <w:tab/>
        <w:t>prepared, or being prepared, for immediate consumption.</w:t>
      </w:r>
    </w:p>
    <w:p>
      <w:pPr>
        <w:pStyle w:val="Penstart"/>
      </w:pPr>
      <w:r>
        <w:tab/>
        <w:t>Penalty: In the case of an individual, $5 000 or, in the case of a body corporate, $10 000 and, in either case, the penalty provided in section 222 of the Act.</w:t>
      </w:r>
    </w:p>
    <w:p>
      <w:pPr>
        <w:pStyle w:val="Footnotesection"/>
      </w:pPr>
      <w:r>
        <w:tab/>
        <w:t>[Regulation 38B inserted in Gazette 21 Dec 1999 p. 6407; amended in Gazette 4 Nov 2005 p. 5311.]</w:t>
      </w:r>
    </w:p>
    <w:p>
      <w:pPr>
        <w:pStyle w:val="Heading5"/>
        <w:spacing w:before="180"/>
      </w:pPr>
      <w:bookmarkStart w:id="1098" w:name="_Toc309309308"/>
      <w:r>
        <w:rPr>
          <w:rStyle w:val="CharSectno"/>
        </w:rPr>
        <w:t>38C</w:t>
      </w:r>
      <w:r>
        <w:t>.</w:t>
      </w:r>
      <w:r>
        <w:tab/>
        <w:t>Bringing ashore parts of deep sea crabs</w:t>
      </w:r>
      <w:bookmarkEnd w:id="1098"/>
    </w:p>
    <w:p>
      <w:pPr>
        <w:pStyle w:val="Subsection"/>
      </w:pPr>
      <w:r>
        <w:tab/>
      </w:r>
      <w:r>
        <w:tab/>
        <w:t>A person must not bring onto land, or attempt to bring onto land, a part only of a deep sea crab.</w:t>
      </w:r>
    </w:p>
    <w:p>
      <w:pPr>
        <w:pStyle w:val="Penstart"/>
      </w:pPr>
      <w:r>
        <w:tab/>
        <w:t>Penalty: In the case of an individual, $5 000 or, in the case of a body corporate, $10 000 and, in either case, the penalty provided in section 222 of the Act.</w:t>
      </w:r>
    </w:p>
    <w:p>
      <w:pPr>
        <w:pStyle w:val="Footnotesection"/>
      </w:pPr>
      <w:r>
        <w:tab/>
        <w:t>[Regulation 38C inserted in Gazette 21 Dec 1999 p. 6407; amended in Gazette 4 Nov 2005 p. 5311.]</w:t>
      </w:r>
    </w:p>
    <w:p>
      <w:pPr>
        <w:pStyle w:val="Heading3"/>
        <w:keepLines/>
      </w:pPr>
      <w:bookmarkStart w:id="1099" w:name="_Toc189987884"/>
      <w:bookmarkStart w:id="1100" w:name="_Toc192041467"/>
      <w:bookmarkStart w:id="1101" w:name="_Toc199570701"/>
      <w:bookmarkStart w:id="1102" w:name="_Toc199738697"/>
      <w:bookmarkStart w:id="1103" w:name="_Toc199814798"/>
      <w:bookmarkStart w:id="1104" w:name="_Toc215040605"/>
      <w:bookmarkStart w:id="1105" w:name="_Toc215041050"/>
      <w:bookmarkStart w:id="1106" w:name="_Toc222129260"/>
      <w:bookmarkStart w:id="1107" w:name="_Toc222222965"/>
      <w:bookmarkStart w:id="1108" w:name="_Toc225914217"/>
      <w:bookmarkStart w:id="1109" w:name="_Toc231282262"/>
      <w:bookmarkStart w:id="1110" w:name="_Toc231282706"/>
      <w:bookmarkStart w:id="1111" w:name="_Toc234899293"/>
      <w:bookmarkStart w:id="1112" w:name="_Toc236632575"/>
      <w:bookmarkStart w:id="1113" w:name="_Toc236720188"/>
      <w:bookmarkStart w:id="1114" w:name="_Toc237764387"/>
      <w:bookmarkStart w:id="1115" w:name="_Toc238356011"/>
      <w:bookmarkStart w:id="1116" w:name="_Toc238368716"/>
      <w:bookmarkStart w:id="1117" w:name="_Toc238375669"/>
      <w:bookmarkStart w:id="1118" w:name="_Toc240338993"/>
      <w:bookmarkStart w:id="1119" w:name="_Toc241993499"/>
      <w:bookmarkStart w:id="1120" w:name="_Toc243192642"/>
      <w:bookmarkStart w:id="1121" w:name="_Toc243295343"/>
      <w:bookmarkStart w:id="1122" w:name="_Toc245112916"/>
      <w:bookmarkStart w:id="1123" w:name="_Toc245198078"/>
      <w:bookmarkStart w:id="1124" w:name="_Toc245198527"/>
      <w:bookmarkStart w:id="1125" w:name="_Toc245198976"/>
      <w:bookmarkStart w:id="1126" w:name="_Toc248122006"/>
      <w:bookmarkStart w:id="1127" w:name="_Toc248122457"/>
      <w:bookmarkStart w:id="1128" w:name="_Toc253670444"/>
      <w:bookmarkStart w:id="1129" w:name="_Toc253670894"/>
      <w:bookmarkStart w:id="1130" w:name="_Toc254942664"/>
      <w:bookmarkStart w:id="1131" w:name="_Toc254943117"/>
      <w:bookmarkStart w:id="1132" w:name="_Toc255475709"/>
      <w:bookmarkStart w:id="1133" w:name="_Toc256432030"/>
      <w:bookmarkStart w:id="1134" w:name="_Toc257720367"/>
      <w:bookmarkStart w:id="1135" w:name="_Toc257722049"/>
      <w:bookmarkStart w:id="1136" w:name="_Toc258335725"/>
      <w:bookmarkStart w:id="1137" w:name="_Toc260406167"/>
      <w:bookmarkStart w:id="1138" w:name="_Toc261271353"/>
      <w:bookmarkStart w:id="1139" w:name="_Toc262808035"/>
      <w:bookmarkStart w:id="1140" w:name="_Toc267572428"/>
      <w:bookmarkStart w:id="1141" w:name="_Toc270684177"/>
      <w:bookmarkStart w:id="1142" w:name="_Toc274214354"/>
      <w:bookmarkStart w:id="1143" w:name="_Toc274214803"/>
      <w:bookmarkStart w:id="1144" w:name="_Toc278976134"/>
      <w:bookmarkStart w:id="1145" w:name="_Toc286760457"/>
      <w:bookmarkStart w:id="1146" w:name="_Toc289080802"/>
      <w:bookmarkStart w:id="1147" w:name="_Toc290283996"/>
      <w:bookmarkStart w:id="1148" w:name="_Toc290642817"/>
      <w:bookmarkStart w:id="1149" w:name="_Toc290643266"/>
      <w:bookmarkStart w:id="1150" w:name="_Toc290643719"/>
      <w:bookmarkStart w:id="1151" w:name="_Toc294701536"/>
      <w:bookmarkStart w:id="1152" w:name="_Toc295199944"/>
      <w:bookmarkStart w:id="1153" w:name="_Toc296954385"/>
      <w:bookmarkStart w:id="1154" w:name="_Toc297276017"/>
      <w:bookmarkStart w:id="1155" w:name="_Toc297276469"/>
      <w:bookmarkStart w:id="1156" w:name="_Toc297276919"/>
      <w:bookmarkStart w:id="1157" w:name="_Toc297726288"/>
      <w:bookmarkStart w:id="1158" w:name="_Toc299980072"/>
      <w:bookmarkStart w:id="1159" w:name="_Toc300234698"/>
      <w:bookmarkStart w:id="1160" w:name="_Toc301961201"/>
      <w:bookmarkStart w:id="1161" w:name="_Toc301966771"/>
      <w:bookmarkStart w:id="1162" w:name="_Toc303252980"/>
      <w:bookmarkStart w:id="1163" w:name="_Toc303257144"/>
      <w:bookmarkStart w:id="1164" w:name="_Toc307992779"/>
      <w:bookmarkStart w:id="1165" w:name="_Toc309029809"/>
      <w:bookmarkStart w:id="1166" w:name="_Toc309304032"/>
      <w:bookmarkStart w:id="1167" w:name="_Toc309304485"/>
      <w:bookmarkStart w:id="1168" w:name="_Toc309309309"/>
      <w:r>
        <w:rPr>
          <w:rStyle w:val="CharDivNo"/>
        </w:rPr>
        <w:t>Division 5B</w:t>
      </w:r>
      <w:r>
        <w:t> — </w:t>
      </w:r>
      <w:r>
        <w:rPr>
          <w:rStyle w:val="CharDivText"/>
        </w:rPr>
        <w:t>Requirements regarding abalone</w:t>
      </w:r>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p>
    <w:p>
      <w:pPr>
        <w:pStyle w:val="Footnoteheading"/>
        <w:keepNext/>
        <w:keepLines/>
        <w:tabs>
          <w:tab w:val="left" w:pos="851"/>
        </w:tabs>
      </w:pPr>
      <w:r>
        <w:tab/>
        <w:t>[Heading inserted in Gazette 1 Oct 2003 p. 4301.]</w:t>
      </w:r>
    </w:p>
    <w:p>
      <w:pPr>
        <w:pStyle w:val="Heading5"/>
      </w:pPr>
      <w:bookmarkStart w:id="1169" w:name="_Toc309309310"/>
      <w:r>
        <w:rPr>
          <w:rStyle w:val="CharSectno"/>
        </w:rPr>
        <w:t>38D</w:t>
      </w:r>
      <w:r>
        <w:t>.</w:t>
      </w:r>
      <w:r>
        <w:tab/>
        <w:t>When fishing for abalone allowed</w:t>
      </w:r>
      <w:bookmarkEnd w:id="1169"/>
    </w:p>
    <w:p>
      <w:pPr>
        <w:pStyle w:val="Subsection"/>
        <w:spacing w:before="100"/>
      </w:pPr>
      <w:r>
        <w:tab/>
        <w:t>(1)</w:t>
      </w:r>
      <w:r>
        <w:tab/>
        <w:t>In this regulation and regulation 38E —</w:t>
      </w:r>
    </w:p>
    <w:p>
      <w:pPr>
        <w:pStyle w:val="Defstart"/>
      </w:pPr>
      <w:r>
        <w:rPr>
          <w:b/>
        </w:rPr>
        <w:tab/>
      </w:r>
      <w:r>
        <w:rPr>
          <w:rStyle w:val="CharDefText"/>
        </w:rPr>
        <w:t>Abalone Zone</w:t>
      </w:r>
      <w:r>
        <w:t xml:space="preserve"> followed by a number, means the zone of that number described in Schedule 16.</w:t>
      </w:r>
    </w:p>
    <w:p>
      <w:pPr>
        <w:pStyle w:val="Subsection"/>
      </w:pPr>
      <w:r>
        <w:tab/>
        <w:t>(2)</w:t>
      </w:r>
      <w:r>
        <w:tab/>
        <w:t>A person, other than a person authorised to take abalone under a managed fishery licence, must not fish for abalone —</w:t>
      </w:r>
    </w:p>
    <w:p>
      <w:pPr>
        <w:pStyle w:val="Indenta"/>
      </w:pPr>
      <w:r>
        <w:tab/>
        <w:t>(a)</w:t>
      </w:r>
      <w:r>
        <w:tab/>
        <w:t xml:space="preserve">in Abalone Zone 1 at any time other than between 7.00 a.m. and 8.00 a.m. on the first Sunday — </w:t>
      </w:r>
    </w:p>
    <w:p>
      <w:pPr>
        <w:pStyle w:val="Indenti"/>
      </w:pPr>
      <w:r>
        <w:tab/>
        <w:t>(i)</w:t>
      </w:r>
      <w:r>
        <w:tab/>
        <w:t>in November and December in any year; and</w:t>
      </w:r>
    </w:p>
    <w:p>
      <w:pPr>
        <w:pStyle w:val="Indenti"/>
      </w:pPr>
      <w:r>
        <w:tab/>
        <w:t>(ii)</w:t>
      </w:r>
      <w:r>
        <w:tab/>
        <w:t>in January, February and March in the next following year;</w:t>
      </w:r>
    </w:p>
    <w:p>
      <w:pPr>
        <w:pStyle w:val="Indenta"/>
      </w:pPr>
      <w:r>
        <w:tab/>
      </w:r>
      <w:r>
        <w:tab/>
        <w:t>or</w:t>
      </w:r>
    </w:p>
    <w:p>
      <w:pPr>
        <w:pStyle w:val="Indenta"/>
      </w:pPr>
      <w:r>
        <w:tab/>
        <w:t>(b)</w:t>
      </w:r>
      <w:r>
        <w:tab/>
        <w:t>in Abalone Zone 2 at any time other than during the period beginning on 1 October in any year and ending on 15 May in the next following year; or</w:t>
      </w:r>
    </w:p>
    <w:p>
      <w:pPr>
        <w:pStyle w:val="Indenta"/>
      </w:pPr>
      <w:r>
        <w:tab/>
        <w:t>(c)</w:t>
      </w:r>
      <w:r>
        <w:tab/>
        <w:t>in Abalone Zone 3 at any time other than during the period beginning on 1 October in any year and ending on 15 May in the next following year.</w:t>
      </w:r>
    </w:p>
    <w:p>
      <w:pPr>
        <w:pStyle w:val="Penstart"/>
      </w:pPr>
      <w:r>
        <w:tab/>
        <w:t>Penalty: $5 000 and the penalty provided in section 222 of the Act.</w:t>
      </w:r>
    </w:p>
    <w:p>
      <w:pPr>
        <w:pStyle w:val="Footnotesection"/>
      </w:pPr>
      <w:r>
        <w:tab/>
        <w:t>[Regulation 38D inserted in Gazette 1 Oct 2003 p. 4301; amended in Gazette 28 Nov 2003 p. 4775; 10 Nov 2006 p. 4703; 8 Oct 2010 p. 5135; 2 Aug 2011 p. 3169; 2 Nov 2011 p. 4620.]</w:t>
      </w:r>
    </w:p>
    <w:p>
      <w:pPr>
        <w:pStyle w:val="Heading5"/>
        <w:spacing w:before="180"/>
      </w:pPr>
      <w:bookmarkStart w:id="1170" w:name="_Toc309309311"/>
      <w:r>
        <w:rPr>
          <w:rStyle w:val="CharSectno"/>
        </w:rPr>
        <w:t>38E</w:t>
      </w:r>
      <w:r>
        <w:t>.</w:t>
      </w:r>
      <w:r>
        <w:tab/>
        <w:t>Diving for abalone using breathing apparatus prohibited in Abalone Zone 1</w:t>
      </w:r>
      <w:bookmarkEnd w:id="1170"/>
    </w:p>
    <w:p>
      <w:pPr>
        <w:pStyle w:val="Subsection"/>
        <w:spacing w:before="100"/>
      </w:pPr>
      <w:r>
        <w:tab/>
      </w:r>
      <w:r>
        <w:tab/>
        <w:t xml:space="preserve">A </w:t>
      </w:r>
      <w:r>
        <w:rPr>
          <w:snapToGrid w:val="0"/>
        </w:rPr>
        <w:t>person</w:t>
      </w:r>
      <w:r>
        <w:t xml:space="preserve"> must not fish for abalone in Abalone Zone 1 by diving while using compressed air breathing apparatus.</w:t>
      </w:r>
    </w:p>
    <w:p>
      <w:pPr>
        <w:pStyle w:val="Penstart"/>
      </w:pPr>
      <w:r>
        <w:tab/>
        <w:t>Penalty: $5 000 and the penalty provided in section 222 of the Act.</w:t>
      </w:r>
    </w:p>
    <w:p>
      <w:pPr>
        <w:pStyle w:val="Footnotesection"/>
      </w:pPr>
      <w:r>
        <w:tab/>
        <w:t>[Regulation 38E inserted in Gazette 28 Nov 2003 p. 4775.]</w:t>
      </w:r>
    </w:p>
    <w:p>
      <w:pPr>
        <w:pStyle w:val="Heading5"/>
      </w:pPr>
      <w:bookmarkStart w:id="1171" w:name="_Toc309309312"/>
      <w:bookmarkStart w:id="1172" w:name="_Toc189987887"/>
      <w:bookmarkStart w:id="1173" w:name="_Toc192041470"/>
      <w:bookmarkStart w:id="1174" w:name="_Toc199570704"/>
      <w:bookmarkStart w:id="1175" w:name="_Toc199738700"/>
      <w:bookmarkStart w:id="1176" w:name="_Toc199814801"/>
      <w:bookmarkStart w:id="1177" w:name="_Toc215040608"/>
      <w:bookmarkStart w:id="1178" w:name="_Toc215041053"/>
      <w:bookmarkStart w:id="1179" w:name="_Toc222129263"/>
      <w:bookmarkStart w:id="1180" w:name="_Toc222222968"/>
      <w:bookmarkStart w:id="1181" w:name="_Toc225914220"/>
      <w:bookmarkStart w:id="1182" w:name="_Toc231282265"/>
      <w:bookmarkStart w:id="1183" w:name="_Toc231282709"/>
      <w:bookmarkStart w:id="1184" w:name="_Toc234899296"/>
      <w:bookmarkStart w:id="1185" w:name="_Toc236632578"/>
      <w:bookmarkStart w:id="1186" w:name="_Toc236720191"/>
      <w:bookmarkStart w:id="1187" w:name="_Toc237764390"/>
      <w:bookmarkStart w:id="1188" w:name="_Toc238356014"/>
      <w:bookmarkStart w:id="1189" w:name="_Toc238368719"/>
      <w:bookmarkStart w:id="1190" w:name="_Toc238375672"/>
      <w:bookmarkStart w:id="1191" w:name="_Toc240338996"/>
      <w:bookmarkStart w:id="1192" w:name="_Toc241993502"/>
      <w:bookmarkStart w:id="1193" w:name="_Toc243192645"/>
      <w:bookmarkStart w:id="1194" w:name="_Toc243295346"/>
      <w:bookmarkStart w:id="1195" w:name="_Toc245112919"/>
      <w:bookmarkStart w:id="1196" w:name="_Toc245198081"/>
      <w:bookmarkStart w:id="1197" w:name="_Toc245198530"/>
      <w:bookmarkStart w:id="1198" w:name="_Toc245198979"/>
      <w:bookmarkStart w:id="1199" w:name="_Toc248122009"/>
      <w:bookmarkStart w:id="1200" w:name="_Toc248122460"/>
      <w:bookmarkStart w:id="1201" w:name="_Toc253670447"/>
      <w:bookmarkStart w:id="1202" w:name="_Toc253670897"/>
      <w:bookmarkStart w:id="1203" w:name="_Toc254942667"/>
      <w:bookmarkStart w:id="1204" w:name="_Toc254943120"/>
      <w:bookmarkStart w:id="1205" w:name="_Toc255475712"/>
      <w:bookmarkStart w:id="1206" w:name="_Toc256432033"/>
      <w:bookmarkStart w:id="1207" w:name="_Toc257720370"/>
      <w:bookmarkStart w:id="1208" w:name="_Toc257722052"/>
      <w:bookmarkStart w:id="1209" w:name="_Toc258335728"/>
      <w:bookmarkStart w:id="1210" w:name="_Toc260406170"/>
      <w:bookmarkStart w:id="1211" w:name="_Toc261271356"/>
      <w:bookmarkStart w:id="1212" w:name="_Toc262808038"/>
      <w:bookmarkStart w:id="1213" w:name="_Toc267572431"/>
      <w:bookmarkStart w:id="1214" w:name="_Toc270684180"/>
      <w:bookmarkStart w:id="1215" w:name="_Toc274214357"/>
      <w:bookmarkStart w:id="1216" w:name="_Toc274214806"/>
      <w:bookmarkStart w:id="1217" w:name="_Toc278976137"/>
      <w:bookmarkStart w:id="1218" w:name="_Toc286760460"/>
      <w:bookmarkStart w:id="1219" w:name="_Toc289080805"/>
      <w:bookmarkStart w:id="1220" w:name="_Toc290283999"/>
      <w:bookmarkStart w:id="1221" w:name="_Toc290642820"/>
      <w:bookmarkStart w:id="1222" w:name="_Toc290643269"/>
      <w:bookmarkStart w:id="1223" w:name="_Toc290643722"/>
      <w:bookmarkStart w:id="1224" w:name="_Toc294701539"/>
      <w:bookmarkStart w:id="1225" w:name="_Toc295199947"/>
      <w:bookmarkStart w:id="1226" w:name="_Toc296954388"/>
      <w:bookmarkStart w:id="1227" w:name="_Toc297276020"/>
      <w:bookmarkStart w:id="1228" w:name="_Toc297276472"/>
      <w:bookmarkStart w:id="1229" w:name="_Toc297276922"/>
      <w:bookmarkStart w:id="1230" w:name="_Toc297726291"/>
      <w:r>
        <w:rPr>
          <w:rStyle w:val="CharSectno"/>
        </w:rPr>
        <w:t>38F</w:t>
      </w:r>
      <w:r>
        <w:t>.</w:t>
      </w:r>
      <w:r>
        <w:tab/>
        <w:t>Use of abalone material as bait</w:t>
      </w:r>
      <w:bookmarkEnd w:id="1171"/>
    </w:p>
    <w:p>
      <w:pPr>
        <w:pStyle w:val="Subsection"/>
      </w:pPr>
      <w:r>
        <w:tab/>
      </w:r>
      <w:r>
        <w:tab/>
        <w:t>A person must not fish for any fish using as bait any abalone material.</w:t>
      </w:r>
    </w:p>
    <w:p>
      <w:pPr>
        <w:pStyle w:val="Penstart"/>
      </w:pPr>
      <w:r>
        <w:tab/>
        <w:t>Penalty: a fine of $10 000 and the penalty provided in section 222 of the Act.</w:t>
      </w:r>
    </w:p>
    <w:p>
      <w:pPr>
        <w:pStyle w:val="Footnotesection"/>
      </w:pPr>
      <w:r>
        <w:tab/>
        <w:t>[Regulation 38F inserted in Gazette 2 Aug 2011 p. 3166-7.]</w:t>
      </w:r>
    </w:p>
    <w:p>
      <w:pPr>
        <w:pStyle w:val="Heading5"/>
      </w:pPr>
      <w:bookmarkStart w:id="1231" w:name="_Toc309309313"/>
      <w:r>
        <w:rPr>
          <w:rStyle w:val="CharSectno"/>
        </w:rPr>
        <w:t>38GA</w:t>
      </w:r>
      <w:r>
        <w:t>.</w:t>
      </w:r>
      <w:r>
        <w:tab/>
        <w:t>Possession of abalone material</w:t>
      </w:r>
      <w:bookmarkEnd w:id="1231"/>
    </w:p>
    <w:p>
      <w:pPr>
        <w:pStyle w:val="Subsection"/>
      </w:pPr>
      <w:r>
        <w:tab/>
      </w:r>
      <w:r>
        <w:tab/>
        <w:t xml:space="preserve">A person, other than a person authorised to take abalone under a managed fishery licence, must not — </w:t>
      </w:r>
    </w:p>
    <w:p>
      <w:pPr>
        <w:pStyle w:val="Indenta"/>
      </w:pPr>
      <w:r>
        <w:tab/>
        <w:t>(a)</w:t>
      </w:r>
      <w:r>
        <w:tab/>
        <w:t>on the seaward side of the high water mark; or</w:t>
      </w:r>
    </w:p>
    <w:p>
      <w:pPr>
        <w:pStyle w:val="Indenta"/>
      </w:pPr>
      <w:r>
        <w:tab/>
        <w:t>(b)</w:t>
      </w:r>
      <w:r>
        <w:tab/>
        <w:t>in the waters of any estuary, river or inlet, or in the entrance to any of those waters,</w:t>
      </w:r>
    </w:p>
    <w:p>
      <w:pPr>
        <w:pStyle w:val="Subsection"/>
      </w:pPr>
      <w:r>
        <w:tab/>
      </w:r>
      <w:r>
        <w:tab/>
        <w:t>be in possession of any abalone material other than a whole abalone.</w:t>
      </w:r>
    </w:p>
    <w:p>
      <w:pPr>
        <w:pStyle w:val="Penstart"/>
      </w:pPr>
      <w:r>
        <w:tab/>
        <w:t>Penalty: a fine of $10 000.</w:t>
      </w:r>
    </w:p>
    <w:p>
      <w:pPr>
        <w:pStyle w:val="Footnotesection"/>
      </w:pPr>
      <w:r>
        <w:tab/>
        <w:t>[Regulation 38GA inserted in Gazette 2 Aug 2011 p. 3167; amended in Gazette 2 Nov 2011 p. 4620.]</w:t>
      </w:r>
    </w:p>
    <w:p>
      <w:pPr>
        <w:pStyle w:val="Heading3"/>
      </w:pPr>
      <w:bookmarkStart w:id="1232" w:name="_Toc299980077"/>
      <w:bookmarkStart w:id="1233" w:name="_Toc300234703"/>
      <w:bookmarkStart w:id="1234" w:name="_Toc301961206"/>
      <w:bookmarkStart w:id="1235" w:name="_Toc301966776"/>
      <w:bookmarkStart w:id="1236" w:name="_Toc303252985"/>
      <w:bookmarkStart w:id="1237" w:name="_Toc303257149"/>
      <w:bookmarkStart w:id="1238" w:name="_Toc307992784"/>
      <w:bookmarkStart w:id="1239" w:name="_Toc309029814"/>
      <w:bookmarkStart w:id="1240" w:name="_Toc309304037"/>
      <w:bookmarkStart w:id="1241" w:name="_Toc309304490"/>
      <w:bookmarkStart w:id="1242" w:name="_Toc309309314"/>
      <w:r>
        <w:rPr>
          <w:rStyle w:val="CharDivNo"/>
        </w:rPr>
        <w:t>Division 5C</w:t>
      </w:r>
      <w:r>
        <w:t> — </w:t>
      </w:r>
      <w:r>
        <w:rPr>
          <w:rStyle w:val="CharDivText"/>
        </w:rPr>
        <w:t>Requirements regarding marron</w:t>
      </w:r>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2"/>
      <w:bookmarkEnd w:id="1233"/>
      <w:bookmarkEnd w:id="1234"/>
      <w:bookmarkEnd w:id="1235"/>
      <w:bookmarkEnd w:id="1236"/>
      <w:bookmarkEnd w:id="1237"/>
      <w:bookmarkEnd w:id="1238"/>
      <w:bookmarkEnd w:id="1239"/>
      <w:bookmarkEnd w:id="1240"/>
      <w:bookmarkEnd w:id="1241"/>
      <w:bookmarkEnd w:id="1242"/>
    </w:p>
    <w:p>
      <w:pPr>
        <w:pStyle w:val="Footnoteheading"/>
        <w:tabs>
          <w:tab w:val="left" w:pos="909"/>
        </w:tabs>
        <w:ind w:left="923" w:hanging="923"/>
      </w:pPr>
      <w:r>
        <w:tab/>
        <w:t>[Heading inserted in Gazette 29 Dec 2000 p. 7968.]</w:t>
      </w:r>
    </w:p>
    <w:p>
      <w:pPr>
        <w:pStyle w:val="Heading4"/>
      </w:pPr>
      <w:bookmarkStart w:id="1243" w:name="_Toc189987888"/>
      <w:bookmarkStart w:id="1244" w:name="_Toc192041471"/>
      <w:bookmarkStart w:id="1245" w:name="_Toc199570705"/>
      <w:bookmarkStart w:id="1246" w:name="_Toc199738701"/>
      <w:bookmarkStart w:id="1247" w:name="_Toc199814802"/>
      <w:bookmarkStart w:id="1248" w:name="_Toc215040609"/>
      <w:bookmarkStart w:id="1249" w:name="_Toc215041054"/>
      <w:bookmarkStart w:id="1250" w:name="_Toc222129264"/>
      <w:bookmarkStart w:id="1251" w:name="_Toc222222969"/>
      <w:bookmarkStart w:id="1252" w:name="_Toc225914221"/>
      <w:bookmarkStart w:id="1253" w:name="_Toc231282266"/>
      <w:bookmarkStart w:id="1254" w:name="_Toc231282710"/>
      <w:bookmarkStart w:id="1255" w:name="_Toc234899297"/>
      <w:bookmarkStart w:id="1256" w:name="_Toc236632579"/>
      <w:bookmarkStart w:id="1257" w:name="_Toc236720192"/>
      <w:bookmarkStart w:id="1258" w:name="_Toc237764391"/>
      <w:bookmarkStart w:id="1259" w:name="_Toc238356015"/>
      <w:bookmarkStart w:id="1260" w:name="_Toc238368720"/>
      <w:bookmarkStart w:id="1261" w:name="_Toc238375673"/>
      <w:bookmarkStart w:id="1262" w:name="_Toc240338997"/>
      <w:bookmarkStart w:id="1263" w:name="_Toc241993503"/>
      <w:bookmarkStart w:id="1264" w:name="_Toc243192646"/>
      <w:bookmarkStart w:id="1265" w:name="_Toc243295347"/>
      <w:bookmarkStart w:id="1266" w:name="_Toc245112920"/>
      <w:bookmarkStart w:id="1267" w:name="_Toc245198082"/>
      <w:bookmarkStart w:id="1268" w:name="_Toc245198531"/>
      <w:bookmarkStart w:id="1269" w:name="_Toc245198980"/>
      <w:bookmarkStart w:id="1270" w:name="_Toc248122010"/>
      <w:bookmarkStart w:id="1271" w:name="_Toc248122461"/>
      <w:bookmarkStart w:id="1272" w:name="_Toc253670448"/>
      <w:bookmarkStart w:id="1273" w:name="_Toc253670898"/>
      <w:bookmarkStart w:id="1274" w:name="_Toc254942668"/>
      <w:bookmarkStart w:id="1275" w:name="_Toc254943121"/>
      <w:bookmarkStart w:id="1276" w:name="_Toc255475713"/>
      <w:bookmarkStart w:id="1277" w:name="_Toc256432034"/>
      <w:bookmarkStart w:id="1278" w:name="_Toc257720371"/>
      <w:bookmarkStart w:id="1279" w:name="_Toc257722053"/>
      <w:bookmarkStart w:id="1280" w:name="_Toc258335729"/>
      <w:bookmarkStart w:id="1281" w:name="_Toc260406171"/>
      <w:bookmarkStart w:id="1282" w:name="_Toc261271357"/>
      <w:bookmarkStart w:id="1283" w:name="_Toc262808039"/>
      <w:bookmarkStart w:id="1284" w:name="_Toc267572432"/>
      <w:bookmarkStart w:id="1285" w:name="_Toc270684181"/>
      <w:bookmarkStart w:id="1286" w:name="_Toc274214358"/>
      <w:bookmarkStart w:id="1287" w:name="_Toc274214807"/>
      <w:bookmarkStart w:id="1288" w:name="_Toc278976138"/>
      <w:bookmarkStart w:id="1289" w:name="_Toc286760461"/>
      <w:bookmarkStart w:id="1290" w:name="_Toc289080806"/>
      <w:bookmarkStart w:id="1291" w:name="_Toc290284000"/>
      <w:bookmarkStart w:id="1292" w:name="_Toc290642821"/>
      <w:bookmarkStart w:id="1293" w:name="_Toc290643270"/>
      <w:bookmarkStart w:id="1294" w:name="_Toc290643723"/>
      <w:bookmarkStart w:id="1295" w:name="_Toc294701540"/>
      <w:bookmarkStart w:id="1296" w:name="_Toc295199948"/>
      <w:bookmarkStart w:id="1297" w:name="_Toc296954389"/>
      <w:bookmarkStart w:id="1298" w:name="_Toc297276021"/>
      <w:bookmarkStart w:id="1299" w:name="_Toc297276473"/>
      <w:bookmarkStart w:id="1300" w:name="_Toc297276923"/>
      <w:bookmarkStart w:id="1301" w:name="_Toc297726292"/>
      <w:bookmarkStart w:id="1302" w:name="_Toc299980078"/>
      <w:bookmarkStart w:id="1303" w:name="_Toc300234704"/>
      <w:bookmarkStart w:id="1304" w:name="_Toc301961207"/>
      <w:bookmarkStart w:id="1305" w:name="_Toc301966777"/>
      <w:bookmarkStart w:id="1306" w:name="_Toc303252986"/>
      <w:bookmarkStart w:id="1307" w:name="_Toc303257150"/>
      <w:bookmarkStart w:id="1308" w:name="_Toc307992785"/>
      <w:bookmarkStart w:id="1309" w:name="_Toc309029815"/>
      <w:bookmarkStart w:id="1310" w:name="_Toc309304038"/>
      <w:bookmarkStart w:id="1311" w:name="_Toc309304491"/>
      <w:bookmarkStart w:id="1312" w:name="_Toc309309315"/>
      <w:r>
        <w:t>Subdivision 1 — Interpretation</w:t>
      </w:r>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p>
    <w:p>
      <w:pPr>
        <w:pStyle w:val="Footnoteheading"/>
        <w:tabs>
          <w:tab w:val="left" w:pos="909"/>
        </w:tabs>
        <w:ind w:left="923" w:hanging="923"/>
      </w:pPr>
      <w:r>
        <w:tab/>
        <w:t>[Heading inserted in Gazette 29 Dec 2000 p. 7968.]</w:t>
      </w:r>
    </w:p>
    <w:p>
      <w:pPr>
        <w:pStyle w:val="Heading5"/>
      </w:pPr>
      <w:bookmarkStart w:id="1313" w:name="_Toc309309316"/>
      <w:r>
        <w:rPr>
          <w:rStyle w:val="CharSectno"/>
        </w:rPr>
        <w:t>38G</w:t>
      </w:r>
      <w:r>
        <w:t>.</w:t>
      </w:r>
      <w:r>
        <w:tab/>
        <w:t>Terms used</w:t>
      </w:r>
      <w:bookmarkEnd w:id="1313"/>
    </w:p>
    <w:p>
      <w:pPr>
        <w:pStyle w:val="Subsection"/>
      </w:pPr>
      <w:r>
        <w:tab/>
      </w:r>
      <w:r>
        <w:tab/>
        <w:t>In this Division —</w:t>
      </w:r>
    </w:p>
    <w:p>
      <w:pPr>
        <w:pStyle w:val="Defstart"/>
      </w:pPr>
      <w:r>
        <w:tab/>
      </w:r>
      <w:r>
        <w:rPr>
          <w:rStyle w:val="CharDefText"/>
        </w:rPr>
        <w:t>closed season</w:t>
      </w:r>
      <w:r>
        <w:t>, in any year, means all of that year other than the period commencing midday on 8 January and ending midday on 5 February;</w:t>
      </w:r>
    </w:p>
    <w:p>
      <w:pPr>
        <w:pStyle w:val="Defstart"/>
        <w:keepNext/>
      </w:pPr>
      <w:r>
        <w:tab/>
      </w:r>
      <w:r>
        <w:rPr>
          <w:rStyle w:val="CharDefText"/>
        </w:rPr>
        <w:t>marron drop net</w:t>
      </w:r>
      <w:r>
        <w:t xml:space="preserve"> means a net that —</w:t>
      </w:r>
    </w:p>
    <w:p>
      <w:pPr>
        <w:pStyle w:val="Defpara"/>
      </w:pPr>
      <w:r>
        <w:tab/>
        <w:t>(a)</w:t>
      </w:r>
      <w:r>
        <w:tab/>
        <w:t>has a base ring and top ring that have a diameter of not less than 400 mm and not more than 650 mm; and</w:t>
      </w:r>
    </w:p>
    <w:p>
      <w:pPr>
        <w:pStyle w:val="Defpara"/>
      </w:pPr>
      <w:r>
        <w:tab/>
        <w:t>(b)</w:t>
      </w:r>
      <w:r>
        <w:tab/>
        <w:t>has within the base ring an internal rigid rectangular mesh —</w:t>
      </w:r>
    </w:p>
    <w:p>
      <w:pPr>
        <w:pStyle w:val="Defsubpara"/>
      </w:pPr>
      <w:r>
        <w:tab/>
        <w:t>(i)</w:t>
      </w:r>
      <w:r>
        <w:tab/>
        <w:t>constructed of material that has a diameter of not more than 5 mm; and</w:t>
      </w:r>
    </w:p>
    <w:p>
      <w:pPr>
        <w:pStyle w:val="Defsubpara"/>
      </w:pPr>
      <w:r>
        <w:tab/>
        <w:t>(ii)</w:t>
      </w:r>
      <w:r>
        <w:tab/>
        <w:t>with spaces that have a width of not less than 32 mm and a length of not less than 80 mm;</w:t>
      </w:r>
    </w:p>
    <w:p>
      <w:pPr>
        <w:pStyle w:val="Defpara"/>
      </w:pPr>
      <w:r>
        <w:tab/>
      </w:r>
      <w:r>
        <w:tab/>
        <w:t>and</w:t>
      </w:r>
    </w:p>
    <w:p>
      <w:pPr>
        <w:pStyle w:val="Defpara"/>
        <w:keepNext/>
      </w:pPr>
      <w:r>
        <w:tab/>
        <w:t>(c)</w:t>
      </w:r>
      <w:r>
        <w:tab/>
        <w:t>does not have anything attached to it or placed in it that —</w:t>
      </w:r>
    </w:p>
    <w:p>
      <w:pPr>
        <w:pStyle w:val="Defsubpara"/>
      </w:pPr>
      <w:r>
        <w:tab/>
        <w:t>(i)</w:t>
      </w:r>
      <w:r>
        <w:tab/>
        <w:t>restricts the movement of marron through the mesh; or</w:t>
      </w:r>
    </w:p>
    <w:p>
      <w:pPr>
        <w:pStyle w:val="Defsubpara"/>
      </w:pPr>
      <w:r>
        <w:tab/>
        <w:t>(ii)</w:t>
      </w:r>
      <w:r>
        <w:tab/>
        <w:t>reduces the size of the spaces of the mesh;</w:t>
      </w:r>
    </w:p>
    <w:p>
      <w:pPr>
        <w:pStyle w:val="Defstart"/>
      </w:pPr>
      <w:r>
        <w:tab/>
      </w:r>
      <w:r>
        <w:rPr>
          <w:rStyle w:val="CharDefText"/>
        </w:rPr>
        <w:t>marron pole snare</w:t>
      </w:r>
      <w:r>
        <w:t xml:space="preserve"> means a snare that —</w:t>
      </w:r>
    </w:p>
    <w:p>
      <w:pPr>
        <w:pStyle w:val="Defpara"/>
      </w:pPr>
      <w:r>
        <w:tab/>
        <w:t>(a)</w:t>
      </w:r>
      <w:r>
        <w:tab/>
        <w:t>is constructed of a pole to one end of which is attached a noose that, when the pole is used to take a marron, operates by closing under the weight of the marron; and</w:t>
      </w:r>
    </w:p>
    <w:p>
      <w:pPr>
        <w:pStyle w:val="Defpara"/>
        <w:keepNext/>
      </w:pPr>
      <w:r>
        <w:tab/>
        <w:t>(b)</w:t>
      </w:r>
      <w:r>
        <w:tab/>
        <w:t>does not have anything attached to the pole that enables a person to open or close the noose;</w:t>
      </w:r>
    </w:p>
    <w:p>
      <w:pPr>
        <w:pStyle w:val="Defstart"/>
      </w:pPr>
      <w:r>
        <w:tab/>
      </w:r>
      <w:r>
        <w:rPr>
          <w:rStyle w:val="CharDefText"/>
        </w:rPr>
        <w:t>marron scoop net</w:t>
      </w:r>
      <w:r>
        <w:t xml:space="preserve"> means a net that —</w:t>
      </w:r>
    </w:p>
    <w:p>
      <w:pPr>
        <w:pStyle w:val="Defpara"/>
      </w:pPr>
      <w:r>
        <w:tab/>
        <w:t>(a)</w:t>
      </w:r>
      <w:r>
        <w:tab/>
        <w:t>is generally hemispherical and has a mesh —</w:t>
      </w:r>
    </w:p>
    <w:p>
      <w:pPr>
        <w:pStyle w:val="Defsubpara"/>
      </w:pPr>
      <w:r>
        <w:tab/>
        <w:t>(i)</w:t>
      </w:r>
      <w:r>
        <w:tab/>
        <w:t>constructed of wire with a diameter of not more than 5 mm; and</w:t>
      </w:r>
    </w:p>
    <w:p>
      <w:pPr>
        <w:pStyle w:val="Defsubpara"/>
      </w:pPr>
      <w:r>
        <w:tab/>
        <w:t>(ii)</w:t>
      </w:r>
      <w:r>
        <w:tab/>
        <w:t>that does not have more than 75 spaces; and</w:t>
      </w:r>
    </w:p>
    <w:p>
      <w:pPr>
        <w:pStyle w:val="Defsubpara"/>
      </w:pPr>
      <w:r>
        <w:tab/>
        <w:t>(iii)</w:t>
      </w:r>
      <w:r>
        <w:tab/>
        <w:t>that does not have more than 6 support wires radiating from the centre of the base to the top rim;</w:t>
      </w:r>
    </w:p>
    <w:p>
      <w:pPr>
        <w:pStyle w:val="Defpara"/>
        <w:keepNext/>
        <w:keepLines/>
      </w:pPr>
      <w:r>
        <w:tab/>
      </w:r>
      <w:r>
        <w:tab/>
        <w:t>and</w:t>
      </w:r>
    </w:p>
    <w:p>
      <w:pPr>
        <w:pStyle w:val="Defpara"/>
        <w:keepNext/>
        <w:keepLines/>
      </w:pPr>
      <w:r>
        <w:tab/>
        <w:t>(b)</w:t>
      </w:r>
      <w:r>
        <w:tab/>
        <w:t>has a circular top ring with an internal diameter that does not exceed 375 mm; and</w:t>
      </w:r>
    </w:p>
    <w:p>
      <w:pPr>
        <w:pStyle w:val="Defpara"/>
      </w:pPr>
      <w:r>
        <w:tab/>
        <w:t>(c)</w:t>
      </w:r>
      <w:r>
        <w:tab/>
        <w:t>has an internal depth that, measured from the plane of the rim, is not more than 210 mm; and</w:t>
      </w:r>
    </w:p>
    <w:p>
      <w:pPr>
        <w:pStyle w:val="Defpara"/>
      </w:pPr>
      <w:r>
        <w:tab/>
        <w:t>(d)</w:t>
      </w:r>
      <w:r>
        <w:tab/>
        <w:t>does not have anything attached to it or placed in it that restricts the movement of marron through the mesh; and</w:t>
      </w:r>
    </w:p>
    <w:p>
      <w:pPr>
        <w:pStyle w:val="Defpara"/>
      </w:pPr>
      <w:r>
        <w:tab/>
        <w:t>(e)</w:t>
      </w:r>
      <w:r>
        <w:tab/>
        <w:t>is fitted with a handle that is not more than 1 400 mm in length.</w:t>
      </w:r>
    </w:p>
    <w:p>
      <w:pPr>
        <w:pStyle w:val="Footnotesection"/>
      </w:pPr>
      <w:r>
        <w:tab/>
        <w:t>[Regulation 38G inserted in Gazette 29 Dec 2000 p. 7968</w:t>
      </w:r>
      <w:r>
        <w:noBreakHyphen/>
        <w:t>9; amended in Gazette 13 Dec 2002 p. 5796</w:t>
      </w:r>
      <w:r>
        <w:noBreakHyphen/>
        <w:t>7; 9 Jan 2004 p. 141; 30 Nov 2004 p. 5487; 22 Dec 2005 p. 6221; 29 Dec 2006 p. 5890; 13 Oct 2009 p. 4032.]</w:t>
      </w:r>
    </w:p>
    <w:p>
      <w:pPr>
        <w:pStyle w:val="Heading4"/>
      </w:pPr>
      <w:bookmarkStart w:id="1314" w:name="_Toc189987890"/>
      <w:bookmarkStart w:id="1315" w:name="_Toc192041473"/>
      <w:bookmarkStart w:id="1316" w:name="_Toc199570707"/>
      <w:bookmarkStart w:id="1317" w:name="_Toc199738703"/>
      <w:bookmarkStart w:id="1318" w:name="_Toc199814804"/>
      <w:bookmarkStart w:id="1319" w:name="_Toc215040611"/>
      <w:bookmarkStart w:id="1320" w:name="_Toc215041056"/>
      <w:bookmarkStart w:id="1321" w:name="_Toc222129266"/>
      <w:bookmarkStart w:id="1322" w:name="_Toc222222971"/>
      <w:bookmarkStart w:id="1323" w:name="_Toc225914223"/>
      <w:bookmarkStart w:id="1324" w:name="_Toc231282268"/>
      <w:bookmarkStart w:id="1325" w:name="_Toc231282712"/>
      <w:bookmarkStart w:id="1326" w:name="_Toc234899299"/>
      <w:bookmarkStart w:id="1327" w:name="_Toc236632581"/>
      <w:bookmarkStart w:id="1328" w:name="_Toc236720194"/>
      <w:bookmarkStart w:id="1329" w:name="_Toc237764393"/>
      <w:bookmarkStart w:id="1330" w:name="_Toc238356017"/>
      <w:bookmarkStart w:id="1331" w:name="_Toc238368722"/>
      <w:bookmarkStart w:id="1332" w:name="_Toc238375675"/>
      <w:bookmarkStart w:id="1333" w:name="_Toc240338999"/>
      <w:bookmarkStart w:id="1334" w:name="_Toc241993505"/>
      <w:bookmarkStart w:id="1335" w:name="_Toc243192648"/>
      <w:bookmarkStart w:id="1336" w:name="_Toc243295349"/>
      <w:bookmarkStart w:id="1337" w:name="_Toc245112922"/>
      <w:bookmarkStart w:id="1338" w:name="_Toc245198084"/>
      <w:bookmarkStart w:id="1339" w:name="_Toc245198533"/>
      <w:bookmarkStart w:id="1340" w:name="_Toc245198982"/>
      <w:bookmarkStart w:id="1341" w:name="_Toc248122012"/>
      <w:bookmarkStart w:id="1342" w:name="_Toc248122463"/>
      <w:bookmarkStart w:id="1343" w:name="_Toc253670450"/>
      <w:bookmarkStart w:id="1344" w:name="_Toc253670900"/>
      <w:bookmarkStart w:id="1345" w:name="_Toc254942670"/>
      <w:bookmarkStart w:id="1346" w:name="_Toc254943123"/>
      <w:bookmarkStart w:id="1347" w:name="_Toc255475715"/>
      <w:bookmarkStart w:id="1348" w:name="_Toc256432036"/>
      <w:bookmarkStart w:id="1349" w:name="_Toc257720373"/>
      <w:bookmarkStart w:id="1350" w:name="_Toc257722055"/>
      <w:bookmarkStart w:id="1351" w:name="_Toc258335731"/>
      <w:bookmarkStart w:id="1352" w:name="_Toc260406173"/>
      <w:bookmarkStart w:id="1353" w:name="_Toc261271359"/>
      <w:bookmarkStart w:id="1354" w:name="_Toc262808041"/>
      <w:bookmarkStart w:id="1355" w:name="_Toc267572434"/>
      <w:bookmarkStart w:id="1356" w:name="_Toc270684183"/>
      <w:bookmarkStart w:id="1357" w:name="_Toc274214360"/>
      <w:bookmarkStart w:id="1358" w:name="_Toc274214809"/>
      <w:bookmarkStart w:id="1359" w:name="_Toc278976140"/>
      <w:bookmarkStart w:id="1360" w:name="_Toc286760463"/>
      <w:bookmarkStart w:id="1361" w:name="_Toc289080808"/>
      <w:bookmarkStart w:id="1362" w:name="_Toc290284002"/>
      <w:bookmarkStart w:id="1363" w:name="_Toc290642823"/>
      <w:bookmarkStart w:id="1364" w:name="_Toc290643272"/>
      <w:bookmarkStart w:id="1365" w:name="_Toc290643725"/>
      <w:bookmarkStart w:id="1366" w:name="_Toc294701542"/>
      <w:bookmarkStart w:id="1367" w:name="_Toc295199950"/>
      <w:bookmarkStart w:id="1368" w:name="_Toc296954391"/>
      <w:bookmarkStart w:id="1369" w:name="_Toc297276023"/>
      <w:bookmarkStart w:id="1370" w:name="_Toc297276475"/>
      <w:bookmarkStart w:id="1371" w:name="_Toc297276925"/>
      <w:bookmarkStart w:id="1372" w:name="_Toc297726294"/>
      <w:bookmarkStart w:id="1373" w:name="_Toc299980080"/>
      <w:bookmarkStart w:id="1374" w:name="_Toc300234706"/>
      <w:bookmarkStart w:id="1375" w:name="_Toc301961209"/>
      <w:bookmarkStart w:id="1376" w:name="_Toc301966779"/>
      <w:bookmarkStart w:id="1377" w:name="_Toc303252988"/>
      <w:bookmarkStart w:id="1378" w:name="_Toc303257152"/>
      <w:bookmarkStart w:id="1379" w:name="_Toc307992787"/>
      <w:bookmarkStart w:id="1380" w:name="_Toc309029817"/>
      <w:bookmarkStart w:id="1381" w:name="_Toc309304040"/>
      <w:bookmarkStart w:id="1382" w:name="_Toc309304493"/>
      <w:bookmarkStart w:id="1383" w:name="_Toc309309317"/>
      <w:r>
        <w:t>Subdivision 2 — General restrictions on fishing for marron</w:t>
      </w:r>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p>
    <w:p>
      <w:pPr>
        <w:pStyle w:val="Footnoteheading"/>
        <w:tabs>
          <w:tab w:val="left" w:pos="909"/>
        </w:tabs>
        <w:spacing w:before="160"/>
        <w:ind w:left="924" w:hanging="924"/>
      </w:pPr>
      <w:r>
        <w:tab/>
        <w:t>[Heading inserted in Gazette 29 Dec 2000 p. 7969.]</w:t>
      </w:r>
    </w:p>
    <w:p>
      <w:pPr>
        <w:pStyle w:val="Heading5"/>
      </w:pPr>
      <w:bookmarkStart w:id="1384" w:name="_Toc309309318"/>
      <w:r>
        <w:rPr>
          <w:rStyle w:val="CharSectno"/>
        </w:rPr>
        <w:t>38H</w:t>
      </w:r>
      <w:r>
        <w:t>.</w:t>
      </w:r>
      <w:r>
        <w:tab/>
        <w:t>Marron, permitted ways to fish for</w:t>
      </w:r>
      <w:bookmarkEnd w:id="1384"/>
    </w:p>
    <w:p>
      <w:pPr>
        <w:pStyle w:val="Subsection"/>
        <w:spacing w:before="100"/>
      </w:pPr>
      <w:r>
        <w:tab/>
      </w:r>
      <w:r>
        <w:tab/>
        <w:t>Subject to regulation 38I, a person must not fish for marron by using anything except —</w:t>
      </w:r>
    </w:p>
    <w:p>
      <w:pPr>
        <w:pStyle w:val="Indenta"/>
      </w:pPr>
      <w:r>
        <w:tab/>
        <w:t>(a)</w:t>
      </w:r>
      <w:r>
        <w:tab/>
        <w:t>not more than 6 marron drop nets; or</w:t>
      </w:r>
    </w:p>
    <w:p>
      <w:pPr>
        <w:pStyle w:val="Indenta"/>
      </w:pPr>
      <w:r>
        <w:tab/>
        <w:t>(b)</w:t>
      </w:r>
      <w:r>
        <w:tab/>
        <w:t>a single marron pole snare; or</w:t>
      </w:r>
    </w:p>
    <w:p>
      <w:pPr>
        <w:pStyle w:val="Indenta"/>
        <w:keepNext/>
      </w:pPr>
      <w:r>
        <w:tab/>
        <w:t>(c)</w:t>
      </w:r>
      <w:r>
        <w:tab/>
        <w:t>a single marron scoop net.</w:t>
      </w:r>
    </w:p>
    <w:p>
      <w:pPr>
        <w:pStyle w:val="Penstart"/>
      </w:pPr>
      <w:r>
        <w:tab/>
        <w:t>Penalty: For a first offence $5 000 or, for a second or subsequent offence, $10 000 and, for any offence, the penalty provided in section 222 of the Act.</w:t>
      </w:r>
    </w:p>
    <w:p>
      <w:pPr>
        <w:pStyle w:val="Footnotesection"/>
      </w:pPr>
      <w:r>
        <w:tab/>
        <w:t>[Regulation 38H inserted in Gazette 22 Jan 2002 p. 359; amended in Gazette 1 Oct 2003 p. 4301.]</w:t>
      </w:r>
    </w:p>
    <w:p>
      <w:pPr>
        <w:pStyle w:val="Heading5"/>
        <w:spacing w:before="180"/>
      </w:pPr>
      <w:bookmarkStart w:id="1385" w:name="_Toc309309319"/>
      <w:r>
        <w:rPr>
          <w:rStyle w:val="CharSectno"/>
        </w:rPr>
        <w:t>38I</w:t>
      </w:r>
      <w:r>
        <w:t>.</w:t>
      </w:r>
      <w:r>
        <w:tab/>
        <w:t>Single marron pole snare only to be used in some waters</w:t>
      </w:r>
      <w:bookmarkEnd w:id="1385"/>
    </w:p>
    <w:p>
      <w:pPr>
        <w:pStyle w:val="Subsection"/>
        <w:spacing w:before="120"/>
      </w:pPr>
      <w:r>
        <w:tab/>
        <w:t>(1)</w:t>
      </w:r>
      <w:r>
        <w:tab/>
        <w:t>A person must not fish for marron in the waters to which subregulation (2) applies by using anything except a single marron pole snare.</w:t>
      </w:r>
    </w:p>
    <w:p>
      <w:pPr>
        <w:pStyle w:val="Penstart"/>
      </w:pPr>
      <w:r>
        <w:tab/>
        <w:t>Penalty: For a first offence $5 000 or, for a second or subsequent offence, $10 000 and, for any offence, the penalty provided in section 222 of the Act.</w:t>
      </w:r>
    </w:p>
    <w:p>
      <w:pPr>
        <w:pStyle w:val="Subsection"/>
        <w:spacing w:before="120"/>
      </w:pPr>
      <w:r>
        <w:tab/>
        <w:t>(2)</w:t>
      </w:r>
      <w:r>
        <w:tab/>
        <w:t xml:space="preserve">This </w:t>
      </w:r>
      <w:r>
        <w:rPr>
          <w:snapToGrid w:val="0"/>
        </w:rPr>
        <w:t>subregulation</w:t>
      </w:r>
      <w:r>
        <w:t xml:space="preserve"> applies to the waters —</w:t>
      </w:r>
    </w:p>
    <w:p>
      <w:pPr>
        <w:pStyle w:val="Ednotepara"/>
        <w:spacing w:before="60"/>
        <w:ind w:left="1610" w:hanging="1610"/>
      </w:pPr>
      <w:r>
        <w:tab/>
        <w:t>[(a), (b)</w:t>
      </w:r>
      <w:r>
        <w:tab/>
        <w:t>deleted]</w:t>
      </w:r>
    </w:p>
    <w:p>
      <w:pPr>
        <w:pStyle w:val="Indenta"/>
      </w:pPr>
      <w:r>
        <w:tab/>
        <w:t>(c)</w:t>
      </w:r>
      <w:r>
        <w:tab/>
        <w:t xml:space="preserve">of Harvey Dam and the </w:t>
      </w:r>
      <w:smartTag w:uri="urn:schemas-microsoft-com:office:smarttags" w:element="place">
        <w:smartTag w:uri="urn:schemas-microsoft-com:office:smarttags" w:element="PlaceName">
          <w:r>
            <w:t>Harvey</w:t>
          </w:r>
        </w:smartTag>
        <w:r>
          <w:t xml:space="preserve"> </w:t>
        </w:r>
        <w:smartTag w:uri="urn:schemas-microsoft-com:office:smarttags" w:element="PlaceName">
          <w:r>
            <w:t>River</w:t>
          </w:r>
        </w:smartTag>
      </w:smartTag>
      <w:r>
        <w:t xml:space="preserve"> upstream of the </w:t>
      </w:r>
      <w:smartTag w:uri="urn:schemas-microsoft-com:office:smarttags" w:element="Street">
        <w:smartTag w:uri="urn:schemas-microsoft-com:office:smarttags" w:element="address">
          <w:r>
            <w:t>South Western Highway</w:t>
          </w:r>
        </w:smartTag>
      </w:smartTag>
      <w:r>
        <w:t>, including the tributaries flowing into those waters; and</w:t>
      </w:r>
    </w:p>
    <w:p>
      <w:pPr>
        <w:pStyle w:val="Ednotepara"/>
        <w:spacing w:before="60"/>
        <w:ind w:left="1610" w:hanging="1610"/>
      </w:pPr>
      <w:r>
        <w:tab/>
        <w:t>[(d)</w:t>
      </w:r>
      <w:r>
        <w:tab/>
        <w:t>deleted]</w:t>
      </w:r>
    </w:p>
    <w:p>
      <w:pPr>
        <w:pStyle w:val="Indenta"/>
        <w:keepLines/>
      </w:pPr>
      <w:r>
        <w:tab/>
        <w:t>(e)</w:t>
      </w:r>
      <w:r>
        <w:tab/>
        <w:t>upstream of the Wellington Dam wall, including the tributaries flowing into those waters but not including the waters of the Collie River upstream of the Mungalup Road Bridge; and</w:t>
      </w:r>
    </w:p>
    <w:p>
      <w:pPr>
        <w:pStyle w:val="Ednotepara"/>
        <w:spacing w:before="60"/>
        <w:ind w:left="1610" w:hanging="1610"/>
      </w:pPr>
      <w:r>
        <w:tab/>
        <w:t>[(f)</w:t>
      </w:r>
      <w:r>
        <w:tab/>
        <w:t>deleted]</w:t>
      </w:r>
    </w:p>
    <w:p>
      <w:pPr>
        <w:pStyle w:val="Indenta"/>
      </w:pPr>
      <w:r>
        <w:tab/>
        <w:t>(g)</w:t>
      </w:r>
      <w:r>
        <w:tab/>
        <w:t xml:space="preserve">subject to regulation 38J, 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including its tributaries; and</w:t>
      </w:r>
    </w:p>
    <w:p>
      <w:pPr>
        <w:pStyle w:val="Indenta"/>
      </w:pPr>
      <w:r>
        <w:tab/>
        <w:t>(h)</w:t>
      </w:r>
      <w:r>
        <w:tab/>
        <w:t>of Big Brook Dam, Drakes Brook Dam, Glen Mervyn Dam, Logue Brook Dam and Lake Navarino (Waroona Dam).</w:t>
      </w:r>
    </w:p>
    <w:p>
      <w:pPr>
        <w:pStyle w:val="Footnotesection"/>
        <w:keepLines w:val="0"/>
        <w:spacing w:before="60"/>
        <w:ind w:left="890" w:hanging="890"/>
      </w:pPr>
      <w:r>
        <w:tab/>
        <w:t>[Regulation 38I inserted in Gazette 29 Dec 2000 p. 7970</w:t>
      </w:r>
      <w:r>
        <w:noBreakHyphen/>
        <w:t>1; amended in Gazette 22 Dec 2005 p. 6221; 29 Dec 2006 p. 5890; 13 Oct 2009 p. 4032.]</w:t>
      </w:r>
    </w:p>
    <w:p>
      <w:pPr>
        <w:pStyle w:val="Heading5"/>
      </w:pPr>
      <w:bookmarkStart w:id="1386" w:name="_Toc309309320"/>
      <w:r>
        <w:rPr>
          <w:rStyle w:val="CharSectno"/>
        </w:rPr>
        <w:t>38J</w:t>
      </w:r>
      <w:r>
        <w:t>.</w:t>
      </w:r>
      <w:r>
        <w:tab/>
        <w:t xml:space="preserve">Marron fishing prohibited in certain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waters</w:t>
      </w:r>
      <w:bookmarkEnd w:id="1386"/>
    </w:p>
    <w:p>
      <w:pPr>
        <w:pStyle w:val="Subsection"/>
        <w:keepNext/>
        <w:spacing w:before="120"/>
      </w:pPr>
      <w:r>
        <w:tab/>
      </w:r>
      <w:r>
        <w:tab/>
        <w:t>A person must not fish for marron in  —</w:t>
      </w:r>
    </w:p>
    <w:p>
      <w:pPr>
        <w:pStyle w:val="Indenta"/>
      </w:pPr>
      <w:r>
        <w:tab/>
        <w:t>(a)</w:t>
      </w:r>
      <w:r>
        <w:tab/>
        <w:t>the Margaret River within the area that begins 300 m upstream of the Bussell Highway Bridge and ends 50 m downstream of that bridge; or</w:t>
      </w:r>
    </w:p>
    <w:p>
      <w:pPr>
        <w:pStyle w:val="Indenta"/>
      </w:pPr>
      <w:r>
        <w:tab/>
        <w:t>(b)</w:t>
      </w:r>
      <w:r>
        <w:tab/>
        <w:t xml:space="preserve">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upstream of the Ten Mile Brook junction; or</w:t>
      </w:r>
    </w:p>
    <w:p>
      <w:pPr>
        <w:pStyle w:val="Indenta"/>
      </w:pPr>
      <w:r>
        <w:tab/>
        <w:t>(c)</w:t>
      </w:r>
      <w:r>
        <w:tab/>
        <w:t>the tributaries flowing into the part of the river described in paragraph (b).</w:t>
      </w:r>
    </w:p>
    <w:p>
      <w:pPr>
        <w:pStyle w:val="Penstart"/>
      </w:pPr>
      <w:r>
        <w:tab/>
        <w:t>Penalty: For a first offence $5 000 or, for a second or subsequent offence, $10 000 and, for any offence, the penalty provided in section 222 of the Act.</w:t>
      </w:r>
    </w:p>
    <w:p>
      <w:pPr>
        <w:pStyle w:val="Footnotesection"/>
      </w:pPr>
      <w:r>
        <w:tab/>
        <w:t>[Regulation 38J inserted in Gazette 29 Dec 2000 p. 7971; amended in Gazette 13 Dec 2002 p. 5797; 13 Oct 2009 p. 4032.]</w:t>
      </w:r>
    </w:p>
    <w:p>
      <w:pPr>
        <w:pStyle w:val="Ednotesection"/>
        <w:spacing w:before="180"/>
        <w:ind w:left="890" w:hanging="890"/>
      </w:pPr>
      <w:r>
        <w:t>[</w:t>
      </w:r>
      <w:r>
        <w:rPr>
          <w:b/>
        </w:rPr>
        <w:t>38JA.</w:t>
      </w:r>
      <w:r>
        <w:tab/>
        <w:t>Deleted in Gazette 22 Dec 2005 p. 6221.]</w:t>
      </w:r>
    </w:p>
    <w:p>
      <w:pPr>
        <w:pStyle w:val="Heading5"/>
        <w:spacing w:before="180"/>
      </w:pPr>
      <w:bookmarkStart w:id="1387" w:name="_Toc309309321"/>
      <w:r>
        <w:rPr>
          <w:rStyle w:val="CharSectno"/>
        </w:rPr>
        <w:t>38K</w:t>
      </w:r>
      <w:r>
        <w:t>.</w:t>
      </w:r>
      <w:r>
        <w:tab/>
        <w:t>Marron fishing prohibited from boats or by swimming or diving</w:t>
      </w:r>
      <w:bookmarkEnd w:id="1387"/>
    </w:p>
    <w:p>
      <w:pPr>
        <w:pStyle w:val="Subsection"/>
        <w:keepNext/>
      </w:pPr>
      <w:r>
        <w:tab/>
      </w:r>
      <w:r>
        <w:tab/>
        <w:t>A person must not fish for marron —</w:t>
      </w:r>
    </w:p>
    <w:p>
      <w:pPr>
        <w:pStyle w:val="Indenta"/>
      </w:pPr>
      <w:r>
        <w:tab/>
        <w:t>(a)</w:t>
      </w:r>
      <w:r>
        <w:tab/>
        <w:t>by using a boat; or</w:t>
      </w:r>
    </w:p>
    <w:p>
      <w:pPr>
        <w:pStyle w:val="Indenta"/>
        <w:keepNext/>
      </w:pPr>
      <w:r>
        <w:tab/>
        <w:t>(b)</w:t>
      </w:r>
      <w:r>
        <w:tab/>
        <w:t>by swimming, or diving, while using a face mask, goggles, a snorkel, flippers or similar gear.</w:t>
      </w:r>
    </w:p>
    <w:p>
      <w:pPr>
        <w:pStyle w:val="Penstart"/>
        <w:keepNext/>
      </w:pPr>
      <w:r>
        <w:tab/>
        <w:t>Penalty: For a first offence $5 000 or, for a second or subsequent offence, $10 000 and, for any offence, the penalty provided in section 222 of the Act.</w:t>
      </w:r>
    </w:p>
    <w:p>
      <w:pPr>
        <w:pStyle w:val="Footnotesection"/>
      </w:pPr>
      <w:r>
        <w:tab/>
        <w:t>[Regulation 38K inserted in Gazette 29 Dec 2000 p. 7971.]</w:t>
      </w:r>
    </w:p>
    <w:p>
      <w:pPr>
        <w:pStyle w:val="Heading5"/>
        <w:spacing w:before="180"/>
      </w:pPr>
      <w:bookmarkStart w:id="1388" w:name="_Toc309309322"/>
      <w:r>
        <w:rPr>
          <w:rStyle w:val="CharSectno"/>
        </w:rPr>
        <w:t>38L</w:t>
      </w:r>
      <w:r>
        <w:t>.</w:t>
      </w:r>
      <w:r>
        <w:tab/>
        <w:t>Marron nets not to be transported in boats in most cases</w:t>
      </w:r>
      <w:bookmarkEnd w:id="1388"/>
    </w:p>
    <w:p>
      <w:pPr>
        <w:pStyle w:val="Subsection"/>
        <w:keepLines/>
        <w:spacing w:before="120"/>
      </w:pPr>
      <w:r>
        <w:tab/>
        <w:t>(1)</w:t>
      </w:r>
      <w:r>
        <w:tab/>
        <w:t>A person must not use a boat in WA waters to transport a marron drop net or marron scoop net.</w:t>
      </w:r>
    </w:p>
    <w:p>
      <w:pPr>
        <w:pStyle w:val="Penstart"/>
        <w:keepLines/>
        <w:spacing w:before="60"/>
      </w:pPr>
      <w:r>
        <w:tab/>
        <w:t>Penalty: For a first offence $5 000 or, for a second or subsequent offence, $10 000.</w:t>
      </w:r>
    </w:p>
    <w:p>
      <w:pPr>
        <w:pStyle w:val="Subsection"/>
      </w:pPr>
      <w:r>
        <w:tab/>
        <w:t>(2)</w:t>
      </w:r>
      <w:r>
        <w:tab/>
        <w:t xml:space="preserve">Subregulation (1) does not apply to a person using a boat in the waters of the </w:t>
      </w:r>
      <w:smartTag w:uri="urn:schemas-microsoft-com:office:smarttags" w:element="place">
        <w:smartTag w:uri="urn:schemas-microsoft-com:office:smarttags" w:element="PlaceName">
          <w:r>
            <w:t>Donnelly</w:t>
          </w:r>
        </w:smartTag>
        <w:r>
          <w:t xml:space="preserve"> </w:t>
        </w:r>
        <w:smartTag w:uri="urn:schemas-microsoft-com:office:smarttags" w:element="PlaceType">
          <w:r>
            <w:t>River</w:t>
          </w:r>
        </w:smartTag>
      </w:smartTag>
      <w:r>
        <w:t xml:space="preserve"> downstream of the boat ramp at the termination of </w:t>
      </w:r>
      <w:smartTag w:uri="urn:schemas-microsoft-com:office:smarttags" w:element="Street">
        <w:smartTag w:uri="urn:schemas-microsoft-com:office:smarttags" w:element="address">
          <w:r>
            <w:t>Boat Landing Road</w:t>
          </w:r>
        </w:smartTag>
      </w:smartTag>
      <w:r>
        <w:t xml:space="preserve"> at 34° 27′ south latitude (Boat Landing).</w:t>
      </w:r>
    </w:p>
    <w:p>
      <w:pPr>
        <w:pStyle w:val="Footnotesection"/>
      </w:pPr>
      <w:r>
        <w:tab/>
        <w:t>[Regulation 38L inserted in Gazette 29 Dec 2000 p. 7971; amended in Gazette 29 Dec 2006 p. 5890.]</w:t>
      </w:r>
    </w:p>
    <w:p>
      <w:pPr>
        <w:pStyle w:val="Heading4"/>
      </w:pPr>
      <w:bookmarkStart w:id="1389" w:name="_Toc189987896"/>
      <w:bookmarkStart w:id="1390" w:name="_Toc192041479"/>
      <w:bookmarkStart w:id="1391" w:name="_Toc199570713"/>
      <w:bookmarkStart w:id="1392" w:name="_Toc199738709"/>
      <w:bookmarkStart w:id="1393" w:name="_Toc199814810"/>
      <w:bookmarkStart w:id="1394" w:name="_Toc215040617"/>
      <w:bookmarkStart w:id="1395" w:name="_Toc215041062"/>
      <w:bookmarkStart w:id="1396" w:name="_Toc222129272"/>
      <w:bookmarkStart w:id="1397" w:name="_Toc222222977"/>
      <w:bookmarkStart w:id="1398" w:name="_Toc225914229"/>
      <w:bookmarkStart w:id="1399" w:name="_Toc231282274"/>
      <w:bookmarkStart w:id="1400" w:name="_Toc231282718"/>
      <w:bookmarkStart w:id="1401" w:name="_Toc234899305"/>
      <w:bookmarkStart w:id="1402" w:name="_Toc236632587"/>
      <w:bookmarkStart w:id="1403" w:name="_Toc236720200"/>
      <w:bookmarkStart w:id="1404" w:name="_Toc237764399"/>
      <w:bookmarkStart w:id="1405" w:name="_Toc238356023"/>
      <w:bookmarkStart w:id="1406" w:name="_Toc238368728"/>
      <w:bookmarkStart w:id="1407" w:name="_Toc238375681"/>
      <w:bookmarkStart w:id="1408" w:name="_Toc240339005"/>
      <w:bookmarkStart w:id="1409" w:name="_Toc241993511"/>
      <w:bookmarkStart w:id="1410" w:name="_Toc243192654"/>
      <w:bookmarkStart w:id="1411" w:name="_Toc243295355"/>
      <w:bookmarkStart w:id="1412" w:name="_Toc245112928"/>
      <w:bookmarkStart w:id="1413" w:name="_Toc245198090"/>
      <w:bookmarkStart w:id="1414" w:name="_Toc245198539"/>
      <w:bookmarkStart w:id="1415" w:name="_Toc245198988"/>
      <w:bookmarkStart w:id="1416" w:name="_Toc248122018"/>
      <w:bookmarkStart w:id="1417" w:name="_Toc248122469"/>
      <w:bookmarkStart w:id="1418" w:name="_Toc253670456"/>
      <w:bookmarkStart w:id="1419" w:name="_Toc253670906"/>
      <w:bookmarkStart w:id="1420" w:name="_Toc254942676"/>
      <w:bookmarkStart w:id="1421" w:name="_Toc254943129"/>
      <w:bookmarkStart w:id="1422" w:name="_Toc255475721"/>
      <w:bookmarkStart w:id="1423" w:name="_Toc256432042"/>
      <w:bookmarkStart w:id="1424" w:name="_Toc257720379"/>
      <w:bookmarkStart w:id="1425" w:name="_Toc257722061"/>
      <w:bookmarkStart w:id="1426" w:name="_Toc258335737"/>
      <w:bookmarkStart w:id="1427" w:name="_Toc260406179"/>
      <w:bookmarkStart w:id="1428" w:name="_Toc261271365"/>
      <w:bookmarkStart w:id="1429" w:name="_Toc262808047"/>
      <w:bookmarkStart w:id="1430" w:name="_Toc267572440"/>
      <w:bookmarkStart w:id="1431" w:name="_Toc270684189"/>
      <w:bookmarkStart w:id="1432" w:name="_Toc274214366"/>
      <w:bookmarkStart w:id="1433" w:name="_Toc274214815"/>
      <w:bookmarkStart w:id="1434" w:name="_Toc278976146"/>
      <w:bookmarkStart w:id="1435" w:name="_Toc286760469"/>
      <w:bookmarkStart w:id="1436" w:name="_Toc289080814"/>
      <w:bookmarkStart w:id="1437" w:name="_Toc290284008"/>
      <w:bookmarkStart w:id="1438" w:name="_Toc290642829"/>
      <w:bookmarkStart w:id="1439" w:name="_Toc290643278"/>
      <w:bookmarkStart w:id="1440" w:name="_Toc290643731"/>
      <w:bookmarkStart w:id="1441" w:name="_Toc294701548"/>
      <w:bookmarkStart w:id="1442" w:name="_Toc295199956"/>
      <w:bookmarkStart w:id="1443" w:name="_Toc296954397"/>
      <w:bookmarkStart w:id="1444" w:name="_Toc297276029"/>
      <w:bookmarkStart w:id="1445" w:name="_Toc297276481"/>
      <w:bookmarkStart w:id="1446" w:name="_Toc297276931"/>
      <w:bookmarkStart w:id="1447" w:name="_Toc297726300"/>
      <w:bookmarkStart w:id="1448" w:name="_Toc299980086"/>
      <w:bookmarkStart w:id="1449" w:name="_Toc300234712"/>
      <w:bookmarkStart w:id="1450" w:name="_Toc301961215"/>
      <w:bookmarkStart w:id="1451" w:name="_Toc301966785"/>
      <w:bookmarkStart w:id="1452" w:name="_Toc303252994"/>
      <w:bookmarkStart w:id="1453" w:name="_Toc303257158"/>
      <w:bookmarkStart w:id="1454" w:name="_Toc307992793"/>
      <w:bookmarkStart w:id="1455" w:name="_Toc309029823"/>
      <w:bookmarkStart w:id="1456" w:name="_Toc309304046"/>
      <w:bookmarkStart w:id="1457" w:name="_Toc309304499"/>
      <w:bookmarkStart w:id="1458" w:name="_Toc309309323"/>
      <w:r>
        <w:t>Subdivision 3 — Closed season restrictions relating to marron</w:t>
      </w:r>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p>
    <w:p>
      <w:pPr>
        <w:pStyle w:val="Footnoteheading"/>
        <w:tabs>
          <w:tab w:val="left" w:pos="909"/>
        </w:tabs>
        <w:ind w:left="923" w:hanging="923"/>
      </w:pPr>
      <w:r>
        <w:tab/>
        <w:t>[Heading inserted in Gazette 29 Dec 2000 p. 7972.]</w:t>
      </w:r>
    </w:p>
    <w:p>
      <w:pPr>
        <w:pStyle w:val="Heading5"/>
      </w:pPr>
      <w:bookmarkStart w:id="1459" w:name="_Toc309309324"/>
      <w:r>
        <w:rPr>
          <w:rStyle w:val="CharSectno"/>
        </w:rPr>
        <w:t>38M</w:t>
      </w:r>
      <w:r>
        <w:t>.</w:t>
      </w:r>
      <w:r>
        <w:tab/>
        <w:t>Closed season for marron fishing</w:t>
      </w:r>
      <w:bookmarkEnd w:id="1459"/>
    </w:p>
    <w:p>
      <w:pPr>
        <w:pStyle w:val="Subsection"/>
      </w:pPr>
      <w:r>
        <w:tab/>
      </w:r>
      <w:r>
        <w:tab/>
        <w:t>A person must not fish for marron during the closed season.</w:t>
      </w:r>
    </w:p>
    <w:p>
      <w:pPr>
        <w:pStyle w:val="Penstart"/>
      </w:pPr>
      <w:r>
        <w:tab/>
        <w:t>Penalty: For a first offence $5 000 or, for a second or subsequent offence, $10 000 and, for any offence, the penalty provided in section 222 of the Act.</w:t>
      </w:r>
    </w:p>
    <w:p>
      <w:pPr>
        <w:pStyle w:val="Footnotesection"/>
      </w:pPr>
      <w:r>
        <w:tab/>
        <w:t>[Regulation 38M inserted in Gazette 29 Dec 2000 p. 7972.]</w:t>
      </w:r>
    </w:p>
    <w:p>
      <w:pPr>
        <w:pStyle w:val="Heading5"/>
      </w:pPr>
      <w:bookmarkStart w:id="1460" w:name="_Toc309309325"/>
      <w:r>
        <w:rPr>
          <w:rStyle w:val="CharSectno"/>
        </w:rPr>
        <w:t>38N</w:t>
      </w:r>
      <w:r>
        <w:t>.</w:t>
      </w:r>
      <w:r>
        <w:tab/>
        <w:t>Removing marron from private land in closed season</w:t>
      </w:r>
      <w:bookmarkEnd w:id="1460"/>
    </w:p>
    <w:p>
      <w:pPr>
        <w:pStyle w:val="Subsection"/>
      </w:pPr>
      <w:r>
        <w:tab/>
        <w:t>(1)</w:t>
      </w:r>
      <w:r>
        <w:tab/>
        <w:t>A person must not —</w:t>
      </w:r>
    </w:p>
    <w:p>
      <w:pPr>
        <w:pStyle w:val="Indenta"/>
      </w:pPr>
      <w:r>
        <w:tab/>
        <w:t>(a)</w:t>
      </w:r>
      <w:r>
        <w:tab/>
        <w:t>remove any marron; or</w:t>
      </w:r>
    </w:p>
    <w:p>
      <w:pPr>
        <w:pStyle w:val="Indenta"/>
      </w:pPr>
      <w:r>
        <w:tab/>
        <w:t>(b)</w:t>
      </w:r>
      <w:r>
        <w:tab/>
        <w:t>cause or permit any marron to be removed,</w:t>
      </w:r>
    </w:p>
    <w:p>
      <w:pPr>
        <w:pStyle w:val="Subsection"/>
      </w:pPr>
      <w:r>
        <w:tab/>
      </w:r>
      <w:r>
        <w:tab/>
        <w:t>during the closed season from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It is a defence in proceedings for an offence against subregulation (1) for the person charged to prove that the marron removed from private land owned or occupied by the person —</w:t>
      </w:r>
    </w:p>
    <w:p>
      <w:pPr>
        <w:pStyle w:val="Indenta"/>
      </w:pPr>
      <w:r>
        <w:tab/>
        <w:t>(a)</w:t>
      </w:r>
      <w:r>
        <w:tab/>
        <w:t>had been sold by retail to the public; or</w:t>
      </w:r>
    </w:p>
    <w:p>
      <w:pPr>
        <w:pStyle w:val="Indenta"/>
      </w:pPr>
      <w:r>
        <w:tab/>
        <w:t>(b)</w:t>
      </w:r>
      <w:r>
        <w:tab/>
        <w:t>had been kept, bred, hatched or cultured in accordance with an aquaculture licence.</w:t>
      </w:r>
    </w:p>
    <w:p>
      <w:pPr>
        <w:pStyle w:val="Footnotesection"/>
      </w:pPr>
      <w:r>
        <w:tab/>
        <w:t>[Regulation 38N inserted in Gazette 29 Dec 2000 p. 7972.]</w:t>
      </w:r>
    </w:p>
    <w:p>
      <w:pPr>
        <w:pStyle w:val="Heading5"/>
      </w:pPr>
      <w:bookmarkStart w:id="1461" w:name="_Toc309309326"/>
      <w:r>
        <w:rPr>
          <w:rStyle w:val="CharSectno"/>
        </w:rPr>
        <w:t>38O</w:t>
      </w:r>
      <w:r>
        <w:t>.</w:t>
      </w:r>
      <w:r>
        <w:tab/>
        <w:t>Possession of marron during non</w:t>
      </w:r>
      <w:r>
        <w:noBreakHyphen/>
        <w:t>possession period</w:t>
      </w:r>
      <w:bookmarkEnd w:id="1461"/>
    </w:p>
    <w:p>
      <w:pPr>
        <w:pStyle w:val="Subsection"/>
        <w:keepNext/>
        <w:keepLines/>
      </w:pPr>
      <w:r>
        <w:tab/>
        <w:t>(1)</w:t>
      </w:r>
      <w:r>
        <w:tab/>
        <w:t>A person must not be in possession of any marron during the non</w:t>
      </w:r>
      <w:r>
        <w:noBreakHyphen/>
        <w:t>possession period except on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It is a defence in proceedings for an offence against subregulation (1) for the person charged to prove that the marron in his or her possession —</w:t>
      </w:r>
    </w:p>
    <w:p>
      <w:pPr>
        <w:pStyle w:val="Indenta"/>
      </w:pPr>
      <w:r>
        <w:tab/>
        <w:t>(a)</w:t>
      </w:r>
      <w:r>
        <w:tab/>
        <w:t>had been sold by retail to the public, or were at any place for the purpose of being sold by retail to the public, or served as meals to the public, in, on or from the place; or</w:t>
      </w:r>
    </w:p>
    <w:p>
      <w:pPr>
        <w:pStyle w:val="Indenta"/>
      </w:pPr>
      <w:r>
        <w:tab/>
        <w:t>(b)</w:t>
      </w:r>
      <w:r>
        <w:tab/>
        <w:t>were being, or had been, kept, bred, hatched or cultured in accordance with an aquaculture licence; or</w:t>
      </w:r>
    </w:p>
    <w:p>
      <w:pPr>
        <w:pStyle w:val="Indenta"/>
      </w:pPr>
      <w:r>
        <w:tab/>
        <w:t>(c)</w:t>
      </w:r>
      <w:r>
        <w:tab/>
        <w:t>were at a place specified in a fish processor’s licence under section 83(2) of the Act for the purpose of being processed in accordance with the licence.</w:t>
      </w:r>
    </w:p>
    <w:p>
      <w:pPr>
        <w:pStyle w:val="Subsection"/>
        <w:spacing w:before="100"/>
      </w:pPr>
      <w:r>
        <w:tab/>
        <w:t>(3)</w:t>
      </w:r>
      <w:r>
        <w:tab/>
        <w:t xml:space="preserve">In </w:t>
      </w:r>
      <w:r>
        <w:rPr>
          <w:snapToGrid w:val="0"/>
        </w:rPr>
        <w:t>this</w:t>
      </w:r>
      <w:r>
        <w:t xml:space="preserve"> regulation —</w:t>
      </w:r>
    </w:p>
    <w:p>
      <w:pPr>
        <w:pStyle w:val="Defstart"/>
      </w:pPr>
      <w:r>
        <w:rPr>
          <w:b/>
        </w:rPr>
        <w:tab/>
      </w:r>
      <w:r>
        <w:rPr>
          <w:rStyle w:val="CharDefText"/>
        </w:rPr>
        <w:t>non</w:t>
      </w:r>
      <w:r>
        <w:rPr>
          <w:rStyle w:val="CharDefText"/>
        </w:rPr>
        <w:noBreakHyphen/>
        <w:t>possession period</w:t>
      </w:r>
      <w:r>
        <w:t xml:space="preserve">, in any year, means the closed season in that year other than the first 12 hours after the end of the period referred to in the definition of </w:t>
      </w:r>
      <w:r>
        <w:rPr>
          <w:b/>
          <w:bCs/>
          <w:i/>
          <w:iCs/>
        </w:rPr>
        <w:t>closed season</w:t>
      </w:r>
      <w:r>
        <w:t xml:space="preserve"> in regulation 38G.</w:t>
      </w:r>
    </w:p>
    <w:p>
      <w:pPr>
        <w:pStyle w:val="Footnotesection"/>
        <w:ind w:left="890" w:hanging="890"/>
      </w:pPr>
      <w:r>
        <w:tab/>
        <w:t>[Regulation 38O inserted in Gazette 29 Dec 2000 p. 7973; amended in Gazette 29 Dec 2006 p. 5890; 13 Oct 2009 p. 4032.]</w:t>
      </w:r>
    </w:p>
    <w:p>
      <w:pPr>
        <w:pStyle w:val="Heading3"/>
      </w:pPr>
      <w:bookmarkStart w:id="1462" w:name="_Toc189987900"/>
      <w:bookmarkStart w:id="1463" w:name="_Toc192041483"/>
      <w:bookmarkStart w:id="1464" w:name="_Toc199570717"/>
      <w:bookmarkStart w:id="1465" w:name="_Toc199738713"/>
      <w:bookmarkStart w:id="1466" w:name="_Toc199814814"/>
      <w:bookmarkStart w:id="1467" w:name="_Toc215040621"/>
      <w:bookmarkStart w:id="1468" w:name="_Toc215041066"/>
      <w:bookmarkStart w:id="1469" w:name="_Toc222129276"/>
      <w:bookmarkStart w:id="1470" w:name="_Toc222222981"/>
      <w:bookmarkStart w:id="1471" w:name="_Toc225914233"/>
      <w:bookmarkStart w:id="1472" w:name="_Toc231282278"/>
      <w:bookmarkStart w:id="1473" w:name="_Toc231282722"/>
      <w:bookmarkStart w:id="1474" w:name="_Toc234899309"/>
      <w:bookmarkStart w:id="1475" w:name="_Toc236632591"/>
      <w:bookmarkStart w:id="1476" w:name="_Toc236720204"/>
      <w:bookmarkStart w:id="1477" w:name="_Toc237764403"/>
      <w:bookmarkStart w:id="1478" w:name="_Toc238356027"/>
      <w:bookmarkStart w:id="1479" w:name="_Toc238368732"/>
      <w:bookmarkStart w:id="1480" w:name="_Toc238375685"/>
      <w:bookmarkStart w:id="1481" w:name="_Toc240339009"/>
      <w:bookmarkStart w:id="1482" w:name="_Toc241993515"/>
      <w:bookmarkStart w:id="1483" w:name="_Toc243192658"/>
      <w:bookmarkStart w:id="1484" w:name="_Toc243295359"/>
      <w:bookmarkStart w:id="1485" w:name="_Toc245112932"/>
      <w:bookmarkStart w:id="1486" w:name="_Toc245198094"/>
      <w:bookmarkStart w:id="1487" w:name="_Toc245198543"/>
      <w:bookmarkStart w:id="1488" w:name="_Toc245198992"/>
      <w:bookmarkStart w:id="1489" w:name="_Toc248122022"/>
      <w:bookmarkStart w:id="1490" w:name="_Toc248122473"/>
      <w:bookmarkStart w:id="1491" w:name="_Toc253670460"/>
      <w:bookmarkStart w:id="1492" w:name="_Toc253670910"/>
      <w:bookmarkStart w:id="1493" w:name="_Toc254942680"/>
      <w:bookmarkStart w:id="1494" w:name="_Toc254943133"/>
      <w:bookmarkStart w:id="1495" w:name="_Toc255475725"/>
      <w:bookmarkStart w:id="1496" w:name="_Toc256432046"/>
      <w:bookmarkStart w:id="1497" w:name="_Toc257720383"/>
      <w:bookmarkStart w:id="1498" w:name="_Toc257722065"/>
      <w:bookmarkStart w:id="1499" w:name="_Toc258335741"/>
      <w:bookmarkStart w:id="1500" w:name="_Toc260406183"/>
      <w:bookmarkStart w:id="1501" w:name="_Toc261271369"/>
      <w:bookmarkStart w:id="1502" w:name="_Toc262808051"/>
      <w:bookmarkStart w:id="1503" w:name="_Toc267572444"/>
      <w:bookmarkStart w:id="1504" w:name="_Toc270684193"/>
      <w:bookmarkStart w:id="1505" w:name="_Toc274214370"/>
      <w:bookmarkStart w:id="1506" w:name="_Toc274214819"/>
      <w:bookmarkStart w:id="1507" w:name="_Toc278976150"/>
      <w:bookmarkStart w:id="1508" w:name="_Toc286760473"/>
      <w:bookmarkStart w:id="1509" w:name="_Toc289080818"/>
      <w:bookmarkStart w:id="1510" w:name="_Toc290284012"/>
      <w:bookmarkStart w:id="1511" w:name="_Toc290642833"/>
      <w:bookmarkStart w:id="1512" w:name="_Toc290643282"/>
      <w:bookmarkStart w:id="1513" w:name="_Toc290643735"/>
      <w:bookmarkStart w:id="1514" w:name="_Toc294701552"/>
      <w:bookmarkStart w:id="1515" w:name="_Toc295199960"/>
      <w:bookmarkStart w:id="1516" w:name="_Toc296954401"/>
      <w:bookmarkStart w:id="1517" w:name="_Toc297276033"/>
      <w:bookmarkStart w:id="1518" w:name="_Toc297276485"/>
      <w:bookmarkStart w:id="1519" w:name="_Toc297276935"/>
      <w:bookmarkStart w:id="1520" w:name="_Toc297726304"/>
      <w:bookmarkStart w:id="1521" w:name="_Toc299980090"/>
      <w:bookmarkStart w:id="1522" w:name="_Toc300234716"/>
      <w:bookmarkStart w:id="1523" w:name="_Toc301961219"/>
      <w:bookmarkStart w:id="1524" w:name="_Toc301966789"/>
      <w:bookmarkStart w:id="1525" w:name="_Toc303252998"/>
      <w:bookmarkStart w:id="1526" w:name="_Toc303257162"/>
      <w:bookmarkStart w:id="1527" w:name="_Toc307992797"/>
      <w:bookmarkStart w:id="1528" w:name="_Toc309029827"/>
      <w:bookmarkStart w:id="1529" w:name="_Toc309304050"/>
      <w:bookmarkStart w:id="1530" w:name="_Toc309304503"/>
      <w:bookmarkStart w:id="1531" w:name="_Toc309309327"/>
      <w:r>
        <w:rPr>
          <w:rStyle w:val="CharDivNo"/>
        </w:rPr>
        <w:t>Division 6</w:t>
      </w:r>
      <w:r>
        <w:rPr>
          <w:snapToGrid w:val="0"/>
        </w:rPr>
        <w:t> — </w:t>
      </w:r>
      <w:r>
        <w:rPr>
          <w:rStyle w:val="CharDivText"/>
        </w:rPr>
        <w:t>Requirements relating to the taking of certain fish</w:t>
      </w:r>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p>
    <w:p>
      <w:pPr>
        <w:pStyle w:val="Heading5"/>
        <w:rPr>
          <w:snapToGrid w:val="0"/>
        </w:rPr>
      </w:pPr>
      <w:bookmarkStart w:id="1532" w:name="_Toc309309328"/>
      <w:r>
        <w:rPr>
          <w:rStyle w:val="CharSectno"/>
        </w:rPr>
        <w:t>39</w:t>
      </w:r>
      <w:r>
        <w:rPr>
          <w:snapToGrid w:val="0"/>
        </w:rPr>
        <w:t>.</w:t>
      </w:r>
      <w:r>
        <w:rPr>
          <w:snapToGrid w:val="0"/>
        </w:rPr>
        <w:tab/>
        <w:t>Prawns, permitted ways to fish for by recreational fishers</w:t>
      </w:r>
      <w:bookmarkEnd w:id="1532"/>
    </w:p>
    <w:p>
      <w:pPr>
        <w:pStyle w:val="Subsection"/>
        <w:rPr>
          <w:snapToGrid w:val="0"/>
        </w:rPr>
      </w:pPr>
      <w:r>
        <w:rPr>
          <w:snapToGrid w:val="0"/>
        </w:rPr>
        <w:tab/>
        <w:t>(1)</w:t>
      </w:r>
      <w:r>
        <w:rPr>
          <w:snapToGrid w:val="0"/>
        </w:rPr>
        <w:tab/>
        <w:t>A person, other than a person who is the holder of a commercial fishing licence, must not fish for prawns by means of using any fishing gear other than —</w:t>
      </w:r>
    </w:p>
    <w:p>
      <w:pPr>
        <w:pStyle w:val="Indenta"/>
        <w:rPr>
          <w:snapToGrid w:val="0"/>
        </w:rPr>
      </w:pPr>
      <w:r>
        <w:rPr>
          <w:snapToGrid w:val="0"/>
        </w:rPr>
        <w:tab/>
        <w:t>(a)</w:t>
      </w:r>
      <w:r>
        <w:rPr>
          <w:snapToGrid w:val="0"/>
        </w:rPr>
        <w:tab/>
        <w:t>a single hand dip net; or</w:t>
      </w:r>
    </w:p>
    <w:p>
      <w:pPr>
        <w:pStyle w:val="Indenta"/>
        <w:rPr>
          <w:snapToGrid w:val="0"/>
        </w:rPr>
      </w:pPr>
      <w:r>
        <w:tab/>
        <w:t>(b)</w:t>
      </w:r>
      <w:r>
        <w:tab/>
      </w:r>
      <w:r>
        <w:rPr>
          <w:snapToGrid w:val="0"/>
        </w:rPr>
        <w:t>subject to subregulation (2), a single prawn hand trawl net; or</w:t>
      </w:r>
    </w:p>
    <w:p>
      <w:pPr>
        <w:pStyle w:val="Indenta"/>
        <w:rPr>
          <w:snapToGrid w:val="0"/>
        </w:rPr>
      </w:pPr>
      <w:r>
        <w:tab/>
        <w:t>(c)</w:t>
      </w:r>
      <w:r>
        <w:tab/>
      </w:r>
      <w:r>
        <w:rPr>
          <w:snapToGrid w:val="0"/>
        </w:rPr>
        <w:t>a single hand scoop net.</w:t>
      </w:r>
    </w:p>
    <w:p>
      <w:pPr>
        <w:pStyle w:val="Subsection"/>
        <w:rPr>
          <w:snapToGrid w:val="0"/>
        </w:rPr>
      </w:pPr>
      <w:r>
        <w:rPr>
          <w:snapToGrid w:val="0"/>
        </w:rPr>
        <w:tab/>
        <w:t>(2)</w:t>
      </w:r>
      <w:r>
        <w:rPr>
          <w:snapToGrid w:val="0"/>
        </w:rPr>
        <w:tab/>
        <w:t>A person fishing for prawn using a prawn hand trawl net must not —</w:t>
      </w:r>
    </w:p>
    <w:p>
      <w:pPr>
        <w:pStyle w:val="Indenta"/>
      </w:pPr>
      <w:r>
        <w:tab/>
        <w:t>(a)</w:t>
      </w:r>
      <w:r>
        <w:tab/>
        <w:t>attach that net to a boat; or</w:t>
      </w:r>
    </w:p>
    <w:p>
      <w:pPr>
        <w:pStyle w:val="Indenta"/>
      </w:pPr>
      <w:r>
        <w:tab/>
        <w:t>(b)</w:t>
      </w:r>
      <w:r>
        <w:tab/>
        <w:t>set the net.</w:t>
      </w:r>
    </w:p>
    <w:p>
      <w:pPr>
        <w:pStyle w:val="Penstart"/>
        <w:rPr>
          <w:snapToGrid w:val="0"/>
        </w:rPr>
      </w:pPr>
      <w:r>
        <w:rPr>
          <w:snapToGrid w:val="0"/>
        </w:rPr>
        <w:tab/>
        <w:t>Penalty: $3 000.</w:t>
      </w:r>
    </w:p>
    <w:p>
      <w:pPr>
        <w:pStyle w:val="Footnotesection"/>
        <w:ind w:left="890" w:hanging="890"/>
      </w:pPr>
      <w:r>
        <w:tab/>
        <w:t>[Regulation 39 amended in Gazette 1 Oct 2003 p. 4301</w:t>
      </w:r>
      <w:r>
        <w:noBreakHyphen/>
        <w:t>2.]</w:t>
      </w:r>
    </w:p>
    <w:p>
      <w:pPr>
        <w:pStyle w:val="Heading5"/>
        <w:keepLines w:val="0"/>
        <w:rPr>
          <w:snapToGrid w:val="0"/>
        </w:rPr>
      </w:pPr>
      <w:bookmarkStart w:id="1533" w:name="_Toc309309329"/>
      <w:r>
        <w:rPr>
          <w:rStyle w:val="CharSectno"/>
        </w:rPr>
        <w:t>40</w:t>
      </w:r>
      <w:r>
        <w:rPr>
          <w:snapToGrid w:val="0"/>
        </w:rPr>
        <w:t>.</w:t>
      </w:r>
      <w:r>
        <w:rPr>
          <w:snapToGrid w:val="0"/>
        </w:rPr>
        <w:tab/>
        <w:t>Cherabin, permitted ways to fish for</w:t>
      </w:r>
      <w:bookmarkEnd w:id="1533"/>
    </w:p>
    <w:p>
      <w:pPr>
        <w:pStyle w:val="Subsection"/>
        <w:rPr>
          <w:snapToGrid w:val="0"/>
        </w:rPr>
      </w:pPr>
      <w:r>
        <w:rPr>
          <w:snapToGrid w:val="0"/>
        </w:rPr>
        <w:tab/>
      </w:r>
      <w:r>
        <w:rPr>
          <w:snapToGrid w:val="0"/>
        </w:rPr>
        <w:tab/>
        <w:t>A person must not fish for cherabin by means of using any fishing gear other than —</w:t>
      </w:r>
    </w:p>
    <w:p>
      <w:pPr>
        <w:pStyle w:val="Indenta"/>
        <w:rPr>
          <w:snapToGrid w:val="0"/>
        </w:rPr>
      </w:pPr>
      <w:r>
        <w:rPr>
          <w:snapToGrid w:val="0"/>
        </w:rPr>
        <w:tab/>
        <w:t>(a)</w:t>
      </w:r>
      <w:r>
        <w:rPr>
          <w:snapToGrid w:val="0"/>
        </w:rPr>
        <w:tab/>
        <w:t xml:space="preserve">not more than 6 </w:t>
      </w:r>
      <w:r>
        <w:t>complying</w:t>
      </w:r>
      <w:r>
        <w:rPr>
          <w:snapToGrid w:val="0"/>
        </w:rPr>
        <w:t xml:space="preserve"> drop nets; or</w:t>
      </w:r>
    </w:p>
    <w:p>
      <w:pPr>
        <w:pStyle w:val="Indenta"/>
        <w:rPr>
          <w:snapToGrid w:val="0"/>
        </w:rPr>
      </w:pPr>
      <w:r>
        <w:rPr>
          <w:snapToGrid w:val="0"/>
        </w:rPr>
        <w:tab/>
        <w:t>(b)</w:t>
      </w:r>
      <w:r>
        <w:rPr>
          <w:snapToGrid w:val="0"/>
        </w:rPr>
        <w:tab/>
        <w:t>a single pole snare; or</w:t>
      </w:r>
    </w:p>
    <w:p>
      <w:pPr>
        <w:pStyle w:val="Indenta"/>
        <w:rPr>
          <w:snapToGrid w:val="0"/>
        </w:rPr>
      </w:pPr>
      <w:r>
        <w:rPr>
          <w:snapToGrid w:val="0"/>
        </w:rPr>
        <w:tab/>
        <w:t>(c)</w:t>
      </w:r>
      <w:r>
        <w:rPr>
          <w:snapToGrid w:val="0"/>
        </w:rPr>
        <w:tab/>
        <w:t>a single hand scoop net; or</w:t>
      </w:r>
    </w:p>
    <w:p>
      <w:pPr>
        <w:pStyle w:val="Indenta"/>
      </w:pPr>
      <w:r>
        <w:tab/>
        <w:t>(d)</w:t>
      </w:r>
      <w:r>
        <w:tab/>
        <w:t>a single throw net that has a length not exceeding 3 m measured from the centre retrieval line to the lead line and a mesh of not more than 25 mm,</w:t>
      </w:r>
    </w:p>
    <w:p>
      <w:pPr>
        <w:pStyle w:val="Subsection"/>
        <w:rPr>
          <w:snapToGrid w:val="0"/>
        </w:rPr>
      </w:pPr>
      <w:r>
        <w:rPr>
          <w:snapToGrid w:val="0"/>
        </w:rPr>
        <w:tab/>
      </w:r>
      <w:r>
        <w:rPr>
          <w:snapToGrid w:val="0"/>
        </w:rPr>
        <w:tab/>
        <w:t>at any one time.</w:t>
      </w:r>
    </w:p>
    <w:p>
      <w:pPr>
        <w:pStyle w:val="Penstart"/>
        <w:rPr>
          <w:snapToGrid w:val="0"/>
        </w:rPr>
      </w:pPr>
      <w:r>
        <w:rPr>
          <w:snapToGrid w:val="0"/>
        </w:rPr>
        <w:tab/>
        <w:t>Penalty: $2 000.</w:t>
      </w:r>
    </w:p>
    <w:p>
      <w:pPr>
        <w:pStyle w:val="Footnotesection"/>
      </w:pPr>
      <w:r>
        <w:tab/>
        <w:t>[Regulation 40 amended in Gazette 29 Jun 2004 p. 2523; 6 Nov 2009 p. 4471.]</w:t>
      </w:r>
    </w:p>
    <w:p>
      <w:pPr>
        <w:pStyle w:val="Heading5"/>
        <w:rPr>
          <w:snapToGrid w:val="0"/>
        </w:rPr>
      </w:pPr>
      <w:bookmarkStart w:id="1534" w:name="_Toc309309330"/>
      <w:r>
        <w:rPr>
          <w:rStyle w:val="CharSectno"/>
        </w:rPr>
        <w:t>41</w:t>
      </w:r>
      <w:r>
        <w:rPr>
          <w:snapToGrid w:val="0"/>
        </w:rPr>
        <w:t>.</w:t>
      </w:r>
      <w:r>
        <w:rPr>
          <w:snapToGrid w:val="0"/>
        </w:rPr>
        <w:tab/>
        <w:t>Shucking of abalone except by person authorised under managed fishery licence</w:t>
      </w:r>
      <w:bookmarkEnd w:id="1534"/>
    </w:p>
    <w:p>
      <w:pPr>
        <w:pStyle w:val="Subsection"/>
      </w:pPr>
      <w:r>
        <w:tab/>
        <w:t>(1)</w:t>
      </w:r>
      <w:r>
        <w:tab/>
        <w:t xml:space="preserve">Subject to subregulation (2), a person, other than a person authorised to take abalone under a managed fishery licence, must not — </w:t>
      </w:r>
    </w:p>
    <w:p>
      <w:pPr>
        <w:pStyle w:val="Indenta"/>
      </w:pPr>
      <w:r>
        <w:tab/>
        <w:t>(a)</w:t>
      </w:r>
      <w:r>
        <w:tab/>
        <w:t>on the seaward side of the high water mark; or</w:t>
      </w:r>
    </w:p>
    <w:p>
      <w:pPr>
        <w:pStyle w:val="Indenta"/>
      </w:pPr>
      <w:r>
        <w:tab/>
        <w:t>(b)</w:t>
      </w:r>
      <w:r>
        <w:tab/>
        <w:t>in the waters of any estuary, river or inlet, or in the entrance to any of those waters; or</w:t>
      </w:r>
    </w:p>
    <w:p>
      <w:pPr>
        <w:pStyle w:val="Indenta"/>
      </w:pPr>
      <w:r>
        <w:tab/>
        <w:t>(c)</w:t>
      </w:r>
      <w:r>
        <w:tab/>
        <w:t>within 200 metres of, and on the landward side of, the high water mark,</w:t>
      </w:r>
    </w:p>
    <w:p>
      <w:pPr>
        <w:pStyle w:val="Subsection"/>
      </w:pPr>
      <w:r>
        <w:tab/>
      </w:r>
      <w:r>
        <w:tab/>
        <w:t>remove the shell, or cause or permit the shell to be removed, from an abalone.</w:t>
      </w:r>
    </w:p>
    <w:p>
      <w:pPr>
        <w:pStyle w:val="Penstart"/>
      </w:pPr>
      <w:r>
        <w:tab/>
        <w:t>Penalty: a fine of $5 000 and the penalty provided in section 222 of the Act.</w:t>
      </w:r>
    </w:p>
    <w:p>
      <w:pPr>
        <w:pStyle w:val="Subsection"/>
      </w:pPr>
      <w:r>
        <w:tab/>
        <w:t>(2A)</w:t>
      </w:r>
      <w:r>
        <w:tab/>
        <w:t>A person, other than a person authorised to take abalone under a managed fishery licence, must not bring onto land, or attempt to bring onto land, an abalone from which the shell has been removed.</w:t>
      </w:r>
    </w:p>
    <w:p>
      <w:pPr>
        <w:pStyle w:val="Penstart"/>
      </w:pPr>
      <w:r>
        <w:tab/>
        <w:t>Penalty: a fine of $5 000 and the penalty provided in section 222 of the Act.</w:t>
      </w:r>
    </w:p>
    <w:p>
      <w:pPr>
        <w:pStyle w:val="Subsection"/>
        <w:keepNext/>
        <w:rPr>
          <w:snapToGrid w:val="0"/>
        </w:rPr>
      </w:pPr>
      <w:r>
        <w:rPr>
          <w:snapToGrid w:val="0"/>
        </w:rPr>
        <w:tab/>
        <w:t>(2)</w:t>
      </w:r>
      <w:r>
        <w:rPr>
          <w:snapToGrid w:val="0"/>
        </w:rPr>
        <w:tab/>
        <w:t>Subregulation </w:t>
      </w:r>
      <w:r>
        <w:t>(1)(c)</w:t>
      </w:r>
      <w:r>
        <w:rPr>
          <w:snapToGrid w:val="0"/>
        </w:rPr>
        <w:t xml:space="preserve"> does not apply to a person if that person —</w:t>
      </w:r>
    </w:p>
    <w:p>
      <w:pPr>
        <w:pStyle w:val="Indenta"/>
        <w:rPr>
          <w:snapToGrid w:val="0"/>
        </w:rPr>
      </w:pPr>
      <w:r>
        <w:rPr>
          <w:snapToGrid w:val="0"/>
        </w:rPr>
        <w:tab/>
        <w:t>(a)</w:t>
      </w:r>
      <w:r>
        <w:rPr>
          <w:snapToGrid w:val="0"/>
        </w:rPr>
        <w:tab/>
        <w:t>removes an abalone from its shell, or permits an abalone to be removed from its shell, within an area described in the Table to this regulation; and</w:t>
      </w:r>
    </w:p>
    <w:p>
      <w:pPr>
        <w:pStyle w:val="Indenta"/>
        <w:keepLines/>
        <w:rPr>
          <w:snapToGrid w:val="0"/>
        </w:rPr>
      </w:pPr>
      <w:r>
        <w:rPr>
          <w:snapToGrid w:val="0"/>
        </w:rPr>
        <w:tab/>
        <w:t>(b)</w:t>
      </w:r>
      <w:r>
        <w:rPr>
          <w:snapToGrid w:val="0"/>
        </w:rPr>
        <w:tab/>
        <w:t>immediately takes the abalone from which the shell has been removed from that area to an area which is more than 200 m on the landward side of the high water mark.</w:t>
      </w:r>
    </w:p>
    <w:p>
      <w:pPr>
        <w:pStyle w:val="THeadingNAm"/>
      </w:pPr>
      <w:r>
        <w:t>Table</w:t>
      </w:r>
    </w:p>
    <w:tbl>
      <w:tblPr>
        <w:tblW w:w="0" w:type="auto"/>
        <w:tblInd w:w="851" w:type="dxa"/>
        <w:tblLayout w:type="fixed"/>
        <w:tblLook w:val="0000" w:firstRow="0" w:lastRow="0" w:firstColumn="0" w:lastColumn="0" w:noHBand="0" w:noVBand="0"/>
      </w:tblPr>
      <w:tblGrid>
        <w:gridCol w:w="6453"/>
      </w:tblGrid>
      <w:tr>
        <w:tc>
          <w:tcPr>
            <w:tcW w:w="6453" w:type="dxa"/>
          </w:tcPr>
          <w:p>
            <w:pPr>
              <w:pStyle w:val="TableNAm"/>
              <w:spacing w:before="60"/>
              <w:rPr>
                <w:snapToGrid w:val="0"/>
                <w:sz w:val="22"/>
              </w:rPr>
            </w:pPr>
            <w:r>
              <w:rPr>
                <w:snapToGrid w:val="0"/>
                <w:sz w:val="22"/>
              </w:rPr>
              <w:t xml:space="preserve">The fish cleaning facility situated approximately 40 m in an easterly direction from the intersection of </w:t>
            </w:r>
            <w:smartTag w:uri="urn:schemas-microsoft-com:office:smarttags" w:element="Street">
              <w:smartTag w:uri="urn:schemas-microsoft-com:office:smarttags" w:element="address">
                <w:r>
                  <w:rPr>
                    <w:snapToGrid w:val="0"/>
                    <w:sz w:val="22"/>
                  </w:rPr>
                  <w:t>Wharton Road</w:t>
                </w:r>
              </w:smartTag>
            </w:smartTag>
            <w:r>
              <w:rPr>
                <w:snapToGrid w:val="0"/>
                <w:sz w:val="22"/>
              </w:rPr>
              <w:t xml:space="preserve"> and Road No. 17027 (access road to the Duke of Orleans Caravan Park) at the Duke of Orleans Bay.</w:t>
            </w:r>
          </w:p>
        </w:tc>
      </w:tr>
    </w:tbl>
    <w:p>
      <w:pPr>
        <w:pStyle w:val="Footnotesection"/>
      </w:pPr>
      <w:r>
        <w:tab/>
        <w:t>[Regulation 41 amended in Gazette 19 Jun 1998 p. 3263; 4 Nov 2005 p. 5311; 2 Aug 2011 p. 3167; 2 Nov 2011 p. 4621.]</w:t>
      </w:r>
    </w:p>
    <w:p>
      <w:pPr>
        <w:pStyle w:val="Heading5"/>
        <w:rPr>
          <w:snapToGrid w:val="0"/>
        </w:rPr>
      </w:pPr>
      <w:bookmarkStart w:id="1535" w:name="_Toc309309331"/>
      <w:r>
        <w:rPr>
          <w:rStyle w:val="CharSectno"/>
        </w:rPr>
        <w:t>42</w:t>
      </w:r>
      <w:r>
        <w:rPr>
          <w:snapToGrid w:val="0"/>
        </w:rPr>
        <w:t>.</w:t>
      </w:r>
      <w:r>
        <w:rPr>
          <w:snapToGrid w:val="0"/>
        </w:rPr>
        <w:tab/>
        <w:t>Molluscs, shucking of by recreational fishers</w:t>
      </w:r>
      <w:bookmarkEnd w:id="1535"/>
    </w:p>
    <w:p>
      <w:pPr>
        <w:pStyle w:val="Subsection"/>
        <w:keepNext/>
        <w:rPr>
          <w:snapToGrid w:val="0"/>
        </w:rPr>
      </w:pPr>
      <w:r>
        <w:rPr>
          <w:snapToGrid w:val="0"/>
        </w:rPr>
        <w:tab/>
        <w:t>(1)</w:t>
      </w:r>
      <w:r>
        <w:rPr>
          <w:snapToGrid w:val="0"/>
        </w:rPr>
        <w:tab/>
        <w:t>A person, other than a person who is the holder of a commercial fishing licence or an aquaculture licence, must not —</w:t>
      </w:r>
    </w:p>
    <w:p>
      <w:pPr>
        <w:pStyle w:val="Indenta"/>
        <w:rPr>
          <w:snapToGrid w:val="0"/>
        </w:rPr>
      </w:pPr>
      <w:r>
        <w:rPr>
          <w:snapToGrid w:val="0"/>
        </w:rPr>
        <w:tab/>
        <w:t>(a)</w:t>
      </w:r>
      <w:r>
        <w:rPr>
          <w:snapToGrid w:val="0"/>
        </w:rPr>
        <w:tab/>
        <w:t>on the seaward side of the high water mark, or within 200 m of, and on the landward side of, the high water mark —</w:t>
      </w:r>
    </w:p>
    <w:p>
      <w:pPr>
        <w:pStyle w:val="Indenti"/>
        <w:rPr>
          <w:snapToGrid w:val="0"/>
        </w:rPr>
      </w:pPr>
      <w:r>
        <w:rPr>
          <w:snapToGrid w:val="0"/>
        </w:rPr>
        <w:tab/>
        <w:t>(i)</w:t>
      </w:r>
      <w:r>
        <w:rPr>
          <w:snapToGrid w:val="0"/>
        </w:rPr>
        <w:tab/>
        <w:t>remove the shell, or cause or permit the shell to be removed, from a cockle</w:t>
      </w:r>
      <w:r>
        <w:t>, ark shell</w:t>
      </w:r>
      <w:r>
        <w:rPr>
          <w:snapToGrid w:val="0"/>
        </w:rPr>
        <w:t>, venus clam or other species of edible mollusc; or</w:t>
      </w:r>
    </w:p>
    <w:p>
      <w:pPr>
        <w:pStyle w:val="Indenti"/>
        <w:rPr>
          <w:snapToGrid w:val="0"/>
        </w:rPr>
      </w:pPr>
      <w:r>
        <w:rPr>
          <w:snapToGrid w:val="0"/>
        </w:rPr>
        <w:tab/>
        <w:t>(ii)</w:t>
      </w:r>
      <w:r>
        <w:rPr>
          <w:snapToGrid w:val="0"/>
        </w:rPr>
        <w:tab/>
        <w:t>be in possession of a cockle</w:t>
      </w:r>
      <w:r>
        <w:t>, ark shell</w:t>
      </w:r>
      <w:r>
        <w:rPr>
          <w:snapToGrid w:val="0"/>
        </w:rPr>
        <w:t>, venus clam or other species of edible mollusc from which the shell has been removed;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 cockle</w:t>
      </w:r>
      <w:r>
        <w:t>, ark shell</w:t>
      </w:r>
      <w:r>
        <w:rPr>
          <w:snapToGrid w:val="0"/>
        </w:rPr>
        <w:t>, a venus clam or any other edible mollusc from which the shell has been removed.</w:t>
      </w:r>
    </w:p>
    <w:p>
      <w:pPr>
        <w:pStyle w:val="Subsection"/>
        <w:rPr>
          <w:snapToGrid w:val="0"/>
        </w:rPr>
      </w:pPr>
      <w:r>
        <w:rPr>
          <w:snapToGrid w:val="0"/>
        </w:rPr>
        <w:tab/>
        <w:t>(2)</w:t>
      </w:r>
      <w:r>
        <w:rPr>
          <w:snapToGrid w:val="0"/>
        </w:rPr>
        <w:tab/>
        <w:t>Subregulation (1)(a) does not apply to a person who removes the shell, or causes or permits the shell to be removed, from a cockle (ark shell), venus clam or any other edible mollusc for the purpose of immediately consuming the mollusc or using it as bait.</w:t>
      </w:r>
    </w:p>
    <w:p>
      <w:pPr>
        <w:pStyle w:val="Subsection"/>
        <w:keepNext/>
        <w:rPr>
          <w:snapToGrid w:val="0"/>
        </w:rPr>
      </w:pPr>
      <w:r>
        <w:rPr>
          <w:snapToGrid w:val="0"/>
        </w:rPr>
        <w:tab/>
        <w:t>(3)</w:t>
      </w:r>
      <w:r>
        <w:rPr>
          <w:snapToGrid w:val="0"/>
        </w:rPr>
        <w:tab/>
        <w:t>This regulation does not apply in respect of abalone or oyster.</w:t>
      </w:r>
    </w:p>
    <w:p>
      <w:pPr>
        <w:pStyle w:val="Penstart"/>
        <w:rPr>
          <w:snapToGrid w:val="0"/>
        </w:rPr>
      </w:pPr>
      <w:r>
        <w:rPr>
          <w:snapToGrid w:val="0"/>
        </w:rPr>
        <w:tab/>
        <w:t>Penalty: $2 000.</w:t>
      </w:r>
    </w:p>
    <w:p>
      <w:pPr>
        <w:pStyle w:val="Footnotesection"/>
      </w:pPr>
      <w:r>
        <w:tab/>
        <w:t>[Regulation 42 amended in Gazette 1 Oct 2003 p. 4302; 4 Nov 2005 p. 5311.]</w:t>
      </w:r>
    </w:p>
    <w:p>
      <w:pPr>
        <w:pStyle w:val="Heading5"/>
        <w:spacing w:before="180"/>
        <w:rPr>
          <w:snapToGrid w:val="0"/>
        </w:rPr>
      </w:pPr>
      <w:bookmarkStart w:id="1536" w:name="_Toc309309332"/>
      <w:r>
        <w:rPr>
          <w:rStyle w:val="CharSectno"/>
        </w:rPr>
        <w:t>43</w:t>
      </w:r>
      <w:r>
        <w:rPr>
          <w:snapToGrid w:val="0"/>
        </w:rPr>
        <w:t>.</w:t>
      </w:r>
      <w:r>
        <w:rPr>
          <w:snapToGrid w:val="0"/>
        </w:rPr>
        <w:tab/>
        <w:t>Trout, interfering with etc.</w:t>
      </w:r>
      <w:bookmarkEnd w:id="1536"/>
    </w:p>
    <w:p>
      <w:pPr>
        <w:pStyle w:val="Subsection"/>
        <w:rPr>
          <w:snapToGrid w:val="0"/>
        </w:rPr>
      </w:pPr>
      <w:r>
        <w:rPr>
          <w:snapToGrid w:val="0"/>
        </w:rPr>
        <w:tab/>
      </w:r>
      <w:r>
        <w:rPr>
          <w:snapToGrid w:val="0"/>
        </w:rPr>
        <w:tab/>
        <w:t>Unless authorised to do so under an authorisation, a person must not —</w:t>
      </w:r>
    </w:p>
    <w:p>
      <w:pPr>
        <w:pStyle w:val="Indenta"/>
        <w:rPr>
          <w:snapToGrid w:val="0"/>
        </w:rPr>
      </w:pPr>
      <w:r>
        <w:rPr>
          <w:snapToGrid w:val="0"/>
        </w:rPr>
        <w:tab/>
        <w:t>(a)</w:t>
      </w:r>
      <w:r>
        <w:rPr>
          <w:snapToGrid w:val="0"/>
        </w:rPr>
        <w:tab/>
        <w:t>obstruct or attempt to obstruct the free movement of trout in any waters by means of any fixed implement or device; or</w:t>
      </w:r>
    </w:p>
    <w:p>
      <w:pPr>
        <w:pStyle w:val="Indenta"/>
        <w:rPr>
          <w:snapToGrid w:val="0"/>
        </w:rPr>
      </w:pPr>
      <w:r>
        <w:rPr>
          <w:snapToGrid w:val="0"/>
        </w:rPr>
        <w:tab/>
        <w:t>(b)</w:t>
      </w:r>
      <w:r>
        <w:rPr>
          <w:snapToGrid w:val="0"/>
        </w:rPr>
        <w:tab/>
        <w:t>interfere with or disturb trout when spawning or when on or near their spawning beds.</w:t>
      </w:r>
    </w:p>
    <w:p>
      <w:pPr>
        <w:pStyle w:val="Penstart"/>
        <w:rPr>
          <w:snapToGrid w:val="0"/>
        </w:rPr>
      </w:pPr>
      <w:r>
        <w:rPr>
          <w:snapToGrid w:val="0"/>
        </w:rPr>
        <w:tab/>
        <w:t>Penalty: $2 000.</w:t>
      </w:r>
    </w:p>
    <w:p>
      <w:pPr>
        <w:pStyle w:val="Heading5"/>
        <w:rPr>
          <w:snapToGrid w:val="0"/>
        </w:rPr>
      </w:pPr>
      <w:bookmarkStart w:id="1537" w:name="_Toc309309333"/>
      <w:r>
        <w:rPr>
          <w:rStyle w:val="CharSectno"/>
        </w:rPr>
        <w:t>44</w:t>
      </w:r>
      <w:r>
        <w:rPr>
          <w:snapToGrid w:val="0"/>
        </w:rPr>
        <w:t>.</w:t>
      </w:r>
      <w:r>
        <w:rPr>
          <w:snapToGrid w:val="0"/>
        </w:rPr>
        <w:tab/>
        <w:t>Barramundi, trout, freshwater cobbler or redfin perch, permitted ways to fish for</w:t>
      </w:r>
      <w:bookmarkEnd w:id="1537"/>
    </w:p>
    <w:p>
      <w:pPr>
        <w:pStyle w:val="Subsection"/>
        <w:rPr>
          <w:snapToGrid w:val="0"/>
        </w:rPr>
      </w:pPr>
      <w:r>
        <w:rPr>
          <w:snapToGrid w:val="0"/>
        </w:rPr>
        <w:tab/>
      </w:r>
      <w:r>
        <w:rPr>
          <w:snapToGrid w:val="0"/>
        </w:rPr>
        <w:tab/>
        <w:t>Unless the person is authorised to do so under an authorisation, a person must not fish for —</w:t>
      </w:r>
    </w:p>
    <w:p>
      <w:pPr>
        <w:pStyle w:val="Indenta"/>
        <w:rPr>
          <w:snapToGrid w:val="0"/>
        </w:rPr>
      </w:pPr>
      <w:r>
        <w:rPr>
          <w:snapToGrid w:val="0"/>
        </w:rPr>
        <w:tab/>
        <w:t>(a)</w:t>
      </w:r>
      <w:r>
        <w:rPr>
          <w:snapToGrid w:val="0"/>
        </w:rPr>
        <w:tab/>
        <w:t>barramundi; or</w:t>
      </w:r>
    </w:p>
    <w:p>
      <w:pPr>
        <w:pStyle w:val="Indenta"/>
        <w:rPr>
          <w:snapToGrid w:val="0"/>
        </w:rPr>
      </w:pPr>
      <w:r>
        <w:rPr>
          <w:snapToGrid w:val="0"/>
        </w:rPr>
        <w:tab/>
        <w:t>(b)</w:t>
      </w:r>
      <w:r>
        <w:rPr>
          <w:snapToGrid w:val="0"/>
        </w:rPr>
        <w:tab/>
        <w:t>brown trout; or</w:t>
      </w:r>
    </w:p>
    <w:p>
      <w:pPr>
        <w:pStyle w:val="Indenta"/>
        <w:rPr>
          <w:snapToGrid w:val="0"/>
        </w:rPr>
      </w:pPr>
      <w:r>
        <w:rPr>
          <w:snapToGrid w:val="0"/>
        </w:rPr>
        <w:tab/>
        <w:t>(c)</w:t>
      </w:r>
      <w:r>
        <w:rPr>
          <w:snapToGrid w:val="0"/>
        </w:rPr>
        <w:tab/>
        <w:t>freshwater cobbler; or</w:t>
      </w:r>
    </w:p>
    <w:p>
      <w:pPr>
        <w:pStyle w:val="Indenta"/>
        <w:rPr>
          <w:snapToGrid w:val="0"/>
        </w:rPr>
      </w:pPr>
      <w:r>
        <w:rPr>
          <w:snapToGrid w:val="0"/>
        </w:rPr>
        <w:tab/>
        <w:t>(d)</w:t>
      </w:r>
      <w:r>
        <w:rPr>
          <w:snapToGrid w:val="0"/>
        </w:rPr>
        <w:tab/>
        <w:t>rainbow trout; or</w:t>
      </w:r>
    </w:p>
    <w:p>
      <w:pPr>
        <w:pStyle w:val="Indenta"/>
        <w:keepNext/>
        <w:rPr>
          <w:snapToGrid w:val="0"/>
        </w:rPr>
      </w:pPr>
      <w:r>
        <w:rPr>
          <w:snapToGrid w:val="0"/>
        </w:rPr>
        <w:tab/>
        <w:t>(e)</w:t>
      </w:r>
      <w:r>
        <w:rPr>
          <w:snapToGrid w:val="0"/>
        </w:rPr>
        <w:tab/>
        <w:t>redfin perch,</w:t>
      </w:r>
    </w:p>
    <w:p>
      <w:pPr>
        <w:pStyle w:val="Subsection"/>
        <w:rPr>
          <w:snapToGrid w:val="0"/>
        </w:rPr>
      </w:pPr>
      <w:r>
        <w:rPr>
          <w:snapToGrid w:val="0"/>
        </w:rPr>
        <w:tab/>
      </w:r>
      <w:r>
        <w:rPr>
          <w:snapToGrid w:val="0"/>
        </w:rPr>
        <w:tab/>
        <w:t>otherwise than by means of a single rod, reel and line or a single line held in the hand.</w:t>
      </w:r>
    </w:p>
    <w:p>
      <w:pPr>
        <w:pStyle w:val="Penstart"/>
        <w:rPr>
          <w:snapToGrid w:val="0"/>
        </w:rPr>
      </w:pPr>
      <w:r>
        <w:rPr>
          <w:snapToGrid w:val="0"/>
        </w:rPr>
        <w:tab/>
        <w:t>Penalty: $2 000.</w:t>
      </w:r>
    </w:p>
    <w:p>
      <w:pPr>
        <w:pStyle w:val="Heading5"/>
      </w:pPr>
      <w:bookmarkStart w:id="1538" w:name="_Toc309309334"/>
      <w:r>
        <w:rPr>
          <w:rStyle w:val="CharSectno"/>
        </w:rPr>
        <w:t>44A</w:t>
      </w:r>
      <w:r>
        <w:t>.</w:t>
      </w:r>
      <w:r>
        <w:tab/>
        <w:t>Closed season for freshwater fish</w:t>
      </w:r>
      <w:bookmarkEnd w:id="1538"/>
    </w:p>
    <w:p>
      <w:pPr>
        <w:pStyle w:val="Subsection"/>
      </w:pPr>
      <w:r>
        <w:tab/>
        <w:t>(1)</w:t>
      </w:r>
      <w:r>
        <w:tab/>
        <w:t xml:space="preserve">In this regulation — </w:t>
      </w:r>
    </w:p>
    <w:p>
      <w:pPr>
        <w:pStyle w:val="Defstart"/>
      </w:pPr>
      <w:r>
        <w:tab/>
      </w:r>
      <w:r>
        <w:rPr>
          <w:rStyle w:val="CharDefText"/>
        </w:rPr>
        <w:t>freshwater fish</w:t>
      </w:r>
      <w:r>
        <w:t xml:space="preserve"> means the fish listed in Schedule 7 Division 2.</w:t>
      </w:r>
    </w:p>
    <w:p>
      <w:pPr>
        <w:pStyle w:val="Subsection"/>
      </w:pPr>
      <w:r>
        <w:tab/>
        <w:t>(2)</w:t>
      </w:r>
      <w:r>
        <w:tab/>
        <w:t>Subject to subregulation (3), a person must not fish for freshwater fish during the period from 1 July to 31 August, both dates inclusive, in any year in waters south of 29° south latitude above the tidal influence, including all lakes, dams, rivers and their tributaries.</w:t>
      </w:r>
    </w:p>
    <w:p>
      <w:pPr>
        <w:pStyle w:val="Penstart"/>
      </w:pPr>
      <w:r>
        <w:tab/>
        <w:t>Penalty: a fine of $2 000.</w:t>
      </w:r>
    </w:p>
    <w:p>
      <w:pPr>
        <w:pStyle w:val="Subsection"/>
      </w:pPr>
      <w:r>
        <w:tab/>
        <w:t>(3)</w:t>
      </w:r>
      <w:r>
        <w:tab/>
        <w:t xml:space="preserve">Subregulation (2) does not apply to a person who fishes for freshwater fish — </w:t>
      </w:r>
    </w:p>
    <w:p>
      <w:pPr>
        <w:pStyle w:val="Indenta"/>
      </w:pPr>
      <w:r>
        <w:tab/>
        <w:t>(a)</w:t>
      </w:r>
      <w:r>
        <w:tab/>
        <w:t>in waters on private land, other than waters passing through that land; or</w:t>
      </w:r>
    </w:p>
    <w:p>
      <w:pPr>
        <w:pStyle w:val="Indenta"/>
      </w:pPr>
      <w:r>
        <w:tab/>
        <w:t>(b)</w:t>
      </w:r>
      <w:r>
        <w:tab/>
        <w:t xml:space="preserve">in the waters, including tributaries flowing into those waters, of — </w:t>
      </w:r>
    </w:p>
    <w:p>
      <w:pPr>
        <w:pStyle w:val="Indenti"/>
      </w:pPr>
      <w:r>
        <w:tab/>
        <w:t>(i)</w:t>
      </w:r>
      <w:r>
        <w:tab/>
        <w:t>Big Brook Dam;</w:t>
      </w:r>
    </w:p>
    <w:p>
      <w:pPr>
        <w:pStyle w:val="Indenti"/>
      </w:pPr>
      <w:r>
        <w:tab/>
        <w:t>(ii)</w:t>
      </w:r>
      <w:r>
        <w:tab/>
        <w:t xml:space="preserve">the </w:t>
      </w:r>
      <w:smartTag w:uri="urn:schemas-microsoft-com:office:smarttags" w:element="place">
        <w:smartTag w:uri="urn:schemas-microsoft-com:office:smarttags" w:element="PlaceName">
          <w:r>
            <w:t>Blackwood</w:t>
          </w:r>
        </w:smartTag>
        <w:r>
          <w:t xml:space="preserve"> </w:t>
        </w:r>
        <w:smartTag w:uri="urn:schemas-microsoft-com:office:smarttags" w:element="PlaceType">
          <w:r>
            <w:t>River</w:t>
          </w:r>
        </w:smartTag>
      </w:smartTag>
      <w:r>
        <w:t>;</w:t>
      </w:r>
    </w:p>
    <w:p>
      <w:pPr>
        <w:pStyle w:val="Indenti"/>
      </w:pPr>
      <w:r>
        <w:tab/>
        <w:t>(iii)</w:t>
      </w:r>
      <w:r>
        <w:tab/>
        <w:t xml:space="preserve">the </w:t>
      </w:r>
      <w:smartTag w:uri="urn:schemas-microsoft-com:office:smarttags" w:element="place">
        <w:smartTag w:uri="urn:schemas-microsoft-com:office:smarttags" w:element="PlaceName">
          <w:r>
            <w:t>Donnelly</w:t>
          </w:r>
        </w:smartTag>
        <w:r>
          <w:t xml:space="preserve"> </w:t>
        </w:r>
        <w:smartTag w:uri="urn:schemas-microsoft-com:office:smarttags" w:element="PlaceType">
          <w:r>
            <w:t>River</w:t>
          </w:r>
        </w:smartTag>
      </w:smartTag>
      <w:r>
        <w:t>;</w:t>
      </w:r>
    </w:p>
    <w:p>
      <w:pPr>
        <w:pStyle w:val="Indenti"/>
      </w:pPr>
      <w:r>
        <w:tab/>
        <w:t>(iv)</w:t>
      </w:r>
      <w:r>
        <w:tab/>
        <w:t>Glen Mervyn Dam;</w:t>
      </w:r>
    </w:p>
    <w:p>
      <w:pPr>
        <w:pStyle w:val="Indenti"/>
      </w:pPr>
      <w:r>
        <w:tab/>
        <w:t>(v)</w:t>
      </w:r>
      <w:r>
        <w:tab/>
        <w:t xml:space="preserve">the </w:t>
      </w:r>
      <w:smartTag w:uri="urn:schemas-microsoft-com:office:smarttags" w:element="place">
        <w:r>
          <w:t>Murray River</w:t>
        </w:r>
      </w:smartTag>
      <w:r>
        <w:t>;</w:t>
      </w:r>
    </w:p>
    <w:p>
      <w:pPr>
        <w:pStyle w:val="Indenti"/>
      </w:pPr>
      <w:r>
        <w:tab/>
        <w:t>(vi)</w:t>
      </w:r>
      <w:r>
        <w:tab/>
      </w:r>
      <w:smartTag w:uri="urn:schemas-microsoft-com:office:smarttags" w:element="place">
        <w:smartTag w:uri="urn:schemas-microsoft-com:office:smarttags" w:element="PlaceType">
          <w:r>
            <w:t>Lake</w:t>
          </w:r>
        </w:smartTag>
        <w:r>
          <w:t xml:space="preserve"> </w:t>
        </w:r>
        <w:smartTag w:uri="urn:schemas-microsoft-com:office:smarttags" w:element="PlaceName">
          <w:r>
            <w:t>Leschenaultia</w:t>
          </w:r>
        </w:smartTag>
      </w:smartTag>
      <w:r>
        <w:t>;</w:t>
      </w:r>
    </w:p>
    <w:p>
      <w:pPr>
        <w:pStyle w:val="Indenti"/>
      </w:pPr>
      <w:r>
        <w:tab/>
        <w:t>(vii)</w:t>
      </w:r>
      <w:r>
        <w:tab/>
        <w:t>Logue Brook Dam;</w:t>
      </w:r>
    </w:p>
    <w:p>
      <w:pPr>
        <w:pStyle w:val="Indenti"/>
      </w:pPr>
      <w:r>
        <w:tab/>
        <w:t>(viii)</w:t>
      </w:r>
      <w:r>
        <w:tab/>
        <w:t xml:space="preserve">the </w:t>
      </w:r>
      <w:smartTag w:uri="urn:schemas-microsoft-com:office:smarttags" w:element="PlaceName">
        <w:r>
          <w:t>Serpentine</w:t>
        </w:r>
      </w:smartTag>
      <w:r>
        <w:t xml:space="preserve"> </w:t>
      </w:r>
      <w:smartTag w:uri="urn:schemas-microsoft-com:office:smarttags" w:element="PlaceType">
        <w:r>
          <w:t>River</w:t>
        </w:r>
      </w:smartTag>
      <w:r>
        <w:t xml:space="preserve">, upstream of </w:t>
      </w:r>
      <w:smartTag w:uri="urn:schemas-microsoft-com:office:smarttags" w:element="place">
        <w:smartTag w:uri="urn:schemas-microsoft-com:office:smarttags" w:element="PlaceName">
          <w:r>
            <w:t>Serpentine</w:t>
          </w:r>
        </w:smartTag>
        <w:r>
          <w:t xml:space="preserve"> </w:t>
        </w:r>
        <w:smartTag w:uri="urn:schemas-microsoft-com:office:smarttags" w:element="PlaceType">
          <w:r>
            <w:t>Falls</w:t>
          </w:r>
        </w:smartTag>
      </w:smartTag>
      <w:r>
        <w:t xml:space="preserve"> and downstream of the Serpentine Pipe</w:t>
      </w:r>
      <w:r>
        <w:noBreakHyphen/>
        <w:t>Head Dam;</w:t>
      </w:r>
    </w:p>
    <w:p>
      <w:pPr>
        <w:pStyle w:val="Indenti"/>
      </w:pPr>
      <w:r>
        <w:tab/>
        <w:t>(ix)</w:t>
      </w:r>
      <w:r>
        <w:tab/>
        <w:t xml:space="preserve">the </w:t>
      </w:r>
      <w:smartTag w:uri="urn:schemas-microsoft-com:office:smarttags" w:element="place">
        <w:smartTag w:uri="urn:schemas-microsoft-com:office:smarttags" w:element="PlaceName">
          <w:r>
            <w:t>Warren</w:t>
          </w:r>
        </w:smartTag>
        <w:r>
          <w:t xml:space="preserve"> </w:t>
        </w:r>
        <w:smartTag w:uri="urn:schemas-microsoft-com:office:smarttags" w:element="PlaceName">
          <w:r>
            <w:t>River</w:t>
          </w:r>
        </w:smartTag>
      </w:smartTag>
      <w:r>
        <w:t>;</w:t>
      </w:r>
    </w:p>
    <w:p>
      <w:pPr>
        <w:pStyle w:val="Indenti"/>
      </w:pPr>
      <w:r>
        <w:tab/>
        <w:t>(x)</w:t>
      </w:r>
      <w:r>
        <w:tab/>
      </w:r>
      <w:smartTag w:uri="urn:schemas-microsoft-com:office:smarttags" w:element="place">
        <w:smartTag w:uri="urn:schemas-microsoft-com:office:smarttags" w:element="City">
          <w:r>
            <w:t>Wellington</w:t>
          </w:r>
        </w:smartTag>
      </w:smartTag>
      <w:r>
        <w:t xml:space="preserve"> Dam.</w:t>
      </w:r>
    </w:p>
    <w:p>
      <w:pPr>
        <w:pStyle w:val="Footnotesection"/>
      </w:pPr>
      <w:r>
        <w:tab/>
        <w:t>[Regulation 44A inserted in Gazette 2 Nov 2011 p. 4621-2.]</w:t>
      </w:r>
    </w:p>
    <w:p>
      <w:pPr>
        <w:pStyle w:val="Heading5"/>
      </w:pPr>
      <w:bookmarkStart w:id="1539" w:name="_Toc309309335"/>
      <w:r>
        <w:rPr>
          <w:rStyle w:val="CharSectno"/>
        </w:rPr>
        <w:t>45</w:t>
      </w:r>
      <w:r>
        <w:t>.</w:t>
      </w:r>
      <w:r>
        <w:tab/>
        <w:t>Demersal scalefish in West Coast Region, closed season for recreation fishing for</w:t>
      </w:r>
      <w:bookmarkEnd w:id="1539"/>
    </w:p>
    <w:p>
      <w:pPr>
        <w:pStyle w:val="Subsection"/>
      </w:pPr>
      <w:r>
        <w:tab/>
        <w:t>(1)</w:t>
      </w:r>
      <w:r>
        <w:tab/>
        <w:t>In this regulation —</w:t>
      </w:r>
    </w:p>
    <w:p>
      <w:pPr>
        <w:pStyle w:val="Defstart"/>
      </w:pPr>
      <w:r>
        <w:tab/>
      </w:r>
      <w:r>
        <w:rPr>
          <w:rStyle w:val="CharDefText"/>
        </w:rPr>
        <w:t>closed season</w:t>
      </w:r>
      <w:r>
        <w:t xml:space="preserve"> means the period from 15 October to 15 December, both dates inclusive, in any year;</w:t>
      </w:r>
    </w:p>
    <w:p>
      <w:pPr>
        <w:pStyle w:val="Defstart"/>
      </w:pPr>
      <w:r>
        <w:tab/>
      </w:r>
      <w:r>
        <w:rPr>
          <w:rStyle w:val="CharDefText"/>
        </w:rPr>
        <w:t>demersal scalefish</w:t>
      </w:r>
      <w:r>
        <w:t xml:space="preserve"> means any fish listed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c>
          <w:tcPr>
            <w:tcW w:w="2764" w:type="dxa"/>
          </w:tcPr>
          <w:p>
            <w:pPr>
              <w:pStyle w:val="TableNAm"/>
            </w:pPr>
            <w:r>
              <w:t>Cod</w:t>
            </w:r>
          </w:p>
        </w:tc>
        <w:tc>
          <w:tcPr>
            <w:tcW w:w="2764" w:type="dxa"/>
          </w:tcPr>
          <w:p>
            <w:pPr>
              <w:pStyle w:val="TableNAm"/>
            </w:pPr>
            <w:r>
              <w:t>Hapuku</w:t>
            </w:r>
          </w:p>
        </w:tc>
      </w:tr>
      <w:tr>
        <w:tc>
          <w:tcPr>
            <w:tcW w:w="2764" w:type="dxa"/>
          </w:tcPr>
          <w:p>
            <w:pPr>
              <w:pStyle w:val="TableNAm"/>
            </w:pPr>
            <w:r>
              <w:t>Cod, Grey Banded Rock</w:t>
            </w:r>
          </w:p>
        </w:tc>
        <w:tc>
          <w:tcPr>
            <w:tcW w:w="2764" w:type="dxa"/>
          </w:tcPr>
          <w:p>
            <w:pPr>
              <w:pStyle w:val="TableNAm"/>
            </w:pPr>
            <w:r>
              <w:t>Nannygai</w:t>
            </w:r>
          </w:p>
        </w:tc>
      </w:tr>
      <w:tr>
        <w:tc>
          <w:tcPr>
            <w:tcW w:w="2764" w:type="dxa"/>
          </w:tcPr>
          <w:p>
            <w:pPr>
              <w:pStyle w:val="TableNAm"/>
            </w:pPr>
            <w:r>
              <w:t>Coral Trout</w:t>
            </w:r>
          </w:p>
        </w:tc>
        <w:tc>
          <w:tcPr>
            <w:tcW w:w="2764" w:type="dxa"/>
          </w:tcPr>
          <w:p>
            <w:pPr>
              <w:pStyle w:val="TableNAm"/>
            </w:pPr>
            <w:r>
              <w:t>Parrot Fish</w:t>
            </w:r>
          </w:p>
        </w:tc>
      </w:tr>
      <w:tr>
        <w:tc>
          <w:tcPr>
            <w:tcW w:w="2764" w:type="dxa"/>
          </w:tcPr>
          <w:p>
            <w:pPr>
              <w:pStyle w:val="TableNAm"/>
            </w:pPr>
            <w:r>
              <w:t>Coronation Trout</w:t>
            </w:r>
          </w:p>
        </w:tc>
        <w:tc>
          <w:tcPr>
            <w:tcW w:w="2764" w:type="dxa"/>
          </w:tcPr>
          <w:p>
            <w:pPr>
              <w:pStyle w:val="TableNAm"/>
              <w:rPr>
                <w:strike/>
              </w:rPr>
            </w:pPr>
            <w:r>
              <w:t>Seaperch, Tropical</w:t>
            </w:r>
          </w:p>
        </w:tc>
      </w:tr>
      <w:tr>
        <w:tc>
          <w:tcPr>
            <w:tcW w:w="2764" w:type="dxa"/>
          </w:tcPr>
          <w:p>
            <w:pPr>
              <w:pStyle w:val="TableNAm"/>
            </w:pPr>
            <w:r>
              <w:t>Dhufish, West Australian</w:t>
            </w:r>
          </w:p>
        </w:tc>
        <w:tc>
          <w:tcPr>
            <w:tcW w:w="2764" w:type="dxa"/>
          </w:tcPr>
          <w:p>
            <w:pPr>
              <w:pStyle w:val="TableNAm"/>
            </w:pPr>
            <w:r>
              <w:t>Snapper, Pink</w:t>
            </w:r>
          </w:p>
        </w:tc>
      </w:tr>
      <w:tr>
        <w:tc>
          <w:tcPr>
            <w:tcW w:w="2764" w:type="dxa"/>
          </w:tcPr>
          <w:p>
            <w:pPr>
              <w:pStyle w:val="TableNAm"/>
              <w:rPr>
                <w:strike/>
              </w:rPr>
            </w:pPr>
            <w:r>
              <w:t>Emperor and Seabream</w:t>
            </w:r>
          </w:p>
        </w:tc>
        <w:tc>
          <w:tcPr>
            <w:tcW w:w="2764" w:type="dxa"/>
          </w:tcPr>
          <w:p>
            <w:pPr>
              <w:pStyle w:val="TableNAm"/>
            </w:pPr>
            <w:r>
              <w:t>Snapper, Queen (Blue Morwong)</w:t>
            </w:r>
          </w:p>
        </w:tc>
      </w:tr>
      <w:tr>
        <w:tc>
          <w:tcPr>
            <w:tcW w:w="2764" w:type="dxa"/>
          </w:tcPr>
          <w:p>
            <w:pPr>
              <w:pStyle w:val="TableNAm"/>
            </w:pPr>
            <w:r>
              <w:t>Emperor, Red (Government Bream)</w:t>
            </w:r>
          </w:p>
        </w:tc>
        <w:tc>
          <w:tcPr>
            <w:tcW w:w="2764" w:type="dxa"/>
          </w:tcPr>
          <w:p>
            <w:pPr>
              <w:pStyle w:val="TableNAm"/>
            </w:pPr>
            <w:r>
              <w:t>Snapper, Red (Redfish)</w:t>
            </w:r>
          </w:p>
        </w:tc>
      </w:tr>
      <w:tr>
        <w:tc>
          <w:tcPr>
            <w:tcW w:w="2764" w:type="dxa"/>
          </w:tcPr>
          <w:p>
            <w:pPr>
              <w:pStyle w:val="TableNAm"/>
            </w:pPr>
            <w:r>
              <w:t>Foxfish, Western and Pigfish</w:t>
            </w:r>
          </w:p>
        </w:tc>
        <w:tc>
          <w:tcPr>
            <w:tcW w:w="2764" w:type="dxa"/>
          </w:tcPr>
          <w:p>
            <w:pPr>
              <w:pStyle w:val="TableNAm"/>
            </w:pPr>
            <w:r>
              <w:t>Swallowtail</w:t>
            </w:r>
          </w:p>
        </w:tc>
      </w:tr>
      <w:tr>
        <w:tc>
          <w:tcPr>
            <w:tcW w:w="2764" w:type="dxa"/>
          </w:tcPr>
          <w:p>
            <w:pPr>
              <w:pStyle w:val="TableNAm"/>
            </w:pPr>
            <w:r>
              <w:t>Groper, Baldchin</w:t>
            </w:r>
          </w:p>
        </w:tc>
        <w:tc>
          <w:tcPr>
            <w:tcW w:w="2764" w:type="dxa"/>
          </w:tcPr>
          <w:p>
            <w:pPr>
              <w:pStyle w:val="TableNAm"/>
            </w:pPr>
            <w:r>
              <w:t>Trevalla</w:t>
            </w:r>
          </w:p>
        </w:tc>
      </w:tr>
      <w:tr>
        <w:tc>
          <w:tcPr>
            <w:tcW w:w="2764" w:type="dxa"/>
          </w:tcPr>
          <w:p>
            <w:pPr>
              <w:pStyle w:val="TableNAm"/>
            </w:pPr>
            <w:r>
              <w:t>Groper, Bass</w:t>
            </w:r>
          </w:p>
        </w:tc>
        <w:tc>
          <w:tcPr>
            <w:tcW w:w="2764" w:type="dxa"/>
          </w:tcPr>
          <w:p>
            <w:pPr>
              <w:pStyle w:val="TableNAm"/>
            </w:pPr>
            <w:r>
              <w:t>Tuskfish</w:t>
            </w:r>
          </w:p>
        </w:tc>
      </w:tr>
      <w:tr>
        <w:tc>
          <w:tcPr>
            <w:tcW w:w="2764" w:type="dxa"/>
          </w:tcPr>
          <w:p>
            <w:pPr>
              <w:pStyle w:val="TableNAm"/>
            </w:pPr>
            <w:r>
              <w:t>Groper, Western Blue</w:t>
            </w:r>
          </w:p>
        </w:tc>
        <w:tc>
          <w:tcPr>
            <w:tcW w:w="2764" w:type="dxa"/>
          </w:tcPr>
          <w:p>
            <w:pPr>
              <w:pStyle w:val="TableNAm"/>
            </w:pPr>
          </w:p>
        </w:tc>
      </w:tr>
    </w:tbl>
    <w:p>
      <w:pPr>
        <w:pStyle w:val="Subsection"/>
      </w:pPr>
      <w:r>
        <w:tab/>
        <w:t>(2)</w:t>
      </w:r>
      <w:r>
        <w:tab/>
        <w:t>During the closed season a person must not —</w:t>
      </w:r>
    </w:p>
    <w:p>
      <w:pPr>
        <w:pStyle w:val="Indenta"/>
      </w:pPr>
      <w:r>
        <w:tab/>
        <w:t>(a)</w:t>
      </w:r>
      <w:r>
        <w:tab/>
        <w:t>fish for demersal scalefish in the West Coast Region; or</w:t>
      </w:r>
    </w:p>
    <w:p>
      <w:pPr>
        <w:pStyle w:val="Indenta"/>
      </w:pPr>
      <w:r>
        <w:tab/>
        <w:t>(b)</w:t>
      </w:r>
      <w:r>
        <w:tab/>
        <w:t>be in possession of demersal scalefish on a boat in the waters of the West Coast Region; or</w:t>
      </w:r>
    </w:p>
    <w:p>
      <w:pPr>
        <w:pStyle w:val="Indenta"/>
      </w:pPr>
      <w:r>
        <w:tab/>
        <w:t>(c)</w:t>
      </w:r>
      <w:r>
        <w:tab/>
        <w:t>bring onto land in the West Coast Region any demersal scalefish.</w:t>
      </w:r>
    </w:p>
    <w:p>
      <w:pPr>
        <w:pStyle w:val="Penstart"/>
      </w:pPr>
      <w:r>
        <w:tab/>
        <w:t>Penalty: For a first offence a fine of $5 000 or, for a second or subsequent offence, a fine of $10 000 and, for any offence, the penalty provided in section 222 of the Act.</w:t>
      </w:r>
    </w:p>
    <w:p>
      <w:pPr>
        <w:pStyle w:val="Subsection"/>
      </w:pPr>
      <w:r>
        <w:tab/>
        <w:t>(3)</w:t>
      </w:r>
      <w:r>
        <w:tab/>
        <w:t>Subregulation (2) does not apply to or in respect of demersal scalefish taken for a commercial purpose in accordance with an authorisation.</w:t>
      </w:r>
    </w:p>
    <w:p>
      <w:pPr>
        <w:pStyle w:val="Footnotesection"/>
      </w:pPr>
      <w:r>
        <w:tab/>
        <w:t>[Regulation 45 inserted in Gazette 29 Sep 2009 p. 3866</w:t>
      </w:r>
      <w:r>
        <w:noBreakHyphen/>
        <w:t>7.]</w:t>
      </w:r>
    </w:p>
    <w:p>
      <w:pPr>
        <w:pStyle w:val="Ednotedivision"/>
      </w:pPr>
      <w:r>
        <w:t>[Division 7: Heading and r. 46</w:t>
      </w:r>
      <w:r>
        <w:noBreakHyphen/>
        <w:t>54 deleted in Gazette 1 Oct 2003 p. 4303; r. 55 deleted in Gazette 11 Feb 2003 p. 412.]</w:t>
      </w:r>
    </w:p>
    <w:p>
      <w:pPr>
        <w:pStyle w:val="Heading3"/>
      </w:pPr>
      <w:bookmarkStart w:id="1540" w:name="_Toc189987908"/>
      <w:bookmarkStart w:id="1541" w:name="_Toc192041491"/>
      <w:bookmarkStart w:id="1542" w:name="_Toc199570725"/>
      <w:bookmarkStart w:id="1543" w:name="_Toc199738721"/>
      <w:bookmarkStart w:id="1544" w:name="_Toc199814822"/>
      <w:bookmarkStart w:id="1545" w:name="_Toc215040629"/>
      <w:bookmarkStart w:id="1546" w:name="_Toc215041074"/>
      <w:bookmarkStart w:id="1547" w:name="_Toc222129284"/>
      <w:bookmarkStart w:id="1548" w:name="_Toc222222989"/>
      <w:bookmarkStart w:id="1549" w:name="_Toc225914241"/>
      <w:bookmarkStart w:id="1550" w:name="_Toc231282286"/>
      <w:bookmarkStart w:id="1551" w:name="_Toc231282730"/>
      <w:bookmarkStart w:id="1552" w:name="_Toc234899317"/>
      <w:bookmarkStart w:id="1553" w:name="_Toc236632599"/>
      <w:bookmarkStart w:id="1554" w:name="_Toc236720212"/>
      <w:bookmarkStart w:id="1555" w:name="_Toc237764411"/>
      <w:bookmarkStart w:id="1556" w:name="_Toc238356035"/>
      <w:bookmarkStart w:id="1557" w:name="_Toc238368740"/>
      <w:bookmarkStart w:id="1558" w:name="_Toc238375693"/>
      <w:bookmarkStart w:id="1559" w:name="_Toc240339017"/>
      <w:bookmarkStart w:id="1560" w:name="_Toc241993523"/>
      <w:bookmarkStart w:id="1561" w:name="_Toc243192666"/>
      <w:bookmarkStart w:id="1562" w:name="_Toc243295368"/>
      <w:bookmarkStart w:id="1563" w:name="_Toc245112941"/>
      <w:bookmarkStart w:id="1564" w:name="_Toc245198103"/>
      <w:bookmarkStart w:id="1565" w:name="_Toc245198552"/>
      <w:bookmarkStart w:id="1566" w:name="_Toc245199001"/>
      <w:bookmarkStart w:id="1567" w:name="_Toc248122031"/>
      <w:bookmarkStart w:id="1568" w:name="_Toc248122482"/>
      <w:bookmarkStart w:id="1569" w:name="_Toc253670469"/>
      <w:bookmarkStart w:id="1570" w:name="_Toc253670919"/>
      <w:bookmarkStart w:id="1571" w:name="_Toc254942689"/>
      <w:bookmarkStart w:id="1572" w:name="_Toc254943142"/>
      <w:bookmarkStart w:id="1573" w:name="_Toc255475734"/>
      <w:bookmarkStart w:id="1574" w:name="_Toc256432055"/>
      <w:bookmarkStart w:id="1575" w:name="_Toc257720392"/>
      <w:bookmarkStart w:id="1576" w:name="_Toc257722074"/>
      <w:bookmarkStart w:id="1577" w:name="_Toc258335750"/>
      <w:bookmarkStart w:id="1578" w:name="_Toc260406192"/>
      <w:bookmarkStart w:id="1579" w:name="_Toc261271378"/>
      <w:bookmarkStart w:id="1580" w:name="_Toc262808060"/>
      <w:bookmarkStart w:id="1581" w:name="_Toc267572453"/>
      <w:bookmarkStart w:id="1582" w:name="_Toc270684202"/>
      <w:bookmarkStart w:id="1583" w:name="_Toc274214379"/>
      <w:bookmarkStart w:id="1584" w:name="_Toc274214828"/>
      <w:bookmarkStart w:id="1585" w:name="_Toc278976159"/>
      <w:bookmarkStart w:id="1586" w:name="_Toc286760482"/>
      <w:bookmarkStart w:id="1587" w:name="_Toc289080827"/>
      <w:bookmarkStart w:id="1588" w:name="_Toc290284021"/>
      <w:bookmarkStart w:id="1589" w:name="_Toc290642842"/>
      <w:bookmarkStart w:id="1590" w:name="_Toc290643291"/>
      <w:bookmarkStart w:id="1591" w:name="_Toc290643744"/>
      <w:bookmarkStart w:id="1592" w:name="_Toc294701561"/>
      <w:bookmarkStart w:id="1593" w:name="_Toc295199969"/>
      <w:bookmarkStart w:id="1594" w:name="_Toc296954410"/>
      <w:bookmarkStart w:id="1595" w:name="_Toc297276042"/>
      <w:bookmarkStart w:id="1596" w:name="_Toc297276494"/>
      <w:bookmarkStart w:id="1597" w:name="_Toc297276944"/>
      <w:bookmarkStart w:id="1598" w:name="_Toc297726313"/>
      <w:bookmarkStart w:id="1599" w:name="_Toc299980099"/>
      <w:bookmarkStart w:id="1600" w:name="_Toc300234725"/>
      <w:bookmarkStart w:id="1601" w:name="_Toc301961228"/>
      <w:bookmarkStart w:id="1602" w:name="_Toc301966798"/>
      <w:bookmarkStart w:id="1603" w:name="_Toc303253007"/>
      <w:bookmarkStart w:id="1604" w:name="_Toc303257171"/>
      <w:bookmarkStart w:id="1605" w:name="_Toc307992806"/>
      <w:bookmarkStart w:id="1606" w:name="_Toc309029836"/>
      <w:bookmarkStart w:id="1607" w:name="_Toc309304059"/>
      <w:bookmarkStart w:id="1608" w:name="_Toc309304512"/>
      <w:bookmarkStart w:id="1609" w:name="_Toc309309336"/>
      <w:r>
        <w:rPr>
          <w:rStyle w:val="CharDivNo"/>
        </w:rPr>
        <w:t>Division 7A</w:t>
      </w:r>
      <w:r>
        <w:rPr>
          <w:snapToGrid w:val="0"/>
        </w:rPr>
        <w:t> — </w:t>
      </w:r>
      <w:r>
        <w:rPr>
          <w:rStyle w:val="CharDivText"/>
        </w:rPr>
        <w:t>Requirements relating to automatic location communicators</w:t>
      </w:r>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p>
    <w:p>
      <w:pPr>
        <w:pStyle w:val="Footnoteheading"/>
        <w:keepNext/>
        <w:tabs>
          <w:tab w:val="left" w:pos="909"/>
        </w:tabs>
        <w:ind w:left="923" w:hanging="923"/>
        <w:rPr>
          <w:snapToGrid w:val="0"/>
        </w:rPr>
      </w:pPr>
      <w:r>
        <w:rPr>
          <w:snapToGrid w:val="0"/>
        </w:rPr>
        <w:tab/>
        <w:t>[Heading inserted in Gazette 2 Jan 1998 p. 25.]</w:t>
      </w:r>
    </w:p>
    <w:p>
      <w:pPr>
        <w:pStyle w:val="Heading5"/>
      </w:pPr>
      <w:bookmarkStart w:id="1610" w:name="_Toc309309337"/>
      <w:r>
        <w:rPr>
          <w:rStyle w:val="CharSectno"/>
        </w:rPr>
        <w:t>55A</w:t>
      </w:r>
      <w:r>
        <w:t>.</w:t>
      </w:r>
      <w:r>
        <w:tab/>
        <w:t>Terms used</w:t>
      </w:r>
      <w:bookmarkEnd w:id="1610"/>
    </w:p>
    <w:p>
      <w:pPr>
        <w:pStyle w:val="Subsection"/>
      </w:pPr>
      <w:r>
        <w:tab/>
      </w:r>
      <w:r>
        <w:tab/>
        <w:t>In this Division —</w:t>
      </w:r>
    </w:p>
    <w:p>
      <w:pPr>
        <w:pStyle w:val="Defstart"/>
      </w:pPr>
      <w:r>
        <w:rPr>
          <w:b/>
        </w:rPr>
        <w:tab/>
      </w:r>
      <w:r>
        <w:rPr>
          <w:rStyle w:val="CharDefText"/>
        </w:rPr>
        <w:t>approved automatic location communicator</w:t>
      </w:r>
      <w:r>
        <w:rPr>
          <w:b/>
        </w:rPr>
        <w:t xml:space="preserve"> </w:t>
      </w:r>
      <w:r>
        <w:t>means an automatic location communicator of a make, model or type approved in accordance with regulation 55AA(1);</w:t>
      </w:r>
    </w:p>
    <w:p>
      <w:pPr>
        <w:pStyle w:val="Defstart"/>
      </w:pPr>
      <w:r>
        <w:rPr>
          <w:b/>
        </w:rPr>
        <w:tab/>
      </w:r>
      <w:r>
        <w:rPr>
          <w:rStyle w:val="CharDefText"/>
        </w:rPr>
        <w:t>approved directions</w:t>
      </w:r>
      <w:r>
        <w:t xml:space="preserve"> means directions approved in accordance with regulation 55AA(3);</w:t>
      </w:r>
    </w:p>
    <w:p>
      <w:pPr>
        <w:pStyle w:val="Defstart"/>
        <w:keepNext/>
      </w:pPr>
      <w:r>
        <w:rPr>
          <w:b/>
        </w:rPr>
        <w:tab/>
      </w:r>
      <w:r>
        <w:rPr>
          <w:rStyle w:val="CharDefText"/>
        </w:rPr>
        <w:t>automatic location communicator</w:t>
      </w:r>
      <w:r>
        <w:t xml:space="preserve"> or </w:t>
      </w:r>
      <w:r>
        <w:rPr>
          <w:rStyle w:val="CharDefText"/>
        </w:rPr>
        <w:t>ALC</w:t>
      </w:r>
      <w:r>
        <w:t xml:space="preserve"> means —</w:t>
      </w:r>
    </w:p>
    <w:p>
      <w:pPr>
        <w:pStyle w:val="Defpara"/>
      </w:pPr>
      <w:r>
        <w:tab/>
        <w:t>(a)</w:t>
      </w:r>
      <w:r>
        <w:tab/>
        <w:t>an automatic device for tracking the location of a boat and transmitting accurate information as to the geographical position, course and speed of the boat; and</w:t>
      </w:r>
    </w:p>
    <w:p>
      <w:pPr>
        <w:pStyle w:val="Defpara"/>
      </w:pPr>
      <w:r>
        <w:tab/>
        <w:t>(b)</w:t>
      </w:r>
      <w:r>
        <w:tab/>
        <w:t>a computer (including software) that is capable of facilitating the operation of that device;</w:t>
      </w:r>
    </w:p>
    <w:p>
      <w:pPr>
        <w:pStyle w:val="Defstart"/>
      </w:pPr>
      <w:r>
        <w:rPr>
          <w:b/>
        </w:rPr>
        <w:tab/>
      </w:r>
      <w:r>
        <w:rPr>
          <w:rStyle w:val="CharDefText"/>
        </w:rPr>
        <w:t>licence holder</w:t>
      </w:r>
      <w:r>
        <w:t xml:space="preserve"> means the holder of a fishing boat licence.</w:t>
      </w:r>
    </w:p>
    <w:p>
      <w:pPr>
        <w:pStyle w:val="Footnotesection"/>
      </w:pPr>
      <w:r>
        <w:tab/>
        <w:t>[Regulation 55A inserted in Gazette 23 May 2006 p. 1858.]</w:t>
      </w:r>
    </w:p>
    <w:p>
      <w:pPr>
        <w:pStyle w:val="Heading5"/>
      </w:pPr>
      <w:bookmarkStart w:id="1611" w:name="_Toc309309338"/>
      <w:r>
        <w:rPr>
          <w:rStyle w:val="CharSectno"/>
        </w:rPr>
        <w:t>55AA</w:t>
      </w:r>
      <w:r>
        <w:t>.</w:t>
      </w:r>
      <w:r>
        <w:tab/>
        <w:t>ALCs, approval of; directions for use of etc.</w:t>
      </w:r>
      <w:bookmarkEnd w:id="1611"/>
    </w:p>
    <w:p>
      <w:pPr>
        <w:pStyle w:val="Subsection"/>
      </w:pPr>
      <w:r>
        <w:tab/>
        <w:t>(1)</w:t>
      </w:r>
      <w:r>
        <w:tab/>
        <w:t xml:space="preserve">The CEO may by notice published in the </w:t>
      </w:r>
      <w:r>
        <w:rPr>
          <w:i/>
        </w:rPr>
        <w:t xml:space="preserve">Gazette </w:t>
      </w:r>
      <w:r>
        <w:t>approve an automatic location communicator of a particular make, model or type for the purposes of these regulations.</w:t>
      </w:r>
    </w:p>
    <w:p>
      <w:pPr>
        <w:pStyle w:val="Subsection"/>
      </w:pPr>
      <w:r>
        <w:tab/>
        <w:t>(2)</w:t>
      </w:r>
      <w:r>
        <w:tab/>
        <w:t>An automatic location communicator may be approved generally or in respect of a particular fishery specified in the notice.</w:t>
      </w:r>
    </w:p>
    <w:p>
      <w:pPr>
        <w:pStyle w:val="Subsection"/>
      </w:pPr>
      <w:r>
        <w:tab/>
        <w:t>(3)</w:t>
      </w:r>
      <w:r>
        <w:tab/>
        <w:t xml:space="preserve">The CEO may by notice published in the </w:t>
      </w:r>
      <w:r>
        <w:rPr>
          <w:i/>
        </w:rPr>
        <w:t>Gazette</w:t>
      </w:r>
      <w:r>
        <w:t xml:space="preserve"> approve directions for the installation, use, servicing and testing of approved automatic location communicators for the purposes of these regulations.</w:t>
      </w:r>
    </w:p>
    <w:p>
      <w:pPr>
        <w:pStyle w:val="Subsection"/>
      </w:pPr>
      <w:r>
        <w:tab/>
        <w:t>(4)</w:t>
      </w:r>
      <w:r>
        <w:tab/>
        <w:t>Directions under subregulation (3) may specify that a particular approved automatic location communicator is to be used in, and in respect of, a particular fishery only.</w:t>
      </w:r>
    </w:p>
    <w:p>
      <w:pPr>
        <w:pStyle w:val="Subsection"/>
      </w:pPr>
      <w:r>
        <w:tab/>
        <w:t>(5)</w:t>
      </w:r>
      <w:r>
        <w:tab/>
        <w:t>The CEO may by notice amend or revoke a notice under subregulation (1) or (3).</w:t>
      </w:r>
    </w:p>
    <w:p>
      <w:pPr>
        <w:pStyle w:val="Footnotesection"/>
      </w:pPr>
      <w:r>
        <w:tab/>
        <w:t>[Regulation 55AA inserted in Gazette 23 May 2006 p. 1858</w:t>
      </w:r>
      <w:r>
        <w:noBreakHyphen/>
        <w:t>9; amended in Gazette 6 Jul 2007 p. 3389; 18 Aug 2009 p. 3237.]</w:t>
      </w:r>
    </w:p>
    <w:p>
      <w:pPr>
        <w:pStyle w:val="Heading5"/>
        <w:rPr>
          <w:snapToGrid w:val="0"/>
        </w:rPr>
      </w:pPr>
      <w:bookmarkStart w:id="1612" w:name="_Toc309309339"/>
      <w:r>
        <w:rPr>
          <w:rStyle w:val="CharSectno"/>
        </w:rPr>
        <w:t>55B</w:t>
      </w:r>
      <w:r>
        <w:rPr>
          <w:snapToGrid w:val="0"/>
        </w:rPr>
        <w:t>.</w:t>
      </w:r>
      <w:r>
        <w:rPr>
          <w:snapToGrid w:val="0"/>
        </w:rPr>
        <w:tab/>
        <w:t>ALC, CEO may direct installation of etc. in fishing boat</w:t>
      </w:r>
      <w:bookmarkEnd w:id="1612"/>
    </w:p>
    <w:p>
      <w:pPr>
        <w:pStyle w:val="Subsection"/>
      </w:pPr>
      <w:r>
        <w:tab/>
        <w:t>(1A)</w:t>
      </w:r>
      <w:r>
        <w:tab/>
        <w:t>In this regulation —</w:t>
      </w:r>
    </w:p>
    <w:p>
      <w:pPr>
        <w:pStyle w:val="Defstart"/>
      </w:pPr>
      <w:r>
        <w:tab/>
      </w:r>
      <w:r>
        <w:rPr>
          <w:rStyle w:val="CharDefText"/>
        </w:rPr>
        <w:t>notice</w:t>
      </w:r>
      <w:r>
        <w:t xml:space="preserve"> means a notice given under subregulation (1) and includes a notice amended under subregulation (3).</w:t>
      </w:r>
    </w:p>
    <w:p>
      <w:pPr>
        <w:pStyle w:val="Subsection"/>
        <w:keepNext/>
        <w:keepLines/>
        <w:rPr>
          <w:snapToGrid w:val="0"/>
        </w:rPr>
      </w:pPr>
      <w:r>
        <w:rPr>
          <w:snapToGrid w:val="0"/>
        </w:rPr>
        <w:tab/>
        <w:t>(1)</w:t>
      </w:r>
      <w:r>
        <w:rPr>
          <w:snapToGrid w:val="0"/>
        </w:rPr>
        <w:tab/>
        <w:t xml:space="preserve">The CEO may, by notice in writing given to a licence holder, require the </w:t>
      </w:r>
      <w:r>
        <w:t>licence</w:t>
      </w:r>
      <w:r>
        <w:rPr>
          <w:snapToGrid w:val="0"/>
        </w:rPr>
        <w:t xml:space="preserve"> holder —</w:t>
      </w:r>
    </w:p>
    <w:p>
      <w:pPr>
        <w:pStyle w:val="Indenta"/>
        <w:spacing w:before="60"/>
      </w:pPr>
      <w:r>
        <w:tab/>
        <w:t>(a)</w:t>
      </w:r>
      <w:r>
        <w:tab/>
        <w:t>to have installed in the fishing boat in respect of which the licence is held, in accordance with the approved directions, an approved automatic location communicator; and</w:t>
      </w:r>
    </w:p>
    <w:p>
      <w:pPr>
        <w:pStyle w:val="Indenta"/>
        <w:spacing w:before="60"/>
      </w:pPr>
      <w:r>
        <w:tab/>
        <w:t>(b)</w:t>
      </w:r>
      <w:r>
        <w:tab/>
        <w:t>to ensure that that automatic location communicator is used, serviced and tested in accordance with the approved directions.</w:t>
      </w:r>
    </w:p>
    <w:p>
      <w:pPr>
        <w:pStyle w:val="Subsection"/>
        <w:rPr>
          <w:snapToGrid w:val="0"/>
        </w:rPr>
      </w:pPr>
      <w:r>
        <w:rPr>
          <w:snapToGrid w:val="0"/>
        </w:rPr>
        <w:tab/>
        <w:t>(2)</w:t>
      </w:r>
      <w:r>
        <w:rPr>
          <w:snapToGrid w:val="0"/>
        </w:rPr>
        <w:tab/>
        <w:t xml:space="preserve">If notice is </w:t>
      </w:r>
      <w:r>
        <w:t>given</w:t>
      </w:r>
      <w:r>
        <w:rPr>
          <w:snapToGrid w:val="0"/>
        </w:rPr>
        <w:t xml:space="preserve"> to a licence holder it is a </w:t>
      </w:r>
      <w:r>
        <w:t>condition</w:t>
      </w:r>
      <w:r>
        <w:rPr>
          <w:snapToGrid w:val="0"/>
        </w:rPr>
        <w:t xml:space="preserve"> of the fishing boat licence that the licence holder must comply with the notice.</w:t>
      </w:r>
    </w:p>
    <w:p>
      <w:pPr>
        <w:pStyle w:val="Subsection"/>
      </w:pPr>
      <w:r>
        <w:tab/>
        <w:t>(3)</w:t>
      </w:r>
      <w:r>
        <w:tab/>
        <w:t>The CEO may by notice in writing given to the licence holder amend or revoke a notice.</w:t>
      </w:r>
    </w:p>
    <w:p>
      <w:pPr>
        <w:pStyle w:val="Footnotesection"/>
        <w:keepLines w:val="0"/>
        <w:spacing w:before="60"/>
        <w:ind w:left="890" w:hanging="890"/>
      </w:pPr>
      <w:r>
        <w:tab/>
        <w:t>[Regulation 55B inserted in Gazette 2 Jan 1998 p. 26; amended in Gazette 23 May 2006 p. 1859; 6 Jul 2007 p. 3389; 18 Aug 2009 p. 3237</w:t>
      </w:r>
      <w:r>
        <w:noBreakHyphen/>
        <w:t>8.]</w:t>
      </w:r>
    </w:p>
    <w:p>
      <w:pPr>
        <w:pStyle w:val="Heading5"/>
        <w:rPr>
          <w:snapToGrid w:val="0"/>
        </w:rPr>
      </w:pPr>
      <w:bookmarkStart w:id="1613" w:name="_Toc309309340"/>
      <w:r>
        <w:rPr>
          <w:rStyle w:val="CharSectno"/>
        </w:rPr>
        <w:t>55C</w:t>
      </w:r>
      <w:r>
        <w:rPr>
          <w:snapToGrid w:val="0"/>
        </w:rPr>
        <w:t>.</w:t>
      </w:r>
      <w:r>
        <w:rPr>
          <w:snapToGrid w:val="0"/>
        </w:rPr>
        <w:tab/>
        <w:t>Master of fishing boat, duties of as to ALC</w:t>
      </w:r>
      <w:bookmarkEnd w:id="1613"/>
    </w:p>
    <w:p>
      <w:pPr>
        <w:pStyle w:val="Subsection"/>
        <w:rPr>
          <w:snapToGrid w:val="0"/>
        </w:rPr>
      </w:pPr>
      <w:r>
        <w:rPr>
          <w:snapToGrid w:val="0"/>
        </w:rPr>
        <w:tab/>
        <w:t>(1)</w:t>
      </w:r>
      <w:r>
        <w:rPr>
          <w:snapToGrid w:val="0"/>
        </w:rPr>
        <w:tab/>
        <w:t>In this regulation —</w:t>
      </w:r>
    </w:p>
    <w:p>
      <w:pPr>
        <w:pStyle w:val="Defstart"/>
      </w:pPr>
      <w:r>
        <w:rPr>
          <w:b/>
        </w:rPr>
        <w:tab/>
      </w:r>
      <w:r>
        <w:rPr>
          <w:rStyle w:val="CharDefText"/>
        </w:rPr>
        <w:t>ALC fishing boat</w:t>
      </w:r>
      <w:r>
        <w:t xml:space="preserve"> means a fishing boat in which an approved automatic location communicator has been installed in accordance with the approved directions.</w:t>
      </w:r>
    </w:p>
    <w:p>
      <w:pPr>
        <w:pStyle w:val="Subsection"/>
        <w:spacing w:before="120"/>
      </w:pPr>
      <w:r>
        <w:tab/>
        <w:t>(2)</w:t>
      </w:r>
      <w:r>
        <w:tab/>
        <w:t xml:space="preserve">The master of an ALC fishing boat must ensure that the approved automatic </w:t>
      </w:r>
      <w:r>
        <w:rPr>
          <w:snapToGrid w:val="0"/>
        </w:rPr>
        <w:t>location</w:t>
      </w:r>
      <w:r>
        <w:t xml:space="preserve"> communicator on the boat is operating effectively at all times.</w:t>
      </w:r>
    </w:p>
    <w:p>
      <w:pPr>
        <w:pStyle w:val="Penstart"/>
      </w:pPr>
      <w:r>
        <w:tab/>
        <w:t>Penalty: $10 000.</w:t>
      </w:r>
    </w:p>
    <w:p>
      <w:pPr>
        <w:pStyle w:val="Subsection"/>
        <w:spacing w:before="120"/>
      </w:pPr>
      <w:r>
        <w:tab/>
        <w:t>(3)</w:t>
      </w:r>
      <w:r>
        <w:tab/>
        <w:t>If the master of an ALC fishing boat is informed by the CEO that the ALC on the boat is not operating effectively the master must ensure that —</w:t>
      </w:r>
    </w:p>
    <w:p>
      <w:pPr>
        <w:pStyle w:val="Indenta"/>
      </w:pPr>
      <w:r>
        <w:tab/>
        <w:t>(a)</w:t>
      </w:r>
      <w:r>
        <w:tab/>
        <w:t>all fishing undertaken from the fishing boat stops immediately and all fishing gear on the boat is stowed until the CEO authorises fishing to continue; and</w:t>
      </w:r>
    </w:p>
    <w:p>
      <w:pPr>
        <w:pStyle w:val="Indenta"/>
      </w:pPr>
      <w:r>
        <w:tab/>
        <w:t>(b)</w:t>
      </w:r>
      <w:r>
        <w:tab/>
        <w:t>any directions given by the CEO (such as a direction that the fishing boat go to a port specified by the CEO) are complied with.</w:t>
      </w:r>
    </w:p>
    <w:p>
      <w:pPr>
        <w:pStyle w:val="Penstart"/>
      </w:pPr>
      <w:r>
        <w:tab/>
        <w:t>Penalty: $10 000.</w:t>
      </w:r>
    </w:p>
    <w:p>
      <w:pPr>
        <w:pStyle w:val="Subsection"/>
        <w:rPr>
          <w:snapToGrid w:val="0"/>
        </w:rPr>
      </w:pPr>
      <w:r>
        <w:rPr>
          <w:snapToGrid w:val="0"/>
        </w:rPr>
        <w:tab/>
        <w:t>(4)</w:t>
      </w:r>
      <w:r>
        <w:rPr>
          <w:snapToGrid w:val="0"/>
        </w:rPr>
        <w:tab/>
        <w:t>The master of an ALC fishing boat must ensure —</w:t>
      </w:r>
    </w:p>
    <w:p>
      <w:pPr>
        <w:pStyle w:val="Indenta"/>
        <w:spacing w:before="100"/>
        <w:rPr>
          <w:snapToGrid w:val="0"/>
        </w:rPr>
      </w:pPr>
      <w:r>
        <w:rPr>
          <w:snapToGrid w:val="0"/>
        </w:rPr>
        <w:tab/>
        <w:t>(a)</w:t>
      </w:r>
      <w:r>
        <w:rPr>
          <w:snapToGrid w:val="0"/>
        </w:rPr>
        <w:tab/>
        <w:t>that there is on board the fishing boat a means of communication that is capable of providing communication between the master of the fishing boat and the CEO at all times; and</w:t>
      </w:r>
    </w:p>
    <w:p>
      <w:pPr>
        <w:pStyle w:val="Indenta"/>
        <w:rPr>
          <w:snapToGrid w:val="0"/>
        </w:rPr>
      </w:pPr>
      <w:r>
        <w:rPr>
          <w:snapToGrid w:val="0"/>
        </w:rPr>
        <w:tab/>
        <w:t>(b)</w:t>
      </w:r>
      <w:r>
        <w:rPr>
          <w:snapToGrid w:val="0"/>
        </w:rPr>
        <w:tab/>
        <w:t>that the CEO is notified of the appropriate form of identification (such as a radio call sign) that enables the master of the fishing boat to be contacted by that means of communication.</w:t>
      </w:r>
    </w:p>
    <w:p>
      <w:pPr>
        <w:pStyle w:val="Penstart"/>
        <w:rPr>
          <w:snapToGrid w:val="0"/>
        </w:rPr>
      </w:pPr>
      <w:r>
        <w:rPr>
          <w:snapToGrid w:val="0"/>
        </w:rPr>
        <w:tab/>
        <w:t>Penalty: $10 000.</w:t>
      </w:r>
    </w:p>
    <w:p>
      <w:pPr>
        <w:pStyle w:val="Footnotesection"/>
        <w:keepLines w:val="0"/>
      </w:pPr>
      <w:r>
        <w:tab/>
        <w:t>[Regulation 55C inserted in Gazette 2 Jan 1998 p. 26</w:t>
      </w:r>
      <w:r>
        <w:noBreakHyphen/>
        <w:t>7; amended in Gazette 23 May 2006 p. 1859</w:t>
      </w:r>
      <w:r>
        <w:noBreakHyphen/>
        <w:t>60; 6 Jul 2007 p. 3389.]</w:t>
      </w:r>
    </w:p>
    <w:p>
      <w:pPr>
        <w:pStyle w:val="Heading5"/>
        <w:rPr>
          <w:snapToGrid w:val="0"/>
        </w:rPr>
      </w:pPr>
      <w:bookmarkStart w:id="1614" w:name="_Toc309309341"/>
      <w:r>
        <w:rPr>
          <w:rStyle w:val="CharSectno"/>
        </w:rPr>
        <w:t>55D</w:t>
      </w:r>
      <w:r>
        <w:rPr>
          <w:snapToGrid w:val="0"/>
        </w:rPr>
        <w:t>.</w:t>
      </w:r>
      <w:r>
        <w:rPr>
          <w:snapToGrid w:val="0"/>
        </w:rPr>
        <w:tab/>
        <w:t>Interfering etc. with ALC or approved seal</w:t>
      </w:r>
      <w:bookmarkEnd w:id="1614"/>
    </w:p>
    <w:p>
      <w:pPr>
        <w:pStyle w:val="Subsection"/>
        <w:keepNext/>
        <w:rPr>
          <w:snapToGrid w:val="0"/>
        </w:rPr>
      </w:pPr>
      <w:r>
        <w:rPr>
          <w:snapToGrid w:val="0"/>
        </w:rPr>
        <w:tab/>
        <w:t>(1)</w:t>
      </w:r>
      <w:r>
        <w:rPr>
          <w:snapToGrid w:val="0"/>
        </w:rPr>
        <w:tab/>
        <w:t>Subject to subregulation (2), a person must not wilfully interfere with, damage, destroy or remove —</w:t>
      </w:r>
    </w:p>
    <w:p>
      <w:pPr>
        <w:pStyle w:val="Indenta"/>
      </w:pPr>
      <w:r>
        <w:tab/>
        <w:t>(a)</w:t>
      </w:r>
      <w:r>
        <w:tab/>
        <w:t>an approved automatic location communicator installed on a fishing boat in accordance with the approved directions; or</w:t>
      </w:r>
    </w:p>
    <w:p>
      <w:pPr>
        <w:pStyle w:val="Indenta"/>
        <w:rPr>
          <w:snapToGrid w:val="0"/>
        </w:rPr>
      </w:pPr>
      <w:r>
        <w:rPr>
          <w:snapToGrid w:val="0"/>
        </w:rPr>
        <w:tab/>
        <w:t>(b)</w:t>
      </w:r>
      <w:r>
        <w:rPr>
          <w:snapToGrid w:val="0"/>
        </w:rPr>
        <w:tab/>
        <w:t xml:space="preserve">a seal of the Department that has been attached in an approved manner to </w:t>
      </w:r>
      <w:r>
        <w:t>an approved automatic</w:t>
      </w:r>
      <w:r>
        <w:rPr>
          <w:snapToGrid w:val="0"/>
        </w:rPr>
        <w:t xml:space="preserve"> location communicator.</w:t>
      </w:r>
    </w:p>
    <w:p>
      <w:pPr>
        <w:pStyle w:val="Penstart"/>
        <w:rPr>
          <w:snapToGrid w:val="0"/>
        </w:rPr>
      </w:pPr>
      <w:r>
        <w:rPr>
          <w:snapToGrid w:val="0"/>
        </w:rPr>
        <w:tab/>
        <w:t>Penalty: $10 000.</w:t>
      </w:r>
    </w:p>
    <w:p>
      <w:pPr>
        <w:pStyle w:val="Subsection"/>
        <w:keepNext/>
      </w:pPr>
      <w:r>
        <w:tab/>
        <w:t>(2)</w:t>
      </w:r>
      <w:r>
        <w:tab/>
        <w:t>Subregulation (1) does not apply to or in respect of a person installing, using or testing an approved automatic location communicator in accordance with the approved directions.</w:t>
      </w:r>
    </w:p>
    <w:p>
      <w:pPr>
        <w:pStyle w:val="Footnotesection"/>
      </w:pPr>
      <w:r>
        <w:tab/>
        <w:t>[Regulation 55D inserted in Gazette 2 Jan 1998 p. 27; amended in Gazette 23 May 2006 p. 1860.]</w:t>
      </w:r>
    </w:p>
    <w:p>
      <w:pPr>
        <w:pStyle w:val="Heading3"/>
      </w:pPr>
      <w:bookmarkStart w:id="1615" w:name="_Toc309029842"/>
      <w:bookmarkStart w:id="1616" w:name="_Toc309304065"/>
      <w:bookmarkStart w:id="1617" w:name="_Toc309304518"/>
      <w:bookmarkStart w:id="1618" w:name="_Toc309309342"/>
      <w:r>
        <w:rPr>
          <w:rStyle w:val="CharDivNo"/>
        </w:rPr>
        <w:t>Division 7B</w:t>
      </w:r>
      <w:r>
        <w:t> — </w:t>
      </w:r>
      <w:r>
        <w:rPr>
          <w:rStyle w:val="CharDivText"/>
        </w:rPr>
        <w:t>Requirements relating to bait bands</w:t>
      </w:r>
      <w:bookmarkEnd w:id="1615"/>
      <w:bookmarkEnd w:id="1616"/>
      <w:bookmarkEnd w:id="1617"/>
      <w:bookmarkEnd w:id="1618"/>
    </w:p>
    <w:p>
      <w:pPr>
        <w:pStyle w:val="Footnoteheading"/>
      </w:pPr>
      <w:r>
        <w:tab/>
        <w:t>[Heading inserted in Gazette 2 Nov 2011 p. 4622.]</w:t>
      </w:r>
    </w:p>
    <w:p>
      <w:pPr>
        <w:pStyle w:val="Heading5"/>
      </w:pPr>
      <w:bookmarkStart w:id="1619" w:name="_Toc309309343"/>
      <w:r>
        <w:rPr>
          <w:rStyle w:val="CharSectno"/>
        </w:rPr>
        <w:t>55E</w:t>
      </w:r>
      <w:r>
        <w:t>.</w:t>
      </w:r>
      <w:r>
        <w:tab/>
        <w:t>Terms used</w:t>
      </w:r>
      <w:bookmarkEnd w:id="1619"/>
    </w:p>
    <w:p>
      <w:pPr>
        <w:pStyle w:val="Subsection"/>
      </w:pPr>
      <w:r>
        <w:tab/>
      </w:r>
      <w:r>
        <w:tab/>
        <w:t xml:space="preserve">In this Division — </w:t>
      </w:r>
    </w:p>
    <w:p>
      <w:pPr>
        <w:pStyle w:val="Defstart"/>
      </w:pPr>
      <w:r>
        <w:tab/>
      </w:r>
      <w:r>
        <w:rPr>
          <w:rStyle w:val="CharDefText"/>
        </w:rPr>
        <w:t>bait band</w:t>
      </w:r>
      <w:r>
        <w:t xml:space="preserve"> means plastic tape used for the purpose of securing cartons of bulk bait;</w:t>
      </w:r>
    </w:p>
    <w:p>
      <w:pPr>
        <w:pStyle w:val="Defstart"/>
      </w:pPr>
      <w:r>
        <w:tab/>
      </w:r>
      <w:r>
        <w:rPr>
          <w:rStyle w:val="CharDefText"/>
        </w:rPr>
        <w:t>WCRL Managed Fishery</w:t>
      </w:r>
      <w:r>
        <w:t xml:space="preserve"> means the West Coast Rock Lobster Managed Fishery declared under the </w:t>
      </w:r>
      <w:r>
        <w:rPr>
          <w:i/>
        </w:rPr>
        <w:t>West</w:t>
      </w:r>
      <w:r>
        <w:t xml:space="preserve"> </w:t>
      </w:r>
      <w:r>
        <w:rPr>
          <w:i/>
        </w:rPr>
        <w:t>Coast Rock Lobster Management Plan 1993</w:t>
      </w:r>
      <w:r>
        <w:t>.</w:t>
      </w:r>
    </w:p>
    <w:p>
      <w:pPr>
        <w:pStyle w:val="Footnotesection"/>
      </w:pPr>
      <w:r>
        <w:tab/>
        <w:t>[Regulation 55E inserted in Gazette 2 Nov 2011 p. 4622.]</w:t>
      </w:r>
    </w:p>
    <w:p>
      <w:pPr>
        <w:pStyle w:val="Heading5"/>
      </w:pPr>
      <w:bookmarkStart w:id="1620" w:name="_Toc309309344"/>
      <w:r>
        <w:rPr>
          <w:rStyle w:val="CharSectno"/>
        </w:rPr>
        <w:t>55F</w:t>
      </w:r>
      <w:r>
        <w:t>.</w:t>
      </w:r>
      <w:r>
        <w:tab/>
        <w:t>Bait bands on boats prohibited</w:t>
      </w:r>
      <w:bookmarkEnd w:id="1620"/>
    </w:p>
    <w:p>
      <w:pPr>
        <w:pStyle w:val="Subsection"/>
      </w:pPr>
      <w:r>
        <w:tab/>
        <w:t>(1)</w:t>
      </w:r>
      <w:r>
        <w:tab/>
        <w:t>Subject to subregulations (2), (3) and (4), the master of a boat being used for or in connection with fishing must not cause or permit any bait bands to be on board the boat.</w:t>
      </w:r>
    </w:p>
    <w:p>
      <w:pPr>
        <w:pStyle w:val="Penstart"/>
      </w:pPr>
      <w:r>
        <w:tab/>
        <w:t>Penalty: a fine of $2 000.</w:t>
      </w:r>
    </w:p>
    <w:p>
      <w:pPr>
        <w:pStyle w:val="Subsection"/>
      </w:pPr>
      <w:r>
        <w:tab/>
        <w:t>(2)</w:t>
      </w:r>
      <w:r>
        <w:tab/>
        <w:t>Subregulation (1) does not apply in relation to a licensed carrier boat being used in the WCRL Managed Fishery to transport fish taken with the use of another boat.</w:t>
      </w:r>
    </w:p>
    <w:p>
      <w:pPr>
        <w:pStyle w:val="Subsection"/>
      </w:pPr>
      <w:r>
        <w:tab/>
        <w:t>(3)</w:t>
      </w:r>
      <w:r>
        <w:tab/>
        <w:t xml:space="preserve">Subregulation (1) does not apply in relation to a boat that is authorised to be used for or in connection with the taking of rock lobster in the WCRL Managed Fishery if that boat — </w:t>
      </w:r>
    </w:p>
    <w:p>
      <w:pPr>
        <w:pStyle w:val="Indenta"/>
      </w:pPr>
      <w:r>
        <w:tab/>
        <w:t>(a)</w:t>
      </w:r>
      <w:r>
        <w:tab/>
        <w:t xml:space="preserve">is being used in that fishery to transport bait from a licensed carrier boat to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or</w:t>
      </w:r>
    </w:p>
    <w:p>
      <w:pPr>
        <w:pStyle w:val="Indenta"/>
      </w:pPr>
      <w:r>
        <w:tab/>
        <w:t>(b)</w:t>
      </w:r>
      <w:r>
        <w:tab/>
        <w:t xml:space="preserve">is a licensed fishing boat that is moored or anchored in that fishery not more than 800 m from the high water mark on the mainland or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w:t>
      </w:r>
    </w:p>
    <w:p>
      <w:pPr>
        <w:pStyle w:val="Subsection"/>
      </w:pPr>
      <w:r>
        <w:tab/>
        <w:t>(4)</w:t>
      </w:r>
      <w:r>
        <w:tab/>
        <w:t xml:space="preserve">Subregulation (1) does not apply in relation to a boat being used in the WCRL Managed Fishery to transport — </w:t>
      </w:r>
    </w:p>
    <w:p>
      <w:pPr>
        <w:pStyle w:val="Indenta"/>
      </w:pPr>
      <w:r>
        <w:tab/>
        <w:t>(a)</w:t>
      </w:r>
      <w:r>
        <w:tab/>
        <w:t>bait to or from a boat referred to in subregulation (3)(b); or</w:t>
      </w:r>
    </w:p>
    <w:p>
      <w:pPr>
        <w:pStyle w:val="Indenta"/>
      </w:pPr>
      <w:r>
        <w:tab/>
        <w:t>(b)</w:t>
      </w:r>
      <w:r>
        <w:tab/>
        <w:t>bait bands from a boat referred to in subregulation (3)(b).</w:t>
      </w:r>
    </w:p>
    <w:p>
      <w:pPr>
        <w:pStyle w:val="Footnotesection"/>
      </w:pPr>
      <w:r>
        <w:tab/>
        <w:t>[Regulation 55F inserted in Gazette 2 Nov 2011 p. 4623.]</w:t>
      </w:r>
    </w:p>
    <w:p>
      <w:pPr>
        <w:pStyle w:val="Ednotedivision"/>
      </w:pPr>
      <w:r>
        <w:t>[</w:t>
      </w:r>
      <w:r>
        <w:rPr>
          <w:b/>
        </w:rPr>
        <w:t>55G</w:t>
      </w:r>
      <w:r>
        <w:rPr>
          <w:b/>
        </w:rPr>
        <w:noBreakHyphen/>
        <w:t>55L.</w:t>
      </w:r>
      <w:r>
        <w:rPr>
          <w:b/>
        </w:rPr>
        <w:tab/>
      </w:r>
      <w:r>
        <w:t>Deleted in Gazette 1 Oct 2003 p. 4303.]</w:t>
      </w:r>
    </w:p>
    <w:p>
      <w:pPr>
        <w:pStyle w:val="Heading3"/>
        <w:spacing w:before="220"/>
      </w:pPr>
      <w:bookmarkStart w:id="1621" w:name="_Toc189987914"/>
      <w:bookmarkStart w:id="1622" w:name="_Toc192041497"/>
      <w:bookmarkStart w:id="1623" w:name="_Toc199570731"/>
      <w:bookmarkStart w:id="1624" w:name="_Toc199738727"/>
      <w:bookmarkStart w:id="1625" w:name="_Toc199814828"/>
      <w:bookmarkStart w:id="1626" w:name="_Toc215040635"/>
      <w:bookmarkStart w:id="1627" w:name="_Toc215041080"/>
      <w:bookmarkStart w:id="1628" w:name="_Toc222129290"/>
      <w:bookmarkStart w:id="1629" w:name="_Toc222222995"/>
      <w:bookmarkStart w:id="1630" w:name="_Toc225914247"/>
      <w:bookmarkStart w:id="1631" w:name="_Toc231282292"/>
      <w:bookmarkStart w:id="1632" w:name="_Toc231282736"/>
      <w:bookmarkStart w:id="1633" w:name="_Toc234899323"/>
      <w:bookmarkStart w:id="1634" w:name="_Toc236632605"/>
      <w:bookmarkStart w:id="1635" w:name="_Toc236720218"/>
      <w:bookmarkStart w:id="1636" w:name="_Toc237764417"/>
      <w:bookmarkStart w:id="1637" w:name="_Toc238356041"/>
      <w:bookmarkStart w:id="1638" w:name="_Toc238368746"/>
      <w:bookmarkStart w:id="1639" w:name="_Toc238375699"/>
      <w:bookmarkStart w:id="1640" w:name="_Toc240339023"/>
      <w:bookmarkStart w:id="1641" w:name="_Toc241993529"/>
      <w:bookmarkStart w:id="1642" w:name="_Toc243192672"/>
      <w:bookmarkStart w:id="1643" w:name="_Toc243295374"/>
      <w:bookmarkStart w:id="1644" w:name="_Toc245112947"/>
      <w:bookmarkStart w:id="1645" w:name="_Toc245198109"/>
      <w:bookmarkStart w:id="1646" w:name="_Toc245198558"/>
      <w:bookmarkStart w:id="1647" w:name="_Toc245199007"/>
      <w:bookmarkStart w:id="1648" w:name="_Toc248122037"/>
      <w:bookmarkStart w:id="1649" w:name="_Toc248122488"/>
      <w:bookmarkStart w:id="1650" w:name="_Toc253670475"/>
      <w:bookmarkStart w:id="1651" w:name="_Toc253670925"/>
      <w:bookmarkStart w:id="1652" w:name="_Toc254942695"/>
      <w:bookmarkStart w:id="1653" w:name="_Toc254943148"/>
      <w:bookmarkStart w:id="1654" w:name="_Toc255475740"/>
      <w:bookmarkStart w:id="1655" w:name="_Toc256432061"/>
      <w:bookmarkStart w:id="1656" w:name="_Toc257720398"/>
      <w:bookmarkStart w:id="1657" w:name="_Toc257722080"/>
      <w:bookmarkStart w:id="1658" w:name="_Toc258335756"/>
      <w:bookmarkStart w:id="1659" w:name="_Toc260406198"/>
      <w:bookmarkStart w:id="1660" w:name="_Toc261271384"/>
      <w:bookmarkStart w:id="1661" w:name="_Toc262808066"/>
      <w:bookmarkStart w:id="1662" w:name="_Toc267572459"/>
      <w:bookmarkStart w:id="1663" w:name="_Toc270684208"/>
      <w:bookmarkStart w:id="1664" w:name="_Toc274214385"/>
      <w:bookmarkStart w:id="1665" w:name="_Toc274214834"/>
      <w:bookmarkStart w:id="1666" w:name="_Toc278976165"/>
      <w:bookmarkStart w:id="1667" w:name="_Toc286760488"/>
      <w:bookmarkStart w:id="1668" w:name="_Toc289080833"/>
      <w:bookmarkStart w:id="1669" w:name="_Toc290284027"/>
      <w:bookmarkStart w:id="1670" w:name="_Toc290642848"/>
      <w:bookmarkStart w:id="1671" w:name="_Toc290643297"/>
      <w:bookmarkStart w:id="1672" w:name="_Toc290643750"/>
      <w:bookmarkStart w:id="1673" w:name="_Toc294701567"/>
      <w:bookmarkStart w:id="1674" w:name="_Toc295199975"/>
      <w:bookmarkStart w:id="1675" w:name="_Toc296954416"/>
      <w:bookmarkStart w:id="1676" w:name="_Toc297276048"/>
      <w:bookmarkStart w:id="1677" w:name="_Toc297276500"/>
      <w:bookmarkStart w:id="1678" w:name="_Toc297276950"/>
      <w:bookmarkStart w:id="1679" w:name="_Toc297726319"/>
      <w:bookmarkStart w:id="1680" w:name="_Toc299980105"/>
      <w:bookmarkStart w:id="1681" w:name="_Toc300234731"/>
      <w:bookmarkStart w:id="1682" w:name="_Toc301961234"/>
      <w:bookmarkStart w:id="1683" w:name="_Toc301966804"/>
      <w:bookmarkStart w:id="1684" w:name="_Toc303253013"/>
      <w:bookmarkStart w:id="1685" w:name="_Toc303257177"/>
      <w:bookmarkStart w:id="1686" w:name="_Toc307992812"/>
      <w:bookmarkStart w:id="1687" w:name="_Toc309029845"/>
      <w:bookmarkStart w:id="1688" w:name="_Toc309304068"/>
      <w:bookmarkStart w:id="1689" w:name="_Toc309304521"/>
      <w:bookmarkStart w:id="1690" w:name="_Toc309309345"/>
      <w:r>
        <w:rPr>
          <w:rStyle w:val="CharDivNo"/>
        </w:rPr>
        <w:t>Division 8</w:t>
      </w:r>
      <w:r>
        <w:rPr>
          <w:snapToGrid w:val="0"/>
        </w:rPr>
        <w:t> — </w:t>
      </w:r>
      <w:r>
        <w:rPr>
          <w:rStyle w:val="CharDivText"/>
        </w:rPr>
        <w:t>Miscellaneous requirements</w:t>
      </w:r>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p>
    <w:p>
      <w:pPr>
        <w:pStyle w:val="Heading5"/>
        <w:spacing w:before="180"/>
        <w:rPr>
          <w:snapToGrid w:val="0"/>
        </w:rPr>
      </w:pPr>
      <w:bookmarkStart w:id="1691" w:name="_Toc309309346"/>
      <w:r>
        <w:rPr>
          <w:rStyle w:val="CharSectno"/>
        </w:rPr>
        <w:t>56</w:t>
      </w:r>
      <w:r>
        <w:rPr>
          <w:snapToGrid w:val="0"/>
        </w:rPr>
        <w:t>.</w:t>
      </w:r>
      <w:r>
        <w:rPr>
          <w:snapToGrid w:val="0"/>
        </w:rPr>
        <w:tab/>
        <w:t>Documents to be carried on licensed fishing boat</w:t>
      </w:r>
      <w:bookmarkEnd w:id="1691"/>
    </w:p>
    <w:p>
      <w:pPr>
        <w:pStyle w:val="Subsection"/>
        <w:rPr>
          <w:snapToGrid w:val="0"/>
        </w:rPr>
      </w:pPr>
      <w:r>
        <w:rPr>
          <w:snapToGrid w:val="0"/>
        </w:rPr>
        <w:tab/>
        <w:t>(1)</w:t>
      </w:r>
      <w:r>
        <w:rPr>
          <w:snapToGrid w:val="0"/>
        </w:rPr>
        <w:tab/>
        <w:t>The master of a licensed fishing boat must cause to be kept on board the boat the following documents, or legible copies of those documents —</w:t>
      </w:r>
    </w:p>
    <w:p>
      <w:pPr>
        <w:pStyle w:val="Indenta"/>
        <w:rPr>
          <w:snapToGrid w:val="0"/>
        </w:rPr>
      </w:pPr>
      <w:r>
        <w:rPr>
          <w:snapToGrid w:val="0"/>
        </w:rPr>
        <w:tab/>
        <w:t>(a)</w:t>
      </w:r>
      <w:r>
        <w:rPr>
          <w:snapToGrid w:val="0"/>
        </w:rPr>
        <w:tab/>
        <w:t>the fishing boat licence; and</w:t>
      </w:r>
    </w:p>
    <w:p>
      <w:pPr>
        <w:pStyle w:val="Indenta"/>
        <w:rPr>
          <w:snapToGrid w:val="0"/>
        </w:rPr>
      </w:pPr>
      <w:r>
        <w:rPr>
          <w:snapToGrid w:val="0"/>
        </w:rPr>
        <w:tab/>
        <w:t>(b)</w:t>
      </w:r>
      <w:r>
        <w:rPr>
          <w:snapToGrid w:val="0"/>
        </w:rPr>
        <w:tab/>
        <w:t>the commercial fishing licence of each member of the crew required to hold that licence; and</w:t>
      </w:r>
    </w:p>
    <w:p>
      <w:pPr>
        <w:pStyle w:val="Indenta"/>
        <w:rPr>
          <w:snapToGrid w:val="0"/>
        </w:rPr>
      </w:pPr>
      <w:r>
        <w:rPr>
          <w:snapToGrid w:val="0"/>
        </w:rPr>
        <w:tab/>
        <w:t>(c)</w:t>
      </w:r>
      <w:r>
        <w:rPr>
          <w:snapToGrid w:val="0"/>
        </w:rPr>
        <w:tab/>
        <w:t>any other authorisation relating to the boat or crew required to be held under the Act.</w:t>
      </w:r>
    </w:p>
    <w:p>
      <w:pPr>
        <w:pStyle w:val="Penstart"/>
        <w:rPr>
          <w:snapToGrid w:val="0"/>
        </w:rPr>
      </w:pPr>
      <w:r>
        <w:rPr>
          <w:snapToGrid w:val="0"/>
        </w:rPr>
        <w:tab/>
        <w:t>Penalty: $1 000.</w:t>
      </w:r>
    </w:p>
    <w:p>
      <w:pPr>
        <w:pStyle w:val="Subsection"/>
        <w:rPr>
          <w:snapToGrid w:val="0"/>
        </w:rPr>
      </w:pPr>
      <w:r>
        <w:rPr>
          <w:snapToGrid w:val="0"/>
        </w:rPr>
        <w:tab/>
        <w:t>(2)</w:t>
      </w:r>
      <w:r>
        <w:rPr>
          <w:snapToGrid w:val="0"/>
        </w:rPr>
        <w:tab/>
        <w:t>Where the CEO considers that it would be impractical to require a person to comply with subregulation (1), the CEO may exempt that person in relation to a boat or class of boats from that subregulation.</w:t>
      </w:r>
    </w:p>
    <w:p>
      <w:pPr>
        <w:pStyle w:val="Footnotesection"/>
      </w:pPr>
      <w:r>
        <w:tab/>
        <w:t>[Regulation 56 amended in Gazette 6 Jul 2007 p. 3389.]</w:t>
      </w:r>
    </w:p>
    <w:p>
      <w:pPr>
        <w:pStyle w:val="Heading5"/>
      </w:pPr>
      <w:bookmarkStart w:id="1692" w:name="_Toc309309347"/>
      <w:r>
        <w:rPr>
          <w:rStyle w:val="CharSectno"/>
        </w:rPr>
        <w:t>56A</w:t>
      </w:r>
      <w:r>
        <w:t>.</w:t>
      </w:r>
      <w:r>
        <w:tab/>
        <w:t>Fish hooks attached to rock lobster pots, float lines, moorings etc. not to be used to fish</w:t>
      </w:r>
      <w:bookmarkEnd w:id="1692"/>
    </w:p>
    <w:p>
      <w:pPr>
        <w:pStyle w:val="Subsection"/>
        <w:keepNext/>
        <w:spacing w:before="120"/>
      </w:pPr>
      <w:r>
        <w:tab/>
      </w:r>
      <w:r>
        <w:tab/>
        <w:t>A person must not fish using a fish hook attached to —</w:t>
      </w:r>
    </w:p>
    <w:p>
      <w:pPr>
        <w:pStyle w:val="Indenta"/>
      </w:pPr>
      <w:r>
        <w:tab/>
        <w:t>(a)</w:t>
      </w:r>
      <w:r>
        <w:tab/>
        <w:t>a rock lobster pot; or</w:t>
      </w:r>
    </w:p>
    <w:p>
      <w:pPr>
        <w:pStyle w:val="Indenta"/>
      </w:pPr>
      <w:r>
        <w:tab/>
        <w:t>(b)</w:t>
      </w:r>
      <w:r>
        <w:tab/>
        <w:t>a float or float line attached to a rock lobster pot; or</w:t>
      </w:r>
    </w:p>
    <w:p>
      <w:pPr>
        <w:pStyle w:val="Indenta"/>
      </w:pPr>
      <w:r>
        <w:tab/>
        <w:t>(c)</w:t>
      </w:r>
      <w:r>
        <w:tab/>
        <w:t>a boat mooring or mooring line; or</w:t>
      </w:r>
    </w:p>
    <w:p>
      <w:pPr>
        <w:pStyle w:val="Indenta"/>
      </w:pPr>
      <w:r>
        <w:tab/>
        <w:t>(d)</w:t>
      </w:r>
      <w:r>
        <w:tab/>
        <w:t>a boat anchor or anchor line.</w:t>
      </w:r>
    </w:p>
    <w:p>
      <w:pPr>
        <w:pStyle w:val="Penstart"/>
      </w:pPr>
      <w:r>
        <w:tab/>
        <w:t>Penalty: For a first offence $5 000 or, for a second or subsequent offence, $10 000 and, for any offence, the penalty provided in section 222 of the Act.</w:t>
      </w:r>
    </w:p>
    <w:p>
      <w:pPr>
        <w:pStyle w:val="Footnotesection"/>
      </w:pPr>
      <w:r>
        <w:tab/>
        <w:t>[Regulation 56A inserted in Gazette 29 Nov 2002 p. 5655; amended in Gazette 11 Feb 2003 p. 412.]</w:t>
      </w:r>
    </w:p>
    <w:p>
      <w:pPr>
        <w:pStyle w:val="Heading5"/>
        <w:rPr>
          <w:snapToGrid w:val="0"/>
        </w:rPr>
      </w:pPr>
      <w:bookmarkStart w:id="1693" w:name="_Toc309309348"/>
      <w:r>
        <w:rPr>
          <w:rStyle w:val="CharSectno"/>
        </w:rPr>
        <w:t>57</w:t>
      </w:r>
      <w:r>
        <w:rPr>
          <w:snapToGrid w:val="0"/>
        </w:rPr>
        <w:t>.</w:t>
      </w:r>
      <w:r>
        <w:rPr>
          <w:snapToGrid w:val="0"/>
        </w:rPr>
        <w:tab/>
        <w:t xml:space="preserve">Snapper in </w:t>
      </w:r>
      <w:smartTag w:uri="urn:schemas-microsoft-com:office:smarttags" w:element="place">
        <w:smartTag w:uri="urn:schemas-microsoft-com:office:smarttags" w:element="PlaceName">
          <w:r>
            <w:rPr>
              <w:snapToGrid w:val="0"/>
            </w:rPr>
            <w:t>Shark</w:t>
          </w:r>
        </w:smartTag>
        <w:r>
          <w:rPr>
            <w:snapToGrid w:val="0"/>
          </w:rPr>
          <w:t xml:space="preserve"> </w:t>
        </w:r>
        <w:smartTag w:uri="urn:schemas-microsoft-com:office:smarttags" w:element="PlaceType">
          <w:r>
            <w:rPr>
              <w:snapToGrid w:val="0"/>
            </w:rPr>
            <w:t>Bay</w:t>
          </w:r>
        </w:smartTag>
      </w:smartTag>
      <w:r>
        <w:rPr>
          <w:snapToGrid w:val="0"/>
        </w:rPr>
        <w:t xml:space="preserve"> region, restrictions on fishing for</w:t>
      </w:r>
      <w:bookmarkEnd w:id="1693"/>
    </w:p>
    <w:p>
      <w:pPr>
        <w:pStyle w:val="Subsection"/>
        <w:keepNext/>
        <w:spacing w:before="120"/>
        <w:rPr>
          <w:snapToGrid w:val="0"/>
        </w:rPr>
      </w:pPr>
      <w:r>
        <w:rPr>
          <w:snapToGrid w:val="0"/>
        </w:rPr>
        <w:tab/>
        <w:t>(1)</w:t>
      </w:r>
      <w:r>
        <w:rPr>
          <w:snapToGrid w:val="0"/>
        </w:rPr>
        <w:tab/>
        <w:t xml:space="preserve">A person, other than a person who is the holder of a commercial fishing licence, must not, in the waters between 23° 30′ south latitude and 26° 30′ south latitude or in the waters of Shark Bay south of 26° 30′ south latitude fish for snapper of the genus </w:t>
      </w:r>
      <w:r>
        <w:rPr>
          <w:i/>
          <w:snapToGrid w:val="0"/>
        </w:rPr>
        <w:t xml:space="preserve">Pagrus </w:t>
      </w:r>
      <w:r>
        <w:rPr>
          <w:snapToGrid w:val="0"/>
        </w:rPr>
        <w:t>by means of any fishing gear other than —</w:t>
      </w:r>
    </w:p>
    <w:p>
      <w:pPr>
        <w:pStyle w:val="Indenta"/>
        <w:rPr>
          <w:snapToGrid w:val="0"/>
        </w:rPr>
      </w:pPr>
      <w:r>
        <w:rPr>
          <w:snapToGrid w:val="0"/>
        </w:rPr>
        <w:tab/>
        <w:t>(a)</w:t>
      </w:r>
      <w:r>
        <w:rPr>
          <w:snapToGrid w:val="0"/>
        </w:rPr>
        <w:tab/>
        <w:t>one line to which not more than 3 hooks or gangs of hooks are attached; or</w:t>
      </w:r>
    </w:p>
    <w:p>
      <w:pPr>
        <w:pStyle w:val="Indenta"/>
        <w:rPr>
          <w:snapToGrid w:val="0"/>
        </w:rPr>
      </w:pPr>
      <w:r>
        <w:rPr>
          <w:snapToGrid w:val="0"/>
        </w:rPr>
        <w:tab/>
        <w:t>(b)</w:t>
      </w:r>
      <w:r>
        <w:rPr>
          <w:snapToGrid w:val="0"/>
        </w:rPr>
        <w:tab/>
        <w:t>one pointed instrument.</w:t>
      </w:r>
    </w:p>
    <w:p>
      <w:pPr>
        <w:pStyle w:val="Penstart"/>
      </w:pPr>
      <w:r>
        <w:tab/>
        <w:t>Penalty: $3 000.</w:t>
      </w:r>
    </w:p>
    <w:p>
      <w:pPr>
        <w:pStyle w:val="Ednotesubsection"/>
        <w:spacing w:before="120"/>
      </w:pPr>
      <w:r>
        <w:tab/>
        <w:t>[(2)</w:t>
      </w:r>
      <w:r>
        <w:tab/>
        <w:t>deleted]</w:t>
      </w:r>
    </w:p>
    <w:p>
      <w:pPr>
        <w:pStyle w:val="Footnotesection"/>
      </w:pPr>
      <w:r>
        <w:tab/>
        <w:t>[Regulation 57 amended in Gazette 28 Feb 2003 p. 661; 1 Oct 2003 p. 4303.]</w:t>
      </w:r>
    </w:p>
    <w:p>
      <w:pPr>
        <w:pStyle w:val="Ednotesection"/>
      </w:pPr>
      <w:r>
        <w:t>[</w:t>
      </w:r>
      <w:r>
        <w:rPr>
          <w:b/>
        </w:rPr>
        <w:t>58.</w:t>
      </w:r>
      <w:r>
        <w:tab/>
        <w:t>Deleted in Gazette 1 Oct 2003 p. 4303.]</w:t>
      </w:r>
    </w:p>
    <w:p>
      <w:pPr>
        <w:pStyle w:val="Heading5"/>
        <w:keepLines w:val="0"/>
        <w:rPr>
          <w:snapToGrid w:val="0"/>
        </w:rPr>
      </w:pPr>
      <w:bookmarkStart w:id="1694" w:name="_Toc309309349"/>
      <w:r>
        <w:rPr>
          <w:rStyle w:val="CharSectno"/>
        </w:rPr>
        <w:t>59</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fish by authorised trade names</w:t>
      </w:r>
      <w:bookmarkEnd w:id="1694"/>
    </w:p>
    <w:p>
      <w:pPr>
        <w:pStyle w:val="Subsection"/>
        <w:rPr>
          <w:snapToGrid w:val="0"/>
        </w:rPr>
      </w:pPr>
      <w:r>
        <w:rPr>
          <w:snapToGrid w:val="0"/>
        </w:rPr>
        <w:tab/>
        <w:t>(1)</w:t>
      </w:r>
      <w:r>
        <w:rPr>
          <w:snapToGrid w:val="0"/>
        </w:rPr>
        <w:tab/>
        <w:t>The authorised trade name of a species of fish set out in column 1 of Schedule 11 is the name set out opposite that species in column 2 of that Schedule.</w:t>
      </w:r>
    </w:p>
    <w:p>
      <w:pPr>
        <w:pStyle w:val="Subsection"/>
        <w:rPr>
          <w:snapToGrid w:val="0"/>
        </w:rPr>
      </w:pPr>
      <w:r>
        <w:rPr>
          <w:snapToGrid w:val="0"/>
        </w:rPr>
        <w:tab/>
        <w:t>(2)</w:t>
      </w:r>
      <w:r>
        <w:rPr>
          <w:snapToGrid w:val="0"/>
        </w:rPr>
        <w:tab/>
        <w:t>A person must not sell fish of any species under an authorised trade name unless the fish is of the species to which the authorised trade name applies.</w:t>
      </w:r>
    </w:p>
    <w:p>
      <w:pPr>
        <w:pStyle w:val="Penstart"/>
        <w:rPr>
          <w:snapToGrid w:val="0"/>
        </w:rPr>
      </w:pPr>
      <w:r>
        <w:rPr>
          <w:snapToGrid w:val="0"/>
        </w:rPr>
        <w:tab/>
        <w:t>Penalty: $5 000.</w:t>
      </w:r>
    </w:p>
    <w:p>
      <w:pPr>
        <w:pStyle w:val="Heading5"/>
        <w:rPr>
          <w:snapToGrid w:val="0"/>
        </w:rPr>
      </w:pPr>
      <w:bookmarkStart w:id="1695" w:name="_Toc309309350"/>
      <w:r>
        <w:rPr>
          <w:rStyle w:val="CharSectno"/>
        </w:rPr>
        <w:t>60</w:t>
      </w:r>
      <w:r>
        <w:rPr>
          <w:snapToGrid w:val="0"/>
        </w:rPr>
        <w:t>.</w:t>
      </w:r>
      <w:r>
        <w:rPr>
          <w:snapToGrid w:val="0"/>
        </w:rPr>
        <w:tab/>
        <w:t>Rock lobsters, maximum size of packages etc. of</w:t>
      </w:r>
      <w:bookmarkEnd w:id="1695"/>
    </w:p>
    <w:p>
      <w:pPr>
        <w:pStyle w:val="Subsection"/>
        <w:rPr>
          <w:snapToGrid w:val="0"/>
        </w:rPr>
      </w:pPr>
      <w:r>
        <w:rPr>
          <w:snapToGrid w:val="0"/>
        </w:rPr>
        <w:tab/>
        <w:t>(1)</w:t>
      </w:r>
      <w:r>
        <w:rPr>
          <w:snapToGrid w:val="0"/>
        </w:rPr>
        <w:tab/>
        <w:t>A person responsible for packaging rock lobster must ensure that no package, container or receptacle which contains rock lobster exceeds 45 kg in weight.</w:t>
      </w:r>
    </w:p>
    <w:p>
      <w:pPr>
        <w:pStyle w:val="Subsection"/>
        <w:rPr>
          <w:snapToGrid w:val="0"/>
        </w:rPr>
      </w:pPr>
      <w:r>
        <w:rPr>
          <w:snapToGrid w:val="0"/>
        </w:rPr>
        <w:tab/>
        <w:t>(2)</w:t>
      </w:r>
      <w:r>
        <w:rPr>
          <w:snapToGrid w:val="0"/>
        </w:rPr>
        <w:tab/>
        <w:t>A person must not possess a bag which contains live rock lobsters if the bag measures more than one metre in depth and 600 mm in width when empty.</w:t>
      </w:r>
    </w:p>
    <w:p>
      <w:pPr>
        <w:pStyle w:val="Penstart"/>
        <w:spacing w:before="60"/>
        <w:rPr>
          <w:snapToGrid w:val="0"/>
        </w:rPr>
      </w:pPr>
      <w:r>
        <w:rPr>
          <w:snapToGrid w:val="0"/>
        </w:rPr>
        <w:tab/>
        <w:t>Penalty: $1 000.</w:t>
      </w:r>
    </w:p>
    <w:p>
      <w:pPr>
        <w:pStyle w:val="Heading5"/>
        <w:rPr>
          <w:snapToGrid w:val="0"/>
        </w:rPr>
      </w:pPr>
      <w:bookmarkStart w:id="1696" w:name="_Toc309309351"/>
      <w:r>
        <w:rPr>
          <w:rStyle w:val="CharSectno"/>
        </w:rPr>
        <w:t>61</w:t>
      </w:r>
      <w:r>
        <w:rPr>
          <w:snapToGrid w:val="0"/>
        </w:rPr>
        <w:t>.</w:t>
      </w:r>
      <w:r>
        <w:rPr>
          <w:snapToGrid w:val="0"/>
        </w:rPr>
        <w:tab/>
        <w:t>Fish for sale etc., labelling requirements for</w:t>
      </w:r>
      <w:bookmarkEnd w:id="1696"/>
    </w:p>
    <w:p>
      <w:pPr>
        <w:pStyle w:val="Subsection"/>
        <w:rPr>
          <w:snapToGrid w:val="0"/>
        </w:rPr>
      </w:pPr>
      <w:r>
        <w:rPr>
          <w:snapToGrid w:val="0"/>
        </w:rPr>
        <w:tab/>
        <w:t>(1)</w:t>
      </w:r>
      <w:r>
        <w:rPr>
          <w:snapToGrid w:val="0"/>
        </w:rPr>
        <w:tab/>
        <w:t>A person who sells any fish to another person, other than on a retail basis, must ensure that a label, as specified in this regulation, is attached in respect of that fish.</w:t>
      </w:r>
    </w:p>
    <w:p>
      <w:pPr>
        <w:pStyle w:val="Subsection"/>
        <w:rPr>
          <w:snapToGrid w:val="0"/>
        </w:rPr>
      </w:pPr>
      <w:r>
        <w:rPr>
          <w:snapToGrid w:val="0"/>
        </w:rPr>
        <w:tab/>
        <w:t>(2)</w:t>
      </w:r>
      <w:r>
        <w:rPr>
          <w:snapToGrid w:val="0"/>
        </w:rPr>
        <w:tab/>
        <w:t>The master of a licensed fishing boat which has been used to take rock lobster must ensure that a label, as specified in this regulation and in the form approved by the CEO, is attached in respect of that rock lobster before it is removed from the boat or sold to another person.</w:t>
      </w:r>
    </w:p>
    <w:p>
      <w:pPr>
        <w:pStyle w:val="Subsection"/>
        <w:rPr>
          <w:snapToGrid w:val="0"/>
        </w:rPr>
      </w:pPr>
      <w:r>
        <w:rPr>
          <w:snapToGrid w:val="0"/>
        </w:rPr>
        <w:tab/>
        <w:t>(3)</w:t>
      </w:r>
      <w:r>
        <w:rPr>
          <w:snapToGrid w:val="0"/>
        </w:rPr>
        <w:tab/>
        <w:t>The label referred to in subregulations (1) and (2) must be —</w:t>
      </w:r>
    </w:p>
    <w:p>
      <w:pPr>
        <w:pStyle w:val="Indenta"/>
        <w:rPr>
          <w:snapToGrid w:val="0"/>
        </w:rPr>
      </w:pPr>
      <w:r>
        <w:rPr>
          <w:snapToGrid w:val="0"/>
        </w:rPr>
        <w:tab/>
        <w:t>(a)</w:t>
      </w:r>
      <w:r>
        <w:rPr>
          <w:snapToGrid w:val="0"/>
        </w:rPr>
        <w:tab/>
        <w:t>durable and made of plastic, wood or metal; and</w:t>
      </w:r>
    </w:p>
    <w:p>
      <w:pPr>
        <w:pStyle w:val="Indenta"/>
        <w:rPr>
          <w:snapToGrid w:val="0"/>
        </w:rPr>
      </w:pPr>
      <w:r>
        <w:rPr>
          <w:snapToGrid w:val="0"/>
        </w:rPr>
        <w:tab/>
        <w:t>(b)</w:t>
      </w:r>
      <w:r>
        <w:rPr>
          <w:snapToGrid w:val="0"/>
        </w:rPr>
        <w:tab/>
        <w:t>securely attached to the fish or the exterior of any package, container or receptacle containing the fish; and</w:t>
      </w:r>
    </w:p>
    <w:p>
      <w:pPr>
        <w:pStyle w:val="Indenta"/>
        <w:rPr>
          <w:snapToGrid w:val="0"/>
        </w:rPr>
      </w:pPr>
      <w:r>
        <w:rPr>
          <w:snapToGrid w:val="0"/>
        </w:rPr>
        <w:tab/>
        <w:t>(c)</w:t>
      </w:r>
      <w:r>
        <w:rPr>
          <w:snapToGrid w:val="0"/>
        </w:rPr>
        <w:tab/>
        <w:t xml:space="preserve">rectangular in shape and not less than </w:t>
      </w:r>
      <w:r>
        <w:t>75 mm in length and not less than 55 mm</w:t>
      </w:r>
      <w:r>
        <w:rPr>
          <w:snapToGrid w:val="0"/>
        </w:rPr>
        <w:t xml:space="preserve"> in width.</w:t>
      </w:r>
    </w:p>
    <w:p>
      <w:pPr>
        <w:pStyle w:val="Subsection"/>
      </w:pPr>
      <w:r>
        <w:tab/>
        <w:t>(3a)</w:t>
      </w:r>
      <w:r>
        <w:tab/>
        <w:t xml:space="preserve">In relation to rock lobster, the reference in subregulation (3)(b) to the exterior of any package, container or receptacle (the </w:t>
      </w:r>
      <w:r>
        <w:rPr>
          <w:rStyle w:val="CharDefText"/>
        </w:rPr>
        <w:t>package</w:t>
      </w:r>
      <w:r>
        <w:t>) is a reference to an exterior side surface of the package and does not include a reference to the exterior upper or lower surface of the package.</w:t>
      </w:r>
    </w:p>
    <w:p>
      <w:pPr>
        <w:pStyle w:val="Subsection"/>
        <w:rPr>
          <w:snapToGrid w:val="0"/>
        </w:rPr>
      </w:pPr>
      <w:r>
        <w:rPr>
          <w:snapToGrid w:val="0"/>
        </w:rPr>
        <w:tab/>
        <w:t>(4)</w:t>
      </w:r>
      <w:r>
        <w:rPr>
          <w:snapToGrid w:val="0"/>
        </w:rPr>
        <w:tab/>
      </w:r>
      <w:r>
        <w:t>Subject to subregulation (4a), the</w:t>
      </w:r>
      <w:r>
        <w:rPr>
          <w:snapToGrid w:val="0"/>
        </w:rPr>
        <w:t xml:space="preserve"> label referred to in subregulation (1) must specify the name and principal place of residence of the person selling the fish.</w:t>
      </w:r>
    </w:p>
    <w:p>
      <w:pPr>
        <w:pStyle w:val="Subsection"/>
      </w:pPr>
      <w:r>
        <w:tab/>
        <w:t>(4a)</w:t>
      </w:r>
      <w:r>
        <w:tab/>
        <w:t>If —</w:t>
      </w:r>
    </w:p>
    <w:p>
      <w:pPr>
        <w:pStyle w:val="Indenta"/>
      </w:pPr>
      <w:r>
        <w:tab/>
        <w:t>(a)</w:t>
      </w:r>
      <w:r>
        <w:tab/>
        <w:t xml:space="preserve">a person referred to in subregulation (1) is a nominated operator, as defined in the </w:t>
      </w:r>
      <w:r>
        <w:rPr>
          <w:i/>
        </w:rPr>
        <w:t>Abalone Management Plan 1992</w:t>
      </w:r>
      <w:r>
        <w:t>; and</w:t>
      </w:r>
    </w:p>
    <w:p>
      <w:pPr>
        <w:pStyle w:val="Indenta"/>
      </w:pPr>
      <w:r>
        <w:tab/>
        <w:t>(b)</w:t>
      </w:r>
      <w:r>
        <w:tab/>
        <w:t>the fish referred to in that subregulation are abalone,</w:t>
      </w:r>
    </w:p>
    <w:p>
      <w:pPr>
        <w:pStyle w:val="Subsection"/>
      </w:pPr>
      <w:r>
        <w:tab/>
      </w:r>
      <w:r>
        <w:tab/>
        <w:t>the label referred to in subregulation (1) must specify —</w:t>
      </w:r>
    </w:p>
    <w:p>
      <w:pPr>
        <w:pStyle w:val="Indenta"/>
      </w:pPr>
      <w:r>
        <w:tab/>
        <w:t>(c)</w:t>
      </w:r>
      <w:r>
        <w:tab/>
        <w:t>the name of the person and the town or suburb where the person’s principal place of residence is located; and</w:t>
      </w:r>
    </w:p>
    <w:p>
      <w:pPr>
        <w:pStyle w:val="Indenta"/>
      </w:pPr>
      <w:r>
        <w:tab/>
        <w:t>(d)</w:t>
      </w:r>
      <w:r>
        <w:tab/>
        <w:t>the number of the managed fishery licence that authorised the abalone to be taken; and</w:t>
      </w:r>
    </w:p>
    <w:p>
      <w:pPr>
        <w:pStyle w:val="Indenta"/>
      </w:pPr>
      <w:r>
        <w:tab/>
        <w:t>(e)</w:t>
      </w:r>
      <w:r>
        <w:tab/>
        <w:t>if a licensed fishing boat was used to take the abalone, the licensed fishing boat number.</w:t>
      </w:r>
    </w:p>
    <w:p>
      <w:pPr>
        <w:pStyle w:val="Subsection"/>
      </w:pPr>
      <w:r>
        <w:rPr>
          <w:snapToGrid w:val="0"/>
        </w:rPr>
        <w:tab/>
        <w:t>(5)</w:t>
      </w:r>
      <w:r>
        <w:rPr>
          <w:snapToGrid w:val="0"/>
        </w:rPr>
        <w:tab/>
      </w:r>
      <w:r>
        <w:rPr>
          <w:snapToGrid w:val="0"/>
          <w:spacing w:val="-4"/>
        </w:rPr>
        <w:t xml:space="preserve">The label referred to in subregulation (2) must </w:t>
      </w:r>
      <w:r>
        <w:rPr>
          <w:spacing w:val="-4"/>
        </w:rPr>
        <w:t>clearly identify —</w:t>
      </w:r>
    </w:p>
    <w:p>
      <w:pPr>
        <w:pStyle w:val="Indenta"/>
        <w:rPr>
          <w:snapToGrid w:val="0"/>
        </w:rPr>
      </w:pPr>
      <w:r>
        <w:rPr>
          <w:snapToGrid w:val="0"/>
        </w:rPr>
        <w:tab/>
        <w:t>(a)</w:t>
      </w:r>
      <w:r>
        <w:rPr>
          <w:snapToGrid w:val="0"/>
        </w:rPr>
        <w:tab/>
        <w:t>the name and principal place of residence of the master of any licensed fishing boat which was used to fish for the fish; and</w:t>
      </w:r>
    </w:p>
    <w:p>
      <w:pPr>
        <w:pStyle w:val="Indenta"/>
      </w:pPr>
      <w:r>
        <w:rPr>
          <w:snapToGrid w:val="0"/>
        </w:rPr>
        <w:tab/>
        <w:t>(b)</w:t>
      </w:r>
      <w:r>
        <w:rPr>
          <w:snapToGrid w:val="0"/>
        </w:rPr>
        <w:tab/>
        <w:t xml:space="preserve">the licensed fishing boat number of any licensed fishing boat which was used to fish for the </w:t>
      </w:r>
      <w:r>
        <w:t>fish; and</w:t>
      </w:r>
    </w:p>
    <w:p>
      <w:pPr>
        <w:pStyle w:val="Indenta"/>
        <w:rPr>
          <w:snapToGrid w:val="0"/>
        </w:rPr>
      </w:pPr>
      <w:r>
        <w:tab/>
        <w:t>(c)</w:t>
      </w:r>
      <w:r>
        <w:tab/>
        <w:t>the fishery, and if applicable the area or zone of the fishery, from which the fish were taken.</w:t>
      </w:r>
    </w:p>
    <w:p>
      <w:pPr>
        <w:pStyle w:val="Subsection"/>
        <w:rPr>
          <w:snapToGrid w:val="0"/>
        </w:rPr>
      </w:pPr>
      <w:r>
        <w:rPr>
          <w:snapToGrid w:val="0"/>
        </w:rPr>
        <w:tab/>
        <w:t>(6)</w:t>
      </w:r>
      <w:r>
        <w:rPr>
          <w:snapToGrid w:val="0"/>
        </w:rPr>
        <w:tab/>
        <w:t>A person must not purchase any fish unless the fish is labelled in accordance with this regulation.</w:t>
      </w:r>
    </w:p>
    <w:p>
      <w:pPr>
        <w:pStyle w:val="Subsection"/>
        <w:rPr>
          <w:snapToGrid w:val="0"/>
        </w:rPr>
      </w:pPr>
      <w:r>
        <w:rPr>
          <w:snapToGrid w:val="0"/>
        </w:rPr>
        <w:tab/>
        <w:t>(7)</w:t>
      </w:r>
      <w:r>
        <w:rPr>
          <w:snapToGrid w:val="0"/>
        </w:rPr>
        <w:tab/>
        <w:t>A person must not remove rock lobster from a package, container or receptacle labelled in accordance with this regulation before it is received by the purchaser of the rock lobster or until the rock lobster consigned for processing at a place specified in a fish processor’s licence is received at that place.</w:t>
      </w:r>
    </w:p>
    <w:p>
      <w:pPr>
        <w:pStyle w:val="Penstart"/>
        <w:rPr>
          <w:snapToGrid w:val="0"/>
        </w:rPr>
      </w:pPr>
      <w:r>
        <w:rPr>
          <w:snapToGrid w:val="0"/>
        </w:rPr>
        <w:tab/>
        <w:t>Penalty: $3 000.</w:t>
      </w:r>
    </w:p>
    <w:p>
      <w:pPr>
        <w:pStyle w:val="Footnotesection"/>
      </w:pPr>
      <w:r>
        <w:tab/>
        <w:t>[Regulation 61 amended in Gazette 8 Sep 2000 p. 5186</w:t>
      </w:r>
      <w:r>
        <w:noBreakHyphen/>
        <w:t>7; 11 Feb 2003 p. 412; 6 Jul 2007 p. 3389.]</w:t>
      </w:r>
    </w:p>
    <w:p>
      <w:pPr>
        <w:pStyle w:val="Heading5"/>
        <w:rPr>
          <w:snapToGrid w:val="0"/>
        </w:rPr>
      </w:pPr>
      <w:bookmarkStart w:id="1697" w:name="_Toc309309352"/>
      <w:r>
        <w:rPr>
          <w:rStyle w:val="CharSectno"/>
        </w:rPr>
        <w:t>62</w:t>
      </w:r>
      <w:r>
        <w:rPr>
          <w:snapToGrid w:val="0"/>
        </w:rPr>
        <w:t>.</w:t>
      </w:r>
      <w:r>
        <w:rPr>
          <w:snapToGrid w:val="0"/>
        </w:rPr>
        <w:tab/>
        <w:t>Refuse etc. not to be deposited in waters etc. where fish are</w:t>
      </w:r>
      <w:bookmarkEnd w:id="1697"/>
    </w:p>
    <w:p>
      <w:pPr>
        <w:pStyle w:val="Subsection"/>
        <w:rPr>
          <w:snapToGrid w:val="0"/>
        </w:rPr>
      </w:pPr>
      <w:r>
        <w:rPr>
          <w:snapToGrid w:val="0"/>
        </w:rPr>
        <w:tab/>
      </w:r>
      <w:r>
        <w:rPr>
          <w:snapToGrid w:val="0"/>
        </w:rPr>
        <w:tab/>
        <w:t>Subject to Part 9, a person must not deposit, or cause or permit to be deposited, any refuse or waste —</w:t>
      </w:r>
    </w:p>
    <w:p>
      <w:pPr>
        <w:pStyle w:val="Indenta"/>
        <w:rPr>
          <w:snapToGrid w:val="0"/>
        </w:rPr>
      </w:pPr>
      <w:r>
        <w:rPr>
          <w:snapToGrid w:val="0"/>
        </w:rPr>
        <w:tab/>
        <w:t>(a)</w:t>
      </w:r>
      <w:r>
        <w:rPr>
          <w:snapToGrid w:val="0"/>
        </w:rPr>
        <w:tab/>
        <w:t>in any waters; or</w:t>
      </w:r>
    </w:p>
    <w:p>
      <w:pPr>
        <w:pStyle w:val="Indenta"/>
        <w:keepNext/>
        <w:rPr>
          <w:snapToGrid w:val="0"/>
        </w:rPr>
      </w:pPr>
      <w:r>
        <w:rPr>
          <w:snapToGrid w:val="0"/>
        </w:rPr>
        <w:tab/>
        <w:t>(b)</w:t>
      </w:r>
      <w:r>
        <w:rPr>
          <w:snapToGrid w:val="0"/>
        </w:rPr>
        <w:tab/>
        <w:t>in any place that might result in the pollution of any waters,</w:t>
      </w:r>
    </w:p>
    <w:p>
      <w:pPr>
        <w:pStyle w:val="Subsection"/>
        <w:keepLines/>
        <w:rPr>
          <w:snapToGrid w:val="0"/>
        </w:rPr>
      </w:pPr>
      <w:r>
        <w:rPr>
          <w:snapToGrid w:val="0"/>
        </w:rPr>
        <w:tab/>
      </w:r>
      <w:r>
        <w:rPr>
          <w:snapToGrid w:val="0"/>
        </w:rPr>
        <w:tab/>
        <w:t>where fish are or are likely to be.</w:t>
      </w:r>
    </w:p>
    <w:p>
      <w:pPr>
        <w:pStyle w:val="Penstart"/>
        <w:keepLines/>
        <w:rPr>
          <w:snapToGrid w:val="0"/>
        </w:rPr>
      </w:pPr>
      <w:r>
        <w:rPr>
          <w:snapToGrid w:val="0"/>
        </w:rPr>
        <w:tab/>
        <w:t>Penalty: $10 000.</w:t>
      </w:r>
    </w:p>
    <w:p>
      <w:pPr>
        <w:pStyle w:val="Heading5"/>
        <w:rPr>
          <w:snapToGrid w:val="0"/>
        </w:rPr>
      </w:pPr>
      <w:bookmarkStart w:id="1698" w:name="_Toc309309353"/>
      <w:r>
        <w:rPr>
          <w:rStyle w:val="CharSectno"/>
        </w:rPr>
        <w:t>63</w:t>
      </w:r>
      <w:r>
        <w:rPr>
          <w:snapToGrid w:val="0"/>
        </w:rPr>
        <w:t>.</w:t>
      </w:r>
      <w:r>
        <w:rPr>
          <w:snapToGrid w:val="0"/>
        </w:rPr>
        <w:tab/>
        <w:t>Fishing gear prohibited from use in waters, possession of</w:t>
      </w:r>
      <w:bookmarkEnd w:id="1698"/>
    </w:p>
    <w:p>
      <w:pPr>
        <w:pStyle w:val="Subsection"/>
        <w:rPr>
          <w:snapToGrid w:val="0"/>
        </w:rPr>
      </w:pPr>
      <w:r>
        <w:rPr>
          <w:snapToGrid w:val="0"/>
        </w:rPr>
        <w:tab/>
        <w:t>(1)</w:t>
      </w:r>
      <w:r>
        <w:rPr>
          <w:snapToGrid w:val="0"/>
        </w:rPr>
        <w:tab/>
        <w:t>Where, under the Act, it is prohibited for a person to use any fishing gear in any waters the person must not —</w:t>
      </w:r>
    </w:p>
    <w:p>
      <w:pPr>
        <w:pStyle w:val="Indenta"/>
        <w:rPr>
          <w:snapToGrid w:val="0"/>
        </w:rPr>
      </w:pPr>
      <w:r>
        <w:rPr>
          <w:snapToGrid w:val="0"/>
        </w:rPr>
        <w:tab/>
        <w:t>(a)</w:t>
      </w:r>
      <w:r>
        <w:rPr>
          <w:snapToGrid w:val="0"/>
        </w:rPr>
        <w:tab/>
        <w:t>possess that gear on, or in, those waters or any land adjacent to those waters; or</w:t>
      </w:r>
    </w:p>
    <w:p>
      <w:pPr>
        <w:pStyle w:val="Indenta"/>
        <w:rPr>
          <w:snapToGrid w:val="0"/>
        </w:rPr>
      </w:pPr>
      <w:r>
        <w:rPr>
          <w:snapToGrid w:val="0"/>
        </w:rPr>
        <w:tab/>
        <w:t>(b)</w:t>
      </w:r>
      <w:r>
        <w:rPr>
          <w:snapToGrid w:val="0"/>
        </w:rPr>
        <w:tab/>
      </w:r>
      <w:r>
        <w:rPr>
          <w:snapToGrid w:val="0"/>
          <w:spacing w:val="-4"/>
        </w:rPr>
        <w:t>carry that gear on any boat of which the person is master,</w:t>
      </w:r>
    </w:p>
    <w:p>
      <w:pPr>
        <w:pStyle w:val="Subsection"/>
        <w:rPr>
          <w:snapToGrid w:val="0"/>
        </w:rPr>
      </w:pPr>
      <w:r>
        <w:rPr>
          <w:snapToGrid w:val="0"/>
        </w:rPr>
        <w:tab/>
      </w:r>
      <w:r>
        <w:rPr>
          <w:snapToGrid w:val="0"/>
        </w:rPr>
        <w:tab/>
        <w:t>unless in accordance with the written approval of a fisheries officer.</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If the fishing gear was securely stowed and did not contain any fish, it is a defence in proceedings for an offence against subregulation (1) for the person charged to prove that —</w:t>
      </w:r>
    </w:p>
    <w:p>
      <w:pPr>
        <w:pStyle w:val="Indenta"/>
        <w:rPr>
          <w:snapToGrid w:val="0"/>
        </w:rPr>
      </w:pPr>
      <w:r>
        <w:rPr>
          <w:snapToGrid w:val="0"/>
        </w:rPr>
        <w:tab/>
        <w:t>(a)</w:t>
      </w:r>
      <w:r>
        <w:rPr>
          <w:snapToGrid w:val="0"/>
        </w:rPr>
        <w:tab/>
        <w:t>in respect of all boats —</w:t>
      </w:r>
    </w:p>
    <w:p>
      <w:pPr>
        <w:pStyle w:val="Indenti"/>
        <w:rPr>
          <w:snapToGrid w:val="0"/>
        </w:rPr>
      </w:pPr>
      <w:r>
        <w:rPr>
          <w:snapToGrid w:val="0"/>
        </w:rPr>
        <w:tab/>
        <w:t>(i)</w:t>
      </w:r>
      <w:r>
        <w:rPr>
          <w:snapToGrid w:val="0"/>
        </w:rPr>
        <w:tab/>
        <w:t>the person had no reasonable alternative than to carry the fishing gear through the waters; and</w:t>
      </w:r>
    </w:p>
    <w:p>
      <w:pPr>
        <w:pStyle w:val="Indenti"/>
        <w:rPr>
          <w:snapToGrid w:val="0"/>
        </w:rPr>
      </w:pPr>
      <w:r>
        <w:rPr>
          <w:snapToGrid w:val="0"/>
        </w:rPr>
        <w:tab/>
        <w:t>(ii)</w:t>
      </w:r>
      <w:r>
        <w:rPr>
          <w:snapToGrid w:val="0"/>
        </w:rPr>
        <w:tab/>
        <w:t>the boat was being used solely for the purpose of travelling by the shortest practicable and most direct route through the waters to, or from, the nearest boat launching facility to waters where the fishing gear could be lawfully used;</w:t>
      </w:r>
    </w:p>
    <w:p>
      <w:pPr>
        <w:pStyle w:val="Indenta"/>
        <w:keepNext/>
        <w:keepLines/>
        <w:spacing w:before="60"/>
        <w:rPr>
          <w:snapToGrid w:val="0"/>
        </w:rPr>
      </w:pPr>
      <w:r>
        <w:rPr>
          <w:snapToGrid w:val="0"/>
        </w:rPr>
        <w:tab/>
      </w:r>
      <w:r>
        <w:rPr>
          <w:snapToGrid w:val="0"/>
        </w:rPr>
        <w:tab/>
        <w:t>or</w:t>
      </w:r>
    </w:p>
    <w:p>
      <w:pPr>
        <w:pStyle w:val="Indenta"/>
        <w:keepNext/>
        <w:keepLines/>
        <w:spacing w:before="60"/>
        <w:rPr>
          <w:snapToGrid w:val="0"/>
        </w:rPr>
      </w:pPr>
      <w:r>
        <w:rPr>
          <w:snapToGrid w:val="0"/>
        </w:rPr>
        <w:tab/>
        <w:t>(b)</w:t>
      </w:r>
      <w:r>
        <w:rPr>
          <w:snapToGrid w:val="0"/>
        </w:rPr>
        <w:tab/>
        <w:t>the person was the master of a licensed fishing boat and had a reasonable excuse —</w:t>
      </w:r>
    </w:p>
    <w:p>
      <w:pPr>
        <w:pStyle w:val="Indenti"/>
        <w:rPr>
          <w:snapToGrid w:val="0"/>
        </w:rPr>
      </w:pPr>
      <w:r>
        <w:rPr>
          <w:snapToGrid w:val="0"/>
        </w:rPr>
        <w:tab/>
        <w:t>(i)</w:t>
      </w:r>
      <w:r>
        <w:rPr>
          <w:snapToGrid w:val="0"/>
        </w:rPr>
        <w:tab/>
        <w:t>to be alongside a service jetty or wharf, or on a mooring in a recognised anchorage within the waters; or</w:t>
      </w:r>
    </w:p>
    <w:p>
      <w:pPr>
        <w:pStyle w:val="Indenti"/>
        <w:rPr>
          <w:snapToGrid w:val="0"/>
        </w:rPr>
      </w:pPr>
      <w:r>
        <w:rPr>
          <w:snapToGrid w:val="0"/>
        </w:rPr>
        <w:tab/>
        <w:t>(ii)</w:t>
      </w:r>
      <w:r>
        <w:rPr>
          <w:snapToGrid w:val="0"/>
        </w:rPr>
        <w:tab/>
        <w:t>to travel to, or from, a service jetty, wharf or anchorage within the waters by the shortest practicable and most direct route, to waters where the fishing gear could lawfully be used;</w:t>
      </w:r>
    </w:p>
    <w:p>
      <w:pPr>
        <w:pStyle w:val="Indenta"/>
        <w:spacing w:before="60"/>
        <w:rPr>
          <w:snapToGrid w:val="0"/>
        </w:rPr>
      </w:pPr>
      <w:r>
        <w:rPr>
          <w:snapToGrid w:val="0"/>
        </w:rPr>
        <w:tab/>
      </w:r>
      <w:r>
        <w:rPr>
          <w:snapToGrid w:val="0"/>
        </w:rPr>
        <w:tab/>
        <w:t>or</w:t>
      </w:r>
    </w:p>
    <w:p>
      <w:pPr>
        <w:pStyle w:val="Indenta"/>
        <w:rPr>
          <w:snapToGrid w:val="0"/>
        </w:rPr>
      </w:pPr>
      <w:r>
        <w:rPr>
          <w:snapToGrid w:val="0"/>
        </w:rPr>
        <w:tab/>
        <w:t>(c)</w:t>
      </w:r>
      <w:r>
        <w:rPr>
          <w:snapToGrid w:val="0"/>
        </w:rPr>
        <w:tab/>
        <w:t>due to the person’s particular circumstances, the person had no reasonable alternative but to be on the land adjacent to the waters with the fishing gear.</w:t>
      </w:r>
    </w:p>
    <w:p>
      <w:pPr>
        <w:pStyle w:val="Heading5"/>
        <w:rPr>
          <w:snapToGrid w:val="0"/>
        </w:rPr>
      </w:pPr>
      <w:bookmarkStart w:id="1699" w:name="_Toc309309354"/>
      <w:r>
        <w:rPr>
          <w:rStyle w:val="CharSectno"/>
        </w:rPr>
        <w:t>64</w:t>
      </w:r>
      <w:r>
        <w:rPr>
          <w:snapToGrid w:val="0"/>
        </w:rPr>
        <w:t>.</w:t>
      </w:r>
      <w:r>
        <w:rPr>
          <w:snapToGrid w:val="0"/>
        </w:rPr>
        <w:tab/>
        <w:t>Records to be kept and returns given to Department by commercial fishers etc.</w:t>
      </w:r>
      <w:bookmarkEnd w:id="1699"/>
    </w:p>
    <w:p>
      <w:pPr>
        <w:pStyle w:val="Subsection"/>
        <w:rPr>
          <w:snapToGrid w:val="0"/>
        </w:rPr>
      </w:pPr>
      <w:r>
        <w:rPr>
          <w:snapToGrid w:val="0"/>
        </w:rPr>
        <w:tab/>
        <w:t>(1)</w:t>
      </w:r>
      <w:r>
        <w:rPr>
          <w:snapToGrid w:val="0"/>
        </w:rPr>
        <w:tab/>
        <w:t>A person engaged for a commercial purpose in any activity referred to in subregulation (2) must keep records relevant to that activity relating to the following matters and must retain those records for a period of not less than 7 years —</w:t>
      </w:r>
    </w:p>
    <w:p>
      <w:pPr>
        <w:pStyle w:val="Indenta"/>
        <w:rPr>
          <w:snapToGrid w:val="0"/>
        </w:rPr>
      </w:pPr>
      <w:r>
        <w:rPr>
          <w:snapToGrid w:val="0"/>
        </w:rPr>
        <w:tab/>
        <w:t>(a)</w:t>
      </w:r>
      <w:r>
        <w:rPr>
          <w:snapToGrid w:val="0"/>
        </w:rPr>
        <w:tab/>
        <w:t>the catch of fish;</w:t>
      </w:r>
    </w:p>
    <w:p>
      <w:pPr>
        <w:pStyle w:val="Indenta"/>
        <w:rPr>
          <w:snapToGrid w:val="0"/>
        </w:rPr>
      </w:pPr>
      <w:r>
        <w:rPr>
          <w:snapToGrid w:val="0"/>
        </w:rPr>
        <w:tab/>
        <w:t>(b)</w:t>
      </w:r>
      <w:r>
        <w:rPr>
          <w:snapToGrid w:val="0"/>
        </w:rPr>
        <w:tab/>
        <w:t>sales of fish or fish products;</w:t>
      </w:r>
    </w:p>
    <w:p>
      <w:pPr>
        <w:pStyle w:val="Indenta"/>
        <w:rPr>
          <w:snapToGrid w:val="0"/>
        </w:rPr>
      </w:pPr>
      <w:r>
        <w:rPr>
          <w:snapToGrid w:val="0"/>
        </w:rPr>
        <w:tab/>
        <w:t>(c)</w:t>
      </w:r>
      <w:r>
        <w:rPr>
          <w:snapToGrid w:val="0"/>
        </w:rPr>
        <w:tab/>
        <w:t>output of fish or fish products;</w:t>
      </w:r>
    </w:p>
    <w:p>
      <w:pPr>
        <w:pStyle w:val="Indenta"/>
        <w:rPr>
          <w:snapToGrid w:val="0"/>
        </w:rPr>
      </w:pPr>
      <w:r>
        <w:rPr>
          <w:snapToGrid w:val="0"/>
        </w:rPr>
        <w:tab/>
        <w:t>(d)</w:t>
      </w:r>
      <w:r>
        <w:rPr>
          <w:snapToGrid w:val="0"/>
        </w:rPr>
        <w:tab/>
        <w:t>purchases of fish or fish products;</w:t>
      </w:r>
    </w:p>
    <w:p>
      <w:pPr>
        <w:pStyle w:val="Indenta"/>
        <w:spacing w:before="60"/>
        <w:rPr>
          <w:snapToGrid w:val="0"/>
        </w:rPr>
      </w:pPr>
      <w:r>
        <w:rPr>
          <w:snapToGrid w:val="0"/>
        </w:rPr>
        <w:tab/>
        <w:t>(e)</w:t>
      </w:r>
      <w:r>
        <w:rPr>
          <w:snapToGrid w:val="0"/>
        </w:rPr>
        <w:tab/>
        <w:t>receipts of fish or fish products;</w:t>
      </w:r>
    </w:p>
    <w:p>
      <w:pPr>
        <w:pStyle w:val="Indenta"/>
        <w:spacing w:before="60"/>
        <w:rPr>
          <w:snapToGrid w:val="0"/>
        </w:rPr>
      </w:pPr>
      <w:r>
        <w:rPr>
          <w:snapToGrid w:val="0"/>
        </w:rPr>
        <w:tab/>
        <w:t>(f)</w:t>
      </w:r>
      <w:r>
        <w:rPr>
          <w:snapToGrid w:val="0"/>
        </w:rPr>
        <w:tab/>
        <w:t>fishing gear or equipment bought, sold or used;</w:t>
      </w:r>
    </w:p>
    <w:p>
      <w:pPr>
        <w:pStyle w:val="Indenta"/>
        <w:spacing w:before="60"/>
        <w:rPr>
          <w:snapToGrid w:val="0"/>
        </w:rPr>
      </w:pPr>
      <w:r>
        <w:rPr>
          <w:snapToGrid w:val="0"/>
        </w:rPr>
        <w:tab/>
        <w:t>(g)</w:t>
      </w:r>
      <w:r>
        <w:rPr>
          <w:snapToGrid w:val="0"/>
        </w:rPr>
        <w:tab/>
        <w:t>times and places of fishing, or carrying out the relevant business of the person;</w:t>
      </w:r>
    </w:p>
    <w:p>
      <w:pPr>
        <w:pStyle w:val="Indenta"/>
        <w:spacing w:before="60"/>
        <w:rPr>
          <w:snapToGrid w:val="0"/>
        </w:rPr>
      </w:pPr>
      <w:r>
        <w:rPr>
          <w:snapToGrid w:val="0"/>
        </w:rPr>
        <w:tab/>
        <w:t>(h)</w:t>
      </w:r>
      <w:r>
        <w:rPr>
          <w:snapToGrid w:val="0"/>
        </w:rPr>
        <w:tab/>
        <w:t>stocks of live fish and live fish production.</w:t>
      </w:r>
    </w:p>
    <w:p>
      <w:pPr>
        <w:pStyle w:val="Subsection"/>
        <w:rPr>
          <w:snapToGrid w:val="0"/>
        </w:rPr>
      </w:pPr>
      <w:r>
        <w:rPr>
          <w:snapToGrid w:val="0"/>
        </w:rPr>
        <w:tab/>
        <w:t>(2)</w:t>
      </w:r>
      <w:r>
        <w:rPr>
          <w:snapToGrid w:val="0"/>
        </w:rPr>
        <w:tab/>
        <w:t>For the purposes of subregulation (1), the activities are —</w:t>
      </w:r>
    </w:p>
    <w:p>
      <w:pPr>
        <w:pStyle w:val="Indenta"/>
        <w:rPr>
          <w:snapToGrid w:val="0"/>
        </w:rPr>
      </w:pPr>
      <w:r>
        <w:rPr>
          <w:snapToGrid w:val="0"/>
        </w:rPr>
        <w:tab/>
        <w:t>(a)</w:t>
      </w:r>
      <w:r>
        <w:rPr>
          <w:snapToGrid w:val="0"/>
        </w:rPr>
        <w:tab/>
        <w:t>taking fish for sale;</w:t>
      </w:r>
    </w:p>
    <w:p>
      <w:pPr>
        <w:pStyle w:val="Indenta"/>
        <w:rPr>
          <w:snapToGrid w:val="0"/>
        </w:rPr>
      </w:pPr>
      <w:r>
        <w:rPr>
          <w:snapToGrid w:val="0"/>
        </w:rPr>
        <w:tab/>
        <w:t>(b)</w:t>
      </w:r>
      <w:r>
        <w:rPr>
          <w:snapToGrid w:val="0"/>
        </w:rPr>
        <w:tab/>
        <w:t>taking any species of fish for use as bait by persons engaged in commercial fishing;</w:t>
      </w:r>
    </w:p>
    <w:p>
      <w:pPr>
        <w:pStyle w:val="Indenta"/>
        <w:rPr>
          <w:snapToGrid w:val="0"/>
        </w:rPr>
      </w:pPr>
      <w:r>
        <w:rPr>
          <w:snapToGrid w:val="0"/>
        </w:rPr>
        <w:tab/>
        <w:t>(c)</w:t>
      </w:r>
      <w:r>
        <w:rPr>
          <w:snapToGrid w:val="0"/>
        </w:rPr>
        <w:tab/>
        <w:t>taking for any purpose not prohibited under section 47 of the Act any commercially protected fish;</w:t>
      </w:r>
    </w:p>
    <w:p>
      <w:pPr>
        <w:pStyle w:val="Indenta"/>
        <w:rPr>
          <w:snapToGrid w:val="0"/>
        </w:rPr>
      </w:pPr>
      <w:r>
        <w:rPr>
          <w:snapToGrid w:val="0"/>
        </w:rPr>
        <w:tab/>
        <w:t>(d)</w:t>
      </w:r>
      <w:r>
        <w:rPr>
          <w:snapToGrid w:val="0"/>
        </w:rPr>
        <w:tab/>
        <w:t>dealing in or purchasing for resale, or exporting or importing, live fish or their products;</w:t>
      </w:r>
    </w:p>
    <w:p>
      <w:pPr>
        <w:pStyle w:val="Indenta"/>
        <w:rPr>
          <w:snapToGrid w:val="0"/>
        </w:rPr>
      </w:pPr>
      <w:r>
        <w:rPr>
          <w:snapToGrid w:val="0"/>
        </w:rPr>
        <w:tab/>
        <w:t>(e)</w:t>
      </w:r>
      <w:r>
        <w:rPr>
          <w:snapToGrid w:val="0"/>
        </w:rPr>
        <w:tab/>
        <w:t>aquaculture;</w:t>
      </w:r>
    </w:p>
    <w:p>
      <w:pPr>
        <w:pStyle w:val="Indenta"/>
        <w:rPr>
          <w:snapToGrid w:val="0"/>
        </w:rPr>
      </w:pPr>
      <w:r>
        <w:rPr>
          <w:snapToGrid w:val="0"/>
        </w:rPr>
        <w:tab/>
        <w:t>(f)</w:t>
      </w:r>
      <w:r>
        <w:rPr>
          <w:snapToGrid w:val="0"/>
        </w:rPr>
        <w:tab/>
        <w:t>selling fish at a market or at an establishment at which fish are sold that have not passed through a market;</w:t>
      </w:r>
    </w:p>
    <w:p>
      <w:pPr>
        <w:pStyle w:val="Indenta"/>
        <w:rPr>
          <w:snapToGrid w:val="0"/>
        </w:rPr>
      </w:pPr>
      <w:r>
        <w:rPr>
          <w:snapToGrid w:val="0"/>
        </w:rPr>
        <w:tab/>
        <w:t>(g)</w:t>
      </w:r>
      <w:r>
        <w:rPr>
          <w:snapToGrid w:val="0"/>
        </w:rPr>
        <w:tab/>
        <w:t>processing fish;</w:t>
      </w:r>
    </w:p>
    <w:p>
      <w:pPr>
        <w:pStyle w:val="Indenta"/>
        <w:rPr>
          <w:snapToGrid w:val="0"/>
        </w:rPr>
      </w:pPr>
      <w:r>
        <w:rPr>
          <w:snapToGrid w:val="0"/>
        </w:rPr>
        <w:tab/>
        <w:t>(h)</w:t>
      </w:r>
      <w:r>
        <w:rPr>
          <w:snapToGrid w:val="0"/>
        </w:rPr>
        <w:tab/>
        <w:t>transporting fish or fish products;</w:t>
      </w:r>
    </w:p>
    <w:p>
      <w:pPr>
        <w:pStyle w:val="Indenta"/>
        <w:rPr>
          <w:snapToGrid w:val="0"/>
        </w:rPr>
      </w:pPr>
      <w:r>
        <w:rPr>
          <w:snapToGrid w:val="0"/>
        </w:rPr>
        <w:tab/>
        <w:t>(i)</w:t>
      </w:r>
      <w:r>
        <w:rPr>
          <w:snapToGrid w:val="0"/>
        </w:rPr>
        <w:tab/>
        <w:t>purchasing or receiving fish;</w:t>
      </w:r>
    </w:p>
    <w:p>
      <w:pPr>
        <w:pStyle w:val="Indenta"/>
        <w:rPr>
          <w:snapToGrid w:val="0"/>
        </w:rPr>
      </w:pPr>
      <w:r>
        <w:rPr>
          <w:snapToGrid w:val="0"/>
        </w:rPr>
        <w:tab/>
        <w:t>(j)</w:t>
      </w:r>
      <w:r>
        <w:rPr>
          <w:snapToGrid w:val="0"/>
        </w:rPr>
        <w:tab/>
        <w:t>operating a charter boat;</w:t>
      </w:r>
    </w:p>
    <w:p>
      <w:pPr>
        <w:pStyle w:val="Indenta"/>
        <w:rPr>
          <w:snapToGrid w:val="0"/>
        </w:rPr>
      </w:pPr>
      <w:r>
        <w:rPr>
          <w:snapToGrid w:val="0"/>
        </w:rPr>
        <w:tab/>
        <w:t>(k)</w:t>
      </w:r>
      <w:r>
        <w:rPr>
          <w:snapToGrid w:val="0"/>
        </w:rPr>
        <w:tab/>
        <w:t>conducting a fishing tour.</w:t>
      </w:r>
    </w:p>
    <w:p>
      <w:pPr>
        <w:pStyle w:val="Subsection"/>
        <w:rPr>
          <w:snapToGrid w:val="0"/>
        </w:rPr>
      </w:pPr>
      <w:r>
        <w:rPr>
          <w:snapToGrid w:val="0"/>
        </w:rPr>
        <w:tab/>
        <w:t>(3)</w:t>
      </w:r>
      <w:r>
        <w:rPr>
          <w:snapToGrid w:val="0"/>
        </w:rPr>
        <w:tab/>
        <w:t>A person who is the holder of a fishing boat licence or carrier boat licence must keep a record in a form approved by the CEO of the name, address and details of any commercial fishing licence held by a person who for any period is the master, or has the day to day control, of the boat in respect of which the licence is held.</w:t>
      </w:r>
    </w:p>
    <w:p>
      <w:pPr>
        <w:pStyle w:val="Subsection"/>
        <w:rPr>
          <w:snapToGrid w:val="0"/>
        </w:rPr>
      </w:pPr>
      <w:r>
        <w:rPr>
          <w:snapToGrid w:val="0"/>
        </w:rPr>
        <w:tab/>
        <w:t>(4)</w:t>
      </w:r>
      <w:r>
        <w:rPr>
          <w:snapToGrid w:val="0"/>
        </w:rPr>
        <w:tab/>
        <w:t>Subject to subregulation (6), a person who is to keep records under this regulation must submit a return to the Department regarding the activity each month and, where the CEO has approved a form for that activity, must —</w:t>
      </w:r>
    </w:p>
    <w:p>
      <w:pPr>
        <w:pStyle w:val="Indenta"/>
        <w:spacing w:before="60"/>
        <w:rPr>
          <w:snapToGrid w:val="0"/>
        </w:rPr>
      </w:pPr>
      <w:r>
        <w:rPr>
          <w:snapToGrid w:val="0"/>
        </w:rPr>
        <w:tab/>
        <w:t>(a)</w:t>
      </w:r>
      <w:r>
        <w:rPr>
          <w:snapToGrid w:val="0"/>
        </w:rPr>
        <w:tab/>
        <w:t>use the relevant form approved by the CEO; and</w:t>
      </w:r>
    </w:p>
    <w:p>
      <w:pPr>
        <w:pStyle w:val="Indenta"/>
        <w:spacing w:before="60"/>
      </w:pPr>
      <w:r>
        <w:tab/>
        <w:t>(b)</w:t>
      </w:r>
      <w:r>
        <w:tab/>
        <w:t>send the return relating to each month —</w:t>
      </w:r>
    </w:p>
    <w:p>
      <w:pPr>
        <w:pStyle w:val="Indenti"/>
      </w:pPr>
      <w:r>
        <w:tab/>
        <w:t>(i)</w:t>
      </w:r>
      <w:r>
        <w:tab/>
        <w:t xml:space="preserve">to the head office of the Department in </w:t>
      </w:r>
      <w:smartTag w:uri="urn:schemas-microsoft-com:office:smarttags" w:element="place">
        <w:smartTag w:uri="urn:schemas-microsoft-com:office:smarttags" w:element="City">
          <w:r>
            <w:t>Perth</w:t>
          </w:r>
        </w:smartTag>
      </w:smartTag>
      <w:r>
        <w:t>; or</w:t>
      </w:r>
    </w:p>
    <w:p>
      <w:pPr>
        <w:pStyle w:val="Indenti"/>
        <w:keepNext/>
      </w:pPr>
      <w:r>
        <w:tab/>
        <w:t>(ii)</w:t>
      </w:r>
      <w:r>
        <w:tab/>
        <w:t>if another office of the Department is specified in the relevant form, to that office,</w:t>
      </w:r>
    </w:p>
    <w:p>
      <w:pPr>
        <w:pStyle w:val="Indenta"/>
        <w:keepNext/>
      </w:pPr>
      <w:r>
        <w:tab/>
      </w:r>
      <w:r>
        <w:tab/>
        <w:t>to arrive —</w:t>
      </w:r>
    </w:p>
    <w:p>
      <w:pPr>
        <w:pStyle w:val="Indenti"/>
      </w:pPr>
      <w:r>
        <w:tab/>
        <w:t>(iii)</w:t>
      </w:r>
      <w:r>
        <w:tab/>
        <w:t>not later than the 15th day of the following month; or</w:t>
      </w:r>
    </w:p>
    <w:p>
      <w:pPr>
        <w:pStyle w:val="Indenti"/>
        <w:rPr>
          <w:snapToGrid w:val="0"/>
        </w:rPr>
      </w:pPr>
      <w:r>
        <w:tab/>
        <w:t>(iv)</w:t>
      </w:r>
      <w:r>
        <w:tab/>
        <w:t>if a later day is specified in the relevant form, not later than that day.</w:t>
      </w:r>
    </w:p>
    <w:p>
      <w:pPr>
        <w:pStyle w:val="Subsection"/>
        <w:rPr>
          <w:snapToGrid w:val="0"/>
        </w:rPr>
      </w:pPr>
      <w:r>
        <w:rPr>
          <w:snapToGrid w:val="0"/>
        </w:rPr>
        <w:tab/>
        <w:t>(5)</w:t>
      </w:r>
      <w:r>
        <w:rPr>
          <w:snapToGrid w:val="0"/>
        </w:rPr>
        <w:tab/>
        <w:t>A person who purchases or receives any fish must ensure that the record to be kept under this regulation —</w:t>
      </w:r>
    </w:p>
    <w:p>
      <w:pPr>
        <w:pStyle w:val="Indenta"/>
        <w:rPr>
          <w:snapToGrid w:val="0"/>
        </w:rPr>
      </w:pPr>
      <w:r>
        <w:rPr>
          <w:snapToGrid w:val="0"/>
        </w:rPr>
        <w:tab/>
        <w:t>(a)</w:t>
      </w:r>
      <w:r>
        <w:rPr>
          <w:snapToGrid w:val="0"/>
        </w:rPr>
        <w:tab/>
        <w:t>exists or is made at the time that the fish is purchased or received; and</w:t>
      </w:r>
    </w:p>
    <w:p>
      <w:pPr>
        <w:pStyle w:val="Indenta"/>
        <w:rPr>
          <w:snapToGrid w:val="0"/>
        </w:rPr>
      </w:pPr>
      <w:r>
        <w:rPr>
          <w:snapToGrid w:val="0"/>
        </w:rPr>
        <w:tab/>
        <w:t>(b)</w:t>
      </w:r>
      <w:r>
        <w:rPr>
          <w:snapToGrid w:val="0"/>
        </w:rPr>
        <w:tab/>
        <w:t>specifies —</w:t>
      </w:r>
    </w:p>
    <w:p>
      <w:pPr>
        <w:pStyle w:val="Indenti"/>
        <w:rPr>
          <w:snapToGrid w:val="0"/>
        </w:rPr>
      </w:pPr>
      <w:r>
        <w:rPr>
          <w:snapToGrid w:val="0"/>
        </w:rPr>
        <w:tab/>
        <w:t>(i)</w:t>
      </w:r>
      <w:r>
        <w:rPr>
          <w:snapToGrid w:val="0"/>
        </w:rPr>
        <w:tab/>
        <w:t>the quantity and species of the fish purchased or received; and</w:t>
      </w:r>
    </w:p>
    <w:p>
      <w:pPr>
        <w:pStyle w:val="Indenti"/>
        <w:rPr>
          <w:snapToGrid w:val="0"/>
        </w:rPr>
      </w:pPr>
      <w:r>
        <w:rPr>
          <w:snapToGrid w:val="0"/>
        </w:rPr>
        <w:tab/>
        <w:t>(ii)</w:t>
      </w:r>
      <w:r>
        <w:rPr>
          <w:snapToGrid w:val="0"/>
        </w:rPr>
        <w:tab/>
        <w:t>the date of that purchase or receipt; and</w:t>
      </w:r>
    </w:p>
    <w:p>
      <w:pPr>
        <w:pStyle w:val="Indenti"/>
        <w:rPr>
          <w:snapToGrid w:val="0"/>
        </w:rPr>
      </w:pPr>
      <w:r>
        <w:rPr>
          <w:snapToGrid w:val="0"/>
        </w:rPr>
        <w:tab/>
        <w:t>(iii)</w:t>
      </w:r>
      <w:r>
        <w:rPr>
          <w:snapToGrid w:val="0"/>
        </w:rPr>
        <w:tab/>
        <w:t>the name and address of the person from whom the fish were purchased or received;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kept at the place where the fish are purchased or received.</w:t>
      </w:r>
    </w:p>
    <w:p>
      <w:pPr>
        <w:pStyle w:val="Subsection"/>
        <w:rPr>
          <w:snapToGrid w:val="0"/>
        </w:rPr>
      </w:pPr>
      <w:r>
        <w:rPr>
          <w:snapToGrid w:val="0"/>
        </w:rPr>
        <w:tab/>
        <w:t>(6)</w:t>
      </w:r>
      <w:r>
        <w:rPr>
          <w:snapToGrid w:val="0"/>
        </w:rPr>
        <w:tab/>
        <w:t>The CEO may exempt a person who is to keep records under this regulation from submitting a monthly return under subregulation (4) for the period of time, or in respect of the activities, specified in writing and sent to the person who is to be exempt.</w:t>
      </w:r>
    </w:p>
    <w:p>
      <w:pPr>
        <w:pStyle w:val="Subsection"/>
      </w:pPr>
      <w:r>
        <w:tab/>
        <w:t>(6a)</w:t>
      </w:r>
      <w:r>
        <w:tab/>
        <w:t>A person who has conducted a fishing tour on a boat must complete the records referred to in subregulation (1) before any participant in the tour leaves the boat.</w:t>
      </w:r>
    </w:p>
    <w:p>
      <w:pPr>
        <w:pStyle w:val="Subsection"/>
        <w:keepNext/>
        <w:rPr>
          <w:snapToGrid w:val="0"/>
        </w:rPr>
      </w:pPr>
      <w:r>
        <w:rPr>
          <w:snapToGrid w:val="0"/>
        </w:rPr>
        <w:tab/>
        <w:t>(7)</w:t>
      </w:r>
      <w:r>
        <w:rPr>
          <w:snapToGrid w:val="0"/>
        </w:rPr>
        <w:tab/>
        <w:t>A person must not make an entry or statement that is false or misleading in a material particular in a record kept or a return submitted under this regulation.</w:t>
      </w:r>
    </w:p>
    <w:p>
      <w:pPr>
        <w:pStyle w:val="Penstart"/>
        <w:rPr>
          <w:snapToGrid w:val="0"/>
        </w:rPr>
      </w:pPr>
      <w:r>
        <w:rPr>
          <w:snapToGrid w:val="0"/>
        </w:rPr>
        <w:tab/>
        <w:t>Penalty: In the case of an individual $5 000 or, in the case of a body corporate, $10 000 and in either case in relation to an offence under subregulation (5), the penalty provided in section 222 of the Act.</w:t>
      </w:r>
    </w:p>
    <w:p>
      <w:pPr>
        <w:pStyle w:val="Footnotesection"/>
      </w:pPr>
      <w:r>
        <w:tab/>
        <w:t>[Regulation 64 amended in Gazette 15 Jan 1999 p. 113; 13 Aug 1999 p. 3826; 29 Jun 2001 p. 3164; 27 Jun 2003 p. 2389; 6 Jul 2007 p. 3389; 5 Nov 2009 p. 4412; 1 Mar 2011 p. 667.]</w:t>
      </w:r>
    </w:p>
    <w:p>
      <w:pPr>
        <w:pStyle w:val="Heading2"/>
      </w:pPr>
      <w:bookmarkStart w:id="1700" w:name="_Toc189987924"/>
      <w:bookmarkStart w:id="1701" w:name="_Toc192041507"/>
      <w:bookmarkStart w:id="1702" w:name="_Toc199570741"/>
      <w:bookmarkStart w:id="1703" w:name="_Toc199738737"/>
      <w:bookmarkStart w:id="1704" w:name="_Toc199814838"/>
      <w:bookmarkStart w:id="1705" w:name="_Toc215040645"/>
      <w:bookmarkStart w:id="1706" w:name="_Toc215041090"/>
      <w:bookmarkStart w:id="1707" w:name="_Toc222129300"/>
      <w:bookmarkStart w:id="1708" w:name="_Toc222223005"/>
      <w:bookmarkStart w:id="1709" w:name="_Toc225914257"/>
      <w:bookmarkStart w:id="1710" w:name="_Toc231282302"/>
      <w:bookmarkStart w:id="1711" w:name="_Toc231282746"/>
      <w:bookmarkStart w:id="1712" w:name="_Toc234899333"/>
      <w:bookmarkStart w:id="1713" w:name="_Toc236632615"/>
      <w:bookmarkStart w:id="1714" w:name="_Toc236720228"/>
      <w:bookmarkStart w:id="1715" w:name="_Toc237764427"/>
      <w:bookmarkStart w:id="1716" w:name="_Toc238356051"/>
      <w:bookmarkStart w:id="1717" w:name="_Toc238368756"/>
      <w:bookmarkStart w:id="1718" w:name="_Toc238375709"/>
      <w:bookmarkStart w:id="1719" w:name="_Toc240339033"/>
      <w:bookmarkStart w:id="1720" w:name="_Toc241993539"/>
      <w:bookmarkStart w:id="1721" w:name="_Toc243192682"/>
      <w:bookmarkStart w:id="1722" w:name="_Toc243295384"/>
      <w:bookmarkStart w:id="1723" w:name="_Toc245112957"/>
      <w:bookmarkStart w:id="1724" w:name="_Toc245198119"/>
      <w:bookmarkStart w:id="1725" w:name="_Toc245198568"/>
      <w:bookmarkStart w:id="1726" w:name="_Toc245199017"/>
      <w:bookmarkStart w:id="1727" w:name="_Toc248122047"/>
      <w:bookmarkStart w:id="1728" w:name="_Toc248122498"/>
      <w:bookmarkStart w:id="1729" w:name="_Toc253670485"/>
      <w:bookmarkStart w:id="1730" w:name="_Toc253670935"/>
      <w:bookmarkStart w:id="1731" w:name="_Toc254942705"/>
      <w:bookmarkStart w:id="1732" w:name="_Toc254943158"/>
      <w:bookmarkStart w:id="1733" w:name="_Toc255475750"/>
      <w:bookmarkStart w:id="1734" w:name="_Toc256432071"/>
      <w:bookmarkStart w:id="1735" w:name="_Toc257720408"/>
      <w:bookmarkStart w:id="1736" w:name="_Toc257722090"/>
      <w:bookmarkStart w:id="1737" w:name="_Toc258335766"/>
      <w:bookmarkStart w:id="1738" w:name="_Toc260406208"/>
      <w:bookmarkStart w:id="1739" w:name="_Toc261271394"/>
      <w:bookmarkStart w:id="1740" w:name="_Toc262808076"/>
      <w:bookmarkStart w:id="1741" w:name="_Toc267572469"/>
      <w:bookmarkStart w:id="1742" w:name="_Toc270684218"/>
      <w:bookmarkStart w:id="1743" w:name="_Toc274214395"/>
      <w:bookmarkStart w:id="1744" w:name="_Toc274214844"/>
      <w:bookmarkStart w:id="1745" w:name="_Toc278976175"/>
      <w:bookmarkStart w:id="1746" w:name="_Toc286760498"/>
      <w:bookmarkStart w:id="1747" w:name="_Toc289080843"/>
      <w:bookmarkStart w:id="1748" w:name="_Toc290284037"/>
      <w:bookmarkStart w:id="1749" w:name="_Toc290642858"/>
      <w:bookmarkStart w:id="1750" w:name="_Toc290643307"/>
      <w:bookmarkStart w:id="1751" w:name="_Toc290643760"/>
      <w:bookmarkStart w:id="1752" w:name="_Toc294701577"/>
      <w:bookmarkStart w:id="1753" w:name="_Toc295199985"/>
      <w:bookmarkStart w:id="1754" w:name="_Toc296954426"/>
      <w:bookmarkStart w:id="1755" w:name="_Toc297276058"/>
      <w:bookmarkStart w:id="1756" w:name="_Toc297276510"/>
      <w:bookmarkStart w:id="1757" w:name="_Toc297276960"/>
      <w:bookmarkStart w:id="1758" w:name="_Toc297726329"/>
      <w:bookmarkStart w:id="1759" w:name="_Toc299980115"/>
      <w:bookmarkStart w:id="1760" w:name="_Toc300234741"/>
      <w:bookmarkStart w:id="1761" w:name="_Toc301961244"/>
      <w:bookmarkStart w:id="1762" w:name="_Toc301966814"/>
      <w:bookmarkStart w:id="1763" w:name="_Toc303253023"/>
      <w:bookmarkStart w:id="1764" w:name="_Toc303257187"/>
      <w:bookmarkStart w:id="1765" w:name="_Toc307992822"/>
      <w:bookmarkStart w:id="1766" w:name="_Toc309029855"/>
      <w:bookmarkStart w:id="1767" w:name="_Toc309304078"/>
      <w:bookmarkStart w:id="1768" w:name="_Toc309304531"/>
      <w:bookmarkStart w:id="1769" w:name="_Toc309309355"/>
      <w:r>
        <w:rPr>
          <w:rStyle w:val="CharPartNo"/>
        </w:rPr>
        <w:t>Part 4A</w:t>
      </w:r>
      <w:r>
        <w:rPr>
          <w:b w:val="0"/>
        </w:rPr>
        <w:t> </w:t>
      </w:r>
      <w:r>
        <w:t>—</w:t>
      </w:r>
      <w:r>
        <w:rPr>
          <w:b w:val="0"/>
        </w:rPr>
        <w:t> </w:t>
      </w:r>
      <w:r>
        <w:rPr>
          <w:rStyle w:val="CharPartText"/>
        </w:rPr>
        <w:t>Requirements regarding fishing gear</w:t>
      </w:r>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p>
    <w:p>
      <w:pPr>
        <w:pStyle w:val="Footnoteheading"/>
        <w:tabs>
          <w:tab w:val="left" w:pos="851"/>
        </w:tabs>
      </w:pPr>
      <w:r>
        <w:tab/>
        <w:t>[Heading inserted in Gazette 1 Oct 2003 p. 4304.]</w:t>
      </w:r>
    </w:p>
    <w:p>
      <w:pPr>
        <w:pStyle w:val="Heading3"/>
      </w:pPr>
      <w:bookmarkStart w:id="1770" w:name="_Toc189987925"/>
      <w:bookmarkStart w:id="1771" w:name="_Toc192041508"/>
      <w:bookmarkStart w:id="1772" w:name="_Toc199570742"/>
      <w:bookmarkStart w:id="1773" w:name="_Toc199738738"/>
      <w:bookmarkStart w:id="1774" w:name="_Toc199814839"/>
      <w:bookmarkStart w:id="1775" w:name="_Toc215040646"/>
      <w:bookmarkStart w:id="1776" w:name="_Toc215041091"/>
      <w:bookmarkStart w:id="1777" w:name="_Toc222129301"/>
      <w:bookmarkStart w:id="1778" w:name="_Toc222223006"/>
      <w:bookmarkStart w:id="1779" w:name="_Toc225914258"/>
      <w:bookmarkStart w:id="1780" w:name="_Toc231282303"/>
      <w:bookmarkStart w:id="1781" w:name="_Toc231282747"/>
      <w:bookmarkStart w:id="1782" w:name="_Toc234899334"/>
      <w:bookmarkStart w:id="1783" w:name="_Toc236632616"/>
      <w:bookmarkStart w:id="1784" w:name="_Toc236720229"/>
      <w:bookmarkStart w:id="1785" w:name="_Toc237764428"/>
      <w:bookmarkStart w:id="1786" w:name="_Toc238356052"/>
      <w:bookmarkStart w:id="1787" w:name="_Toc238368757"/>
      <w:bookmarkStart w:id="1788" w:name="_Toc238375710"/>
      <w:bookmarkStart w:id="1789" w:name="_Toc240339034"/>
      <w:bookmarkStart w:id="1790" w:name="_Toc241993540"/>
      <w:bookmarkStart w:id="1791" w:name="_Toc243192683"/>
      <w:bookmarkStart w:id="1792" w:name="_Toc243295385"/>
      <w:bookmarkStart w:id="1793" w:name="_Toc245112958"/>
      <w:bookmarkStart w:id="1794" w:name="_Toc245198120"/>
      <w:bookmarkStart w:id="1795" w:name="_Toc245198569"/>
      <w:bookmarkStart w:id="1796" w:name="_Toc245199018"/>
      <w:bookmarkStart w:id="1797" w:name="_Toc248122048"/>
      <w:bookmarkStart w:id="1798" w:name="_Toc248122499"/>
      <w:bookmarkStart w:id="1799" w:name="_Toc253670486"/>
      <w:bookmarkStart w:id="1800" w:name="_Toc253670936"/>
      <w:bookmarkStart w:id="1801" w:name="_Toc254942706"/>
      <w:bookmarkStart w:id="1802" w:name="_Toc254943159"/>
      <w:bookmarkStart w:id="1803" w:name="_Toc255475751"/>
      <w:bookmarkStart w:id="1804" w:name="_Toc256432072"/>
      <w:bookmarkStart w:id="1805" w:name="_Toc257720409"/>
      <w:bookmarkStart w:id="1806" w:name="_Toc257722091"/>
      <w:bookmarkStart w:id="1807" w:name="_Toc258335767"/>
      <w:bookmarkStart w:id="1808" w:name="_Toc260406209"/>
      <w:bookmarkStart w:id="1809" w:name="_Toc261271395"/>
      <w:bookmarkStart w:id="1810" w:name="_Toc262808077"/>
      <w:bookmarkStart w:id="1811" w:name="_Toc267572470"/>
      <w:bookmarkStart w:id="1812" w:name="_Toc270684219"/>
      <w:bookmarkStart w:id="1813" w:name="_Toc274214396"/>
      <w:bookmarkStart w:id="1814" w:name="_Toc274214845"/>
      <w:bookmarkStart w:id="1815" w:name="_Toc278976176"/>
      <w:bookmarkStart w:id="1816" w:name="_Toc286760499"/>
      <w:bookmarkStart w:id="1817" w:name="_Toc289080844"/>
      <w:bookmarkStart w:id="1818" w:name="_Toc290284038"/>
      <w:bookmarkStart w:id="1819" w:name="_Toc290642859"/>
      <w:bookmarkStart w:id="1820" w:name="_Toc290643308"/>
      <w:bookmarkStart w:id="1821" w:name="_Toc290643761"/>
      <w:bookmarkStart w:id="1822" w:name="_Toc294701578"/>
      <w:bookmarkStart w:id="1823" w:name="_Toc295199986"/>
      <w:bookmarkStart w:id="1824" w:name="_Toc296954427"/>
      <w:bookmarkStart w:id="1825" w:name="_Toc297276059"/>
      <w:bookmarkStart w:id="1826" w:name="_Toc297276511"/>
      <w:bookmarkStart w:id="1827" w:name="_Toc297276961"/>
      <w:bookmarkStart w:id="1828" w:name="_Toc297726330"/>
      <w:bookmarkStart w:id="1829" w:name="_Toc299980116"/>
      <w:bookmarkStart w:id="1830" w:name="_Toc300234742"/>
      <w:bookmarkStart w:id="1831" w:name="_Toc301961245"/>
      <w:bookmarkStart w:id="1832" w:name="_Toc301966815"/>
      <w:bookmarkStart w:id="1833" w:name="_Toc303253024"/>
      <w:bookmarkStart w:id="1834" w:name="_Toc303257188"/>
      <w:bookmarkStart w:id="1835" w:name="_Toc307992823"/>
      <w:bookmarkStart w:id="1836" w:name="_Toc309029856"/>
      <w:bookmarkStart w:id="1837" w:name="_Toc309304079"/>
      <w:bookmarkStart w:id="1838" w:name="_Toc309304532"/>
      <w:bookmarkStart w:id="1839" w:name="_Toc309309356"/>
      <w:r>
        <w:rPr>
          <w:rStyle w:val="CharDivNo"/>
        </w:rPr>
        <w:t>Division 1</w:t>
      </w:r>
      <w:r>
        <w:t> — </w:t>
      </w:r>
      <w:r>
        <w:rPr>
          <w:rStyle w:val="CharDivText"/>
        </w:rPr>
        <w:t>Preliminary</w:t>
      </w:r>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p>
    <w:p>
      <w:pPr>
        <w:pStyle w:val="Footnoteheading"/>
        <w:tabs>
          <w:tab w:val="left" w:pos="851"/>
        </w:tabs>
      </w:pPr>
      <w:r>
        <w:tab/>
        <w:t>[Heading inserted in Gazette 1 Oct 2003 p. 4304.]</w:t>
      </w:r>
    </w:p>
    <w:p>
      <w:pPr>
        <w:pStyle w:val="Heading5"/>
      </w:pPr>
      <w:bookmarkStart w:id="1840" w:name="_Toc309309357"/>
      <w:r>
        <w:rPr>
          <w:rStyle w:val="CharSectno"/>
        </w:rPr>
        <w:t>64A</w:t>
      </w:r>
      <w:r>
        <w:t>.</w:t>
      </w:r>
      <w:r>
        <w:tab/>
        <w:t>Order of precedence of Div. 2, 3 and 4</w:t>
      </w:r>
      <w:bookmarkEnd w:id="1840"/>
    </w:p>
    <w:p>
      <w:pPr>
        <w:pStyle w:val="Subsection"/>
      </w:pPr>
      <w:r>
        <w:tab/>
      </w:r>
      <w:r>
        <w:tab/>
        <w:t>If there is conflict or inconsistency between the provisions of Division 2, 3 or 4 then, to the extent of the conflict or inconsistency —</w:t>
      </w:r>
    </w:p>
    <w:p>
      <w:pPr>
        <w:pStyle w:val="Indenta"/>
      </w:pPr>
      <w:r>
        <w:tab/>
        <w:t>(a)</w:t>
      </w:r>
      <w:r>
        <w:tab/>
        <w:t>the provisions of Division 3 prevail over the provisions of Division 2; and</w:t>
      </w:r>
    </w:p>
    <w:p>
      <w:pPr>
        <w:pStyle w:val="Indenta"/>
      </w:pPr>
      <w:r>
        <w:tab/>
        <w:t>(b)</w:t>
      </w:r>
      <w:r>
        <w:tab/>
        <w:t>the provisions of Division 4 prevail over the provisions of Divisions 2 and 3.</w:t>
      </w:r>
    </w:p>
    <w:p>
      <w:pPr>
        <w:pStyle w:val="Footnotesection"/>
      </w:pPr>
      <w:r>
        <w:tab/>
        <w:t>[Regulation 64A inserted in Gazette 1 Oct 2003 p. 4304.]</w:t>
      </w:r>
    </w:p>
    <w:p>
      <w:pPr>
        <w:pStyle w:val="Heading5"/>
      </w:pPr>
      <w:bookmarkStart w:id="1841" w:name="_Toc309309358"/>
      <w:r>
        <w:rPr>
          <w:rStyle w:val="CharSectno"/>
        </w:rPr>
        <w:t>64B</w:t>
      </w:r>
      <w:r>
        <w:t>.</w:t>
      </w:r>
      <w:r>
        <w:tab/>
        <w:t>Term used: attend</w:t>
      </w:r>
      <w:bookmarkEnd w:id="1841"/>
    </w:p>
    <w:p>
      <w:pPr>
        <w:pStyle w:val="Subsection"/>
      </w:pPr>
      <w:r>
        <w:tab/>
      </w:r>
      <w:r>
        <w:tab/>
        <w:t>In this Part —</w:t>
      </w:r>
    </w:p>
    <w:p>
      <w:pPr>
        <w:pStyle w:val="Defstart"/>
      </w:pPr>
      <w:r>
        <w:rPr>
          <w:b/>
        </w:rPr>
        <w:tab/>
      </w:r>
      <w:r>
        <w:rPr>
          <w:rStyle w:val="CharDefText"/>
        </w:rPr>
        <w:t>attend</w:t>
      </w:r>
      <w:r>
        <w:t xml:space="preserve"> in respect of a line, means to be within 10 m of the line.</w:t>
      </w:r>
    </w:p>
    <w:p>
      <w:pPr>
        <w:pStyle w:val="Footnotesection"/>
      </w:pPr>
      <w:r>
        <w:tab/>
        <w:t>[Regulation 64B inserted in Gazette 1 Oct 2003 p. 4304.]</w:t>
      </w:r>
    </w:p>
    <w:p>
      <w:pPr>
        <w:pStyle w:val="Heading3"/>
      </w:pPr>
      <w:bookmarkStart w:id="1842" w:name="_Toc189987928"/>
      <w:bookmarkStart w:id="1843" w:name="_Toc192041511"/>
      <w:bookmarkStart w:id="1844" w:name="_Toc199570745"/>
      <w:bookmarkStart w:id="1845" w:name="_Toc199738741"/>
      <w:bookmarkStart w:id="1846" w:name="_Toc199814842"/>
      <w:bookmarkStart w:id="1847" w:name="_Toc215040649"/>
      <w:bookmarkStart w:id="1848" w:name="_Toc215041094"/>
      <w:bookmarkStart w:id="1849" w:name="_Toc222129304"/>
      <w:bookmarkStart w:id="1850" w:name="_Toc222223009"/>
      <w:bookmarkStart w:id="1851" w:name="_Toc225914261"/>
      <w:bookmarkStart w:id="1852" w:name="_Toc231282306"/>
      <w:bookmarkStart w:id="1853" w:name="_Toc231282750"/>
      <w:bookmarkStart w:id="1854" w:name="_Toc234899337"/>
      <w:bookmarkStart w:id="1855" w:name="_Toc236632619"/>
      <w:bookmarkStart w:id="1856" w:name="_Toc236720232"/>
      <w:bookmarkStart w:id="1857" w:name="_Toc237764431"/>
      <w:bookmarkStart w:id="1858" w:name="_Toc238356055"/>
      <w:bookmarkStart w:id="1859" w:name="_Toc238368760"/>
      <w:bookmarkStart w:id="1860" w:name="_Toc238375713"/>
      <w:bookmarkStart w:id="1861" w:name="_Toc240339037"/>
      <w:bookmarkStart w:id="1862" w:name="_Toc241993543"/>
      <w:bookmarkStart w:id="1863" w:name="_Toc243192686"/>
      <w:bookmarkStart w:id="1864" w:name="_Toc243295388"/>
      <w:bookmarkStart w:id="1865" w:name="_Toc245112961"/>
      <w:bookmarkStart w:id="1866" w:name="_Toc245198123"/>
      <w:bookmarkStart w:id="1867" w:name="_Toc245198572"/>
      <w:bookmarkStart w:id="1868" w:name="_Toc245199021"/>
      <w:bookmarkStart w:id="1869" w:name="_Toc248122051"/>
      <w:bookmarkStart w:id="1870" w:name="_Toc248122502"/>
      <w:bookmarkStart w:id="1871" w:name="_Toc253670489"/>
      <w:bookmarkStart w:id="1872" w:name="_Toc253670939"/>
      <w:bookmarkStart w:id="1873" w:name="_Toc254942709"/>
      <w:bookmarkStart w:id="1874" w:name="_Toc254943162"/>
      <w:bookmarkStart w:id="1875" w:name="_Toc255475754"/>
      <w:bookmarkStart w:id="1876" w:name="_Toc256432075"/>
      <w:bookmarkStart w:id="1877" w:name="_Toc257720412"/>
      <w:bookmarkStart w:id="1878" w:name="_Toc257722094"/>
      <w:bookmarkStart w:id="1879" w:name="_Toc258335770"/>
      <w:bookmarkStart w:id="1880" w:name="_Toc260406212"/>
      <w:bookmarkStart w:id="1881" w:name="_Toc261271398"/>
      <w:bookmarkStart w:id="1882" w:name="_Toc262808080"/>
      <w:bookmarkStart w:id="1883" w:name="_Toc267572473"/>
      <w:bookmarkStart w:id="1884" w:name="_Toc270684222"/>
      <w:bookmarkStart w:id="1885" w:name="_Toc274214399"/>
      <w:bookmarkStart w:id="1886" w:name="_Toc274214848"/>
      <w:bookmarkStart w:id="1887" w:name="_Toc278976179"/>
      <w:bookmarkStart w:id="1888" w:name="_Toc286760502"/>
      <w:bookmarkStart w:id="1889" w:name="_Toc289080847"/>
      <w:bookmarkStart w:id="1890" w:name="_Toc290284041"/>
      <w:bookmarkStart w:id="1891" w:name="_Toc290642862"/>
      <w:bookmarkStart w:id="1892" w:name="_Toc290643311"/>
      <w:bookmarkStart w:id="1893" w:name="_Toc290643764"/>
      <w:bookmarkStart w:id="1894" w:name="_Toc294701581"/>
      <w:bookmarkStart w:id="1895" w:name="_Toc295199989"/>
      <w:bookmarkStart w:id="1896" w:name="_Toc296954430"/>
      <w:bookmarkStart w:id="1897" w:name="_Toc297276062"/>
      <w:bookmarkStart w:id="1898" w:name="_Toc297276514"/>
      <w:bookmarkStart w:id="1899" w:name="_Toc297276964"/>
      <w:bookmarkStart w:id="1900" w:name="_Toc297726333"/>
      <w:bookmarkStart w:id="1901" w:name="_Toc299980119"/>
      <w:bookmarkStart w:id="1902" w:name="_Toc300234745"/>
      <w:bookmarkStart w:id="1903" w:name="_Toc301961248"/>
      <w:bookmarkStart w:id="1904" w:name="_Toc301966818"/>
      <w:bookmarkStart w:id="1905" w:name="_Toc303253027"/>
      <w:bookmarkStart w:id="1906" w:name="_Toc303257191"/>
      <w:bookmarkStart w:id="1907" w:name="_Toc307992826"/>
      <w:bookmarkStart w:id="1908" w:name="_Toc309029859"/>
      <w:bookmarkStart w:id="1909" w:name="_Toc309304082"/>
      <w:bookmarkStart w:id="1910" w:name="_Toc309304535"/>
      <w:bookmarkStart w:id="1911" w:name="_Toc309309359"/>
      <w:r>
        <w:rPr>
          <w:rStyle w:val="CharDivNo"/>
        </w:rPr>
        <w:t>Division 2</w:t>
      </w:r>
      <w:r>
        <w:t> — </w:t>
      </w:r>
      <w:r>
        <w:rPr>
          <w:rStyle w:val="CharDivText"/>
        </w:rPr>
        <w:t>Statewide requirements regarding fishing gear</w:t>
      </w:r>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p>
    <w:p>
      <w:pPr>
        <w:pStyle w:val="Footnoteheading"/>
        <w:tabs>
          <w:tab w:val="left" w:pos="851"/>
        </w:tabs>
      </w:pPr>
      <w:r>
        <w:tab/>
        <w:t>[Heading inserted in Gazette 1 Oct 2003 p. 4304.]</w:t>
      </w:r>
    </w:p>
    <w:p>
      <w:pPr>
        <w:pStyle w:val="Heading5"/>
        <w:spacing w:before="180"/>
      </w:pPr>
      <w:bookmarkStart w:id="1912" w:name="_Toc309309360"/>
      <w:r>
        <w:rPr>
          <w:rStyle w:val="CharSectno"/>
        </w:rPr>
        <w:t>64C</w:t>
      </w:r>
      <w:r>
        <w:t>.</w:t>
      </w:r>
      <w:r>
        <w:tab/>
        <w:t>Fishing lines in use for recreational fishing must be attended</w:t>
      </w:r>
      <w:bookmarkEnd w:id="1912"/>
    </w:p>
    <w:p>
      <w:pPr>
        <w:pStyle w:val="Subsection"/>
      </w:pPr>
      <w:r>
        <w:tab/>
        <w:t>(1)</w:t>
      </w:r>
      <w:r>
        <w:tab/>
        <w:t>A person who fishes using a line must attend that line.</w:t>
      </w:r>
    </w:p>
    <w:p>
      <w:pPr>
        <w:pStyle w:val="Penstart"/>
      </w:pPr>
      <w:r>
        <w:tab/>
        <w:t>Penalty: $2 000.</w:t>
      </w:r>
    </w:p>
    <w:p>
      <w:pPr>
        <w:pStyle w:val="Subsection"/>
      </w:pPr>
      <w:r>
        <w:tab/>
        <w:t>(2)</w:t>
      </w:r>
      <w:r>
        <w:tab/>
        <w:t>Subregulation (1) does not apply to or in relation to a person fishing for a commercial purpose in accordance with an authorisation.</w:t>
      </w:r>
    </w:p>
    <w:p>
      <w:pPr>
        <w:pStyle w:val="Footnotesection"/>
        <w:spacing w:before="100"/>
        <w:ind w:left="890" w:hanging="890"/>
      </w:pPr>
      <w:r>
        <w:tab/>
        <w:t>[Regulation 64C inserted in Gazette 1 Oct 2003 p. 4304.]</w:t>
      </w:r>
    </w:p>
    <w:p>
      <w:pPr>
        <w:pStyle w:val="Heading5"/>
      </w:pPr>
      <w:bookmarkStart w:id="1913" w:name="_Toc309309361"/>
      <w:r>
        <w:rPr>
          <w:rStyle w:val="CharSectno"/>
        </w:rPr>
        <w:t>64D</w:t>
      </w:r>
      <w:r>
        <w:t>.</w:t>
      </w:r>
      <w:r>
        <w:tab/>
        <w:t>Nets, determining length, depth and mesh of</w:t>
      </w:r>
      <w:bookmarkEnd w:id="1913"/>
    </w:p>
    <w:p>
      <w:pPr>
        <w:pStyle w:val="Subsection"/>
      </w:pPr>
      <w:r>
        <w:tab/>
        <w:t>(1)</w:t>
      </w:r>
      <w:r>
        <w:tab/>
        <w:t>For the purposes of these regulations —</w:t>
      </w:r>
    </w:p>
    <w:p>
      <w:pPr>
        <w:pStyle w:val="Indenta"/>
      </w:pPr>
      <w:r>
        <w:tab/>
        <w:t>(a)</w:t>
      </w:r>
      <w:r>
        <w:tab/>
        <w:t>the length of a fishing net is determined by measuring the net along the cork line on which the net is hung; and</w:t>
      </w:r>
    </w:p>
    <w:p>
      <w:pPr>
        <w:pStyle w:val="Indenta"/>
      </w:pPr>
      <w:r>
        <w:tab/>
        <w:t>(b)</w:t>
      </w:r>
      <w:r>
        <w:tab/>
        <w:t>the depth of a fishing net is determined by counting the number of meshes between opposite points on the cork and lead lines; and</w:t>
      </w:r>
    </w:p>
    <w:p>
      <w:pPr>
        <w:pStyle w:val="Indenta"/>
      </w:pPr>
      <w:r>
        <w:tab/>
        <w:t>(c)</w:t>
      </w:r>
      <w:r>
        <w:tab/>
        <w:t>subject to subregulation (3), the size of the mesh of a fishing net is determined by measuring from knot to knot on the inside of the mesh when lightly stretched so that the opposite knots on the alternate corners are in contact.</w:t>
      </w:r>
    </w:p>
    <w:p>
      <w:pPr>
        <w:pStyle w:val="Subsection"/>
      </w:pPr>
      <w:r>
        <w:tab/>
        <w:t>(2)</w:t>
      </w:r>
      <w:r>
        <w:tab/>
        <w:t>If there is any dispute in relation to the determination of the size of the mesh of a fishing net, a 225 g weight is to be attached to one knot of the mesh to be measured and the space between that and the opposite knot measured.</w:t>
      </w:r>
    </w:p>
    <w:p>
      <w:pPr>
        <w:pStyle w:val="Subsection"/>
      </w:pPr>
      <w:r>
        <w:tab/>
        <w:t>(3)</w:t>
      </w:r>
      <w:r>
        <w:tab/>
        <w:t>If the fishing net is dry and is not constructed of single monofilament material, it is to be soaked in water for at least 10 minutes before the size of the mesh is determined in accordance with this regulation.</w:t>
      </w:r>
    </w:p>
    <w:p>
      <w:pPr>
        <w:pStyle w:val="Footnotesection"/>
      </w:pPr>
      <w:r>
        <w:tab/>
        <w:t>[Regulation 64D inserted in Gazette 1 Oct 2003 p. 4305.]</w:t>
      </w:r>
    </w:p>
    <w:p>
      <w:pPr>
        <w:pStyle w:val="Heading5"/>
      </w:pPr>
      <w:bookmarkStart w:id="1914" w:name="_Toc309309362"/>
      <w:r>
        <w:rPr>
          <w:rStyle w:val="CharSectno"/>
        </w:rPr>
        <w:t>64DA</w:t>
      </w:r>
      <w:r>
        <w:t>.</w:t>
      </w:r>
      <w:r>
        <w:tab/>
        <w:t>Hauling nets not to be used for recreational fishing beyond 800 m offshore</w:t>
      </w:r>
      <w:bookmarkEnd w:id="1914"/>
    </w:p>
    <w:p>
      <w:pPr>
        <w:pStyle w:val="Subsection"/>
      </w:pPr>
      <w:r>
        <w:tab/>
        <w:t>(1)</w:t>
      </w:r>
      <w:r>
        <w:tab/>
        <w:t>A person must not fish by using a fishing net that is a hauling net in any ocean waters outside 800 m of the low water mark of any part of the State or any island within WA waters.</w:t>
      </w:r>
    </w:p>
    <w:p>
      <w:pPr>
        <w:pStyle w:val="Subsection"/>
      </w:pPr>
      <w:r>
        <w:tab/>
        <w:t>(2)</w:t>
      </w:r>
      <w:r>
        <w:tab/>
        <w:t>Subregulation (1) does not apply to a person fishing for a commercial purpose in accordance with an authorisation.</w:t>
      </w:r>
    </w:p>
    <w:p>
      <w:pPr>
        <w:pStyle w:val="Penstart"/>
      </w:pPr>
      <w:r>
        <w:tab/>
        <w:t>Penalty: $2 000.</w:t>
      </w:r>
    </w:p>
    <w:p>
      <w:pPr>
        <w:pStyle w:val="Footnotesection"/>
      </w:pPr>
      <w:r>
        <w:tab/>
        <w:t>[Regulation 64DA inserted in Gazette 22 Dec 2005 p. 6222.]</w:t>
      </w:r>
    </w:p>
    <w:p>
      <w:pPr>
        <w:pStyle w:val="Heading5"/>
      </w:pPr>
      <w:bookmarkStart w:id="1915" w:name="_Toc309309363"/>
      <w:r>
        <w:rPr>
          <w:rStyle w:val="CharSectno"/>
        </w:rPr>
        <w:t>64E</w:t>
      </w:r>
      <w:r>
        <w:t>.</w:t>
      </w:r>
      <w:r>
        <w:tab/>
        <w:t>Lines etc. used for recreational fishing, limit on number of</w:t>
      </w:r>
      <w:bookmarkEnd w:id="1915"/>
    </w:p>
    <w:p>
      <w:pPr>
        <w:pStyle w:val="Subsection"/>
      </w:pPr>
      <w:r>
        <w:tab/>
        <w:t>(1)</w:t>
      </w:r>
      <w:r>
        <w:tab/>
        <w:t>Unless otherwise specified in the Act or these regulations and subject to subregulation (2), a person must not use more than 2 rods, reels and lines or single lines held in the hand at any one time when fishing.</w:t>
      </w:r>
    </w:p>
    <w:p>
      <w:pPr>
        <w:pStyle w:val="Subsection"/>
      </w:pPr>
      <w:r>
        <w:tab/>
        <w:t>(2)</w:t>
      </w:r>
      <w:r>
        <w:tab/>
        <w:t>Subregulation (1) does not apply to —</w:t>
      </w:r>
    </w:p>
    <w:p>
      <w:pPr>
        <w:pStyle w:val="Indenta"/>
      </w:pPr>
      <w:r>
        <w:tab/>
        <w:t>(a)</w:t>
      </w:r>
      <w:r>
        <w:tab/>
        <w:t>the holder of a commercial fishing licence; or</w:t>
      </w:r>
    </w:p>
    <w:p>
      <w:pPr>
        <w:pStyle w:val="Indenta"/>
      </w:pPr>
      <w:r>
        <w:tab/>
        <w:t>(b)</w:t>
      </w:r>
      <w:r>
        <w:tab/>
        <w:t>a person fishing from a boat.</w:t>
      </w:r>
    </w:p>
    <w:p>
      <w:pPr>
        <w:pStyle w:val="Subsection"/>
      </w:pPr>
      <w:r>
        <w:tab/>
        <w:t>(3)</w:t>
      </w:r>
      <w:r>
        <w:tab/>
        <w:t>A person, other than the holder of a commercial fishing licence, when fishing WA waters may not use a line with more than 3 hooks or gangs of hooks attached.</w:t>
      </w:r>
    </w:p>
    <w:p>
      <w:pPr>
        <w:pStyle w:val="Penstart"/>
        <w:spacing w:before="120"/>
      </w:pPr>
      <w:r>
        <w:tab/>
        <w:t>Penalty: $2 000.</w:t>
      </w:r>
    </w:p>
    <w:p>
      <w:pPr>
        <w:pStyle w:val="Footnotesection"/>
      </w:pPr>
      <w:r>
        <w:tab/>
        <w:t>[Regulation 64E inserted in Gazette 1 Oct 2003 p. 4305</w:t>
      </w:r>
      <w:r>
        <w:noBreakHyphen/>
        <w:t>6.]</w:t>
      </w:r>
    </w:p>
    <w:p>
      <w:pPr>
        <w:pStyle w:val="Heading5"/>
      </w:pPr>
      <w:bookmarkStart w:id="1916" w:name="_Toc309309364"/>
      <w:r>
        <w:rPr>
          <w:rStyle w:val="CharSectno"/>
        </w:rPr>
        <w:t>64F</w:t>
      </w:r>
      <w:r>
        <w:t>.</w:t>
      </w:r>
      <w:r>
        <w:tab/>
        <w:t>Fishing nets, general requirements for</w:t>
      </w:r>
      <w:bookmarkEnd w:id="1916"/>
    </w:p>
    <w:p>
      <w:pPr>
        <w:pStyle w:val="Subsection"/>
      </w:pPr>
      <w:r>
        <w:tab/>
        <w:t>(1)</w:t>
      </w:r>
      <w:r>
        <w:tab/>
        <w:t>A person must not fish by means of using a fishing net, unless the person uses only one net at any one time and —</w:t>
      </w:r>
    </w:p>
    <w:p>
      <w:pPr>
        <w:pStyle w:val="Indenta"/>
      </w:pPr>
      <w:r>
        <w:tab/>
        <w:t>(a)</w:t>
      </w:r>
      <w:r>
        <w:tab/>
        <w:t>where the net is a throw net, it —</w:t>
      </w:r>
    </w:p>
    <w:p>
      <w:pPr>
        <w:pStyle w:val="Indenti"/>
      </w:pPr>
      <w:r>
        <w:tab/>
        <w:t>(i)</w:t>
      </w:r>
      <w:r>
        <w:tab/>
        <w:t>has a length not exceeding 3 m measured from the centre retrieval line to the lead line; and</w:t>
      </w:r>
    </w:p>
    <w:p>
      <w:pPr>
        <w:pStyle w:val="Indenti"/>
      </w:pPr>
      <w:r>
        <w:tab/>
        <w:t>(ii)</w:t>
      </w:r>
      <w:r>
        <w:tab/>
        <w:t>has a mesh of not more than 25 mm;</w:t>
      </w:r>
    </w:p>
    <w:p>
      <w:pPr>
        <w:pStyle w:val="Indenta"/>
      </w:pPr>
      <w:r>
        <w:tab/>
      </w:r>
      <w:r>
        <w:tab/>
        <w:t>or</w:t>
      </w:r>
    </w:p>
    <w:p>
      <w:pPr>
        <w:pStyle w:val="Indenta"/>
      </w:pPr>
      <w:r>
        <w:tab/>
        <w:t>(b)</w:t>
      </w:r>
      <w:r>
        <w:tab/>
        <w:t>where the fishing net is not a throw net, it —</w:t>
      </w:r>
    </w:p>
    <w:p>
      <w:pPr>
        <w:pStyle w:val="Indenti"/>
      </w:pPr>
      <w:r>
        <w:tab/>
        <w:t>(i)</w:t>
      </w:r>
      <w:r>
        <w:tab/>
        <w:t>has a length not exceeding 60 m; and</w:t>
      </w:r>
    </w:p>
    <w:p>
      <w:pPr>
        <w:pStyle w:val="Indenti"/>
      </w:pPr>
      <w:r>
        <w:tab/>
        <w:t>(ii)</w:t>
      </w:r>
      <w:r>
        <w:tab/>
        <w:t>is not more than 25 meshes in depth; and</w:t>
      </w:r>
    </w:p>
    <w:p>
      <w:pPr>
        <w:pStyle w:val="Indenti"/>
      </w:pPr>
      <w:r>
        <w:tab/>
        <w:t>(iii)</w:t>
      </w:r>
      <w:r>
        <w:tab/>
        <w:t>does not have a bag or pocket; and</w:t>
      </w:r>
    </w:p>
    <w:p>
      <w:pPr>
        <w:pStyle w:val="Indenti"/>
      </w:pPr>
      <w:r>
        <w:tab/>
        <w:t>(iv)</w:t>
      </w:r>
      <w:r>
        <w:tab/>
        <w:t>has end floats with a diameter of not less than 150 mm on each of which is marked, in legible characters not less than 60 mm high and 10 mm wide, the gear identification number of that person; and</w:t>
      </w:r>
    </w:p>
    <w:p>
      <w:pPr>
        <w:pStyle w:val="Indenti"/>
      </w:pPr>
      <w:r>
        <w:tab/>
        <w:t>(v)</w:t>
      </w:r>
      <w:r>
        <w:tab/>
        <w:t>has a mesh in accordance with subregulation (2); and</w:t>
      </w:r>
    </w:p>
    <w:p>
      <w:pPr>
        <w:pStyle w:val="Indenti"/>
      </w:pPr>
      <w:r>
        <w:tab/>
        <w:t>(vi)</w:t>
      </w:r>
      <w:r>
        <w:tab/>
        <w:t>where the fishing net is a haul net —</w:t>
      </w:r>
    </w:p>
    <w:p>
      <w:pPr>
        <w:pStyle w:val="IndentI0"/>
      </w:pPr>
      <w:r>
        <w:tab/>
        <w:t>(I)</w:t>
      </w:r>
      <w:r>
        <w:tab/>
        <w:t>does not have attached to it a rope exceeding 25 m in length; and</w:t>
      </w:r>
    </w:p>
    <w:p>
      <w:pPr>
        <w:pStyle w:val="IndentI0"/>
      </w:pPr>
      <w:r>
        <w:tab/>
        <w:t>(II)</w:t>
      </w:r>
      <w:r>
        <w:tab/>
        <w:t>is not hauled other than by hand;</w:t>
      </w:r>
    </w:p>
    <w:p>
      <w:pPr>
        <w:pStyle w:val="Indenti"/>
      </w:pPr>
      <w:r>
        <w:tab/>
      </w:r>
      <w:r>
        <w:tab/>
        <w:t>and</w:t>
      </w:r>
    </w:p>
    <w:p>
      <w:pPr>
        <w:pStyle w:val="Indenti"/>
      </w:pPr>
      <w:r>
        <w:tab/>
        <w:t>(vii)</w:t>
      </w:r>
      <w:r>
        <w:tab/>
        <w:t>where the fishing net is a set net, has at all times one edge floating on the surface of the water in which it is set; and</w:t>
      </w:r>
    </w:p>
    <w:p>
      <w:pPr>
        <w:pStyle w:val="Indenti"/>
      </w:pPr>
      <w:r>
        <w:tab/>
        <w:t>(viii)</w:t>
      </w:r>
      <w:r>
        <w:tab/>
        <w:t>is made of a material which is not less than 0.35 mm in diameter.</w:t>
      </w:r>
    </w:p>
    <w:p>
      <w:pPr>
        <w:pStyle w:val="Subsection"/>
      </w:pPr>
      <w:r>
        <w:tab/>
        <w:t>(2)</w:t>
      </w:r>
      <w:r>
        <w:tab/>
        <w:t>The mesh of a fishing net referred to in subregulation (1)(b)(v) is to be not less than —</w:t>
      </w:r>
    </w:p>
    <w:p>
      <w:pPr>
        <w:pStyle w:val="Indenta"/>
        <w:spacing w:before="60"/>
      </w:pPr>
      <w:r>
        <w:tab/>
        <w:t>(a)</w:t>
      </w:r>
      <w:r>
        <w:tab/>
        <w:t>63 mm or more than 87 mm, where the net is used in the waters of any estuary, river or inlet, or in the entrance of any of those waters; or</w:t>
      </w:r>
    </w:p>
    <w:p>
      <w:pPr>
        <w:pStyle w:val="Indenta"/>
        <w:spacing w:before="60"/>
      </w:pPr>
      <w:r>
        <w:tab/>
        <w:t>(b)</w:t>
      </w:r>
      <w:r>
        <w:tab/>
        <w:t>51 mm or more than 114 mm, where the net is not set in any waters other than those referred to in paragraph (a); or</w:t>
      </w:r>
    </w:p>
    <w:p>
      <w:pPr>
        <w:pStyle w:val="Indenta"/>
        <w:spacing w:before="60"/>
      </w:pPr>
      <w:r>
        <w:tab/>
        <w:t>(c)</w:t>
      </w:r>
      <w:r>
        <w:tab/>
        <w:t>75 mm or more than 114 mm, where the net is set in any waters other than those referred to in paragraph (a).</w:t>
      </w:r>
    </w:p>
    <w:p>
      <w:pPr>
        <w:pStyle w:val="Subsection"/>
      </w:pPr>
      <w:r>
        <w:tab/>
        <w:t>(3)</w:t>
      </w:r>
      <w:r>
        <w:tab/>
        <w:t>This regulation does not apply —</w:t>
      </w:r>
    </w:p>
    <w:p>
      <w:pPr>
        <w:pStyle w:val="Indenta"/>
      </w:pPr>
      <w:r>
        <w:tab/>
        <w:t>(a)</w:t>
      </w:r>
      <w:r>
        <w:tab/>
        <w:t>to a person using a fishing net under the authority of a commercial fishing licence or an aquaculture licence; or</w:t>
      </w:r>
    </w:p>
    <w:p>
      <w:pPr>
        <w:pStyle w:val="Indenta"/>
      </w:pPr>
      <w:r>
        <w:tab/>
        <w:t>(b)</w:t>
      </w:r>
      <w:r>
        <w:tab/>
        <w:t>to the taking of cherabin, crab, marron, freshwater crayfish or prawn.</w:t>
      </w:r>
    </w:p>
    <w:p>
      <w:pPr>
        <w:pStyle w:val="Penstart"/>
      </w:pPr>
      <w:r>
        <w:tab/>
        <w:t>Penalty: $2 000.</w:t>
      </w:r>
    </w:p>
    <w:p>
      <w:pPr>
        <w:pStyle w:val="Footnotesection"/>
      </w:pPr>
      <w:r>
        <w:tab/>
        <w:t>[Regulation 64F inserted in Gazette 1 Oct 2003 p. 4306</w:t>
      </w:r>
      <w:r>
        <w:noBreakHyphen/>
        <w:t>7.]</w:t>
      </w:r>
    </w:p>
    <w:p>
      <w:pPr>
        <w:pStyle w:val="Heading5"/>
        <w:spacing w:before="180"/>
      </w:pPr>
      <w:bookmarkStart w:id="1917" w:name="_Toc309309365"/>
      <w:r>
        <w:rPr>
          <w:rStyle w:val="CharSectno"/>
        </w:rPr>
        <w:t>64G</w:t>
      </w:r>
      <w:r>
        <w:t>.</w:t>
      </w:r>
      <w:r>
        <w:tab/>
        <w:t>Fishing nets, minimum distance between when set</w:t>
      </w:r>
      <w:bookmarkEnd w:id="1917"/>
    </w:p>
    <w:p>
      <w:pPr>
        <w:pStyle w:val="Subsection"/>
        <w:keepNext/>
        <w:keepLines/>
      </w:pPr>
      <w:r>
        <w:tab/>
      </w:r>
      <w:r>
        <w:tab/>
        <w:t>A person must not in any waters set a fishing net within 50 m of any other fishing net that is set.</w:t>
      </w:r>
    </w:p>
    <w:p>
      <w:pPr>
        <w:pStyle w:val="Penstart"/>
        <w:keepNext/>
        <w:keepLines/>
      </w:pPr>
      <w:r>
        <w:tab/>
        <w:t>Penalty: $1 000.</w:t>
      </w:r>
    </w:p>
    <w:p>
      <w:pPr>
        <w:pStyle w:val="Footnotesection"/>
      </w:pPr>
      <w:r>
        <w:tab/>
        <w:t>[Regulation 64G inserted in Gazette 1 Oct 2003 p. 4307.]</w:t>
      </w:r>
    </w:p>
    <w:p>
      <w:pPr>
        <w:pStyle w:val="Heading5"/>
        <w:spacing w:before="240"/>
      </w:pPr>
      <w:bookmarkStart w:id="1918" w:name="_Toc309309366"/>
      <w:r>
        <w:rPr>
          <w:rStyle w:val="CharSectno"/>
        </w:rPr>
        <w:t>64H</w:t>
      </w:r>
      <w:r>
        <w:t>.</w:t>
      </w:r>
      <w:r>
        <w:tab/>
        <w:t>Fishing nets to be drawn so as to protect protected fish</w:t>
      </w:r>
      <w:bookmarkEnd w:id="1918"/>
    </w:p>
    <w:p>
      <w:pPr>
        <w:pStyle w:val="Subsection"/>
      </w:pPr>
      <w:r>
        <w:tab/>
      </w:r>
      <w:r>
        <w:tab/>
        <w:t>A person must not in any waters draw a fishing net on shore or on board a boat in such a manner that any protected fish in the net are, or may be, killed.</w:t>
      </w:r>
    </w:p>
    <w:p>
      <w:pPr>
        <w:pStyle w:val="Penstart"/>
      </w:pPr>
      <w:r>
        <w:tab/>
        <w:t>Penalty: $1 000.</w:t>
      </w:r>
    </w:p>
    <w:p>
      <w:pPr>
        <w:pStyle w:val="Footnotesection"/>
      </w:pPr>
      <w:r>
        <w:tab/>
        <w:t>[Regulation 64H inserted in Gazette 1 Oct 2003 p. 4308.]</w:t>
      </w:r>
    </w:p>
    <w:p>
      <w:pPr>
        <w:pStyle w:val="Heading5"/>
        <w:spacing w:before="240"/>
      </w:pPr>
      <w:bookmarkStart w:id="1919" w:name="_Toc309309367"/>
      <w:r>
        <w:rPr>
          <w:rStyle w:val="CharSectno"/>
        </w:rPr>
        <w:t>64I</w:t>
      </w:r>
      <w:r>
        <w:t>.</w:t>
      </w:r>
      <w:r>
        <w:tab/>
        <w:t>Net fishing by commercial fishers in same area, priority rights between</w:t>
      </w:r>
      <w:bookmarkEnd w:id="1919"/>
    </w:p>
    <w:p>
      <w:pPr>
        <w:pStyle w:val="Subsection"/>
      </w:pPr>
      <w:r>
        <w:tab/>
        <w:t>(1)</w:t>
      </w:r>
      <w:r>
        <w:tab/>
        <w:t>Priority between holders of commercial fishing licences engaged in fishing by the use of fishing nets in the same area is to be determined in accordance with this regulation.</w:t>
      </w:r>
    </w:p>
    <w:p>
      <w:pPr>
        <w:pStyle w:val="Subsection"/>
      </w:pPr>
      <w:r>
        <w:tab/>
        <w:t>(2)</w:t>
      </w:r>
      <w:r>
        <w:tab/>
        <w:t>In this regulation —</w:t>
      </w:r>
    </w:p>
    <w:p>
      <w:pPr>
        <w:pStyle w:val="Defstart"/>
      </w:pPr>
      <w:r>
        <w:rPr>
          <w:b/>
        </w:rPr>
        <w:tab/>
      </w:r>
      <w:r>
        <w:rPr>
          <w:rStyle w:val="CharDefText"/>
        </w:rPr>
        <w:t>bona fide</w:t>
      </w:r>
      <w:r>
        <w:t xml:space="preserve"> means a licensed fishing boat marked with its licensed fishing boat number, with a fishing crew who hold commercial fishing licences;</w:t>
      </w:r>
    </w:p>
    <w:p>
      <w:pPr>
        <w:pStyle w:val="Defstart"/>
      </w:pPr>
      <w:r>
        <w:tab/>
      </w:r>
      <w:r>
        <w:rPr>
          <w:rStyle w:val="CharDefText"/>
        </w:rPr>
        <w:t>ground</w:t>
      </w:r>
      <w:r>
        <w:t xml:space="preserve"> means —</w:t>
      </w:r>
    </w:p>
    <w:p>
      <w:pPr>
        <w:pStyle w:val="Defpara"/>
      </w:pPr>
      <w:r>
        <w:tab/>
        <w:t>(a)</w:t>
      </w:r>
      <w:r>
        <w:tab/>
        <w:t>any portion of a beach not longer than 800 m and the waters adjacent to that beach to a distance of 800 m measured rectangularly from that beach; or</w:t>
      </w:r>
    </w:p>
    <w:p>
      <w:pPr>
        <w:pStyle w:val="Defpara"/>
      </w:pPr>
      <w:r>
        <w:tab/>
        <w:t>(b)</w:t>
      </w:r>
      <w:r>
        <w:tab/>
        <w:t>any area of water that is 400 m square; or</w:t>
      </w:r>
    </w:p>
    <w:p>
      <w:pPr>
        <w:pStyle w:val="Defpara"/>
      </w:pPr>
      <w:r>
        <w:tab/>
        <w:t>(c)</w:t>
      </w:r>
      <w:r>
        <w:tab/>
        <w:t>in subregulation (4), a rectangular area of water measuring 50 m out from, and at right angles to, both sides of a set net, along the length of the net.</w:t>
      </w:r>
    </w:p>
    <w:p>
      <w:pPr>
        <w:pStyle w:val="Subsection"/>
        <w:keepNext/>
      </w:pPr>
      <w:r>
        <w:tab/>
        <w:t>(3)</w:t>
      </w:r>
      <w:r>
        <w:tab/>
        <w:t>The priority rights for using fishing nets, other than set fishing nets are —</w:t>
      </w:r>
    </w:p>
    <w:p>
      <w:pPr>
        <w:pStyle w:val="Indenta"/>
        <w:spacing w:before="100"/>
      </w:pPr>
      <w:r>
        <w:tab/>
        <w:t>(a)</w:t>
      </w:r>
      <w:r>
        <w:tab/>
        <w:t>the first turn belongs to the master of the first bona fide fishing boat to arrive on the ground with a net, which complies with the requirements of this Act, ready for shooting and hauling; and</w:t>
      </w:r>
    </w:p>
    <w:p>
      <w:pPr>
        <w:pStyle w:val="Indenta"/>
        <w:spacing w:before="100"/>
      </w:pPr>
      <w:r>
        <w:tab/>
        <w:t>(b)</w:t>
      </w:r>
      <w:r>
        <w:tab/>
        <w:t>the next turns belong, in order of arrival on the ground, to the masters of the next bona fide fishing boats to arrive on the ground with nets, which comply with the requirements of this Act, ready for shooting and hauling; and</w:t>
      </w:r>
    </w:p>
    <w:p>
      <w:pPr>
        <w:pStyle w:val="Indenta"/>
        <w:spacing w:before="100"/>
      </w:pPr>
      <w:r>
        <w:tab/>
        <w:t>(c)</w:t>
      </w:r>
      <w:r>
        <w:tab/>
        <w:t>during a particular master’s turn, the master has —</w:t>
      </w:r>
    </w:p>
    <w:p>
      <w:pPr>
        <w:pStyle w:val="Indenti"/>
        <w:spacing w:before="100"/>
      </w:pPr>
      <w:r>
        <w:tab/>
        <w:t>(i)</w:t>
      </w:r>
      <w:r>
        <w:tab/>
        <w:t>exclusive right to fish the ground as long as a fishing net is ready to be shot; and</w:t>
      </w:r>
    </w:p>
    <w:p>
      <w:pPr>
        <w:pStyle w:val="Indenti"/>
        <w:spacing w:before="100"/>
      </w:pPr>
      <w:r>
        <w:tab/>
        <w:t>(ii)</w:t>
      </w:r>
      <w:r>
        <w:tab/>
        <w:t>the right to use more than one fishing net where a school of fish is being shot;</w:t>
      </w:r>
    </w:p>
    <w:p>
      <w:pPr>
        <w:pStyle w:val="Indenta"/>
        <w:keepNext/>
        <w:spacing w:before="100"/>
      </w:pPr>
      <w:r>
        <w:tab/>
      </w:r>
      <w:r>
        <w:tab/>
        <w:t>and</w:t>
      </w:r>
    </w:p>
    <w:p>
      <w:pPr>
        <w:pStyle w:val="Indenta"/>
        <w:keepNext/>
        <w:spacing w:before="100"/>
      </w:pPr>
      <w:r>
        <w:tab/>
        <w:t>(d)</w:t>
      </w:r>
      <w:r>
        <w:tab/>
        <w:t>a turn ends when —</w:t>
      </w:r>
    </w:p>
    <w:p>
      <w:pPr>
        <w:pStyle w:val="Indenti"/>
        <w:spacing w:before="100"/>
      </w:pPr>
      <w:r>
        <w:tab/>
        <w:t>(i)</w:t>
      </w:r>
      <w:r>
        <w:tab/>
        <w:t>the net, or nets, have been shot and hauled or, in the case of a ground that includes a beach, hauled ashore; or</w:t>
      </w:r>
    </w:p>
    <w:p>
      <w:pPr>
        <w:pStyle w:val="Indenti"/>
        <w:spacing w:before="100"/>
      </w:pPr>
      <w:r>
        <w:tab/>
        <w:t>(ii)</w:t>
      </w:r>
      <w:r>
        <w:tab/>
        <w:t>the master whose turn it was leaves the ground; or</w:t>
      </w:r>
    </w:p>
    <w:p>
      <w:pPr>
        <w:pStyle w:val="Indenti"/>
        <w:spacing w:before="100"/>
      </w:pPr>
      <w:r>
        <w:tab/>
        <w:t>(iii)</w:t>
      </w:r>
      <w:r>
        <w:tab/>
        <w:t>12 hours have elapsed since the time the master next in turn arrived on the ground, or where the ground includes a beach, 24 hours have elapsed since the time the master next in turn arrived on the ground;</w:t>
      </w:r>
    </w:p>
    <w:p>
      <w:pPr>
        <w:pStyle w:val="Indenta"/>
        <w:spacing w:before="100"/>
      </w:pPr>
      <w:r>
        <w:tab/>
      </w:r>
      <w:r>
        <w:tab/>
        <w:t>and</w:t>
      </w:r>
    </w:p>
    <w:p>
      <w:pPr>
        <w:pStyle w:val="Indenta"/>
        <w:spacing w:before="100"/>
      </w:pPr>
      <w:r>
        <w:tab/>
        <w:t>(e)</w:t>
      </w:r>
      <w:r>
        <w:tab/>
        <w:t>a master is not to have a second turn until all other masters on the ground have had a first turn.</w:t>
      </w:r>
    </w:p>
    <w:p>
      <w:pPr>
        <w:pStyle w:val="Subsection"/>
        <w:keepNext/>
      </w:pPr>
      <w:r>
        <w:tab/>
        <w:t>(4)</w:t>
      </w:r>
      <w:r>
        <w:tab/>
        <w:t>The priority rights for using set fishing nets are —</w:t>
      </w:r>
    </w:p>
    <w:p>
      <w:pPr>
        <w:pStyle w:val="Indenta"/>
        <w:spacing w:before="60"/>
      </w:pPr>
      <w:r>
        <w:tab/>
        <w:t>(a)</w:t>
      </w:r>
      <w:r>
        <w:tab/>
        <w:t>the first turn belongs to the master of the first bona fide fishing boat to arrive on the ground with a net which complies with the requirements of this Act, ready to set; and</w:t>
      </w:r>
    </w:p>
    <w:p>
      <w:pPr>
        <w:pStyle w:val="Indenta"/>
        <w:spacing w:before="60"/>
      </w:pPr>
      <w:r>
        <w:tab/>
        <w:t>(b)</w:t>
      </w:r>
      <w:r>
        <w:tab/>
        <w:t>the next turns belong, in order of arrival on the ground, to the masters of the next bona fide fishing boats to arrive on the ground with nets which comply with the requirements of this Act, ready to set; and</w:t>
      </w:r>
    </w:p>
    <w:p>
      <w:pPr>
        <w:pStyle w:val="Indenta"/>
        <w:spacing w:before="60"/>
      </w:pPr>
      <w:r>
        <w:tab/>
        <w:t>(c)</w:t>
      </w:r>
      <w:r>
        <w:tab/>
        <w:t>during a particular master’s turn, the master has —</w:t>
      </w:r>
    </w:p>
    <w:p>
      <w:pPr>
        <w:pStyle w:val="Indenti"/>
        <w:spacing w:before="60"/>
      </w:pPr>
      <w:r>
        <w:tab/>
        <w:t>(i)</w:t>
      </w:r>
      <w:r>
        <w:tab/>
        <w:t>exclusive right to fish the ground as long as a fishing net is ready to be set; and</w:t>
      </w:r>
    </w:p>
    <w:p>
      <w:pPr>
        <w:pStyle w:val="Indenti"/>
        <w:spacing w:before="60"/>
      </w:pPr>
      <w:r>
        <w:tab/>
        <w:t>(ii)</w:t>
      </w:r>
      <w:r>
        <w:tab/>
        <w:t>the right to use more than one set fishing net;</w:t>
      </w:r>
    </w:p>
    <w:p>
      <w:pPr>
        <w:pStyle w:val="Indenta"/>
        <w:spacing w:before="60"/>
      </w:pPr>
      <w:r>
        <w:tab/>
      </w:r>
      <w:r>
        <w:tab/>
        <w:t>and</w:t>
      </w:r>
    </w:p>
    <w:p>
      <w:pPr>
        <w:pStyle w:val="Indenta"/>
        <w:spacing w:before="60"/>
      </w:pPr>
      <w:r>
        <w:tab/>
        <w:t>(d)</w:t>
      </w:r>
      <w:r>
        <w:tab/>
        <w:t>a turn ends when —</w:t>
      </w:r>
    </w:p>
    <w:p>
      <w:pPr>
        <w:pStyle w:val="Indenti"/>
        <w:spacing w:before="60"/>
      </w:pPr>
      <w:r>
        <w:tab/>
        <w:t>(i)</w:t>
      </w:r>
      <w:r>
        <w:tab/>
        <w:t>the net, or nets, have been set and hauled; or</w:t>
      </w:r>
    </w:p>
    <w:p>
      <w:pPr>
        <w:pStyle w:val="Indenti"/>
        <w:spacing w:before="60"/>
      </w:pPr>
      <w:r>
        <w:tab/>
        <w:t>(ii)</w:t>
      </w:r>
      <w:r>
        <w:tab/>
        <w:t>the master whose turn it was leaves the ground without setting a fishing net; or</w:t>
      </w:r>
    </w:p>
    <w:p>
      <w:pPr>
        <w:pStyle w:val="Indenti"/>
        <w:spacing w:before="60"/>
      </w:pPr>
      <w:r>
        <w:tab/>
        <w:t>(iii)</w:t>
      </w:r>
      <w:r>
        <w:tab/>
        <w:t>24 hours have elapsed since the time the master next in turn arrived on the ground;</w:t>
      </w:r>
    </w:p>
    <w:p>
      <w:pPr>
        <w:pStyle w:val="Indenta"/>
        <w:spacing w:before="60"/>
      </w:pPr>
      <w:r>
        <w:tab/>
      </w:r>
      <w:r>
        <w:tab/>
        <w:t>and</w:t>
      </w:r>
    </w:p>
    <w:p>
      <w:pPr>
        <w:pStyle w:val="Indenta"/>
        <w:spacing w:before="60"/>
      </w:pPr>
      <w:r>
        <w:tab/>
        <w:t>(e)</w:t>
      </w:r>
      <w:r>
        <w:tab/>
        <w:t>a master is not to have a second turn until all other masters on the ground have had a first turn.</w:t>
      </w:r>
    </w:p>
    <w:p>
      <w:pPr>
        <w:pStyle w:val="Subsection"/>
        <w:spacing w:before="140"/>
      </w:pPr>
      <w:r>
        <w:tab/>
        <w:t>(5)</w:t>
      </w:r>
      <w:r>
        <w:tab/>
        <w:t>While a person is having a turn under this regulation, another person must not —</w:t>
      </w:r>
    </w:p>
    <w:p>
      <w:pPr>
        <w:pStyle w:val="Indenta"/>
        <w:spacing w:before="60"/>
      </w:pPr>
      <w:r>
        <w:tab/>
        <w:t>(a)</w:t>
      </w:r>
      <w:r>
        <w:tab/>
        <w:t>wilfully disturb or frighten fish on, or in the vicinity of, the ground; or</w:t>
      </w:r>
    </w:p>
    <w:p>
      <w:pPr>
        <w:pStyle w:val="Indenta"/>
        <w:spacing w:before="60"/>
      </w:pPr>
      <w:r>
        <w:tab/>
        <w:t>(b)</w:t>
      </w:r>
      <w:r>
        <w:tab/>
        <w:t>obstruct the person having a turn; or</w:t>
      </w:r>
    </w:p>
    <w:p>
      <w:pPr>
        <w:pStyle w:val="Indenta"/>
        <w:spacing w:before="60"/>
      </w:pPr>
      <w:r>
        <w:tab/>
        <w:t>(c)</w:t>
      </w:r>
      <w:r>
        <w:tab/>
        <w:t>set or place fishing nets so as to prevent fish getting to the ground.</w:t>
      </w:r>
    </w:p>
    <w:p>
      <w:pPr>
        <w:pStyle w:val="Penstart"/>
        <w:spacing w:before="60"/>
      </w:pPr>
      <w:r>
        <w:tab/>
        <w:t>Penalty: $2 000.</w:t>
      </w:r>
    </w:p>
    <w:p>
      <w:pPr>
        <w:pStyle w:val="Subsection"/>
        <w:spacing w:before="140"/>
      </w:pPr>
      <w:r>
        <w:tab/>
        <w:t>(6)</w:t>
      </w:r>
      <w:r>
        <w:tab/>
        <w:t>The holder of a commercial fishing licence who suffers loss due to a contravention of this regulation may, with the written approval of the Minister, take legal proceedings at that person’s own expense.</w:t>
      </w:r>
    </w:p>
    <w:p>
      <w:pPr>
        <w:pStyle w:val="Footnotesection"/>
      </w:pPr>
      <w:r>
        <w:tab/>
        <w:t>[Regulation 64I inserted in Gazette 1 Oct 2003 p. 4308</w:t>
      </w:r>
      <w:r>
        <w:noBreakHyphen/>
        <w:t>11.]</w:t>
      </w:r>
    </w:p>
    <w:p>
      <w:pPr>
        <w:pStyle w:val="Heading5"/>
      </w:pPr>
      <w:bookmarkStart w:id="1920" w:name="_Toc309309368"/>
      <w:r>
        <w:rPr>
          <w:rStyle w:val="CharSectno"/>
        </w:rPr>
        <w:t>64J</w:t>
      </w:r>
      <w:r>
        <w:t>.</w:t>
      </w:r>
      <w:r>
        <w:tab/>
        <w:t>Fishing nets, restrictions on use of for recreational fishing</w:t>
      </w:r>
      <w:bookmarkEnd w:id="1920"/>
    </w:p>
    <w:p>
      <w:pPr>
        <w:pStyle w:val="Subsection"/>
        <w:spacing w:before="120"/>
      </w:pPr>
      <w:r>
        <w:tab/>
      </w:r>
      <w:r>
        <w:tab/>
        <w:t>A person, other than the holder of a commercial fishing licence, must not —</w:t>
      </w:r>
    </w:p>
    <w:p>
      <w:pPr>
        <w:pStyle w:val="Indenta"/>
      </w:pPr>
      <w:r>
        <w:tab/>
        <w:t>(a)</w:t>
      </w:r>
      <w:r>
        <w:tab/>
        <w:t>set a fishing net in any ocean waters outside 800 m of the low water mark of any part of the State or any island within WA waters; or</w:t>
      </w:r>
    </w:p>
    <w:p>
      <w:pPr>
        <w:pStyle w:val="Indenta"/>
      </w:pPr>
      <w:r>
        <w:tab/>
        <w:t>(b)</w:t>
      </w:r>
      <w:r>
        <w:tab/>
        <w:t>use a metal stake in connection with the setting of a fishing net; or</w:t>
      </w:r>
    </w:p>
    <w:p>
      <w:pPr>
        <w:pStyle w:val="Indenta"/>
      </w:pPr>
      <w:r>
        <w:tab/>
        <w:t>(c)</w:t>
      </w:r>
      <w:r>
        <w:tab/>
        <w:t>leave a stake which was used in connection with the setting of a fishing net after the net is retrieved; or</w:t>
      </w:r>
    </w:p>
    <w:p>
      <w:pPr>
        <w:pStyle w:val="Indenta"/>
      </w:pPr>
      <w:r>
        <w:tab/>
        <w:t>(d)</w:t>
      </w:r>
      <w:r>
        <w:tab/>
        <w:t xml:space="preserve">in the waters of </w:t>
      </w:r>
      <w:smartTag w:uri="urn:schemas-microsoft-com:office:smarttags" w:element="PlaceName">
        <w:r>
          <w:t>Shark</w:t>
        </w:r>
      </w:smartTag>
      <w:r>
        <w:t xml:space="preserve"> </w:t>
      </w:r>
      <w:smartTag w:uri="urn:schemas-microsoft-com:office:smarttags" w:element="PlaceType">
        <w:r>
          <w:t>Bay</w:t>
        </w:r>
      </w:smartTag>
      <w:r>
        <w:t xml:space="preserve"> lying south of a line drawn from </w:t>
      </w:r>
      <w:smartTag w:uri="urn:schemas-microsoft-com:office:smarttags" w:element="place">
        <w:r>
          <w:t>Cape</w:t>
        </w:r>
      </w:smartTag>
      <w:r>
        <w:t xml:space="preserve"> Inscription on Dirk Hartog Island due east to the mainland —</w:t>
      </w:r>
    </w:p>
    <w:p>
      <w:pPr>
        <w:pStyle w:val="Indenti"/>
      </w:pPr>
      <w:r>
        <w:tab/>
        <w:t>(i)</w:t>
      </w:r>
      <w:r>
        <w:tab/>
        <w:t>use any stake in connection with the setting of a fishing net; or</w:t>
      </w:r>
    </w:p>
    <w:p>
      <w:pPr>
        <w:pStyle w:val="Indenti"/>
      </w:pPr>
      <w:r>
        <w:tab/>
        <w:t>(ii)</w:t>
      </w:r>
      <w:r>
        <w:tab/>
        <w:t>set or leave a set fishing net within the period beginning 1½ hours after sunrise and ending 1½ hours before sunset on any one day.</w:t>
      </w:r>
    </w:p>
    <w:p>
      <w:pPr>
        <w:pStyle w:val="Penstart"/>
      </w:pPr>
      <w:r>
        <w:tab/>
        <w:t>Penalty: $2 000.</w:t>
      </w:r>
    </w:p>
    <w:p>
      <w:pPr>
        <w:pStyle w:val="Footnotesection"/>
      </w:pPr>
      <w:r>
        <w:tab/>
        <w:t>[Regulation 64J inserted in Gazette 1 Oct 2003 p. 4311.]</w:t>
      </w:r>
    </w:p>
    <w:p>
      <w:pPr>
        <w:pStyle w:val="Heading5"/>
      </w:pPr>
      <w:bookmarkStart w:id="1921" w:name="_Toc309309369"/>
      <w:r>
        <w:rPr>
          <w:rStyle w:val="CharSectno"/>
        </w:rPr>
        <w:t>64K</w:t>
      </w:r>
      <w:r>
        <w:t>.</w:t>
      </w:r>
      <w:r>
        <w:tab/>
        <w:t>Hauling nets not to be used for recreational fishing in estuaries etc.</w:t>
      </w:r>
      <w:bookmarkEnd w:id="1921"/>
    </w:p>
    <w:p>
      <w:pPr>
        <w:pStyle w:val="Subsection"/>
        <w:spacing w:before="120"/>
      </w:pPr>
      <w:r>
        <w:tab/>
      </w:r>
      <w:r>
        <w:tab/>
        <w:t>A person, other than the holder of a commercial fishing licence, must not use a fishing net that is a hauling net in the waters of any estuary, river or inlet or in the entrance to any of those waters.</w:t>
      </w:r>
    </w:p>
    <w:p>
      <w:pPr>
        <w:pStyle w:val="Penstart"/>
      </w:pPr>
      <w:r>
        <w:tab/>
        <w:t>Penalty: $2 000.</w:t>
      </w:r>
    </w:p>
    <w:p>
      <w:pPr>
        <w:pStyle w:val="Footnotesection"/>
        <w:spacing w:before="60"/>
        <w:ind w:left="890" w:hanging="890"/>
      </w:pPr>
      <w:r>
        <w:tab/>
        <w:t>[Regulation 64K inserted in Gazette 1 Oct 2003 p. 4311</w:t>
      </w:r>
      <w:r>
        <w:noBreakHyphen/>
        <w:t>12.]</w:t>
      </w:r>
    </w:p>
    <w:p>
      <w:pPr>
        <w:pStyle w:val="Heading5"/>
        <w:spacing w:before="180"/>
      </w:pPr>
      <w:bookmarkStart w:id="1922" w:name="_Toc309309370"/>
      <w:r>
        <w:rPr>
          <w:rStyle w:val="CharSectno"/>
        </w:rPr>
        <w:t>64L</w:t>
      </w:r>
      <w:r>
        <w:t>.</w:t>
      </w:r>
      <w:r>
        <w:tab/>
        <w:t>Crabs, permitted ways to fish for by recreational fishers</w:t>
      </w:r>
      <w:bookmarkEnd w:id="1922"/>
    </w:p>
    <w:p>
      <w:pPr>
        <w:pStyle w:val="Subsection"/>
      </w:pPr>
      <w:r>
        <w:tab/>
        <w:t>(1)</w:t>
      </w:r>
      <w:r>
        <w:tab/>
        <w:t>A person, other than the holder of a commercial fishing licence, must not fish for crabs other than —</w:t>
      </w:r>
    </w:p>
    <w:p>
      <w:pPr>
        <w:pStyle w:val="Indenta"/>
      </w:pPr>
      <w:r>
        <w:tab/>
        <w:t>(a)</w:t>
      </w:r>
      <w:r>
        <w:tab/>
        <w:t>by hand; or</w:t>
      </w:r>
    </w:p>
    <w:p>
      <w:pPr>
        <w:pStyle w:val="Indenta"/>
      </w:pPr>
      <w:r>
        <w:tab/>
        <w:t>(b)</w:t>
      </w:r>
      <w:r>
        <w:tab/>
        <w:t>by using not more than 10 complying drop nets; or</w:t>
      </w:r>
    </w:p>
    <w:p>
      <w:pPr>
        <w:pStyle w:val="Indenta"/>
      </w:pPr>
      <w:r>
        <w:tab/>
        <w:t>(c)</w:t>
      </w:r>
      <w:r>
        <w:tab/>
        <w:t>by using a hand scoop net that complies with subregulation (3); or</w:t>
      </w:r>
    </w:p>
    <w:p>
      <w:pPr>
        <w:pStyle w:val="Indenta"/>
      </w:pPr>
      <w:r>
        <w:tab/>
        <w:t>(d)</w:t>
      </w:r>
      <w:r>
        <w:tab/>
        <w:t>by using a wire hook which is not capable of piercing a crab and is held in the hand.</w:t>
      </w:r>
    </w:p>
    <w:p>
      <w:pPr>
        <w:pStyle w:val="Subsection"/>
      </w:pPr>
      <w:r>
        <w:tab/>
        <w:t>(2)</w:t>
      </w:r>
      <w:r>
        <w:tab/>
        <w:t>The master of a boat which is not a licensed fishing boat must not use, cause or permit to be carried on the boat, more than 10 drop nets in any one day.</w:t>
      </w:r>
    </w:p>
    <w:p>
      <w:pPr>
        <w:pStyle w:val="Subsection"/>
      </w:pPr>
      <w:r>
        <w:tab/>
        <w:t>(3A)</w:t>
      </w:r>
      <w:r>
        <w:tab/>
        <w:t>The master of a boat which is not a licensed fishing boat must not use, or cause or permit to be carried on the boat, a drop net that is not a complying drop net.</w:t>
      </w:r>
    </w:p>
    <w:p>
      <w:pPr>
        <w:pStyle w:val="Subsection"/>
      </w:pPr>
      <w:r>
        <w:tab/>
        <w:t>(3)</w:t>
      </w:r>
      <w:r>
        <w:tab/>
        <w:t>A hand scoop net must —</w:t>
      </w:r>
    </w:p>
    <w:p>
      <w:pPr>
        <w:pStyle w:val="Indenta"/>
      </w:pPr>
      <w:r>
        <w:tab/>
        <w:t>(a)</w:t>
      </w:r>
      <w:r>
        <w:tab/>
        <w:t>be generally hemispherical; and</w:t>
      </w:r>
    </w:p>
    <w:p>
      <w:pPr>
        <w:pStyle w:val="Indenta"/>
      </w:pPr>
      <w:r>
        <w:tab/>
        <w:t>(b)</w:t>
      </w:r>
      <w:r>
        <w:tab/>
        <w:t>be hollow; and</w:t>
      </w:r>
    </w:p>
    <w:p>
      <w:pPr>
        <w:pStyle w:val="Indenta"/>
      </w:pPr>
      <w:r>
        <w:tab/>
        <w:t>(c)</w:t>
      </w:r>
      <w:r>
        <w:tab/>
        <w:t>have a circular top rim with an internal diameter not exceeding 375 mm; and</w:t>
      </w:r>
    </w:p>
    <w:p>
      <w:pPr>
        <w:pStyle w:val="Indenta"/>
      </w:pPr>
      <w:r>
        <w:tab/>
        <w:t>(d)</w:t>
      </w:r>
      <w:r>
        <w:tab/>
        <w:t>have a maximum internal depth measured from the plane of that rim not exceeding 210 mm; and</w:t>
      </w:r>
    </w:p>
    <w:p>
      <w:pPr>
        <w:pStyle w:val="Indenta"/>
      </w:pPr>
      <w:r>
        <w:tab/>
        <w:t>(e)</w:t>
      </w:r>
      <w:r>
        <w:tab/>
        <w:t>be constructed of material that is —</w:t>
      </w:r>
    </w:p>
    <w:p>
      <w:pPr>
        <w:pStyle w:val="Indenti"/>
      </w:pPr>
      <w:r>
        <w:tab/>
        <w:t>(i)</w:t>
      </w:r>
      <w:r>
        <w:tab/>
        <w:t>inflexible; and</w:t>
      </w:r>
    </w:p>
    <w:p>
      <w:pPr>
        <w:pStyle w:val="Indenti"/>
      </w:pPr>
      <w:r>
        <w:tab/>
        <w:t>(ii)</w:t>
      </w:r>
      <w:r>
        <w:tab/>
        <w:t>not capable of ensnaring or entangling a crab.</w:t>
      </w:r>
    </w:p>
    <w:p>
      <w:pPr>
        <w:pStyle w:val="Penstart"/>
      </w:pPr>
      <w:r>
        <w:tab/>
        <w:t>Penalty: $1 000.</w:t>
      </w:r>
    </w:p>
    <w:p>
      <w:pPr>
        <w:pStyle w:val="Footnotesection"/>
      </w:pPr>
      <w:r>
        <w:tab/>
        <w:t>[Regulation 64L inserted in Gazette 1 Oct 2003 p. 4312; amended in Gazette 6 Nov 2009 p. 4471.]</w:t>
      </w:r>
    </w:p>
    <w:p>
      <w:pPr>
        <w:pStyle w:val="Heading3"/>
        <w:keepLines/>
      </w:pPr>
      <w:bookmarkStart w:id="1923" w:name="_Toc189987940"/>
      <w:bookmarkStart w:id="1924" w:name="_Toc192041523"/>
      <w:bookmarkStart w:id="1925" w:name="_Toc199570757"/>
      <w:bookmarkStart w:id="1926" w:name="_Toc199738753"/>
      <w:bookmarkStart w:id="1927" w:name="_Toc199814854"/>
      <w:bookmarkStart w:id="1928" w:name="_Toc215040661"/>
      <w:bookmarkStart w:id="1929" w:name="_Toc215041106"/>
      <w:bookmarkStart w:id="1930" w:name="_Toc222129316"/>
      <w:bookmarkStart w:id="1931" w:name="_Toc222223021"/>
      <w:bookmarkStart w:id="1932" w:name="_Toc225914273"/>
      <w:bookmarkStart w:id="1933" w:name="_Toc231282318"/>
      <w:bookmarkStart w:id="1934" w:name="_Toc231282762"/>
      <w:bookmarkStart w:id="1935" w:name="_Toc234899349"/>
      <w:bookmarkStart w:id="1936" w:name="_Toc236632631"/>
      <w:bookmarkStart w:id="1937" w:name="_Toc236720244"/>
      <w:bookmarkStart w:id="1938" w:name="_Toc237764443"/>
      <w:bookmarkStart w:id="1939" w:name="_Toc238356067"/>
      <w:bookmarkStart w:id="1940" w:name="_Toc238368772"/>
      <w:bookmarkStart w:id="1941" w:name="_Toc238375725"/>
      <w:bookmarkStart w:id="1942" w:name="_Toc240339049"/>
      <w:bookmarkStart w:id="1943" w:name="_Toc241993555"/>
      <w:bookmarkStart w:id="1944" w:name="_Toc243192698"/>
      <w:bookmarkStart w:id="1945" w:name="_Toc243295400"/>
      <w:bookmarkStart w:id="1946" w:name="_Toc245112973"/>
      <w:bookmarkStart w:id="1947" w:name="_Toc245198135"/>
      <w:bookmarkStart w:id="1948" w:name="_Toc245198584"/>
      <w:bookmarkStart w:id="1949" w:name="_Toc245199033"/>
      <w:bookmarkStart w:id="1950" w:name="_Toc248122063"/>
      <w:bookmarkStart w:id="1951" w:name="_Toc248122514"/>
      <w:bookmarkStart w:id="1952" w:name="_Toc253670501"/>
      <w:bookmarkStart w:id="1953" w:name="_Toc253670951"/>
      <w:bookmarkStart w:id="1954" w:name="_Toc254942721"/>
      <w:bookmarkStart w:id="1955" w:name="_Toc254943174"/>
      <w:bookmarkStart w:id="1956" w:name="_Toc255475766"/>
      <w:bookmarkStart w:id="1957" w:name="_Toc256432087"/>
      <w:bookmarkStart w:id="1958" w:name="_Toc257720424"/>
      <w:bookmarkStart w:id="1959" w:name="_Toc257722106"/>
      <w:bookmarkStart w:id="1960" w:name="_Toc258335782"/>
      <w:bookmarkStart w:id="1961" w:name="_Toc260406224"/>
      <w:bookmarkStart w:id="1962" w:name="_Toc261271410"/>
      <w:bookmarkStart w:id="1963" w:name="_Toc262808092"/>
      <w:bookmarkStart w:id="1964" w:name="_Toc267572485"/>
      <w:bookmarkStart w:id="1965" w:name="_Toc270684234"/>
      <w:bookmarkStart w:id="1966" w:name="_Toc274214411"/>
      <w:bookmarkStart w:id="1967" w:name="_Toc274214860"/>
      <w:bookmarkStart w:id="1968" w:name="_Toc278976191"/>
      <w:bookmarkStart w:id="1969" w:name="_Toc286760514"/>
      <w:bookmarkStart w:id="1970" w:name="_Toc289080859"/>
      <w:bookmarkStart w:id="1971" w:name="_Toc290284053"/>
      <w:bookmarkStart w:id="1972" w:name="_Toc290642874"/>
      <w:bookmarkStart w:id="1973" w:name="_Toc290643323"/>
      <w:bookmarkStart w:id="1974" w:name="_Toc290643776"/>
      <w:bookmarkStart w:id="1975" w:name="_Toc294701593"/>
      <w:bookmarkStart w:id="1976" w:name="_Toc295200001"/>
      <w:bookmarkStart w:id="1977" w:name="_Toc296954442"/>
      <w:bookmarkStart w:id="1978" w:name="_Toc297276074"/>
      <w:bookmarkStart w:id="1979" w:name="_Toc297276526"/>
      <w:bookmarkStart w:id="1980" w:name="_Toc297276976"/>
      <w:bookmarkStart w:id="1981" w:name="_Toc297726345"/>
      <w:bookmarkStart w:id="1982" w:name="_Toc299980131"/>
      <w:bookmarkStart w:id="1983" w:name="_Toc300234757"/>
      <w:bookmarkStart w:id="1984" w:name="_Toc301961260"/>
      <w:bookmarkStart w:id="1985" w:name="_Toc301966830"/>
      <w:bookmarkStart w:id="1986" w:name="_Toc303253039"/>
      <w:bookmarkStart w:id="1987" w:name="_Toc303257203"/>
      <w:bookmarkStart w:id="1988" w:name="_Toc307992838"/>
      <w:bookmarkStart w:id="1989" w:name="_Toc309029871"/>
      <w:bookmarkStart w:id="1990" w:name="_Toc309304094"/>
      <w:bookmarkStart w:id="1991" w:name="_Toc309304547"/>
      <w:bookmarkStart w:id="1992" w:name="_Toc309309371"/>
      <w:r>
        <w:rPr>
          <w:rStyle w:val="CharDivNo"/>
        </w:rPr>
        <w:t>Division 3</w:t>
      </w:r>
      <w:r>
        <w:t> — </w:t>
      </w:r>
      <w:r>
        <w:rPr>
          <w:rStyle w:val="CharDivText"/>
        </w:rPr>
        <w:t>Requirements regarding fishing gear in the West Coast Region</w:t>
      </w:r>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p>
    <w:p>
      <w:pPr>
        <w:pStyle w:val="Footnoteheading"/>
        <w:keepNext/>
        <w:keepLines/>
        <w:tabs>
          <w:tab w:val="left" w:pos="851"/>
        </w:tabs>
      </w:pPr>
      <w:r>
        <w:tab/>
        <w:t>[Heading inserted in Gazette 1 Oct 2003 p. 4313.]</w:t>
      </w:r>
    </w:p>
    <w:p>
      <w:pPr>
        <w:pStyle w:val="Heading5"/>
      </w:pPr>
      <w:bookmarkStart w:id="1993" w:name="_Toc309309372"/>
      <w:r>
        <w:rPr>
          <w:rStyle w:val="CharSectno"/>
        </w:rPr>
        <w:t>64M</w:t>
      </w:r>
      <w:r>
        <w:t>.</w:t>
      </w:r>
      <w:r>
        <w:tab/>
        <w:t>Term used: attend</w:t>
      </w:r>
      <w:bookmarkEnd w:id="1993"/>
    </w:p>
    <w:p>
      <w:pPr>
        <w:pStyle w:val="Subsection"/>
      </w:pPr>
      <w:r>
        <w:tab/>
      </w:r>
      <w:r>
        <w:tab/>
        <w:t>In this Division —</w:t>
      </w:r>
    </w:p>
    <w:p>
      <w:pPr>
        <w:pStyle w:val="Defstart"/>
      </w:pPr>
      <w:r>
        <w:rPr>
          <w:b/>
        </w:rPr>
        <w:tab/>
      </w:r>
      <w:r>
        <w:rPr>
          <w:rStyle w:val="CharDefText"/>
        </w:rPr>
        <w:t>attend</w:t>
      </w:r>
      <w:r>
        <w:t>, in respect of a net, means to be within 100 m of the net.</w:t>
      </w:r>
    </w:p>
    <w:p>
      <w:pPr>
        <w:pStyle w:val="Footnotesection"/>
      </w:pPr>
      <w:r>
        <w:tab/>
        <w:t>[Regulation 64M inserted in Gazette 1 Oct 2003 p. 4313.]</w:t>
      </w:r>
    </w:p>
    <w:p>
      <w:pPr>
        <w:pStyle w:val="Heading5"/>
      </w:pPr>
      <w:bookmarkStart w:id="1994" w:name="_Toc309309373"/>
      <w:r>
        <w:rPr>
          <w:rStyle w:val="CharSectno"/>
        </w:rPr>
        <w:t>64N</w:t>
      </w:r>
      <w:r>
        <w:t>.</w:t>
      </w:r>
      <w:r>
        <w:tab/>
        <w:t>Application of this Division</w:t>
      </w:r>
      <w:bookmarkEnd w:id="1994"/>
    </w:p>
    <w:p>
      <w:pPr>
        <w:pStyle w:val="Subsection"/>
        <w:spacing w:before="120"/>
      </w:pPr>
      <w:r>
        <w:tab/>
      </w:r>
      <w:r>
        <w:tab/>
        <w:t>Except as stated in regulation 64OAA, this Division does not apply to a person fishing for a commercial purpose in accordance with an authorisation.</w:t>
      </w:r>
    </w:p>
    <w:p>
      <w:pPr>
        <w:pStyle w:val="Footnotesection"/>
      </w:pPr>
      <w:r>
        <w:tab/>
        <w:t>[Regulation 64N inserted in Gazette 1 Oct 2003 p. 4313; amended in Gazette 8 Dec 2009 p. 4995.]</w:t>
      </w:r>
    </w:p>
    <w:p>
      <w:pPr>
        <w:pStyle w:val="Heading5"/>
      </w:pPr>
      <w:bookmarkStart w:id="1995" w:name="_Toc309309374"/>
      <w:r>
        <w:rPr>
          <w:rStyle w:val="CharSectno"/>
        </w:rPr>
        <w:t>64NA</w:t>
      </w:r>
      <w:r>
        <w:t>.</w:t>
      </w:r>
      <w:r>
        <w:tab/>
        <w:t>Prawn hand trawl nets not to be used in certain places</w:t>
      </w:r>
      <w:bookmarkEnd w:id="1995"/>
    </w:p>
    <w:p>
      <w:pPr>
        <w:pStyle w:val="Subsection"/>
      </w:pPr>
      <w:r>
        <w:tab/>
      </w:r>
      <w:r>
        <w:tab/>
        <w:t>A person must not use, or leave unattended, a prawn hand trawl net in the waters of —</w:t>
      </w:r>
    </w:p>
    <w:p>
      <w:pPr>
        <w:pStyle w:val="Indenta"/>
      </w:pPr>
      <w:r>
        <w:tab/>
        <w:t>(a)</w:t>
      </w:r>
      <w:r>
        <w:tab/>
        <w:t>the Harvey Estuary and its tributaries; or</w:t>
      </w:r>
    </w:p>
    <w:p>
      <w:pPr>
        <w:pStyle w:val="Indenta"/>
      </w:pPr>
      <w:r>
        <w:tab/>
        <w:t>(b)</w:t>
      </w:r>
      <w:r>
        <w:tab/>
        <w:t>the Peel Inlet and its tributaries; or</w:t>
      </w:r>
    </w:p>
    <w:p>
      <w:pPr>
        <w:pStyle w:val="Indenta"/>
      </w:pPr>
      <w:r>
        <w:tab/>
        <w:t>(c)</w:t>
      </w:r>
      <w:r>
        <w:tab/>
        <w:t>the Channel Entrance to the Peel Inlet; or</w:t>
      </w:r>
    </w:p>
    <w:p>
      <w:pPr>
        <w:pStyle w:val="Indenta"/>
      </w:pPr>
      <w:r>
        <w:tab/>
        <w:t>(d)</w:t>
      </w:r>
      <w:r>
        <w:tab/>
        <w:t>the Dawesville Cut.</w:t>
      </w:r>
    </w:p>
    <w:p>
      <w:pPr>
        <w:pStyle w:val="Penstart"/>
      </w:pPr>
      <w:r>
        <w:tab/>
        <w:t>Penalty: $2 000.</w:t>
      </w:r>
    </w:p>
    <w:p>
      <w:pPr>
        <w:pStyle w:val="Footnotesection"/>
      </w:pPr>
      <w:r>
        <w:tab/>
        <w:t>[Regulation 64NA inserted in Gazette 6 Jul 2007 p. 3388.]</w:t>
      </w:r>
    </w:p>
    <w:p>
      <w:pPr>
        <w:pStyle w:val="Heading5"/>
      </w:pPr>
      <w:bookmarkStart w:id="1996" w:name="_Toc309309375"/>
      <w:r>
        <w:rPr>
          <w:rStyle w:val="CharSectno"/>
        </w:rPr>
        <w:t>64O</w:t>
      </w:r>
      <w:r>
        <w:t>.</w:t>
      </w:r>
      <w:r>
        <w:tab/>
        <w:t>Set fishing nets, use of</w:t>
      </w:r>
      <w:bookmarkEnd w:id="1996"/>
    </w:p>
    <w:p>
      <w:pPr>
        <w:pStyle w:val="Subsection"/>
        <w:spacing w:before="180"/>
      </w:pPr>
      <w:r>
        <w:tab/>
        <w:t>(1)</w:t>
      </w:r>
      <w:r>
        <w:tab/>
        <w:t>A person must not set a fishing net in any waters of the West Coast Region other than in the waters of —</w:t>
      </w:r>
    </w:p>
    <w:p>
      <w:pPr>
        <w:pStyle w:val="Indenta"/>
      </w:pPr>
      <w:r>
        <w:tab/>
        <w:t>(a)</w:t>
      </w:r>
      <w:r>
        <w:tab/>
        <w:t>the Peel Inlet and Harvey Estuary; or</w:t>
      </w:r>
    </w:p>
    <w:p>
      <w:pPr>
        <w:pStyle w:val="Indenta"/>
      </w:pPr>
      <w:r>
        <w:tab/>
        <w:t>(b)</w:t>
      </w:r>
      <w:r>
        <w:tab/>
        <w:t>the Leschenault Estuary; or</w:t>
      </w:r>
    </w:p>
    <w:p>
      <w:pPr>
        <w:pStyle w:val="Indenta"/>
      </w:pPr>
      <w:r>
        <w:tab/>
        <w:t>(c)</w:t>
      </w:r>
      <w:r>
        <w:tab/>
        <w:t>the Hardy Inlet.</w:t>
      </w:r>
    </w:p>
    <w:p>
      <w:pPr>
        <w:pStyle w:val="Subsection"/>
        <w:spacing w:before="120"/>
      </w:pPr>
      <w:r>
        <w:tab/>
        <w:t>(2)</w:t>
      </w:r>
      <w:r>
        <w:tab/>
        <w:t>A person who fishes using a set fishing net in the West Coast Region must —</w:t>
      </w:r>
    </w:p>
    <w:p>
      <w:pPr>
        <w:pStyle w:val="Indenta"/>
      </w:pPr>
      <w:r>
        <w:tab/>
        <w:t>(a)</w:t>
      </w:r>
      <w:r>
        <w:tab/>
        <w:t>attend that net; and</w:t>
      </w:r>
    </w:p>
    <w:p>
      <w:pPr>
        <w:pStyle w:val="Indenta"/>
      </w:pPr>
      <w:r>
        <w:tab/>
        <w:t>(b)</w:t>
      </w:r>
      <w:r>
        <w:tab/>
        <w:t>if the net is set in the waters referred to in subregulation (1)(b) or (c) remove the net from the water and clear it of fish at intervals of not more than one hour; and</w:t>
      </w:r>
    </w:p>
    <w:p>
      <w:pPr>
        <w:pStyle w:val="Indenta"/>
        <w:keepNext/>
      </w:pPr>
      <w:r>
        <w:tab/>
        <w:t>(c)</w:t>
      </w:r>
      <w:r>
        <w:tab/>
        <w:t>not set the net within the period beginning 1½ hours after sunrise and ending 1½ hours before sunset on any one day.</w:t>
      </w:r>
    </w:p>
    <w:p>
      <w:pPr>
        <w:pStyle w:val="Penstart"/>
      </w:pPr>
      <w:r>
        <w:tab/>
        <w:t>Penalty: $2 000.</w:t>
      </w:r>
    </w:p>
    <w:p>
      <w:pPr>
        <w:pStyle w:val="Footnotesection"/>
      </w:pPr>
      <w:r>
        <w:tab/>
        <w:t>[Regulation 64O inserted in Gazette 1 Oct 2003 p. 4313.]</w:t>
      </w:r>
    </w:p>
    <w:p>
      <w:pPr>
        <w:pStyle w:val="Heading5"/>
        <w:spacing w:before="180"/>
      </w:pPr>
      <w:bookmarkStart w:id="1997" w:name="_Toc309309376"/>
      <w:bookmarkStart w:id="1998" w:name="_Toc189987945"/>
      <w:bookmarkStart w:id="1999" w:name="_Toc192041528"/>
      <w:bookmarkStart w:id="2000" w:name="_Toc199570762"/>
      <w:bookmarkStart w:id="2001" w:name="_Toc199738758"/>
      <w:bookmarkStart w:id="2002" w:name="_Toc199814859"/>
      <w:bookmarkStart w:id="2003" w:name="_Toc215040666"/>
      <w:bookmarkStart w:id="2004" w:name="_Toc215041111"/>
      <w:bookmarkStart w:id="2005" w:name="_Toc222129321"/>
      <w:bookmarkStart w:id="2006" w:name="_Toc222223026"/>
      <w:bookmarkStart w:id="2007" w:name="_Toc225914278"/>
      <w:bookmarkStart w:id="2008" w:name="_Toc231282323"/>
      <w:bookmarkStart w:id="2009" w:name="_Toc231282767"/>
      <w:bookmarkStart w:id="2010" w:name="_Toc234899354"/>
      <w:bookmarkStart w:id="2011" w:name="_Toc236632636"/>
      <w:bookmarkStart w:id="2012" w:name="_Toc236720249"/>
      <w:bookmarkStart w:id="2013" w:name="_Toc237764448"/>
      <w:bookmarkStart w:id="2014" w:name="_Toc238356072"/>
      <w:bookmarkStart w:id="2015" w:name="_Toc238368777"/>
      <w:bookmarkStart w:id="2016" w:name="_Toc238375730"/>
      <w:bookmarkStart w:id="2017" w:name="_Toc240339054"/>
      <w:bookmarkStart w:id="2018" w:name="_Toc241993560"/>
      <w:bookmarkStart w:id="2019" w:name="_Toc243192703"/>
      <w:bookmarkStart w:id="2020" w:name="_Toc243295405"/>
      <w:bookmarkStart w:id="2021" w:name="_Toc245112978"/>
      <w:bookmarkStart w:id="2022" w:name="_Toc245198140"/>
      <w:bookmarkStart w:id="2023" w:name="_Toc245198589"/>
      <w:bookmarkStart w:id="2024" w:name="_Toc245199038"/>
      <w:r>
        <w:rPr>
          <w:rStyle w:val="CharSectno"/>
        </w:rPr>
        <w:t>64OAA</w:t>
      </w:r>
      <w:r>
        <w:t>.</w:t>
      </w:r>
      <w:r>
        <w:tab/>
        <w:t>Release weight to be on boat used to fish for demersal scalefish</w:t>
      </w:r>
      <w:bookmarkEnd w:id="1997"/>
    </w:p>
    <w:p>
      <w:pPr>
        <w:pStyle w:val="Subsection"/>
        <w:spacing w:before="120"/>
      </w:pPr>
      <w:r>
        <w:tab/>
        <w:t>(1)</w:t>
      </w:r>
      <w:r>
        <w:tab/>
        <w:t>In this regulation —</w:t>
      </w:r>
    </w:p>
    <w:p>
      <w:pPr>
        <w:pStyle w:val="Defstart"/>
      </w:pPr>
      <w:r>
        <w:tab/>
      </w:r>
      <w:r>
        <w:rPr>
          <w:rStyle w:val="CharDefText"/>
        </w:rPr>
        <w:t>demersal scalefish</w:t>
      </w:r>
      <w:r>
        <w:t xml:space="preserve"> has the meaning given in regulation 45(1);</w:t>
      </w:r>
    </w:p>
    <w:p>
      <w:pPr>
        <w:pStyle w:val="Defstart"/>
      </w:pPr>
      <w:r>
        <w:tab/>
      </w:r>
      <w:r>
        <w:rPr>
          <w:rStyle w:val="CharDefText"/>
        </w:rPr>
        <w:t>release weight</w:t>
      </w:r>
      <w:r>
        <w:t xml:space="preserve"> means a weight that —</w:t>
      </w:r>
    </w:p>
    <w:p>
      <w:pPr>
        <w:pStyle w:val="Defpara"/>
      </w:pPr>
      <w:r>
        <w:tab/>
        <w:t>(a)</w:t>
      </w:r>
      <w:r>
        <w:tab/>
        <w:t>for the purpose of returning to the seabed a live fish that has been taken, is able to be attached to the fish; and</w:t>
      </w:r>
    </w:p>
    <w:p>
      <w:pPr>
        <w:pStyle w:val="Defpara"/>
      </w:pPr>
      <w:r>
        <w:rPr>
          <w:snapToGrid/>
        </w:rPr>
        <w:tab/>
        <w:t>(b)</w:t>
      </w:r>
      <w:r>
        <w:rPr>
          <w:snapToGrid/>
        </w:rPr>
        <w:tab/>
        <w:t>is able to be detached from the fish when it</w:t>
      </w:r>
      <w:r>
        <w:t xml:space="preserve"> reaches the seabed;</w:t>
      </w:r>
    </w:p>
    <w:p>
      <w:pPr>
        <w:pStyle w:val="Defstart"/>
      </w:pPr>
      <w:r>
        <w:tab/>
      </w:r>
      <w:r>
        <w:rPr>
          <w:rStyle w:val="CharDefText"/>
        </w:rPr>
        <w:t>West Coast Demersal Scalefish (Interim) Managed Fishery</w:t>
      </w:r>
      <w:r>
        <w:t xml:space="preserve"> means the fishery declared under the </w:t>
      </w:r>
      <w:r>
        <w:rPr>
          <w:i/>
          <w:iCs/>
        </w:rPr>
        <w:t>West Coast Demersal Scalefish (Interim) Management Plan 2007</w:t>
      </w:r>
      <w:r>
        <w:t>.</w:t>
      </w:r>
    </w:p>
    <w:p>
      <w:pPr>
        <w:pStyle w:val="Subsection"/>
        <w:spacing w:before="120"/>
      </w:pPr>
      <w:r>
        <w:tab/>
        <w:t>(2)</w:t>
      </w:r>
      <w:r>
        <w:tab/>
        <w:t>If a person is fishing from a fishing boat under the authority conferred by an interim managed fishery permit that applies to the West Coast Demersal Scalefish (Interim) Managed Fishery, the master of the boat must ensure that there is a release weight on the boat.</w:t>
      </w:r>
    </w:p>
    <w:p>
      <w:pPr>
        <w:pStyle w:val="Penstart"/>
        <w:spacing w:before="60"/>
      </w:pPr>
      <w:r>
        <w:tab/>
        <w:t>Penalty: $2 000.</w:t>
      </w:r>
    </w:p>
    <w:p>
      <w:pPr>
        <w:pStyle w:val="Subsection"/>
      </w:pPr>
      <w:r>
        <w:tab/>
        <w:t>(3)</w:t>
      </w:r>
      <w:r>
        <w:tab/>
        <w:t>If a person is fishing for demersal scalefish from a boat, other than a fishing boat, in the West Coast Region by means of a line, the master of the boat must ensure that there is a release weight on the boat.</w:t>
      </w:r>
    </w:p>
    <w:p>
      <w:pPr>
        <w:pStyle w:val="Penstart"/>
      </w:pPr>
      <w:r>
        <w:tab/>
        <w:t>Penalty: $2 000.</w:t>
      </w:r>
    </w:p>
    <w:p>
      <w:pPr>
        <w:pStyle w:val="Footnotesection"/>
      </w:pPr>
      <w:r>
        <w:tab/>
        <w:t>[Regulation 64OAA inserted in Gazette 8 Dec 2009 p. 4995; amended in Gazette 1 Mar 2011 p. 671.]</w:t>
      </w:r>
    </w:p>
    <w:p>
      <w:pPr>
        <w:pStyle w:val="Heading3"/>
        <w:spacing w:before="260"/>
      </w:pPr>
      <w:bookmarkStart w:id="2025" w:name="_Toc248122069"/>
      <w:bookmarkStart w:id="2026" w:name="_Toc248122520"/>
      <w:bookmarkStart w:id="2027" w:name="_Toc253670507"/>
      <w:bookmarkStart w:id="2028" w:name="_Toc253670957"/>
      <w:bookmarkStart w:id="2029" w:name="_Toc254942727"/>
      <w:bookmarkStart w:id="2030" w:name="_Toc254943180"/>
      <w:bookmarkStart w:id="2031" w:name="_Toc255475772"/>
      <w:bookmarkStart w:id="2032" w:name="_Toc256432093"/>
      <w:bookmarkStart w:id="2033" w:name="_Toc257720430"/>
      <w:bookmarkStart w:id="2034" w:name="_Toc257722112"/>
      <w:bookmarkStart w:id="2035" w:name="_Toc258335788"/>
      <w:bookmarkStart w:id="2036" w:name="_Toc260406230"/>
      <w:bookmarkStart w:id="2037" w:name="_Toc261271416"/>
      <w:bookmarkStart w:id="2038" w:name="_Toc262808098"/>
      <w:bookmarkStart w:id="2039" w:name="_Toc267572491"/>
      <w:bookmarkStart w:id="2040" w:name="_Toc270684240"/>
      <w:bookmarkStart w:id="2041" w:name="_Toc274214417"/>
      <w:bookmarkStart w:id="2042" w:name="_Toc274214866"/>
      <w:bookmarkStart w:id="2043" w:name="_Toc278976197"/>
      <w:bookmarkStart w:id="2044" w:name="_Toc286760520"/>
      <w:bookmarkStart w:id="2045" w:name="_Toc289080865"/>
      <w:bookmarkStart w:id="2046" w:name="_Toc290284059"/>
      <w:bookmarkStart w:id="2047" w:name="_Toc290642880"/>
      <w:bookmarkStart w:id="2048" w:name="_Toc290643329"/>
      <w:bookmarkStart w:id="2049" w:name="_Toc290643782"/>
      <w:bookmarkStart w:id="2050" w:name="_Toc294701599"/>
      <w:bookmarkStart w:id="2051" w:name="_Toc295200007"/>
      <w:bookmarkStart w:id="2052" w:name="_Toc296954448"/>
      <w:bookmarkStart w:id="2053" w:name="_Toc297276080"/>
      <w:bookmarkStart w:id="2054" w:name="_Toc297276532"/>
      <w:bookmarkStart w:id="2055" w:name="_Toc297276982"/>
      <w:bookmarkStart w:id="2056" w:name="_Toc297726351"/>
      <w:bookmarkStart w:id="2057" w:name="_Toc299980137"/>
      <w:bookmarkStart w:id="2058" w:name="_Toc300234763"/>
      <w:bookmarkStart w:id="2059" w:name="_Toc301961266"/>
      <w:bookmarkStart w:id="2060" w:name="_Toc301966836"/>
      <w:bookmarkStart w:id="2061" w:name="_Toc303253045"/>
      <w:bookmarkStart w:id="2062" w:name="_Toc303257209"/>
      <w:bookmarkStart w:id="2063" w:name="_Toc307992844"/>
      <w:bookmarkStart w:id="2064" w:name="_Toc309029877"/>
      <w:bookmarkStart w:id="2065" w:name="_Toc309304100"/>
      <w:bookmarkStart w:id="2066" w:name="_Toc309304553"/>
      <w:bookmarkStart w:id="2067" w:name="_Toc309309377"/>
      <w:r>
        <w:rPr>
          <w:rStyle w:val="CharDivNo"/>
        </w:rPr>
        <w:t>Division 3A</w:t>
      </w:r>
      <w:r>
        <w:t> — </w:t>
      </w:r>
      <w:r>
        <w:rPr>
          <w:rStyle w:val="CharDivText"/>
        </w:rPr>
        <w:t>Requirements regarding fishing gear in the Pilbara and Kimberley Region</w:t>
      </w:r>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p>
    <w:p>
      <w:pPr>
        <w:pStyle w:val="Footnoteheading"/>
      </w:pPr>
      <w:r>
        <w:tab/>
        <w:t>[Heading inserted in Gazette 22 Dec 2005 p. 6222.]</w:t>
      </w:r>
    </w:p>
    <w:p>
      <w:pPr>
        <w:pStyle w:val="Heading5"/>
        <w:spacing w:before="240"/>
      </w:pPr>
      <w:bookmarkStart w:id="2068" w:name="_Toc309309378"/>
      <w:r>
        <w:rPr>
          <w:rStyle w:val="CharSectno"/>
        </w:rPr>
        <w:t>64OA</w:t>
      </w:r>
      <w:r>
        <w:t>.</w:t>
      </w:r>
      <w:r>
        <w:tab/>
        <w:t>Application of this Division</w:t>
      </w:r>
      <w:bookmarkEnd w:id="2068"/>
    </w:p>
    <w:p>
      <w:pPr>
        <w:pStyle w:val="Subsection"/>
        <w:spacing w:before="180"/>
      </w:pPr>
      <w:r>
        <w:tab/>
      </w:r>
      <w:r>
        <w:tab/>
        <w:t>This Division does not apply to a person fishing for a commercial purpose in accordance with an authorisation.</w:t>
      </w:r>
    </w:p>
    <w:p>
      <w:pPr>
        <w:pStyle w:val="Footnotesection"/>
      </w:pPr>
      <w:r>
        <w:tab/>
        <w:t>[Regulation 64OA inserted in Gazette 22 Dec 2005 p. 6222.]</w:t>
      </w:r>
    </w:p>
    <w:p>
      <w:pPr>
        <w:pStyle w:val="Heading5"/>
        <w:spacing w:before="240"/>
      </w:pPr>
      <w:bookmarkStart w:id="2069" w:name="_Toc309309379"/>
      <w:r>
        <w:rPr>
          <w:rStyle w:val="CharSectno"/>
        </w:rPr>
        <w:t>64OB</w:t>
      </w:r>
      <w:r>
        <w:t>.</w:t>
      </w:r>
      <w:r>
        <w:tab/>
        <w:t>Haul nets, restrictions on use of</w:t>
      </w:r>
      <w:bookmarkEnd w:id="2069"/>
    </w:p>
    <w:p>
      <w:pPr>
        <w:pStyle w:val="Subsection"/>
        <w:spacing w:before="180"/>
      </w:pPr>
      <w:r>
        <w:tab/>
        <w:t>(1)</w:t>
      </w:r>
      <w:r>
        <w:tab/>
        <w:t>A person must not fish using a haul net in any waters of the Pilbara and Kimberley Region.</w:t>
      </w:r>
    </w:p>
    <w:p>
      <w:pPr>
        <w:pStyle w:val="Penstart"/>
      </w:pPr>
      <w:r>
        <w:tab/>
        <w:t>Penalty: $2 000.</w:t>
      </w:r>
    </w:p>
    <w:p>
      <w:pPr>
        <w:pStyle w:val="Subsection"/>
        <w:spacing w:before="180"/>
      </w:pPr>
      <w:r>
        <w:tab/>
        <w:t>(2)</w:t>
      </w:r>
      <w:r>
        <w:tab/>
        <w:t>Subregulation (1) does not apply if the person —</w:t>
      </w:r>
    </w:p>
    <w:p>
      <w:pPr>
        <w:pStyle w:val="Indenta"/>
      </w:pPr>
      <w:r>
        <w:tab/>
        <w:t>(a)</w:t>
      </w:r>
      <w:r>
        <w:tab/>
        <w:t>is fishing in Dampier Archipelago waters; and</w:t>
      </w:r>
    </w:p>
    <w:p>
      <w:pPr>
        <w:pStyle w:val="Indenta"/>
      </w:pPr>
      <w:r>
        <w:tab/>
        <w:t>(b)</w:t>
      </w:r>
      <w:r>
        <w:tab/>
        <w:t>is using a haul net that does not exceed 30 m in length; and</w:t>
      </w:r>
    </w:p>
    <w:p>
      <w:pPr>
        <w:pStyle w:val="Indenta"/>
      </w:pPr>
      <w:r>
        <w:tab/>
        <w:t>(c)</w:t>
      </w:r>
      <w:r>
        <w:tab/>
        <w:t>does not take any fish except mullet.</w:t>
      </w:r>
    </w:p>
    <w:p>
      <w:pPr>
        <w:pStyle w:val="Subsection"/>
        <w:spacing w:before="180"/>
      </w:pPr>
      <w:r>
        <w:tab/>
        <w:t>(3)</w:t>
      </w:r>
      <w:r>
        <w:tab/>
        <w:t>In this regulation —</w:t>
      </w:r>
    </w:p>
    <w:p>
      <w:pPr>
        <w:pStyle w:val="Defstart"/>
      </w:pPr>
      <w:r>
        <w:rPr>
          <w:b/>
        </w:rPr>
        <w:tab/>
      </w:r>
      <w:r>
        <w:rPr>
          <w:rStyle w:val="CharDefText"/>
        </w:rPr>
        <w:t>Dampier Archipelago waters</w:t>
      </w:r>
      <w:r>
        <w:t xml:space="preserve"> means the waters of the Indian Ocean bounded by a line commencing at the high water mark at the northernmost point of Cape Preston, from there north to the intersection of the 200 m isobath, from there generally north</w:t>
      </w:r>
      <w:r>
        <w:noBreakHyphen/>
        <w:t>easterly along the 200 m isobath to the intersection of 117° 10</w:t>
      </w:r>
      <w:r>
        <w:sym w:font="Symbol" w:char="F0A2"/>
      </w:r>
      <w:r>
        <w:t xml:space="preserve"> east longitude, from there south to the intersection of the high water mark on the mainland (Cape Lambert), and from there in a generally south</w:t>
      </w:r>
      <w:r>
        <w:noBreakHyphen/>
        <w:t>westerly direction along the high water mark on the mainland back to the commencement point.</w:t>
      </w:r>
    </w:p>
    <w:p>
      <w:pPr>
        <w:pStyle w:val="Footnotesection"/>
      </w:pPr>
      <w:r>
        <w:tab/>
        <w:t>[Regulation 64OB inserted in Gazette 22 Dec 2005 p. 6222</w:t>
      </w:r>
      <w:r>
        <w:noBreakHyphen/>
        <w:t>3; amended in Gazette 7 Mar 2006 p. 975.]</w:t>
      </w:r>
    </w:p>
    <w:p>
      <w:pPr>
        <w:pStyle w:val="Heading3"/>
        <w:spacing w:before="260"/>
      </w:pPr>
      <w:bookmarkStart w:id="2070" w:name="_Toc189987948"/>
      <w:bookmarkStart w:id="2071" w:name="_Toc192041531"/>
      <w:bookmarkStart w:id="2072" w:name="_Toc199570765"/>
      <w:bookmarkStart w:id="2073" w:name="_Toc199738761"/>
      <w:bookmarkStart w:id="2074" w:name="_Toc199814862"/>
      <w:bookmarkStart w:id="2075" w:name="_Toc215040669"/>
      <w:bookmarkStart w:id="2076" w:name="_Toc215041114"/>
      <w:bookmarkStart w:id="2077" w:name="_Toc222129324"/>
      <w:bookmarkStart w:id="2078" w:name="_Toc222223029"/>
      <w:bookmarkStart w:id="2079" w:name="_Toc225914281"/>
      <w:bookmarkStart w:id="2080" w:name="_Toc231282326"/>
      <w:bookmarkStart w:id="2081" w:name="_Toc231282770"/>
      <w:bookmarkStart w:id="2082" w:name="_Toc234899357"/>
      <w:bookmarkStart w:id="2083" w:name="_Toc236632639"/>
      <w:bookmarkStart w:id="2084" w:name="_Toc236720252"/>
      <w:bookmarkStart w:id="2085" w:name="_Toc237764451"/>
      <w:bookmarkStart w:id="2086" w:name="_Toc238356075"/>
      <w:bookmarkStart w:id="2087" w:name="_Toc238368780"/>
      <w:bookmarkStart w:id="2088" w:name="_Toc238375733"/>
      <w:bookmarkStart w:id="2089" w:name="_Toc240339057"/>
      <w:bookmarkStart w:id="2090" w:name="_Toc241993563"/>
      <w:bookmarkStart w:id="2091" w:name="_Toc243192706"/>
      <w:bookmarkStart w:id="2092" w:name="_Toc243295408"/>
      <w:bookmarkStart w:id="2093" w:name="_Toc245112981"/>
      <w:bookmarkStart w:id="2094" w:name="_Toc245198143"/>
      <w:bookmarkStart w:id="2095" w:name="_Toc245198592"/>
      <w:bookmarkStart w:id="2096" w:name="_Toc245199041"/>
      <w:bookmarkStart w:id="2097" w:name="_Toc248122072"/>
      <w:bookmarkStart w:id="2098" w:name="_Toc248122523"/>
      <w:bookmarkStart w:id="2099" w:name="_Toc253670510"/>
      <w:bookmarkStart w:id="2100" w:name="_Toc253670960"/>
      <w:bookmarkStart w:id="2101" w:name="_Toc254942730"/>
      <w:bookmarkStart w:id="2102" w:name="_Toc254943183"/>
      <w:bookmarkStart w:id="2103" w:name="_Toc255475775"/>
      <w:bookmarkStart w:id="2104" w:name="_Toc256432096"/>
      <w:bookmarkStart w:id="2105" w:name="_Toc257720433"/>
      <w:bookmarkStart w:id="2106" w:name="_Toc257722115"/>
      <w:bookmarkStart w:id="2107" w:name="_Toc258335791"/>
      <w:bookmarkStart w:id="2108" w:name="_Toc260406233"/>
      <w:bookmarkStart w:id="2109" w:name="_Toc261271419"/>
      <w:bookmarkStart w:id="2110" w:name="_Toc262808101"/>
      <w:bookmarkStart w:id="2111" w:name="_Toc267572494"/>
      <w:bookmarkStart w:id="2112" w:name="_Toc270684243"/>
      <w:bookmarkStart w:id="2113" w:name="_Toc274214420"/>
      <w:bookmarkStart w:id="2114" w:name="_Toc274214869"/>
      <w:bookmarkStart w:id="2115" w:name="_Toc278976200"/>
      <w:bookmarkStart w:id="2116" w:name="_Toc286760523"/>
      <w:bookmarkStart w:id="2117" w:name="_Toc289080868"/>
      <w:bookmarkStart w:id="2118" w:name="_Toc290284062"/>
      <w:bookmarkStart w:id="2119" w:name="_Toc290642883"/>
      <w:bookmarkStart w:id="2120" w:name="_Toc290643332"/>
      <w:bookmarkStart w:id="2121" w:name="_Toc290643785"/>
      <w:bookmarkStart w:id="2122" w:name="_Toc294701602"/>
      <w:bookmarkStart w:id="2123" w:name="_Toc295200010"/>
      <w:bookmarkStart w:id="2124" w:name="_Toc296954451"/>
      <w:bookmarkStart w:id="2125" w:name="_Toc297276083"/>
      <w:bookmarkStart w:id="2126" w:name="_Toc297276535"/>
      <w:bookmarkStart w:id="2127" w:name="_Toc297276985"/>
      <w:bookmarkStart w:id="2128" w:name="_Toc297726354"/>
      <w:bookmarkStart w:id="2129" w:name="_Toc299980140"/>
      <w:bookmarkStart w:id="2130" w:name="_Toc300234766"/>
      <w:bookmarkStart w:id="2131" w:name="_Toc301961269"/>
      <w:bookmarkStart w:id="2132" w:name="_Toc301966839"/>
      <w:bookmarkStart w:id="2133" w:name="_Toc303253048"/>
      <w:bookmarkStart w:id="2134" w:name="_Toc303257212"/>
      <w:bookmarkStart w:id="2135" w:name="_Toc307992847"/>
      <w:bookmarkStart w:id="2136" w:name="_Toc309029880"/>
      <w:bookmarkStart w:id="2137" w:name="_Toc309304103"/>
      <w:bookmarkStart w:id="2138" w:name="_Toc309304556"/>
      <w:bookmarkStart w:id="2139" w:name="_Toc309309380"/>
      <w:r>
        <w:rPr>
          <w:rStyle w:val="CharDivNo"/>
        </w:rPr>
        <w:t>Division 3B</w:t>
      </w:r>
      <w:r>
        <w:t> — </w:t>
      </w:r>
      <w:r>
        <w:rPr>
          <w:rStyle w:val="CharDivText"/>
        </w:rPr>
        <w:t>Requirements regarding fishing gear in the South Coast Region</w:t>
      </w:r>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p>
    <w:p>
      <w:pPr>
        <w:pStyle w:val="Footnoteheading"/>
      </w:pPr>
      <w:r>
        <w:tab/>
        <w:t>[Heading inserted in Gazette 22 Dec 2005 p. 6223.]</w:t>
      </w:r>
    </w:p>
    <w:p>
      <w:pPr>
        <w:pStyle w:val="Heading5"/>
        <w:spacing w:before="240"/>
      </w:pPr>
      <w:bookmarkStart w:id="2140" w:name="_Toc309309381"/>
      <w:r>
        <w:rPr>
          <w:rStyle w:val="CharSectno"/>
        </w:rPr>
        <w:t>64OC</w:t>
      </w:r>
      <w:r>
        <w:t>.</w:t>
      </w:r>
      <w:r>
        <w:tab/>
        <w:t>Application of this Division</w:t>
      </w:r>
      <w:bookmarkEnd w:id="2140"/>
    </w:p>
    <w:p>
      <w:pPr>
        <w:pStyle w:val="Subsection"/>
        <w:spacing w:before="180"/>
      </w:pPr>
      <w:r>
        <w:tab/>
      </w:r>
      <w:r>
        <w:tab/>
        <w:t>This Division does not apply to a person fishing for a commercial purpose in accordance with an authorisation.</w:t>
      </w:r>
    </w:p>
    <w:p>
      <w:pPr>
        <w:pStyle w:val="Footnotesection"/>
      </w:pPr>
      <w:r>
        <w:tab/>
        <w:t>[Regulation 64OC inserted in Gazette 22 Dec 2005 p. 6223.]</w:t>
      </w:r>
    </w:p>
    <w:p>
      <w:pPr>
        <w:pStyle w:val="Heading5"/>
        <w:spacing w:before="240"/>
      </w:pPr>
      <w:bookmarkStart w:id="2141" w:name="_Toc309309382"/>
      <w:r>
        <w:rPr>
          <w:rStyle w:val="CharSectno"/>
        </w:rPr>
        <w:t>64OD</w:t>
      </w:r>
      <w:r>
        <w:t>.</w:t>
      </w:r>
      <w:r>
        <w:tab/>
        <w:t>Set fishing nets, restrictions on use of</w:t>
      </w:r>
      <w:bookmarkEnd w:id="2141"/>
    </w:p>
    <w:p>
      <w:pPr>
        <w:pStyle w:val="Subsection"/>
        <w:spacing w:before="180"/>
      </w:pPr>
      <w:r>
        <w:tab/>
        <w:t>(1)</w:t>
      </w:r>
      <w:r>
        <w:tab/>
        <w:t>A person must not set a fishing net in any waters of the South Coast Region other than —</w:t>
      </w:r>
    </w:p>
    <w:p>
      <w:pPr>
        <w:pStyle w:val="Indenta"/>
        <w:spacing w:before="60"/>
      </w:pPr>
      <w:r>
        <w:tab/>
        <w:t>(a)</w:t>
      </w:r>
      <w:r>
        <w:tab/>
        <w:t>in the waters of Wilson Inlet, Beaufort Inlet, Wellstead Inlet, Gordon Inlet, Hamersley Inlet, Pallinup River, Thomas River or Princess Royal Harbour; or</w:t>
      </w:r>
    </w:p>
    <w:p>
      <w:pPr>
        <w:pStyle w:val="Indenta"/>
        <w:spacing w:before="60"/>
      </w:pPr>
      <w:r>
        <w:tab/>
        <w:t>(b)</w:t>
      </w:r>
      <w:r>
        <w:tab/>
        <w:t xml:space="preserve">during May — October, in the waters of Broke Inlet, Irwin Inlet, Stokes Inlet or </w:t>
      </w:r>
      <w:smartTag w:uri="urn:schemas-microsoft-com:office:smarttags" w:element="place">
        <w:smartTag w:uri="urn:schemas-microsoft-com:office:smarttags" w:element="PlaceName">
          <w:r>
            <w:t>Gairdner</w:t>
          </w:r>
        </w:smartTag>
        <w:r>
          <w:t xml:space="preserve"> </w:t>
        </w:r>
        <w:smartTag w:uri="urn:schemas-microsoft-com:office:smarttags" w:element="PlaceType">
          <w:r>
            <w:t>River</w:t>
          </w:r>
        </w:smartTag>
      </w:smartTag>
      <w:r>
        <w:t>.</w:t>
      </w:r>
    </w:p>
    <w:p>
      <w:pPr>
        <w:pStyle w:val="Subsection"/>
        <w:keepNext/>
      </w:pPr>
      <w:r>
        <w:tab/>
        <w:t>(2)</w:t>
      </w:r>
      <w:r>
        <w:tab/>
        <w:t>A person who fishes using a set fishing net in the South Coast Region must not use the net —</w:t>
      </w:r>
    </w:p>
    <w:p>
      <w:pPr>
        <w:pStyle w:val="Indenta"/>
        <w:spacing w:before="60"/>
      </w:pPr>
      <w:r>
        <w:tab/>
        <w:t>(a)</w:t>
      </w:r>
      <w:r>
        <w:tab/>
        <w:t>during May — October — at any time other than between 4 p.m. and 9 p.m. on a Friday or Saturday; or</w:t>
      </w:r>
    </w:p>
    <w:p>
      <w:pPr>
        <w:pStyle w:val="Indenta"/>
        <w:spacing w:before="60"/>
      </w:pPr>
      <w:r>
        <w:tab/>
        <w:t>(b)</w:t>
      </w:r>
      <w:r>
        <w:tab/>
        <w:t>during November — April — at any time other than between 5 p.m. and 10 p.m. on a Friday or Saturday.</w:t>
      </w:r>
    </w:p>
    <w:p>
      <w:pPr>
        <w:pStyle w:val="Subsection"/>
        <w:keepNext/>
        <w:spacing w:before="180"/>
      </w:pPr>
      <w:r>
        <w:tab/>
        <w:t>(3)</w:t>
      </w:r>
      <w:r>
        <w:tab/>
        <w:t>A person who fishes using a set fishing net in the South Coast Region must —</w:t>
      </w:r>
    </w:p>
    <w:p>
      <w:pPr>
        <w:pStyle w:val="Indenta"/>
        <w:spacing w:before="60"/>
      </w:pPr>
      <w:r>
        <w:tab/>
        <w:t>(a)</w:t>
      </w:r>
      <w:r>
        <w:tab/>
        <w:t>attend that net; and</w:t>
      </w:r>
    </w:p>
    <w:p>
      <w:pPr>
        <w:pStyle w:val="Indenta"/>
        <w:spacing w:before="60"/>
      </w:pPr>
      <w:r>
        <w:tab/>
        <w:t>(b)</w:t>
      </w:r>
      <w:r>
        <w:tab/>
        <w:t>remove the net from the water and clear it of fish at intervals of not more than one hour.</w:t>
      </w:r>
    </w:p>
    <w:p>
      <w:pPr>
        <w:pStyle w:val="Subsection"/>
        <w:spacing w:before="180"/>
      </w:pPr>
      <w:r>
        <w:tab/>
        <w:t>(4)</w:t>
      </w:r>
      <w:r>
        <w:tab/>
        <w:t>In this regulation —</w:t>
      </w:r>
    </w:p>
    <w:p>
      <w:pPr>
        <w:pStyle w:val="Defstart"/>
      </w:pPr>
      <w:r>
        <w:rPr>
          <w:b/>
        </w:rPr>
        <w:tab/>
      </w:r>
      <w:r>
        <w:rPr>
          <w:rStyle w:val="CharDefText"/>
        </w:rPr>
        <w:t>May — October</w:t>
      </w:r>
      <w:r>
        <w:t xml:space="preserve"> means the period between 1 May and 31 October in any year;</w:t>
      </w:r>
    </w:p>
    <w:p>
      <w:pPr>
        <w:pStyle w:val="Defstart"/>
      </w:pPr>
      <w:r>
        <w:rPr>
          <w:b/>
        </w:rPr>
        <w:tab/>
      </w:r>
      <w:r>
        <w:rPr>
          <w:rStyle w:val="CharDefText"/>
        </w:rPr>
        <w:t>November — April</w:t>
      </w:r>
      <w:r>
        <w:t xml:space="preserve"> means the period between 1 November in any year and 30 April in the following year.</w:t>
      </w:r>
    </w:p>
    <w:p>
      <w:pPr>
        <w:pStyle w:val="Penstart"/>
      </w:pPr>
      <w:r>
        <w:tab/>
        <w:t>Penalty: $2 000.</w:t>
      </w:r>
    </w:p>
    <w:p>
      <w:pPr>
        <w:pStyle w:val="Footnotesection"/>
      </w:pPr>
      <w:r>
        <w:tab/>
        <w:t>[Regulation 64OD inserted in Gazette 22 Dec 2005 p. 6223</w:t>
      </w:r>
      <w:r>
        <w:noBreakHyphen/>
        <w:t>4.]</w:t>
      </w:r>
    </w:p>
    <w:p>
      <w:pPr>
        <w:pStyle w:val="Heading5"/>
        <w:spacing w:before="240"/>
      </w:pPr>
      <w:bookmarkStart w:id="2142" w:name="_Toc309309383"/>
      <w:r>
        <w:rPr>
          <w:rStyle w:val="CharSectno"/>
        </w:rPr>
        <w:t>64OE</w:t>
      </w:r>
      <w:r>
        <w:t>.</w:t>
      </w:r>
      <w:r>
        <w:tab/>
        <w:t>Throw nets, restrictions on use of</w:t>
      </w:r>
      <w:bookmarkEnd w:id="2142"/>
    </w:p>
    <w:p>
      <w:pPr>
        <w:pStyle w:val="Subsection"/>
      </w:pPr>
      <w:r>
        <w:tab/>
        <w:t>(1)</w:t>
      </w:r>
      <w:r>
        <w:tab/>
        <w:t>A person must not fish by using a fishing net that is a throw net in any ocean waters of the South Coast Region other than for the taking of bait fish.</w:t>
      </w:r>
    </w:p>
    <w:p>
      <w:pPr>
        <w:pStyle w:val="Subsection"/>
      </w:pPr>
      <w:r>
        <w:tab/>
        <w:t>(2)</w:t>
      </w:r>
      <w:r>
        <w:tab/>
        <w:t>A person fishing by using a throw net in any ocean waters of the South Coast Region must not take any fish except bait fish.</w:t>
      </w:r>
    </w:p>
    <w:p>
      <w:pPr>
        <w:pStyle w:val="Subsection"/>
      </w:pPr>
      <w:r>
        <w:tab/>
        <w:t>(3)</w:t>
      </w:r>
      <w:r>
        <w:tab/>
        <w:t>Subregulations (1) and (2) do not apply to a person fishing for a commercial purpose in accordance with an authorisation.</w:t>
      </w:r>
    </w:p>
    <w:p>
      <w:pPr>
        <w:pStyle w:val="Subsection"/>
      </w:pPr>
      <w:r>
        <w:tab/>
        <w:t>(4)</w:t>
      </w:r>
      <w:r>
        <w:tab/>
        <w:t>In this regulation —</w:t>
      </w:r>
    </w:p>
    <w:p>
      <w:pPr>
        <w:pStyle w:val="Defstart"/>
      </w:pPr>
      <w:r>
        <w:rPr>
          <w:b/>
        </w:rPr>
        <w:tab/>
      </w:r>
      <w:r>
        <w:rPr>
          <w:rStyle w:val="CharDefText"/>
        </w:rPr>
        <w:t>bait fish</w:t>
      </w:r>
      <w:r>
        <w:t xml:space="preserve"> means fish of the </w:t>
      </w:r>
      <w:r>
        <w:rPr>
          <w:u w:val="single"/>
        </w:rPr>
        <w:t>Family</w:t>
      </w:r>
      <w:r>
        <w:t xml:space="preserve"> Atherinidae, Clupeidae, Engraulidae, Hemirhamphidae or Mugilidae.</w:t>
      </w:r>
    </w:p>
    <w:p>
      <w:pPr>
        <w:pStyle w:val="Penstart"/>
      </w:pPr>
      <w:r>
        <w:tab/>
        <w:t>Penalty: $2 000.</w:t>
      </w:r>
    </w:p>
    <w:p>
      <w:pPr>
        <w:pStyle w:val="Footnotesection"/>
        <w:spacing w:before="60"/>
        <w:ind w:left="890" w:hanging="890"/>
      </w:pPr>
      <w:r>
        <w:tab/>
        <w:t>[Regulation 64OE inserted in Gazette 22 Dec 2005 p. 6224</w:t>
      </w:r>
      <w:r>
        <w:noBreakHyphen/>
        <w:t>5.]</w:t>
      </w:r>
    </w:p>
    <w:p>
      <w:pPr>
        <w:pStyle w:val="Heading3"/>
        <w:keepLines/>
        <w:spacing w:before="180"/>
      </w:pPr>
      <w:bookmarkStart w:id="2143" w:name="_Toc189987952"/>
      <w:bookmarkStart w:id="2144" w:name="_Toc192041535"/>
      <w:bookmarkStart w:id="2145" w:name="_Toc199570769"/>
      <w:bookmarkStart w:id="2146" w:name="_Toc199738765"/>
      <w:bookmarkStart w:id="2147" w:name="_Toc199814866"/>
      <w:bookmarkStart w:id="2148" w:name="_Toc215040673"/>
      <w:bookmarkStart w:id="2149" w:name="_Toc215041118"/>
      <w:bookmarkStart w:id="2150" w:name="_Toc222129328"/>
      <w:bookmarkStart w:id="2151" w:name="_Toc222223033"/>
      <w:bookmarkStart w:id="2152" w:name="_Toc225914285"/>
      <w:bookmarkStart w:id="2153" w:name="_Toc231282330"/>
      <w:bookmarkStart w:id="2154" w:name="_Toc231282774"/>
      <w:bookmarkStart w:id="2155" w:name="_Toc234899361"/>
      <w:bookmarkStart w:id="2156" w:name="_Toc236632643"/>
      <w:bookmarkStart w:id="2157" w:name="_Toc236720256"/>
      <w:bookmarkStart w:id="2158" w:name="_Toc237764455"/>
      <w:bookmarkStart w:id="2159" w:name="_Toc238356079"/>
      <w:bookmarkStart w:id="2160" w:name="_Toc238368784"/>
      <w:bookmarkStart w:id="2161" w:name="_Toc238375737"/>
      <w:bookmarkStart w:id="2162" w:name="_Toc240339061"/>
      <w:bookmarkStart w:id="2163" w:name="_Toc241993567"/>
      <w:bookmarkStart w:id="2164" w:name="_Toc243192710"/>
      <w:bookmarkStart w:id="2165" w:name="_Toc243295412"/>
      <w:bookmarkStart w:id="2166" w:name="_Toc245112985"/>
      <w:bookmarkStart w:id="2167" w:name="_Toc245198147"/>
      <w:bookmarkStart w:id="2168" w:name="_Toc245198596"/>
      <w:bookmarkStart w:id="2169" w:name="_Toc245199045"/>
      <w:bookmarkStart w:id="2170" w:name="_Toc248122076"/>
      <w:bookmarkStart w:id="2171" w:name="_Toc248122527"/>
      <w:bookmarkStart w:id="2172" w:name="_Toc253670514"/>
      <w:bookmarkStart w:id="2173" w:name="_Toc253670964"/>
      <w:bookmarkStart w:id="2174" w:name="_Toc254942734"/>
      <w:bookmarkStart w:id="2175" w:name="_Toc254943187"/>
      <w:bookmarkStart w:id="2176" w:name="_Toc255475779"/>
      <w:bookmarkStart w:id="2177" w:name="_Toc256432100"/>
      <w:bookmarkStart w:id="2178" w:name="_Toc257720437"/>
      <w:bookmarkStart w:id="2179" w:name="_Toc257722119"/>
      <w:bookmarkStart w:id="2180" w:name="_Toc258335795"/>
      <w:bookmarkStart w:id="2181" w:name="_Toc260406237"/>
      <w:bookmarkStart w:id="2182" w:name="_Toc261271423"/>
      <w:bookmarkStart w:id="2183" w:name="_Toc262808105"/>
      <w:bookmarkStart w:id="2184" w:name="_Toc267572498"/>
      <w:bookmarkStart w:id="2185" w:name="_Toc270684247"/>
      <w:bookmarkStart w:id="2186" w:name="_Toc274214424"/>
      <w:bookmarkStart w:id="2187" w:name="_Toc274214873"/>
      <w:bookmarkStart w:id="2188" w:name="_Toc278976204"/>
      <w:bookmarkStart w:id="2189" w:name="_Toc286760527"/>
      <w:bookmarkStart w:id="2190" w:name="_Toc289080872"/>
      <w:bookmarkStart w:id="2191" w:name="_Toc290284066"/>
      <w:bookmarkStart w:id="2192" w:name="_Toc290642887"/>
      <w:bookmarkStart w:id="2193" w:name="_Toc290643336"/>
      <w:bookmarkStart w:id="2194" w:name="_Toc290643789"/>
      <w:bookmarkStart w:id="2195" w:name="_Toc294701606"/>
      <w:bookmarkStart w:id="2196" w:name="_Toc295200014"/>
      <w:bookmarkStart w:id="2197" w:name="_Toc296954455"/>
      <w:bookmarkStart w:id="2198" w:name="_Toc297276087"/>
      <w:bookmarkStart w:id="2199" w:name="_Toc297276539"/>
      <w:bookmarkStart w:id="2200" w:name="_Toc297276989"/>
      <w:bookmarkStart w:id="2201" w:name="_Toc297726358"/>
      <w:bookmarkStart w:id="2202" w:name="_Toc299980144"/>
      <w:bookmarkStart w:id="2203" w:name="_Toc300234770"/>
      <w:bookmarkStart w:id="2204" w:name="_Toc301961273"/>
      <w:bookmarkStart w:id="2205" w:name="_Toc301966843"/>
      <w:bookmarkStart w:id="2206" w:name="_Toc303253052"/>
      <w:bookmarkStart w:id="2207" w:name="_Toc303257216"/>
      <w:bookmarkStart w:id="2208" w:name="_Toc307992851"/>
      <w:bookmarkStart w:id="2209" w:name="_Toc309029884"/>
      <w:bookmarkStart w:id="2210" w:name="_Toc309304107"/>
      <w:bookmarkStart w:id="2211" w:name="_Toc309304560"/>
      <w:bookmarkStart w:id="2212" w:name="_Toc309309384"/>
      <w:r>
        <w:rPr>
          <w:rStyle w:val="CharDivNo"/>
        </w:rPr>
        <w:t>Division 4</w:t>
      </w:r>
      <w:r>
        <w:t> — </w:t>
      </w:r>
      <w:r>
        <w:rPr>
          <w:rStyle w:val="CharDivText"/>
        </w:rPr>
        <w:t>Requirements regarding fishing gear in certain other areas</w:t>
      </w:r>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p>
    <w:p>
      <w:pPr>
        <w:pStyle w:val="Footnoteheading"/>
        <w:keepNext/>
        <w:keepLines/>
        <w:tabs>
          <w:tab w:val="left" w:pos="851"/>
        </w:tabs>
        <w:spacing w:before="80"/>
      </w:pPr>
      <w:r>
        <w:tab/>
        <w:t>[Heading inserted in Gazette 1 Oct 2003 p. 4314.]</w:t>
      </w:r>
    </w:p>
    <w:p>
      <w:pPr>
        <w:pStyle w:val="Heading5"/>
      </w:pPr>
      <w:bookmarkStart w:id="2213" w:name="_Toc309309385"/>
      <w:r>
        <w:rPr>
          <w:rStyle w:val="CharSectno"/>
        </w:rPr>
        <w:t>64P</w:t>
      </w:r>
      <w:r>
        <w:t>.</w:t>
      </w:r>
      <w:r>
        <w:tab/>
        <w:t xml:space="preserve">Prawn hand trawl nets in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 xml:space="preserve"> and Leschenault Estuary</w:t>
      </w:r>
      <w:bookmarkEnd w:id="2213"/>
    </w:p>
    <w:p>
      <w:pPr>
        <w:pStyle w:val="Subsection"/>
      </w:pPr>
      <w:r>
        <w:tab/>
      </w:r>
      <w:r>
        <w:tab/>
        <w:t>A person must not use, or leave unattended, a prawn hand trawl net in the waters of —</w:t>
      </w:r>
    </w:p>
    <w:p>
      <w:pPr>
        <w:pStyle w:val="Indenta"/>
      </w:pPr>
      <w:r>
        <w:tab/>
        <w:t>(a)</w:t>
      </w:r>
      <w:r>
        <w:tab/>
        <w:t>the Leschenault Estuary; or</w:t>
      </w:r>
    </w:p>
    <w:p>
      <w:pPr>
        <w:pStyle w:val="Indenta"/>
      </w:pPr>
      <w:r>
        <w:tab/>
        <w:t>(b)</w:t>
      </w:r>
      <w:r>
        <w:tab/>
        <w:t xml:space="preserve">the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 —</w:t>
      </w:r>
    </w:p>
    <w:p>
      <w:pPr>
        <w:pStyle w:val="Indenti"/>
      </w:pPr>
      <w:r>
        <w:tab/>
        <w:t>(i)</w:t>
      </w:r>
      <w:r>
        <w:tab/>
        <w:t>within 100 m of any part of the Pelican Point Nature Reserve (Reserve No. 40891); or</w:t>
      </w:r>
    </w:p>
    <w:p>
      <w:pPr>
        <w:pStyle w:val="Indenti"/>
      </w:pPr>
      <w:r>
        <w:tab/>
        <w:t>(ii)</w:t>
      </w:r>
      <w:r>
        <w:tab/>
        <w:t>within 100 m of any part of the Milyu Nature Reserve (Reserve No. 33803).</w:t>
      </w:r>
    </w:p>
    <w:p>
      <w:pPr>
        <w:pStyle w:val="Penstart"/>
      </w:pPr>
      <w:r>
        <w:tab/>
        <w:t>Penalty: $2 000.</w:t>
      </w:r>
    </w:p>
    <w:p>
      <w:pPr>
        <w:pStyle w:val="Footnotesection"/>
      </w:pPr>
      <w:r>
        <w:tab/>
        <w:t>[Regulation 64P inserted in Gazette 1 Oct 2003 p. 4314.]</w:t>
      </w:r>
    </w:p>
    <w:p>
      <w:pPr>
        <w:pStyle w:val="Heading5"/>
      </w:pPr>
      <w:bookmarkStart w:id="2214" w:name="_Toc309309386"/>
      <w:r>
        <w:rPr>
          <w:rStyle w:val="CharSectno"/>
        </w:rPr>
        <w:t>64Q</w:t>
      </w:r>
      <w:r>
        <w:t>.</w:t>
      </w:r>
      <w:r>
        <w:tab/>
        <w:t>Fishing nets, restrictions on use of etc. by commercial fishers in certain areas</w:t>
      </w:r>
      <w:bookmarkEnd w:id="2214"/>
    </w:p>
    <w:p>
      <w:pPr>
        <w:pStyle w:val="Subsection"/>
      </w:pPr>
      <w:r>
        <w:tab/>
      </w:r>
      <w:r>
        <w:tab/>
        <w:t>A person who holds a commercial fishing licence must not use, or leave unattended, in the waters of a fishery listed in the Table to this regulation —</w:t>
      </w:r>
    </w:p>
    <w:p>
      <w:pPr>
        <w:pStyle w:val="Indenta"/>
      </w:pPr>
      <w:r>
        <w:tab/>
        <w:t>(a)</w:t>
      </w:r>
      <w:r>
        <w:tab/>
        <w:t>any surface fishing net, unless the net has end floats at least 150 mm in diameter clearly marked with the licensed fishing boat number of any boat used in connection with the net; or</w:t>
      </w:r>
    </w:p>
    <w:p>
      <w:pPr>
        <w:pStyle w:val="Indenta"/>
      </w:pPr>
      <w:r>
        <w:tab/>
        <w:t>(b)</w:t>
      </w:r>
      <w:r>
        <w:tab/>
        <w:t>any fishing net, unless the net has —</w:t>
      </w:r>
    </w:p>
    <w:p>
      <w:pPr>
        <w:pStyle w:val="Indenti"/>
      </w:pPr>
      <w:r>
        <w:tab/>
        <w:t>(i)</w:t>
      </w:r>
      <w:r>
        <w:tab/>
        <w:t>every tenth lead weight marked clearly with lettering at least 4 mm high showing the licensed fishing boat number referred to in paragraph (a); or</w:t>
      </w:r>
    </w:p>
    <w:p>
      <w:pPr>
        <w:pStyle w:val="Indenti"/>
        <w:keepNext/>
        <w:keepLines/>
      </w:pPr>
      <w:r>
        <w:tab/>
        <w:t>(ii)</w:t>
      </w:r>
      <w:r>
        <w:tab/>
        <w:t>every tenth net float marked clearly with lettering at least 10 mm high showing the licensed fishing boat number referred to in paragraph (a).</w:t>
      </w:r>
    </w:p>
    <w:p>
      <w:pPr>
        <w:pStyle w:val="Penstart"/>
      </w:pPr>
      <w:r>
        <w:tab/>
        <w:t>Penalty: $2 000.</w:t>
      </w:r>
    </w:p>
    <w:p>
      <w:pPr>
        <w:pStyle w:val="THeadingNAm"/>
      </w:pPr>
      <w:r>
        <w:t>Table</w:t>
      </w:r>
    </w:p>
    <w:tbl>
      <w:tblPr>
        <w:tblW w:w="0" w:type="auto"/>
        <w:tblInd w:w="959" w:type="dxa"/>
        <w:tblLayout w:type="fixed"/>
        <w:tblLook w:val="0000" w:firstRow="0" w:lastRow="0" w:firstColumn="0" w:lastColumn="0" w:noHBand="0" w:noVBand="0"/>
      </w:tblPr>
      <w:tblGrid>
        <w:gridCol w:w="709"/>
        <w:gridCol w:w="5636"/>
      </w:tblGrid>
      <w:tr>
        <w:tc>
          <w:tcPr>
            <w:tcW w:w="709" w:type="dxa"/>
          </w:tcPr>
          <w:p>
            <w:pPr>
              <w:pStyle w:val="TableNAm"/>
              <w:rPr>
                <w:sz w:val="22"/>
              </w:rPr>
            </w:pPr>
            <w:r>
              <w:rPr>
                <w:sz w:val="22"/>
              </w:rPr>
              <w:t>1.</w:t>
            </w:r>
          </w:p>
        </w:tc>
        <w:tc>
          <w:tcPr>
            <w:tcW w:w="5636" w:type="dxa"/>
          </w:tcPr>
          <w:p>
            <w:pPr>
              <w:pStyle w:val="TableNAm"/>
              <w:rPr>
                <w:sz w:val="22"/>
              </w:rPr>
            </w:pPr>
            <w:r>
              <w:rPr>
                <w:sz w:val="22"/>
              </w:rPr>
              <w:t>Hardy Inlet Estuarine Fishery, being the commercial fishing by fishing nets for all fish in the waters of Hardy Inlet and its tributaries.</w:t>
            </w:r>
          </w:p>
        </w:tc>
      </w:tr>
      <w:tr>
        <w:tc>
          <w:tcPr>
            <w:tcW w:w="709" w:type="dxa"/>
          </w:tcPr>
          <w:p>
            <w:pPr>
              <w:pStyle w:val="TableNAm"/>
              <w:rPr>
                <w:sz w:val="22"/>
              </w:rPr>
            </w:pPr>
            <w:r>
              <w:rPr>
                <w:sz w:val="22"/>
              </w:rPr>
              <w:t>2.</w:t>
            </w:r>
          </w:p>
        </w:tc>
        <w:tc>
          <w:tcPr>
            <w:tcW w:w="5636" w:type="dxa"/>
          </w:tcPr>
          <w:p>
            <w:pPr>
              <w:pStyle w:val="TableNAm"/>
              <w:rPr>
                <w:sz w:val="22"/>
              </w:rPr>
            </w:pPr>
            <w:r>
              <w:rPr>
                <w:sz w:val="22"/>
              </w:rPr>
              <w:t xml:space="preserve">West Coast Estuarine Fishery identified in the </w:t>
            </w:r>
            <w:r>
              <w:rPr>
                <w:i/>
                <w:sz w:val="22"/>
              </w:rPr>
              <w:t>West Coast Estuarine Fishery (Interim) Management Plan 2003</w:t>
            </w:r>
            <w:r>
              <w:rPr>
                <w:sz w:val="22"/>
              </w:rPr>
              <w:t>.</w:t>
            </w:r>
          </w:p>
        </w:tc>
      </w:tr>
      <w:tr>
        <w:tc>
          <w:tcPr>
            <w:tcW w:w="709" w:type="dxa"/>
          </w:tcPr>
          <w:p>
            <w:pPr>
              <w:pStyle w:val="TableNAm"/>
              <w:rPr>
                <w:sz w:val="22"/>
              </w:rPr>
            </w:pPr>
            <w:r>
              <w:rPr>
                <w:sz w:val="22"/>
              </w:rPr>
              <w:t>3.</w:t>
            </w:r>
          </w:p>
        </w:tc>
        <w:tc>
          <w:tcPr>
            <w:tcW w:w="5636" w:type="dxa"/>
          </w:tcPr>
          <w:p>
            <w:pPr>
              <w:pStyle w:val="TableNAm"/>
              <w:rPr>
                <w:sz w:val="22"/>
              </w:rPr>
            </w:pPr>
            <w:smartTag w:uri="urn:schemas-microsoft-com:office:smarttags" w:element="PlaceName">
              <w:r>
                <w:rPr>
                  <w:sz w:val="22"/>
                </w:rPr>
                <w:t>Shark</w:t>
              </w:r>
            </w:smartTag>
            <w:r>
              <w:rPr>
                <w:sz w:val="22"/>
              </w:rPr>
              <w:t xml:space="preserve"> </w:t>
            </w:r>
            <w:smartTag w:uri="urn:schemas-microsoft-com:office:smarttags" w:element="PlaceType">
              <w:r>
                <w:rPr>
                  <w:sz w:val="22"/>
                </w:rPr>
                <w:t>Bay</w:t>
              </w:r>
            </w:smartTag>
            <w:r>
              <w:rPr>
                <w:sz w:val="22"/>
              </w:rPr>
              <w:t xml:space="preserve"> </w:t>
            </w:r>
            <w:smartTag w:uri="urn:schemas-microsoft-com:office:smarttags" w:element="PlaceType">
              <w:r>
                <w:rPr>
                  <w:sz w:val="22"/>
                </w:rPr>
                <w:t>Beach</w:t>
              </w:r>
            </w:smartTag>
            <w:r>
              <w:rPr>
                <w:sz w:val="22"/>
              </w:rPr>
              <w:t xml:space="preserve"> </w:t>
            </w:r>
            <w:smartTag w:uri="urn:schemas-microsoft-com:office:smarttags" w:element="place">
              <w:r>
                <w:rPr>
                  <w:sz w:val="22"/>
                </w:rPr>
                <w:t>Seine</w:t>
              </w:r>
            </w:smartTag>
            <w:r>
              <w:rPr>
                <w:sz w:val="22"/>
              </w:rPr>
              <w:t xml:space="preserve"> and Mesh Net Managed Fishery.</w:t>
            </w:r>
          </w:p>
        </w:tc>
      </w:tr>
      <w:tr>
        <w:tc>
          <w:tcPr>
            <w:tcW w:w="709" w:type="dxa"/>
          </w:tcPr>
          <w:p>
            <w:pPr>
              <w:pStyle w:val="TableNAm"/>
              <w:rPr>
                <w:sz w:val="22"/>
              </w:rPr>
            </w:pPr>
            <w:r>
              <w:rPr>
                <w:sz w:val="22"/>
              </w:rPr>
              <w:t>4.</w:t>
            </w:r>
          </w:p>
        </w:tc>
        <w:tc>
          <w:tcPr>
            <w:tcW w:w="5636" w:type="dxa"/>
          </w:tcPr>
          <w:p>
            <w:pPr>
              <w:pStyle w:val="TableNAm"/>
              <w:rPr>
                <w:sz w:val="22"/>
              </w:rPr>
            </w:pPr>
            <w:r>
              <w:rPr>
                <w:sz w:val="22"/>
              </w:rPr>
              <w:t xml:space="preserve">South Coast Estuarine Fishery, being the commercial fishing by fishing net for all fish in the waters of all estuaries on the south coast of the State between </w:t>
            </w:r>
            <w:smartTag w:uri="urn:schemas-microsoft-com:office:smarttags" w:element="PlaceType">
              <w:r>
                <w:rPr>
                  <w:sz w:val="22"/>
                </w:rPr>
                <w:t>Cape</w:t>
              </w:r>
            </w:smartTag>
            <w:r>
              <w:rPr>
                <w:sz w:val="22"/>
              </w:rPr>
              <w:t xml:space="preserve"> </w:t>
            </w:r>
            <w:smartTag w:uri="urn:schemas-microsoft-com:office:smarttags" w:element="PlaceName">
              <w:r>
                <w:rPr>
                  <w:sz w:val="22"/>
                </w:rPr>
                <w:t>Beaufort</w:t>
              </w:r>
            </w:smartTag>
            <w:r>
              <w:rPr>
                <w:sz w:val="22"/>
              </w:rPr>
              <w:t xml:space="preserve"> and the 129° meridian of longitude, including </w:t>
            </w:r>
            <w:smartTag w:uri="urn:schemas-microsoft-com:office:smarttags" w:element="PlaceName">
              <w:r>
                <w:rPr>
                  <w:sz w:val="22"/>
                </w:rPr>
                <w:t>Princess</w:t>
              </w:r>
            </w:smartTag>
            <w:r>
              <w:rPr>
                <w:sz w:val="22"/>
              </w:rPr>
              <w:t xml:space="preserve"> </w:t>
            </w:r>
            <w:smartTag w:uri="urn:schemas-microsoft-com:office:smarttags" w:element="PlaceName">
              <w:r>
                <w:rPr>
                  <w:sz w:val="22"/>
                </w:rPr>
                <w:t>Royal</w:t>
              </w:r>
            </w:smartTag>
            <w:r>
              <w:rPr>
                <w:sz w:val="22"/>
              </w:rPr>
              <w:t xml:space="preserve"> </w:t>
            </w:r>
            <w:smartTag w:uri="urn:schemas-microsoft-com:office:smarttags" w:element="PlaceType">
              <w:r>
                <w:rPr>
                  <w:sz w:val="22"/>
                </w:rPr>
                <w:t>Harbour</w:t>
              </w:r>
            </w:smartTag>
            <w:r>
              <w:rPr>
                <w:sz w:val="22"/>
              </w:rPr>
              <w:t xml:space="preserve"> and </w:t>
            </w:r>
            <w:smartTag w:uri="urn:schemas-microsoft-com:office:smarttags" w:element="place">
              <w:smartTag w:uri="urn:schemas-microsoft-com:office:smarttags" w:element="PlaceName">
                <w:r>
                  <w:rPr>
                    <w:sz w:val="22"/>
                  </w:rPr>
                  <w:t>Oyster</w:t>
                </w:r>
              </w:smartTag>
              <w:r>
                <w:rPr>
                  <w:sz w:val="22"/>
                </w:rPr>
                <w:t xml:space="preserve"> </w:t>
              </w:r>
              <w:smartTag w:uri="urn:schemas-microsoft-com:office:smarttags" w:element="PlaceType">
                <w:r>
                  <w:rPr>
                    <w:sz w:val="22"/>
                  </w:rPr>
                  <w:t>Harbour</w:t>
                </w:r>
              </w:smartTag>
            </w:smartTag>
            <w:r>
              <w:rPr>
                <w:sz w:val="22"/>
              </w:rPr>
              <w:t>.</w:t>
            </w:r>
          </w:p>
        </w:tc>
      </w:tr>
      <w:tr>
        <w:tc>
          <w:tcPr>
            <w:tcW w:w="709" w:type="dxa"/>
          </w:tcPr>
          <w:p>
            <w:pPr>
              <w:pStyle w:val="TableNAm"/>
              <w:rPr>
                <w:sz w:val="22"/>
              </w:rPr>
            </w:pPr>
            <w:r>
              <w:rPr>
                <w:sz w:val="22"/>
              </w:rPr>
              <w:t>5.</w:t>
            </w:r>
          </w:p>
        </w:tc>
        <w:tc>
          <w:tcPr>
            <w:tcW w:w="5636" w:type="dxa"/>
          </w:tcPr>
          <w:p>
            <w:pPr>
              <w:pStyle w:val="TableNAm"/>
              <w:rPr>
                <w:sz w:val="22"/>
              </w:rPr>
            </w:pPr>
            <w:r>
              <w:rPr>
                <w:sz w:val="22"/>
              </w:rPr>
              <w:t xml:space="preserve">Swan/Canning Estuarine Fishery, being the commercial fishing by fishing net for all fish in the waters of the </w:t>
            </w:r>
            <w:smartTag w:uri="urn:schemas-microsoft-com:office:smarttags" w:element="PlaceName">
              <w:r>
                <w:rPr>
                  <w:sz w:val="22"/>
                </w:rPr>
                <w:t>Swan</w:t>
              </w:r>
            </w:smartTag>
            <w:r>
              <w:rPr>
                <w:sz w:val="22"/>
              </w:rPr>
              <w:t xml:space="preserve"> </w:t>
            </w:r>
            <w:smartTag w:uri="urn:schemas-microsoft-com:office:smarttags" w:element="PlaceType">
              <w:r>
                <w:rPr>
                  <w:sz w:val="22"/>
                </w:rPr>
                <w:t>River</w:t>
              </w:r>
            </w:smartTag>
            <w:r>
              <w:rPr>
                <w:sz w:val="22"/>
              </w:rPr>
              <w:t xml:space="preserve"> and </w:t>
            </w:r>
            <w:smartTag w:uri="urn:schemas-microsoft-com:office:smarttags" w:element="place">
              <w:smartTag w:uri="urn:schemas-microsoft-com:office:smarttags" w:element="PlaceName">
                <w:r>
                  <w:rPr>
                    <w:sz w:val="22"/>
                  </w:rPr>
                  <w:t>Canning</w:t>
                </w:r>
              </w:smartTag>
              <w:r>
                <w:rPr>
                  <w:sz w:val="22"/>
                </w:rPr>
                <w:t xml:space="preserve"> </w:t>
              </w:r>
              <w:smartTag w:uri="urn:schemas-microsoft-com:office:smarttags" w:element="PlaceType">
                <w:r>
                  <w:rPr>
                    <w:sz w:val="22"/>
                  </w:rPr>
                  <w:t>River</w:t>
                </w:r>
              </w:smartTag>
            </w:smartTag>
            <w:r>
              <w:rPr>
                <w:sz w:val="22"/>
              </w:rPr>
              <w:t>.</w:t>
            </w:r>
          </w:p>
        </w:tc>
      </w:tr>
      <w:tr>
        <w:tc>
          <w:tcPr>
            <w:tcW w:w="709" w:type="dxa"/>
          </w:tcPr>
          <w:p>
            <w:pPr>
              <w:pStyle w:val="TableNAm"/>
              <w:rPr>
                <w:sz w:val="22"/>
              </w:rPr>
            </w:pPr>
            <w:r>
              <w:rPr>
                <w:sz w:val="22"/>
              </w:rPr>
              <w:t>6.</w:t>
            </w:r>
          </w:p>
        </w:tc>
        <w:tc>
          <w:tcPr>
            <w:tcW w:w="5636" w:type="dxa"/>
          </w:tcPr>
          <w:p>
            <w:pPr>
              <w:pStyle w:val="TableNAm"/>
              <w:rPr>
                <w:sz w:val="22"/>
              </w:rPr>
            </w:pPr>
            <w:r>
              <w:rPr>
                <w:sz w:val="22"/>
              </w:rPr>
              <w:t xml:space="preserve">Lake Argyle Fishery, being the commercial fishing by fishing net for fish in the waters of </w:t>
            </w:r>
            <w:smartTag w:uri="urn:schemas-microsoft-com:office:smarttags" w:element="place">
              <w:smartTag w:uri="urn:schemas-microsoft-com:office:smarttags" w:element="PlaceType">
                <w:r>
                  <w:rPr>
                    <w:sz w:val="22"/>
                  </w:rPr>
                  <w:t>Lake</w:t>
                </w:r>
              </w:smartTag>
              <w:r>
                <w:rPr>
                  <w:sz w:val="22"/>
                </w:rPr>
                <w:t xml:space="preserve"> </w:t>
              </w:r>
              <w:smartTag w:uri="urn:schemas-microsoft-com:office:smarttags" w:element="PlaceName">
                <w:r>
                  <w:rPr>
                    <w:sz w:val="22"/>
                  </w:rPr>
                  <w:t>Argyle</w:t>
                </w:r>
              </w:smartTag>
            </w:smartTag>
            <w:r>
              <w:rPr>
                <w:sz w:val="22"/>
              </w:rPr>
              <w:t>.</w:t>
            </w:r>
          </w:p>
        </w:tc>
      </w:tr>
    </w:tbl>
    <w:p>
      <w:pPr>
        <w:pStyle w:val="Footnotesection"/>
      </w:pPr>
      <w:r>
        <w:tab/>
        <w:t>[Regulation 64Q inserted in Gazette 1 Oct 2003 p. 4314</w:t>
      </w:r>
      <w:r>
        <w:noBreakHyphen/>
        <w:t>15; amended in Gazette 6 Jul 2007 p. 3388.]</w:t>
      </w:r>
    </w:p>
    <w:p>
      <w:pPr>
        <w:pStyle w:val="Ednotesection"/>
      </w:pPr>
      <w:r>
        <w:t>[</w:t>
      </w:r>
      <w:r>
        <w:rPr>
          <w:b/>
        </w:rPr>
        <w:t>64R.</w:t>
      </w:r>
      <w:r>
        <w:tab/>
        <w:t>Deleted in Gazette 31 Oct 2003 p. 4561.]</w:t>
      </w:r>
    </w:p>
    <w:p>
      <w:pPr>
        <w:pStyle w:val="Heading5"/>
      </w:pPr>
      <w:bookmarkStart w:id="2215" w:name="_Toc309309387"/>
      <w:r>
        <w:rPr>
          <w:rStyle w:val="CharSectno"/>
        </w:rPr>
        <w:t>64S</w:t>
      </w:r>
      <w:r>
        <w:t>.</w:t>
      </w:r>
      <w:r>
        <w:tab/>
        <w:t>Possession of certain fishing gear prohibited near certain rivers and dams</w:t>
      </w:r>
      <w:bookmarkEnd w:id="2215"/>
    </w:p>
    <w:p>
      <w:pPr>
        <w:pStyle w:val="Subsection"/>
      </w:pPr>
      <w:r>
        <w:tab/>
        <w:t>(1)</w:t>
      </w:r>
      <w:r>
        <w:tab/>
        <w:t>A person referred to in subregulation (2) must not be in possession of anything capable of taking fish other than —</w:t>
      </w:r>
    </w:p>
    <w:p>
      <w:pPr>
        <w:pStyle w:val="Indenta"/>
      </w:pPr>
      <w:r>
        <w:tab/>
        <w:t>(a)</w:t>
      </w:r>
      <w:r>
        <w:tab/>
        <w:t>a single marron scoop net or a single marron pole snare or not more than 6 marron drop nets; and</w:t>
      </w:r>
    </w:p>
    <w:p>
      <w:pPr>
        <w:pStyle w:val="Indenta"/>
        <w:keepNext/>
      </w:pPr>
      <w:r>
        <w:tab/>
        <w:t>(b)</w:t>
      </w:r>
      <w:r>
        <w:tab/>
        <w:t>no more than 5 rods, reels and lines or a single hand</w:t>
      </w:r>
      <w:r>
        <w:noBreakHyphen/>
        <w:t>held line; and</w:t>
      </w:r>
    </w:p>
    <w:p>
      <w:pPr>
        <w:pStyle w:val="Indenta"/>
        <w:keepLines/>
      </w:pPr>
      <w:r>
        <w:tab/>
        <w:t>(c)</w:t>
      </w:r>
      <w:r>
        <w:tab/>
        <w:t>a landing net, in accordance with regulation 64T.</w:t>
      </w:r>
    </w:p>
    <w:p>
      <w:pPr>
        <w:pStyle w:val="Penstart"/>
        <w:keepLines/>
      </w:pPr>
      <w:r>
        <w:tab/>
        <w:t>Penalty: For a first offence $5 000 or, for a second or subsequent offence, $10 000.</w:t>
      </w:r>
    </w:p>
    <w:p>
      <w:pPr>
        <w:pStyle w:val="Subsection"/>
      </w:pPr>
      <w:r>
        <w:tab/>
        <w:t>(2)</w:t>
      </w:r>
      <w:r>
        <w:tab/>
        <w:t>Subregulation (1) applies to a person who is in or on, or within 50 m of, the waters of —</w:t>
      </w:r>
    </w:p>
    <w:p>
      <w:pPr>
        <w:pStyle w:val="Indenta"/>
      </w:pPr>
      <w:r>
        <w:tab/>
        <w:t>(a)</w:t>
      </w:r>
      <w:r>
        <w:tab/>
      </w:r>
      <w:smartTag w:uri="urn:schemas-microsoft-com:office:smarttags" w:element="place">
        <w:smartTag w:uri="urn:schemas-microsoft-com:office:smarttags" w:element="PlaceName">
          <w:r>
            <w:t>Capel</w:t>
          </w:r>
        </w:smartTag>
        <w:r>
          <w:t xml:space="preserve"> </w:t>
        </w:r>
        <w:smartTag w:uri="urn:schemas-microsoft-com:office:smarttags" w:element="PlaceType">
          <w:r>
            <w:t>River</w:t>
          </w:r>
        </w:smartTag>
      </w:smartTag>
      <w:r>
        <w:t>, including its tributaries; or</w:t>
      </w:r>
    </w:p>
    <w:p>
      <w:pPr>
        <w:pStyle w:val="Indenta"/>
      </w:pPr>
      <w:r>
        <w:tab/>
        <w:t>(b)</w:t>
      </w:r>
      <w:r>
        <w:tab/>
      </w:r>
      <w:smartTag w:uri="urn:schemas-microsoft-com:office:smarttags" w:element="place">
        <w:smartTag w:uri="urn:schemas-microsoft-com:office:smarttags" w:element="PlaceName">
          <w:r>
            <w:t>Preston</w:t>
          </w:r>
        </w:smartTag>
        <w:r>
          <w:t xml:space="preserve"> </w:t>
        </w:r>
        <w:smartTag w:uri="urn:schemas-microsoft-com:office:smarttags" w:element="PlaceType">
          <w:r>
            <w:t>River</w:t>
          </w:r>
        </w:smartTag>
      </w:smartTag>
      <w:r>
        <w:t>, including its tributaries; or</w:t>
      </w:r>
    </w:p>
    <w:p>
      <w:pPr>
        <w:pStyle w:val="Indenta"/>
      </w:pPr>
      <w:r>
        <w:tab/>
        <w:t>(ca)</w:t>
      </w:r>
      <w:r>
        <w:tab/>
        <w:t xml:space="preserve">the </w:t>
      </w:r>
      <w:smartTag w:uri="urn:schemas-microsoft-com:office:smarttags" w:element="place">
        <w:smartTag w:uri="urn:schemas-microsoft-com:office:smarttags" w:element="PlaceName">
          <w:r>
            <w:t>Collie</w:t>
          </w:r>
        </w:smartTag>
        <w:r>
          <w:t xml:space="preserve"> </w:t>
        </w:r>
        <w:smartTag w:uri="urn:schemas-microsoft-com:office:smarttags" w:element="PlaceType">
          <w:r>
            <w:t>River</w:t>
          </w:r>
        </w:smartTag>
      </w:smartTag>
      <w:r>
        <w:t> —</w:t>
      </w:r>
    </w:p>
    <w:p>
      <w:pPr>
        <w:pStyle w:val="Indenti"/>
      </w:pPr>
      <w:r>
        <w:tab/>
        <w:t>(i)</w:t>
      </w:r>
      <w:r>
        <w:tab/>
        <w:t xml:space="preserve">upstream of the </w:t>
      </w:r>
      <w:smartTag w:uri="urn:schemas-microsoft-com:office:smarttags" w:element="Street">
        <w:smartTag w:uri="urn:schemas-microsoft-com:office:smarttags" w:element="address">
          <w:r>
            <w:t>Australind Bypass Road</w:t>
          </w:r>
        </w:smartTag>
      </w:smartTag>
      <w:r>
        <w:t xml:space="preserve"> and downstream of the Wellington Dam wall; and</w:t>
      </w:r>
    </w:p>
    <w:p>
      <w:pPr>
        <w:pStyle w:val="Indenti"/>
      </w:pPr>
      <w:r>
        <w:tab/>
        <w:t>(ii)</w:t>
      </w:r>
      <w:r>
        <w:tab/>
        <w:t xml:space="preserve">upstream of the </w:t>
      </w:r>
      <w:smartTag w:uri="urn:schemas-microsoft-com:office:smarttags" w:element="place">
        <w:smartTag w:uri="urn:schemas-microsoft-com:office:smarttags" w:element="PlaceName">
          <w:r>
            <w:t>Mungalup</w:t>
          </w:r>
        </w:smartTag>
        <w:r>
          <w:t xml:space="preserve"> </w:t>
        </w:r>
        <w:smartTag w:uri="urn:schemas-microsoft-com:office:smarttags" w:element="PlaceName">
          <w:r>
            <w:t>Road</w:t>
          </w:r>
        </w:smartTag>
        <w:r>
          <w:t xml:space="preserve"> </w:t>
        </w:r>
        <w:smartTag w:uri="urn:schemas-microsoft-com:office:smarttags" w:element="PlaceType">
          <w:r>
            <w:t>Bridge</w:t>
          </w:r>
        </w:smartTag>
      </w:smartTag>
      <w:r>
        <w:t>;</w:t>
      </w:r>
    </w:p>
    <w:p>
      <w:pPr>
        <w:pStyle w:val="Indenta"/>
      </w:pPr>
      <w:r>
        <w:tab/>
      </w:r>
      <w:r>
        <w:tab/>
        <w:t>or</w:t>
      </w:r>
    </w:p>
    <w:p>
      <w:pPr>
        <w:pStyle w:val="Indenta"/>
      </w:pPr>
      <w:r>
        <w:tab/>
        <w:t>(c)</w:t>
      </w:r>
      <w:r>
        <w:tab/>
        <w:t>the Blackwood River upstream of the Alexandra Bridge, the Donnelly River or the Warren River, including the tributaries flowing into those waters; or</w:t>
      </w:r>
    </w:p>
    <w:p>
      <w:pPr>
        <w:pStyle w:val="Indenta"/>
      </w:pPr>
      <w:r>
        <w:tab/>
        <w:t>(d)</w:t>
      </w:r>
      <w:r>
        <w:tab/>
      </w:r>
      <w:smartTag w:uri="urn:schemas-microsoft-com:office:smarttags" w:element="PlaceName">
        <w:r>
          <w:t>Hutt</w:t>
        </w:r>
      </w:smartTag>
      <w:r>
        <w:t xml:space="preserve"> </w:t>
      </w:r>
      <w:smartTag w:uri="urn:schemas-microsoft-com:office:smarttags" w:element="PlaceType">
        <w:r>
          <w:t>River</w:t>
        </w:r>
      </w:smartTag>
      <w:r>
        <w:t xml:space="preserve">, </w:t>
      </w:r>
      <w:smartTag w:uri="urn:schemas-microsoft-com:office:smarttags" w:element="PlaceName">
        <w:r>
          <w:t>Moore</w:t>
        </w:r>
      </w:smartTag>
      <w:r>
        <w:t xml:space="preserve"> </w:t>
      </w:r>
      <w:smartTag w:uri="urn:schemas-microsoft-com:office:smarttags" w:element="PlaceType">
        <w:r>
          <w:t>River</w:t>
        </w:r>
      </w:smartTag>
      <w:r>
        <w:t xml:space="preserve"> and </w:t>
      </w:r>
      <w:smartTag w:uri="urn:schemas-microsoft-com:office:smarttags" w:element="place">
        <w:r>
          <w:t>Murray River</w:t>
        </w:r>
      </w:smartTag>
      <w:r>
        <w:t>, upstream of the Pinjarra Weir, including the tributaries flowing into those waters; or</w:t>
      </w:r>
    </w:p>
    <w:p>
      <w:pPr>
        <w:pStyle w:val="Indenta"/>
      </w:pPr>
      <w:r>
        <w:tab/>
        <w:t>(e)</w:t>
      </w:r>
      <w:r>
        <w:tab/>
      </w:r>
      <w:smartTag w:uri="urn:schemas-microsoft-com:office:smarttags" w:element="place">
        <w:r>
          <w:t>Deep River</w:t>
        </w:r>
      </w:smartTag>
      <w:r>
        <w:t>, including its tributaries; or</w:t>
      </w:r>
    </w:p>
    <w:p>
      <w:pPr>
        <w:pStyle w:val="Indenta"/>
      </w:pPr>
      <w:r>
        <w:tab/>
        <w:t>(f)</w:t>
      </w:r>
      <w:r>
        <w:tab/>
      </w:r>
      <w:smartTag w:uri="urn:schemas-microsoft-com:office:smarttags" w:element="place">
        <w:smartTag w:uri="urn:schemas-microsoft-com:office:smarttags" w:element="PlaceName">
          <w:r>
            <w:t>Gardner</w:t>
          </w:r>
        </w:smartTag>
        <w:r>
          <w:t xml:space="preserve"> </w:t>
        </w:r>
        <w:smartTag w:uri="urn:schemas-microsoft-com:office:smarttags" w:element="PlaceType">
          <w:r>
            <w:t>River</w:t>
          </w:r>
        </w:smartTag>
      </w:smartTag>
      <w:r>
        <w:t>, including its tributaries.</w:t>
      </w:r>
    </w:p>
    <w:p>
      <w:pPr>
        <w:pStyle w:val="Subsection"/>
        <w:keepNext/>
        <w:keepLines/>
      </w:pPr>
      <w:r>
        <w:tab/>
        <w:t>(3)</w:t>
      </w:r>
      <w:r>
        <w:tab/>
        <w:t>A person referred to in subregulation (4) must not be in possession of anything capable of taking fish other than —</w:t>
      </w:r>
    </w:p>
    <w:p>
      <w:pPr>
        <w:pStyle w:val="Indenta"/>
      </w:pPr>
      <w:r>
        <w:tab/>
        <w:t>(a)</w:t>
      </w:r>
      <w:r>
        <w:tab/>
        <w:t>a single marron pole snare; and</w:t>
      </w:r>
    </w:p>
    <w:p>
      <w:pPr>
        <w:pStyle w:val="Indenta"/>
      </w:pPr>
      <w:r>
        <w:tab/>
        <w:t>(b)</w:t>
      </w:r>
      <w:r>
        <w:tab/>
        <w:t>no more than 5 rods, reels and lines or a single hand</w:t>
      </w:r>
      <w:r>
        <w:noBreakHyphen/>
        <w:t>held line; and</w:t>
      </w:r>
    </w:p>
    <w:p>
      <w:pPr>
        <w:pStyle w:val="Indenta"/>
      </w:pPr>
      <w:r>
        <w:tab/>
        <w:t>(c)</w:t>
      </w:r>
      <w:r>
        <w:tab/>
        <w:t>a landing net, in accordance with regulation 64T.</w:t>
      </w:r>
    </w:p>
    <w:p>
      <w:pPr>
        <w:pStyle w:val="Penstart"/>
      </w:pPr>
      <w:r>
        <w:tab/>
        <w:t>Penalty: For a first offence $5 000 or, for a second or subsequent offence, $10 000.</w:t>
      </w:r>
    </w:p>
    <w:p>
      <w:pPr>
        <w:pStyle w:val="Subsection"/>
        <w:keepNext/>
      </w:pPr>
      <w:r>
        <w:tab/>
        <w:t>(4)</w:t>
      </w:r>
      <w:r>
        <w:tab/>
        <w:t>Subregulation (3) applies to a person who is in or on, or within 50 m of, the waters —</w:t>
      </w:r>
    </w:p>
    <w:p>
      <w:pPr>
        <w:pStyle w:val="Ednotepara"/>
        <w:spacing w:before="80"/>
      </w:pPr>
      <w:r>
        <w:tab/>
        <w:t>[(a)</w:t>
      </w:r>
      <w:r>
        <w:noBreakHyphen/>
        <w:t>(c)</w:t>
      </w:r>
      <w:r>
        <w:tab/>
        <w:t>deleted]</w:t>
      </w:r>
    </w:p>
    <w:p>
      <w:pPr>
        <w:pStyle w:val="Indenta"/>
      </w:pPr>
      <w:r>
        <w:tab/>
        <w:t>(d)</w:t>
      </w:r>
      <w:r>
        <w:tab/>
        <w:t xml:space="preserve">of Harvey Dam and the </w:t>
      </w:r>
      <w:smartTag w:uri="urn:schemas-microsoft-com:office:smarttags" w:element="place">
        <w:smartTag w:uri="urn:schemas-microsoft-com:office:smarttags" w:element="PlaceName">
          <w:r>
            <w:t>Harvey</w:t>
          </w:r>
        </w:smartTag>
        <w:r>
          <w:t xml:space="preserve"> </w:t>
        </w:r>
        <w:smartTag w:uri="urn:schemas-microsoft-com:office:smarttags" w:element="PlaceName">
          <w:r>
            <w:t>River</w:t>
          </w:r>
        </w:smartTag>
      </w:smartTag>
      <w:r>
        <w:t xml:space="preserve"> upstream of the </w:t>
      </w:r>
      <w:smartTag w:uri="urn:schemas-microsoft-com:office:smarttags" w:element="Street">
        <w:smartTag w:uri="urn:schemas-microsoft-com:office:smarttags" w:element="address">
          <w:r>
            <w:t>South Western Highway</w:t>
          </w:r>
        </w:smartTag>
      </w:smartTag>
      <w:r>
        <w:t>, including the tributaries flowing into those waters; or</w:t>
      </w:r>
    </w:p>
    <w:p>
      <w:pPr>
        <w:pStyle w:val="Indenta"/>
      </w:pPr>
      <w:r>
        <w:tab/>
        <w:t>(e)</w:t>
      </w:r>
      <w:r>
        <w:tab/>
        <w:t>upstream of the Wellington Dam wall, including the tributaries flowing into those waters but not including the waters of the Collie River upstream of the Mungalup Road Bridge; or</w:t>
      </w:r>
    </w:p>
    <w:p>
      <w:pPr>
        <w:pStyle w:val="Ednotepara"/>
        <w:spacing w:before="80"/>
      </w:pPr>
      <w:r>
        <w:tab/>
        <w:t>[(f)</w:t>
      </w:r>
      <w:r>
        <w:tab/>
        <w:t>deleted]</w:t>
      </w:r>
    </w:p>
    <w:p>
      <w:pPr>
        <w:pStyle w:val="Indenta"/>
      </w:pPr>
      <w:r>
        <w:tab/>
        <w:t>(g)</w:t>
      </w:r>
      <w:r>
        <w:tab/>
        <w:t xml:space="preserve">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including its tributaries but not including —</w:t>
      </w:r>
    </w:p>
    <w:p>
      <w:pPr>
        <w:pStyle w:val="Indenti"/>
      </w:pPr>
      <w:r>
        <w:tab/>
        <w:t>(i)</w:t>
      </w:r>
      <w:r>
        <w:tab/>
        <w:t>the waters of the Margaret River within the area that begins 300 m upstream of the Bussell Highway Bridge and ends 50 m downstream of that bridge; or</w:t>
      </w:r>
    </w:p>
    <w:p>
      <w:pPr>
        <w:pStyle w:val="Indenti"/>
      </w:pPr>
      <w:r>
        <w:tab/>
        <w:t>(ii)</w:t>
      </w:r>
      <w:r>
        <w:tab/>
        <w:t xml:space="preserve">the waters 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upstream of the Ten Mile Brook junction; or</w:t>
      </w:r>
    </w:p>
    <w:p>
      <w:pPr>
        <w:pStyle w:val="Indenti"/>
      </w:pPr>
      <w:r>
        <w:tab/>
        <w:t>(iii)</w:t>
      </w:r>
      <w:r>
        <w:tab/>
        <w:t>the tributaries flowing into the part of the river described in subparagraph (ii);</w:t>
      </w:r>
    </w:p>
    <w:p>
      <w:pPr>
        <w:pStyle w:val="Indenta"/>
      </w:pPr>
      <w:r>
        <w:tab/>
      </w:r>
      <w:r>
        <w:tab/>
        <w:t>or</w:t>
      </w:r>
    </w:p>
    <w:p>
      <w:pPr>
        <w:pStyle w:val="Indenta"/>
      </w:pPr>
      <w:r>
        <w:tab/>
        <w:t>(h)</w:t>
      </w:r>
      <w:r>
        <w:tab/>
        <w:t>of Big Brook Dam, Drakes Brook Dam, Glen Mervyn Dam, Logue Brook Dam and Lake Navarino (Waroona Dam).</w:t>
      </w:r>
    </w:p>
    <w:p>
      <w:pPr>
        <w:pStyle w:val="Footnotesection"/>
      </w:pPr>
      <w:r>
        <w:tab/>
        <w:t>[Regulation 64S inserted in Gazette 1 Oct 2003 p. 4316</w:t>
      </w:r>
      <w:r>
        <w:noBreakHyphen/>
        <w:t>18; amended in Gazette 29 Dec 2006 p. 5891; 13 Oct 2009 p. 4033</w:t>
      </w:r>
      <w:r>
        <w:noBreakHyphen/>
        <w:t>4; 2 Nov 2011 p. 4624.]</w:t>
      </w:r>
    </w:p>
    <w:p>
      <w:pPr>
        <w:pStyle w:val="Heading5"/>
      </w:pPr>
      <w:bookmarkStart w:id="2216" w:name="_Toc309309388"/>
      <w:r>
        <w:rPr>
          <w:rStyle w:val="CharSectno"/>
        </w:rPr>
        <w:t>64T</w:t>
      </w:r>
      <w:r>
        <w:t>.</w:t>
      </w:r>
      <w:r>
        <w:tab/>
        <w:t>Landing nets, use of in certain rivers and dams</w:t>
      </w:r>
      <w:bookmarkEnd w:id="2216"/>
    </w:p>
    <w:p>
      <w:pPr>
        <w:pStyle w:val="Subsection"/>
      </w:pPr>
      <w:r>
        <w:tab/>
      </w:r>
      <w:r>
        <w:tab/>
        <w:t>A person is not to use a landing net in any of the waters referred to in regulation 64S(2) or (4) unless the net —</w:t>
      </w:r>
    </w:p>
    <w:p>
      <w:pPr>
        <w:pStyle w:val="Indenta"/>
      </w:pPr>
      <w:r>
        <w:tab/>
        <w:t>(a)</w:t>
      </w:r>
      <w:r>
        <w:tab/>
        <w:t>has a handle that is not more than 500 mm in length; and</w:t>
      </w:r>
    </w:p>
    <w:p>
      <w:pPr>
        <w:pStyle w:val="Indenta"/>
      </w:pPr>
      <w:r>
        <w:tab/>
        <w:t>(b)</w:t>
      </w:r>
      <w:r>
        <w:tab/>
        <w:t>is used only for the purpose of landing teleost fish taken by means of a single rod, reel and line or a single hand</w:t>
      </w:r>
      <w:r>
        <w:noBreakHyphen/>
        <w:t>held line.</w:t>
      </w:r>
    </w:p>
    <w:p>
      <w:pPr>
        <w:pStyle w:val="Penstart"/>
      </w:pPr>
      <w:r>
        <w:tab/>
        <w:t>Penalty: For a first offence $5 000 or, for a second or subsequent offence, $10 000.</w:t>
      </w:r>
    </w:p>
    <w:p>
      <w:pPr>
        <w:pStyle w:val="Footnotesection"/>
      </w:pPr>
      <w:r>
        <w:tab/>
        <w:t>[Regulation 64T inserted in Gazette 1 Oct 2003 p. 4318; amended in Gazette 13 Oct 2009 p. 4034.]</w:t>
      </w:r>
    </w:p>
    <w:p>
      <w:pPr>
        <w:pStyle w:val="Ednotesection"/>
        <w:spacing w:before="160"/>
        <w:ind w:left="890" w:hanging="890"/>
      </w:pPr>
      <w:r>
        <w:t>[</w:t>
      </w:r>
      <w:r>
        <w:rPr>
          <w:b/>
        </w:rPr>
        <w:t>64U.</w:t>
      </w:r>
      <w:r>
        <w:tab/>
        <w:t>Deleted in Gazette 29 Dec 2006 p. 5891.]</w:t>
      </w:r>
    </w:p>
    <w:p>
      <w:pPr>
        <w:pStyle w:val="Heading2"/>
      </w:pPr>
      <w:bookmarkStart w:id="2217" w:name="_Toc189987957"/>
      <w:bookmarkStart w:id="2218" w:name="_Toc192041540"/>
      <w:bookmarkStart w:id="2219" w:name="_Toc199570774"/>
      <w:bookmarkStart w:id="2220" w:name="_Toc199738770"/>
      <w:bookmarkStart w:id="2221" w:name="_Toc199814871"/>
      <w:bookmarkStart w:id="2222" w:name="_Toc215040678"/>
      <w:bookmarkStart w:id="2223" w:name="_Toc215041123"/>
      <w:bookmarkStart w:id="2224" w:name="_Toc222129333"/>
      <w:bookmarkStart w:id="2225" w:name="_Toc222223038"/>
      <w:bookmarkStart w:id="2226" w:name="_Toc225914290"/>
      <w:bookmarkStart w:id="2227" w:name="_Toc231282335"/>
      <w:bookmarkStart w:id="2228" w:name="_Toc231282779"/>
      <w:bookmarkStart w:id="2229" w:name="_Toc234899366"/>
      <w:bookmarkStart w:id="2230" w:name="_Toc236632648"/>
      <w:bookmarkStart w:id="2231" w:name="_Toc236720261"/>
      <w:bookmarkStart w:id="2232" w:name="_Toc237764460"/>
      <w:bookmarkStart w:id="2233" w:name="_Toc238356084"/>
      <w:bookmarkStart w:id="2234" w:name="_Toc238368789"/>
      <w:bookmarkStart w:id="2235" w:name="_Toc238375742"/>
      <w:bookmarkStart w:id="2236" w:name="_Toc240339066"/>
      <w:bookmarkStart w:id="2237" w:name="_Toc241993572"/>
      <w:bookmarkStart w:id="2238" w:name="_Toc243192715"/>
      <w:bookmarkStart w:id="2239" w:name="_Toc243295417"/>
      <w:bookmarkStart w:id="2240" w:name="_Toc245112990"/>
      <w:bookmarkStart w:id="2241" w:name="_Toc245198152"/>
      <w:bookmarkStart w:id="2242" w:name="_Toc245198601"/>
      <w:bookmarkStart w:id="2243" w:name="_Toc245199050"/>
      <w:bookmarkStart w:id="2244" w:name="_Toc248122081"/>
      <w:bookmarkStart w:id="2245" w:name="_Toc248122532"/>
      <w:bookmarkStart w:id="2246" w:name="_Toc253670519"/>
      <w:bookmarkStart w:id="2247" w:name="_Toc253670969"/>
      <w:bookmarkStart w:id="2248" w:name="_Toc254942739"/>
      <w:bookmarkStart w:id="2249" w:name="_Toc254943192"/>
      <w:bookmarkStart w:id="2250" w:name="_Toc255475784"/>
      <w:bookmarkStart w:id="2251" w:name="_Toc256432105"/>
      <w:bookmarkStart w:id="2252" w:name="_Toc257720442"/>
      <w:bookmarkStart w:id="2253" w:name="_Toc257722124"/>
      <w:bookmarkStart w:id="2254" w:name="_Toc258335800"/>
      <w:bookmarkStart w:id="2255" w:name="_Toc260406242"/>
      <w:bookmarkStart w:id="2256" w:name="_Toc261271428"/>
      <w:bookmarkStart w:id="2257" w:name="_Toc262808110"/>
      <w:bookmarkStart w:id="2258" w:name="_Toc267572503"/>
      <w:bookmarkStart w:id="2259" w:name="_Toc270684252"/>
      <w:bookmarkStart w:id="2260" w:name="_Toc274214429"/>
      <w:bookmarkStart w:id="2261" w:name="_Toc274214878"/>
      <w:bookmarkStart w:id="2262" w:name="_Toc278976209"/>
      <w:bookmarkStart w:id="2263" w:name="_Toc286760532"/>
      <w:bookmarkStart w:id="2264" w:name="_Toc289080877"/>
      <w:bookmarkStart w:id="2265" w:name="_Toc290284071"/>
      <w:bookmarkStart w:id="2266" w:name="_Toc290642892"/>
      <w:bookmarkStart w:id="2267" w:name="_Toc290643341"/>
      <w:bookmarkStart w:id="2268" w:name="_Toc290643794"/>
      <w:bookmarkStart w:id="2269" w:name="_Toc294701611"/>
      <w:bookmarkStart w:id="2270" w:name="_Toc295200019"/>
      <w:bookmarkStart w:id="2271" w:name="_Toc296954460"/>
      <w:bookmarkStart w:id="2272" w:name="_Toc297276092"/>
      <w:bookmarkStart w:id="2273" w:name="_Toc297276544"/>
      <w:bookmarkStart w:id="2274" w:name="_Toc297276994"/>
      <w:bookmarkStart w:id="2275" w:name="_Toc297726363"/>
      <w:bookmarkStart w:id="2276" w:name="_Toc299980149"/>
      <w:bookmarkStart w:id="2277" w:name="_Toc300234775"/>
      <w:bookmarkStart w:id="2278" w:name="_Toc301961278"/>
      <w:bookmarkStart w:id="2279" w:name="_Toc301966848"/>
      <w:bookmarkStart w:id="2280" w:name="_Toc303253057"/>
      <w:bookmarkStart w:id="2281" w:name="_Toc303257221"/>
      <w:bookmarkStart w:id="2282" w:name="_Toc307992856"/>
      <w:bookmarkStart w:id="2283" w:name="_Toc309029889"/>
      <w:bookmarkStart w:id="2284" w:name="_Toc309304112"/>
      <w:bookmarkStart w:id="2285" w:name="_Toc309304565"/>
      <w:bookmarkStart w:id="2286" w:name="_Toc309309389"/>
      <w:r>
        <w:rPr>
          <w:rStyle w:val="CharPartNo"/>
        </w:rPr>
        <w:t>Part 4B</w:t>
      </w:r>
      <w:r>
        <w:rPr>
          <w:b w:val="0"/>
        </w:rPr>
        <w:t> </w:t>
      </w:r>
      <w:r>
        <w:t>—</w:t>
      </w:r>
      <w:r>
        <w:rPr>
          <w:b w:val="0"/>
        </w:rPr>
        <w:t> </w:t>
      </w:r>
      <w:r>
        <w:rPr>
          <w:rStyle w:val="CharPartText"/>
        </w:rPr>
        <w:t>Bag limits</w:t>
      </w:r>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p>
    <w:p>
      <w:pPr>
        <w:pStyle w:val="Footnoteheading"/>
        <w:tabs>
          <w:tab w:val="left" w:pos="851"/>
        </w:tabs>
      </w:pPr>
      <w:r>
        <w:tab/>
        <w:t>[Heading inserted in Gazette 1 Oct 2003 p. 4319.]</w:t>
      </w:r>
    </w:p>
    <w:p>
      <w:pPr>
        <w:pStyle w:val="Heading3"/>
      </w:pPr>
      <w:bookmarkStart w:id="2287" w:name="_Toc189987958"/>
      <w:bookmarkStart w:id="2288" w:name="_Toc192041541"/>
      <w:bookmarkStart w:id="2289" w:name="_Toc199570775"/>
      <w:bookmarkStart w:id="2290" w:name="_Toc199738771"/>
      <w:bookmarkStart w:id="2291" w:name="_Toc199814872"/>
      <w:bookmarkStart w:id="2292" w:name="_Toc215040679"/>
      <w:bookmarkStart w:id="2293" w:name="_Toc215041124"/>
      <w:bookmarkStart w:id="2294" w:name="_Toc222129334"/>
      <w:bookmarkStart w:id="2295" w:name="_Toc222223039"/>
      <w:bookmarkStart w:id="2296" w:name="_Toc225914291"/>
      <w:bookmarkStart w:id="2297" w:name="_Toc231282336"/>
      <w:bookmarkStart w:id="2298" w:name="_Toc231282780"/>
      <w:bookmarkStart w:id="2299" w:name="_Toc234899367"/>
      <w:bookmarkStart w:id="2300" w:name="_Toc236632649"/>
      <w:bookmarkStart w:id="2301" w:name="_Toc236720262"/>
      <w:bookmarkStart w:id="2302" w:name="_Toc237764461"/>
      <w:bookmarkStart w:id="2303" w:name="_Toc238356085"/>
      <w:bookmarkStart w:id="2304" w:name="_Toc238368790"/>
      <w:bookmarkStart w:id="2305" w:name="_Toc238375743"/>
      <w:bookmarkStart w:id="2306" w:name="_Toc240339067"/>
      <w:bookmarkStart w:id="2307" w:name="_Toc241993573"/>
      <w:bookmarkStart w:id="2308" w:name="_Toc243192716"/>
      <w:bookmarkStart w:id="2309" w:name="_Toc243295418"/>
      <w:bookmarkStart w:id="2310" w:name="_Toc245112991"/>
      <w:bookmarkStart w:id="2311" w:name="_Toc245198153"/>
      <w:bookmarkStart w:id="2312" w:name="_Toc245198602"/>
      <w:bookmarkStart w:id="2313" w:name="_Toc245199051"/>
      <w:bookmarkStart w:id="2314" w:name="_Toc248122082"/>
      <w:bookmarkStart w:id="2315" w:name="_Toc248122533"/>
      <w:bookmarkStart w:id="2316" w:name="_Toc253670520"/>
      <w:bookmarkStart w:id="2317" w:name="_Toc253670970"/>
      <w:bookmarkStart w:id="2318" w:name="_Toc254942740"/>
      <w:bookmarkStart w:id="2319" w:name="_Toc254943193"/>
      <w:bookmarkStart w:id="2320" w:name="_Toc255475785"/>
      <w:bookmarkStart w:id="2321" w:name="_Toc256432106"/>
      <w:bookmarkStart w:id="2322" w:name="_Toc257720443"/>
      <w:bookmarkStart w:id="2323" w:name="_Toc257722125"/>
      <w:bookmarkStart w:id="2324" w:name="_Toc258335801"/>
      <w:bookmarkStart w:id="2325" w:name="_Toc260406243"/>
      <w:bookmarkStart w:id="2326" w:name="_Toc261271429"/>
      <w:bookmarkStart w:id="2327" w:name="_Toc262808111"/>
      <w:bookmarkStart w:id="2328" w:name="_Toc267572504"/>
      <w:bookmarkStart w:id="2329" w:name="_Toc270684253"/>
      <w:bookmarkStart w:id="2330" w:name="_Toc274214430"/>
      <w:bookmarkStart w:id="2331" w:name="_Toc274214879"/>
      <w:bookmarkStart w:id="2332" w:name="_Toc278976210"/>
      <w:bookmarkStart w:id="2333" w:name="_Toc286760533"/>
      <w:bookmarkStart w:id="2334" w:name="_Toc289080878"/>
      <w:bookmarkStart w:id="2335" w:name="_Toc290284072"/>
      <w:bookmarkStart w:id="2336" w:name="_Toc290642893"/>
      <w:bookmarkStart w:id="2337" w:name="_Toc290643342"/>
      <w:bookmarkStart w:id="2338" w:name="_Toc290643795"/>
      <w:bookmarkStart w:id="2339" w:name="_Toc294701612"/>
      <w:bookmarkStart w:id="2340" w:name="_Toc295200020"/>
      <w:bookmarkStart w:id="2341" w:name="_Toc296954461"/>
      <w:bookmarkStart w:id="2342" w:name="_Toc297276093"/>
      <w:bookmarkStart w:id="2343" w:name="_Toc297276545"/>
      <w:bookmarkStart w:id="2344" w:name="_Toc297276995"/>
      <w:bookmarkStart w:id="2345" w:name="_Toc297726364"/>
      <w:bookmarkStart w:id="2346" w:name="_Toc299980150"/>
      <w:bookmarkStart w:id="2347" w:name="_Toc300234776"/>
      <w:bookmarkStart w:id="2348" w:name="_Toc301961279"/>
      <w:bookmarkStart w:id="2349" w:name="_Toc301966849"/>
      <w:bookmarkStart w:id="2350" w:name="_Toc303253058"/>
      <w:bookmarkStart w:id="2351" w:name="_Toc303257222"/>
      <w:bookmarkStart w:id="2352" w:name="_Toc307992857"/>
      <w:bookmarkStart w:id="2353" w:name="_Toc309029890"/>
      <w:bookmarkStart w:id="2354" w:name="_Toc309304113"/>
      <w:bookmarkStart w:id="2355" w:name="_Toc309304566"/>
      <w:bookmarkStart w:id="2356" w:name="_Toc309309390"/>
      <w:r>
        <w:rPr>
          <w:rStyle w:val="CharDivNo"/>
        </w:rPr>
        <w:t>Division 1</w:t>
      </w:r>
      <w:r>
        <w:t> — </w:t>
      </w:r>
      <w:r>
        <w:rPr>
          <w:rStyle w:val="CharDivText"/>
        </w:rPr>
        <w:t>Preliminary</w:t>
      </w:r>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p>
    <w:p>
      <w:pPr>
        <w:pStyle w:val="Footnoteheading"/>
        <w:tabs>
          <w:tab w:val="left" w:pos="851"/>
        </w:tabs>
      </w:pPr>
      <w:r>
        <w:tab/>
        <w:t>[Heading inserted in Gazette 1 Oct 2003 p. 4319.]</w:t>
      </w:r>
    </w:p>
    <w:p>
      <w:pPr>
        <w:pStyle w:val="Heading5"/>
      </w:pPr>
      <w:bookmarkStart w:id="2357" w:name="_Toc309309391"/>
      <w:r>
        <w:rPr>
          <w:rStyle w:val="CharSectno"/>
        </w:rPr>
        <w:t>64V</w:t>
      </w:r>
      <w:r>
        <w:t>.</w:t>
      </w:r>
      <w:r>
        <w:tab/>
        <w:t>Bag limits for regions subject to more specific bag limits</w:t>
      </w:r>
      <w:bookmarkEnd w:id="2357"/>
    </w:p>
    <w:p>
      <w:pPr>
        <w:pStyle w:val="Subsection"/>
      </w:pPr>
      <w:r>
        <w:tab/>
      </w:r>
      <w:r>
        <w:tab/>
        <w:t>To the extent that a bag limit applies for an area of a region under Division 3, the bag limit for that region under Division 2 does not apply.</w:t>
      </w:r>
    </w:p>
    <w:p>
      <w:pPr>
        <w:pStyle w:val="Footnotesection"/>
      </w:pPr>
      <w:r>
        <w:tab/>
        <w:t>[Regulation 64V inserted in Gazette 1 Oct 2003 p. 4319.]</w:t>
      </w:r>
    </w:p>
    <w:p>
      <w:pPr>
        <w:pStyle w:val="Heading5"/>
      </w:pPr>
      <w:bookmarkStart w:id="2358" w:name="_Toc309309392"/>
      <w:r>
        <w:rPr>
          <w:rStyle w:val="CharSectno"/>
        </w:rPr>
        <w:t>64W</w:t>
      </w:r>
      <w:r>
        <w:t>.</w:t>
      </w:r>
      <w:r>
        <w:tab/>
        <w:t>Defences prescribed (Act s. 50)</w:t>
      </w:r>
      <w:bookmarkEnd w:id="2358"/>
    </w:p>
    <w:p>
      <w:pPr>
        <w:pStyle w:val="Subsection"/>
      </w:pPr>
      <w:r>
        <w:tab/>
      </w:r>
      <w:r>
        <w:tab/>
        <w:t>It is a defence in proceedings for an offence against section 50(3) of the Act —</w:t>
      </w:r>
    </w:p>
    <w:p>
      <w:pPr>
        <w:pStyle w:val="Indenta"/>
      </w:pPr>
      <w:r>
        <w:tab/>
        <w:t>(a)</w:t>
      </w:r>
      <w:r>
        <w:tab/>
        <w:t>for the person charged to prove that the person was acting in accordance with an authority to fish for fish for scientific purposes issued under regulation 178; or</w:t>
      </w:r>
    </w:p>
    <w:p>
      <w:pPr>
        <w:pStyle w:val="Indenta"/>
      </w:pPr>
      <w:r>
        <w:tab/>
        <w:t>(b)</w:t>
      </w:r>
      <w:r>
        <w:tab/>
        <w:t>where the person is charged with bringing onto land on any one day more fish than the bag limit of those fish, for the person to prove that he or she —</w:t>
      </w:r>
    </w:p>
    <w:p>
      <w:pPr>
        <w:pStyle w:val="Indenti"/>
      </w:pPr>
      <w:r>
        <w:tab/>
        <w:t>(i)</w:t>
      </w:r>
      <w:r>
        <w:tab/>
        <w:t>was in possession of the fish in accordance with regulation 16D(1); and</w:t>
      </w:r>
    </w:p>
    <w:p>
      <w:pPr>
        <w:pStyle w:val="Indenti"/>
      </w:pPr>
      <w:r>
        <w:tab/>
        <w:t>(ii)</w:t>
      </w:r>
      <w:r>
        <w:tab/>
        <w:t>was bringing those fish onto land;</w:t>
      </w:r>
    </w:p>
    <w:p>
      <w:pPr>
        <w:pStyle w:val="Indenta"/>
      </w:pPr>
      <w:r>
        <w:tab/>
      </w:r>
      <w:r>
        <w:tab/>
        <w:t>or</w:t>
      </w:r>
    </w:p>
    <w:p>
      <w:pPr>
        <w:pStyle w:val="Indenta"/>
      </w:pPr>
      <w:r>
        <w:tab/>
        <w:t>(c)</w:t>
      </w:r>
      <w:r>
        <w:tab/>
        <w:t>for a person charged with bringing onto land on any one day more fish than the bag limit of those fish to prove that regulation 16E(3A) or (3B) applied in respect of the fish immediately before the fish were brought onto land.</w:t>
      </w:r>
    </w:p>
    <w:p>
      <w:pPr>
        <w:pStyle w:val="Footnotesection"/>
      </w:pPr>
      <w:r>
        <w:tab/>
        <w:t>[Regulation 64W inserted in Gazette 1 Oct 2003 p. 4319; amended in Gazette 4 Nov 2005 p. 5311</w:t>
      </w:r>
      <w:r>
        <w:noBreakHyphen/>
        <w:t>12; 1 Mar 2011 p. 671.]</w:t>
      </w:r>
    </w:p>
    <w:p>
      <w:pPr>
        <w:pStyle w:val="Heading5"/>
      </w:pPr>
      <w:bookmarkStart w:id="2359" w:name="_Toc309309393"/>
      <w:r>
        <w:rPr>
          <w:rStyle w:val="CharSectno"/>
        </w:rPr>
        <w:t>64X</w:t>
      </w:r>
      <w:r>
        <w:t>.</w:t>
      </w:r>
      <w:r>
        <w:tab/>
        <w:t>Bag limit for area applies to area where fish taken, landed or brought into WA waters</w:t>
      </w:r>
      <w:bookmarkEnd w:id="2359"/>
    </w:p>
    <w:p>
      <w:pPr>
        <w:pStyle w:val="Subsection"/>
      </w:pPr>
      <w:r>
        <w:tab/>
      </w:r>
      <w:r>
        <w:tab/>
        <w:t>A person must not —</w:t>
      </w:r>
    </w:p>
    <w:p>
      <w:pPr>
        <w:pStyle w:val="Indenta"/>
      </w:pPr>
      <w:r>
        <w:tab/>
        <w:t>(a)</w:t>
      </w:r>
      <w:r>
        <w:tab/>
        <w:t>take more fish than the bag limit prescribed for a region or other area of the State in that region or area; or</w:t>
      </w:r>
    </w:p>
    <w:p>
      <w:pPr>
        <w:pStyle w:val="Indenta"/>
      </w:pPr>
      <w:r>
        <w:tab/>
        <w:t>(b)</w:t>
      </w:r>
      <w:r>
        <w:tab/>
        <w:t>bring onto land in a region or other area of the State more fish than the bag limit prescribed for that region or area; or</w:t>
      </w:r>
    </w:p>
    <w:p>
      <w:pPr>
        <w:pStyle w:val="Indenta"/>
      </w:pPr>
      <w:r>
        <w:tab/>
        <w:t>(c)</w:t>
      </w:r>
      <w:r>
        <w:tab/>
        <w:t>bring into any WA waters in a region or other area of the State more fish than the bag limit prescribed for that region or area.</w:t>
      </w:r>
    </w:p>
    <w:p>
      <w:pPr>
        <w:pStyle w:val="Footnotesection"/>
      </w:pPr>
      <w:r>
        <w:tab/>
        <w:t>[Regulation 64X inserted in Gazette 1 Oct 2003 p. 4320.]</w:t>
      </w:r>
    </w:p>
    <w:p>
      <w:pPr>
        <w:pStyle w:val="Heading3"/>
      </w:pPr>
      <w:bookmarkStart w:id="2360" w:name="_Toc189987962"/>
      <w:bookmarkStart w:id="2361" w:name="_Toc192041545"/>
      <w:bookmarkStart w:id="2362" w:name="_Toc199570779"/>
      <w:bookmarkStart w:id="2363" w:name="_Toc199738775"/>
      <w:bookmarkStart w:id="2364" w:name="_Toc199814876"/>
      <w:bookmarkStart w:id="2365" w:name="_Toc215040683"/>
      <w:bookmarkStart w:id="2366" w:name="_Toc215041128"/>
      <w:bookmarkStart w:id="2367" w:name="_Toc222129338"/>
      <w:bookmarkStart w:id="2368" w:name="_Toc222223043"/>
      <w:bookmarkStart w:id="2369" w:name="_Toc225914295"/>
      <w:bookmarkStart w:id="2370" w:name="_Toc231282340"/>
      <w:bookmarkStart w:id="2371" w:name="_Toc231282784"/>
      <w:bookmarkStart w:id="2372" w:name="_Toc234899371"/>
      <w:bookmarkStart w:id="2373" w:name="_Toc236632653"/>
      <w:bookmarkStart w:id="2374" w:name="_Toc236720266"/>
      <w:bookmarkStart w:id="2375" w:name="_Toc237764465"/>
      <w:bookmarkStart w:id="2376" w:name="_Toc238356089"/>
      <w:bookmarkStart w:id="2377" w:name="_Toc238368794"/>
      <w:bookmarkStart w:id="2378" w:name="_Toc238375747"/>
      <w:bookmarkStart w:id="2379" w:name="_Toc240339071"/>
      <w:bookmarkStart w:id="2380" w:name="_Toc241993577"/>
      <w:bookmarkStart w:id="2381" w:name="_Toc243192720"/>
      <w:bookmarkStart w:id="2382" w:name="_Toc243295422"/>
      <w:bookmarkStart w:id="2383" w:name="_Toc245112995"/>
      <w:bookmarkStart w:id="2384" w:name="_Toc245198157"/>
      <w:bookmarkStart w:id="2385" w:name="_Toc245198606"/>
      <w:bookmarkStart w:id="2386" w:name="_Toc245199055"/>
      <w:bookmarkStart w:id="2387" w:name="_Toc248122086"/>
      <w:bookmarkStart w:id="2388" w:name="_Toc248122537"/>
      <w:bookmarkStart w:id="2389" w:name="_Toc253670524"/>
      <w:bookmarkStart w:id="2390" w:name="_Toc253670974"/>
      <w:bookmarkStart w:id="2391" w:name="_Toc254942744"/>
      <w:bookmarkStart w:id="2392" w:name="_Toc254943197"/>
      <w:bookmarkStart w:id="2393" w:name="_Toc255475789"/>
      <w:bookmarkStart w:id="2394" w:name="_Toc256432110"/>
      <w:bookmarkStart w:id="2395" w:name="_Toc257720447"/>
      <w:bookmarkStart w:id="2396" w:name="_Toc257722129"/>
      <w:bookmarkStart w:id="2397" w:name="_Toc258335805"/>
      <w:bookmarkStart w:id="2398" w:name="_Toc260406247"/>
      <w:bookmarkStart w:id="2399" w:name="_Toc261271433"/>
      <w:bookmarkStart w:id="2400" w:name="_Toc262808115"/>
      <w:bookmarkStart w:id="2401" w:name="_Toc267572508"/>
      <w:bookmarkStart w:id="2402" w:name="_Toc270684257"/>
      <w:bookmarkStart w:id="2403" w:name="_Toc274214434"/>
      <w:bookmarkStart w:id="2404" w:name="_Toc274214883"/>
      <w:bookmarkStart w:id="2405" w:name="_Toc278976214"/>
      <w:bookmarkStart w:id="2406" w:name="_Toc286760537"/>
      <w:bookmarkStart w:id="2407" w:name="_Toc289080882"/>
      <w:bookmarkStart w:id="2408" w:name="_Toc290284076"/>
      <w:bookmarkStart w:id="2409" w:name="_Toc290642897"/>
      <w:bookmarkStart w:id="2410" w:name="_Toc290643346"/>
      <w:bookmarkStart w:id="2411" w:name="_Toc290643799"/>
      <w:bookmarkStart w:id="2412" w:name="_Toc294701616"/>
      <w:bookmarkStart w:id="2413" w:name="_Toc295200024"/>
      <w:bookmarkStart w:id="2414" w:name="_Toc296954465"/>
      <w:bookmarkStart w:id="2415" w:name="_Toc297276097"/>
      <w:bookmarkStart w:id="2416" w:name="_Toc297276549"/>
      <w:bookmarkStart w:id="2417" w:name="_Toc297276999"/>
      <w:bookmarkStart w:id="2418" w:name="_Toc297726368"/>
      <w:bookmarkStart w:id="2419" w:name="_Toc299980154"/>
      <w:bookmarkStart w:id="2420" w:name="_Toc300234780"/>
      <w:bookmarkStart w:id="2421" w:name="_Toc301961283"/>
      <w:bookmarkStart w:id="2422" w:name="_Toc301966853"/>
      <w:bookmarkStart w:id="2423" w:name="_Toc303253062"/>
      <w:bookmarkStart w:id="2424" w:name="_Toc303257226"/>
      <w:bookmarkStart w:id="2425" w:name="_Toc307992861"/>
      <w:bookmarkStart w:id="2426" w:name="_Toc309029894"/>
      <w:bookmarkStart w:id="2427" w:name="_Toc309304117"/>
      <w:bookmarkStart w:id="2428" w:name="_Toc309304570"/>
      <w:bookmarkStart w:id="2429" w:name="_Toc309309394"/>
      <w:r>
        <w:rPr>
          <w:rStyle w:val="CharDivNo"/>
        </w:rPr>
        <w:t>Division 2</w:t>
      </w:r>
      <w:r>
        <w:t> — </w:t>
      </w:r>
      <w:r>
        <w:rPr>
          <w:rStyle w:val="CharDivText"/>
        </w:rPr>
        <w:t>Bag limits for regions</w:t>
      </w:r>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p>
    <w:p>
      <w:pPr>
        <w:pStyle w:val="Footnoteheading"/>
        <w:tabs>
          <w:tab w:val="left" w:pos="851"/>
        </w:tabs>
      </w:pPr>
      <w:r>
        <w:tab/>
        <w:t>[Heading inserted in Gazette 1 Oct 2003 p. 4320.]</w:t>
      </w:r>
    </w:p>
    <w:p>
      <w:pPr>
        <w:pStyle w:val="Heading4"/>
      </w:pPr>
      <w:bookmarkStart w:id="2430" w:name="_Toc189987963"/>
      <w:bookmarkStart w:id="2431" w:name="_Toc192041546"/>
      <w:bookmarkStart w:id="2432" w:name="_Toc199570780"/>
      <w:bookmarkStart w:id="2433" w:name="_Toc199738776"/>
      <w:bookmarkStart w:id="2434" w:name="_Toc199814877"/>
      <w:bookmarkStart w:id="2435" w:name="_Toc215040684"/>
      <w:bookmarkStart w:id="2436" w:name="_Toc215041129"/>
      <w:bookmarkStart w:id="2437" w:name="_Toc222129339"/>
      <w:bookmarkStart w:id="2438" w:name="_Toc222223044"/>
      <w:bookmarkStart w:id="2439" w:name="_Toc225914296"/>
      <w:bookmarkStart w:id="2440" w:name="_Toc231282341"/>
      <w:bookmarkStart w:id="2441" w:name="_Toc231282785"/>
      <w:bookmarkStart w:id="2442" w:name="_Toc234899372"/>
      <w:bookmarkStart w:id="2443" w:name="_Toc236632654"/>
      <w:bookmarkStart w:id="2444" w:name="_Toc236720267"/>
      <w:bookmarkStart w:id="2445" w:name="_Toc237764466"/>
      <w:bookmarkStart w:id="2446" w:name="_Toc238356090"/>
      <w:bookmarkStart w:id="2447" w:name="_Toc238368795"/>
      <w:bookmarkStart w:id="2448" w:name="_Toc238375748"/>
      <w:bookmarkStart w:id="2449" w:name="_Toc240339072"/>
      <w:bookmarkStart w:id="2450" w:name="_Toc241993578"/>
      <w:bookmarkStart w:id="2451" w:name="_Toc243192721"/>
      <w:bookmarkStart w:id="2452" w:name="_Toc243295423"/>
      <w:bookmarkStart w:id="2453" w:name="_Toc245112996"/>
      <w:bookmarkStart w:id="2454" w:name="_Toc245198158"/>
      <w:bookmarkStart w:id="2455" w:name="_Toc245198607"/>
      <w:bookmarkStart w:id="2456" w:name="_Toc245199056"/>
      <w:bookmarkStart w:id="2457" w:name="_Toc248122087"/>
      <w:bookmarkStart w:id="2458" w:name="_Toc248122538"/>
      <w:bookmarkStart w:id="2459" w:name="_Toc253670525"/>
      <w:bookmarkStart w:id="2460" w:name="_Toc253670975"/>
      <w:bookmarkStart w:id="2461" w:name="_Toc254942745"/>
      <w:bookmarkStart w:id="2462" w:name="_Toc254943198"/>
      <w:bookmarkStart w:id="2463" w:name="_Toc255475790"/>
      <w:bookmarkStart w:id="2464" w:name="_Toc256432111"/>
      <w:bookmarkStart w:id="2465" w:name="_Toc257720448"/>
      <w:bookmarkStart w:id="2466" w:name="_Toc257722130"/>
      <w:bookmarkStart w:id="2467" w:name="_Toc258335806"/>
      <w:bookmarkStart w:id="2468" w:name="_Toc260406248"/>
      <w:bookmarkStart w:id="2469" w:name="_Toc261271434"/>
      <w:bookmarkStart w:id="2470" w:name="_Toc262808116"/>
      <w:bookmarkStart w:id="2471" w:name="_Toc267572509"/>
      <w:bookmarkStart w:id="2472" w:name="_Toc270684258"/>
      <w:bookmarkStart w:id="2473" w:name="_Toc274214435"/>
      <w:bookmarkStart w:id="2474" w:name="_Toc274214884"/>
      <w:bookmarkStart w:id="2475" w:name="_Toc278976215"/>
      <w:bookmarkStart w:id="2476" w:name="_Toc286760538"/>
      <w:bookmarkStart w:id="2477" w:name="_Toc289080883"/>
      <w:bookmarkStart w:id="2478" w:name="_Toc290284077"/>
      <w:bookmarkStart w:id="2479" w:name="_Toc290642898"/>
      <w:bookmarkStart w:id="2480" w:name="_Toc290643347"/>
      <w:bookmarkStart w:id="2481" w:name="_Toc290643800"/>
      <w:bookmarkStart w:id="2482" w:name="_Toc294701617"/>
      <w:bookmarkStart w:id="2483" w:name="_Toc295200025"/>
      <w:bookmarkStart w:id="2484" w:name="_Toc296954466"/>
      <w:bookmarkStart w:id="2485" w:name="_Toc297276098"/>
      <w:bookmarkStart w:id="2486" w:name="_Toc297276550"/>
      <w:bookmarkStart w:id="2487" w:name="_Toc297277000"/>
      <w:bookmarkStart w:id="2488" w:name="_Toc297726369"/>
      <w:bookmarkStart w:id="2489" w:name="_Toc299980155"/>
      <w:bookmarkStart w:id="2490" w:name="_Toc300234781"/>
      <w:bookmarkStart w:id="2491" w:name="_Toc301961284"/>
      <w:bookmarkStart w:id="2492" w:name="_Toc301966854"/>
      <w:bookmarkStart w:id="2493" w:name="_Toc303253063"/>
      <w:bookmarkStart w:id="2494" w:name="_Toc303257227"/>
      <w:bookmarkStart w:id="2495" w:name="_Toc307992862"/>
      <w:bookmarkStart w:id="2496" w:name="_Toc309029895"/>
      <w:bookmarkStart w:id="2497" w:name="_Toc309304118"/>
      <w:bookmarkStart w:id="2498" w:name="_Toc309304571"/>
      <w:bookmarkStart w:id="2499" w:name="_Toc309309395"/>
      <w:r>
        <w:t>Subdivision 1 — Bag limits for the Gascoyne Region</w:t>
      </w:r>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p>
    <w:p>
      <w:pPr>
        <w:pStyle w:val="Footnoteheading"/>
        <w:tabs>
          <w:tab w:val="left" w:pos="851"/>
        </w:tabs>
      </w:pPr>
      <w:r>
        <w:tab/>
        <w:t>[Heading inserted in Gazette 1 Oct 2003 p. 4320.]</w:t>
      </w:r>
    </w:p>
    <w:p>
      <w:pPr>
        <w:pStyle w:val="Heading5"/>
        <w:rPr>
          <w:snapToGrid w:val="0"/>
        </w:rPr>
      </w:pPr>
      <w:bookmarkStart w:id="2500" w:name="_Toc309309396"/>
      <w:r>
        <w:rPr>
          <w:rStyle w:val="CharSectno"/>
        </w:rPr>
        <w:t>64Y</w:t>
      </w:r>
      <w:r>
        <w:rPr>
          <w:snapToGrid w:val="0"/>
        </w:rPr>
        <w:t>.</w:t>
      </w:r>
      <w:r>
        <w:rPr>
          <w:snapToGrid w:val="0"/>
        </w:rPr>
        <w:tab/>
        <w:t>Gascoyne Region, bag limits</w:t>
      </w:r>
      <w:bookmarkEnd w:id="2500"/>
    </w:p>
    <w:p>
      <w:pPr>
        <w:pStyle w:val="Subsection"/>
        <w:rPr>
          <w:snapToGrid w:val="0"/>
        </w:rPr>
      </w:pPr>
      <w:r>
        <w:rPr>
          <w:snapToGrid w:val="0"/>
        </w:rPr>
        <w:tab/>
        <w:t>(1)</w:t>
      </w:r>
      <w:r>
        <w:rPr>
          <w:snapToGrid w:val="0"/>
        </w:rPr>
        <w:tab/>
        <w:t>The bag limits prescribed by subregulation (</w:t>
      </w:r>
      <w:r>
        <w:t>2) and subregulation (3)</w:t>
      </w:r>
      <w:r>
        <w:rPr>
          <w:snapToGrid w:val="0"/>
        </w:rPr>
        <w:t xml:space="preserve"> both apply in respect of a person in the Gascoyne Region.</w:t>
      </w:r>
    </w:p>
    <w:p>
      <w:pPr>
        <w:pStyle w:val="Subsection"/>
        <w:rPr>
          <w:snapToGrid w:val="0"/>
        </w:rPr>
      </w:pPr>
      <w:r>
        <w:rPr>
          <w:snapToGrid w:val="0"/>
        </w:rPr>
        <w:tab/>
        <w:t>(2)</w:t>
      </w:r>
      <w:r>
        <w:rPr>
          <w:snapToGrid w:val="0"/>
        </w:rPr>
        <w:tab/>
        <w:t>For the purposes of section 50 of the Act, the quantity of fish appearing in column 2 of Schedule 3 Part 1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1 Division 1, 2 or 3 is the bag limit in respect of fish of the class or classes specified in that Division.</w:t>
      </w:r>
    </w:p>
    <w:p>
      <w:pPr>
        <w:pStyle w:val="Footnotesection"/>
      </w:pPr>
      <w:r>
        <w:tab/>
        <w:t>[Regulation 64Y inserted in Gazette 1 Oct 2003 p. 4320; amended in Gazette 6 Apr 2004 p. 1133.]</w:t>
      </w:r>
    </w:p>
    <w:p>
      <w:pPr>
        <w:pStyle w:val="Heading4"/>
        <w:rPr>
          <w:snapToGrid w:val="0"/>
        </w:rPr>
      </w:pPr>
      <w:bookmarkStart w:id="2501" w:name="_Toc189987965"/>
      <w:bookmarkStart w:id="2502" w:name="_Toc192041548"/>
      <w:bookmarkStart w:id="2503" w:name="_Toc199570782"/>
      <w:bookmarkStart w:id="2504" w:name="_Toc199738778"/>
      <w:bookmarkStart w:id="2505" w:name="_Toc199814879"/>
      <w:bookmarkStart w:id="2506" w:name="_Toc215040686"/>
      <w:bookmarkStart w:id="2507" w:name="_Toc215041131"/>
      <w:bookmarkStart w:id="2508" w:name="_Toc222129341"/>
      <w:bookmarkStart w:id="2509" w:name="_Toc222223046"/>
      <w:bookmarkStart w:id="2510" w:name="_Toc225914298"/>
      <w:bookmarkStart w:id="2511" w:name="_Toc231282343"/>
      <w:bookmarkStart w:id="2512" w:name="_Toc231282787"/>
      <w:bookmarkStart w:id="2513" w:name="_Toc234899374"/>
      <w:bookmarkStart w:id="2514" w:name="_Toc236632656"/>
      <w:bookmarkStart w:id="2515" w:name="_Toc236720269"/>
      <w:bookmarkStart w:id="2516" w:name="_Toc237764468"/>
      <w:bookmarkStart w:id="2517" w:name="_Toc238356092"/>
      <w:bookmarkStart w:id="2518" w:name="_Toc238368797"/>
      <w:bookmarkStart w:id="2519" w:name="_Toc238375750"/>
      <w:bookmarkStart w:id="2520" w:name="_Toc240339074"/>
      <w:bookmarkStart w:id="2521" w:name="_Toc241993580"/>
      <w:bookmarkStart w:id="2522" w:name="_Toc243192723"/>
      <w:bookmarkStart w:id="2523" w:name="_Toc243295425"/>
      <w:bookmarkStart w:id="2524" w:name="_Toc245112998"/>
      <w:bookmarkStart w:id="2525" w:name="_Toc245198160"/>
      <w:bookmarkStart w:id="2526" w:name="_Toc245198609"/>
      <w:bookmarkStart w:id="2527" w:name="_Toc245199058"/>
      <w:bookmarkStart w:id="2528" w:name="_Toc248122089"/>
      <w:bookmarkStart w:id="2529" w:name="_Toc248122540"/>
      <w:bookmarkStart w:id="2530" w:name="_Toc253670527"/>
      <w:bookmarkStart w:id="2531" w:name="_Toc253670977"/>
      <w:bookmarkStart w:id="2532" w:name="_Toc254942747"/>
      <w:bookmarkStart w:id="2533" w:name="_Toc254943200"/>
      <w:bookmarkStart w:id="2534" w:name="_Toc255475792"/>
      <w:bookmarkStart w:id="2535" w:name="_Toc256432113"/>
      <w:bookmarkStart w:id="2536" w:name="_Toc257720450"/>
      <w:bookmarkStart w:id="2537" w:name="_Toc257722132"/>
      <w:bookmarkStart w:id="2538" w:name="_Toc258335808"/>
      <w:bookmarkStart w:id="2539" w:name="_Toc260406250"/>
      <w:bookmarkStart w:id="2540" w:name="_Toc261271436"/>
      <w:bookmarkStart w:id="2541" w:name="_Toc262808118"/>
      <w:bookmarkStart w:id="2542" w:name="_Toc267572511"/>
      <w:bookmarkStart w:id="2543" w:name="_Toc270684260"/>
      <w:bookmarkStart w:id="2544" w:name="_Toc274214437"/>
      <w:bookmarkStart w:id="2545" w:name="_Toc274214886"/>
      <w:bookmarkStart w:id="2546" w:name="_Toc278976217"/>
      <w:bookmarkStart w:id="2547" w:name="_Toc286760540"/>
      <w:bookmarkStart w:id="2548" w:name="_Toc289080885"/>
      <w:bookmarkStart w:id="2549" w:name="_Toc290284079"/>
      <w:bookmarkStart w:id="2550" w:name="_Toc290642900"/>
      <w:bookmarkStart w:id="2551" w:name="_Toc290643349"/>
      <w:bookmarkStart w:id="2552" w:name="_Toc290643802"/>
      <w:bookmarkStart w:id="2553" w:name="_Toc294701619"/>
      <w:bookmarkStart w:id="2554" w:name="_Toc295200027"/>
      <w:bookmarkStart w:id="2555" w:name="_Toc296954468"/>
      <w:bookmarkStart w:id="2556" w:name="_Toc297276100"/>
      <w:bookmarkStart w:id="2557" w:name="_Toc297276552"/>
      <w:bookmarkStart w:id="2558" w:name="_Toc297277002"/>
      <w:bookmarkStart w:id="2559" w:name="_Toc297726371"/>
      <w:bookmarkStart w:id="2560" w:name="_Toc299980157"/>
      <w:bookmarkStart w:id="2561" w:name="_Toc300234783"/>
      <w:bookmarkStart w:id="2562" w:name="_Toc301961286"/>
      <w:bookmarkStart w:id="2563" w:name="_Toc301966856"/>
      <w:bookmarkStart w:id="2564" w:name="_Toc303253065"/>
      <w:bookmarkStart w:id="2565" w:name="_Toc303257229"/>
      <w:bookmarkStart w:id="2566" w:name="_Toc307992864"/>
      <w:bookmarkStart w:id="2567" w:name="_Toc309029897"/>
      <w:bookmarkStart w:id="2568" w:name="_Toc309304120"/>
      <w:bookmarkStart w:id="2569" w:name="_Toc309304573"/>
      <w:bookmarkStart w:id="2570" w:name="_Toc309309397"/>
      <w:r>
        <w:rPr>
          <w:snapToGrid w:val="0"/>
        </w:rPr>
        <w:t xml:space="preserve">Subdivision 2 — Bag limits for the Pilbara and </w:t>
      </w:r>
      <w:smartTag w:uri="urn:schemas-microsoft-com:office:smarttags" w:element="place">
        <w:smartTag w:uri="urn:schemas-microsoft-com:office:smarttags" w:element="City">
          <w:r>
            <w:rPr>
              <w:snapToGrid w:val="0"/>
            </w:rPr>
            <w:t>Kimberley</w:t>
          </w:r>
        </w:smartTag>
      </w:smartTag>
      <w:r>
        <w:rPr>
          <w:snapToGrid w:val="0"/>
        </w:rPr>
        <w:t xml:space="preserve"> Region</w:t>
      </w:r>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p>
    <w:p>
      <w:pPr>
        <w:pStyle w:val="Footnoteheading"/>
        <w:tabs>
          <w:tab w:val="left" w:pos="851"/>
        </w:tabs>
      </w:pPr>
      <w:r>
        <w:tab/>
        <w:t>[Heading inserted in Gazette 1 Oct 2003 p. 4321; amended in Gazette 22 Dec 2005 p. 6225.]</w:t>
      </w:r>
    </w:p>
    <w:p>
      <w:pPr>
        <w:pStyle w:val="Heading5"/>
        <w:rPr>
          <w:snapToGrid w:val="0"/>
        </w:rPr>
      </w:pPr>
      <w:bookmarkStart w:id="2571" w:name="_Toc309309398"/>
      <w:r>
        <w:rPr>
          <w:rStyle w:val="CharSectno"/>
        </w:rPr>
        <w:t>64Z</w:t>
      </w:r>
      <w:r>
        <w:rPr>
          <w:snapToGrid w:val="0"/>
        </w:rPr>
        <w:t>.</w:t>
      </w:r>
      <w:r>
        <w:rPr>
          <w:snapToGrid w:val="0"/>
        </w:rPr>
        <w:tab/>
        <w:t>Pilbara and Kimberley Region, bag limits</w:t>
      </w:r>
      <w:bookmarkEnd w:id="2571"/>
    </w:p>
    <w:p>
      <w:pPr>
        <w:pStyle w:val="Subsection"/>
        <w:rPr>
          <w:snapToGrid w:val="0"/>
        </w:rPr>
      </w:pPr>
      <w:r>
        <w:rPr>
          <w:snapToGrid w:val="0"/>
        </w:rPr>
        <w:tab/>
        <w:t>(1)</w:t>
      </w:r>
      <w:r>
        <w:rPr>
          <w:snapToGrid w:val="0"/>
        </w:rPr>
        <w:tab/>
        <w:t>The bag limits prescribed by subregulation (</w:t>
      </w:r>
      <w:r>
        <w:t xml:space="preserve">2) and subregulation (3) </w:t>
      </w:r>
      <w:r>
        <w:rPr>
          <w:snapToGrid w:val="0"/>
        </w:rPr>
        <w:t>both apply in respect of a person in the Pilbara and Kimberley Region.</w:t>
      </w:r>
    </w:p>
    <w:p>
      <w:pPr>
        <w:pStyle w:val="Subsection"/>
        <w:rPr>
          <w:snapToGrid w:val="0"/>
        </w:rPr>
      </w:pPr>
      <w:r>
        <w:rPr>
          <w:snapToGrid w:val="0"/>
        </w:rPr>
        <w:tab/>
        <w:t>(2)</w:t>
      </w:r>
      <w:r>
        <w:rPr>
          <w:snapToGrid w:val="0"/>
        </w:rPr>
        <w:tab/>
        <w:t>For the purposes of section 50 of the Act, the quantity of fish appearing in column 2 of Schedule 3 Part 2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2 Division 1, 2 or 3 is the bag limit in respect of fish of the class or classes specified in that Division.</w:t>
      </w:r>
    </w:p>
    <w:p>
      <w:pPr>
        <w:pStyle w:val="Footnotesection"/>
      </w:pPr>
      <w:r>
        <w:tab/>
        <w:t>[Regulation 64Z inserted in Gazette 1 Oct 2003 p. 4321; amended in Gazette 6 Apr 2004 p. 1133; 4 Nov 2005 p. 5312; 22 Dec 2005 p. 6225.]</w:t>
      </w:r>
    </w:p>
    <w:p>
      <w:pPr>
        <w:pStyle w:val="Heading4"/>
        <w:rPr>
          <w:snapToGrid w:val="0"/>
        </w:rPr>
      </w:pPr>
      <w:bookmarkStart w:id="2572" w:name="_Toc189987967"/>
      <w:bookmarkStart w:id="2573" w:name="_Toc192041550"/>
      <w:bookmarkStart w:id="2574" w:name="_Toc199570784"/>
      <w:bookmarkStart w:id="2575" w:name="_Toc199738780"/>
      <w:bookmarkStart w:id="2576" w:name="_Toc199814881"/>
      <w:bookmarkStart w:id="2577" w:name="_Toc215040688"/>
      <w:bookmarkStart w:id="2578" w:name="_Toc215041133"/>
      <w:bookmarkStart w:id="2579" w:name="_Toc222129343"/>
      <w:bookmarkStart w:id="2580" w:name="_Toc222223048"/>
      <w:bookmarkStart w:id="2581" w:name="_Toc225914300"/>
      <w:bookmarkStart w:id="2582" w:name="_Toc231282345"/>
      <w:bookmarkStart w:id="2583" w:name="_Toc231282789"/>
      <w:bookmarkStart w:id="2584" w:name="_Toc234899376"/>
      <w:bookmarkStart w:id="2585" w:name="_Toc236632658"/>
      <w:bookmarkStart w:id="2586" w:name="_Toc236720271"/>
      <w:bookmarkStart w:id="2587" w:name="_Toc237764470"/>
      <w:bookmarkStart w:id="2588" w:name="_Toc238356094"/>
      <w:bookmarkStart w:id="2589" w:name="_Toc238368799"/>
      <w:bookmarkStart w:id="2590" w:name="_Toc238375752"/>
      <w:bookmarkStart w:id="2591" w:name="_Toc240339076"/>
      <w:bookmarkStart w:id="2592" w:name="_Toc241993582"/>
      <w:bookmarkStart w:id="2593" w:name="_Toc243192725"/>
      <w:bookmarkStart w:id="2594" w:name="_Toc243295427"/>
      <w:bookmarkStart w:id="2595" w:name="_Toc245113000"/>
      <w:bookmarkStart w:id="2596" w:name="_Toc245198162"/>
      <w:bookmarkStart w:id="2597" w:name="_Toc245198611"/>
      <w:bookmarkStart w:id="2598" w:name="_Toc245199060"/>
      <w:bookmarkStart w:id="2599" w:name="_Toc248122091"/>
      <w:bookmarkStart w:id="2600" w:name="_Toc248122542"/>
      <w:bookmarkStart w:id="2601" w:name="_Toc253670529"/>
      <w:bookmarkStart w:id="2602" w:name="_Toc253670979"/>
      <w:bookmarkStart w:id="2603" w:name="_Toc254942749"/>
      <w:bookmarkStart w:id="2604" w:name="_Toc254943202"/>
      <w:bookmarkStart w:id="2605" w:name="_Toc255475794"/>
      <w:bookmarkStart w:id="2606" w:name="_Toc256432115"/>
      <w:bookmarkStart w:id="2607" w:name="_Toc257720452"/>
      <w:bookmarkStart w:id="2608" w:name="_Toc257722134"/>
      <w:bookmarkStart w:id="2609" w:name="_Toc258335810"/>
      <w:bookmarkStart w:id="2610" w:name="_Toc260406252"/>
      <w:bookmarkStart w:id="2611" w:name="_Toc261271438"/>
      <w:bookmarkStart w:id="2612" w:name="_Toc262808120"/>
      <w:bookmarkStart w:id="2613" w:name="_Toc267572513"/>
      <w:bookmarkStart w:id="2614" w:name="_Toc270684262"/>
      <w:bookmarkStart w:id="2615" w:name="_Toc274214439"/>
      <w:bookmarkStart w:id="2616" w:name="_Toc274214888"/>
      <w:bookmarkStart w:id="2617" w:name="_Toc278976219"/>
      <w:bookmarkStart w:id="2618" w:name="_Toc286760542"/>
      <w:bookmarkStart w:id="2619" w:name="_Toc289080887"/>
      <w:bookmarkStart w:id="2620" w:name="_Toc290284081"/>
      <w:bookmarkStart w:id="2621" w:name="_Toc290642902"/>
      <w:bookmarkStart w:id="2622" w:name="_Toc290643351"/>
      <w:bookmarkStart w:id="2623" w:name="_Toc290643804"/>
      <w:bookmarkStart w:id="2624" w:name="_Toc294701621"/>
      <w:bookmarkStart w:id="2625" w:name="_Toc295200029"/>
      <w:bookmarkStart w:id="2626" w:name="_Toc296954470"/>
      <w:bookmarkStart w:id="2627" w:name="_Toc297276102"/>
      <w:bookmarkStart w:id="2628" w:name="_Toc297276554"/>
      <w:bookmarkStart w:id="2629" w:name="_Toc297277004"/>
      <w:bookmarkStart w:id="2630" w:name="_Toc297726373"/>
      <w:bookmarkStart w:id="2631" w:name="_Toc299980159"/>
      <w:bookmarkStart w:id="2632" w:name="_Toc300234785"/>
      <w:bookmarkStart w:id="2633" w:name="_Toc301961288"/>
      <w:bookmarkStart w:id="2634" w:name="_Toc301966858"/>
      <w:bookmarkStart w:id="2635" w:name="_Toc303253067"/>
      <w:bookmarkStart w:id="2636" w:name="_Toc303257231"/>
      <w:bookmarkStart w:id="2637" w:name="_Toc307992866"/>
      <w:bookmarkStart w:id="2638" w:name="_Toc309029899"/>
      <w:bookmarkStart w:id="2639" w:name="_Toc309304122"/>
      <w:bookmarkStart w:id="2640" w:name="_Toc309304575"/>
      <w:bookmarkStart w:id="2641" w:name="_Toc309309399"/>
      <w:r>
        <w:rPr>
          <w:snapToGrid w:val="0"/>
        </w:rPr>
        <w:t>Subdivision 3 — Bag limits for the West Coast Region</w:t>
      </w:r>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p>
    <w:p>
      <w:pPr>
        <w:pStyle w:val="Footnoteheading"/>
        <w:tabs>
          <w:tab w:val="left" w:pos="851"/>
        </w:tabs>
      </w:pPr>
      <w:r>
        <w:tab/>
        <w:t>[Heading inserted in Gazette 1 Oct 2003 p. 4321.]</w:t>
      </w:r>
    </w:p>
    <w:p>
      <w:pPr>
        <w:pStyle w:val="Heading5"/>
        <w:rPr>
          <w:snapToGrid w:val="0"/>
        </w:rPr>
      </w:pPr>
      <w:bookmarkStart w:id="2642" w:name="_Toc309309400"/>
      <w:r>
        <w:rPr>
          <w:rStyle w:val="CharSectno"/>
        </w:rPr>
        <w:t>64ZA</w:t>
      </w:r>
      <w:r>
        <w:rPr>
          <w:snapToGrid w:val="0"/>
        </w:rPr>
        <w:t>.</w:t>
      </w:r>
      <w:r>
        <w:rPr>
          <w:snapToGrid w:val="0"/>
        </w:rPr>
        <w:tab/>
        <w:t>West Coast Region, bag limits</w:t>
      </w:r>
      <w:bookmarkEnd w:id="2642"/>
    </w:p>
    <w:p>
      <w:pPr>
        <w:pStyle w:val="Subsection"/>
        <w:rPr>
          <w:snapToGrid w:val="0"/>
        </w:rPr>
      </w:pPr>
      <w:r>
        <w:rPr>
          <w:snapToGrid w:val="0"/>
        </w:rPr>
        <w:tab/>
        <w:t>(1)</w:t>
      </w:r>
      <w:r>
        <w:rPr>
          <w:snapToGrid w:val="0"/>
        </w:rPr>
        <w:tab/>
        <w:t>The bag limits prescribed by subregulation (</w:t>
      </w:r>
      <w:r>
        <w:t xml:space="preserve">2) and subregulation (3) </w:t>
      </w:r>
      <w:r>
        <w:rPr>
          <w:snapToGrid w:val="0"/>
        </w:rPr>
        <w:t>both apply in respect of a person in the West Coast Region.</w:t>
      </w:r>
    </w:p>
    <w:p>
      <w:pPr>
        <w:pStyle w:val="Subsection"/>
        <w:rPr>
          <w:snapToGrid w:val="0"/>
        </w:rPr>
      </w:pPr>
      <w:r>
        <w:rPr>
          <w:snapToGrid w:val="0"/>
        </w:rPr>
        <w:tab/>
        <w:t>(2)</w:t>
      </w:r>
      <w:r>
        <w:rPr>
          <w:snapToGrid w:val="0"/>
        </w:rPr>
        <w:tab/>
        <w:t>For the purposes of section 50 of the Act, the quantity of fish appearing in column 2 of Schedule 3 Part 3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3 Division 1, 2A, 2 or 3 is the bag limit in respect of fish of the class or classes specified in that Division.</w:t>
      </w:r>
    </w:p>
    <w:p>
      <w:pPr>
        <w:pStyle w:val="Footnotesection"/>
        <w:spacing w:before="100"/>
        <w:ind w:left="890" w:hanging="890"/>
      </w:pPr>
      <w:r>
        <w:tab/>
        <w:t>[Regulation 64ZA inserted in Gazette 1 Oct 2003 p. 4321</w:t>
      </w:r>
      <w:r>
        <w:noBreakHyphen/>
        <w:t>2; amended in Gazette 6 Apr 2004 p. 1133; 8 Dec 2009 p. 4995.]</w:t>
      </w:r>
    </w:p>
    <w:p>
      <w:pPr>
        <w:pStyle w:val="Heading4"/>
      </w:pPr>
      <w:bookmarkStart w:id="2643" w:name="_Toc189987969"/>
      <w:bookmarkStart w:id="2644" w:name="_Toc192041552"/>
      <w:bookmarkStart w:id="2645" w:name="_Toc199570786"/>
      <w:bookmarkStart w:id="2646" w:name="_Toc199738782"/>
      <w:bookmarkStart w:id="2647" w:name="_Toc199814883"/>
      <w:bookmarkStart w:id="2648" w:name="_Toc215040690"/>
      <w:bookmarkStart w:id="2649" w:name="_Toc215041135"/>
      <w:bookmarkStart w:id="2650" w:name="_Toc222129345"/>
      <w:bookmarkStart w:id="2651" w:name="_Toc222223050"/>
      <w:bookmarkStart w:id="2652" w:name="_Toc225914302"/>
      <w:bookmarkStart w:id="2653" w:name="_Toc231282347"/>
      <w:bookmarkStart w:id="2654" w:name="_Toc231282791"/>
      <w:bookmarkStart w:id="2655" w:name="_Toc234899378"/>
      <w:bookmarkStart w:id="2656" w:name="_Toc236632660"/>
      <w:bookmarkStart w:id="2657" w:name="_Toc236720273"/>
      <w:bookmarkStart w:id="2658" w:name="_Toc237764472"/>
      <w:bookmarkStart w:id="2659" w:name="_Toc238356096"/>
      <w:bookmarkStart w:id="2660" w:name="_Toc238368801"/>
      <w:bookmarkStart w:id="2661" w:name="_Toc238375754"/>
      <w:bookmarkStart w:id="2662" w:name="_Toc240339078"/>
      <w:bookmarkStart w:id="2663" w:name="_Toc241993584"/>
      <w:bookmarkStart w:id="2664" w:name="_Toc243192727"/>
      <w:bookmarkStart w:id="2665" w:name="_Toc243295429"/>
      <w:bookmarkStart w:id="2666" w:name="_Toc245113002"/>
      <w:bookmarkStart w:id="2667" w:name="_Toc245198164"/>
      <w:bookmarkStart w:id="2668" w:name="_Toc245198613"/>
      <w:bookmarkStart w:id="2669" w:name="_Toc245199062"/>
      <w:bookmarkStart w:id="2670" w:name="_Toc248122093"/>
      <w:bookmarkStart w:id="2671" w:name="_Toc248122544"/>
      <w:bookmarkStart w:id="2672" w:name="_Toc253670531"/>
      <w:bookmarkStart w:id="2673" w:name="_Toc253670981"/>
      <w:bookmarkStart w:id="2674" w:name="_Toc254942751"/>
      <w:bookmarkStart w:id="2675" w:name="_Toc254943204"/>
      <w:bookmarkStart w:id="2676" w:name="_Toc255475796"/>
      <w:bookmarkStart w:id="2677" w:name="_Toc256432117"/>
      <w:bookmarkStart w:id="2678" w:name="_Toc257720454"/>
      <w:bookmarkStart w:id="2679" w:name="_Toc257722136"/>
      <w:bookmarkStart w:id="2680" w:name="_Toc258335812"/>
      <w:bookmarkStart w:id="2681" w:name="_Toc260406254"/>
      <w:bookmarkStart w:id="2682" w:name="_Toc261271440"/>
      <w:bookmarkStart w:id="2683" w:name="_Toc262808122"/>
      <w:bookmarkStart w:id="2684" w:name="_Toc267572515"/>
      <w:bookmarkStart w:id="2685" w:name="_Toc270684264"/>
      <w:bookmarkStart w:id="2686" w:name="_Toc274214441"/>
      <w:bookmarkStart w:id="2687" w:name="_Toc274214890"/>
      <w:bookmarkStart w:id="2688" w:name="_Toc278976221"/>
      <w:bookmarkStart w:id="2689" w:name="_Toc286760544"/>
      <w:bookmarkStart w:id="2690" w:name="_Toc289080889"/>
      <w:bookmarkStart w:id="2691" w:name="_Toc290284083"/>
      <w:bookmarkStart w:id="2692" w:name="_Toc290642904"/>
      <w:bookmarkStart w:id="2693" w:name="_Toc290643353"/>
      <w:bookmarkStart w:id="2694" w:name="_Toc290643806"/>
      <w:bookmarkStart w:id="2695" w:name="_Toc294701623"/>
      <w:bookmarkStart w:id="2696" w:name="_Toc295200031"/>
      <w:bookmarkStart w:id="2697" w:name="_Toc296954472"/>
      <w:bookmarkStart w:id="2698" w:name="_Toc297276104"/>
      <w:bookmarkStart w:id="2699" w:name="_Toc297276556"/>
      <w:bookmarkStart w:id="2700" w:name="_Toc297277006"/>
      <w:bookmarkStart w:id="2701" w:name="_Toc297726375"/>
      <w:bookmarkStart w:id="2702" w:name="_Toc299980161"/>
      <w:bookmarkStart w:id="2703" w:name="_Toc300234787"/>
      <w:bookmarkStart w:id="2704" w:name="_Toc301961290"/>
      <w:bookmarkStart w:id="2705" w:name="_Toc301966860"/>
      <w:bookmarkStart w:id="2706" w:name="_Toc303253069"/>
      <w:bookmarkStart w:id="2707" w:name="_Toc303257233"/>
      <w:bookmarkStart w:id="2708" w:name="_Toc307992868"/>
      <w:bookmarkStart w:id="2709" w:name="_Toc309029901"/>
      <w:bookmarkStart w:id="2710" w:name="_Toc309304124"/>
      <w:bookmarkStart w:id="2711" w:name="_Toc309304577"/>
      <w:bookmarkStart w:id="2712" w:name="_Toc309309401"/>
      <w:r>
        <w:t xml:space="preserve">Subdivision 4 — Bag limits for the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p>
    <w:p>
      <w:pPr>
        <w:pStyle w:val="Footnoteheading"/>
      </w:pPr>
      <w:r>
        <w:tab/>
        <w:t>[Heading inserted in Gazette 22 Dec 2005 p. 6225.]</w:t>
      </w:r>
    </w:p>
    <w:p>
      <w:pPr>
        <w:pStyle w:val="Heading5"/>
      </w:pPr>
      <w:bookmarkStart w:id="2713" w:name="_Toc309309402"/>
      <w:r>
        <w:rPr>
          <w:rStyle w:val="CharSectno"/>
        </w:rPr>
        <w:t>64ZAA</w:t>
      </w:r>
      <w:r>
        <w:t>.</w:t>
      </w:r>
      <w:r>
        <w:tab/>
        <w:t>South Coast Region</w:t>
      </w:r>
      <w:r>
        <w:rPr>
          <w:snapToGrid w:val="0"/>
        </w:rPr>
        <w:t>, bag limits</w:t>
      </w:r>
      <w:bookmarkEnd w:id="2713"/>
    </w:p>
    <w:p>
      <w:pPr>
        <w:pStyle w:val="Subsection"/>
      </w:pPr>
      <w:r>
        <w:tab/>
        <w:t>(1)</w:t>
      </w:r>
      <w:r>
        <w:tab/>
        <w:t>The bag limits prescribed by subregulations (2) and (3) both apply in respect of a person in the South Coast Region.</w:t>
      </w:r>
    </w:p>
    <w:p>
      <w:pPr>
        <w:pStyle w:val="Subsection"/>
      </w:pPr>
      <w:r>
        <w:tab/>
        <w:t>(2)</w:t>
      </w:r>
      <w:r>
        <w:tab/>
        <w:t>For the purposes of section 50 of the Act, the quantity of fish appearing in column 2 of Schedule 3 Part 4 directly opposite the class or classes of fish specified in the first column of that Part is the bag limit in respect of fish of that class or classes.</w:t>
      </w:r>
    </w:p>
    <w:p>
      <w:pPr>
        <w:pStyle w:val="Subsection"/>
      </w:pPr>
      <w:r>
        <w:tab/>
        <w:t>(3)</w:t>
      </w:r>
      <w:r>
        <w:tab/>
        <w:t>For the purposes of section 50 of the Act, the quantity of fish appearing under the heading commencing “Grouped bag limit” in Schedule 3 Part 4 Division 1, 2 or 3 is the bag limit in respect of fish of the class or classes specified in that Division.</w:t>
      </w:r>
    </w:p>
    <w:p>
      <w:pPr>
        <w:pStyle w:val="Footnotesection"/>
      </w:pPr>
      <w:r>
        <w:tab/>
        <w:t>[Regulation 64ZAA inserted in Gazette 22 Dec 2005 p. 6225</w:t>
      </w:r>
      <w:r>
        <w:noBreakHyphen/>
        <w:t>6.]</w:t>
      </w:r>
    </w:p>
    <w:p>
      <w:pPr>
        <w:pStyle w:val="Heading3"/>
        <w:keepLines/>
      </w:pPr>
      <w:bookmarkStart w:id="2714" w:name="_Toc189987971"/>
      <w:bookmarkStart w:id="2715" w:name="_Toc192041554"/>
      <w:bookmarkStart w:id="2716" w:name="_Toc199570788"/>
      <w:bookmarkStart w:id="2717" w:name="_Toc199738784"/>
      <w:bookmarkStart w:id="2718" w:name="_Toc199814885"/>
      <w:bookmarkStart w:id="2719" w:name="_Toc215040692"/>
      <w:bookmarkStart w:id="2720" w:name="_Toc215041137"/>
      <w:bookmarkStart w:id="2721" w:name="_Toc222129347"/>
      <w:bookmarkStart w:id="2722" w:name="_Toc222223052"/>
      <w:bookmarkStart w:id="2723" w:name="_Toc225914304"/>
      <w:bookmarkStart w:id="2724" w:name="_Toc231282349"/>
      <w:bookmarkStart w:id="2725" w:name="_Toc231282793"/>
      <w:bookmarkStart w:id="2726" w:name="_Toc234899380"/>
      <w:bookmarkStart w:id="2727" w:name="_Toc236632662"/>
      <w:bookmarkStart w:id="2728" w:name="_Toc236720275"/>
      <w:bookmarkStart w:id="2729" w:name="_Toc237764474"/>
      <w:bookmarkStart w:id="2730" w:name="_Toc238356098"/>
      <w:bookmarkStart w:id="2731" w:name="_Toc238368803"/>
      <w:bookmarkStart w:id="2732" w:name="_Toc238375756"/>
      <w:bookmarkStart w:id="2733" w:name="_Toc240339080"/>
      <w:bookmarkStart w:id="2734" w:name="_Toc241993586"/>
      <w:bookmarkStart w:id="2735" w:name="_Toc243192729"/>
      <w:bookmarkStart w:id="2736" w:name="_Toc243295431"/>
      <w:bookmarkStart w:id="2737" w:name="_Toc245113004"/>
      <w:bookmarkStart w:id="2738" w:name="_Toc245198166"/>
      <w:bookmarkStart w:id="2739" w:name="_Toc245198615"/>
      <w:bookmarkStart w:id="2740" w:name="_Toc245199064"/>
      <w:bookmarkStart w:id="2741" w:name="_Toc248122095"/>
      <w:bookmarkStart w:id="2742" w:name="_Toc248122546"/>
      <w:bookmarkStart w:id="2743" w:name="_Toc253670533"/>
      <w:bookmarkStart w:id="2744" w:name="_Toc253670983"/>
      <w:bookmarkStart w:id="2745" w:name="_Toc254942753"/>
      <w:bookmarkStart w:id="2746" w:name="_Toc254943206"/>
      <w:bookmarkStart w:id="2747" w:name="_Toc255475798"/>
      <w:bookmarkStart w:id="2748" w:name="_Toc256432119"/>
      <w:bookmarkStart w:id="2749" w:name="_Toc257720456"/>
      <w:bookmarkStart w:id="2750" w:name="_Toc257722138"/>
      <w:bookmarkStart w:id="2751" w:name="_Toc258335814"/>
      <w:bookmarkStart w:id="2752" w:name="_Toc260406256"/>
      <w:bookmarkStart w:id="2753" w:name="_Toc261271442"/>
      <w:bookmarkStart w:id="2754" w:name="_Toc262808124"/>
      <w:bookmarkStart w:id="2755" w:name="_Toc267572517"/>
      <w:bookmarkStart w:id="2756" w:name="_Toc270684266"/>
      <w:bookmarkStart w:id="2757" w:name="_Toc274214443"/>
      <w:bookmarkStart w:id="2758" w:name="_Toc274214892"/>
      <w:bookmarkStart w:id="2759" w:name="_Toc278976223"/>
      <w:bookmarkStart w:id="2760" w:name="_Toc286760546"/>
      <w:bookmarkStart w:id="2761" w:name="_Toc289080891"/>
      <w:bookmarkStart w:id="2762" w:name="_Toc290284085"/>
      <w:bookmarkStart w:id="2763" w:name="_Toc290642906"/>
      <w:bookmarkStart w:id="2764" w:name="_Toc290643355"/>
      <w:bookmarkStart w:id="2765" w:name="_Toc290643808"/>
      <w:bookmarkStart w:id="2766" w:name="_Toc294701625"/>
      <w:bookmarkStart w:id="2767" w:name="_Toc295200033"/>
      <w:bookmarkStart w:id="2768" w:name="_Toc296954474"/>
      <w:bookmarkStart w:id="2769" w:name="_Toc297276106"/>
      <w:bookmarkStart w:id="2770" w:name="_Toc297276558"/>
      <w:bookmarkStart w:id="2771" w:name="_Toc297277008"/>
      <w:bookmarkStart w:id="2772" w:name="_Toc297726377"/>
      <w:bookmarkStart w:id="2773" w:name="_Toc299980163"/>
      <w:bookmarkStart w:id="2774" w:name="_Toc300234789"/>
      <w:bookmarkStart w:id="2775" w:name="_Toc301961292"/>
      <w:bookmarkStart w:id="2776" w:name="_Toc301966862"/>
      <w:bookmarkStart w:id="2777" w:name="_Toc303253071"/>
      <w:bookmarkStart w:id="2778" w:name="_Toc303257235"/>
      <w:bookmarkStart w:id="2779" w:name="_Toc307992870"/>
      <w:bookmarkStart w:id="2780" w:name="_Toc309029903"/>
      <w:bookmarkStart w:id="2781" w:name="_Toc309304126"/>
      <w:bookmarkStart w:id="2782" w:name="_Toc309304579"/>
      <w:bookmarkStart w:id="2783" w:name="_Toc309309403"/>
      <w:r>
        <w:rPr>
          <w:rStyle w:val="CharDivNo"/>
        </w:rPr>
        <w:t>Division 3</w:t>
      </w:r>
      <w:r>
        <w:t> — </w:t>
      </w:r>
      <w:r>
        <w:rPr>
          <w:rStyle w:val="CharDivText"/>
        </w:rPr>
        <w:t>Bag limits for certain other areas</w:t>
      </w:r>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p>
    <w:p>
      <w:pPr>
        <w:pStyle w:val="Footnoteheading"/>
        <w:keepNext/>
        <w:keepLines/>
        <w:tabs>
          <w:tab w:val="left" w:pos="851"/>
        </w:tabs>
      </w:pPr>
      <w:r>
        <w:tab/>
        <w:t>[Heading inserted in Gazette 1 Oct 2003 p. 4322.]</w:t>
      </w:r>
    </w:p>
    <w:p>
      <w:pPr>
        <w:pStyle w:val="Heading4"/>
        <w:keepLines/>
      </w:pPr>
      <w:bookmarkStart w:id="2784" w:name="_Toc189987972"/>
      <w:bookmarkStart w:id="2785" w:name="_Toc192041555"/>
      <w:bookmarkStart w:id="2786" w:name="_Toc199570789"/>
      <w:bookmarkStart w:id="2787" w:name="_Toc199738785"/>
      <w:bookmarkStart w:id="2788" w:name="_Toc199814886"/>
      <w:bookmarkStart w:id="2789" w:name="_Toc215040693"/>
      <w:bookmarkStart w:id="2790" w:name="_Toc215041138"/>
      <w:bookmarkStart w:id="2791" w:name="_Toc222129348"/>
      <w:bookmarkStart w:id="2792" w:name="_Toc222223053"/>
      <w:bookmarkStart w:id="2793" w:name="_Toc225914305"/>
      <w:bookmarkStart w:id="2794" w:name="_Toc231282350"/>
      <w:bookmarkStart w:id="2795" w:name="_Toc231282794"/>
      <w:bookmarkStart w:id="2796" w:name="_Toc234899381"/>
      <w:bookmarkStart w:id="2797" w:name="_Toc236632663"/>
      <w:bookmarkStart w:id="2798" w:name="_Toc236720276"/>
      <w:bookmarkStart w:id="2799" w:name="_Toc237764475"/>
      <w:bookmarkStart w:id="2800" w:name="_Toc238356099"/>
      <w:bookmarkStart w:id="2801" w:name="_Toc238368804"/>
      <w:bookmarkStart w:id="2802" w:name="_Toc238375757"/>
      <w:bookmarkStart w:id="2803" w:name="_Toc240339081"/>
      <w:bookmarkStart w:id="2804" w:name="_Toc241993587"/>
      <w:bookmarkStart w:id="2805" w:name="_Toc243192730"/>
      <w:bookmarkStart w:id="2806" w:name="_Toc243295432"/>
      <w:bookmarkStart w:id="2807" w:name="_Toc245113005"/>
      <w:bookmarkStart w:id="2808" w:name="_Toc245198167"/>
      <w:bookmarkStart w:id="2809" w:name="_Toc245198616"/>
      <w:bookmarkStart w:id="2810" w:name="_Toc245199065"/>
      <w:bookmarkStart w:id="2811" w:name="_Toc248122096"/>
      <w:bookmarkStart w:id="2812" w:name="_Toc248122547"/>
      <w:bookmarkStart w:id="2813" w:name="_Toc253670534"/>
      <w:bookmarkStart w:id="2814" w:name="_Toc253670984"/>
      <w:bookmarkStart w:id="2815" w:name="_Toc254942754"/>
      <w:bookmarkStart w:id="2816" w:name="_Toc254943207"/>
      <w:bookmarkStart w:id="2817" w:name="_Toc255475799"/>
      <w:bookmarkStart w:id="2818" w:name="_Toc256432120"/>
      <w:bookmarkStart w:id="2819" w:name="_Toc257720457"/>
      <w:bookmarkStart w:id="2820" w:name="_Toc257722139"/>
      <w:bookmarkStart w:id="2821" w:name="_Toc258335815"/>
      <w:bookmarkStart w:id="2822" w:name="_Toc260406257"/>
      <w:bookmarkStart w:id="2823" w:name="_Toc261271443"/>
      <w:bookmarkStart w:id="2824" w:name="_Toc262808125"/>
      <w:bookmarkStart w:id="2825" w:name="_Toc267572518"/>
      <w:bookmarkStart w:id="2826" w:name="_Toc270684267"/>
      <w:bookmarkStart w:id="2827" w:name="_Toc274214444"/>
      <w:bookmarkStart w:id="2828" w:name="_Toc274214893"/>
      <w:bookmarkStart w:id="2829" w:name="_Toc278976224"/>
      <w:bookmarkStart w:id="2830" w:name="_Toc286760547"/>
      <w:bookmarkStart w:id="2831" w:name="_Toc289080892"/>
      <w:bookmarkStart w:id="2832" w:name="_Toc290284086"/>
      <w:bookmarkStart w:id="2833" w:name="_Toc290642907"/>
      <w:bookmarkStart w:id="2834" w:name="_Toc290643356"/>
      <w:bookmarkStart w:id="2835" w:name="_Toc290643809"/>
      <w:bookmarkStart w:id="2836" w:name="_Toc294701626"/>
      <w:bookmarkStart w:id="2837" w:name="_Toc295200034"/>
      <w:bookmarkStart w:id="2838" w:name="_Toc296954475"/>
      <w:bookmarkStart w:id="2839" w:name="_Toc297276107"/>
      <w:bookmarkStart w:id="2840" w:name="_Toc297276559"/>
      <w:bookmarkStart w:id="2841" w:name="_Toc297277009"/>
      <w:bookmarkStart w:id="2842" w:name="_Toc297726378"/>
      <w:bookmarkStart w:id="2843" w:name="_Toc299980164"/>
      <w:bookmarkStart w:id="2844" w:name="_Toc300234790"/>
      <w:bookmarkStart w:id="2845" w:name="_Toc301961293"/>
      <w:bookmarkStart w:id="2846" w:name="_Toc301966863"/>
      <w:bookmarkStart w:id="2847" w:name="_Toc303253072"/>
      <w:bookmarkStart w:id="2848" w:name="_Toc303257236"/>
      <w:bookmarkStart w:id="2849" w:name="_Toc307992871"/>
      <w:bookmarkStart w:id="2850" w:name="_Toc309029904"/>
      <w:bookmarkStart w:id="2851" w:name="_Toc309304127"/>
      <w:bookmarkStart w:id="2852" w:name="_Toc309304580"/>
      <w:bookmarkStart w:id="2853" w:name="_Toc309309404"/>
      <w:r>
        <w:t>Subdivision 1 — Bag limits for rock lobsters at Ningaloo</w:t>
      </w:r>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p>
    <w:p>
      <w:pPr>
        <w:pStyle w:val="Footnoteheading"/>
        <w:keepNext/>
        <w:keepLines/>
        <w:tabs>
          <w:tab w:val="left" w:pos="851"/>
        </w:tabs>
        <w:spacing w:before="100"/>
      </w:pPr>
      <w:r>
        <w:tab/>
        <w:t>[Heading inserted in Gazette 1 Oct 2003 p. 4322; amended in Gazette 22 Dec 2005 p. 6226.]</w:t>
      </w:r>
    </w:p>
    <w:p>
      <w:pPr>
        <w:pStyle w:val="Ednotesection"/>
      </w:pPr>
      <w:r>
        <w:t>[</w:t>
      </w:r>
      <w:r>
        <w:rPr>
          <w:b/>
        </w:rPr>
        <w:t>64ZB, 64ZC.</w:t>
      </w:r>
      <w:r>
        <w:tab/>
        <w:t>Deleted in Gazette 22 Dec 2005 p. 6226.]</w:t>
      </w:r>
    </w:p>
    <w:p>
      <w:pPr>
        <w:pStyle w:val="Heading5"/>
        <w:keepNext w:val="0"/>
        <w:keepLines w:val="0"/>
      </w:pPr>
      <w:bookmarkStart w:id="2854" w:name="_Toc309309405"/>
      <w:r>
        <w:rPr>
          <w:rStyle w:val="CharSectno"/>
        </w:rPr>
        <w:t>64ZCA</w:t>
      </w:r>
      <w:r>
        <w:t>.</w:t>
      </w:r>
      <w:r>
        <w:tab/>
        <w:t>Ningaloo and Exmouth areas, bag limit for rock lobsters</w:t>
      </w:r>
      <w:bookmarkEnd w:id="2854"/>
    </w:p>
    <w:p>
      <w:pPr>
        <w:pStyle w:val="Subsection"/>
        <w:spacing w:before="120"/>
      </w:pPr>
      <w:r>
        <w:tab/>
        <w:t>(1)</w:t>
      </w:r>
      <w:r>
        <w:tab/>
        <w:t>For the purposes of section 50 of the Act, the bag limit in respect of rock lobsters brought onto land in the Ningaloo Marine Park Land Zone or the Exmouth Gulf Land Zone is 4 rock lobsters.</w:t>
      </w:r>
    </w:p>
    <w:p>
      <w:pPr>
        <w:pStyle w:val="Subsection"/>
        <w:spacing w:before="120"/>
      </w:pPr>
      <w:r>
        <w:tab/>
        <w:t>(2)</w:t>
      </w:r>
      <w:r>
        <w:tab/>
        <w:t>In subregulation (1) —</w:t>
      </w:r>
    </w:p>
    <w:p>
      <w:pPr>
        <w:pStyle w:val="Defstart"/>
        <w:ind w:right="608"/>
      </w:pPr>
      <w:r>
        <w:rPr>
          <w:b/>
        </w:rPr>
        <w:tab/>
      </w:r>
      <w:r>
        <w:rPr>
          <w:rStyle w:val="CharDefText"/>
        </w:rPr>
        <w:t>Exmouth Gulf Land Zone</w:t>
      </w:r>
      <w:r>
        <w:t xml:space="preserve"> means all land between 22°35′ south latitude and 21°53′ south latitude, east of the Learmonth</w:t>
      </w:r>
      <w:r>
        <w:noBreakHyphen/>
        <w:t>Minilya and Murat Roads and west of 114°19′ east longitude;</w:t>
      </w:r>
    </w:p>
    <w:p>
      <w:pPr>
        <w:pStyle w:val="Defstart"/>
      </w:pPr>
      <w:r>
        <w:rPr>
          <w:b/>
        </w:rPr>
        <w:tab/>
      </w:r>
      <w:r>
        <w:rPr>
          <w:rStyle w:val="CharDefText"/>
        </w:rPr>
        <w:t>Ningaloo Marine Park Land Zone</w:t>
      </w:r>
      <w:r>
        <w:t xml:space="preserve"> has the same meaning as in regulation 16L(1);</w:t>
      </w:r>
    </w:p>
    <w:p>
      <w:pPr>
        <w:pStyle w:val="Defstart"/>
      </w:pPr>
      <w:r>
        <w:rPr>
          <w:b/>
        </w:rPr>
        <w:tab/>
      </w:r>
      <w:r>
        <w:rPr>
          <w:rStyle w:val="CharDefText"/>
        </w:rPr>
        <w:t>rock lobster</w:t>
      </w:r>
      <w:r>
        <w:t xml:space="preserve"> means whole rock lobster or part of a rock lobster.</w:t>
      </w:r>
    </w:p>
    <w:p>
      <w:pPr>
        <w:pStyle w:val="Footnotesection"/>
      </w:pPr>
      <w:r>
        <w:tab/>
        <w:t>[Regulation 64ZCA inserted in Gazette 4 Nov 2005 p. 5312; amended in Gazette 22 Dec 2005 p. 6226; 29 May 2008 p. 2057.]</w:t>
      </w:r>
    </w:p>
    <w:p>
      <w:pPr>
        <w:pStyle w:val="Ednotesection"/>
      </w:pPr>
      <w:r>
        <w:t>[</w:t>
      </w:r>
      <w:r>
        <w:rPr>
          <w:b/>
        </w:rPr>
        <w:t>64ZD.</w:t>
      </w:r>
      <w:r>
        <w:tab/>
        <w:t>Deleted in Gazette 22 Dec 2005 p. 6227.]</w:t>
      </w:r>
    </w:p>
    <w:p>
      <w:pPr>
        <w:pStyle w:val="Heading4"/>
      </w:pPr>
      <w:bookmarkStart w:id="2855" w:name="_Toc189987974"/>
      <w:bookmarkStart w:id="2856" w:name="_Toc192041557"/>
      <w:bookmarkStart w:id="2857" w:name="_Toc199570791"/>
      <w:bookmarkStart w:id="2858" w:name="_Toc199738787"/>
      <w:bookmarkStart w:id="2859" w:name="_Toc199814888"/>
      <w:bookmarkStart w:id="2860" w:name="_Toc215040695"/>
      <w:bookmarkStart w:id="2861" w:name="_Toc215041140"/>
      <w:bookmarkStart w:id="2862" w:name="_Toc222129350"/>
      <w:bookmarkStart w:id="2863" w:name="_Toc222223055"/>
      <w:bookmarkStart w:id="2864" w:name="_Toc225914307"/>
      <w:bookmarkStart w:id="2865" w:name="_Toc231282352"/>
      <w:bookmarkStart w:id="2866" w:name="_Toc231282796"/>
      <w:bookmarkStart w:id="2867" w:name="_Toc234899383"/>
      <w:bookmarkStart w:id="2868" w:name="_Toc236632665"/>
      <w:bookmarkStart w:id="2869" w:name="_Toc236720278"/>
      <w:bookmarkStart w:id="2870" w:name="_Toc237764477"/>
      <w:bookmarkStart w:id="2871" w:name="_Toc238356101"/>
      <w:bookmarkStart w:id="2872" w:name="_Toc238368806"/>
      <w:bookmarkStart w:id="2873" w:name="_Toc238375759"/>
      <w:bookmarkStart w:id="2874" w:name="_Toc240339083"/>
      <w:bookmarkStart w:id="2875" w:name="_Toc241993589"/>
      <w:bookmarkStart w:id="2876" w:name="_Toc243192732"/>
      <w:bookmarkStart w:id="2877" w:name="_Toc243295434"/>
      <w:bookmarkStart w:id="2878" w:name="_Toc245113007"/>
      <w:bookmarkStart w:id="2879" w:name="_Toc245198169"/>
      <w:bookmarkStart w:id="2880" w:name="_Toc245198618"/>
      <w:bookmarkStart w:id="2881" w:name="_Toc245199067"/>
      <w:bookmarkStart w:id="2882" w:name="_Toc248122098"/>
      <w:bookmarkStart w:id="2883" w:name="_Toc248122549"/>
      <w:bookmarkStart w:id="2884" w:name="_Toc253670536"/>
      <w:bookmarkStart w:id="2885" w:name="_Toc253670986"/>
      <w:bookmarkStart w:id="2886" w:name="_Toc254942756"/>
      <w:bookmarkStart w:id="2887" w:name="_Toc254943209"/>
      <w:bookmarkStart w:id="2888" w:name="_Toc255475801"/>
      <w:bookmarkStart w:id="2889" w:name="_Toc256432122"/>
      <w:bookmarkStart w:id="2890" w:name="_Toc257720459"/>
      <w:bookmarkStart w:id="2891" w:name="_Toc257722141"/>
      <w:bookmarkStart w:id="2892" w:name="_Toc258335817"/>
      <w:bookmarkStart w:id="2893" w:name="_Toc260406259"/>
      <w:bookmarkStart w:id="2894" w:name="_Toc261271445"/>
      <w:bookmarkStart w:id="2895" w:name="_Toc262808127"/>
      <w:bookmarkStart w:id="2896" w:name="_Toc267572520"/>
      <w:bookmarkStart w:id="2897" w:name="_Toc270684269"/>
      <w:bookmarkStart w:id="2898" w:name="_Toc274214446"/>
      <w:bookmarkStart w:id="2899" w:name="_Toc274214895"/>
      <w:bookmarkStart w:id="2900" w:name="_Toc278976226"/>
      <w:bookmarkStart w:id="2901" w:name="_Toc286760549"/>
      <w:bookmarkStart w:id="2902" w:name="_Toc289080894"/>
      <w:bookmarkStart w:id="2903" w:name="_Toc290284088"/>
      <w:bookmarkStart w:id="2904" w:name="_Toc290642909"/>
      <w:bookmarkStart w:id="2905" w:name="_Toc290643358"/>
      <w:bookmarkStart w:id="2906" w:name="_Toc290643811"/>
      <w:bookmarkStart w:id="2907" w:name="_Toc294701628"/>
      <w:bookmarkStart w:id="2908" w:name="_Toc295200036"/>
      <w:bookmarkStart w:id="2909" w:name="_Toc296954477"/>
      <w:bookmarkStart w:id="2910" w:name="_Toc297276109"/>
      <w:bookmarkStart w:id="2911" w:name="_Toc297276561"/>
      <w:bookmarkStart w:id="2912" w:name="_Toc297277011"/>
      <w:bookmarkStart w:id="2913" w:name="_Toc297726380"/>
      <w:bookmarkStart w:id="2914" w:name="_Toc299980166"/>
      <w:bookmarkStart w:id="2915" w:name="_Toc300234792"/>
      <w:bookmarkStart w:id="2916" w:name="_Toc301961295"/>
      <w:bookmarkStart w:id="2917" w:name="_Toc301966865"/>
      <w:bookmarkStart w:id="2918" w:name="_Toc303253074"/>
      <w:bookmarkStart w:id="2919" w:name="_Toc303257238"/>
      <w:bookmarkStart w:id="2920" w:name="_Toc307992873"/>
      <w:bookmarkStart w:id="2921" w:name="_Toc309029906"/>
      <w:bookmarkStart w:id="2922" w:name="_Toc309304129"/>
      <w:bookmarkStart w:id="2923" w:name="_Toc309304582"/>
      <w:bookmarkStart w:id="2924" w:name="_Toc309309406"/>
      <w:r>
        <w:t>Subdivision 2 — Bag limits for the West Coast Purse Seine Managed Fishery</w:t>
      </w:r>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p>
    <w:p>
      <w:pPr>
        <w:pStyle w:val="Footnoteheading"/>
        <w:tabs>
          <w:tab w:val="left" w:pos="851"/>
        </w:tabs>
      </w:pPr>
      <w:r>
        <w:tab/>
        <w:t>[Heading inserted in Gazette 1 Oct 2003 p. 4323.]</w:t>
      </w:r>
    </w:p>
    <w:p>
      <w:pPr>
        <w:pStyle w:val="Heading5"/>
        <w:rPr>
          <w:snapToGrid w:val="0"/>
        </w:rPr>
      </w:pPr>
      <w:bookmarkStart w:id="2925" w:name="_Toc309309407"/>
      <w:r>
        <w:rPr>
          <w:rStyle w:val="CharSectno"/>
        </w:rPr>
        <w:t>64ZE</w:t>
      </w:r>
      <w:r>
        <w:rPr>
          <w:snapToGrid w:val="0"/>
        </w:rPr>
        <w:t>.</w:t>
      </w:r>
      <w:r>
        <w:rPr>
          <w:snapToGrid w:val="0"/>
        </w:rPr>
        <w:tab/>
        <w:t>West Coast Purse Seine Managed Fishery, bag limits</w:t>
      </w:r>
      <w:bookmarkEnd w:id="2925"/>
    </w:p>
    <w:p>
      <w:pPr>
        <w:pStyle w:val="Subsection"/>
        <w:rPr>
          <w:snapToGrid w:val="0"/>
        </w:rPr>
      </w:pPr>
      <w:r>
        <w:rPr>
          <w:snapToGrid w:val="0"/>
        </w:rPr>
        <w:tab/>
        <w:t>(1)</w:t>
      </w:r>
      <w:r>
        <w:rPr>
          <w:snapToGrid w:val="0"/>
        </w:rPr>
        <w:tab/>
        <w:t>In this regulation —</w:t>
      </w:r>
    </w:p>
    <w:p>
      <w:pPr>
        <w:pStyle w:val="Defstart"/>
      </w:pPr>
      <w:r>
        <w:rPr>
          <w:b/>
        </w:rPr>
        <w:tab/>
      </w:r>
      <w:r>
        <w:rPr>
          <w:rStyle w:val="CharDefText"/>
        </w:rPr>
        <w:t>management plan</w:t>
      </w:r>
      <w:r>
        <w:t xml:space="preserve"> means the </w:t>
      </w:r>
      <w:r>
        <w:rPr>
          <w:i/>
        </w:rPr>
        <w:t>West Coast Purse Seine Management Plan 1989</w:t>
      </w:r>
      <w:r>
        <w:t xml:space="preserve"> (published in the </w:t>
      </w:r>
      <w:r>
        <w:rPr>
          <w:i/>
        </w:rPr>
        <w:t xml:space="preserve">Gazette </w:t>
      </w:r>
      <w:r>
        <w:t>of 8 September 1989 at p. 3181</w:t>
      </w:r>
      <w:r>
        <w:noBreakHyphen/>
        <w:t>4);</w:t>
      </w:r>
    </w:p>
    <w:p>
      <w:pPr>
        <w:pStyle w:val="Defstart"/>
      </w:pPr>
      <w:r>
        <w:rPr>
          <w:b/>
        </w:rPr>
        <w:tab/>
      </w:r>
      <w:r>
        <w:rPr>
          <w:rStyle w:val="CharDefText"/>
        </w:rPr>
        <w:t>net</w:t>
      </w:r>
      <w:r>
        <w:t xml:space="preserve"> means a lampara net or a purse seine net, as those terms are defined in the management plan;</w:t>
      </w:r>
    </w:p>
    <w:p>
      <w:pPr>
        <w:pStyle w:val="Defstart"/>
      </w:pPr>
      <w:r>
        <w:rPr>
          <w:b/>
        </w:rPr>
        <w:tab/>
      </w:r>
      <w:r>
        <w:rPr>
          <w:rStyle w:val="CharDefText"/>
        </w:rPr>
        <w:t>West Coast Purse Seine Managed Fishery boat</w:t>
      </w:r>
      <w:r>
        <w:t xml:space="preserve"> means a boat which is licensed to operate in the West Coast Purse Seine Managed Fishery under the management plan and which is in the waters of that fishery with a net on, or attached, to it.</w:t>
      </w:r>
    </w:p>
    <w:p>
      <w:pPr>
        <w:pStyle w:val="Subsection"/>
        <w:rPr>
          <w:snapToGrid w:val="0"/>
        </w:rPr>
      </w:pPr>
      <w:r>
        <w:rPr>
          <w:snapToGrid w:val="0"/>
        </w:rPr>
        <w:tab/>
        <w:t>(2)</w:t>
      </w:r>
      <w:r>
        <w:rPr>
          <w:snapToGrid w:val="0"/>
        </w:rPr>
        <w:tab/>
        <w:t>The bag limits prescribed by this regulation apply in respect of a person on a West Coast Purse Seine Managed Fishery boat.</w:t>
      </w:r>
    </w:p>
    <w:p>
      <w:pPr>
        <w:pStyle w:val="Subsection"/>
        <w:spacing w:before="100"/>
        <w:rPr>
          <w:snapToGrid w:val="0"/>
        </w:rPr>
      </w:pPr>
      <w:r>
        <w:rPr>
          <w:snapToGrid w:val="0"/>
        </w:rPr>
        <w:tab/>
        <w:t>(3)</w:t>
      </w:r>
      <w:r>
        <w:rPr>
          <w:snapToGrid w:val="0"/>
        </w:rPr>
        <w:tab/>
        <w:t>For the purposes of section 50 of the Act, the bag limit appearing directly opposite an item in Schedule 3 Part 5 is the bag limit in respect of fish of the species referred to in that item.</w:t>
      </w:r>
    </w:p>
    <w:p>
      <w:pPr>
        <w:pStyle w:val="Footnotesection"/>
      </w:pPr>
      <w:r>
        <w:tab/>
        <w:t>[Regulation 64ZE inserted in Gazette 1 Oct 2003 p. 4323</w:t>
      </w:r>
      <w:r>
        <w:noBreakHyphen/>
        <w:t>4; amended in Gazette 22 Dec 2005 p. 6227.]</w:t>
      </w:r>
    </w:p>
    <w:p>
      <w:pPr>
        <w:pStyle w:val="Heading4"/>
      </w:pPr>
      <w:bookmarkStart w:id="2926" w:name="_Toc189987976"/>
      <w:bookmarkStart w:id="2927" w:name="_Toc192041559"/>
      <w:bookmarkStart w:id="2928" w:name="_Toc199570793"/>
      <w:bookmarkStart w:id="2929" w:name="_Toc199738789"/>
      <w:bookmarkStart w:id="2930" w:name="_Toc199814890"/>
      <w:bookmarkStart w:id="2931" w:name="_Toc215040697"/>
      <w:bookmarkStart w:id="2932" w:name="_Toc215041142"/>
      <w:bookmarkStart w:id="2933" w:name="_Toc222129352"/>
      <w:bookmarkStart w:id="2934" w:name="_Toc222223057"/>
      <w:bookmarkStart w:id="2935" w:name="_Toc225914309"/>
      <w:bookmarkStart w:id="2936" w:name="_Toc231282354"/>
      <w:bookmarkStart w:id="2937" w:name="_Toc231282798"/>
      <w:bookmarkStart w:id="2938" w:name="_Toc234899385"/>
      <w:bookmarkStart w:id="2939" w:name="_Toc236632667"/>
      <w:bookmarkStart w:id="2940" w:name="_Toc236720280"/>
      <w:bookmarkStart w:id="2941" w:name="_Toc237764479"/>
      <w:bookmarkStart w:id="2942" w:name="_Toc238356103"/>
      <w:bookmarkStart w:id="2943" w:name="_Toc238368808"/>
      <w:bookmarkStart w:id="2944" w:name="_Toc238375761"/>
      <w:bookmarkStart w:id="2945" w:name="_Toc240339085"/>
      <w:bookmarkStart w:id="2946" w:name="_Toc241993591"/>
      <w:bookmarkStart w:id="2947" w:name="_Toc243192734"/>
      <w:bookmarkStart w:id="2948" w:name="_Toc243295436"/>
      <w:bookmarkStart w:id="2949" w:name="_Toc245113009"/>
      <w:bookmarkStart w:id="2950" w:name="_Toc245198171"/>
      <w:bookmarkStart w:id="2951" w:name="_Toc245198620"/>
      <w:bookmarkStart w:id="2952" w:name="_Toc245199069"/>
      <w:bookmarkStart w:id="2953" w:name="_Toc248122100"/>
      <w:bookmarkStart w:id="2954" w:name="_Toc248122551"/>
      <w:bookmarkStart w:id="2955" w:name="_Toc253670538"/>
      <w:bookmarkStart w:id="2956" w:name="_Toc253670988"/>
      <w:bookmarkStart w:id="2957" w:name="_Toc254942758"/>
      <w:bookmarkStart w:id="2958" w:name="_Toc254943211"/>
      <w:bookmarkStart w:id="2959" w:name="_Toc255475803"/>
      <w:bookmarkStart w:id="2960" w:name="_Toc256432124"/>
      <w:bookmarkStart w:id="2961" w:name="_Toc257720461"/>
      <w:bookmarkStart w:id="2962" w:name="_Toc257722143"/>
      <w:bookmarkStart w:id="2963" w:name="_Toc258335819"/>
      <w:bookmarkStart w:id="2964" w:name="_Toc260406261"/>
      <w:bookmarkStart w:id="2965" w:name="_Toc261271447"/>
      <w:bookmarkStart w:id="2966" w:name="_Toc262808129"/>
      <w:bookmarkStart w:id="2967" w:name="_Toc267572522"/>
      <w:bookmarkStart w:id="2968" w:name="_Toc270684271"/>
      <w:bookmarkStart w:id="2969" w:name="_Toc274214448"/>
      <w:bookmarkStart w:id="2970" w:name="_Toc274214897"/>
      <w:bookmarkStart w:id="2971" w:name="_Toc278976228"/>
      <w:bookmarkStart w:id="2972" w:name="_Toc286760551"/>
      <w:bookmarkStart w:id="2973" w:name="_Toc289080896"/>
      <w:bookmarkStart w:id="2974" w:name="_Toc290284090"/>
      <w:bookmarkStart w:id="2975" w:name="_Toc290642911"/>
      <w:bookmarkStart w:id="2976" w:name="_Toc290643360"/>
      <w:bookmarkStart w:id="2977" w:name="_Toc290643813"/>
      <w:bookmarkStart w:id="2978" w:name="_Toc294701630"/>
      <w:bookmarkStart w:id="2979" w:name="_Toc295200038"/>
      <w:bookmarkStart w:id="2980" w:name="_Toc296954479"/>
      <w:bookmarkStart w:id="2981" w:name="_Toc297276111"/>
      <w:bookmarkStart w:id="2982" w:name="_Toc297276563"/>
      <w:bookmarkStart w:id="2983" w:name="_Toc297277013"/>
      <w:bookmarkStart w:id="2984" w:name="_Toc297726382"/>
      <w:bookmarkStart w:id="2985" w:name="_Toc299980168"/>
      <w:bookmarkStart w:id="2986" w:name="_Toc300234794"/>
      <w:bookmarkStart w:id="2987" w:name="_Toc301961297"/>
      <w:bookmarkStart w:id="2988" w:name="_Toc301966867"/>
      <w:bookmarkStart w:id="2989" w:name="_Toc303253076"/>
      <w:bookmarkStart w:id="2990" w:name="_Toc303257240"/>
      <w:bookmarkStart w:id="2991" w:name="_Toc307992875"/>
      <w:bookmarkStart w:id="2992" w:name="_Toc309029908"/>
      <w:bookmarkStart w:id="2993" w:name="_Toc309304131"/>
      <w:bookmarkStart w:id="2994" w:name="_Toc309304584"/>
      <w:bookmarkStart w:id="2995" w:name="_Toc309309408"/>
      <w:r>
        <w:t xml:space="preserve">Subdivision 3 — Bag limit for barramundi in the </w:t>
      </w:r>
      <w:smartTag w:uri="urn:schemas-microsoft-com:office:smarttags" w:element="place">
        <w:smartTag w:uri="urn:schemas-microsoft-com:office:smarttags" w:element="PlaceName">
          <w:r>
            <w:t>Ord</w:t>
          </w:r>
        </w:smartTag>
        <w:r>
          <w:t> </w:t>
        </w:r>
        <w:smartTag w:uri="urn:schemas-microsoft-com:office:smarttags" w:element="PlaceType">
          <w:r>
            <w:t>River</w:t>
          </w:r>
        </w:smartTag>
      </w:smartTag>
      <w:r>
        <w:t> area</w:t>
      </w:r>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p>
    <w:p>
      <w:pPr>
        <w:pStyle w:val="Footnoteheading"/>
        <w:keepNext/>
        <w:tabs>
          <w:tab w:val="left" w:pos="851"/>
        </w:tabs>
      </w:pPr>
      <w:r>
        <w:tab/>
        <w:t>[Heading inserted in Gazette 1 Oct 2003 p. 4324.]</w:t>
      </w:r>
    </w:p>
    <w:p>
      <w:pPr>
        <w:pStyle w:val="Heading5"/>
      </w:pPr>
      <w:bookmarkStart w:id="2996" w:name="_Toc309309409"/>
      <w:r>
        <w:rPr>
          <w:rStyle w:val="CharSectno"/>
        </w:rPr>
        <w:t>64ZF</w:t>
      </w:r>
      <w:r>
        <w:t>.</w:t>
      </w:r>
      <w:r>
        <w:tab/>
        <w:t>Terms used</w:t>
      </w:r>
      <w:bookmarkEnd w:id="2996"/>
    </w:p>
    <w:p>
      <w:pPr>
        <w:pStyle w:val="Subsection"/>
        <w:rPr>
          <w:snapToGrid w:val="0"/>
        </w:rPr>
      </w:pPr>
      <w:r>
        <w:rPr>
          <w:snapToGrid w:val="0"/>
        </w:rPr>
        <w:tab/>
      </w:r>
      <w:r>
        <w:rPr>
          <w:snapToGrid w:val="0"/>
        </w:rPr>
        <w:tab/>
        <w:t>In this Subdivision —</w:t>
      </w:r>
    </w:p>
    <w:p>
      <w:pPr>
        <w:pStyle w:val="Defstart"/>
      </w:pPr>
      <w:r>
        <w:rPr>
          <w:b/>
        </w:rPr>
        <w:tab/>
      </w:r>
      <w:r>
        <w:rPr>
          <w:rStyle w:val="CharDefText"/>
        </w:rPr>
        <w:t>Ord River area</w:t>
      </w:r>
      <w:r>
        <w:t xml:space="preserve"> means the area bounded by a line starting from the intersection of Victoria Highway and Ivanhoe Road, then heading in a generally north</w:t>
      </w:r>
      <w:r>
        <w:noBreakHyphen/>
        <w:t>north</w:t>
      </w:r>
      <w:r>
        <w:noBreakHyphen/>
        <w:t>westerly direction along Research Station Road to its intersection with Stock Route Road, then in a generally easterly direction following Stock Route Road to its intersection with Weaber Plains Road, along Weaber Plains Road in a generally northerly direction to its intersection with Carlton Hill Station Road, then in a generally west</w:t>
      </w:r>
      <w:r>
        <w:noBreakHyphen/>
        <w:t>north</w:t>
      </w:r>
      <w:r>
        <w:noBreakHyphen/>
        <w:t>westerly direction along Carlton Hill Station Road to the Carlton Hill Station homestead, then in the direction of 281° for 9.5 km to the Old Dip Yard, then in a generally northerly direction following the eastern boundary fence of the No. 7 Bore paddock for 14.4 km to where the fence abuts the Onslow Hills, then due north for 7.2 km, then due west for 5.3 km to the point where the northern boundary fence of Buffalo Tank paddock abuts the Onslow Hills, then generally westerly and north</w:t>
      </w:r>
      <w:r>
        <w:noBreakHyphen/>
        <w:t>westerly along the northern boundary fence of Buffalo Tank paddock for 15 km to the point where the fence ends in mud flats, then in the direction of 290° for 5 km to Mount Connection, then from there along a straight line to the point where an east</w:t>
      </w:r>
      <w:r>
        <w:noBreakHyphen/>
        <w:t>west line passing through Scott Point on Adolphus Island intersects with the high water mark on the eastern side of the Ord River, then due west to the high water mark on the western side of the East Arm of Cambridge Gulf, then from there along a straight line to Limpet Hill, then due south for 20.5 km to Wedge Hill, then in the direction of 130° for 10.7 km to the western boundary fence of Goose Hill Station, then generally in a southerly direction along the western boundary fence of Goose Hill Station for 6.7 km to Parry Creek, Kununurra Road, then in a generally north</w:t>
      </w:r>
      <w:r>
        <w:noBreakHyphen/>
        <w:t>easterly direction along the southern boundary fence of Goose Hill Station parallel to Parry Creek, Kununurra Road for 2 km to the main access road gate for Goose Hill Station, then due south for 9.8 km, then due east to Parry Creek, Kununurra Road, then along Parry Creek, Kununurra Road in a southerly direction to its intersection with the Victoria Highway, then from there to the starting point at the intersection of Victoria Highway and Ivanhoe Road;</w:t>
      </w:r>
    </w:p>
    <w:p>
      <w:pPr>
        <w:pStyle w:val="Defstart"/>
      </w:pPr>
      <w:r>
        <w:rPr>
          <w:b/>
        </w:rPr>
        <w:tab/>
      </w:r>
      <w:smartTag w:uri="urn:schemas-microsoft-com:office:smarttags" w:element="PlaceName">
        <w:r>
          <w:rPr>
            <w:rStyle w:val="CharDefText"/>
          </w:rPr>
          <w:t>Ord</w:t>
        </w:r>
      </w:smartTag>
      <w:r>
        <w:rPr>
          <w:rStyle w:val="CharDefText"/>
        </w:rPr>
        <w:t xml:space="preserve"> </w:t>
      </w:r>
      <w:smartTag w:uri="urn:schemas-microsoft-com:office:smarttags" w:element="PlaceType">
        <w:r>
          <w:rPr>
            <w:rStyle w:val="CharDefText"/>
          </w:rPr>
          <w:t>River</w:t>
        </w:r>
      </w:smartTag>
      <w:r>
        <w:rPr>
          <w:rStyle w:val="CharDefText"/>
        </w:rPr>
        <w:t xml:space="preserve"> area waters</w:t>
      </w:r>
      <w:r>
        <w:t xml:space="preserve"> means any waters within the </w:t>
      </w:r>
      <w:smartTag w:uri="urn:schemas-microsoft-com:office:smarttags" w:element="place">
        <w:smartTag w:uri="urn:schemas-microsoft-com:office:smarttags" w:element="PlaceName">
          <w:r>
            <w:t>Ord</w:t>
          </w:r>
        </w:smartTag>
        <w:r>
          <w:t xml:space="preserve"> </w:t>
        </w:r>
        <w:smartTag w:uri="urn:schemas-microsoft-com:office:smarttags" w:element="PlaceType">
          <w:r>
            <w:t>River</w:t>
          </w:r>
        </w:smartTag>
      </w:smartTag>
      <w:r>
        <w:t xml:space="preserve"> area.</w:t>
      </w:r>
    </w:p>
    <w:p>
      <w:pPr>
        <w:pStyle w:val="Footnotesection"/>
        <w:spacing w:before="80"/>
        <w:ind w:left="890" w:hanging="890"/>
      </w:pPr>
      <w:r>
        <w:tab/>
        <w:t>[Regulation 64ZF inserted in Gazette 1 Oct 2003 p. 4324</w:t>
      </w:r>
      <w:r>
        <w:noBreakHyphen/>
        <w:t>5.]</w:t>
      </w:r>
    </w:p>
    <w:p>
      <w:pPr>
        <w:pStyle w:val="Heading5"/>
        <w:rPr>
          <w:snapToGrid w:val="0"/>
        </w:rPr>
      </w:pPr>
      <w:bookmarkStart w:id="2997" w:name="_Toc309309410"/>
      <w:r>
        <w:rPr>
          <w:rStyle w:val="CharSectno"/>
        </w:rPr>
        <w:t>64ZG</w:t>
      </w:r>
      <w:r>
        <w:rPr>
          <w:snapToGrid w:val="0"/>
        </w:rPr>
        <w:t>.</w:t>
      </w:r>
      <w:r>
        <w:rPr>
          <w:snapToGrid w:val="0"/>
        </w:rPr>
        <w:tab/>
        <w:t>Order River area waters, bag limit for barramundi</w:t>
      </w:r>
      <w:bookmarkEnd w:id="2997"/>
    </w:p>
    <w:p>
      <w:pPr>
        <w:pStyle w:val="Subsection"/>
        <w:spacing w:before="120"/>
        <w:rPr>
          <w:snapToGrid w:val="0"/>
        </w:rPr>
      </w:pPr>
      <w:r>
        <w:rPr>
          <w:snapToGrid w:val="0"/>
        </w:rPr>
        <w:tab/>
      </w:r>
      <w:r>
        <w:rPr>
          <w:snapToGrid w:val="0"/>
        </w:rPr>
        <w:tab/>
        <w:t xml:space="preserve">For the purposes of section 50 of the Act, the bag limit in respect of barramundi taken from the </w:t>
      </w:r>
      <w:smartTag w:uri="urn:schemas-microsoft-com:office:smarttags" w:element="place">
        <w:smartTag w:uri="urn:schemas-microsoft-com:office:smarttags" w:element="PlaceName">
          <w:r>
            <w:rPr>
              <w:snapToGrid w:val="0"/>
            </w:rPr>
            <w:t>Ord</w:t>
          </w:r>
        </w:smartTag>
        <w:r>
          <w:rPr>
            <w:snapToGrid w:val="0"/>
          </w:rPr>
          <w:t xml:space="preserve"> </w:t>
        </w:r>
        <w:smartTag w:uri="urn:schemas-microsoft-com:office:smarttags" w:element="PlaceType">
          <w:r>
            <w:rPr>
              <w:snapToGrid w:val="0"/>
            </w:rPr>
            <w:t>River</w:t>
          </w:r>
        </w:smartTag>
      </w:smartTag>
      <w:r>
        <w:rPr>
          <w:snapToGrid w:val="0"/>
        </w:rPr>
        <w:t xml:space="preserve"> area waters is one barramundi.</w:t>
      </w:r>
    </w:p>
    <w:p>
      <w:pPr>
        <w:pStyle w:val="Footnotesection"/>
        <w:spacing w:before="80"/>
        <w:ind w:left="890" w:hanging="890"/>
      </w:pPr>
      <w:r>
        <w:tab/>
        <w:t>[Regulation 64ZG inserted in Gazette 1 Oct 2003 p. 4325.]</w:t>
      </w:r>
    </w:p>
    <w:p>
      <w:pPr>
        <w:pStyle w:val="Heading4"/>
      </w:pPr>
      <w:bookmarkStart w:id="2998" w:name="_Toc189987979"/>
      <w:bookmarkStart w:id="2999" w:name="_Toc192041562"/>
      <w:bookmarkStart w:id="3000" w:name="_Toc199570796"/>
      <w:bookmarkStart w:id="3001" w:name="_Toc199738792"/>
      <w:bookmarkStart w:id="3002" w:name="_Toc199814893"/>
      <w:bookmarkStart w:id="3003" w:name="_Toc215040700"/>
      <w:bookmarkStart w:id="3004" w:name="_Toc215041145"/>
      <w:bookmarkStart w:id="3005" w:name="_Toc222129355"/>
      <w:bookmarkStart w:id="3006" w:name="_Toc222223060"/>
      <w:bookmarkStart w:id="3007" w:name="_Toc225914312"/>
      <w:bookmarkStart w:id="3008" w:name="_Toc231282357"/>
      <w:bookmarkStart w:id="3009" w:name="_Toc231282801"/>
      <w:bookmarkStart w:id="3010" w:name="_Toc234899388"/>
      <w:bookmarkStart w:id="3011" w:name="_Toc236632670"/>
      <w:bookmarkStart w:id="3012" w:name="_Toc236720283"/>
      <w:bookmarkStart w:id="3013" w:name="_Toc237764482"/>
      <w:bookmarkStart w:id="3014" w:name="_Toc238356106"/>
      <w:bookmarkStart w:id="3015" w:name="_Toc238368811"/>
      <w:bookmarkStart w:id="3016" w:name="_Toc238375764"/>
      <w:bookmarkStart w:id="3017" w:name="_Toc240339088"/>
      <w:bookmarkStart w:id="3018" w:name="_Toc241993594"/>
      <w:bookmarkStart w:id="3019" w:name="_Toc243192737"/>
      <w:bookmarkStart w:id="3020" w:name="_Toc243295439"/>
      <w:bookmarkStart w:id="3021" w:name="_Toc245113012"/>
      <w:bookmarkStart w:id="3022" w:name="_Toc245198174"/>
      <w:bookmarkStart w:id="3023" w:name="_Toc245198623"/>
      <w:bookmarkStart w:id="3024" w:name="_Toc245199072"/>
      <w:bookmarkStart w:id="3025" w:name="_Toc248122103"/>
      <w:bookmarkStart w:id="3026" w:name="_Toc248122554"/>
      <w:bookmarkStart w:id="3027" w:name="_Toc253670541"/>
      <w:bookmarkStart w:id="3028" w:name="_Toc253670991"/>
      <w:bookmarkStart w:id="3029" w:name="_Toc254942761"/>
      <w:bookmarkStart w:id="3030" w:name="_Toc254943214"/>
      <w:bookmarkStart w:id="3031" w:name="_Toc255475806"/>
      <w:bookmarkStart w:id="3032" w:name="_Toc256432127"/>
      <w:bookmarkStart w:id="3033" w:name="_Toc257720464"/>
      <w:bookmarkStart w:id="3034" w:name="_Toc257722146"/>
      <w:bookmarkStart w:id="3035" w:name="_Toc258335822"/>
      <w:bookmarkStart w:id="3036" w:name="_Toc260406264"/>
      <w:bookmarkStart w:id="3037" w:name="_Toc261271450"/>
      <w:bookmarkStart w:id="3038" w:name="_Toc262808132"/>
      <w:bookmarkStart w:id="3039" w:name="_Toc267572525"/>
      <w:bookmarkStart w:id="3040" w:name="_Toc270684274"/>
      <w:bookmarkStart w:id="3041" w:name="_Toc274214451"/>
      <w:bookmarkStart w:id="3042" w:name="_Toc274214900"/>
      <w:bookmarkStart w:id="3043" w:name="_Toc278976231"/>
      <w:bookmarkStart w:id="3044" w:name="_Toc286760554"/>
      <w:bookmarkStart w:id="3045" w:name="_Toc289080899"/>
      <w:bookmarkStart w:id="3046" w:name="_Toc290284093"/>
      <w:bookmarkStart w:id="3047" w:name="_Toc290642914"/>
      <w:bookmarkStart w:id="3048" w:name="_Toc290643363"/>
      <w:bookmarkStart w:id="3049" w:name="_Toc290643816"/>
      <w:bookmarkStart w:id="3050" w:name="_Toc294701633"/>
      <w:bookmarkStart w:id="3051" w:name="_Toc295200041"/>
      <w:bookmarkStart w:id="3052" w:name="_Toc296954482"/>
      <w:bookmarkStart w:id="3053" w:name="_Toc297276114"/>
      <w:bookmarkStart w:id="3054" w:name="_Toc297276566"/>
      <w:bookmarkStart w:id="3055" w:name="_Toc297277016"/>
      <w:bookmarkStart w:id="3056" w:name="_Toc297726385"/>
      <w:bookmarkStart w:id="3057" w:name="_Toc299980171"/>
      <w:bookmarkStart w:id="3058" w:name="_Toc300234797"/>
      <w:bookmarkStart w:id="3059" w:name="_Toc301961300"/>
      <w:bookmarkStart w:id="3060" w:name="_Toc301966870"/>
      <w:bookmarkStart w:id="3061" w:name="_Toc303253079"/>
      <w:bookmarkStart w:id="3062" w:name="_Toc303257243"/>
      <w:bookmarkStart w:id="3063" w:name="_Toc307992878"/>
      <w:bookmarkStart w:id="3064" w:name="_Toc309029911"/>
      <w:bookmarkStart w:id="3065" w:name="_Toc309304134"/>
      <w:bookmarkStart w:id="3066" w:name="_Toc309304587"/>
      <w:bookmarkStart w:id="3067" w:name="_Toc309309411"/>
      <w:r>
        <w:t>Subdivision 4 — Bag limit for marron in marron trophy waters</w:t>
      </w:r>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p>
    <w:p>
      <w:pPr>
        <w:pStyle w:val="Footnoteheading"/>
        <w:tabs>
          <w:tab w:val="left" w:pos="851"/>
        </w:tabs>
      </w:pPr>
      <w:r>
        <w:tab/>
        <w:t>[Heading inserted in Gazette 29 Dec 2006 p. 5891.]</w:t>
      </w:r>
    </w:p>
    <w:p>
      <w:pPr>
        <w:pStyle w:val="Heading5"/>
      </w:pPr>
      <w:bookmarkStart w:id="3068" w:name="_Toc309309412"/>
      <w:r>
        <w:rPr>
          <w:rStyle w:val="CharSectno"/>
        </w:rPr>
        <w:t>64ZH</w:t>
      </w:r>
      <w:r>
        <w:t>.</w:t>
      </w:r>
      <w:r>
        <w:tab/>
        <w:t>Marron trophy waters</w:t>
      </w:r>
      <w:r>
        <w:rPr>
          <w:snapToGrid w:val="0"/>
        </w:rPr>
        <w:t>, bag limit for marron</w:t>
      </w:r>
      <w:bookmarkEnd w:id="3068"/>
    </w:p>
    <w:p>
      <w:pPr>
        <w:pStyle w:val="Subsection"/>
      </w:pPr>
      <w:r>
        <w:tab/>
      </w:r>
      <w:r>
        <w:tab/>
        <w:t>For the purposes of section 50 of the Act, the bag limit in respect of marron taken from marron trophy waters is 5 marron.</w:t>
      </w:r>
    </w:p>
    <w:p>
      <w:pPr>
        <w:pStyle w:val="Footnotesection"/>
      </w:pPr>
      <w:r>
        <w:tab/>
        <w:t>[Regulation 64ZH inserted in Gazette 29 Dec 2006 p. 5891.]</w:t>
      </w:r>
    </w:p>
    <w:p>
      <w:pPr>
        <w:pStyle w:val="Ednotesubdivision"/>
      </w:pPr>
      <w:r>
        <w:t>[Subdivision 5 (r. 64ZI) deleted in Gazette 2 Nov 2011 p. 4624.]</w:t>
      </w:r>
    </w:p>
    <w:p>
      <w:pPr>
        <w:pStyle w:val="Heading4"/>
      </w:pPr>
      <w:bookmarkStart w:id="3069" w:name="_Toc189987983"/>
      <w:bookmarkStart w:id="3070" w:name="_Toc192041566"/>
      <w:bookmarkStart w:id="3071" w:name="_Toc199570800"/>
      <w:bookmarkStart w:id="3072" w:name="_Toc199738796"/>
      <w:bookmarkStart w:id="3073" w:name="_Toc199814897"/>
      <w:bookmarkStart w:id="3074" w:name="_Toc215040704"/>
      <w:bookmarkStart w:id="3075" w:name="_Toc215041149"/>
      <w:bookmarkStart w:id="3076" w:name="_Toc222129359"/>
      <w:bookmarkStart w:id="3077" w:name="_Toc222223064"/>
      <w:bookmarkStart w:id="3078" w:name="_Toc225914316"/>
      <w:bookmarkStart w:id="3079" w:name="_Toc231282361"/>
      <w:bookmarkStart w:id="3080" w:name="_Toc231282805"/>
      <w:bookmarkStart w:id="3081" w:name="_Toc234899392"/>
      <w:bookmarkStart w:id="3082" w:name="_Toc236632674"/>
      <w:bookmarkStart w:id="3083" w:name="_Toc236720287"/>
      <w:bookmarkStart w:id="3084" w:name="_Toc237764486"/>
      <w:bookmarkStart w:id="3085" w:name="_Toc238356110"/>
      <w:bookmarkStart w:id="3086" w:name="_Toc238368815"/>
      <w:bookmarkStart w:id="3087" w:name="_Toc238375768"/>
      <w:bookmarkStart w:id="3088" w:name="_Toc240339092"/>
      <w:bookmarkStart w:id="3089" w:name="_Toc241993598"/>
      <w:bookmarkStart w:id="3090" w:name="_Toc243192741"/>
      <w:bookmarkStart w:id="3091" w:name="_Toc243295443"/>
      <w:bookmarkStart w:id="3092" w:name="_Toc245113016"/>
      <w:bookmarkStart w:id="3093" w:name="_Toc245198178"/>
      <w:bookmarkStart w:id="3094" w:name="_Toc245198627"/>
      <w:bookmarkStart w:id="3095" w:name="_Toc245199076"/>
      <w:bookmarkStart w:id="3096" w:name="_Toc248122107"/>
      <w:bookmarkStart w:id="3097" w:name="_Toc248122558"/>
      <w:bookmarkStart w:id="3098" w:name="_Toc253670545"/>
      <w:bookmarkStart w:id="3099" w:name="_Toc253670995"/>
      <w:bookmarkStart w:id="3100" w:name="_Toc254942765"/>
      <w:bookmarkStart w:id="3101" w:name="_Toc254943218"/>
      <w:bookmarkStart w:id="3102" w:name="_Toc255475810"/>
      <w:bookmarkStart w:id="3103" w:name="_Toc256432131"/>
      <w:bookmarkStart w:id="3104" w:name="_Toc257720468"/>
      <w:bookmarkStart w:id="3105" w:name="_Toc257722150"/>
      <w:bookmarkStart w:id="3106" w:name="_Toc258335826"/>
      <w:bookmarkStart w:id="3107" w:name="_Toc260406268"/>
      <w:bookmarkStart w:id="3108" w:name="_Toc261271454"/>
      <w:bookmarkStart w:id="3109" w:name="_Toc262808136"/>
      <w:bookmarkStart w:id="3110" w:name="_Toc267572529"/>
      <w:bookmarkStart w:id="3111" w:name="_Toc270684278"/>
      <w:bookmarkStart w:id="3112" w:name="_Toc274214455"/>
      <w:bookmarkStart w:id="3113" w:name="_Toc274214904"/>
      <w:bookmarkStart w:id="3114" w:name="_Toc278976235"/>
      <w:bookmarkStart w:id="3115" w:name="_Toc286760558"/>
      <w:bookmarkStart w:id="3116" w:name="_Toc289080903"/>
      <w:bookmarkStart w:id="3117" w:name="_Toc290284097"/>
      <w:bookmarkStart w:id="3118" w:name="_Toc290642918"/>
      <w:bookmarkStart w:id="3119" w:name="_Toc290643367"/>
      <w:bookmarkStart w:id="3120" w:name="_Toc290643820"/>
      <w:bookmarkStart w:id="3121" w:name="_Toc294701637"/>
      <w:bookmarkStart w:id="3122" w:name="_Toc295200045"/>
      <w:bookmarkStart w:id="3123" w:name="_Toc296954486"/>
      <w:bookmarkStart w:id="3124" w:name="_Toc297276118"/>
      <w:bookmarkStart w:id="3125" w:name="_Toc297276570"/>
      <w:bookmarkStart w:id="3126" w:name="_Toc297277020"/>
      <w:bookmarkStart w:id="3127" w:name="_Toc297726389"/>
      <w:bookmarkStart w:id="3128" w:name="_Toc299980175"/>
      <w:bookmarkStart w:id="3129" w:name="_Toc300234801"/>
      <w:bookmarkStart w:id="3130" w:name="_Toc301961304"/>
      <w:bookmarkStart w:id="3131" w:name="_Toc301966874"/>
      <w:bookmarkStart w:id="3132" w:name="_Toc303253083"/>
      <w:bookmarkStart w:id="3133" w:name="_Toc303257247"/>
      <w:bookmarkStart w:id="3134" w:name="_Toc307992880"/>
      <w:bookmarkStart w:id="3135" w:name="_Toc309029913"/>
      <w:bookmarkStart w:id="3136" w:name="_Toc309304136"/>
      <w:bookmarkStart w:id="3137" w:name="_Toc309304589"/>
      <w:bookmarkStart w:id="3138" w:name="_Toc309309413"/>
      <w:r>
        <w:t>Subdivision 6 — Bag limit for barramundi in the Broome area</w:t>
      </w:r>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p>
    <w:p>
      <w:pPr>
        <w:pStyle w:val="Footnoteheading"/>
        <w:tabs>
          <w:tab w:val="left" w:pos="851"/>
        </w:tabs>
      </w:pPr>
      <w:r>
        <w:tab/>
        <w:t>[Heading inserted in Gazette 1 Oct 2003 p. 4326.]</w:t>
      </w:r>
    </w:p>
    <w:p>
      <w:pPr>
        <w:pStyle w:val="Heading5"/>
      </w:pPr>
      <w:bookmarkStart w:id="3139" w:name="_Toc309309414"/>
      <w:r>
        <w:rPr>
          <w:rStyle w:val="CharSectno"/>
        </w:rPr>
        <w:t>64ZJ</w:t>
      </w:r>
      <w:r>
        <w:t>.</w:t>
      </w:r>
      <w:r>
        <w:tab/>
        <w:t>Terms used</w:t>
      </w:r>
      <w:bookmarkEnd w:id="3139"/>
    </w:p>
    <w:p>
      <w:pPr>
        <w:pStyle w:val="Subsection"/>
        <w:rPr>
          <w:snapToGrid w:val="0"/>
        </w:rPr>
      </w:pPr>
      <w:r>
        <w:tab/>
      </w:r>
      <w:r>
        <w:tab/>
      </w:r>
      <w:r>
        <w:rPr>
          <w:snapToGrid w:val="0"/>
        </w:rPr>
        <w:t>In this Subdivision —</w:t>
      </w:r>
    </w:p>
    <w:p>
      <w:pPr>
        <w:pStyle w:val="Defstart"/>
      </w:pPr>
      <w:r>
        <w:tab/>
      </w:r>
      <w:r>
        <w:rPr>
          <w:rStyle w:val="CharDefText"/>
        </w:rPr>
        <w:t>Broome area</w:t>
      </w:r>
      <w:r>
        <w:t xml:space="preserve"> means all land and waters and the waters off the coast of Western Australia west of 123° 08.23′ east longitude passing through Cunningham Point and north of 19</w:t>
      </w:r>
      <w:r>
        <w:sym w:font="Symbol" w:char="F0B0"/>
      </w:r>
      <w:r>
        <w:t> south latitude;</w:t>
      </w:r>
    </w:p>
    <w:p>
      <w:pPr>
        <w:pStyle w:val="Defstart"/>
      </w:pPr>
      <w:r>
        <w:tab/>
      </w:r>
      <w:r>
        <w:rPr>
          <w:rStyle w:val="CharDefText"/>
        </w:rPr>
        <w:t>Broome area waters</w:t>
      </w:r>
      <w:r>
        <w:t xml:space="preserve"> means any waters within the Broome area.</w:t>
      </w:r>
    </w:p>
    <w:p>
      <w:pPr>
        <w:pStyle w:val="Footnotesection"/>
      </w:pPr>
      <w:r>
        <w:tab/>
        <w:t>[Regulation 64ZJ inserted in Gazette 1 Oct 2003 p. 4326; amended in Gazette 31 Oct 2003 p. 4562.]</w:t>
      </w:r>
    </w:p>
    <w:p>
      <w:pPr>
        <w:pStyle w:val="Heading5"/>
        <w:rPr>
          <w:snapToGrid w:val="0"/>
        </w:rPr>
      </w:pPr>
      <w:bookmarkStart w:id="3140" w:name="_Toc309309415"/>
      <w:r>
        <w:rPr>
          <w:rStyle w:val="CharSectno"/>
        </w:rPr>
        <w:t>64ZK</w:t>
      </w:r>
      <w:r>
        <w:t>.</w:t>
      </w:r>
      <w:r>
        <w:tab/>
      </w:r>
      <w:r>
        <w:rPr>
          <w:snapToGrid w:val="0"/>
        </w:rPr>
        <w:t>Broome area waters, bag limit for barramundi</w:t>
      </w:r>
      <w:bookmarkEnd w:id="3140"/>
    </w:p>
    <w:p>
      <w:pPr>
        <w:pStyle w:val="Subsection"/>
        <w:rPr>
          <w:snapToGrid w:val="0"/>
        </w:rPr>
      </w:pPr>
      <w:r>
        <w:tab/>
      </w:r>
      <w:r>
        <w:tab/>
      </w:r>
      <w:r>
        <w:rPr>
          <w:snapToGrid w:val="0"/>
        </w:rPr>
        <w:t>For the purposes of section 50 of the Act, the bag limit in respect of barramundi taken from the Broome area waters is one barramundi.</w:t>
      </w:r>
    </w:p>
    <w:p>
      <w:pPr>
        <w:pStyle w:val="Footnotesection"/>
      </w:pPr>
      <w:r>
        <w:tab/>
        <w:t>[Regulation 64ZK inserted in Gazette 1 Oct 2003 p. 4327.]</w:t>
      </w:r>
    </w:p>
    <w:p>
      <w:pPr>
        <w:pStyle w:val="Ednotesubdivision"/>
      </w:pPr>
      <w:r>
        <w:t>[Subdivision 7 deleted in Gazette 29 Dec 2006 p. 5891.]</w:t>
      </w:r>
    </w:p>
    <w:p>
      <w:pPr>
        <w:pStyle w:val="Ednotedivision"/>
      </w:pPr>
      <w:bookmarkStart w:id="3141" w:name="_Toc189987986"/>
      <w:bookmarkStart w:id="3142" w:name="_Toc192041569"/>
      <w:bookmarkStart w:id="3143" w:name="_Toc199570803"/>
      <w:bookmarkStart w:id="3144" w:name="_Toc199738801"/>
      <w:bookmarkStart w:id="3145" w:name="_Toc199814902"/>
      <w:bookmarkStart w:id="3146" w:name="_Toc215040709"/>
      <w:bookmarkStart w:id="3147" w:name="_Toc215041154"/>
      <w:r>
        <w:t>[Division 4 (r. 64ZL) deleted in Gazette 3 Feb 2009 p. 227.]</w:t>
      </w:r>
    </w:p>
    <w:p>
      <w:pPr>
        <w:pStyle w:val="Heading2"/>
      </w:pPr>
      <w:bookmarkStart w:id="3148" w:name="_Toc222129362"/>
      <w:bookmarkStart w:id="3149" w:name="_Toc222223067"/>
      <w:bookmarkStart w:id="3150" w:name="_Toc225914319"/>
      <w:bookmarkStart w:id="3151" w:name="_Toc231282364"/>
      <w:bookmarkStart w:id="3152" w:name="_Toc231282808"/>
      <w:bookmarkStart w:id="3153" w:name="_Toc234899395"/>
      <w:bookmarkStart w:id="3154" w:name="_Toc236632677"/>
      <w:bookmarkStart w:id="3155" w:name="_Toc236720290"/>
      <w:bookmarkStart w:id="3156" w:name="_Toc237764489"/>
      <w:bookmarkStart w:id="3157" w:name="_Toc238356113"/>
      <w:bookmarkStart w:id="3158" w:name="_Toc238368818"/>
      <w:bookmarkStart w:id="3159" w:name="_Toc238375771"/>
      <w:bookmarkStart w:id="3160" w:name="_Toc240339095"/>
      <w:bookmarkStart w:id="3161" w:name="_Toc241993601"/>
      <w:bookmarkStart w:id="3162" w:name="_Toc243192744"/>
      <w:bookmarkStart w:id="3163" w:name="_Toc243295446"/>
      <w:bookmarkStart w:id="3164" w:name="_Toc245113019"/>
      <w:bookmarkStart w:id="3165" w:name="_Toc245198181"/>
      <w:bookmarkStart w:id="3166" w:name="_Toc245198630"/>
      <w:bookmarkStart w:id="3167" w:name="_Toc245199079"/>
      <w:bookmarkStart w:id="3168" w:name="_Toc248122110"/>
      <w:bookmarkStart w:id="3169" w:name="_Toc248122561"/>
      <w:bookmarkStart w:id="3170" w:name="_Toc253670548"/>
      <w:bookmarkStart w:id="3171" w:name="_Toc253670998"/>
      <w:bookmarkStart w:id="3172" w:name="_Toc254942768"/>
      <w:bookmarkStart w:id="3173" w:name="_Toc254943221"/>
      <w:bookmarkStart w:id="3174" w:name="_Toc255475813"/>
      <w:bookmarkStart w:id="3175" w:name="_Toc256432134"/>
      <w:bookmarkStart w:id="3176" w:name="_Toc257720471"/>
      <w:bookmarkStart w:id="3177" w:name="_Toc257722153"/>
      <w:bookmarkStart w:id="3178" w:name="_Toc258335829"/>
      <w:bookmarkStart w:id="3179" w:name="_Toc260406271"/>
      <w:bookmarkStart w:id="3180" w:name="_Toc261271457"/>
      <w:bookmarkStart w:id="3181" w:name="_Toc262808139"/>
      <w:bookmarkStart w:id="3182" w:name="_Toc267572532"/>
      <w:bookmarkStart w:id="3183" w:name="_Toc270684281"/>
      <w:bookmarkStart w:id="3184" w:name="_Toc274214458"/>
      <w:bookmarkStart w:id="3185" w:name="_Toc274214907"/>
      <w:bookmarkStart w:id="3186" w:name="_Toc278976238"/>
      <w:bookmarkStart w:id="3187" w:name="_Toc286760561"/>
      <w:bookmarkStart w:id="3188" w:name="_Toc289080906"/>
      <w:bookmarkStart w:id="3189" w:name="_Toc290284100"/>
      <w:bookmarkStart w:id="3190" w:name="_Toc290642921"/>
      <w:bookmarkStart w:id="3191" w:name="_Toc290643370"/>
      <w:bookmarkStart w:id="3192" w:name="_Toc290643823"/>
      <w:bookmarkStart w:id="3193" w:name="_Toc294701640"/>
      <w:bookmarkStart w:id="3194" w:name="_Toc295200048"/>
      <w:bookmarkStart w:id="3195" w:name="_Toc296954489"/>
      <w:bookmarkStart w:id="3196" w:name="_Toc297276121"/>
      <w:bookmarkStart w:id="3197" w:name="_Toc297276573"/>
      <w:bookmarkStart w:id="3198" w:name="_Toc297277023"/>
      <w:bookmarkStart w:id="3199" w:name="_Toc297726392"/>
      <w:bookmarkStart w:id="3200" w:name="_Toc299980178"/>
      <w:bookmarkStart w:id="3201" w:name="_Toc300234804"/>
      <w:bookmarkStart w:id="3202" w:name="_Toc301961307"/>
      <w:bookmarkStart w:id="3203" w:name="_Toc301966877"/>
      <w:bookmarkStart w:id="3204" w:name="_Toc303253086"/>
      <w:bookmarkStart w:id="3205" w:name="_Toc303257250"/>
      <w:bookmarkStart w:id="3206" w:name="_Toc307992883"/>
      <w:bookmarkStart w:id="3207" w:name="_Toc309029916"/>
      <w:bookmarkStart w:id="3208" w:name="_Toc309304139"/>
      <w:bookmarkStart w:id="3209" w:name="_Toc309304592"/>
      <w:bookmarkStart w:id="3210" w:name="_Toc309309416"/>
      <w:r>
        <w:rPr>
          <w:rStyle w:val="CharPartNo"/>
        </w:rPr>
        <w:t>Part 5</w:t>
      </w:r>
      <w:r>
        <w:rPr>
          <w:rStyle w:val="CharDivNo"/>
        </w:rPr>
        <w:t> </w:t>
      </w:r>
      <w:r>
        <w:t>—</w:t>
      </w:r>
      <w:r>
        <w:rPr>
          <w:rStyle w:val="CharDivText"/>
        </w:rPr>
        <w:t> </w:t>
      </w:r>
      <w:r>
        <w:rPr>
          <w:rStyle w:val="CharPartText"/>
        </w:rPr>
        <w:t>Fish processing</w:t>
      </w:r>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p>
    <w:p>
      <w:pPr>
        <w:pStyle w:val="Heading5"/>
        <w:rPr>
          <w:snapToGrid w:val="0"/>
        </w:rPr>
      </w:pPr>
      <w:bookmarkStart w:id="3211" w:name="_Toc309309417"/>
      <w:r>
        <w:rPr>
          <w:rStyle w:val="CharSectno"/>
        </w:rPr>
        <w:t>65</w:t>
      </w:r>
      <w:r>
        <w:rPr>
          <w:snapToGrid w:val="0"/>
        </w:rPr>
        <w:t>.</w:t>
      </w:r>
      <w:r>
        <w:rPr>
          <w:snapToGrid w:val="0"/>
        </w:rPr>
        <w:tab/>
        <w:t>Classes of fish prescribed (Act s. 82(2)(a))</w:t>
      </w:r>
      <w:bookmarkEnd w:id="3211"/>
    </w:p>
    <w:p>
      <w:pPr>
        <w:pStyle w:val="Subsection"/>
        <w:rPr>
          <w:snapToGrid w:val="0"/>
        </w:rPr>
      </w:pPr>
      <w:r>
        <w:rPr>
          <w:snapToGrid w:val="0"/>
        </w:rPr>
        <w:tab/>
      </w:r>
      <w:r>
        <w:rPr>
          <w:snapToGrid w:val="0"/>
        </w:rPr>
        <w:tab/>
        <w:t>For the purposes of section 82(2)(a) of the Act fish of a prescribed class are —</w:t>
      </w:r>
    </w:p>
    <w:p>
      <w:pPr>
        <w:pStyle w:val="Indenta"/>
        <w:rPr>
          <w:snapToGrid w:val="0"/>
        </w:rPr>
      </w:pPr>
      <w:r>
        <w:rPr>
          <w:snapToGrid w:val="0"/>
        </w:rPr>
        <w:tab/>
        <w:t>(a)</w:t>
      </w:r>
      <w:r>
        <w:rPr>
          <w:snapToGrid w:val="0"/>
        </w:rPr>
        <w:tab/>
        <w:t>rock lobsters; and</w:t>
      </w:r>
    </w:p>
    <w:p>
      <w:pPr>
        <w:pStyle w:val="Indenta"/>
        <w:rPr>
          <w:snapToGrid w:val="0"/>
        </w:rPr>
      </w:pPr>
      <w:r>
        <w:rPr>
          <w:snapToGrid w:val="0"/>
        </w:rPr>
        <w:tab/>
        <w:t>(b)</w:t>
      </w:r>
      <w:r>
        <w:rPr>
          <w:snapToGrid w:val="0"/>
        </w:rPr>
        <w:tab/>
        <w:t>prawns; and</w:t>
      </w:r>
    </w:p>
    <w:p>
      <w:pPr>
        <w:pStyle w:val="Indenta"/>
        <w:rPr>
          <w:snapToGrid w:val="0"/>
        </w:rPr>
      </w:pPr>
      <w:r>
        <w:rPr>
          <w:snapToGrid w:val="0"/>
        </w:rPr>
        <w:tab/>
        <w:t>(c)</w:t>
      </w:r>
      <w:r>
        <w:rPr>
          <w:snapToGrid w:val="0"/>
        </w:rPr>
        <w:tab/>
        <w:t>scallops.</w:t>
      </w:r>
    </w:p>
    <w:p>
      <w:pPr>
        <w:pStyle w:val="Heading5"/>
      </w:pPr>
      <w:bookmarkStart w:id="3212" w:name="_Toc309309418"/>
      <w:r>
        <w:rPr>
          <w:rStyle w:val="CharSectno"/>
        </w:rPr>
        <w:t>66</w:t>
      </w:r>
      <w:r>
        <w:t>.</w:t>
      </w:r>
      <w:r>
        <w:tab/>
        <w:t>Fish processor’s licences, conditions of</w:t>
      </w:r>
      <w:bookmarkEnd w:id="3212"/>
    </w:p>
    <w:p>
      <w:pPr>
        <w:pStyle w:val="Subsection"/>
        <w:rPr>
          <w:snapToGrid w:val="0"/>
        </w:rPr>
      </w:pPr>
      <w:r>
        <w:rPr>
          <w:snapToGrid w:val="0"/>
        </w:rPr>
        <w:tab/>
      </w:r>
      <w:r>
        <w:rPr>
          <w:snapToGrid w:val="0"/>
        </w:rPr>
        <w:tab/>
        <w:t>A fish processor’s licence is subject to the following conditions —</w:t>
      </w:r>
    </w:p>
    <w:p>
      <w:pPr>
        <w:pStyle w:val="Indenta"/>
        <w:rPr>
          <w:snapToGrid w:val="0"/>
        </w:rPr>
      </w:pPr>
      <w:r>
        <w:rPr>
          <w:snapToGrid w:val="0"/>
        </w:rPr>
        <w:tab/>
        <w:t>(a)</w:t>
      </w:r>
      <w:r>
        <w:rPr>
          <w:snapToGrid w:val="0"/>
        </w:rPr>
        <w:tab/>
        <w:t>the holder of the licence —</w:t>
      </w:r>
    </w:p>
    <w:p>
      <w:pPr>
        <w:pStyle w:val="Indenti"/>
        <w:rPr>
          <w:snapToGrid w:val="0"/>
        </w:rPr>
      </w:pPr>
      <w:r>
        <w:rPr>
          <w:snapToGrid w:val="0"/>
        </w:rPr>
        <w:tab/>
        <w:t>(i)</w:t>
      </w:r>
      <w:r>
        <w:rPr>
          <w:snapToGrid w:val="0"/>
        </w:rPr>
        <w:tab/>
        <w:t>must not receive or purchase marron;</w:t>
      </w:r>
    </w:p>
    <w:p>
      <w:pPr>
        <w:pStyle w:val="Indenti"/>
        <w:rPr>
          <w:snapToGrid w:val="0"/>
        </w:rPr>
      </w:pPr>
      <w:r>
        <w:rPr>
          <w:snapToGrid w:val="0"/>
        </w:rPr>
        <w:tab/>
        <w:t>(ii)</w:t>
      </w:r>
      <w:r>
        <w:rPr>
          <w:snapToGrid w:val="0"/>
        </w:rPr>
        <w:tab/>
        <w:t>must ensure that marron is not brought onto the place specified in the licence as the place at which the fish are to be processed under the licence,</w:t>
      </w:r>
    </w:p>
    <w:p>
      <w:pPr>
        <w:pStyle w:val="Indenta"/>
        <w:rPr>
          <w:snapToGrid w:val="0"/>
        </w:rPr>
      </w:pPr>
      <w:r>
        <w:rPr>
          <w:snapToGrid w:val="0"/>
        </w:rPr>
        <w:tab/>
      </w:r>
      <w:r>
        <w:rPr>
          <w:snapToGrid w:val="0"/>
        </w:rPr>
        <w:tab/>
        <w:t>unless the licence authorises the processing of marron and the marron are sold by the holder of an aquaculture licence and the consignment note referred to in regulation 69(c) is securely attached to the marron or to the receptacle, container or package containing the marron;</w:t>
      </w:r>
    </w:p>
    <w:p>
      <w:pPr>
        <w:pStyle w:val="Indenta"/>
        <w:rPr>
          <w:snapToGrid w:val="0"/>
        </w:rPr>
      </w:pPr>
      <w:r>
        <w:rPr>
          <w:snapToGrid w:val="0"/>
        </w:rPr>
        <w:tab/>
        <w:t>(b)</w:t>
      </w:r>
      <w:r>
        <w:rPr>
          <w:snapToGrid w:val="0"/>
        </w:rPr>
        <w:tab/>
        <w:t>the holder of the licence is to ensure that a consignment note referred to in paragraph (a) is retained at the place at which fish are to be processed under the licence;</w:t>
      </w:r>
    </w:p>
    <w:p>
      <w:pPr>
        <w:pStyle w:val="Indenta"/>
        <w:rPr>
          <w:snapToGrid w:val="0"/>
        </w:rPr>
      </w:pPr>
      <w:r>
        <w:rPr>
          <w:snapToGrid w:val="0"/>
        </w:rPr>
        <w:tab/>
        <w:t>(c)</w:t>
      </w:r>
      <w:r>
        <w:rPr>
          <w:snapToGrid w:val="0"/>
        </w:rPr>
        <w:tab/>
        <w:t>the holder of the licence must not purchase fish (other than fish lawfully taken outside WA waters) to process from any person other than the holder of a commercial fishing licence, a fish processor’s licence, or an aquaculture licence;</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fish processing is carried on under the licence is or may be affected by —</w:t>
      </w:r>
    </w:p>
    <w:p>
      <w:pPr>
        <w:pStyle w:val="Indenti"/>
        <w:rPr>
          <w:snapToGrid w:val="0"/>
        </w:rPr>
      </w:pPr>
      <w:r>
        <w:rPr>
          <w:snapToGrid w:val="0"/>
        </w:rPr>
        <w:tab/>
        <w:t>(i)</w:t>
      </w:r>
      <w:r>
        <w:rPr>
          <w:snapToGrid w:val="0"/>
        </w:rPr>
        <w:tab/>
        <w:t xml:space="preserve">any disease specified in Schedule 1 to the </w:t>
      </w:r>
      <w:r>
        <w:rPr>
          <w:i/>
          <w:snapToGrid w:val="0"/>
        </w:rPr>
        <w:t>Enzootic Diseases Regulations 1970</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fish processing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fish processing is carried on under the licence;</w:t>
      </w:r>
    </w:p>
    <w:p>
      <w:pPr>
        <w:pStyle w:val="Indenta"/>
        <w:rPr>
          <w:snapToGrid w:val="0"/>
        </w:rPr>
      </w:pPr>
      <w:r>
        <w:rPr>
          <w:snapToGrid w:val="0"/>
        </w:rPr>
        <w:tab/>
        <w:t>(g)</w:t>
      </w:r>
      <w:r>
        <w:rPr>
          <w:snapToGrid w:val="0"/>
        </w:rPr>
        <w:tab/>
        <w:t>where the holder of the licence is aware or suspects that fish at the place where fish processing is carried on under the licence are affected by any disease or condition, that person must ensure that no water is discharged from the place to a natural waterway without the prior written approval of the CEO;</w:t>
      </w:r>
    </w:p>
    <w:p>
      <w:pPr>
        <w:pStyle w:val="Indenta"/>
        <w:rPr>
          <w:snapToGrid w:val="0"/>
        </w:rPr>
      </w:pPr>
      <w:r>
        <w:rPr>
          <w:snapToGrid w:val="0"/>
        </w:rPr>
        <w:tab/>
        <w:t>(h)</w:t>
      </w:r>
      <w:r>
        <w:rPr>
          <w:snapToGrid w:val="0"/>
        </w:rPr>
        <w:tab/>
        <w:t>the holder of the licence must cause to be kept, at the place specified in the licence as the place at which fish may be processed under the licence, written records of all fish processed at the place and of the business carried on at that place.</w:t>
      </w:r>
    </w:p>
    <w:p>
      <w:pPr>
        <w:pStyle w:val="Footnotesection"/>
        <w:ind w:left="890" w:hanging="890"/>
      </w:pPr>
      <w:r>
        <w:tab/>
        <w:t>[Regulation 66 amended in Gazette 6 Jul 2007 p. 3389.]</w:t>
      </w:r>
    </w:p>
    <w:p>
      <w:pPr>
        <w:pStyle w:val="Heading2"/>
      </w:pPr>
      <w:bookmarkStart w:id="3213" w:name="_Toc189987989"/>
      <w:bookmarkStart w:id="3214" w:name="_Toc192041572"/>
      <w:bookmarkStart w:id="3215" w:name="_Toc199570806"/>
      <w:bookmarkStart w:id="3216" w:name="_Toc199738804"/>
      <w:bookmarkStart w:id="3217" w:name="_Toc199814905"/>
      <w:bookmarkStart w:id="3218" w:name="_Toc215040712"/>
      <w:bookmarkStart w:id="3219" w:name="_Toc215041157"/>
      <w:bookmarkStart w:id="3220" w:name="_Toc222129365"/>
      <w:bookmarkStart w:id="3221" w:name="_Toc222223070"/>
      <w:bookmarkStart w:id="3222" w:name="_Toc225914322"/>
      <w:bookmarkStart w:id="3223" w:name="_Toc231282367"/>
      <w:bookmarkStart w:id="3224" w:name="_Toc231282811"/>
      <w:bookmarkStart w:id="3225" w:name="_Toc234899398"/>
      <w:bookmarkStart w:id="3226" w:name="_Toc236632680"/>
      <w:bookmarkStart w:id="3227" w:name="_Toc236720293"/>
      <w:bookmarkStart w:id="3228" w:name="_Toc237764492"/>
      <w:bookmarkStart w:id="3229" w:name="_Toc238356116"/>
      <w:bookmarkStart w:id="3230" w:name="_Toc238368821"/>
      <w:bookmarkStart w:id="3231" w:name="_Toc238375774"/>
      <w:bookmarkStart w:id="3232" w:name="_Toc240339098"/>
      <w:bookmarkStart w:id="3233" w:name="_Toc241993604"/>
      <w:bookmarkStart w:id="3234" w:name="_Toc243192747"/>
      <w:bookmarkStart w:id="3235" w:name="_Toc243295449"/>
      <w:bookmarkStart w:id="3236" w:name="_Toc245113022"/>
      <w:bookmarkStart w:id="3237" w:name="_Toc245198184"/>
      <w:bookmarkStart w:id="3238" w:name="_Toc245198633"/>
      <w:bookmarkStart w:id="3239" w:name="_Toc245199082"/>
      <w:bookmarkStart w:id="3240" w:name="_Toc248122113"/>
      <w:bookmarkStart w:id="3241" w:name="_Toc248122564"/>
      <w:bookmarkStart w:id="3242" w:name="_Toc253670551"/>
      <w:bookmarkStart w:id="3243" w:name="_Toc253671001"/>
      <w:bookmarkStart w:id="3244" w:name="_Toc254942771"/>
      <w:bookmarkStart w:id="3245" w:name="_Toc254943224"/>
      <w:bookmarkStart w:id="3246" w:name="_Toc255475816"/>
      <w:bookmarkStart w:id="3247" w:name="_Toc256432137"/>
      <w:bookmarkStart w:id="3248" w:name="_Toc257720474"/>
      <w:bookmarkStart w:id="3249" w:name="_Toc257722156"/>
      <w:bookmarkStart w:id="3250" w:name="_Toc258335832"/>
      <w:bookmarkStart w:id="3251" w:name="_Toc260406274"/>
      <w:bookmarkStart w:id="3252" w:name="_Toc261271460"/>
      <w:bookmarkStart w:id="3253" w:name="_Toc262808142"/>
      <w:bookmarkStart w:id="3254" w:name="_Toc267572535"/>
      <w:bookmarkStart w:id="3255" w:name="_Toc270684284"/>
      <w:bookmarkStart w:id="3256" w:name="_Toc274214461"/>
      <w:bookmarkStart w:id="3257" w:name="_Toc274214910"/>
      <w:bookmarkStart w:id="3258" w:name="_Toc278976241"/>
      <w:bookmarkStart w:id="3259" w:name="_Toc286760564"/>
      <w:bookmarkStart w:id="3260" w:name="_Toc289080909"/>
      <w:bookmarkStart w:id="3261" w:name="_Toc290284103"/>
      <w:bookmarkStart w:id="3262" w:name="_Toc290642924"/>
      <w:bookmarkStart w:id="3263" w:name="_Toc290643373"/>
      <w:bookmarkStart w:id="3264" w:name="_Toc290643826"/>
      <w:bookmarkStart w:id="3265" w:name="_Toc294701643"/>
      <w:bookmarkStart w:id="3266" w:name="_Toc295200051"/>
      <w:bookmarkStart w:id="3267" w:name="_Toc296954492"/>
      <w:bookmarkStart w:id="3268" w:name="_Toc297276124"/>
      <w:bookmarkStart w:id="3269" w:name="_Toc297276576"/>
      <w:bookmarkStart w:id="3270" w:name="_Toc297277026"/>
      <w:bookmarkStart w:id="3271" w:name="_Toc297726395"/>
      <w:bookmarkStart w:id="3272" w:name="_Toc299980181"/>
      <w:bookmarkStart w:id="3273" w:name="_Toc300234807"/>
      <w:bookmarkStart w:id="3274" w:name="_Toc301961310"/>
      <w:bookmarkStart w:id="3275" w:name="_Toc301966880"/>
      <w:bookmarkStart w:id="3276" w:name="_Toc303253089"/>
      <w:bookmarkStart w:id="3277" w:name="_Toc303257253"/>
      <w:bookmarkStart w:id="3278" w:name="_Toc307992886"/>
      <w:bookmarkStart w:id="3279" w:name="_Toc309029919"/>
      <w:bookmarkStart w:id="3280" w:name="_Toc309304142"/>
      <w:bookmarkStart w:id="3281" w:name="_Toc309304595"/>
      <w:bookmarkStart w:id="3282" w:name="_Toc309309419"/>
      <w:r>
        <w:rPr>
          <w:rStyle w:val="CharPartNo"/>
        </w:rPr>
        <w:t>Part 6</w:t>
      </w:r>
      <w:r>
        <w:rPr>
          <w:rStyle w:val="CharDivNo"/>
        </w:rPr>
        <w:t> </w:t>
      </w:r>
      <w:r>
        <w:t>—</w:t>
      </w:r>
      <w:r>
        <w:rPr>
          <w:rStyle w:val="CharDivText"/>
        </w:rPr>
        <w:t> </w:t>
      </w:r>
      <w:r>
        <w:rPr>
          <w:rStyle w:val="CharPartText"/>
        </w:rPr>
        <w:t>Aquaculture</w:t>
      </w:r>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p>
    <w:p>
      <w:pPr>
        <w:pStyle w:val="Heading5"/>
        <w:rPr>
          <w:snapToGrid w:val="0"/>
        </w:rPr>
      </w:pPr>
      <w:bookmarkStart w:id="3283" w:name="_Toc309309420"/>
      <w:r>
        <w:rPr>
          <w:rStyle w:val="CharSectno"/>
        </w:rPr>
        <w:t>67</w:t>
      </w:r>
      <w:r>
        <w:rPr>
          <w:snapToGrid w:val="0"/>
        </w:rPr>
        <w:t>.</w:t>
      </w:r>
      <w:r>
        <w:rPr>
          <w:snapToGrid w:val="0"/>
        </w:rPr>
        <w:tab/>
        <w:t>Aquaculture leases, application for</w:t>
      </w:r>
      <w:bookmarkEnd w:id="3283"/>
    </w:p>
    <w:p>
      <w:pPr>
        <w:pStyle w:val="Subsection"/>
        <w:rPr>
          <w:snapToGrid w:val="0"/>
        </w:rPr>
      </w:pPr>
      <w:r>
        <w:rPr>
          <w:snapToGrid w:val="0"/>
        </w:rPr>
        <w:tab/>
        <w:t>(1)</w:t>
      </w:r>
      <w:r>
        <w:rPr>
          <w:snapToGrid w:val="0"/>
        </w:rPr>
        <w:tab/>
        <w:t>An application for the grant or renewal of an aquaculture lease must be —</w:t>
      </w:r>
    </w:p>
    <w:p>
      <w:pPr>
        <w:pStyle w:val="Indenta"/>
        <w:rPr>
          <w:snapToGrid w:val="0"/>
        </w:rPr>
      </w:pPr>
      <w:r>
        <w:rPr>
          <w:snapToGrid w:val="0"/>
        </w:rPr>
        <w:tab/>
        <w:t>(a)</w:t>
      </w:r>
      <w:r>
        <w:rPr>
          <w:snapToGrid w:val="0"/>
        </w:rPr>
        <w:tab/>
        <w:t>made to the Minister in a form approved for that purpose by the CEO; and</w:t>
      </w:r>
    </w:p>
    <w:p>
      <w:pPr>
        <w:pStyle w:val="Indenta"/>
        <w:rPr>
          <w:snapToGrid w:val="0"/>
        </w:rPr>
      </w:pPr>
      <w:r>
        <w:rPr>
          <w:snapToGrid w:val="0"/>
        </w:rPr>
        <w:tab/>
        <w:t>(b)</w:t>
      </w:r>
      <w:r>
        <w:rPr>
          <w:snapToGrid w:val="0"/>
        </w:rPr>
        <w:tab/>
        <w:t>accompanied by the fee set out in item 10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[Regulation 67 amended in Gazette 6 Jul 2007 p. 3389.]</w:t>
      </w:r>
    </w:p>
    <w:p>
      <w:pPr>
        <w:pStyle w:val="Heading5"/>
        <w:rPr>
          <w:snapToGrid w:val="0"/>
        </w:rPr>
      </w:pPr>
      <w:bookmarkStart w:id="3284" w:name="_Toc309309421"/>
      <w:r>
        <w:rPr>
          <w:rStyle w:val="CharSectno"/>
        </w:rPr>
        <w:t>68</w:t>
      </w:r>
      <w:r>
        <w:rPr>
          <w:snapToGrid w:val="0"/>
        </w:rPr>
        <w:t>.</w:t>
      </w:r>
      <w:r>
        <w:rPr>
          <w:snapToGrid w:val="0"/>
        </w:rPr>
        <w:tab/>
        <w:t>Classes of fish etc. prescribed (Act s. 91)</w:t>
      </w:r>
      <w:bookmarkEnd w:id="3284"/>
    </w:p>
    <w:p>
      <w:pPr>
        <w:pStyle w:val="Subsection"/>
        <w:rPr>
          <w:snapToGrid w:val="0"/>
        </w:rPr>
      </w:pPr>
      <w:r>
        <w:rPr>
          <w:snapToGrid w:val="0"/>
        </w:rPr>
        <w:tab/>
        <w:t>(1)</w:t>
      </w:r>
      <w:r>
        <w:rPr>
          <w:snapToGrid w:val="0"/>
        </w:rPr>
        <w:tab/>
        <w:t>Fish of the following specified classes for the following specified purposes or areas are prescribed for the purpose of section 91(a) of the Act —</w:t>
      </w:r>
    </w:p>
    <w:p>
      <w:pPr>
        <w:pStyle w:val="Indenta"/>
        <w:rPr>
          <w:snapToGrid w:val="0"/>
        </w:rPr>
      </w:pPr>
      <w:r>
        <w:rPr>
          <w:snapToGrid w:val="0"/>
        </w:rPr>
        <w:tab/>
        <w:t>(a)</w:t>
      </w:r>
      <w:r>
        <w:rPr>
          <w:snapToGrid w:val="0"/>
        </w:rPr>
        <w:tab/>
        <w:t>all fish in respect of all non</w:t>
      </w:r>
      <w:r>
        <w:rPr>
          <w:snapToGrid w:val="0"/>
        </w:rPr>
        <w:noBreakHyphen/>
        <w:t>commercial purposes; and</w:t>
      </w:r>
    </w:p>
    <w:p>
      <w:pPr>
        <w:pStyle w:val="Indenta"/>
        <w:rPr>
          <w:snapToGrid w:val="0"/>
        </w:rPr>
      </w:pPr>
      <w:r>
        <w:rPr>
          <w:snapToGrid w:val="0"/>
        </w:rPr>
        <w:tab/>
        <w:t>(b)</w:t>
      </w:r>
      <w:r>
        <w:rPr>
          <w:snapToGrid w:val="0"/>
        </w:rPr>
        <w:tab/>
        <w:t>all fish, excluding marron, in respect of display or ornamental hobby purposes; and</w:t>
      </w:r>
    </w:p>
    <w:p>
      <w:pPr>
        <w:pStyle w:val="Indenta"/>
        <w:rPr>
          <w:snapToGrid w:val="0"/>
        </w:rPr>
      </w:pPr>
      <w:r>
        <w:rPr>
          <w:snapToGrid w:val="0"/>
        </w:rPr>
        <w:tab/>
        <w:t>(c)</w:t>
      </w:r>
      <w:r>
        <w:rPr>
          <w:snapToGrid w:val="0"/>
        </w:rPr>
        <w:tab/>
        <w:t>all fish in respect of display or ornamental purposes in retail establishments; and</w:t>
      </w:r>
    </w:p>
    <w:p>
      <w:pPr>
        <w:pStyle w:val="Indenta"/>
        <w:rPr>
          <w:snapToGrid w:val="0"/>
        </w:rPr>
      </w:pPr>
      <w:r>
        <w:rPr>
          <w:snapToGrid w:val="0"/>
        </w:rPr>
        <w:tab/>
        <w:t>(d)</w:t>
      </w:r>
      <w:r>
        <w:rPr>
          <w:snapToGrid w:val="0"/>
        </w:rPr>
        <w:tab/>
        <w:t>all fish in respect of displaying the fish in a public aquarium or oceanarium.</w:t>
      </w:r>
    </w:p>
    <w:p>
      <w:pPr>
        <w:pStyle w:val="Subsection"/>
        <w:rPr>
          <w:snapToGrid w:val="0"/>
        </w:rPr>
      </w:pPr>
      <w:r>
        <w:rPr>
          <w:snapToGrid w:val="0"/>
        </w:rPr>
        <w:tab/>
        <w:t>(2)</w:t>
      </w:r>
      <w:r>
        <w:rPr>
          <w:snapToGrid w:val="0"/>
        </w:rPr>
        <w:tab/>
        <w:t>The following are prescribed for the purposes of section 91(d) of the Act in relation to a dam or lake on private land —</w:t>
      </w:r>
    </w:p>
    <w:p>
      <w:pPr>
        <w:pStyle w:val="Indenta"/>
        <w:rPr>
          <w:snapToGrid w:val="0"/>
        </w:rPr>
      </w:pPr>
      <w:r>
        <w:rPr>
          <w:snapToGrid w:val="0"/>
        </w:rPr>
        <w:tab/>
        <w:t>(a)</w:t>
      </w:r>
      <w:r>
        <w:rPr>
          <w:snapToGrid w:val="0"/>
        </w:rPr>
        <w:tab/>
        <w:t>in the area described in Schedule 6 — yabbie (common and white), koonac and gilgie; and</w:t>
      </w:r>
    </w:p>
    <w:p>
      <w:pPr>
        <w:pStyle w:val="Indenta"/>
        <w:rPr>
          <w:snapToGrid w:val="0"/>
        </w:rPr>
      </w:pPr>
      <w:r>
        <w:rPr>
          <w:snapToGrid w:val="0"/>
        </w:rPr>
        <w:tab/>
        <w:t>(b)</w:t>
      </w:r>
      <w:r>
        <w:rPr>
          <w:snapToGrid w:val="0"/>
        </w:rPr>
        <w:tab/>
        <w:t>in any area of the State — black bream.</w:t>
      </w:r>
    </w:p>
    <w:p>
      <w:pPr>
        <w:pStyle w:val="Footnotesection"/>
      </w:pPr>
      <w:r>
        <w:tab/>
        <w:t>[Regulation 68 amended in Gazette 25 Sep 1998 p. 5299.]</w:t>
      </w:r>
    </w:p>
    <w:p>
      <w:pPr>
        <w:pStyle w:val="Heading5"/>
        <w:rPr>
          <w:snapToGrid w:val="0"/>
        </w:rPr>
      </w:pPr>
      <w:bookmarkStart w:id="3285" w:name="_Toc309309422"/>
      <w:r>
        <w:rPr>
          <w:rStyle w:val="CharSectno"/>
        </w:rPr>
        <w:t>69</w:t>
      </w:r>
      <w:r>
        <w:rPr>
          <w:snapToGrid w:val="0"/>
        </w:rPr>
        <w:t>.</w:t>
      </w:r>
      <w:r>
        <w:rPr>
          <w:snapToGrid w:val="0"/>
        </w:rPr>
        <w:tab/>
        <w:t>Aquaculture licences, conditions of</w:t>
      </w:r>
      <w:bookmarkEnd w:id="3285"/>
    </w:p>
    <w:p>
      <w:pPr>
        <w:pStyle w:val="Subsection"/>
        <w:rPr>
          <w:snapToGrid w:val="0"/>
        </w:rPr>
      </w:pPr>
      <w:r>
        <w:rPr>
          <w:snapToGrid w:val="0"/>
        </w:rPr>
        <w:tab/>
      </w:r>
      <w:r>
        <w:rPr>
          <w:snapToGrid w:val="0"/>
        </w:rPr>
        <w:tab/>
        <w:t>An aquaculture licence is subject to the following conditions —</w:t>
      </w:r>
    </w:p>
    <w:p>
      <w:pPr>
        <w:pStyle w:val="Indenta"/>
        <w:rPr>
          <w:snapToGrid w:val="0"/>
        </w:rPr>
      </w:pPr>
      <w:r>
        <w:rPr>
          <w:snapToGrid w:val="0"/>
        </w:rPr>
        <w:tab/>
        <w:t>(a)</w:t>
      </w:r>
      <w:r>
        <w:rPr>
          <w:snapToGrid w:val="0"/>
        </w:rPr>
        <w:tab/>
        <w:t>the holder of the licence must ensure that fish is not sold under the authority of the licence unless it is packed in the manner specified by the CEO; and</w:t>
      </w:r>
    </w:p>
    <w:p>
      <w:pPr>
        <w:pStyle w:val="Indenta"/>
        <w:rPr>
          <w:snapToGrid w:val="0"/>
        </w:rPr>
      </w:pPr>
      <w:r>
        <w:rPr>
          <w:snapToGrid w:val="0"/>
        </w:rPr>
        <w:tab/>
        <w:t>(b)</w:t>
      </w:r>
      <w:r>
        <w:rPr>
          <w:snapToGrid w:val="0"/>
        </w:rPr>
        <w:tab/>
        <w:t>where marron is sold on a retail basis, the holder of the licence who is selling the marron, must provide to the purchaser a receipt specifying —</w:t>
      </w:r>
    </w:p>
    <w:p>
      <w:pPr>
        <w:pStyle w:val="Indenti"/>
        <w:rPr>
          <w:snapToGrid w:val="0"/>
        </w:rPr>
      </w:pPr>
      <w:r>
        <w:rPr>
          <w:snapToGrid w:val="0"/>
        </w:rPr>
        <w:tab/>
        <w:t>(i)</w:t>
      </w:r>
      <w:r>
        <w:rPr>
          <w:snapToGrid w:val="0"/>
        </w:rPr>
        <w:tab/>
        <w:t>the names of the holder of the licence and the purchaser; and</w:t>
      </w:r>
    </w:p>
    <w:p>
      <w:pPr>
        <w:pStyle w:val="Indenti"/>
        <w:rPr>
          <w:snapToGrid w:val="0"/>
        </w:rPr>
      </w:pPr>
      <w:r>
        <w:rPr>
          <w:snapToGrid w:val="0"/>
        </w:rPr>
        <w:tab/>
        <w:t>(ii)</w:t>
      </w:r>
      <w:r>
        <w:rPr>
          <w:snapToGrid w:val="0"/>
        </w:rPr>
        <w:tab/>
        <w:t>the number and type of fish; and</w:t>
      </w:r>
    </w:p>
    <w:p>
      <w:pPr>
        <w:pStyle w:val="Indenti"/>
        <w:rPr>
          <w:snapToGrid w:val="0"/>
        </w:rPr>
      </w:pPr>
      <w:r>
        <w:rPr>
          <w:snapToGrid w:val="0"/>
        </w:rPr>
        <w:tab/>
        <w:t>(iii)</w:t>
      </w:r>
      <w:r>
        <w:rPr>
          <w:snapToGrid w:val="0"/>
        </w:rPr>
        <w:tab/>
        <w:t>the value and date of the sale;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where marron is sold on other than a retail basis, the holder of the licence who is selling the marron, must prepare a consignment note in triplicate in a form approved by the CEO and must —</w:t>
      </w:r>
    </w:p>
    <w:p>
      <w:pPr>
        <w:pStyle w:val="Indenti"/>
        <w:rPr>
          <w:snapToGrid w:val="0"/>
        </w:rPr>
      </w:pPr>
      <w:r>
        <w:rPr>
          <w:snapToGrid w:val="0"/>
        </w:rPr>
        <w:tab/>
        <w:t>(i)</w:t>
      </w:r>
      <w:r>
        <w:rPr>
          <w:snapToGrid w:val="0"/>
        </w:rPr>
        <w:tab/>
        <w:t>securely attach the original of the consignment note to the marron or to the receptacle, container or package containing the fish; and</w:t>
      </w:r>
    </w:p>
    <w:p>
      <w:pPr>
        <w:pStyle w:val="Indenti"/>
        <w:keepNext/>
        <w:keepLines/>
      </w:pPr>
      <w:r>
        <w:tab/>
        <w:t>(ii)</w:t>
      </w:r>
      <w:r>
        <w:tab/>
        <w:t>send the duplicate copy of the consignment note —</w:t>
      </w:r>
    </w:p>
    <w:p>
      <w:pPr>
        <w:pStyle w:val="IndentI0"/>
      </w:pPr>
      <w:r>
        <w:tab/>
        <w:t>(I)</w:t>
      </w:r>
      <w:r>
        <w:tab/>
        <w:t xml:space="preserve">to the head office of the Department at </w:t>
      </w:r>
      <w:smartTag w:uri="urn:schemas-microsoft-com:office:smarttags" w:element="place">
        <w:smartTag w:uri="urn:schemas-microsoft-com:office:smarttags" w:element="City">
          <w:r>
            <w:t>Perth</w:t>
          </w:r>
        </w:smartTag>
      </w:smartTag>
      <w:r>
        <w:t>; or</w:t>
      </w:r>
    </w:p>
    <w:p>
      <w:pPr>
        <w:pStyle w:val="IndentI0"/>
      </w:pPr>
      <w:r>
        <w:tab/>
        <w:t>(II)</w:t>
      </w:r>
      <w:r>
        <w:tab/>
        <w:t>if another office of the Department is specified in the approved form of the consignment note, to that office,</w:t>
      </w:r>
    </w:p>
    <w:p>
      <w:pPr>
        <w:pStyle w:val="Indenti"/>
      </w:pPr>
      <w:r>
        <w:tab/>
      </w:r>
      <w:r>
        <w:tab/>
        <w:t>to arrive —</w:t>
      </w:r>
    </w:p>
    <w:p>
      <w:pPr>
        <w:pStyle w:val="IndentI0"/>
      </w:pPr>
      <w:r>
        <w:tab/>
        <w:t>(III)</w:t>
      </w:r>
      <w:r>
        <w:tab/>
        <w:t>within 7 days after the sale; or</w:t>
      </w:r>
    </w:p>
    <w:p>
      <w:pPr>
        <w:pStyle w:val="IndentI0"/>
      </w:pPr>
      <w:r>
        <w:tab/>
        <w:t>(IV)</w:t>
      </w:r>
      <w:r>
        <w:tab/>
        <w:t>if a greater period is specified in the approved form, within that period;</w:t>
      </w:r>
    </w:p>
    <w:p>
      <w:pPr>
        <w:pStyle w:val="Indenti"/>
        <w:rPr>
          <w:snapToGrid w:val="0"/>
        </w:rPr>
      </w:pPr>
      <w:r>
        <w:tab/>
      </w:r>
      <w:r>
        <w:tab/>
        <w:t>and</w:t>
      </w:r>
    </w:p>
    <w:p>
      <w:pPr>
        <w:pStyle w:val="Indenti"/>
        <w:rPr>
          <w:snapToGrid w:val="0"/>
        </w:rPr>
      </w:pPr>
      <w:r>
        <w:rPr>
          <w:snapToGrid w:val="0"/>
        </w:rPr>
        <w:tab/>
        <w:t>(iii)</w:t>
      </w:r>
      <w:r>
        <w:rPr>
          <w:snapToGrid w:val="0"/>
        </w:rPr>
        <w:tab/>
        <w:t>retain the triplicate copy at the place where aquaculture is carried out under the licence;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aquaculture is carried on under the licence is or may be affected by —</w:t>
      </w:r>
    </w:p>
    <w:p>
      <w:pPr>
        <w:pStyle w:val="Indenti"/>
        <w:rPr>
          <w:snapToGrid w:val="0"/>
        </w:rPr>
      </w:pPr>
      <w:r>
        <w:rPr>
          <w:snapToGrid w:val="0"/>
        </w:rPr>
        <w:tab/>
        <w:t>(i)</w:t>
      </w:r>
      <w:r>
        <w:rPr>
          <w:snapToGrid w:val="0"/>
        </w:rPr>
        <w:tab/>
        <w:t xml:space="preserve">any disease specified in Schedule 1 to the </w:t>
      </w:r>
      <w:r>
        <w:rPr>
          <w:i/>
          <w:snapToGrid w:val="0"/>
        </w:rPr>
        <w:t>Enzootic Diseases Regulations 1970</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aquaculture is carried on under the licence is or may be affected by any disease or condition other than one referred to in paragraph (d) if, within those 14 days, the holder of the licence has not eradicated the disease or condition by taking all reasonable steps to do so; and</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aquaculture is carried on under the licence; and</w:t>
      </w:r>
    </w:p>
    <w:p>
      <w:pPr>
        <w:pStyle w:val="Indenta"/>
        <w:rPr>
          <w:snapToGrid w:val="0"/>
        </w:rPr>
      </w:pPr>
      <w:r>
        <w:rPr>
          <w:snapToGrid w:val="0"/>
        </w:rPr>
        <w:tab/>
        <w:t>(g)</w:t>
      </w:r>
      <w:r>
        <w:rPr>
          <w:snapToGrid w:val="0"/>
        </w:rPr>
        <w:tab/>
        <w:t>where the holder of the licence is aware or suspects that fish at the place where aquaculture is carried on under the licence are affected by any disease or condition, that person must ensure that no water is discharged from the place to a natural waterway without the prior written approval of the CEO; and</w:t>
      </w:r>
    </w:p>
    <w:p>
      <w:pPr>
        <w:pStyle w:val="Indenta"/>
        <w:rPr>
          <w:snapToGrid w:val="0"/>
        </w:rPr>
      </w:pPr>
      <w:r>
        <w:rPr>
          <w:snapToGrid w:val="0"/>
        </w:rPr>
        <w:tab/>
        <w:t>(h)</w:t>
      </w:r>
      <w:r>
        <w:rPr>
          <w:snapToGrid w:val="0"/>
        </w:rPr>
        <w:tab/>
        <w:t>the holder of the licence must ensure that fish at the place where aquaculture is carried on under the licence which the holder of the licence is aware, or suspects, is diseased or contaminated is not removed from the place without the prior written permission of the CEO.</w:t>
      </w:r>
    </w:p>
    <w:p>
      <w:pPr>
        <w:pStyle w:val="Footnotesection"/>
      </w:pPr>
      <w:r>
        <w:tab/>
        <w:t>[Regulation 69 amended in Gazette 13 Aug 1999 p. 3826; 6 Jul 2007 p. 3389.]</w:t>
      </w:r>
    </w:p>
    <w:p>
      <w:pPr>
        <w:pStyle w:val="Heading2"/>
      </w:pPr>
      <w:bookmarkStart w:id="3286" w:name="_Toc189987993"/>
      <w:bookmarkStart w:id="3287" w:name="_Toc192041576"/>
      <w:bookmarkStart w:id="3288" w:name="_Toc199570810"/>
      <w:bookmarkStart w:id="3289" w:name="_Toc199738808"/>
      <w:bookmarkStart w:id="3290" w:name="_Toc199814909"/>
      <w:bookmarkStart w:id="3291" w:name="_Toc215040716"/>
      <w:bookmarkStart w:id="3292" w:name="_Toc215041161"/>
      <w:bookmarkStart w:id="3293" w:name="_Toc222129369"/>
      <w:bookmarkStart w:id="3294" w:name="_Toc222223074"/>
      <w:bookmarkStart w:id="3295" w:name="_Toc225914326"/>
      <w:bookmarkStart w:id="3296" w:name="_Toc231282371"/>
      <w:bookmarkStart w:id="3297" w:name="_Toc231282815"/>
      <w:bookmarkStart w:id="3298" w:name="_Toc234899402"/>
      <w:bookmarkStart w:id="3299" w:name="_Toc236632684"/>
      <w:bookmarkStart w:id="3300" w:name="_Toc236720297"/>
      <w:bookmarkStart w:id="3301" w:name="_Toc237764496"/>
      <w:bookmarkStart w:id="3302" w:name="_Toc238356120"/>
      <w:bookmarkStart w:id="3303" w:name="_Toc238368825"/>
      <w:bookmarkStart w:id="3304" w:name="_Toc238375778"/>
      <w:bookmarkStart w:id="3305" w:name="_Toc240339102"/>
      <w:bookmarkStart w:id="3306" w:name="_Toc241993608"/>
      <w:bookmarkStart w:id="3307" w:name="_Toc243192751"/>
      <w:bookmarkStart w:id="3308" w:name="_Toc243295453"/>
      <w:bookmarkStart w:id="3309" w:name="_Toc245113026"/>
      <w:bookmarkStart w:id="3310" w:name="_Toc245198188"/>
      <w:bookmarkStart w:id="3311" w:name="_Toc245198637"/>
      <w:bookmarkStart w:id="3312" w:name="_Toc245199086"/>
      <w:bookmarkStart w:id="3313" w:name="_Toc248122117"/>
      <w:bookmarkStart w:id="3314" w:name="_Toc248122568"/>
      <w:bookmarkStart w:id="3315" w:name="_Toc253670555"/>
      <w:bookmarkStart w:id="3316" w:name="_Toc253671005"/>
      <w:bookmarkStart w:id="3317" w:name="_Toc254942775"/>
      <w:bookmarkStart w:id="3318" w:name="_Toc254943228"/>
      <w:bookmarkStart w:id="3319" w:name="_Toc255475820"/>
      <w:bookmarkStart w:id="3320" w:name="_Toc256432141"/>
      <w:bookmarkStart w:id="3321" w:name="_Toc257720478"/>
      <w:bookmarkStart w:id="3322" w:name="_Toc257722160"/>
      <w:bookmarkStart w:id="3323" w:name="_Toc258335836"/>
      <w:bookmarkStart w:id="3324" w:name="_Toc260406278"/>
      <w:bookmarkStart w:id="3325" w:name="_Toc261271464"/>
      <w:bookmarkStart w:id="3326" w:name="_Toc262808146"/>
      <w:bookmarkStart w:id="3327" w:name="_Toc267572539"/>
      <w:bookmarkStart w:id="3328" w:name="_Toc270684288"/>
      <w:bookmarkStart w:id="3329" w:name="_Toc274214465"/>
      <w:bookmarkStart w:id="3330" w:name="_Toc274214914"/>
      <w:bookmarkStart w:id="3331" w:name="_Toc278976245"/>
      <w:bookmarkStart w:id="3332" w:name="_Toc286760568"/>
      <w:bookmarkStart w:id="3333" w:name="_Toc289080913"/>
      <w:bookmarkStart w:id="3334" w:name="_Toc290284107"/>
      <w:bookmarkStart w:id="3335" w:name="_Toc290642928"/>
      <w:bookmarkStart w:id="3336" w:name="_Toc290643377"/>
      <w:bookmarkStart w:id="3337" w:name="_Toc290643830"/>
      <w:bookmarkStart w:id="3338" w:name="_Toc294701647"/>
      <w:bookmarkStart w:id="3339" w:name="_Toc295200055"/>
      <w:bookmarkStart w:id="3340" w:name="_Toc296954496"/>
      <w:bookmarkStart w:id="3341" w:name="_Toc297276128"/>
      <w:bookmarkStart w:id="3342" w:name="_Toc297276580"/>
      <w:bookmarkStart w:id="3343" w:name="_Toc297277030"/>
      <w:bookmarkStart w:id="3344" w:name="_Toc297726399"/>
      <w:bookmarkStart w:id="3345" w:name="_Toc299980185"/>
      <w:bookmarkStart w:id="3346" w:name="_Toc300234811"/>
      <w:bookmarkStart w:id="3347" w:name="_Toc301961314"/>
      <w:bookmarkStart w:id="3348" w:name="_Toc301966884"/>
      <w:bookmarkStart w:id="3349" w:name="_Toc303253093"/>
      <w:bookmarkStart w:id="3350" w:name="_Toc303257257"/>
      <w:bookmarkStart w:id="3351" w:name="_Toc307992890"/>
      <w:bookmarkStart w:id="3352" w:name="_Toc309029923"/>
      <w:bookmarkStart w:id="3353" w:name="_Toc309304146"/>
      <w:bookmarkStart w:id="3354" w:name="_Toc309304599"/>
      <w:bookmarkStart w:id="3355" w:name="_Toc309309423"/>
      <w:r>
        <w:rPr>
          <w:rStyle w:val="CharPartNo"/>
        </w:rPr>
        <w:t>Part 7</w:t>
      </w:r>
      <w:r>
        <w:rPr>
          <w:rStyle w:val="CharDivNo"/>
        </w:rPr>
        <w:t> </w:t>
      </w:r>
      <w:r>
        <w:t>—</w:t>
      </w:r>
      <w:r>
        <w:rPr>
          <w:rStyle w:val="CharDivText"/>
        </w:rPr>
        <w:t> </w:t>
      </w:r>
      <w:r>
        <w:rPr>
          <w:rStyle w:val="CharPartText"/>
        </w:rPr>
        <w:t>Noxious fish</w:t>
      </w:r>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p>
    <w:p>
      <w:pPr>
        <w:pStyle w:val="Heading5"/>
        <w:rPr>
          <w:snapToGrid w:val="0"/>
        </w:rPr>
      </w:pPr>
      <w:bookmarkStart w:id="3356" w:name="_Toc309309424"/>
      <w:r>
        <w:rPr>
          <w:rStyle w:val="CharSectno"/>
        </w:rPr>
        <w:t>70</w:t>
      </w:r>
      <w:r>
        <w:rPr>
          <w:snapToGrid w:val="0"/>
        </w:rPr>
        <w:t>.</w:t>
      </w:r>
      <w:r>
        <w:rPr>
          <w:snapToGrid w:val="0"/>
        </w:rPr>
        <w:tab/>
        <w:t>Species prescribed (Act s. 103)</w:t>
      </w:r>
      <w:bookmarkEnd w:id="3356"/>
    </w:p>
    <w:p>
      <w:pPr>
        <w:pStyle w:val="Subsection"/>
        <w:rPr>
          <w:snapToGrid w:val="0"/>
        </w:rPr>
      </w:pPr>
      <w:r>
        <w:rPr>
          <w:snapToGrid w:val="0"/>
        </w:rPr>
        <w:tab/>
      </w:r>
      <w:r>
        <w:rPr>
          <w:snapToGrid w:val="0"/>
        </w:rPr>
        <w:tab/>
        <w:t xml:space="preserve">The species of fish </w:t>
      </w:r>
      <w:r>
        <w:t xml:space="preserve">described by a scientific name </w:t>
      </w:r>
      <w:r>
        <w:rPr>
          <w:snapToGrid w:val="0"/>
        </w:rPr>
        <w:t>listed in Schedule 5 are prescribed under section 103 of the Act to be noxious fish for the purposes of the Act.</w:t>
      </w:r>
    </w:p>
    <w:p>
      <w:pPr>
        <w:pStyle w:val="Footnotesection"/>
      </w:pPr>
      <w:r>
        <w:tab/>
        <w:t>[Regulation 70 amended in Gazette 23 Jul 2010 p. 3402.]</w:t>
      </w:r>
    </w:p>
    <w:p>
      <w:pPr>
        <w:pStyle w:val="Heading2"/>
      </w:pPr>
      <w:bookmarkStart w:id="3357" w:name="_Toc189987995"/>
      <w:bookmarkStart w:id="3358" w:name="_Toc192041578"/>
      <w:bookmarkStart w:id="3359" w:name="_Toc199570812"/>
      <w:bookmarkStart w:id="3360" w:name="_Toc199738810"/>
      <w:bookmarkStart w:id="3361" w:name="_Toc199814911"/>
      <w:bookmarkStart w:id="3362" w:name="_Toc215040718"/>
      <w:bookmarkStart w:id="3363" w:name="_Toc215041163"/>
      <w:bookmarkStart w:id="3364" w:name="_Toc222129371"/>
      <w:bookmarkStart w:id="3365" w:name="_Toc222223076"/>
      <w:bookmarkStart w:id="3366" w:name="_Toc225914328"/>
      <w:bookmarkStart w:id="3367" w:name="_Toc231282373"/>
      <w:bookmarkStart w:id="3368" w:name="_Toc231282817"/>
      <w:bookmarkStart w:id="3369" w:name="_Toc234899404"/>
      <w:bookmarkStart w:id="3370" w:name="_Toc236632686"/>
      <w:bookmarkStart w:id="3371" w:name="_Toc236720299"/>
      <w:bookmarkStart w:id="3372" w:name="_Toc237764498"/>
      <w:bookmarkStart w:id="3373" w:name="_Toc238356122"/>
      <w:bookmarkStart w:id="3374" w:name="_Toc238368827"/>
      <w:bookmarkStart w:id="3375" w:name="_Toc238375780"/>
      <w:bookmarkStart w:id="3376" w:name="_Toc240339104"/>
      <w:bookmarkStart w:id="3377" w:name="_Toc241993610"/>
      <w:bookmarkStart w:id="3378" w:name="_Toc243192753"/>
      <w:bookmarkStart w:id="3379" w:name="_Toc243295455"/>
      <w:bookmarkStart w:id="3380" w:name="_Toc245113028"/>
      <w:bookmarkStart w:id="3381" w:name="_Toc245198190"/>
      <w:bookmarkStart w:id="3382" w:name="_Toc245198639"/>
      <w:bookmarkStart w:id="3383" w:name="_Toc245199088"/>
      <w:bookmarkStart w:id="3384" w:name="_Toc248122119"/>
      <w:bookmarkStart w:id="3385" w:name="_Toc248122570"/>
      <w:bookmarkStart w:id="3386" w:name="_Toc253670557"/>
      <w:bookmarkStart w:id="3387" w:name="_Toc253671007"/>
      <w:bookmarkStart w:id="3388" w:name="_Toc254942777"/>
      <w:bookmarkStart w:id="3389" w:name="_Toc254943230"/>
      <w:bookmarkStart w:id="3390" w:name="_Toc255475822"/>
      <w:bookmarkStart w:id="3391" w:name="_Toc256432143"/>
      <w:bookmarkStart w:id="3392" w:name="_Toc257720480"/>
      <w:bookmarkStart w:id="3393" w:name="_Toc257722162"/>
      <w:bookmarkStart w:id="3394" w:name="_Toc258335838"/>
      <w:bookmarkStart w:id="3395" w:name="_Toc260406280"/>
      <w:bookmarkStart w:id="3396" w:name="_Toc261271466"/>
      <w:bookmarkStart w:id="3397" w:name="_Toc262808148"/>
      <w:bookmarkStart w:id="3398" w:name="_Toc267572541"/>
      <w:bookmarkStart w:id="3399" w:name="_Toc270684290"/>
      <w:bookmarkStart w:id="3400" w:name="_Toc274214467"/>
      <w:bookmarkStart w:id="3401" w:name="_Toc274214916"/>
      <w:bookmarkStart w:id="3402" w:name="_Toc278976247"/>
      <w:bookmarkStart w:id="3403" w:name="_Toc286760570"/>
      <w:bookmarkStart w:id="3404" w:name="_Toc289080915"/>
      <w:bookmarkStart w:id="3405" w:name="_Toc290284109"/>
      <w:bookmarkStart w:id="3406" w:name="_Toc290642930"/>
      <w:bookmarkStart w:id="3407" w:name="_Toc290643379"/>
      <w:bookmarkStart w:id="3408" w:name="_Toc290643832"/>
      <w:bookmarkStart w:id="3409" w:name="_Toc294701649"/>
      <w:bookmarkStart w:id="3410" w:name="_Toc295200057"/>
      <w:bookmarkStart w:id="3411" w:name="_Toc296954498"/>
      <w:bookmarkStart w:id="3412" w:name="_Toc297276130"/>
      <w:bookmarkStart w:id="3413" w:name="_Toc297276582"/>
      <w:bookmarkStart w:id="3414" w:name="_Toc297277032"/>
      <w:bookmarkStart w:id="3415" w:name="_Toc297726401"/>
      <w:bookmarkStart w:id="3416" w:name="_Toc299980187"/>
      <w:bookmarkStart w:id="3417" w:name="_Toc300234813"/>
      <w:bookmarkStart w:id="3418" w:name="_Toc301961316"/>
      <w:bookmarkStart w:id="3419" w:name="_Toc301966886"/>
      <w:bookmarkStart w:id="3420" w:name="_Toc303253095"/>
      <w:bookmarkStart w:id="3421" w:name="_Toc303257259"/>
      <w:bookmarkStart w:id="3422" w:name="_Toc307992892"/>
      <w:bookmarkStart w:id="3423" w:name="_Toc309029925"/>
      <w:bookmarkStart w:id="3424" w:name="_Toc309304148"/>
      <w:bookmarkStart w:id="3425" w:name="_Toc309304601"/>
      <w:bookmarkStart w:id="3426" w:name="_Toc309309425"/>
      <w:r>
        <w:rPr>
          <w:rStyle w:val="CharPartNo"/>
        </w:rPr>
        <w:t>Part 8</w:t>
      </w:r>
      <w:r>
        <w:rPr>
          <w:rStyle w:val="CharDivNo"/>
        </w:rPr>
        <w:t> </w:t>
      </w:r>
      <w:r>
        <w:t>—</w:t>
      </w:r>
      <w:r>
        <w:rPr>
          <w:rStyle w:val="CharDivText"/>
        </w:rPr>
        <w:t> </w:t>
      </w:r>
      <w:r>
        <w:rPr>
          <w:rStyle w:val="CharPartText"/>
        </w:rPr>
        <w:t>Designated fishing zones</w:t>
      </w:r>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p>
    <w:p>
      <w:pPr>
        <w:pStyle w:val="Heading5"/>
        <w:rPr>
          <w:snapToGrid w:val="0"/>
        </w:rPr>
      </w:pPr>
      <w:bookmarkStart w:id="3427" w:name="_Toc309309426"/>
      <w:r>
        <w:rPr>
          <w:rStyle w:val="CharSectno"/>
        </w:rPr>
        <w:t>71</w:t>
      </w:r>
      <w:r>
        <w:rPr>
          <w:snapToGrid w:val="0"/>
        </w:rPr>
        <w:t>.</w:t>
      </w:r>
      <w:r>
        <w:rPr>
          <w:snapToGrid w:val="0"/>
        </w:rPr>
        <w:tab/>
        <w:t>Fisheries officer may restrict activities etc. in zones</w:t>
      </w:r>
      <w:bookmarkEnd w:id="3427"/>
    </w:p>
    <w:p>
      <w:pPr>
        <w:pStyle w:val="Subsection"/>
        <w:rPr>
          <w:snapToGrid w:val="0"/>
        </w:rPr>
      </w:pPr>
      <w:r>
        <w:rPr>
          <w:snapToGrid w:val="0"/>
        </w:rPr>
        <w:tab/>
        <w:t>(1)</w:t>
      </w:r>
      <w:r>
        <w:rPr>
          <w:snapToGrid w:val="0"/>
        </w:rPr>
        <w:tab/>
        <w:t>A fisheries officer may, by notice in writing given to a person, prohibit the person from —</w:t>
      </w:r>
    </w:p>
    <w:p>
      <w:pPr>
        <w:pStyle w:val="Indenta"/>
        <w:rPr>
          <w:snapToGrid w:val="0"/>
        </w:rPr>
      </w:pPr>
      <w:r>
        <w:rPr>
          <w:snapToGrid w:val="0"/>
        </w:rPr>
        <w:tab/>
        <w:t>(a)</w:t>
      </w:r>
      <w:r>
        <w:rPr>
          <w:snapToGrid w:val="0"/>
        </w:rPr>
        <w:tab/>
        <w:t>being in a designated fishing zone for a specified period of time, or at all; or</w:t>
      </w:r>
    </w:p>
    <w:p>
      <w:pPr>
        <w:pStyle w:val="Indenta"/>
        <w:rPr>
          <w:snapToGrid w:val="0"/>
        </w:rPr>
      </w:pPr>
      <w:r>
        <w:rPr>
          <w:snapToGrid w:val="0"/>
        </w:rPr>
        <w:tab/>
        <w:t>(b)</w:t>
      </w:r>
      <w:r>
        <w:rPr>
          <w:snapToGrid w:val="0"/>
        </w:rPr>
        <w:tab/>
        <w:t>engaging in a specified activity in a designated fishing zone; or</w:t>
      </w:r>
    </w:p>
    <w:p>
      <w:pPr>
        <w:pStyle w:val="Indenta"/>
        <w:rPr>
          <w:snapToGrid w:val="0"/>
        </w:rPr>
      </w:pPr>
      <w:r>
        <w:rPr>
          <w:snapToGrid w:val="0"/>
        </w:rPr>
        <w:tab/>
        <w:t>(c)</w:t>
      </w:r>
      <w:r>
        <w:rPr>
          <w:snapToGrid w:val="0"/>
        </w:rPr>
        <w:tab/>
        <w:t>having a specified thing or class of things in a designated fishing zone.</w:t>
      </w:r>
    </w:p>
    <w:p>
      <w:pPr>
        <w:pStyle w:val="Subsection"/>
        <w:rPr>
          <w:snapToGrid w:val="0"/>
        </w:rPr>
      </w:pPr>
      <w:r>
        <w:rPr>
          <w:snapToGrid w:val="0"/>
        </w:rPr>
        <w:tab/>
        <w:t>(2)</w:t>
      </w:r>
      <w:r>
        <w:rPr>
          <w:snapToGrid w:val="0"/>
        </w:rPr>
        <w:tab/>
        <w:t>A fisheries officer may by further notice in writing given to a person vary or revoke a notice given under subregulation (1).</w:t>
      </w:r>
    </w:p>
    <w:p>
      <w:pPr>
        <w:pStyle w:val="Subsection"/>
        <w:rPr>
          <w:snapToGrid w:val="0"/>
        </w:rPr>
      </w:pPr>
      <w:r>
        <w:rPr>
          <w:snapToGrid w:val="0"/>
        </w:rPr>
        <w:tab/>
        <w:t>(3)</w:t>
      </w:r>
      <w:r>
        <w:rPr>
          <w:snapToGrid w:val="0"/>
        </w:rPr>
        <w:tab/>
        <w:t>A person who contravenes a notice in writing given by a fisheries officer under this regulation commits an offence.</w:t>
      </w:r>
    </w:p>
    <w:p>
      <w:pPr>
        <w:pStyle w:val="Penstart"/>
        <w:rPr>
          <w:snapToGrid w:val="0"/>
        </w:rPr>
      </w:pPr>
      <w:r>
        <w:rPr>
          <w:snapToGrid w:val="0"/>
        </w:rPr>
        <w:tab/>
        <w:t>Penalty: $10 000.</w:t>
      </w:r>
    </w:p>
    <w:p>
      <w:pPr>
        <w:pStyle w:val="Heading2"/>
      </w:pPr>
      <w:bookmarkStart w:id="3428" w:name="_Toc189987997"/>
      <w:bookmarkStart w:id="3429" w:name="_Toc192041580"/>
      <w:bookmarkStart w:id="3430" w:name="_Toc199570814"/>
      <w:bookmarkStart w:id="3431" w:name="_Toc199738812"/>
      <w:bookmarkStart w:id="3432" w:name="_Toc199814913"/>
      <w:bookmarkStart w:id="3433" w:name="_Toc215040720"/>
      <w:bookmarkStart w:id="3434" w:name="_Toc215041165"/>
      <w:bookmarkStart w:id="3435" w:name="_Toc222129373"/>
      <w:bookmarkStart w:id="3436" w:name="_Toc222223078"/>
      <w:bookmarkStart w:id="3437" w:name="_Toc225914330"/>
      <w:bookmarkStart w:id="3438" w:name="_Toc231282375"/>
      <w:bookmarkStart w:id="3439" w:name="_Toc231282819"/>
      <w:bookmarkStart w:id="3440" w:name="_Toc234899406"/>
      <w:bookmarkStart w:id="3441" w:name="_Toc236632688"/>
      <w:bookmarkStart w:id="3442" w:name="_Toc236720301"/>
      <w:bookmarkStart w:id="3443" w:name="_Toc237764500"/>
      <w:bookmarkStart w:id="3444" w:name="_Toc238356124"/>
      <w:bookmarkStart w:id="3445" w:name="_Toc238368829"/>
      <w:bookmarkStart w:id="3446" w:name="_Toc238375782"/>
      <w:bookmarkStart w:id="3447" w:name="_Toc240339106"/>
      <w:bookmarkStart w:id="3448" w:name="_Toc241993612"/>
      <w:bookmarkStart w:id="3449" w:name="_Toc243192755"/>
      <w:bookmarkStart w:id="3450" w:name="_Toc243295457"/>
      <w:bookmarkStart w:id="3451" w:name="_Toc245113030"/>
      <w:bookmarkStart w:id="3452" w:name="_Toc245198192"/>
      <w:bookmarkStart w:id="3453" w:name="_Toc245198641"/>
      <w:bookmarkStart w:id="3454" w:name="_Toc245199090"/>
      <w:bookmarkStart w:id="3455" w:name="_Toc248122121"/>
      <w:bookmarkStart w:id="3456" w:name="_Toc248122572"/>
      <w:bookmarkStart w:id="3457" w:name="_Toc253670559"/>
      <w:bookmarkStart w:id="3458" w:name="_Toc253671009"/>
      <w:bookmarkStart w:id="3459" w:name="_Toc254942779"/>
      <w:bookmarkStart w:id="3460" w:name="_Toc254943232"/>
      <w:bookmarkStart w:id="3461" w:name="_Toc255475824"/>
      <w:bookmarkStart w:id="3462" w:name="_Toc256432145"/>
      <w:bookmarkStart w:id="3463" w:name="_Toc257720482"/>
      <w:bookmarkStart w:id="3464" w:name="_Toc257722164"/>
      <w:bookmarkStart w:id="3465" w:name="_Toc258335840"/>
      <w:bookmarkStart w:id="3466" w:name="_Toc260406282"/>
      <w:bookmarkStart w:id="3467" w:name="_Toc261271468"/>
      <w:bookmarkStart w:id="3468" w:name="_Toc262808150"/>
      <w:bookmarkStart w:id="3469" w:name="_Toc267572543"/>
      <w:bookmarkStart w:id="3470" w:name="_Toc270684292"/>
      <w:bookmarkStart w:id="3471" w:name="_Toc274214469"/>
      <w:bookmarkStart w:id="3472" w:name="_Toc274214918"/>
      <w:bookmarkStart w:id="3473" w:name="_Toc278976249"/>
      <w:bookmarkStart w:id="3474" w:name="_Toc286760572"/>
      <w:bookmarkStart w:id="3475" w:name="_Toc289080917"/>
      <w:bookmarkStart w:id="3476" w:name="_Toc290284111"/>
      <w:bookmarkStart w:id="3477" w:name="_Toc290642932"/>
      <w:bookmarkStart w:id="3478" w:name="_Toc290643381"/>
      <w:bookmarkStart w:id="3479" w:name="_Toc290643834"/>
      <w:bookmarkStart w:id="3480" w:name="_Toc294701651"/>
      <w:bookmarkStart w:id="3481" w:name="_Toc295200059"/>
      <w:bookmarkStart w:id="3482" w:name="_Toc296954500"/>
      <w:bookmarkStart w:id="3483" w:name="_Toc297276132"/>
      <w:bookmarkStart w:id="3484" w:name="_Toc297276584"/>
      <w:bookmarkStart w:id="3485" w:name="_Toc297277034"/>
      <w:bookmarkStart w:id="3486" w:name="_Toc297726403"/>
      <w:bookmarkStart w:id="3487" w:name="_Toc299980189"/>
      <w:bookmarkStart w:id="3488" w:name="_Toc300234815"/>
      <w:bookmarkStart w:id="3489" w:name="_Toc301961318"/>
      <w:bookmarkStart w:id="3490" w:name="_Toc301966888"/>
      <w:bookmarkStart w:id="3491" w:name="_Toc303253097"/>
      <w:bookmarkStart w:id="3492" w:name="_Toc303257261"/>
      <w:bookmarkStart w:id="3493" w:name="_Toc307992894"/>
      <w:bookmarkStart w:id="3494" w:name="_Toc309029927"/>
      <w:bookmarkStart w:id="3495" w:name="_Toc309304150"/>
      <w:bookmarkStart w:id="3496" w:name="_Toc309304603"/>
      <w:bookmarkStart w:id="3497" w:name="_Toc309309427"/>
      <w:r>
        <w:rPr>
          <w:rStyle w:val="CharPartNo"/>
        </w:rPr>
        <w:t>Part 9</w:t>
      </w:r>
      <w:r>
        <w:t> — </w:t>
      </w:r>
      <w:smartTag w:uri="urn:schemas-microsoft-com:office:smarttags" w:element="place">
        <w:smartTag w:uri="urn:schemas-microsoft-com:office:smarttags" w:element="PlaceName">
          <w:r>
            <w:rPr>
              <w:rStyle w:val="CharPartText"/>
            </w:rPr>
            <w:t>Abrolhos</w:t>
          </w:r>
        </w:smartTag>
        <w:r>
          <w:rPr>
            <w:rStyle w:val="CharPartText"/>
          </w:rPr>
          <w:t xml:space="preserve"> </w:t>
        </w:r>
        <w:smartTag w:uri="urn:schemas-microsoft-com:office:smarttags" w:element="PlaceType">
          <w:r>
            <w:rPr>
              <w:rStyle w:val="CharPartText"/>
            </w:rPr>
            <w:t>Islands</w:t>
          </w:r>
        </w:smartTag>
      </w:smartTag>
      <w:r>
        <w:rPr>
          <w:rStyle w:val="CharPartText"/>
        </w:rPr>
        <w:t xml:space="preserve"> reserve</w:t>
      </w:r>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p>
    <w:p>
      <w:pPr>
        <w:pStyle w:val="Heading3"/>
      </w:pPr>
      <w:bookmarkStart w:id="3498" w:name="_Toc189987998"/>
      <w:bookmarkStart w:id="3499" w:name="_Toc192041581"/>
      <w:bookmarkStart w:id="3500" w:name="_Toc199570815"/>
      <w:bookmarkStart w:id="3501" w:name="_Toc199738813"/>
      <w:bookmarkStart w:id="3502" w:name="_Toc199814914"/>
      <w:bookmarkStart w:id="3503" w:name="_Toc215040721"/>
      <w:bookmarkStart w:id="3504" w:name="_Toc215041166"/>
      <w:bookmarkStart w:id="3505" w:name="_Toc222129374"/>
      <w:bookmarkStart w:id="3506" w:name="_Toc222223079"/>
      <w:bookmarkStart w:id="3507" w:name="_Toc225914331"/>
      <w:bookmarkStart w:id="3508" w:name="_Toc231282376"/>
      <w:bookmarkStart w:id="3509" w:name="_Toc231282820"/>
      <w:bookmarkStart w:id="3510" w:name="_Toc234899407"/>
      <w:bookmarkStart w:id="3511" w:name="_Toc236632689"/>
      <w:bookmarkStart w:id="3512" w:name="_Toc236720302"/>
      <w:bookmarkStart w:id="3513" w:name="_Toc237764501"/>
      <w:bookmarkStart w:id="3514" w:name="_Toc238356125"/>
      <w:bookmarkStart w:id="3515" w:name="_Toc238368830"/>
      <w:bookmarkStart w:id="3516" w:name="_Toc238375783"/>
      <w:bookmarkStart w:id="3517" w:name="_Toc240339107"/>
      <w:bookmarkStart w:id="3518" w:name="_Toc241993613"/>
      <w:bookmarkStart w:id="3519" w:name="_Toc243192756"/>
      <w:bookmarkStart w:id="3520" w:name="_Toc243295458"/>
      <w:bookmarkStart w:id="3521" w:name="_Toc245113031"/>
      <w:bookmarkStart w:id="3522" w:name="_Toc245198193"/>
      <w:bookmarkStart w:id="3523" w:name="_Toc245198642"/>
      <w:bookmarkStart w:id="3524" w:name="_Toc245199091"/>
      <w:bookmarkStart w:id="3525" w:name="_Toc248122122"/>
      <w:bookmarkStart w:id="3526" w:name="_Toc248122573"/>
      <w:bookmarkStart w:id="3527" w:name="_Toc253670560"/>
      <w:bookmarkStart w:id="3528" w:name="_Toc253671010"/>
      <w:bookmarkStart w:id="3529" w:name="_Toc254942780"/>
      <w:bookmarkStart w:id="3530" w:name="_Toc254943233"/>
      <w:bookmarkStart w:id="3531" w:name="_Toc255475825"/>
      <w:bookmarkStart w:id="3532" w:name="_Toc256432146"/>
      <w:bookmarkStart w:id="3533" w:name="_Toc257720483"/>
      <w:bookmarkStart w:id="3534" w:name="_Toc257722165"/>
      <w:bookmarkStart w:id="3535" w:name="_Toc258335841"/>
      <w:bookmarkStart w:id="3536" w:name="_Toc260406283"/>
      <w:bookmarkStart w:id="3537" w:name="_Toc261271469"/>
      <w:bookmarkStart w:id="3538" w:name="_Toc262808151"/>
      <w:bookmarkStart w:id="3539" w:name="_Toc267572544"/>
      <w:bookmarkStart w:id="3540" w:name="_Toc270684293"/>
      <w:bookmarkStart w:id="3541" w:name="_Toc274214470"/>
      <w:bookmarkStart w:id="3542" w:name="_Toc274214919"/>
      <w:bookmarkStart w:id="3543" w:name="_Toc278976250"/>
      <w:bookmarkStart w:id="3544" w:name="_Toc286760573"/>
      <w:bookmarkStart w:id="3545" w:name="_Toc289080918"/>
      <w:bookmarkStart w:id="3546" w:name="_Toc290284112"/>
      <w:bookmarkStart w:id="3547" w:name="_Toc290642933"/>
      <w:bookmarkStart w:id="3548" w:name="_Toc290643382"/>
      <w:bookmarkStart w:id="3549" w:name="_Toc290643835"/>
      <w:bookmarkStart w:id="3550" w:name="_Toc294701652"/>
      <w:bookmarkStart w:id="3551" w:name="_Toc295200060"/>
      <w:bookmarkStart w:id="3552" w:name="_Toc296954501"/>
      <w:bookmarkStart w:id="3553" w:name="_Toc297276133"/>
      <w:bookmarkStart w:id="3554" w:name="_Toc297276585"/>
      <w:bookmarkStart w:id="3555" w:name="_Toc297277035"/>
      <w:bookmarkStart w:id="3556" w:name="_Toc297726404"/>
      <w:bookmarkStart w:id="3557" w:name="_Toc299980190"/>
      <w:bookmarkStart w:id="3558" w:name="_Toc300234816"/>
      <w:bookmarkStart w:id="3559" w:name="_Toc301961319"/>
      <w:bookmarkStart w:id="3560" w:name="_Toc301966889"/>
      <w:bookmarkStart w:id="3561" w:name="_Toc303253098"/>
      <w:bookmarkStart w:id="3562" w:name="_Toc303257262"/>
      <w:bookmarkStart w:id="3563" w:name="_Toc307992895"/>
      <w:bookmarkStart w:id="3564" w:name="_Toc309029928"/>
      <w:bookmarkStart w:id="3565" w:name="_Toc309304151"/>
      <w:bookmarkStart w:id="3566" w:name="_Toc309304604"/>
      <w:bookmarkStart w:id="3567" w:name="_Toc309309428"/>
      <w:r>
        <w:rPr>
          <w:rStyle w:val="CharDivNo"/>
        </w:rPr>
        <w:t>Division 1</w:t>
      </w:r>
      <w:r>
        <w:rPr>
          <w:snapToGrid w:val="0"/>
        </w:rPr>
        <w:t> — </w:t>
      </w:r>
      <w:r>
        <w:rPr>
          <w:rStyle w:val="CharDivText"/>
        </w:rPr>
        <w:t>Interpretation and application of Part</w:t>
      </w:r>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p>
    <w:p>
      <w:pPr>
        <w:pStyle w:val="Heading5"/>
        <w:rPr>
          <w:snapToGrid w:val="0"/>
        </w:rPr>
      </w:pPr>
      <w:bookmarkStart w:id="3568" w:name="_Toc309309429"/>
      <w:r>
        <w:rPr>
          <w:rStyle w:val="CharSectno"/>
        </w:rPr>
        <w:t>72</w:t>
      </w:r>
      <w:r>
        <w:rPr>
          <w:snapToGrid w:val="0"/>
        </w:rPr>
        <w:t>.</w:t>
      </w:r>
      <w:r>
        <w:rPr>
          <w:snapToGrid w:val="0"/>
        </w:rPr>
        <w:tab/>
        <w:t>Terms used</w:t>
      </w:r>
      <w:bookmarkEnd w:id="3568"/>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approved</w:t>
      </w:r>
      <w:r>
        <w:t xml:space="preserve"> means approved by the CEO;</w:t>
      </w:r>
    </w:p>
    <w:p>
      <w:pPr>
        <w:pStyle w:val="Defstart"/>
      </w:pPr>
      <w:r>
        <w:rPr>
          <w:b/>
        </w:rPr>
        <w:tab/>
      </w:r>
      <w:r>
        <w:rPr>
          <w:rStyle w:val="CharDefText"/>
        </w:rPr>
        <w:t>associated camp</w:t>
      </w:r>
      <w:r>
        <w:t xml:space="preserve"> means a camp, including any associated jetty, in the reserve which is allocated to an operator by virtue of a rock lobster licence;</w:t>
      </w:r>
    </w:p>
    <w:p>
      <w:pPr>
        <w:pStyle w:val="Defstart"/>
      </w:pPr>
      <w:r>
        <w:rPr>
          <w:b/>
        </w:rPr>
        <w:tab/>
      </w:r>
      <w:r>
        <w:rPr>
          <w:rStyle w:val="CharDefText"/>
        </w:rPr>
        <w:t>camp</w:t>
      </w:r>
      <w:r>
        <w:t xml:space="preserve"> includes all structures on or adjoining any island or on a jetty in the reserve which are associated with a rock lobster licence;</w:t>
      </w:r>
    </w:p>
    <w:p>
      <w:pPr>
        <w:pStyle w:val="Defstart"/>
      </w:pPr>
      <w:r>
        <w:rPr>
          <w:b/>
        </w:rPr>
        <w:tab/>
      </w:r>
      <w:r>
        <w:rPr>
          <w:rStyle w:val="CharDefText"/>
        </w:rPr>
        <w:t>jetty</w:t>
      </w:r>
      <w:r>
        <w:t xml:space="preserve"> means a jetty which is attached to and leads onto land within the reserve or is situated within waters adjacent to the reserve;</w:t>
      </w:r>
    </w:p>
    <w:p>
      <w:pPr>
        <w:pStyle w:val="Defstart"/>
      </w:pPr>
      <w:r>
        <w:rPr>
          <w:b/>
        </w:rPr>
        <w:tab/>
      </w:r>
      <w:r>
        <w:rPr>
          <w:rStyle w:val="CharDefText"/>
        </w:rPr>
        <w:t>licensed boat</w:t>
      </w:r>
      <w:r>
        <w:t xml:space="preserve"> means a boat operated under a rock lobster licence;</w:t>
      </w:r>
    </w:p>
    <w:p>
      <w:pPr>
        <w:pStyle w:val="Defstart"/>
      </w:pPr>
      <w:r>
        <w:rPr>
          <w:b/>
        </w:rPr>
        <w:tab/>
      </w:r>
      <w:r>
        <w:rPr>
          <w:rStyle w:val="CharDefText"/>
        </w:rPr>
        <w:t>mooring</w:t>
      </w:r>
      <w:r>
        <w:t xml:space="preserve"> means any gear (including an anchor or stake) set out on the seabed in a permanent manner to which a boat or other floating structure may be secured by a chain, cable, wire or rope;</w:t>
      </w:r>
    </w:p>
    <w:p>
      <w:pPr>
        <w:pStyle w:val="Defstart"/>
      </w:pPr>
      <w:r>
        <w:rPr>
          <w:b/>
        </w:rPr>
        <w:tab/>
      </w:r>
      <w:r>
        <w:rPr>
          <w:rStyle w:val="CharDefText"/>
        </w:rPr>
        <w:t>operator</w:t>
      </w:r>
      <w:r>
        <w:t xml:space="preserve"> means the master of a licensed boat;</w:t>
      </w:r>
    </w:p>
    <w:p>
      <w:pPr>
        <w:pStyle w:val="Defstart"/>
      </w:pPr>
      <w:r>
        <w:rPr>
          <w:b/>
        </w:rPr>
        <w:tab/>
      </w:r>
      <w:r>
        <w:rPr>
          <w:rStyle w:val="CharDefText"/>
        </w:rPr>
        <w:t>reserve</w:t>
      </w:r>
      <w:r>
        <w:t xml:space="preserve"> means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reserve;</w:t>
      </w:r>
    </w:p>
    <w:p>
      <w:pPr>
        <w:pStyle w:val="Defstart"/>
      </w:pPr>
      <w:r>
        <w:rPr>
          <w:b/>
        </w:rPr>
        <w:tab/>
      </w:r>
      <w:r>
        <w:rPr>
          <w:rStyle w:val="CharDefText"/>
        </w:rPr>
        <w:t>rock lobster licence</w:t>
      </w:r>
      <w:r>
        <w:t xml:space="preserve"> means a managed fishery licence granted in respect of the West Coast Rock Lobster Managed Fishery, declared under the </w:t>
      </w:r>
      <w:r>
        <w:rPr>
          <w:i/>
        </w:rPr>
        <w:t>West Coast Rock Lobster Management Plan 1993</w:t>
      </w:r>
      <w:r>
        <w:t>, to fish for rock lobster from Zone A of that fishery;</w:t>
      </w:r>
    </w:p>
    <w:p>
      <w:pPr>
        <w:pStyle w:val="Defstart"/>
      </w:pPr>
      <w:r>
        <w:rPr>
          <w:b/>
        </w:rPr>
        <w:tab/>
      </w:r>
      <w:r>
        <w:rPr>
          <w:rStyle w:val="CharDefText"/>
        </w:rPr>
        <w:t>share arrangement</w:t>
      </w:r>
      <w:r>
        <w:t xml:space="preserve"> means a valid written agreement to share facilities under regulation 92.</w:t>
      </w:r>
    </w:p>
    <w:p>
      <w:pPr>
        <w:pStyle w:val="Footnotesection"/>
      </w:pPr>
      <w:r>
        <w:tab/>
        <w:t>[Regulation 72 amended in Gazette 6 Jul 2007 p. 3389.]</w:t>
      </w:r>
    </w:p>
    <w:p>
      <w:pPr>
        <w:pStyle w:val="Heading5"/>
        <w:rPr>
          <w:snapToGrid w:val="0"/>
        </w:rPr>
      </w:pPr>
      <w:bookmarkStart w:id="3569" w:name="_Toc309309430"/>
      <w:r>
        <w:rPr>
          <w:rStyle w:val="CharSectno"/>
        </w:rPr>
        <w:t>73</w:t>
      </w:r>
      <w:r>
        <w:rPr>
          <w:snapToGrid w:val="0"/>
        </w:rPr>
        <w:t>.</w:t>
      </w:r>
      <w:r>
        <w:rPr>
          <w:snapToGrid w:val="0"/>
        </w:rPr>
        <w:tab/>
        <w:t>Application of this Part</w:t>
      </w:r>
      <w:bookmarkEnd w:id="3569"/>
    </w:p>
    <w:p>
      <w:pPr>
        <w:pStyle w:val="Subsection"/>
        <w:rPr>
          <w:snapToGrid w:val="0"/>
        </w:rPr>
      </w:pPr>
      <w:r>
        <w:rPr>
          <w:snapToGrid w:val="0"/>
        </w:rPr>
        <w:tab/>
      </w:r>
      <w:r>
        <w:rPr>
          <w:snapToGrid w:val="0"/>
        </w:rPr>
        <w:tab/>
        <w:t>This Part applies to and in respect to all land and waters within and adjacent to the reserve.</w:t>
      </w:r>
    </w:p>
    <w:p>
      <w:pPr>
        <w:pStyle w:val="Heading3"/>
      </w:pPr>
      <w:bookmarkStart w:id="3570" w:name="_Toc189988001"/>
      <w:bookmarkStart w:id="3571" w:name="_Toc192041584"/>
      <w:bookmarkStart w:id="3572" w:name="_Toc199570818"/>
      <w:bookmarkStart w:id="3573" w:name="_Toc199738816"/>
      <w:bookmarkStart w:id="3574" w:name="_Toc199814917"/>
      <w:bookmarkStart w:id="3575" w:name="_Toc215040724"/>
      <w:bookmarkStart w:id="3576" w:name="_Toc215041169"/>
      <w:bookmarkStart w:id="3577" w:name="_Toc222129377"/>
      <w:bookmarkStart w:id="3578" w:name="_Toc222223082"/>
      <w:bookmarkStart w:id="3579" w:name="_Toc225914334"/>
      <w:bookmarkStart w:id="3580" w:name="_Toc231282379"/>
      <w:bookmarkStart w:id="3581" w:name="_Toc231282823"/>
      <w:bookmarkStart w:id="3582" w:name="_Toc234899410"/>
      <w:bookmarkStart w:id="3583" w:name="_Toc236632692"/>
      <w:bookmarkStart w:id="3584" w:name="_Toc236720305"/>
      <w:bookmarkStart w:id="3585" w:name="_Toc237764504"/>
      <w:bookmarkStart w:id="3586" w:name="_Toc238356128"/>
      <w:bookmarkStart w:id="3587" w:name="_Toc238368833"/>
      <w:bookmarkStart w:id="3588" w:name="_Toc238375786"/>
      <w:bookmarkStart w:id="3589" w:name="_Toc240339110"/>
      <w:bookmarkStart w:id="3590" w:name="_Toc241993616"/>
      <w:bookmarkStart w:id="3591" w:name="_Toc243192759"/>
      <w:bookmarkStart w:id="3592" w:name="_Toc243295461"/>
      <w:bookmarkStart w:id="3593" w:name="_Toc245113034"/>
      <w:bookmarkStart w:id="3594" w:name="_Toc245198196"/>
      <w:bookmarkStart w:id="3595" w:name="_Toc245198645"/>
      <w:bookmarkStart w:id="3596" w:name="_Toc245199094"/>
      <w:bookmarkStart w:id="3597" w:name="_Toc248122125"/>
      <w:bookmarkStart w:id="3598" w:name="_Toc248122576"/>
      <w:bookmarkStart w:id="3599" w:name="_Toc253670563"/>
      <w:bookmarkStart w:id="3600" w:name="_Toc253671013"/>
      <w:bookmarkStart w:id="3601" w:name="_Toc254942783"/>
      <w:bookmarkStart w:id="3602" w:name="_Toc254943236"/>
      <w:bookmarkStart w:id="3603" w:name="_Toc255475828"/>
      <w:bookmarkStart w:id="3604" w:name="_Toc256432149"/>
      <w:bookmarkStart w:id="3605" w:name="_Toc257720486"/>
      <w:bookmarkStart w:id="3606" w:name="_Toc257722168"/>
      <w:bookmarkStart w:id="3607" w:name="_Toc258335844"/>
      <w:bookmarkStart w:id="3608" w:name="_Toc260406286"/>
      <w:bookmarkStart w:id="3609" w:name="_Toc261271472"/>
      <w:bookmarkStart w:id="3610" w:name="_Toc262808154"/>
      <w:bookmarkStart w:id="3611" w:name="_Toc267572547"/>
      <w:bookmarkStart w:id="3612" w:name="_Toc270684296"/>
      <w:bookmarkStart w:id="3613" w:name="_Toc274214473"/>
      <w:bookmarkStart w:id="3614" w:name="_Toc274214922"/>
      <w:bookmarkStart w:id="3615" w:name="_Toc278976253"/>
      <w:bookmarkStart w:id="3616" w:name="_Toc286760576"/>
      <w:bookmarkStart w:id="3617" w:name="_Toc289080921"/>
      <w:bookmarkStart w:id="3618" w:name="_Toc290284115"/>
      <w:bookmarkStart w:id="3619" w:name="_Toc290642936"/>
      <w:bookmarkStart w:id="3620" w:name="_Toc290643385"/>
      <w:bookmarkStart w:id="3621" w:name="_Toc290643838"/>
      <w:bookmarkStart w:id="3622" w:name="_Toc294701655"/>
      <w:bookmarkStart w:id="3623" w:name="_Toc295200063"/>
      <w:bookmarkStart w:id="3624" w:name="_Toc296954504"/>
      <w:bookmarkStart w:id="3625" w:name="_Toc297276136"/>
      <w:bookmarkStart w:id="3626" w:name="_Toc297276588"/>
      <w:bookmarkStart w:id="3627" w:name="_Toc297277038"/>
      <w:bookmarkStart w:id="3628" w:name="_Toc297726407"/>
      <w:bookmarkStart w:id="3629" w:name="_Toc299980193"/>
      <w:bookmarkStart w:id="3630" w:name="_Toc300234819"/>
      <w:bookmarkStart w:id="3631" w:name="_Toc301961322"/>
      <w:bookmarkStart w:id="3632" w:name="_Toc301966892"/>
      <w:bookmarkStart w:id="3633" w:name="_Toc303253101"/>
      <w:bookmarkStart w:id="3634" w:name="_Toc303257265"/>
      <w:bookmarkStart w:id="3635" w:name="_Toc307992898"/>
      <w:bookmarkStart w:id="3636" w:name="_Toc309029931"/>
      <w:bookmarkStart w:id="3637" w:name="_Toc309304154"/>
      <w:bookmarkStart w:id="3638" w:name="_Toc309304607"/>
      <w:bookmarkStart w:id="3639" w:name="_Toc309309431"/>
      <w:r>
        <w:rPr>
          <w:rStyle w:val="CharDivNo"/>
        </w:rPr>
        <w:t>Division 2</w:t>
      </w:r>
      <w:r>
        <w:rPr>
          <w:snapToGrid w:val="0"/>
        </w:rPr>
        <w:t> — </w:t>
      </w:r>
      <w:r>
        <w:rPr>
          <w:rStyle w:val="CharDivText"/>
        </w:rPr>
        <w:t>Jetties</w:t>
      </w:r>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p>
    <w:p>
      <w:pPr>
        <w:pStyle w:val="Heading5"/>
        <w:rPr>
          <w:snapToGrid w:val="0"/>
        </w:rPr>
      </w:pPr>
      <w:bookmarkStart w:id="3640" w:name="_Toc309309432"/>
      <w:r>
        <w:rPr>
          <w:rStyle w:val="CharSectno"/>
        </w:rPr>
        <w:t>74</w:t>
      </w:r>
      <w:r>
        <w:rPr>
          <w:snapToGrid w:val="0"/>
        </w:rPr>
        <w:t>.</w:t>
      </w:r>
      <w:r>
        <w:rPr>
          <w:snapToGrid w:val="0"/>
        </w:rPr>
        <w:tab/>
        <w:t>Construction and modification of jetties and moorings</w:t>
      </w:r>
      <w:bookmarkEnd w:id="3640"/>
    </w:p>
    <w:p>
      <w:pPr>
        <w:pStyle w:val="Subsection"/>
        <w:rPr>
          <w:snapToGrid w:val="0"/>
        </w:rPr>
      </w:pPr>
      <w:r>
        <w:rPr>
          <w:snapToGrid w:val="0"/>
        </w:rPr>
        <w:tab/>
        <w:t>(1)</w:t>
      </w:r>
      <w:r>
        <w:rPr>
          <w:snapToGrid w:val="0"/>
        </w:rPr>
        <w:tab/>
        <w:t>A person who wishes to construct or modify a jetty or mooring must first apply to the CEO in the approved form.</w:t>
      </w:r>
    </w:p>
    <w:p>
      <w:pPr>
        <w:pStyle w:val="Subsection"/>
        <w:rPr>
          <w:snapToGrid w:val="0"/>
        </w:rPr>
      </w:pPr>
      <w:r>
        <w:rPr>
          <w:snapToGrid w:val="0"/>
        </w:rPr>
        <w:tab/>
        <w:t>(2)</w:t>
      </w:r>
      <w:r>
        <w:rPr>
          <w:snapToGrid w:val="0"/>
        </w:rPr>
        <w:tab/>
        <w:t>If the CEO gives approval following an application under subregulation (1), that approval may be subject to such conditions as the CEO considers are necessary in the particular case and endorses on the approval.</w:t>
      </w:r>
    </w:p>
    <w:p>
      <w:pPr>
        <w:pStyle w:val="Subsection"/>
        <w:rPr>
          <w:snapToGrid w:val="0"/>
        </w:rPr>
      </w:pPr>
      <w:r>
        <w:rPr>
          <w:snapToGrid w:val="0"/>
        </w:rPr>
        <w:tab/>
        <w:t>(3)</w:t>
      </w:r>
      <w:r>
        <w:rPr>
          <w:snapToGrid w:val="0"/>
        </w:rPr>
        <w:tab/>
        <w:t>A person referred to in subregulation (1) must not commence construction or modification of a jetty or mooring unless the written approval of the CEO has been obtained.</w:t>
      </w:r>
    </w:p>
    <w:p>
      <w:pPr>
        <w:pStyle w:val="Subsection"/>
        <w:rPr>
          <w:snapToGrid w:val="0"/>
        </w:rPr>
      </w:pPr>
      <w:r>
        <w:rPr>
          <w:snapToGrid w:val="0"/>
        </w:rPr>
        <w:tab/>
        <w:t>(4)</w:t>
      </w:r>
      <w:r>
        <w:rPr>
          <w:snapToGrid w:val="0"/>
        </w:rPr>
        <w:tab/>
        <w:t>A person must comply with a condition endorsed on an approval given under this regulation.</w:t>
      </w:r>
    </w:p>
    <w:p>
      <w:pPr>
        <w:pStyle w:val="Penstart"/>
        <w:rPr>
          <w:snapToGrid w:val="0"/>
        </w:rPr>
      </w:pPr>
      <w:r>
        <w:rPr>
          <w:snapToGrid w:val="0"/>
        </w:rPr>
        <w:tab/>
        <w:t>Penalty for an offence under subregulation (3) or (4): Not less than $500 or more than $2 000.</w:t>
      </w:r>
    </w:p>
    <w:p>
      <w:pPr>
        <w:pStyle w:val="Subsection"/>
        <w:rPr>
          <w:snapToGrid w:val="0"/>
        </w:rPr>
      </w:pPr>
      <w:r>
        <w:rPr>
          <w:snapToGrid w:val="0"/>
        </w:rPr>
        <w:tab/>
        <w:t>(5)</w:t>
      </w:r>
      <w:r>
        <w:rPr>
          <w:snapToGrid w:val="0"/>
        </w:rPr>
        <w:tab/>
        <w:t>A fisheries officer may, by notice in writing given to a person to whom approval was granted under this regulation, order that work specified in the notice be carried out within the time specified in the notice on a jetty or mooring that the fisheries officer believes is insecure or unsafe.</w:t>
      </w:r>
    </w:p>
    <w:p>
      <w:pPr>
        <w:pStyle w:val="Subsection"/>
        <w:rPr>
          <w:snapToGrid w:val="0"/>
        </w:rPr>
      </w:pPr>
      <w:r>
        <w:rPr>
          <w:snapToGrid w:val="0"/>
        </w:rPr>
        <w:tab/>
        <w:t>(6)</w:t>
      </w:r>
      <w:r>
        <w:rPr>
          <w:snapToGrid w:val="0"/>
        </w:rPr>
        <w:tab/>
        <w:t>A person must comply with an order given under subregulation (5) within the time specified in the order.</w:t>
      </w:r>
    </w:p>
    <w:p>
      <w:pPr>
        <w:pStyle w:val="Penstart"/>
        <w:rPr>
          <w:snapToGrid w:val="0"/>
        </w:rPr>
      </w:pPr>
      <w:r>
        <w:rPr>
          <w:snapToGrid w:val="0"/>
        </w:rPr>
        <w:tab/>
        <w:t>Penalty: $1 000.</w:t>
      </w:r>
    </w:p>
    <w:p>
      <w:pPr>
        <w:pStyle w:val="Footnotesection"/>
      </w:pPr>
      <w:r>
        <w:tab/>
        <w:t>[Regulation 74 amended in Gazette 6 Jul 2007 p. 3389.]</w:t>
      </w:r>
    </w:p>
    <w:p>
      <w:pPr>
        <w:pStyle w:val="Heading5"/>
        <w:rPr>
          <w:snapToGrid w:val="0"/>
        </w:rPr>
      </w:pPr>
      <w:bookmarkStart w:id="3641" w:name="_Toc309309433"/>
      <w:r>
        <w:rPr>
          <w:rStyle w:val="CharSectno"/>
        </w:rPr>
        <w:t>75</w:t>
      </w:r>
      <w:r>
        <w:rPr>
          <w:snapToGrid w:val="0"/>
        </w:rPr>
        <w:t>.</w:t>
      </w:r>
      <w:r>
        <w:rPr>
          <w:snapToGrid w:val="0"/>
        </w:rPr>
        <w:tab/>
        <w:t>Unauthorised use of jetties and moorings</w:t>
      </w:r>
      <w:bookmarkEnd w:id="3641"/>
    </w:p>
    <w:p>
      <w:pPr>
        <w:pStyle w:val="Subsection"/>
        <w:keepNext/>
        <w:keepLines/>
        <w:spacing w:before="180"/>
        <w:rPr>
          <w:snapToGrid w:val="0"/>
        </w:rPr>
      </w:pPr>
      <w:r>
        <w:rPr>
          <w:snapToGrid w:val="0"/>
        </w:rPr>
        <w:tab/>
        <w:t>(1)</w:t>
      </w:r>
      <w:r>
        <w:rPr>
          <w:snapToGrid w:val="0"/>
        </w:rPr>
        <w:tab/>
        <w:t>A person, other than —</w:t>
      </w:r>
    </w:p>
    <w:p>
      <w:pPr>
        <w:pStyle w:val="Indenta"/>
        <w:rPr>
          <w:snapToGrid w:val="0"/>
        </w:rPr>
      </w:pPr>
      <w:r>
        <w:rPr>
          <w:snapToGrid w:val="0"/>
        </w:rPr>
        <w:tab/>
        <w:t>(a)</w:t>
      </w:r>
      <w:r>
        <w:rPr>
          <w:snapToGrid w:val="0"/>
        </w:rPr>
        <w:tab/>
        <w:t>the owner of; or</w:t>
      </w:r>
    </w:p>
    <w:p>
      <w:pPr>
        <w:pStyle w:val="Indenta"/>
        <w:rPr>
          <w:snapToGrid w:val="0"/>
        </w:rPr>
      </w:pPr>
      <w:r>
        <w:rPr>
          <w:snapToGrid w:val="0"/>
        </w:rPr>
        <w:tab/>
        <w:t>(b)</w:t>
      </w:r>
      <w:r>
        <w:rPr>
          <w:snapToGrid w:val="0"/>
        </w:rPr>
        <w:tab/>
        <w:t>a person who is a party to a share arrangement in relation to; or</w:t>
      </w:r>
    </w:p>
    <w:p>
      <w:pPr>
        <w:pStyle w:val="Indenta"/>
        <w:rPr>
          <w:snapToGrid w:val="0"/>
        </w:rPr>
      </w:pPr>
      <w:r>
        <w:rPr>
          <w:snapToGrid w:val="0"/>
        </w:rPr>
        <w:tab/>
        <w:t>(c)</w:t>
      </w:r>
      <w:r>
        <w:rPr>
          <w:snapToGrid w:val="0"/>
        </w:rPr>
        <w:tab/>
        <w:t>the person responsible for,</w:t>
      </w:r>
    </w:p>
    <w:p>
      <w:pPr>
        <w:pStyle w:val="Subsection"/>
        <w:keepNext/>
        <w:spacing w:before="180"/>
        <w:rPr>
          <w:snapToGrid w:val="0"/>
        </w:rPr>
      </w:pPr>
      <w:r>
        <w:rPr>
          <w:snapToGrid w:val="0"/>
        </w:rPr>
        <w:tab/>
      </w:r>
      <w:r>
        <w:rPr>
          <w:snapToGrid w:val="0"/>
        </w:rPr>
        <w:tab/>
        <w:t>a jetty or mooring, must not use that jetty or mooring without the written permission, in the approved manner, of a person set out in paragraph (a), (b) or (c).</w:t>
      </w:r>
    </w:p>
    <w:p>
      <w:pPr>
        <w:pStyle w:val="Penstart"/>
        <w:rPr>
          <w:snapToGrid w:val="0"/>
        </w:rPr>
      </w:pPr>
      <w:r>
        <w:rPr>
          <w:snapToGrid w:val="0"/>
        </w:rPr>
        <w:tab/>
        <w:t>Penalty: Not less than $100 or more than $1 000.</w:t>
      </w:r>
    </w:p>
    <w:p>
      <w:pPr>
        <w:pStyle w:val="Subsection"/>
        <w:keepNext/>
        <w:spacing w:before="180"/>
        <w:rPr>
          <w:snapToGrid w:val="0"/>
        </w:rPr>
      </w:pPr>
      <w:r>
        <w:rPr>
          <w:snapToGrid w:val="0"/>
        </w:rPr>
        <w:tab/>
        <w:t>(2)</w:t>
      </w:r>
      <w:r>
        <w:rPr>
          <w:snapToGrid w:val="0"/>
        </w:rPr>
        <w:tab/>
        <w:t>Where written permission has been obtained in accordance with subregulation (1) —</w:t>
      </w:r>
    </w:p>
    <w:p>
      <w:pPr>
        <w:pStyle w:val="Indenta"/>
        <w:rPr>
          <w:snapToGrid w:val="0"/>
        </w:rPr>
      </w:pPr>
      <w:r>
        <w:rPr>
          <w:snapToGrid w:val="0"/>
        </w:rPr>
        <w:tab/>
        <w:t>(a)</w:t>
      </w:r>
      <w:r>
        <w:rPr>
          <w:snapToGrid w:val="0"/>
        </w:rPr>
        <w:tab/>
        <w:t>a copy of the written permission must be filed with the Geraldton or Dongara office of the Department before the jetty or mooring is used by the person obtaining that permission; and</w:t>
      </w:r>
    </w:p>
    <w:p>
      <w:pPr>
        <w:pStyle w:val="Indenta"/>
        <w:rPr>
          <w:snapToGrid w:val="0"/>
        </w:rPr>
      </w:pPr>
      <w:r>
        <w:rPr>
          <w:snapToGrid w:val="0"/>
        </w:rPr>
        <w:tab/>
        <w:t>(b)</w:t>
      </w:r>
      <w:r>
        <w:rPr>
          <w:snapToGrid w:val="0"/>
        </w:rPr>
        <w:tab/>
        <w:t>a copy of the written permission must be retained on board the appropriate boat and presented to a fisheries officer on demand.</w:t>
      </w:r>
    </w:p>
    <w:p>
      <w:pPr>
        <w:pStyle w:val="Subsection"/>
        <w:spacing w:before="180"/>
        <w:rPr>
          <w:snapToGrid w:val="0"/>
        </w:rPr>
      </w:pPr>
      <w:r>
        <w:rPr>
          <w:snapToGrid w:val="0"/>
        </w:rPr>
        <w:tab/>
        <w:t>(3)</w:t>
      </w:r>
      <w:r>
        <w:rPr>
          <w:snapToGrid w:val="0"/>
        </w:rPr>
        <w:tab/>
        <w:t>Subject to subregulations (1) and (2), a person must not cause a boat, other than a licensed boat or an approved boat, to tie up to a jetty or mooring overnight.</w:t>
      </w:r>
    </w:p>
    <w:p>
      <w:pPr>
        <w:pStyle w:val="Penstart"/>
        <w:rPr>
          <w:snapToGrid w:val="0"/>
        </w:rPr>
      </w:pPr>
      <w:r>
        <w:rPr>
          <w:snapToGrid w:val="0"/>
        </w:rPr>
        <w:tab/>
        <w:t>Penalty: Not less than $100 or more than $1 000.</w:t>
      </w:r>
    </w:p>
    <w:p>
      <w:pPr>
        <w:pStyle w:val="Subsection"/>
        <w:keepNext/>
        <w:spacing w:before="180"/>
        <w:rPr>
          <w:snapToGrid w:val="0"/>
        </w:rPr>
      </w:pPr>
      <w:r>
        <w:rPr>
          <w:snapToGrid w:val="0"/>
        </w:rPr>
        <w:tab/>
        <w:t>(4)</w:t>
      </w:r>
      <w:r>
        <w:rPr>
          <w:snapToGrid w:val="0"/>
        </w:rPr>
        <w:tab/>
        <w:t>This regulation does not apply to —</w:t>
      </w:r>
    </w:p>
    <w:p>
      <w:pPr>
        <w:pStyle w:val="Indenta"/>
        <w:rPr>
          <w:snapToGrid w:val="0"/>
        </w:rPr>
      </w:pPr>
      <w:r>
        <w:rPr>
          <w:snapToGrid w:val="0"/>
        </w:rPr>
        <w:tab/>
        <w:t>(a)</w:t>
      </w:r>
      <w:r>
        <w:rPr>
          <w:snapToGrid w:val="0"/>
        </w:rPr>
        <w:tab/>
        <w:t>an emergency situation; or</w:t>
      </w:r>
    </w:p>
    <w:p>
      <w:pPr>
        <w:pStyle w:val="Indenta"/>
        <w:rPr>
          <w:snapToGrid w:val="0"/>
        </w:rPr>
      </w:pPr>
      <w:r>
        <w:rPr>
          <w:snapToGrid w:val="0"/>
        </w:rPr>
        <w:tab/>
        <w:t>(b)</w:t>
      </w:r>
      <w:r>
        <w:rPr>
          <w:snapToGrid w:val="0"/>
        </w:rPr>
        <w:tab/>
        <w:t>a jetty which is an approved public use jetty.</w:t>
      </w:r>
    </w:p>
    <w:p>
      <w:pPr>
        <w:pStyle w:val="Heading3"/>
        <w:keepLines/>
      </w:pPr>
      <w:bookmarkStart w:id="3642" w:name="_Toc189988004"/>
      <w:bookmarkStart w:id="3643" w:name="_Toc192041587"/>
      <w:bookmarkStart w:id="3644" w:name="_Toc199570821"/>
      <w:bookmarkStart w:id="3645" w:name="_Toc199738819"/>
      <w:bookmarkStart w:id="3646" w:name="_Toc199814920"/>
      <w:bookmarkStart w:id="3647" w:name="_Toc215040727"/>
      <w:bookmarkStart w:id="3648" w:name="_Toc215041172"/>
      <w:bookmarkStart w:id="3649" w:name="_Toc222129380"/>
      <w:bookmarkStart w:id="3650" w:name="_Toc222223085"/>
      <w:bookmarkStart w:id="3651" w:name="_Toc225914337"/>
      <w:bookmarkStart w:id="3652" w:name="_Toc231282382"/>
      <w:bookmarkStart w:id="3653" w:name="_Toc231282826"/>
      <w:bookmarkStart w:id="3654" w:name="_Toc234899413"/>
      <w:bookmarkStart w:id="3655" w:name="_Toc236632695"/>
      <w:bookmarkStart w:id="3656" w:name="_Toc236720308"/>
      <w:bookmarkStart w:id="3657" w:name="_Toc237764507"/>
      <w:bookmarkStart w:id="3658" w:name="_Toc238356131"/>
      <w:bookmarkStart w:id="3659" w:name="_Toc238368836"/>
      <w:bookmarkStart w:id="3660" w:name="_Toc238375789"/>
      <w:bookmarkStart w:id="3661" w:name="_Toc240339113"/>
      <w:bookmarkStart w:id="3662" w:name="_Toc241993619"/>
      <w:bookmarkStart w:id="3663" w:name="_Toc243192762"/>
      <w:bookmarkStart w:id="3664" w:name="_Toc243295464"/>
      <w:bookmarkStart w:id="3665" w:name="_Toc245113037"/>
      <w:bookmarkStart w:id="3666" w:name="_Toc245198199"/>
      <w:bookmarkStart w:id="3667" w:name="_Toc245198648"/>
      <w:bookmarkStart w:id="3668" w:name="_Toc245199097"/>
      <w:bookmarkStart w:id="3669" w:name="_Toc248122128"/>
      <w:bookmarkStart w:id="3670" w:name="_Toc248122579"/>
      <w:bookmarkStart w:id="3671" w:name="_Toc253670566"/>
      <w:bookmarkStart w:id="3672" w:name="_Toc253671016"/>
      <w:bookmarkStart w:id="3673" w:name="_Toc254942786"/>
      <w:bookmarkStart w:id="3674" w:name="_Toc254943239"/>
      <w:bookmarkStart w:id="3675" w:name="_Toc255475831"/>
      <w:bookmarkStart w:id="3676" w:name="_Toc256432152"/>
      <w:bookmarkStart w:id="3677" w:name="_Toc257720489"/>
      <w:bookmarkStart w:id="3678" w:name="_Toc257722171"/>
      <w:bookmarkStart w:id="3679" w:name="_Toc258335847"/>
      <w:bookmarkStart w:id="3680" w:name="_Toc260406289"/>
      <w:bookmarkStart w:id="3681" w:name="_Toc261271475"/>
      <w:bookmarkStart w:id="3682" w:name="_Toc262808157"/>
      <w:bookmarkStart w:id="3683" w:name="_Toc267572550"/>
      <w:bookmarkStart w:id="3684" w:name="_Toc270684299"/>
      <w:bookmarkStart w:id="3685" w:name="_Toc274214476"/>
      <w:bookmarkStart w:id="3686" w:name="_Toc274214925"/>
      <w:bookmarkStart w:id="3687" w:name="_Toc278976256"/>
      <w:bookmarkStart w:id="3688" w:name="_Toc286760579"/>
      <w:bookmarkStart w:id="3689" w:name="_Toc289080924"/>
      <w:bookmarkStart w:id="3690" w:name="_Toc290284118"/>
      <w:bookmarkStart w:id="3691" w:name="_Toc290642939"/>
      <w:bookmarkStart w:id="3692" w:name="_Toc290643388"/>
      <w:bookmarkStart w:id="3693" w:name="_Toc290643841"/>
      <w:bookmarkStart w:id="3694" w:name="_Toc294701658"/>
      <w:bookmarkStart w:id="3695" w:name="_Toc295200066"/>
      <w:bookmarkStart w:id="3696" w:name="_Toc296954507"/>
      <w:bookmarkStart w:id="3697" w:name="_Toc297276139"/>
      <w:bookmarkStart w:id="3698" w:name="_Toc297276591"/>
      <w:bookmarkStart w:id="3699" w:name="_Toc297277041"/>
      <w:bookmarkStart w:id="3700" w:name="_Toc297726410"/>
      <w:bookmarkStart w:id="3701" w:name="_Toc299980196"/>
      <w:bookmarkStart w:id="3702" w:name="_Toc300234822"/>
      <w:bookmarkStart w:id="3703" w:name="_Toc301961325"/>
      <w:bookmarkStart w:id="3704" w:name="_Toc301966895"/>
      <w:bookmarkStart w:id="3705" w:name="_Toc303253104"/>
      <w:bookmarkStart w:id="3706" w:name="_Toc303257268"/>
      <w:bookmarkStart w:id="3707" w:name="_Toc307992901"/>
      <w:bookmarkStart w:id="3708" w:name="_Toc309029934"/>
      <w:bookmarkStart w:id="3709" w:name="_Toc309304157"/>
      <w:bookmarkStart w:id="3710" w:name="_Toc309304610"/>
      <w:bookmarkStart w:id="3711" w:name="_Toc309309434"/>
      <w:r>
        <w:rPr>
          <w:rStyle w:val="CharDivNo"/>
        </w:rPr>
        <w:t>Division 3</w:t>
      </w:r>
      <w:r>
        <w:rPr>
          <w:snapToGrid w:val="0"/>
        </w:rPr>
        <w:t> — </w:t>
      </w:r>
      <w:r>
        <w:rPr>
          <w:rStyle w:val="CharDivText"/>
        </w:rPr>
        <w:t>Buildings and facilities</w:t>
      </w:r>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p>
    <w:p>
      <w:pPr>
        <w:pStyle w:val="Heading5"/>
        <w:rPr>
          <w:snapToGrid w:val="0"/>
        </w:rPr>
      </w:pPr>
      <w:bookmarkStart w:id="3712" w:name="_Toc309309435"/>
      <w:r>
        <w:rPr>
          <w:rStyle w:val="CharSectno"/>
        </w:rPr>
        <w:t>76</w:t>
      </w:r>
      <w:r>
        <w:rPr>
          <w:snapToGrid w:val="0"/>
        </w:rPr>
        <w:t>.</w:t>
      </w:r>
      <w:r>
        <w:rPr>
          <w:snapToGrid w:val="0"/>
        </w:rPr>
        <w:tab/>
        <w:t>CEO may waive requirements of this Division</w:t>
      </w:r>
      <w:bookmarkEnd w:id="3712"/>
    </w:p>
    <w:p>
      <w:pPr>
        <w:pStyle w:val="Subsection"/>
        <w:keepNext/>
        <w:rPr>
          <w:snapToGrid w:val="0"/>
        </w:rPr>
      </w:pPr>
      <w:r>
        <w:rPr>
          <w:snapToGrid w:val="0"/>
        </w:rPr>
        <w:tab/>
        <w:t>(1)</w:t>
      </w:r>
      <w:r>
        <w:rPr>
          <w:snapToGrid w:val="0"/>
        </w:rPr>
        <w:tab/>
        <w:t>The CEO may waive or vary any of the requirements in this Division, on a case</w:t>
      </w:r>
      <w:r>
        <w:rPr>
          <w:snapToGrid w:val="0"/>
        </w:rPr>
        <w:noBreakHyphen/>
        <w:t>by</w:t>
      </w:r>
      <w:r>
        <w:rPr>
          <w:snapToGrid w:val="0"/>
        </w:rPr>
        <w:noBreakHyphen/>
        <w:t>case basis, if the circumstances are considered to be exceptional, or of sufficient public or heritage interest to do so.</w:t>
      </w:r>
    </w:p>
    <w:p>
      <w:pPr>
        <w:pStyle w:val="Subsection"/>
        <w:rPr>
          <w:snapToGrid w:val="0"/>
        </w:rPr>
      </w:pPr>
      <w:r>
        <w:rPr>
          <w:snapToGrid w:val="0"/>
        </w:rPr>
        <w:tab/>
        <w:t>(2)</w:t>
      </w:r>
      <w:r>
        <w:rPr>
          <w:snapToGrid w:val="0"/>
        </w:rPr>
        <w:tab/>
        <w:t>Any waiver or variation must be in writing, and must specify to whom or what it applies, and under what circumstances.</w:t>
      </w:r>
    </w:p>
    <w:p>
      <w:pPr>
        <w:pStyle w:val="Footnotesection"/>
      </w:pPr>
      <w:r>
        <w:tab/>
        <w:t>[Regulation 76 amended in Gazette 6 Jul 2007 p. 3389.]</w:t>
      </w:r>
    </w:p>
    <w:p>
      <w:pPr>
        <w:pStyle w:val="Heading5"/>
        <w:rPr>
          <w:snapToGrid w:val="0"/>
        </w:rPr>
      </w:pPr>
      <w:bookmarkStart w:id="3713" w:name="_Toc309309436"/>
      <w:r>
        <w:rPr>
          <w:rStyle w:val="CharSectno"/>
        </w:rPr>
        <w:t>77</w:t>
      </w:r>
      <w:r>
        <w:rPr>
          <w:snapToGrid w:val="0"/>
        </w:rPr>
        <w:t>.</w:t>
      </w:r>
      <w:r>
        <w:rPr>
          <w:snapToGrid w:val="0"/>
        </w:rPr>
        <w:tab/>
        <w:t>Camps associated with rock lobster licences, transfer of etc.</w:t>
      </w:r>
      <w:bookmarkEnd w:id="3713"/>
    </w:p>
    <w:p>
      <w:pPr>
        <w:pStyle w:val="Subsection"/>
        <w:rPr>
          <w:snapToGrid w:val="0"/>
        </w:rPr>
      </w:pPr>
      <w:r>
        <w:rPr>
          <w:snapToGrid w:val="0"/>
        </w:rPr>
        <w:tab/>
        <w:t>(1)</w:t>
      </w:r>
      <w:r>
        <w:rPr>
          <w:snapToGrid w:val="0"/>
        </w:rPr>
        <w:tab/>
        <w:t>The holder of a rock lobster licence who applies to —</w:t>
      </w:r>
    </w:p>
    <w:p>
      <w:pPr>
        <w:pStyle w:val="Indenta"/>
        <w:rPr>
          <w:snapToGrid w:val="0"/>
        </w:rPr>
      </w:pPr>
      <w:r>
        <w:rPr>
          <w:snapToGrid w:val="0"/>
        </w:rPr>
        <w:tab/>
        <w:t>(a)</w:t>
      </w:r>
      <w:r>
        <w:rPr>
          <w:snapToGrid w:val="0"/>
        </w:rPr>
        <w:tab/>
        <w:t>transfer that licence; or</w:t>
      </w:r>
    </w:p>
    <w:p>
      <w:pPr>
        <w:pStyle w:val="Indenta"/>
        <w:rPr>
          <w:snapToGrid w:val="0"/>
        </w:rPr>
      </w:pPr>
      <w:r>
        <w:rPr>
          <w:snapToGrid w:val="0"/>
        </w:rPr>
        <w:tab/>
        <w:t>(b)</w:t>
      </w:r>
      <w:r>
        <w:rPr>
          <w:snapToGrid w:val="0"/>
        </w:rPr>
        <w:tab/>
        <w:t>redistribute an entitlement on that licence; or</w:t>
      </w:r>
    </w:p>
    <w:p>
      <w:pPr>
        <w:pStyle w:val="Indenta"/>
        <w:rPr>
          <w:snapToGrid w:val="0"/>
        </w:rPr>
      </w:pPr>
      <w:r>
        <w:rPr>
          <w:snapToGrid w:val="0"/>
        </w:rPr>
        <w:tab/>
        <w:t>(c)</w:t>
      </w:r>
      <w:r>
        <w:rPr>
          <w:snapToGrid w:val="0"/>
        </w:rPr>
        <w:tab/>
        <w:t>acquire a further rock lobster licence and amalgamate that licence with another rock lobster licence,</w:t>
      </w:r>
    </w:p>
    <w:p>
      <w:pPr>
        <w:pStyle w:val="Subsection"/>
        <w:spacing w:before="120"/>
        <w:rPr>
          <w:snapToGrid w:val="0"/>
        </w:rPr>
      </w:pPr>
      <w:r>
        <w:rPr>
          <w:snapToGrid w:val="0"/>
        </w:rPr>
        <w:tab/>
      </w:r>
      <w:r>
        <w:rPr>
          <w:snapToGrid w:val="0"/>
        </w:rPr>
        <w:tab/>
        <w:t>must, at the same time, apply in the approved manner to either transfer or remove the associated camp (as the case requires).</w:t>
      </w:r>
    </w:p>
    <w:p>
      <w:pPr>
        <w:pStyle w:val="Subsection"/>
        <w:spacing w:before="120"/>
        <w:rPr>
          <w:snapToGrid w:val="0"/>
        </w:rPr>
      </w:pPr>
      <w:r>
        <w:rPr>
          <w:snapToGrid w:val="0"/>
        </w:rPr>
        <w:tab/>
        <w:t>(2)</w:t>
      </w:r>
      <w:r>
        <w:rPr>
          <w:snapToGrid w:val="0"/>
        </w:rPr>
        <w:tab/>
        <w:t>If the CEO considers it appropriate, the CEO may approve an application, made under subregulation (1), to transfer or remove an associated camp, and the CEO may make that approval subject to conditions which must be endorsed on the approval.</w:t>
      </w:r>
    </w:p>
    <w:p>
      <w:pPr>
        <w:pStyle w:val="Subsection"/>
        <w:spacing w:before="120"/>
        <w:rPr>
          <w:snapToGrid w:val="0"/>
        </w:rPr>
      </w:pPr>
      <w:r>
        <w:rPr>
          <w:snapToGrid w:val="0"/>
        </w:rPr>
        <w:tab/>
        <w:t>(3)</w:t>
      </w:r>
      <w:r>
        <w:rPr>
          <w:snapToGrid w:val="0"/>
        </w:rPr>
        <w:tab/>
        <w:t>A person who does not comply with the conditions endorsed on an approval to transfer or remove an associated camp commits an offence.</w:t>
      </w:r>
    </w:p>
    <w:p>
      <w:pPr>
        <w:pStyle w:val="Penstart"/>
        <w:rPr>
          <w:snapToGrid w:val="0"/>
        </w:rPr>
      </w:pPr>
      <w:r>
        <w:rPr>
          <w:snapToGrid w:val="0"/>
        </w:rPr>
        <w:tab/>
        <w:t>Penalty: Not less than $100 or more than $1 000.</w:t>
      </w:r>
    </w:p>
    <w:p>
      <w:pPr>
        <w:pStyle w:val="Subsection"/>
        <w:spacing w:before="120"/>
        <w:rPr>
          <w:snapToGrid w:val="0"/>
        </w:rPr>
      </w:pPr>
      <w:r>
        <w:rPr>
          <w:snapToGrid w:val="0"/>
        </w:rPr>
        <w:tab/>
        <w:t>(4)</w:t>
      </w:r>
      <w:r>
        <w:rPr>
          <w:snapToGrid w:val="0"/>
        </w:rPr>
        <w:tab/>
        <w:t>A rock lobster licence holder may apply, in the approved manner, to relocate from a former camp to another associated camp.</w:t>
      </w:r>
    </w:p>
    <w:p>
      <w:pPr>
        <w:pStyle w:val="Subsection"/>
        <w:spacing w:before="120"/>
        <w:rPr>
          <w:snapToGrid w:val="0"/>
        </w:rPr>
      </w:pPr>
      <w:r>
        <w:rPr>
          <w:snapToGrid w:val="0"/>
        </w:rPr>
        <w:tab/>
        <w:t>(5)</w:t>
      </w:r>
      <w:r>
        <w:rPr>
          <w:snapToGrid w:val="0"/>
        </w:rPr>
        <w:tab/>
        <w:t>If the CEO considers it appropriate, the CEO may approve an application, made under subregulation (4), to relocate, and the CEO may make that approval subject to conditions which must be endorsed on the approval.</w:t>
      </w:r>
    </w:p>
    <w:p>
      <w:pPr>
        <w:pStyle w:val="Subsection"/>
        <w:rPr>
          <w:snapToGrid w:val="0"/>
        </w:rPr>
      </w:pPr>
      <w:r>
        <w:rPr>
          <w:snapToGrid w:val="0"/>
        </w:rPr>
        <w:tab/>
        <w:t>(6)</w:t>
      </w:r>
      <w:r>
        <w:rPr>
          <w:snapToGrid w:val="0"/>
        </w:rPr>
        <w:tab/>
        <w:t>A person must comply with the conditions endorsed on an approval to relocate.</w:t>
      </w:r>
    </w:p>
    <w:p>
      <w:pPr>
        <w:pStyle w:val="Penstart"/>
        <w:spacing w:before="60"/>
        <w:rPr>
          <w:snapToGrid w:val="0"/>
        </w:rPr>
      </w:pPr>
      <w:r>
        <w:rPr>
          <w:snapToGrid w:val="0"/>
        </w:rPr>
        <w:tab/>
        <w:t>Penalty: Not less than $100 or more than $1 000.</w:t>
      </w:r>
    </w:p>
    <w:p>
      <w:pPr>
        <w:pStyle w:val="Subsection"/>
        <w:rPr>
          <w:snapToGrid w:val="0"/>
        </w:rPr>
      </w:pPr>
      <w:r>
        <w:rPr>
          <w:snapToGrid w:val="0"/>
        </w:rPr>
        <w:tab/>
        <w:t>(7)</w:t>
      </w:r>
      <w:r>
        <w:rPr>
          <w:snapToGrid w:val="0"/>
        </w:rPr>
        <w:tab/>
        <w:t>An operator must not operate from more than one camp at any one time during any single rock lobster season, but the crew may live aboard the boat during any period away from the camp.</w:t>
      </w:r>
    </w:p>
    <w:p>
      <w:pPr>
        <w:pStyle w:val="Penstart"/>
        <w:rPr>
          <w:snapToGrid w:val="0"/>
        </w:rPr>
      </w:pPr>
      <w:r>
        <w:rPr>
          <w:snapToGrid w:val="0"/>
        </w:rPr>
        <w:tab/>
        <w:t>Penalty: Not less than $100 or more than $1 000.</w:t>
      </w:r>
    </w:p>
    <w:p>
      <w:pPr>
        <w:pStyle w:val="Footnotesection"/>
      </w:pPr>
      <w:r>
        <w:tab/>
        <w:t>[Regulation 77 amended in Gazette 14 Nov 2001 p. 5978; 6 Jul 2007 p. 3389.]</w:t>
      </w:r>
    </w:p>
    <w:p>
      <w:pPr>
        <w:pStyle w:val="Heading5"/>
        <w:rPr>
          <w:snapToGrid w:val="0"/>
        </w:rPr>
      </w:pPr>
      <w:bookmarkStart w:id="3714" w:name="_Toc309309437"/>
      <w:r>
        <w:rPr>
          <w:rStyle w:val="CharSectno"/>
        </w:rPr>
        <w:t>78</w:t>
      </w:r>
      <w:r>
        <w:rPr>
          <w:snapToGrid w:val="0"/>
        </w:rPr>
        <w:t>.</w:t>
      </w:r>
      <w:r>
        <w:rPr>
          <w:snapToGrid w:val="0"/>
        </w:rPr>
        <w:tab/>
        <w:t>Camp not transferred etc. under r. 77 becomes unauthorised structure</w:t>
      </w:r>
      <w:bookmarkEnd w:id="3714"/>
    </w:p>
    <w:p>
      <w:pPr>
        <w:pStyle w:val="Subsection"/>
        <w:rPr>
          <w:snapToGrid w:val="0"/>
        </w:rPr>
      </w:pPr>
      <w:r>
        <w:rPr>
          <w:snapToGrid w:val="0"/>
        </w:rPr>
        <w:tab/>
        <w:t>(1)</w:t>
      </w:r>
      <w:r>
        <w:rPr>
          <w:snapToGrid w:val="0"/>
        </w:rPr>
        <w:tab/>
        <w:t>Where a person —</w:t>
      </w:r>
    </w:p>
    <w:p>
      <w:pPr>
        <w:pStyle w:val="Indenta"/>
        <w:rPr>
          <w:snapToGrid w:val="0"/>
        </w:rPr>
      </w:pPr>
      <w:r>
        <w:rPr>
          <w:snapToGrid w:val="0"/>
        </w:rPr>
        <w:tab/>
        <w:t>(a)</w:t>
      </w:r>
      <w:r>
        <w:rPr>
          <w:snapToGrid w:val="0"/>
        </w:rPr>
        <w:tab/>
        <w:t>does not comply with the conditions endorsed on an approval under regulation 77(2); or</w:t>
      </w:r>
    </w:p>
    <w:p>
      <w:pPr>
        <w:pStyle w:val="Indenta"/>
        <w:rPr>
          <w:snapToGrid w:val="0"/>
        </w:rPr>
      </w:pPr>
      <w:r>
        <w:rPr>
          <w:snapToGrid w:val="0"/>
        </w:rPr>
        <w:tab/>
        <w:t>(b)</w:t>
      </w:r>
      <w:r>
        <w:rPr>
          <w:snapToGrid w:val="0"/>
        </w:rPr>
        <w:tab/>
        <w:t>purports to transfer a camp without the approval of the CEO,</w:t>
      </w:r>
    </w:p>
    <w:p>
      <w:pPr>
        <w:pStyle w:val="Subsection"/>
        <w:rPr>
          <w:snapToGrid w:val="0"/>
        </w:rPr>
      </w:pPr>
      <w:r>
        <w:rPr>
          <w:snapToGrid w:val="0"/>
        </w:rPr>
        <w:tab/>
      </w:r>
      <w:r>
        <w:rPr>
          <w:snapToGrid w:val="0"/>
        </w:rPr>
        <w:tab/>
        <w:t>the camp is an unauthorised structure for the purposes of Division 5.</w:t>
      </w:r>
    </w:p>
    <w:p>
      <w:pPr>
        <w:pStyle w:val="Subsection"/>
        <w:rPr>
          <w:snapToGrid w:val="0"/>
        </w:rPr>
      </w:pPr>
      <w:r>
        <w:rPr>
          <w:snapToGrid w:val="0"/>
        </w:rPr>
        <w:tab/>
        <w:t>(2)</w:t>
      </w:r>
      <w:r>
        <w:rPr>
          <w:snapToGrid w:val="0"/>
        </w:rPr>
        <w:tab/>
        <w:t>An amount determined by the CEO from time to time must be paid by the owner of the camp prior to an application for —</w:t>
      </w:r>
    </w:p>
    <w:p>
      <w:pPr>
        <w:pStyle w:val="Indenta"/>
        <w:rPr>
          <w:snapToGrid w:val="0"/>
        </w:rPr>
      </w:pPr>
      <w:r>
        <w:rPr>
          <w:snapToGrid w:val="0"/>
        </w:rPr>
        <w:tab/>
        <w:t>(a)</w:t>
      </w:r>
      <w:r>
        <w:rPr>
          <w:snapToGrid w:val="0"/>
        </w:rPr>
        <w:tab/>
        <w:t>a transfer, a redistribution of an entitlement or a further acquisition referred to in regulation 77(1); or</w:t>
      </w:r>
    </w:p>
    <w:p>
      <w:pPr>
        <w:pStyle w:val="Indenta"/>
        <w:rPr>
          <w:snapToGrid w:val="0"/>
        </w:rPr>
      </w:pPr>
      <w:r>
        <w:rPr>
          <w:snapToGrid w:val="0"/>
        </w:rPr>
        <w:tab/>
        <w:t>(b)</w:t>
      </w:r>
      <w:r>
        <w:rPr>
          <w:snapToGrid w:val="0"/>
        </w:rPr>
        <w:tab/>
        <w:t>a relocation referred to in regulation 77(4),</w:t>
      </w:r>
    </w:p>
    <w:p>
      <w:pPr>
        <w:pStyle w:val="Subsection"/>
        <w:spacing w:before="120"/>
        <w:rPr>
          <w:snapToGrid w:val="0"/>
        </w:rPr>
      </w:pPr>
      <w:r>
        <w:rPr>
          <w:snapToGrid w:val="0"/>
        </w:rPr>
        <w:tab/>
      </w:r>
      <w:r>
        <w:rPr>
          <w:snapToGrid w:val="0"/>
        </w:rPr>
        <w:tab/>
        <w:t>being approved and that amount must —</w:t>
      </w:r>
    </w:p>
    <w:p>
      <w:pPr>
        <w:pStyle w:val="Indenta"/>
        <w:rPr>
          <w:snapToGrid w:val="0"/>
        </w:rPr>
      </w:pPr>
      <w:r>
        <w:rPr>
          <w:snapToGrid w:val="0"/>
        </w:rPr>
        <w:tab/>
        <w:t>(c)</w:t>
      </w:r>
      <w:r>
        <w:rPr>
          <w:snapToGrid w:val="0"/>
        </w:rPr>
        <w:tab/>
        <w:t>be returned to the owner (at the time of the application) of the camp upon compliance with the conditions of any approval issued by the CEO; or</w:t>
      </w:r>
    </w:p>
    <w:p>
      <w:pPr>
        <w:pStyle w:val="Indenta"/>
        <w:rPr>
          <w:snapToGrid w:val="0"/>
        </w:rPr>
      </w:pPr>
      <w:r>
        <w:rPr>
          <w:snapToGrid w:val="0"/>
        </w:rPr>
        <w:tab/>
        <w:t>(d)</w:t>
      </w:r>
      <w:r>
        <w:rPr>
          <w:snapToGrid w:val="0"/>
        </w:rPr>
        <w:tab/>
        <w:t>be used to defray the actual costs, including the administrative costs, involved in removing part or all of a camp that becomes an unauthorised structure under subregulation (1).</w:t>
      </w:r>
    </w:p>
    <w:p>
      <w:pPr>
        <w:pStyle w:val="Footnotesection"/>
      </w:pPr>
      <w:r>
        <w:tab/>
        <w:t>[Regulation 78 amended in Gazette 14 Nov 2001 p. 5978; 6 Jul 2007 p. 3389.]</w:t>
      </w:r>
    </w:p>
    <w:p>
      <w:pPr>
        <w:pStyle w:val="Heading5"/>
        <w:rPr>
          <w:snapToGrid w:val="0"/>
        </w:rPr>
      </w:pPr>
      <w:bookmarkStart w:id="3715" w:name="_Toc309309438"/>
      <w:r>
        <w:rPr>
          <w:rStyle w:val="CharSectno"/>
        </w:rPr>
        <w:t>79</w:t>
      </w:r>
      <w:r>
        <w:rPr>
          <w:snapToGrid w:val="0"/>
        </w:rPr>
        <w:t>.</w:t>
      </w:r>
      <w:r>
        <w:rPr>
          <w:snapToGrid w:val="0"/>
        </w:rPr>
        <w:tab/>
        <w:t>Building standards, owners’ duties as to</w:t>
      </w:r>
      <w:bookmarkEnd w:id="3715"/>
    </w:p>
    <w:p>
      <w:pPr>
        <w:pStyle w:val="Subsection"/>
        <w:rPr>
          <w:snapToGrid w:val="0"/>
        </w:rPr>
      </w:pPr>
      <w:r>
        <w:rPr>
          <w:snapToGrid w:val="0"/>
        </w:rPr>
        <w:tab/>
        <w:t>(1)</w:t>
      </w:r>
      <w:r>
        <w:rPr>
          <w:snapToGrid w:val="0"/>
        </w:rPr>
        <w:tab/>
        <w:t>The owner of a building which is to be constructed in the reserve must ensure that all work to be undertaken on that building complies with the written laws of the State relating to the control of building works.</w:t>
      </w:r>
    </w:p>
    <w:p>
      <w:pPr>
        <w:pStyle w:val="Subsection"/>
        <w:rPr>
          <w:snapToGrid w:val="0"/>
        </w:rPr>
      </w:pPr>
      <w:r>
        <w:rPr>
          <w:snapToGrid w:val="0"/>
        </w:rPr>
        <w:tab/>
        <w:t>(2)</w:t>
      </w:r>
      <w:r>
        <w:rPr>
          <w:snapToGrid w:val="0"/>
        </w:rPr>
        <w:tab/>
        <w:t>Where, in the opinion of a fisheries officer, the owner of a building in the reserve fails to adequately maintain that building to an acceptable standard (other than a standard relating to structural soundness), the officer may order the owner to undertake, or cause to be undertaken, remedial work which —</w:t>
      </w:r>
    </w:p>
    <w:p>
      <w:pPr>
        <w:pStyle w:val="Indenta"/>
        <w:rPr>
          <w:snapToGrid w:val="0"/>
        </w:rPr>
      </w:pPr>
      <w:r>
        <w:rPr>
          <w:snapToGrid w:val="0"/>
        </w:rPr>
        <w:tab/>
        <w:t>(a)</w:t>
      </w:r>
      <w:r>
        <w:rPr>
          <w:snapToGrid w:val="0"/>
        </w:rPr>
        <w:tab/>
        <w:t>is sufficient to bring the building up to an acceptable standard;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(3)</w:t>
      </w:r>
      <w:r>
        <w:rPr>
          <w:snapToGrid w:val="0"/>
        </w:rPr>
        <w:tab/>
        <w:t>Where a fisheries officer suspects that a building in the reserve does not meet the appropriate standard relating to structural soundness, a fisheries officer may order the owner to obtain, and produce to a fisheries officer, a report from a registered builder stating whether or not that building complies with the written laws of the State relating to the minimum structural requirements for that type of building.</w:t>
      </w:r>
    </w:p>
    <w:p>
      <w:pPr>
        <w:pStyle w:val="Subsection"/>
        <w:rPr>
          <w:snapToGrid w:val="0"/>
        </w:rPr>
      </w:pPr>
      <w:r>
        <w:rPr>
          <w:snapToGrid w:val="0"/>
        </w:rPr>
        <w:tab/>
        <w:t>(4)</w:t>
      </w:r>
      <w:r>
        <w:rPr>
          <w:snapToGrid w:val="0"/>
        </w:rPr>
        <w:tab/>
        <w:t>If a report obtained under subregulation (3) states that a building does not meet the minimum structural requirements for that type of building, a fisheries officer may order the owner to undertake, or cause to be undertaken, remedial work which —</w:t>
      </w:r>
    </w:p>
    <w:p>
      <w:pPr>
        <w:pStyle w:val="Indenta"/>
        <w:rPr>
          <w:snapToGrid w:val="0"/>
        </w:rPr>
      </w:pPr>
      <w:r>
        <w:rPr>
          <w:snapToGrid w:val="0"/>
        </w:rPr>
        <w:tab/>
        <w:t>(a)</w:t>
      </w:r>
      <w:r>
        <w:rPr>
          <w:snapToGrid w:val="0"/>
        </w:rPr>
        <w:tab/>
        <w:t>is sufficient in the opinion of a registered builder to bring the building up to the minimum standards;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(5)</w:t>
      </w:r>
      <w:r>
        <w:rPr>
          <w:snapToGrid w:val="0"/>
        </w:rPr>
        <w:tab/>
        <w:t>A person who does not comply with an order under subregulation (2), (3) or (4) commits an offence.</w:t>
      </w:r>
    </w:p>
    <w:p>
      <w:pPr>
        <w:pStyle w:val="Penstart"/>
        <w:rPr>
          <w:snapToGrid w:val="0"/>
        </w:rPr>
      </w:pPr>
      <w:r>
        <w:rPr>
          <w:snapToGrid w:val="0"/>
        </w:rPr>
        <w:tab/>
        <w:t>Penalty: Not less than $100 or more than $1 000.</w:t>
      </w:r>
    </w:p>
    <w:p>
      <w:pPr>
        <w:pStyle w:val="Heading5"/>
        <w:rPr>
          <w:snapToGrid w:val="0"/>
        </w:rPr>
      </w:pPr>
      <w:bookmarkStart w:id="3716" w:name="_Toc309309439"/>
      <w:r>
        <w:rPr>
          <w:rStyle w:val="CharSectno"/>
        </w:rPr>
        <w:t>80</w:t>
      </w:r>
      <w:r>
        <w:rPr>
          <w:snapToGrid w:val="0"/>
        </w:rPr>
        <w:t>.</w:t>
      </w:r>
      <w:r>
        <w:rPr>
          <w:snapToGrid w:val="0"/>
        </w:rPr>
        <w:tab/>
        <w:t>Minor structural changes to buildings, requirements for</w:t>
      </w:r>
      <w:bookmarkEnd w:id="3716"/>
    </w:p>
    <w:p>
      <w:pPr>
        <w:pStyle w:val="Subsection"/>
        <w:rPr>
          <w:snapToGrid w:val="0"/>
        </w:rPr>
      </w:pPr>
      <w:r>
        <w:rPr>
          <w:snapToGrid w:val="0"/>
        </w:rPr>
        <w:tab/>
        <w:t>(1)</w:t>
      </w:r>
      <w:r>
        <w:rPr>
          <w:snapToGrid w:val="0"/>
        </w:rPr>
        <w:tab/>
        <w:t>The owner of a building in the reserve who wishes to make any minor structural change to the building —</w:t>
      </w:r>
    </w:p>
    <w:p>
      <w:pPr>
        <w:pStyle w:val="Indenta"/>
        <w:rPr>
          <w:snapToGrid w:val="0"/>
        </w:rPr>
      </w:pPr>
      <w:r>
        <w:rPr>
          <w:snapToGrid w:val="0"/>
        </w:rPr>
        <w:tab/>
        <w:t>(a)</w:t>
      </w:r>
      <w:r>
        <w:rPr>
          <w:snapToGrid w:val="0"/>
        </w:rPr>
        <w:tab/>
        <w:t>must, if required by a fisheries officer, obtain and produce a written report of a registered builder stating that the changes will be safe and structurally sound; and</w:t>
      </w:r>
    </w:p>
    <w:p>
      <w:pPr>
        <w:pStyle w:val="Indenta"/>
        <w:rPr>
          <w:snapToGrid w:val="0"/>
        </w:rPr>
      </w:pPr>
      <w:r>
        <w:rPr>
          <w:snapToGrid w:val="0"/>
        </w:rPr>
        <w:tab/>
        <w:t>(b)</w:t>
      </w:r>
      <w:r>
        <w:rPr>
          <w:snapToGrid w:val="0"/>
        </w:rPr>
        <w:tab/>
        <w:t>must file plans of the change, together with the report obtained under paragraph (a), with the Department; and</w:t>
      </w:r>
    </w:p>
    <w:p>
      <w:pPr>
        <w:pStyle w:val="Indenta"/>
        <w:rPr>
          <w:snapToGrid w:val="0"/>
        </w:rPr>
      </w:pPr>
      <w:r>
        <w:rPr>
          <w:snapToGrid w:val="0"/>
        </w:rPr>
        <w:tab/>
        <w:t>(c)</w:t>
      </w:r>
      <w:r>
        <w:rPr>
          <w:snapToGrid w:val="0"/>
        </w:rPr>
        <w:tab/>
        <w:t>must not allow work to commence until the CEO has given approval.</w:t>
      </w:r>
    </w:p>
    <w:p>
      <w:pPr>
        <w:pStyle w:val="Penstart"/>
        <w:rPr>
          <w:snapToGrid w:val="0"/>
        </w:rPr>
      </w:pPr>
      <w:r>
        <w:rPr>
          <w:snapToGrid w:val="0"/>
        </w:rPr>
        <w:tab/>
        <w:t>Penalty: Not less than $100 or more than $1 000.</w:t>
      </w:r>
    </w:p>
    <w:p>
      <w:pPr>
        <w:pStyle w:val="Subsection"/>
        <w:rPr>
          <w:snapToGrid w:val="0"/>
        </w:rPr>
      </w:pPr>
      <w:r>
        <w:rPr>
          <w:snapToGrid w:val="0"/>
        </w:rPr>
        <w:tab/>
        <w:t>(2)</w:t>
      </w:r>
      <w:r>
        <w:rPr>
          <w:snapToGrid w:val="0"/>
        </w:rPr>
        <w:tab/>
        <w:t>For the purposes of this regulation, a minor structural change is a modification or alteration to the building which does not increase or modify the floor space or height of the building (including the addition of shade</w:t>
      </w:r>
      <w:r>
        <w:rPr>
          <w:snapToGrid w:val="0"/>
        </w:rPr>
        <w:noBreakHyphen/>
        <w:t>cloth, pergolas, verandahs and similar weather protection), but does not include —</w:t>
      </w:r>
    </w:p>
    <w:p>
      <w:pPr>
        <w:pStyle w:val="Indenta"/>
        <w:rPr>
          <w:snapToGrid w:val="0"/>
        </w:rPr>
      </w:pPr>
      <w:r>
        <w:rPr>
          <w:snapToGrid w:val="0"/>
        </w:rPr>
        <w:tab/>
        <w:t>(a)</w:t>
      </w:r>
      <w:r>
        <w:rPr>
          <w:snapToGrid w:val="0"/>
        </w:rPr>
        <w:tab/>
        <w:t>re</w:t>
      </w:r>
      <w:r>
        <w:rPr>
          <w:snapToGrid w:val="0"/>
        </w:rPr>
        <w:noBreakHyphen/>
        <w:t>roofing that involves re</w:t>
      </w:r>
      <w:r>
        <w:rPr>
          <w:snapToGrid w:val="0"/>
        </w:rPr>
        <w:noBreakHyphen/>
        <w:t>pitching that roof; or</w:t>
      </w:r>
    </w:p>
    <w:p>
      <w:pPr>
        <w:pStyle w:val="Indenta"/>
        <w:rPr>
          <w:snapToGrid w:val="0"/>
        </w:rPr>
      </w:pPr>
      <w:r>
        <w:rPr>
          <w:snapToGrid w:val="0"/>
        </w:rPr>
        <w:tab/>
        <w:t>(b)</w:t>
      </w:r>
      <w:r>
        <w:rPr>
          <w:snapToGrid w:val="0"/>
        </w:rPr>
        <w:tab/>
        <w:t>internal work that involves the installation of split</w:t>
      </w:r>
      <w:r>
        <w:rPr>
          <w:snapToGrid w:val="0"/>
        </w:rPr>
        <w:noBreakHyphen/>
        <w:t>level living areas or the like; or</w:t>
      </w:r>
    </w:p>
    <w:p>
      <w:pPr>
        <w:pStyle w:val="Indenta"/>
        <w:rPr>
          <w:snapToGrid w:val="0"/>
        </w:rPr>
      </w:pPr>
      <w:r>
        <w:rPr>
          <w:snapToGrid w:val="0"/>
        </w:rPr>
        <w:tab/>
        <w:t>(c)</w:t>
      </w:r>
      <w:r>
        <w:rPr>
          <w:snapToGrid w:val="0"/>
        </w:rPr>
        <w:tab/>
        <w:t>re</w:t>
      </w:r>
      <w:r>
        <w:rPr>
          <w:snapToGrid w:val="0"/>
        </w:rPr>
        <w:noBreakHyphen/>
        <w:t>cladding of walls that increases the external dimensions or floorspace of the building.</w:t>
      </w:r>
    </w:p>
    <w:p>
      <w:pPr>
        <w:pStyle w:val="Footnotesection"/>
      </w:pPr>
      <w:r>
        <w:tab/>
        <w:t>[Regulation 80 amended in Gazette 6 Jul 2007 p. 3389.]</w:t>
      </w:r>
    </w:p>
    <w:p>
      <w:pPr>
        <w:pStyle w:val="Heading5"/>
        <w:rPr>
          <w:snapToGrid w:val="0"/>
        </w:rPr>
      </w:pPr>
      <w:bookmarkStart w:id="3717" w:name="_Toc309309440"/>
      <w:r>
        <w:rPr>
          <w:rStyle w:val="CharSectno"/>
        </w:rPr>
        <w:t>81</w:t>
      </w:r>
      <w:r>
        <w:rPr>
          <w:snapToGrid w:val="0"/>
        </w:rPr>
        <w:t>.</w:t>
      </w:r>
      <w:r>
        <w:rPr>
          <w:snapToGrid w:val="0"/>
        </w:rPr>
        <w:tab/>
        <w:t>Major structural changes to buildings and new buildings, requirements for</w:t>
      </w:r>
      <w:bookmarkEnd w:id="3717"/>
    </w:p>
    <w:p>
      <w:pPr>
        <w:pStyle w:val="Subsection"/>
        <w:rPr>
          <w:snapToGrid w:val="0"/>
        </w:rPr>
      </w:pPr>
      <w:r>
        <w:rPr>
          <w:snapToGrid w:val="0"/>
        </w:rPr>
        <w:tab/>
        <w:t>(1)</w:t>
      </w:r>
      <w:r>
        <w:rPr>
          <w:snapToGrid w:val="0"/>
        </w:rPr>
        <w:tab/>
        <w:t>The owner of an existing building or the person proposing to construct a new building in the reserve must, prior to commencing any major change to an existing building or commencing the construction of a new building, as the case requires —</w:t>
      </w:r>
    </w:p>
    <w:p>
      <w:pPr>
        <w:pStyle w:val="Indenta"/>
        <w:rPr>
          <w:snapToGrid w:val="0"/>
        </w:rPr>
      </w:pPr>
      <w:r>
        <w:rPr>
          <w:snapToGrid w:val="0"/>
        </w:rPr>
        <w:tab/>
        <w:t>(a)</w:t>
      </w:r>
      <w:r>
        <w:rPr>
          <w:snapToGrid w:val="0"/>
        </w:rPr>
        <w:tab/>
        <w:t>obtain and provide full structural plans approved by a registered builder; and</w:t>
      </w:r>
    </w:p>
    <w:p>
      <w:pPr>
        <w:pStyle w:val="Indenta"/>
        <w:keepLines/>
        <w:rPr>
          <w:snapToGrid w:val="0"/>
        </w:rPr>
      </w:pPr>
      <w:r>
        <w:rPr>
          <w:snapToGrid w:val="0"/>
        </w:rPr>
        <w:tab/>
        <w:t>(b)</w:t>
      </w:r>
      <w:r>
        <w:rPr>
          <w:snapToGrid w:val="0"/>
        </w:rPr>
        <w:tab/>
        <w:t>endeavour to obtain the written opinions of the operators with associated camps adjacent to the building or proposed building for the consideration of the CEO prior to the CEO giving or withholding approval; and</w:t>
      </w:r>
    </w:p>
    <w:p>
      <w:pPr>
        <w:pStyle w:val="Indenta"/>
        <w:rPr>
          <w:snapToGrid w:val="0"/>
        </w:rPr>
      </w:pPr>
      <w:r>
        <w:rPr>
          <w:snapToGrid w:val="0"/>
        </w:rPr>
        <w:tab/>
        <w:t>(c)</w:t>
      </w:r>
      <w:r>
        <w:rPr>
          <w:snapToGrid w:val="0"/>
        </w:rPr>
        <w:tab/>
        <w:t>obtain the written approval of the CEO.</w:t>
      </w:r>
    </w:p>
    <w:p>
      <w:pPr>
        <w:pStyle w:val="Subsection"/>
        <w:rPr>
          <w:snapToGrid w:val="0"/>
        </w:rPr>
      </w:pPr>
      <w:r>
        <w:rPr>
          <w:snapToGrid w:val="0"/>
        </w:rPr>
        <w:tab/>
        <w:t>(2)</w:t>
      </w:r>
      <w:r>
        <w:rPr>
          <w:snapToGrid w:val="0"/>
        </w:rPr>
        <w:tab/>
        <w:t>Approval under subregulation (1) is subject to such conditions that the CEO considers are necessary in the particular case.</w:t>
      </w:r>
    </w:p>
    <w:p>
      <w:pPr>
        <w:pStyle w:val="Subsection"/>
        <w:rPr>
          <w:snapToGrid w:val="0"/>
        </w:rPr>
      </w:pPr>
      <w:r>
        <w:rPr>
          <w:snapToGrid w:val="0"/>
        </w:rPr>
        <w:tab/>
        <w:t>(3)</w:t>
      </w:r>
      <w:r>
        <w:rPr>
          <w:snapToGrid w:val="0"/>
        </w:rPr>
        <w:tab/>
        <w:t>For the purposes of subregulation (1), the requisite opinions must be obtained after each relevant operator, referred to in subregulation (1)(b), is informed of (as a minimum) the proposed common access areas, pathways, drains, power plants and other like infrastructure.</w:t>
      </w:r>
    </w:p>
    <w:p>
      <w:pPr>
        <w:pStyle w:val="Subsection"/>
        <w:rPr>
          <w:snapToGrid w:val="0"/>
        </w:rPr>
      </w:pPr>
      <w:r>
        <w:rPr>
          <w:snapToGrid w:val="0"/>
        </w:rPr>
        <w:tab/>
        <w:t>(4)</w:t>
      </w:r>
      <w:r>
        <w:rPr>
          <w:snapToGrid w:val="0"/>
        </w:rPr>
        <w:tab/>
        <w:t>For the purposes of this regulation a major change is any modification or alteration to a building which increases or modifies the floor space or height of that building.</w:t>
      </w:r>
    </w:p>
    <w:p>
      <w:pPr>
        <w:pStyle w:val="Subsection"/>
        <w:rPr>
          <w:snapToGrid w:val="0"/>
        </w:rPr>
      </w:pPr>
      <w:r>
        <w:rPr>
          <w:snapToGrid w:val="0"/>
        </w:rPr>
        <w:tab/>
        <w:t>(5)</w:t>
      </w:r>
      <w:r>
        <w:rPr>
          <w:snapToGrid w:val="0"/>
        </w:rPr>
        <w:tab/>
        <w:t>A new camp or a camp being set up through the transfer of camp facilities under regulation 77 made up of more than —</w:t>
      </w:r>
    </w:p>
    <w:p>
      <w:pPr>
        <w:pStyle w:val="Indenta"/>
        <w:rPr>
          <w:snapToGrid w:val="0"/>
        </w:rPr>
      </w:pPr>
      <w:r>
        <w:rPr>
          <w:snapToGrid w:val="0"/>
        </w:rPr>
        <w:tab/>
        <w:t>(a)</w:t>
      </w:r>
      <w:r>
        <w:rPr>
          <w:snapToGrid w:val="0"/>
        </w:rPr>
        <w:tab/>
        <w:t>3 living dwellings; or</w:t>
      </w:r>
    </w:p>
    <w:p>
      <w:pPr>
        <w:pStyle w:val="Indenta"/>
        <w:rPr>
          <w:snapToGrid w:val="0"/>
        </w:rPr>
      </w:pPr>
      <w:r>
        <w:rPr>
          <w:snapToGrid w:val="0"/>
        </w:rPr>
        <w:tab/>
        <w:t>(b)</w:t>
      </w:r>
      <w:r>
        <w:rPr>
          <w:snapToGrid w:val="0"/>
        </w:rPr>
        <w:tab/>
        <w:t>one store shed; or</w:t>
      </w:r>
    </w:p>
    <w:p>
      <w:pPr>
        <w:pStyle w:val="Indenta"/>
        <w:rPr>
          <w:snapToGrid w:val="0"/>
        </w:rPr>
      </w:pPr>
      <w:r>
        <w:rPr>
          <w:snapToGrid w:val="0"/>
        </w:rPr>
        <w:tab/>
        <w:t>(c)</w:t>
      </w:r>
      <w:r>
        <w:rPr>
          <w:snapToGrid w:val="0"/>
        </w:rPr>
        <w:tab/>
        <w:t>one ablution block; or</w:t>
      </w:r>
    </w:p>
    <w:p>
      <w:pPr>
        <w:pStyle w:val="Indenta"/>
        <w:rPr>
          <w:snapToGrid w:val="0"/>
        </w:rPr>
      </w:pPr>
      <w:r>
        <w:rPr>
          <w:snapToGrid w:val="0"/>
        </w:rPr>
        <w:tab/>
        <w:t>(d)</w:t>
      </w:r>
      <w:r>
        <w:rPr>
          <w:snapToGrid w:val="0"/>
        </w:rPr>
        <w:tab/>
        <w:t>the approved number of generator sheds for that camp; or</w:t>
      </w:r>
    </w:p>
    <w:p>
      <w:pPr>
        <w:pStyle w:val="Indenta"/>
        <w:keepNext/>
        <w:rPr>
          <w:snapToGrid w:val="0"/>
        </w:rPr>
      </w:pPr>
      <w:r>
        <w:rPr>
          <w:snapToGrid w:val="0"/>
        </w:rPr>
        <w:tab/>
        <w:t>(e)</w:t>
      </w:r>
      <w:r>
        <w:rPr>
          <w:snapToGrid w:val="0"/>
        </w:rPr>
        <w:tab/>
        <w:t>the approved number of jetties for that camp,</w:t>
      </w:r>
    </w:p>
    <w:p>
      <w:pPr>
        <w:pStyle w:val="Subsection"/>
        <w:rPr>
          <w:snapToGrid w:val="0"/>
        </w:rPr>
      </w:pPr>
      <w:r>
        <w:rPr>
          <w:snapToGrid w:val="0"/>
        </w:rPr>
        <w:tab/>
      </w:r>
      <w:r>
        <w:rPr>
          <w:snapToGrid w:val="0"/>
        </w:rPr>
        <w:tab/>
        <w:t>(not including on</w:t>
      </w:r>
      <w:r>
        <w:rPr>
          <w:snapToGrid w:val="0"/>
        </w:rPr>
        <w:noBreakHyphen/>
        <w:t>jetty storage facilities) will not be approved.</w:t>
      </w:r>
    </w:p>
    <w:p>
      <w:pPr>
        <w:pStyle w:val="Subsection"/>
        <w:keepLines/>
        <w:rPr>
          <w:snapToGrid w:val="0"/>
        </w:rPr>
      </w:pPr>
      <w:r>
        <w:rPr>
          <w:snapToGrid w:val="0"/>
        </w:rPr>
        <w:tab/>
        <w:t>(6)</w:t>
      </w:r>
      <w:r>
        <w:rPr>
          <w:snapToGrid w:val="0"/>
        </w:rPr>
        <w:tab/>
        <w:t>A building which is, or is being, constructed without complying with this regulation is an unauthorised structure for the purposes of Division 5, unless the CEO exempts the building, in writing, from compliance with the specific building provisions with which it does not comply.</w:t>
      </w:r>
    </w:p>
    <w:p>
      <w:pPr>
        <w:pStyle w:val="Subsection"/>
        <w:rPr>
          <w:snapToGrid w:val="0"/>
        </w:rPr>
      </w:pPr>
      <w:r>
        <w:rPr>
          <w:snapToGrid w:val="0"/>
        </w:rPr>
        <w:tab/>
        <w:t>(7)</w:t>
      </w:r>
      <w:r>
        <w:rPr>
          <w:snapToGrid w:val="0"/>
        </w:rPr>
        <w:tab/>
        <w:t>A person must comply with the approval of the CEO obtained under subregulation (1).</w:t>
      </w:r>
    </w:p>
    <w:p>
      <w:pPr>
        <w:pStyle w:val="Subsection"/>
        <w:spacing w:before="120"/>
        <w:rPr>
          <w:snapToGrid w:val="0"/>
        </w:rPr>
      </w:pPr>
      <w:r>
        <w:rPr>
          <w:snapToGrid w:val="0"/>
        </w:rPr>
        <w:tab/>
      </w:r>
      <w:r>
        <w:rPr>
          <w:snapToGrid w:val="0"/>
        </w:rPr>
        <w:tab/>
        <w:t>Penalty: Not less than $500 or more than $2 000.</w:t>
      </w:r>
    </w:p>
    <w:p>
      <w:pPr>
        <w:pStyle w:val="Footnotesection"/>
      </w:pPr>
      <w:r>
        <w:tab/>
        <w:t>[Regulation 81 amended in Gazette 15 Jan 1999 p. 113; 6 Jul 2007 p. 3389.]</w:t>
      </w:r>
    </w:p>
    <w:p>
      <w:pPr>
        <w:pStyle w:val="Heading3"/>
      </w:pPr>
      <w:bookmarkStart w:id="3718" w:name="_Toc189988011"/>
      <w:bookmarkStart w:id="3719" w:name="_Toc192041594"/>
      <w:bookmarkStart w:id="3720" w:name="_Toc199570828"/>
      <w:bookmarkStart w:id="3721" w:name="_Toc199738826"/>
      <w:bookmarkStart w:id="3722" w:name="_Toc199814927"/>
      <w:bookmarkStart w:id="3723" w:name="_Toc215040734"/>
      <w:bookmarkStart w:id="3724" w:name="_Toc215041179"/>
      <w:bookmarkStart w:id="3725" w:name="_Toc222129387"/>
      <w:bookmarkStart w:id="3726" w:name="_Toc222223092"/>
      <w:bookmarkStart w:id="3727" w:name="_Toc225914344"/>
      <w:bookmarkStart w:id="3728" w:name="_Toc231282389"/>
      <w:bookmarkStart w:id="3729" w:name="_Toc231282833"/>
      <w:bookmarkStart w:id="3730" w:name="_Toc234899420"/>
      <w:bookmarkStart w:id="3731" w:name="_Toc236632702"/>
      <w:bookmarkStart w:id="3732" w:name="_Toc236720315"/>
      <w:bookmarkStart w:id="3733" w:name="_Toc237764514"/>
      <w:bookmarkStart w:id="3734" w:name="_Toc238356138"/>
      <w:bookmarkStart w:id="3735" w:name="_Toc238368843"/>
      <w:bookmarkStart w:id="3736" w:name="_Toc238375796"/>
      <w:bookmarkStart w:id="3737" w:name="_Toc240339120"/>
      <w:bookmarkStart w:id="3738" w:name="_Toc241993626"/>
      <w:bookmarkStart w:id="3739" w:name="_Toc243192769"/>
      <w:bookmarkStart w:id="3740" w:name="_Toc243295471"/>
      <w:bookmarkStart w:id="3741" w:name="_Toc245113044"/>
      <w:bookmarkStart w:id="3742" w:name="_Toc245198206"/>
      <w:bookmarkStart w:id="3743" w:name="_Toc245198655"/>
      <w:bookmarkStart w:id="3744" w:name="_Toc245199104"/>
      <w:bookmarkStart w:id="3745" w:name="_Toc248122135"/>
      <w:bookmarkStart w:id="3746" w:name="_Toc248122586"/>
      <w:bookmarkStart w:id="3747" w:name="_Toc253670573"/>
      <w:bookmarkStart w:id="3748" w:name="_Toc253671023"/>
      <w:bookmarkStart w:id="3749" w:name="_Toc254942793"/>
      <w:bookmarkStart w:id="3750" w:name="_Toc254943246"/>
      <w:bookmarkStart w:id="3751" w:name="_Toc255475838"/>
      <w:bookmarkStart w:id="3752" w:name="_Toc256432159"/>
      <w:bookmarkStart w:id="3753" w:name="_Toc257720496"/>
      <w:bookmarkStart w:id="3754" w:name="_Toc257722178"/>
      <w:bookmarkStart w:id="3755" w:name="_Toc258335854"/>
      <w:bookmarkStart w:id="3756" w:name="_Toc260406296"/>
      <w:bookmarkStart w:id="3757" w:name="_Toc261271482"/>
      <w:bookmarkStart w:id="3758" w:name="_Toc262808164"/>
      <w:bookmarkStart w:id="3759" w:name="_Toc267572557"/>
      <w:bookmarkStart w:id="3760" w:name="_Toc270684306"/>
      <w:bookmarkStart w:id="3761" w:name="_Toc274214483"/>
      <w:bookmarkStart w:id="3762" w:name="_Toc274214932"/>
      <w:bookmarkStart w:id="3763" w:name="_Toc278976263"/>
      <w:bookmarkStart w:id="3764" w:name="_Toc286760586"/>
      <w:bookmarkStart w:id="3765" w:name="_Toc289080931"/>
      <w:bookmarkStart w:id="3766" w:name="_Toc290284125"/>
      <w:bookmarkStart w:id="3767" w:name="_Toc290642946"/>
      <w:bookmarkStart w:id="3768" w:name="_Toc290643395"/>
      <w:bookmarkStart w:id="3769" w:name="_Toc290643848"/>
      <w:bookmarkStart w:id="3770" w:name="_Toc294701665"/>
      <w:bookmarkStart w:id="3771" w:name="_Toc295200073"/>
      <w:bookmarkStart w:id="3772" w:name="_Toc296954514"/>
      <w:bookmarkStart w:id="3773" w:name="_Toc297276146"/>
      <w:bookmarkStart w:id="3774" w:name="_Toc297276598"/>
      <w:bookmarkStart w:id="3775" w:name="_Toc297277048"/>
      <w:bookmarkStart w:id="3776" w:name="_Toc297726417"/>
      <w:bookmarkStart w:id="3777" w:name="_Toc299980203"/>
      <w:bookmarkStart w:id="3778" w:name="_Toc300234829"/>
      <w:bookmarkStart w:id="3779" w:name="_Toc301961332"/>
      <w:bookmarkStart w:id="3780" w:name="_Toc301966902"/>
      <w:bookmarkStart w:id="3781" w:name="_Toc303253111"/>
      <w:bookmarkStart w:id="3782" w:name="_Toc303257275"/>
      <w:bookmarkStart w:id="3783" w:name="_Toc307992908"/>
      <w:bookmarkStart w:id="3784" w:name="_Toc309029941"/>
      <w:bookmarkStart w:id="3785" w:name="_Toc309304164"/>
      <w:bookmarkStart w:id="3786" w:name="_Toc309304617"/>
      <w:bookmarkStart w:id="3787" w:name="_Toc309309441"/>
      <w:r>
        <w:rPr>
          <w:rStyle w:val="CharDivNo"/>
        </w:rPr>
        <w:t>Division 4</w:t>
      </w:r>
      <w:r>
        <w:rPr>
          <w:snapToGrid w:val="0"/>
        </w:rPr>
        <w:t> — </w:t>
      </w:r>
      <w:r>
        <w:rPr>
          <w:rStyle w:val="CharDivText"/>
        </w:rPr>
        <w:t>Power and maintenance</w:t>
      </w:r>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p>
    <w:p>
      <w:pPr>
        <w:pStyle w:val="Ednotesection"/>
      </w:pPr>
      <w:r>
        <w:t>[</w:t>
      </w:r>
      <w:r>
        <w:rPr>
          <w:b/>
        </w:rPr>
        <w:t>82, 83.</w:t>
      </w:r>
      <w:r>
        <w:tab/>
        <w:t>Deleted in Gazette 23 May 2006 p. 1860.]</w:t>
      </w:r>
    </w:p>
    <w:p>
      <w:pPr>
        <w:pStyle w:val="Heading5"/>
        <w:rPr>
          <w:snapToGrid w:val="0"/>
        </w:rPr>
      </w:pPr>
      <w:bookmarkStart w:id="3788" w:name="_Toc309309442"/>
      <w:r>
        <w:rPr>
          <w:rStyle w:val="CharSectno"/>
        </w:rPr>
        <w:t>84</w:t>
      </w:r>
      <w:r>
        <w:rPr>
          <w:snapToGrid w:val="0"/>
        </w:rPr>
        <w:t>.</w:t>
      </w:r>
      <w:r>
        <w:rPr>
          <w:snapToGrid w:val="0"/>
        </w:rPr>
        <w:tab/>
        <w:t>Water tanks etc., occupiers’ duties as to</w:t>
      </w:r>
      <w:bookmarkEnd w:id="3788"/>
    </w:p>
    <w:p>
      <w:pPr>
        <w:pStyle w:val="Subsection"/>
        <w:rPr>
          <w:snapToGrid w:val="0"/>
        </w:rPr>
      </w:pPr>
      <w:r>
        <w:rPr>
          <w:snapToGrid w:val="0"/>
        </w:rPr>
        <w:tab/>
      </w:r>
      <w:r>
        <w:rPr>
          <w:snapToGrid w:val="0"/>
        </w:rPr>
        <w:tab/>
        <w:t>Where the water supply to any premises which is intended for human consumption is drawn, or partly drawn, from a water tank, the occupier of the premises must —</w:t>
      </w:r>
    </w:p>
    <w:p>
      <w:pPr>
        <w:pStyle w:val="Indenta"/>
        <w:rPr>
          <w:snapToGrid w:val="0"/>
        </w:rPr>
      </w:pPr>
      <w:r>
        <w:rPr>
          <w:snapToGrid w:val="0"/>
        </w:rPr>
        <w:tab/>
        <w:t>(a)</w:t>
      </w:r>
      <w:r>
        <w:rPr>
          <w:snapToGrid w:val="0"/>
        </w:rPr>
        <w:tab/>
        <w:t>maintain the roof forming the catchment for the tank, together with the spouting and downpipes appurtenant to the roof in a clean and functional state; and</w:t>
      </w:r>
    </w:p>
    <w:p>
      <w:pPr>
        <w:pStyle w:val="Indenta"/>
        <w:rPr>
          <w:snapToGrid w:val="0"/>
        </w:rPr>
      </w:pPr>
      <w:r>
        <w:rPr>
          <w:snapToGrid w:val="0"/>
        </w:rPr>
        <w:tab/>
        <w:t>(b)</w:t>
      </w:r>
      <w:r>
        <w:rPr>
          <w:snapToGrid w:val="0"/>
        </w:rPr>
        <w:tab/>
        <w:t>at least once a year, during the months of April and May thoroughly check any water tank, the water from which is used for human consumption for any sludge or detritus buildup, and, where necessary, clean the tank; and</w:t>
      </w:r>
    </w:p>
    <w:p>
      <w:pPr>
        <w:pStyle w:val="Indenta"/>
        <w:rPr>
          <w:snapToGrid w:val="0"/>
        </w:rPr>
      </w:pPr>
      <w:r>
        <w:rPr>
          <w:snapToGrid w:val="0"/>
        </w:rPr>
        <w:tab/>
        <w:t>(c)</w:t>
      </w:r>
      <w:r>
        <w:rPr>
          <w:snapToGrid w:val="0"/>
        </w:rPr>
        <w:tab/>
        <w:t>ensure that every water tank on the premises containing water for human consumption is fitted with a tight fitting, light</w:t>
      </w:r>
      <w:r>
        <w:rPr>
          <w:snapToGrid w:val="0"/>
        </w:rPr>
        <w:noBreakHyphen/>
        <w:t>proof, water</w:t>
      </w:r>
      <w:r>
        <w:rPr>
          <w:snapToGrid w:val="0"/>
        </w:rPr>
        <w:noBreakHyphen/>
        <w:t>proof and secure cover; and</w:t>
      </w:r>
    </w:p>
    <w:p>
      <w:pPr>
        <w:pStyle w:val="Indenta"/>
        <w:rPr>
          <w:snapToGrid w:val="0"/>
        </w:rPr>
      </w:pPr>
      <w:r>
        <w:rPr>
          <w:snapToGrid w:val="0"/>
        </w:rPr>
        <w:tab/>
        <w:t>(d)</w:t>
      </w:r>
      <w:r>
        <w:rPr>
          <w:snapToGrid w:val="0"/>
        </w:rPr>
        <w:tab/>
        <w:t>when ordered to do so by a fisheries officer, empty, cleanse and disinfect any water tank on the premises.</w:t>
      </w:r>
    </w:p>
    <w:p>
      <w:pPr>
        <w:pStyle w:val="Penstart"/>
        <w:rPr>
          <w:snapToGrid w:val="0"/>
        </w:rPr>
      </w:pPr>
      <w:r>
        <w:rPr>
          <w:snapToGrid w:val="0"/>
        </w:rPr>
        <w:tab/>
        <w:t>Penalty: $500.</w:t>
      </w:r>
    </w:p>
    <w:p>
      <w:pPr>
        <w:pStyle w:val="Heading5"/>
        <w:keepLines w:val="0"/>
        <w:rPr>
          <w:snapToGrid w:val="0"/>
        </w:rPr>
      </w:pPr>
      <w:bookmarkStart w:id="3789" w:name="_Toc309309443"/>
      <w:r>
        <w:rPr>
          <w:rStyle w:val="CharSectno"/>
        </w:rPr>
        <w:t>85</w:t>
      </w:r>
      <w:r>
        <w:rPr>
          <w:snapToGrid w:val="0"/>
        </w:rPr>
        <w:t>.</w:t>
      </w:r>
      <w:r>
        <w:rPr>
          <w:snapToGrid w:val="0"/>
        </w:rPr>
        <w:tab/>
        <w:t>Generators, installation and use of</w:t>
      </w:r>
      <w:bookmarkEnd w:id="3789"/>
    </w:p>
    <w:p>
      <w:pPr>
        <w:pStyle w:val="Subsection"/>
        <w:rPr>
          <w:snapToGrid w:val="0"/>
        </w:rPr>
      </w:pPr>
      <w:r>
        <w:rPr>
          <w:snapToGrid w:val="0"/>
        </w:rPr>
        <w:tab/>
        <w:t>(1)</w:t>
      </w:r>
      <w:r>
        <w:rPr>
          <w:snapToGrid w:val="0"/>
        </w:rPr>
        <w:tab/>
        <w:t>A person must, before installing a generator —</w:t>
      </w:r>
    </w:p>
    <w:p>
      <w:pPr>
        <w:pStyle w:val="Indenta"/>
        <w:rPr>
          <w:snapToGrid w:val="0"/>
        </w:rPr>
      </w:pPr>
      <w:r>
        <w:rPr>
          <w:snapToGrid w:val="0"/>
        </w:rPr>
        <w:tab/>
        <w:t>(a)</w:t>
      </w:r>
      <w:r>
        <w:rPr>
          <w:snapToGrid w:val="0"/>
        </w:rPr>
        <w:tab/>
        <w:t>obtain the opinion in writing of the majority of operators likely to be affected by the noise emitted by that generator for the consideration of the CEO prior to the CEO giving or withholding approval; and</w:t>
      </w:r>
    </w:p>
    <w:p>
      <w:pPr>
        <w:pStyle w:val="Indenta"/>
        <w:rPr>
          <w:snapToGrid w:val="0"/>
        </w:rPr>
      </w:pPr>
      <w:r>
        <w:rPr>
          <w:snapToGrid w:val="0"/>
        </w:rPr>
        <w:tab/>
        <w:t>(b)</w:t>
      </w:r>
      <w:r>
        <w:rPr>
          <w:snapToGrid w:val="0"/>
        </w:rPr>
        <w:tab/>
        <w:t>obtain the written approval of the CEO.</w:t>
      </w:r>
    </w:p>
    <w:p>
      <w:pPr>
        <w:pStyle w:val="Penstart"/>
        <w:rPr>
          <w:snapToGrid w:val="0"/>
        </w:rPr>
      </w:pPr>
      <w:r>
        <w:rPr>
          <w:snapToGrid w:val="0"/>
        </w:rPr>
        <w:tab/>
        <w:t>Penalty: $500.</w:t>
      </w:r>
    </w:p>
    <w:p>
      <w:pPr>
        <w:pStyle w:val="Subsection"/>
        <w:rPr>
          <w:snapToGrid w:val="0"/>
        </w:rPr>
      </w:pPr>
      <w:r>
        <w:rPr>
          <w:snapToGrid w:val="0"/>
        </w:rPr>
        <w:tab/>
        <w:t>(2)</w:t>
      </w:r>
      <w:r>
        <w:rPr>
          <w:snapToGrid w:val="0"/>
        </w:rPr>
        <w:tab/>
        <w:t>Subject to regulation 86, a person who installs a generator must ensure that the generator is sound</w:t>
      </w:r>
      <w:r>
        <w:rPr>
          <w:snapToGrid w:val="0"/>
        </w:rPr>
        <w:noBreakHyphen/>
        <w:t>proofed and silenced to ensure that noise emissions do not exceed those set out in regulation 104.</w:t>
      </w:r>
    </w:p>
    <w:p>
      <w:pPr>
        <w:pStyle w:val="Penstart"/>
        <w:rPr>
          <w:snapToGrid w:val="0"/>
        </w:rPr>
      </w:pPr>
      <w:r>
        <w:rPr>
          <w:snapToGrid w:val="0"/>
        </w:rPr>
        <w:tab/>
        <w:t>Penalty: $500.</w:t>
      </w:r>
    </w:p>
    <w:p>
      <w:pPr>
        <w:pStyle w:val="Footnotesection"/>
      </w:pPr>
      <w:r>
        <w:tab/>
        <w:t>[Regulation 85 amended in Gazette 6 Jul 2007 p. 3389.]</w:t>
      </w:r>
    </w:p>
    <w:p>
      <w:pPr>
        <w:pStyle w:val="Heading5"/>
        <w:rPr>
          <w:snapToGrid w:val="0"/>
        </w:rPr>
      </w:pPr>
      <w:bookmarkStart w:id="3790" w:name="_Toc309309444"/>
      <w:r>
        <w:rPr>
          <w:rStyle w:val="CharSectno"/>
        </w:rPr>
        <w:t>86</w:t>
      </w:r>
      <w:r>
        <w:rPr>
          <w:snapToGrid w:val="0"/>
        </w:rPr>
        <w:t>.</w:t>
      </w:r>
      <w:r>
        <w:rPr>
          <w:snapToGrid w:val="0"/>
        </w:rPr>
        <w:tab/>
        <w:t>Machinery noise, power to reduce</w:t>
      </w:r>
      <w:bookmarkEnd w:id="3790"/>
    </w:p>
    <w:p>
      <w:pPr>
        <w:pStyle w:val="Subsection"/>
        <w:rPr>
          <w:snapToGrid w:val="0"/>
        </w:rPr>
      </w:pPr>
      <w:r>
        <w:rPr>
          <w:snapToGrid w:val="0"/>
        </w:rPr>
        <w:tab/>
        <w:t>(1)</w:t>
      </w:r>
      <w:r>
        <w:rPr>
          <w:snapToGrid w:val="0"/>
        </w:rPr>
        <w:tab/>
        <w:t>Where undue noise is being emitted by any machinery, a fisheries officer may, in writing, order the owner of, or person in charge of, the machinery to undertake work to ensure that the machinery noise level is reduced so that noise emissions do not exceed those set out in regulation 104.</w:t>
      </w:r>
    </w:p>
    <w:p>
      <w:pPr>
        <w:pStyle w:val="Subsection"/>
        <w:rPr>
          <w:snapToGrid w:val="0"/>
        </w:rPr>
      </w:pPr>
      <w:r>
        <w:rPr>
          <w:snapToGrid w:val="0"/>
        </w:rPr>
        <w:tab/>
        <w:t>(2)</w:t>
      </w:r>
      <w:r>
        <w:rPr>
          <w:snapToGrid w:val="0"/>
        </w:rPr>
        <w:tab/>
        <w:t>A person to whom an order is given under subregulation (1) must comply with that order within the time specified in that order.</w:t>
      </w:r>
    </w:p>
    <w:p>
      <w:pPr>
        <w:pStyle w:val="Penstart"/>
        <w:rPr>
          <w:snapToGrid w:val="0"/>
        </w:rPr>
      </w:pPr>
      <w:r>
        <w:rPr>
          <w:snapToGrid w:val="0"/>
        </w:rPr>
        <w:tab/>
        <w:t>Penalty: $500.</w:t>
      </w:r>
    </w:p>
    <w:p>
      <w:pPr>
        <w:pStyle w:val="Heading3"/>
      </w:pPr>
      <w:bookmarkStart w:id="3791" w:name="_Toc189988015"/>
      <w:bookmarkStart w:id="3792" w:name="_Toc192041598"/>
      <w:bookmarkStart w:id="3793" w:name="_Toc199570832"/>
      <w:bookmarkStart w:id="3794" w:name="_Toc199738830"/>
      <w:bookmarkStart w:id="3795" w:name="_Toc199814931"/>
      <w:bookmarkStart w:id="3796" w:name="_Toc215040738"/>
      <w:bookmarkStart w:id="3797" w:name="_Toc215041183"/>
      <w:bookmarkStart w:id="3798" w:name="_Toc222129391"/>
      <w:bookmarkStart w:id="3799" w:name="_Toc222223096"/>
      <w:bookmarkStart w:id="3800" w:name="_Toc225914348"/>
      <w:bookmarkStart w:id="3801" w:name="_Toc231282393"/>
      <w:bookmarkStart w:id="3802" w:name="_Toc231282837"/>
      <w:bookmarkStart w:id="3803" w:name="_Toc234899424"/>
      <w:bookmarkStart w:id="3804" w:name="_Toc236632706"/>
      <w:bookmarkStart w:id="3805" w:name="_Toc236720319"/>
      <w:bookmarkStart w:id="3806" w:name="_Toc237764518"/>
      <w:bookmarkStart w:id="3807" w:name="_Toc238356142"/>
      <w:bookmarkStart w:id="3808" w:name="_Toc238368847"/>
      <w:bookmarkStart w:id="3809" w:name="_Toc238375800"/>
      <w:bookmarkStart w:id="3810" w:name="_Toc240339124"/>
      <w:bookmarkStart w:id="3811" w:name="_Toc241993630"/>
      <w:bookmarkStart w:id="3812" w:name="_Toc243192773"/>
      <w:bookmarkStart w:id="3813" w:name="_Toc243295475"/>
      <w:bookmarkStart w:id="3814" w:name="_Toc245113048"/>
      <w:bookmarkStart w:id="3815" w:name="_Toc245198210"/>
      <w:bookmarkStart w:id="3816" w:name="_Toc245198659"/>
      <w:bookmarkStart w:id="3817" w:name="_Toc245199108"/>
      <w:bookmarkStart w:id="3818" w:name="_Toc248122139"/>
      <w:bookmarkStart w:id="3819" w:name="_Toc248122590"/>
      <w:bookmarkStart w:id="3820" w:name="_Toc253670577"/>
      <w:bookmarkStart w:id="3821" w:name="_Toc253671027"/>
      <w:bookmarkStart w:id="3822" w:name="_Toc254942797"/>
      <w:bookmarkStart w:id="3823" w:name="_Toc254943250"/>
      <w:bookmarkStart w:id="3824" w:name="_Toc255475842"/>
      <w:bookmarkStart w:id="3825" w:name="_Toc256432163"/>
      <w:bookmarkStart w:id="3826" w:name="_Toc257720500"/>
      <w:bookmarkStart w:id="3827" w:name="_Toc257722182"/>
      <w:bookmarkStart w:id="3828" w:name="_Toc258335858"/>
      <w:bookmarkStart w:id="3829" w:name="_Toc260406300"/>
      <w:bookmarkStart w:id="3830" w:name="_Toc261271486"/>
      <w:bookmarkStart w:id="3831" w:name="_Toc262808168"/>
      <w:bookmarkStart w:id="3832" w:name="_Toc267572561"/>
      <w:bookmarkStart w:id="3833" w:name="_Toc270684310"/>
      <w:bookmarkStart w:id="3834" w:name="_Toc274214487"/>
      <w:bookmarkStart w:id="3835" w:name="_Toc274214936"/>
      <w:bookmarkStart w:id="3836" w:name="_Toc278976267"/>
      <w:bookmarkStart w:id="3837" w:name="_Toc286760590"/>
      <w:bookmarkStart w:id="3838" w:name="_Toc289080935"/>
      <w:bookmarkStart w:id="3839" w:name="_Toc290284129"/>
      <w:bookmarkStart w:id="3840" w:name="_Toc290642950"/>
      <w:bookmarkStart w:id="3841" w:name="_Toc290643399"/>
      <w:bookmarkStart w:id="3842" w:name="_Toc290643852"/>
      <w:bookmarkStart w:id="3843" w:name="_Toc294701669"/>
      <w:bookmarkStart w:id="3844" w:name="_Toc295200077"/>
      <w:bookmarkStart w:id="3845" w:name="_Toc296954518"/>
      <w:bookmarkStart w:id="3846" w:name="_Toc297276150"/>
      <w:bookmarkStart w:id="3847" w:name="_Toc297276602"/>
      <w:bookmarkStart w:id="3848" w:name="_Toc297277052"/>
      <w:bookmarkStart w:id="3849" w:name="_Toc297726421"/>
      <w:bookmarkStart w:id="3850" w:name="_Toc299980207"/>
      <w:bookmarkStart w:id="3851" w:name="_Toc300234833"/>
      <w:bookmarkStart w:id="3852" w:name="_Toc301961336"/>
      <w:bookmarkStart w:id="3853" w:name="_Toc301966906"/>
      <w:bookmarkStart w:id="3854" w:name="_Toc303253115"/>
      <w:bookmarkStart w:id="3855" w:name="_Toc303257279"/>
      <w:bookmarkStart w:id="3856" w:name="_Toc307992912"/>
      <w:bookmarkStart w:id="3857" w:name="_Toc309029945"/>
      <w:bookmarkStart w:id="3858" w:name="_Toc309304168"/>
      <w:bookmarkStart w:id="3859" w:name="_Toc309304621"/>
      <w:bookmarkStart w:id="3860" w:name="_Toc309309445"/>
      <w:r>
        <w:rPr>
          <w:rStyle w:val="CharDivNo"/>
        </w:rPr>
        <w:t>Division 5</w:t>
      </w:r>
      <w:r>
        <w:rPr>
          <w:snapToGrid w:val="0"/>
        </w:rPr>
        <w:t> — </w:t>
      </w:r>
      <w:r>
        <w:rPr>
          <w:rStyle w:val="CharDivText"/>
        </w:rPr>
        <w:t>Unauthorised structures and termination of tenancy</w:t>
      </w:r>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p>
    <w:p>
      <w:pPr>
        <w:pStyle w:val="Heading5"/>
        <w:rPr>
          <w:snapToGrid w:val="0"/>
        </w:rPr>
      </w:pPr>
      <w:bookmarkStart w:id="3861" w:name="_Toc309309446"/>
      <w:r>
        <w:rPr>
          <w:rStyle w:val="CharSectno"/>
        </w:rPr>
        <w:t>87</w:t>
      </w:r>
      <w:r>
        <w:rPr>
          <w:snapToGrid w:val="0"/>
        </w:rPr>
        <w:t>.</w:t>
      </w:r>
      <w:r>
        <w:rPr>
          <w:snapToGrid w:val="0"/>
        </w:rPr>
        <w:tab/>
        <w:t>Terms used</w:t>
      </w:r>
      <w:bookmarkEnd w:id="3861"/>
    </w:p>
    <w:p>
      <w:pPr>
        <w:pStyle w:val="Subsection"/>
        <w:rPr>
          <w:snapToGrid w:val="0"/>
        </w:rPr>
      </w:pPr>
      <w:r>
        <w:rPr>
          <w:snapToGrid w:val="0"/>
        </w:rPr>
        <w:tab/>
      </w:r>
      <w:r>
        <w:rPr>
          <w:snapToGrid w:val="0"/>
        </w:rPr>
        <w:tab/>
        <w:t>In this Division —</w:t>
      </w:r>
    </w:p>
    <w:p>
      <w:pPr>
        <w:pStyle w:val="Defstart"/>
      </w:pPr>
      <w:r>
        <w:rPr>
          <w:b/>
        </w:rPr>
        <w:tab/>
      </w:r>
      <w:r>
        <w:rPr>
          <w:rStyle w:val="CharDefText"/>
        </w:rPr>
        <w:t>structure</w:t>
      </w:r>
      <w:r>
        <w:t xml:space="preserve"> means any building, jetty, mooring, power plant, or any other like facility;</w:t>
      </w:r>
    </w:p>
    <w:p>
      <w:pPr>
        <w:pStyle w:val="Defstart"/>
      </w:pPr>
      <w:r>
        <w:rPr>
          <w:b/>
        </w:rPr>
        <w:tab/>
      </w:r>
      <w:r>
        <w:rPr>
          <w:rStyle w:val="CharDefText"/>
        </w:rPr>
        <w:t>unauthorised structure</w:t>
      </w:r>
      <w:r>
        <w:t xml:space="preserve"> means a structure that —</w:t>
      </w:r>
    </w:p>
    <w:p>
      <w:pPr>
        <w:pStyle w:val="Defpara"/>
      </w:pPr>
      <w:r>
        <w:tab/>
        <w:t>(a)</w:t>
      </w:r>
      <w:r>
        <w:tab/>
        <w:t>has been erected without approval, abandoned, or is unsafe or is not secure, or in respect of which an order under regulation 74(5) has not been complied with within the time specified in the order, or does not conform with this Division, or becomes an unauthorised structure as a result of the operation of regulation 78 or 81(6); and</w:t>
      </w:r>
    </w:p>
    <w:p>
      <w:pPr>
        <w:pStyle w:val="Defpara"/>
      </w:pPr>
      <w:r>
        <w:tab/>
        <w:t>(b)</w:t>
      </w:r>
      <w:r>
        <w:tab/>
        <w:t>has not been claimed by the Crown for its use or for specific community purpose use.</w:t>
      </w:r>
    </w:p>
    <w:p>
      <w:pPr>
        <w:pStyle w:val="Heading5"/>
        <w:rPr>
          <w:snapToGrid w:val="0"/>
        </w:rPr>
      </w:pPr>
      <w:bookmarkStart w:id="3862" w:name="_Toc309309447"/>
      <w:r>
        <w:rPr>
          <w:rStyle w:val="CharSectno"/>
        </w:rPr>
        <w:t>88</w:t>
      </w:r>
      <w:r>
        <w:rPr>
          <w:snapToGrid w:val="0"/>
        </w:rPr>
        <w:t>.</w:t>
      </w:r>
      <w:r>
        <w:rPr>
          <w:snapToGrid w:val="0"/>
        </w:rPr>
        <w:tab/>
        <w:t>Unauthorised structures, CEO may direct removal of</w:t>
      </w:r>
      <w:bookmarkEnd w:id="3862"/>
    </w:p>
    <w:p>
      <w:pPr>
        <w:pStyle w:val="Subsection"/>
        <w:rPr>
          <w:snapToGrid w:val="0"/>
        </w:rPr>
      </w:pPr>
      <w:r>
        <w:rPr>
          <w:snapToGrid w:val="0"/>
        </w:rPr>
        <w:tab/>
        <w:t>(1)</w:t>
      </w:r>
      <w:r>
        <w:rPr>
          <w:snapToGrid w:val="0"/>
        </w:rPr>
        <w:tab/>
        <w:t>The CEO may, by written notice served in accordance with regulation 89 and identifying the unauthorised structure to which it relates, direct a person in occupation or control of an unauthorised structure to remove it, together with its contents.</w:t>
      </w:r>
    </w:p>
    <w:p>
      <w:pPr>
        <w:pStyle w:val="Subsection"/>
        <w:rPr>
          <w:snapToGrid w:val="0"/>
        </w:rPr>
      </w:pPr>
      <w:r>
        <w:rPr>
          <w:snapToGrid w:val="0"/>
        </w:rPr>
        <w:tab/>
        <w:t>(2)</w:t>
      </w:r>
      <w:r>
        <w:rPr>
          <w:snapToGrid w:val="0"/>
        </w:rPr>
        <w:tab/>
        <w:t>A copy of the notice referred to in subregulation (1) must be affixed (where practicable) to the unauthorised structure, and must be published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one or more newspapers circulating daily in Geraldton and the Mid</w:t>
      </w:r>
      <w:r>
        <w:rPr>
          <w:snapToGrid w:val="0"/>
        </w:rPr>
        <w:noBreakHyphen/>
        <w:t>West area.</w:t>
      </w:r>
    </w:p>
    <w:p>
      <w:pPr>
        <w:pStyle w:val="Footnotesection"/>
      </w:pPr>
      <w:r>
        <w:tab/>
        <w:t>[Regulation 88 amended in Gazette 6 Jul 2007 p. 3389.]</w:t>
      </w:r>
    </w:p>
    <w:p>
      <w:pPr>
        <w:pStyle w:val="Heading5"/>
        <w:rPr>
          <w:snapToGrid w:val="0"/>
        </w:rPr>
      </w:pPr>
      <w:bookmarkStart w:id="3863" w:name="_Toc309309448"/>
      <w:r>
        <w:rPr>
          <w:rStyle w:val="CharSectno"/>
        </w:rPr>
        <w:t>89</w:t>
      </w:r>
      <w:r>
        <w:rPr>
          <w:snapToGrid w:val="0"/>
        </w:rPr>
        <w:t>.</w:t>
      </w:r>
      <w:r>
        <w:rPr>
          <w:snapToGrid w:val="0"/>
        </w:rPr>
        <w:tab/>
        <w:t>Service of r. 88 notice</w:t>
      </w:r>
      <w:bookmarkEnd w:id="3863"/>
    </w:p>
    <w:p>
      <w:pPr>
        <w:pStyle w:val="Subsection"/>
        <w:rPr>
          <w:snapToGrid w:val="0"/>
        </w:rPr>
      </w:pPr>
      <w:r>
        <w:rPr>
          <w:snapToGrid w:val="0"/>
        </w:rPr>
        <w:tab/>
        <w:t>(1)</w:t>
      </w:r>
      <w:r>
        <w:rPr>
          <w:snapToGrid w:val="0"/>
        </w:rPr>
        <w:tab/>
        <w:t>A notice under regulation 88(1) may be served on the owner of, the occupier of or the person in control of, an unauthorised structure (or all of them, as the case may be) —</w:t>
      </w:r>
    </w:p>
    <w:p>
      <w:pPr>
        <w:pStyle w:val="Indenta"/>
        <w:rPr>
          <w:snapToGrid w:val="0"/>
        </w:rPr>
      </w:pPr>
      <w:r>
        <w:rPr>
          <w:snapToGrid w:val="0"/>
        </w:rPr>
        <w:tab/>
        <w:t>(a)</w:t>
      </w:r>
      <w:r>
        <w:rPr>
          <w:snapToGrid w:val="0"/>
        </w:rPr>
        <w:tab/>
        <w:t>in person; or</w:t>
      </w:r>
    </w:p>
    <w:p>
      <w:pPr>
        <w:pStyle w:val="Indenta"/>
        <w:rPr>
          <w:snapToGrid w:val="0"/>
        </w:rPr>
      </w:pPr>
      <w:r>
        <w:rPr>
          <w:snapToGrid w:val="0"/>
        </w:rPr>
        <w:tab/>
        <w:t>(b)</w:t>
      </w:r>
      <w:r>
        <w:rPr>
          <w:snapToGrid w:val="0"/>
        </w:rPr>
        <w:tab/>
        <w:t>by post,</w:t>
      </w:r>
    </w:p>
    <w:p>
      <w:pPr>
        <w:pStyle w:val="Subsection"/>
        <w:rPr>
          <w:snapToGrid w:val="0"/>
        </w:rPr>
      </w:pPr>
      <w:r>
        <w:rPr>
          <w:snapToGrid w:val="0"/>
        </w:rPr>
        <w:tab/>
      </w:r>
      <w:r>
        <w:rPr>
          <w:snapToGrid w:val="0"/>
        </w:rPr>
        <w:tab/>
        <w:t xml:space="preserve">in accordance with sections 75 and 76 of the </w:t>
      </w:r>
      <w:r>
        <w:rPr>
          <w:i/>
          <w:snapToGrid w:val="0"/>
        </w:rPr>
        <w:t>Interpretation Act 1984</w:t>
      </w:r>
      <w:r>
        <w:rPr>
          <w:snapToGrid w:val="0"/>
        </w:rPr>
        <w:t>.</w:t>
      </w:r>
    </w:p>
    <w:p>
      <w:pPr>
        <w:pStyle w:val="Subsection"/>
        <w:rPr>
          <w:snapToGrid w:val="0"/>
        </w:rPr>
      </w:pPr>
      <w:r>
        <w:rPr>
          <w:snapToGrid w:val="0"/>
        </w:rPr>
        <w:tab/>
        <w:t>(2)</w:t>
      </w:r>
      <w:r>
        <w:rPr>
          <w:snapToGrid w:val="0"/>
        </w:rPr>
        <w:tab/>
        <w:t>Despite subregulation (1), where the owner, occupier or person in control of an unauthorised structure is unknown, or known to be absent from the State, the notice may be served by using the procedure in regulation 88(2), and, when the person to whom it is to be addressed is unknown, the notice may be addressed to “the person in or in control of” the unauthorised structure (identifying it) to which the notice refers, without further name or description.</w:t>
      </w:r>
    </w:p>
    <w:p>
      <w:pPr>
        <w:pStyle w:val="Subsection"/>
        <w:rPr>
          <w:snapToGrid w:val="0"/>
        </w:rPr>
      </w:pPr>
      <w:r>
        <w:rPr>
          <w:snapToGrid w:val="0"/>
        </w:rPr>
        <w:tab/>
        <w:t>(3)</w:t>
      </w:r>
      <w:r>
        <w:rPr>
          <w:snapToGrid w:val="0"/>
        </w:rPr>
        <w:tab/>
        <w:t>If more than one person is in apparent occupation or control of an unauthorised structure, it is sufficient to serve the notice on one of them and address it to that one with the addition of the words “and others” or “and another” as the case requires.</w:t>
      </w:r>
    </w:p>
    <w:p>
      <w:pPr>
        <w:pStyle w:val="Subsection"/>
        <w:rPr>
          <w:snapToGrid w:val="0"/>
        </w:rPr>
      </w:pPr>
      <w:r>
        <w:rPr>
          <w:snapToGrid w:val="0"/>
        </w:rPr>
        <w:tab/>
        <w:t>(4)</w:t>
      </w:r>
      <w:r>
        <w:rPr>
          <w:snapToGrid w:val="0"/>
        </w:rPr>
        <w:tab/>
        <w:t>Non</w:t>
      </w:r>
      <w:r>
        <w:rPr>
          <w:snapToGrid w:val="0"/>
        </w:rPr>
        <w:noBreakHyphen/>
        <w:t>service on the person in apparent control of the unauthorised structure does not affect the validity of service on the person in apparent occupation of the unauthorised structure, and non</w:t>
      </w:r>
      <w:r>
        <w:rPr>
          <w:snapToGrid w:val="0"/>
        </w:rPr>
        <w:noBreakHyphen/>
        <w:t>service on the person in apparent occupation of the unauthorised structure does not affect the validity of service on the person in apparent control of the unauthorised structure.</w:t>
      </w:r>
    </w:p>
    <w:p>
      <w:pPr>
        <w:pStyle w:val="Heading5"/>
        <w:rPr>
          <w:snapToGrid w:val="0"/>
        </w:rPr>
      </w:pPr>
      <w:bookmarkStart w:id="3864" w:name="_Toc309309449"/>
      <w:r>
        <w:rPr>
          <w:rStyle w:val="CharSectno"/>
        </w:rPr>
        <w:t>90</w:t>
      </w:r>
      <w:r>
        <w:rPr>
          <w:snapToGrid w:val="0"/>
        </w:rPr>
        <w:t>.</w:t>
      </w:r>
      <w:r>
        <w:rPr>
          <w:snapToGrid w:val="0"/>
        </w:rPr>
        <w:tab/>
        <w:t>Non</w:t>
      </w:r>
      <w:r>
        <w:rPr>
          <w:snapToGrid w:val="0"/>
        </w:rPr>
        <w:noBreakHyphen/>
      </w:r>
      <w:r>
        <w:rPr>
          <w:snapToGrid w:val="0"/>
        </w:rPr>
        <w:softHyphen/>
        <w:t>compliance with r. 88 notice</w:t>
      </w:r>
      <w:bookmarkEnd w:id="3864"/>
    </w:p>
    <w:p>
      <w:pPr>
        <w:pStyle w:val="Subsection"/>
        <w:rPr>
          <w:snapToGrid w:val="0"/>
        </w:rPr>
      </w:pPr>
      <w:r>
        <w:rPr>
          <w:snapToGrid w:val="0"/>
        </w:rPr>
        <w:tab/>
      </w:r>
      <w:r>
        <w:rPr>
          <w:snapToGrid w:val="0"/>
        </w:rPr>
        <w:tab/>
        <w:t>Where a person fails to comply with a notice under regulation 88 within a period of 2 months from the time of service, and the CEO is satisfied —</w:t>
      </w:r>
    </w:p>
    <w:p>
      <w:pPr>
        <w:pStyle w:val="Indenta"/>
        <w:rPr>
          <w:snapToGrid w:val="0"/>
        </w:rPr>
      </w:pPr>
      <w:r>
        <w:rPr>
          <w:snapToGrid w:val="0"/>
        </w:rPr>
        <w:tab/>
        <w:t>(a)</w:t>
      </w:r>
      <w:r>
        <w:rPr>
          <w:snapToGrid w:val="0"/>
        </w:rPr>
        <w:tab/>
        <w:t>that the structure is an unauthorised structure; and</w:t>
      </w:r>
    </w:p>
    <w:p>
      <w:pPr>
        <w:pStyle w:val="Indenta"/>
        <w:rPr>
          <w:snapToGrid w:val="0"/>
        </w:rPr>
      </w:pPr>
      <w:r>
        <w:rPr>
          <w:snapToGrid w:val="0"/>
        </w:rPr>
        <w:tab/>
        <w:t>(b)</w:t>
      </w:r>
      <w:r>
        <w:rPr>
          <w:snapToGrid w:val="0"/>
        </w:rPr>
        <w:tab/>
        <w:t>that the notice has been properly served; and</w:t>
      </w:r>
    </w:p>
    <w:p>
      <w:pPr>
        <w:pStyle w:val="Indenta"/>
        <w:rPr>
          <w:snapToGrid w:val="0"/>
        </w:rPr>
      </w:pPr>
      <w:r>
        <w:rPr>
          <w:snapToGrid w:val="0"/>
        </w:rPr>
        <w:tab/>
        <w:t>(c)</w:t>
      </w:r>
      <w:r>
        <w:rPr>
          <w:snapToGrid w:val="0"/>
        </w:rPr>
        <w:tab/>
        <w:t>that the person has not complied with the notice within the period,</w:t>
      </w:r>
    </w:p>
    <w:p>
      <w:pPr>
        <w:pStyle w:val="Subsection"/>
        <w:rPr>
          <w:snapToGrid w:val="0"/>
        </w:rPr>
      </w:pPr>
      <w:r>
        <w:rPr>
          <w:snapToGrid w:val="0"/>
        </w:rPr>
        <w:tab/>
      </w:r>
      <w:r>
        <w:rPr>
          <w:snapToGrid w:val="0"/>
        </w:rPr>
        <w:tab/>
        <w:t>the CEO may, in writing —</w:t>
      </w:r>
    </w:p>
    <w:p>
      <w:pPr>
        <w:pStyle w:val="Indenta"/>
        <w:rPr>
          <w:snapToGrid w:val="0"/>
        </w:rPr>
      </w:pPr>
      <w:r>
        <w:rPr>
          <w:snapToGrid w:val="0"/>
        </w:rPr>
        <w:tab/>
        <w:t>(d)</w:t>
      </w:r>
      <w:r>
        <w:rPr>
          <w:snapToGrid w:val="0"/>
        </w:rPr>
        <w:tab/>
        <w:t>authorise a fisheries officer to arrange for the removal of the unauthorised structure and its contents; or</w:t>
      </w:r>
    </w:p>
    <w:p>
      <w:pPr>
        <w:pStyle w:val="Indenta"/>
        <w:rPr>
          <w:snapToGrid w:val="0"/>
        </w:rPr>
      </w:pPr>
      <w:r>
        <w:rPr>
          <w:snapToGrid w:val="0"/>
        </w:rPr>
        <w:tab/>
        <w:t>(e)</w:t>
      </w:r>
      <w:r>
        <w:rPr>
          <w:snapToGrid w:val="0"/>
        </w:rPr>
        <w:tab/>
        <w:t>authorise the destruction or sale of the unauthorised structure, or part of that structure, or its contents, or both the structure and its contents; or</w:t>
      </w:r>
    </w:p>
    <w:p>
      <w:pPr>
        <w:pStyle w:val="Indenta"/>
        <w:rPr>
          <w:snapToGrid w:val="0"/>
        </w:rPr>
      </w:pPr>
      <w:r>
        <w:rPr>
          <w:snapToGrid w:val="0"/>
        </w:rPr>
        <w:tab/>
        <w:t>(f)</w:t>
      </w:r>
      <w:r>
        <w:rPr>
          <w:snapToGrid w:val="0"/>
        </w:rPr>
        <w:tab/>
        <w:t>authorise the sale of the unauthorised structure or its contents or both on condition that it or they are removed upon sale; or</w:t>
      </w:r>
    </w:p>
    <w:p>
      <w:pPr>
        <w:pStyle w:val="Indenta"/>
        <w:rPr>
          <w:snapToGrid w:val="0"/>
        </w:rPr>
      </w:pPr>
      <w:r>
        <w:rPr>
          <w:snapToGrid w:val="0"/>
        </w:rPr>
        <w:tab/>
        <w:t>(g)</w:t>
      </w:r>
      <w:r>
        <w:rPr>
          <w:snapToGrid w:val="0"/>
        </w:rPr>
        <w:tab/>
        <w:t>authorise the recovery of costs, incurred in the removal, destruction or sale of the unauthorised structure, from the owner, occupier or person in control of that structure; or</w:t>
      </w:r>
    </w:p>
    <w:p>
      <w:pPr>
        <w:pStyle w:val="Indenta"/>
        <w:rPr>
          <w:snapToGrid w:val="0"/>
        </w:rPr>
      </w:pPr>
      <w:r>
        <w:rPr>
          <w:snapToGrid w:val="0"/>
        </w:rPr>
        <w:tab/>
        <w:t>(h)</w:t>
      </w:r>
      <w:r>
        <w:rPr>
          <w:snapToGrid w:val="0"/>
        </w:rPr>
        <w:tab/>
        <w:t>where the unauthorised structure or its contents are offered for sale under paragraph (e) or (f) and —</w:t>
      </w:r>
    </w:p>
    <w:p>
      <w:pPr>
        <w:pStyle w:val="Indenti"/>
        <w:rPr>
          <w:snapToGrid w:val="0"/>
        </w:rPr>
      </w:pPr>
      <w:r>
        <w:rPr>
          <w:snapToGrid w:val="0"/>
        </w:rPr>
        <w:tab/>
        <w:t>(i)</w:t>
      </w:r>
      <w:r>
        <w:rPr>
          <w:snapToGrid w:val="0"/>
        </w:rPr>
        <w:tab/>
        <w:t>have not been sold; or</w:t>
      </w:r>
    </w:p>
    <w:p>
      <w:pPr>
        <w:pStyle w:val="Indenti"/>
        <w:rPr>
          <w:snapToGrid w:val="0"/>
        </w:rPr>
      </w:pPr>
      <w:r>
        <w:rPr>
          <w:snapToGrid w:val="0"/>
        </w:rPr>
        <w:tab/>
        <w:t>(ii)</w:t>
      </w:r>
      <w:r>
        <w:rPr>
          <w:snapToGrid w:val="0"/>
        </w:rPr>
        <w:tab/>
        <w:t>do not raise a sufficient amount at sale to defray the cost of removal, destruction or sale of that unauthorised structure or its contents,</w:t>
      </w:r>
    </w:p>
    <w:p>
      <w:pPr>
        <w:pStyle w:val="Indenta"/>
        <w:rPr>
          <w:snapToGrid w:val="0"/>
        </w:rPr>
      </w:pPr>
      <w:r>
        <w:rPr>
          <w:snapToGrid w:val="0"/>
        </w:rPr>
        <w:tab/>
      </w:r>
      <w:r>
        <w:rPr>
          <w:snapToGrid w:val="0"/>
        </w:rPr>
        <w:tab/>
        <w:t>authorise the recovery of costs, or of the unsatisfied balance of the costs, from the person, or occupier, in control of the unauthorised structure or the owner, or both.</w:t>
      </w:r>
    </w:p>
    <w:p>
      <w:pPr>
        <w:pStyle w:val="Footnotesection"/>
      </w:pPr>
      <w:r>
        <w:tab/>
        <w:t>[Regulation 90 amended in Gazette 6 Jul 2007 p. 3389.]</w:t>
      </w:r>
    </w:p>
    <w:p>
      <w:pPr>
        <w:pStyle w:val="Heading5"/>
        <w:rPr>
          <w:snapToGrid w:val="0"/>
        </w:rPr>
      </w:pPr>
      <w:bookmarkStart w:id="3865" w:name="_Toc309309450"/>
      <w:r>
        <w:rPr>
          <w:rStyle w:val="CharSectno"/>
        </w:rPr>
        <w:t>91</w:t>
      </w:r>
      <w:r>
        <w:rPr>
          <w:snapToGrid w:val="0"/>
        </w:rPr>
        <w:t>.</w:t>
      </w:r>
      <w:r>
        <w:rPr>
          <w:snapToGrid w:val="0"/>
        </w:rPr>
        <w:tab/>
        <w:t>Site of unauthorised structure to be cleared completely</w:t>
      </w:r>
      <w:bookmarkEnd w:id="3865"/>
    </w:p>
    <w:p>
      <w:pPr>
        <w:pStyle w:val="Subsection"/>
        <w:rPr>
          <w:snapToGrid w:val="0"/>
        </w:rPr>
      </w:pPr>
      <w:r>
        <w:rPr>
          <w:snapToGrid w:val="0"/>
        </w:rPr>
        <w:tab/>
      </w:r>
      <w:r>
        <w:rPr>
          <w:snapToGrid w:val="0"/>
        </w:rPr>
        <w:tab/>
        <w:t>A person who is directed to remove an unauthorised structure under regulation 88(1) must clear the site of residual materials and rubbish.</w:t>
      </w:r>
    </w:p>
    <w:p>
      <w:pPr>
        <w:pStyle w:val="Penstart"/>
        <w:rPr>
          <w:snapToGrid w:val="0"/>
        </w:rPr>
      </w:pPr>
      <w:r>
        <w:rPr>
          <w:snapToGrid w:val="0"/>
        </w:rPr>
        <w:tab/>
        <w:t>Penalty: $2 000.</w:t>
      </w:r>
    </w:p>
    <w:p>
      <w:pPr>
        <w:pStyle w:val="Heading3"/>
      </w:pPr>
      <w:bookmarkStart w:id="3866" w:name="_Toc189988021"/>
      <w:bookmarkStart w:id="3867" w:name="_Toc192041604"/>
      <w:bookmarkStart w:id="3868" w:name="_Toc199570838"/>
      <w:bookmarkStart w:id="3869" w:name="_Toc199738836"/>
      <w:bookmarkStart w:id="3870" w:name="_Toc199814937"/>
      <w:bookmarkStart w:id="3871" w:name="_Toc215040744"/>
      <w:bookmarkStart w:id="3872" w:name="_Toc215041189"/>
      <w:bookmarkStart w:id="3873" w:name="_Toc222129397"/>
      <w:bookmarkStart w:id="3874" w:name="_Toc222223102"/>
      <w:bookmarkStart w:id="3875" w:name="_Toc225914354"/>
      <w:bookmarkStart w:id="3876" w:name="_Toc231282399"/>
      <w:bookmarkStart w:id="3877" w:name="_Toc231282843"/>
      <w:bookmarkStart w:id="3878" w:name="_Toc234899430"/>
      <w:bookmarkStart w:id="3879" w:name="_Toc236632712"/>
      <w:bookmarkStart w:id="3880" w:name="_Toc236720325"/>
      <w:bookmarkStart w:id="3881" w:name="_Toc237764524"/>
      <w:bookmarkStart w:id="3882" w:name="_Toc238356148"/>
      <w:bookmarkStart w:id="3883" w:name="_Toc238368853"/>
      <w:bookmarkStart w:id="3884" w:name="_Toc238375806"/>
      <w:bookmarkStart w:id="3885" w:name="_Toc240339130"/>
      <w:bookmarkStart w:id="3886" w:name="_Toc241993636"/>
      <w:bookmarkStart w:id="3887" w:name="_Toc243192779"/>
      <w:bookmarkStart w:id="3888" w:name="_Toc243295481"/>
      <w:bookmarkStart w:id="3889" w:name="_Toc245113054"/>
      <w:bookmarkStart w:id="3890" w:name="_Toc245198216"/>
      <w:bookmarkStart w:id="3891" w:name="_Toc245198665"/>
      <w:bookmarkStart w:id="3892" w:name="_Toc245199114"/>
      <w:bookmarkStart w:id="3893" w:name="_Toc248122145"/>
      <w:bookmarkStart w:id="3894" w:name="_Toc248122596"/>
      <w:bookmarkStart w:id="3895" w:name="_Toc253670583"/>
      <w:bookmarkStart w:id="3896" w:name="_Toc253671033"/>
      <w:bookmarkStart w:id="3897" w:name="_Toc254942803"/>
      <w:bookmarkStart w:id="3898" w:name="_Toc254943256"/>
      <w:bookmarkStart w:id="3899" w:name="_Toc255475848"/>
      <w:bookmarkStart w:id="3900" w:name="_Toc256432169"/>
      <w:bookmarkStart w:id="3901" w:name="_Toc257720506"/>
      <w:bookmarkStart w:id="3902" w:name="_Toc257722188"/>
      <w:bookmarkStart w:id="3903" w:name="_Toc258335864"/>
      <w:bookmarkStart w:id="3904" w:name="_Toc260406306"/>
      <w:bookmarkStart w:id="3905" w:name="_Toc261271492"/>
      <w:bookmarkStart w:id="3906" w:name="_Toc262808174"/>
      <w:bookmarkStart w:id="3907" w:name="_Toc267572567"/>
      <w:bookmarkStart w:id="3908" w:name="_Toc270684316"/>
      <w:bookmarkStart w:id="3909" w:name="_Toc274214493"/>
      <w:bookmarkStart w:id="3910" w:name="_Toc274214942"/>
      <w:bookmarkStart w:id="3911" w:name="_Toc278976273"/>
      <w:bookmarkStart w:id="3912" w:name="_Toc286760596"/>
      <w:bookmarkStart w:id="3913" w:name="_Toc289080941"/>
      <w:bookmarkStart w:id="3914" w:name="_Toc290284135"/>
      <w:bookmarkStart w:id="3915" w:name="_Toc290642956"/>
      <w:bookmarkStart w:id="3916" w:name="_Toc290643405"/>
      <w:bookmarkStart w:id="3917" w:name="_Toc290643858"/>
      <w:bookmarkStart w:id="3918" w:name="_Toc294701675"/>
      <w:bookmarkStart w:id="3919" w:name="_Toc295200083"/>
      <w:bookmarkStart w:id="3920" w:name="_Toc296954524"/>
      <w:bookmarkStart w:id="3921" w:name="_Toc297276156"/>
      <w:bookmarkStart w:id="3922" w:name="_Toc297276608"/>
      <w:bookmarkStart w:id="3923" w:name="_Toc297277058"/>
      <w:bookmarkStart w:id="3924" w:name="_Toc297726427"/>
      <w:bookmarkStart w:id="3925" w:name="_Toc299980213"/>
      <w:bookmarkStart w:id="3926" w:name="_Toc300234839"/>
      <w:bookmarkStart w:id="3927" w:name="_Toc301961342"/>
      <w:bookmarkStart w:id="3928" w:name="_Toc301966912"/>
      <w:bookmarkStart w:id="3929" w:name="_Toc303253121"/>
      <w:bookmarkStart w:id="3930" w:name="_Toc303257285"/>
      <w:bookmarkStart w:id="3931" w:name="_Toc307992918"/>
      <w:bookmarkStart w:id="3932" w:name="_Toc309029951"/>
      <w:bookmarkStart w:id="3933" w:name="_Toc309304174"/>
      <w:bookmarkStart w:id="3934" w:name="_Toc309304627"/>
      <w:bookmarkStart w:id="3935" w:name="_Toc309309451"/>
      <w:r>
        <w:rPr>
          <w:rStyle w:val="CharDivNo"/>
        </w:rPr>
        <w:t>Division 6</w:t>
      </w:r>
      <w:r>
        <w:rPr>
          <w:snapToGrid w:val="0"/>
        </w:rPr>
        <w:t> — </w:t>
      </w:r>
      <w:r>
        <w:rPr>
          <w:rStyle w:val="CharDivText"/>
        </w:rPr>
        <w:t>Share arrangements and dispute procedure</w:t>
      </w:r>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p>
    <w:p>
      <w:pPr>
        <w:pStyle w:val="Heading5"/>
        <w:rPr>
          <w:snapToGrid w:val="0"/>
        </w:rPr>
      </w:pPr>
      <w:bookmarkStart w:id="3936" w:name="_Toc309309452"/>
      <w:r>
        <w:rPr>
          <w:rStyle w:val="CharSectno"/>
        </w:rPr>
        <w:t>92</w:t>
      </w:r>
      <w:r>
        <w:rPr>
          <w:snapToGrid w:val="0"/>
        </w:rPr>
        <w:t>.</w:t>
      </w:r>
      <w:r>
        <w:rPr>
          <w:snapToGrid w:val="0"/>
        </w:rPr>
        <w:tab/>
        <w:t>Share arrangement to be subject of written agreement</w:t>
      </w:r>
      <w:bookmarkEnd w:id="3936"/>
    </w:p>
    <w:p>
      <w:pPr>
        <w:pStyle w:val="Subsection"/>
        <w:rPr>
          <w:snapToGrid w:val="0"/>
        </w:rPr>
      </w:pPr>
      <w:r>
        <w:rPr>
          <w:snapToGrid w:val="0"/>
        </w:rPr>
        <w:tab/>
        <w:t>(1)</w:t>
      </w:r>
      <w:r>
        <w:rPr>
          <w:snapToGrid w:val="0"/>
        </w:rPr>
        <w:tab/>
        <w:t>Where it is agreed between 2 or more parties to share camp facilities, jetties, moorings, power outlets or lighting plants, the parties to that agreement must sign a written agreement in the approved form, together with illustrative diagrams relating to that agreement (if appropriate).</w:t>
      </w:r>
    </w:p>
    <w:p>
      <w:pPr>
        <w:pStyle w:val="Subsection"/>
        <w:rPr>
          <w:snapToGrid w:val="0"/>
        </w:rPr>
      </w:pPr>
      <w:r>
        <w:rPr>
          <w:snapToGrid w:val="0"/>
        </w:rPr>
        <w:tab/>
        <w:t>(2)</w:t>
      </w:r>
      <w:r>
        <w:rPr>
          <w:snapToGrid w:val="0"/>
        </w:rPr>
        <w:tab/>
        <w:t>A written agreement under subregulation (1) is not valid unless a copy of the signed, written agreement is filed with the Department.</w:t>
      </w:r>
    </w:p>
    <w:p>
      <w:pPr>
        <w:pStyle w:val="Subsection"/>
        <w:rPr>
          <w:snapToGrid w:val="0"/>
        </w:rPr>
      </w:pPr>
      <w:r>
        <w:rPr>
          <w:snapToGrid w:val="0"/>
        </w:rPr>
        <w:tab/>
        <w:t>(3)</w:t>
      </w:r>
      <w:r>
        <w:rPr>
          <w:snapToGrid w:val="0"/>
        </w:rPr>
        <w:tab/>
        <w:t>A written agreement cannot be amended without the written approval of the CEO.</w:t>
      </w:r>
    </w:p>
    <w:p>
      <w:pPr>
        <w:pStyle w:val="Footnotesection"/>
      </w:pPr>
      <w:r>
        <w:tab/>
        <w:t>[Regulation 92 amended in Gazette 6 Jul 2007 p. 3389.]</w:t>
      </w:r>
    </w:p>
    <w:p>
      <w:pPr>
        <w:pStyle w:val="Heading5"/>
        <w:rPr>
          <w:snapToGrid w:val="0"/>
        </w:rPr>
      </w:pPr>
      <w:bookmarkStart w:id="3937" w:name="_Toc309309453"/>
      <w:r>
        <w:rPr>
          <w:rStyle w:val="CharSectno"/>
        </w:rPr>
        <w:t>93</w:t>
      </w:r>
      <w:r>
        <w:rPr>
          <w:snapToGrid w:val="0"/>
        </w:rPr>
        <w:t>.</w:t>
      </w:r>
      <w:r>
        <w:rPr>
          <w:snapToGrid w:val="0"/>
        </w:rPr>
        <w:tab/>
        <w:t>Disputes over use of shared buildings etc., resolution procedure for</w:t>
      </w:r>
      <w:bookmarkEnd w:id="3937"/>
    </w:p>
    <w:p>
      <w:pPr>
        <w:pStyle w:val="Subsection"/>
        <w:rPr>
          <w:snapToGrid w:val="0"/>
        </w:rPr>
      </w:pPr>
      <w:r>
        <w:rPr>
          <w:snapToGrid w:val="0"/>
        </w:rPr>
        <w:tab/>
        <w:t>(1)</w:t>
      </w:r>
      <w:r>
        <w:rPr>
          <w:snapToGrid w:val="0"/>
        </w:rPr>
        <w:tab/>
        <w:t>If a dispute arises which relates to the use of a building, structure or facility in the reserve, and which is the subject of a share arrangement, the following procedure may be used to resolve the dispute —</w:t>
      </w:r>
    </w:p>
    <w:p>
      <w:pPr>
        <w:pStyle w:val="Indenta"/>
        <w:rPr>
          <w:snapToGrid w:val="0"/>
        </w:rPr>
      </w:pPr>
      <w:r>
        <w:rPr>
          <w:snapToGrid w:val="0"/>
        </w:rPr>
        <w:tab/>
        <w:t>(a)</w:t>
      </w:r>
      <w:r>
        <w:rPr>
          <w:snapToGrid w:val="0"/>
        </w:rPr>
        <w:tab/>
        <w:t>a party to the dispute may write to the Minister advising of the existence of the dispute and may seek invocation of the dispute procedure set out in this Division; and</w:t>
      </w:r>
    </w:p>
    <w:p>
      <w:pPr>
        <w:pStyle w:val="Indenta"/>
        <w:rPr>
          <w:snapToGrid w:val="0"/>
        </w:rPr>
      </w:pPr>
      <w:r>
        <w:rPr>
          <w:snapToGrid w:val="0"/>
        </w:rPr>
        <w:tab/>
        <w:t>(b)</w:t>
      </w:r>
      <w:r>
        <w:rPr>
          <w:snapToGrid w:val="0"/>
        </w:rPr>
        <w:tab/>
        <w:t>where the Minister is of the opinion that it is justified, the Minister may invoke this dispute procedure and appoint an independent arbitrator to deal with the dispute.</w:t>
      </w:r>
    </w:p>
    <w:p>
      <w:pPr>
        <w:pStyle w:val="Subsection"/>
        <w:rPr>
          <w:snapToGrid w:val="0"/>
        </w:rPr>
      </w:pPr>
      <w:r>
        <w:rPr>
          <w:snapToGrid w:val="0"/>
        </w:rPr>
        <w:tab/>
        <w:t>(2)</w:t>
      </w:r>
      <w:r>
        <w:rPr>
          <w:snapToGrid w:val="0"/>
        </w:rPr>
        <w:tab/>
        <w:t>The CEO may appoint an independent arbitrator to deal with disputes that have been running for longer than 6 months without signs of resolution.</w:t>
      </w:r>
    </w:p>
    <w:p>
      <w:pPr>
        <w:pStyle w:val="Footnotesection"/>
        <w:ind w:left="890" w:hanging="890"/>
      </w:pPr>
      <w:r>
        <w:tab/>
        <w:t>[Regulation 93 amended in Gazette 6 Jul 2007 p. 3389</w:t>
      </w:r>
      <w:r>
        <w:noBreakHyphen/>
        <w:t>90.]</w:t>
      </w:r>
    </w:p>
    <w:p>
      <w:pPr>
        <w:pStyle w:val="Heading5"/>
        <w:rPr>
          <w:snapToGrid w:val="0"/>
        </w:rPr>
      </w:pPr>
      <w:bookmarkStart w:id="3938" w:name="_Toc309309454"/>
      <w:r>
        <w:rPr>
          <w:rStyle w:val="CharSectno"/>
        </w:rPr>
        <w:t>94</w:t>
      </w:r>
      <w:r>
        <w:rPr>
          <w:snapToGrid w:val="0"/>
        </w:rPr>
        <w:t>.</w:t>
      </w:r>
      <w:r>
        <w:rPr>
          <w:snapToGrid w:val="0"/>
        </w:rPr>
        <w:tab/>
        <w:t>Independent arbitrators, duties of</w:t>
      </w:r>
      <w:bookmarkEnd w:id="3938"/>
    </w:p>
    <w:p>
      <w:pPr>
        <w:pStyle w:val="Subsection"/>
        <w:rPr>
          <w:snapToGrid w:val="0"/>
        </w:rPr>
      </w:pPr>
      <w:r>
        <w:rPr>
          <w:snapToGrid w:val="0"/>
        </w:rPr>
        <w:tab/>
        <w:t>(1)</w:t>
      </w:r>
      <w:r>
        <w:rPr>
          <w:snapToGrid w:val="0"/>
        </w:rPr>
        <w:tab/>
        <w:t>An independent arbitrator must —</w:t>
      </w:r>
    </w:p>
    <w:p>
      <w:pPr>
        <w:pStyle w:val="Indenta"/>
        <w:keepLines/>
        <w:rPr>
          <w:snapToGrid w:val="0"/>
        </w:rPr>
      </w:pPr>
      <w:r>
        <w:rPr>
          <w:snapToGrid w:val="0"/>
        </w:rPr>
        <w:tab/>
        <w:t>(a)</w:t>
      </w:r>
      <w:r>
        <w:rPr>
          <w:snapToGrid w:val="0"/>
        </w:rPr>
        <w:tab/>
        <w:t>write to the parties known to be involved in the dispute seeking, from each of them, a written statement of the grounds of the dispute; and</w:t>
      </w:r>
    </w:p>
    <w:p>
      <w:pPr>
        <w:pStyle w:val="Indenta"/>
        <w:rPr>
          <w:snapToGrid w:val="0"/>
        </w:rPr>
      </w:pPr>
      <w:r>
        <w:rPr>
          <w:snapToGrid w:val="0"/>
        </w:rPr>
        <w:tab/>
        <w:t>(b)</w:t>
      </w:r>
      <w:r>
        <w:rPr>
          <w:snapToGrid w:val="0"/>
        </w:rPr>
        <w:tab/>
        <w:t>upon receipt of the grounds requested in paragraph (a), or after a reasonable time if either or both do not reply, inform each party of the known grounds of dispute.</w:t>
      </w:r>
    </w:p>
    <w:p>
      <w:pPr>
        <w:pStyle w:val="Subsection"/>
        <w:spacing w:before="120"/>
        <w:rPr>
          <w:snapToGrid w:val="0"/>
        </w:rPr>
      </w:pPr>
      <w:r>
        <w:rPr>
          <w:snapToGrid w:val="0"/>
        </w:rPr>
        <w:tab/>
        <w:t>(2)</w:t>
      </w:r>
      <w:r>
        <w:rPr>
          <w:snapToGrid w:val="0"/>
        </w:rPr>
        <w:tab/>
        <w:t>After obtaining advice, if required, from the CEO or other relevant person, and allowing sufficient time to enable each party to put their side of the dispute, and following due consideration, the independent arbitrator must make a determination.</w:t>
      </w:r>
    </w:p>
    <w:p>
      <w:pPr>
        <w:pStyle w:val="Footnotesection"/>
      </w:pPr>
      <w:r>
        <w:tab/>
        <w:t>[Regulation 94 amended in Gazette 6 Jul 2007 p. 3389</w:t>
      </w:r>
      <w:r>
        <w:noBreakHyphen/>
        <w:t>90.]</w:t>
      </w:r>
    </w:p>
    <w:p>
      <w:pPr>
        <w:pStyle w:val="Heading5"/>
        <w:spacing w:before="180"/>
        <w:rPr>
          <w:snapToGrid w:val="0"/>
        </w:rPr>
      </w:pPr>
      <w:bookmarkStart w:id="3939" w:name="_Toc309309455"/>
      <w:r>
        <w:rPr>
          <w:rStyle w:val="CharSectno"/>
        </w:rPr>
        <w:t>95</w:t>
      </w:r>
      <w:r>
        <w:rPr>
          <w:snapToGrid w:val="0"/>
        </w:rPr>
        <w:t>.</w:t>
      </w:r>
      <w:r>
        <w:rPr>
          <w:snapToGrid w:val="0"/>
        </w:rPr>
        <w:tab/>
        <w:t>Arbitrator’s determination to be decided by Minister</w:t>
      </w:r>
      <w:bookmarkEnd w:id="3939"/>
    </w:p>
    <w:p>
      <w:pPr>
        <w:pStyle w:val="Subsection"/>
        <w:rPr>
          <w:snapToGrid w:val="0"/>
        </w:rPr>
      </w:pPr>
      <w:r>
        <w:rPr>
          <w:snapToGrid w:val="0"/>
        </w:rPr>
        <w:tab/>
        <w:t>(1)</w:t>
      </w:r>
      <w:r>
        <w:rPr>
          <w:snapToGrid w:val="0"/>
        </w:rPr>
        <w:tab/>
        <w:t>A determination under regulation 94(2) must be referred by the independent arbitrator to the Minister who may decide to accept or reject the determination, and who must inform the parties of the decision.</w:t>
      </w:r>
    </w:p>
    <w:p>
      <w:pPr>
        <w:pStyle w:val="Subsection"/>
        <w:rPr>
          <w:snapToGrid w:val="0"/>
        </w:rPr>
      </w:pPr>
      <w:r>
        <w:rPr>
          <w:snapToGrid w:val="0"/>
        </w:rPr>
        <w:tab/>
        <w:t>(2)</w:t>
      </w:r>
      <w:r>
        <w:rPr>
          <w:snapToGrid w:val="0"/>
        </w:rPr>
        <w:tab/>
        <w:t>The decision of the Minister is binding upon the parties.</w:t>
      </w:r>
    </w:p>
    <w:p>
      <w:pPr>
        <w:pStyle w:val="Heading3"/>
      </w:pPr>
      <w:bookmarkStart w:id="3940" w:name="_Toc189988026"/>
      <w:bookmarkStart w:id="3941" w:name="_Toc192041609"/>
      <w:bookmarkStart w:id="3942" w:name="_Toc199570843"/>
      <w:bookmarkStart w:id="3943" w:name="_Toc199738841"/>
      <w:bookmarkStart w:id="3944" w:name="_Toc199814942"/>
      <w:bookmarkStart w:id="3945" w:name="_Toc215040749"/>
      <w:bookmarkStart w:id="3946" w:name="_Toc215041194"/>
      <w:bookmarkStart w:id="3947" w:name="_Toc222129402"/>
      <w:bookmarkStart w:id="3948" w:name="_Toc222223107"/>
      <w:bookmarkStart w:id="3949" w:name="_Toc225914359"/>
      <w:bookmarkStart w:id="3950" w:name="_Toc231282404"/>
      <w:bookmarkStart w:id="3951" w:name="_Toc231282848"/>
      <w:bookmarkStart w:id="3952" w:name="_Toc234899435"/>
      <w:bookmarkStart w:id="3953" w:name="_Toc236632717"/>
      <w:bookmarkStart w:id="3954" w:name="_Toc236720330"/>
      <w:bookmarkStart w:id="3955" w:name="_Toc237764529"/>
      <w:bookmarkStart w:id="3956" w:name="_Toc238356153"/>
      <w:bookmarkStart w:id="3957" w:name="_Toc238368858"/>
      <w:bookmarkStart w:id="3958" w:name="_Toc238375811"/>
      <w:bookmarkStart w:id="3959" w:name="_Toc240339135"/>
      <w:bookmarkStart w:id="3960" w:name="_Toc241993641"/>
      <w:bookmarkStart w:id="3961" w:name="_Toc243192784"/>
      <w:bookmarkStart w:id="3962" w:name="_Toc243295486"/>
      <w:bookmarkStart w:id="3963" w:name="_Toc245113059"/>
      <w:bookmarkStart w:id="3964" w:name="_Toc245198221"/>
      <w:bookmarkStart w:id="3965" w:name="_Toc245198670"/>
      <w:bookmarkStart w:id="3966" w:name="_Toc245199119"/>
      <w:bookmarkStart w:id="3967" w:name="_Toc248122150"/>
      <w:bookmarkStart w:id="3968" w:name="_Toc248122601"/>
      <w:bookmarkStart w:id="3969" w:name="_Toc253670588"/>
      <w:bookmarkStart w:id="3970" w:name="_Toc253671038"/>
      <w:bookmarkStart w:id="3971" w:name="_Toc254942808"/>
      <w:bookmarkStart w:id="3972" w:name="_Toc254943261"/>
      <w:bookmarkStart w:id="3973" w:name="_Toc255475853"/>
      <w:bookmarkStart w:id="3974" w:name="_Toc256432174"/>
      <w:bookmarkStart w:id="3975" w:name="_Toc257720511"/>
      <w:bookmarkStart w:id="3976" w:name="_Toc257722193"/>
      <w:bookmarkStart w:id="3977" w:name="_Toc258335869"/>
      <w:bookmarkStart w:id="3978" w:name="_Toc260406311"/>
      <w:bookmarkStart w:id="3979" w:name="_Toc261271497"/>
      <w:bookmarkStart w:id="3980" w:name="_Toc262808179"/>
      <w:bookmarkStart w:id="3981" w:name="_Toc267572572"/>
      <w:bookmarkStart w:id="3982" w:name="_Toc270684321"/>
      <w:bookmarkStart w:id="3983" w:name="_Toc274214498"/>
      <w:bookmarkStart w:id="3984" w:name="_Toc274214947"/>
      <w:bookmarkStart w:id="3985" w:name="_Toc278976278"/>
      <w:bookmarkStart w:id="3986" w:name="_Toc286760601"/>
      <w:bookmarkStart w:id="3987" w:name="_Toc289080946"/>
      <w:bookmarkStart w:id="3988" w:name="_Toc290284140"/>
      <w:bookmarkStart w:id="3989" w:name="_Toc290642961"/>
      <w:bookmarkStart w:id="3990" w:name="_Toc290643410"/>
      <w:bookmarkStart w:id="3991" w:name="_Toc290643863"/>
      <w:bookmarkStart w:id="3992" w:name="_Toc294701680"/>
      <w:bookmarkStart w:id="3993" w:name="_Toc295200088"/>
      <w:bookmarkStart w:id="3994" w:name="_Toc296954529"/>
      <w:bookmarkStart w:id="3995" w:name="_Toc297276161"/>
      <w:bookmarkStart w:id="3996" w:name="_Toc297276613"/>
      <w:bookmarkStart w:id="3997" w:name="_Toc297277063"/>
      <w:bookmarkStart w:id="3998" w:name="_Toc297726432"/>
      <w:bookmarkStart w:id="3999" w:name="_Toc299980218"/>
      <w:bookmarkStart w:id="4000" w:name="_Toc300234844"/>
      <w:bookmarkStart w:id="4001" w:name="_Toc301961347"/>
      <w:bookmarkStart w:id="4002" w:name="_Toc301966917"/>
      <w:bookmarkStart w:id="4003" w:name="_Toc303253126"/>
      <w:bookmarkStart w:id="4004" w:name="_Toc303257290"/>
      <w:bookmarkStart w:id="4005" w:name="_Toc307992923"/>
      <w:bookmarkStart w:id="4006" w:name="_Toc309029956"/>
      <w:bookmarkStart w:id="4007" w:name="_Toc309304179"/>
      <w:bookmarkStart w:id="4008" w:name="_Toc309304632"/>
      <w:bookmarkStart w:id="4009" w:name="_Toc309309456"/>
      <w:r>
        <w:rPr>
          <w:rStyle w:val="CharDivNo"/>
        </w:rPr>
        <w:t>Division 7</w:t>
      </w:r>
      <w:r>
        <w:rPr>
          <w:snapToGrid w:val="0"/>
        </w:rPr>
        <w:t> — </w:t>
      </w:r>
      <w:r>
        <w:rPr>
          <w:rStyle w:val="CharDivText"/>
        </w:rPr>
        <w:t>Disposal of waste</w:t>
      </w:r>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p>
    <w:p>
      <w:pPr>
        <w:pStyle w:val="Heading5"/>
        <w:rPr>
          <w:snapToGrid w:val="0"/>
        </w:rPr>
      </w:pPr>
      <w:bookmarkStart w:id="4010" w:name="_Toc309309457"/>
      <w:r>
        <w:rPr>
          <w:rStyle w:val="CharSectno"/>
        </w:rPr>
        <w:t>96</w:t>
      </w:r>
      <w:r>
        <w:rPr>
          <w:snapToGrid w:val="0"/>
        </w:rPr>
        <w:t>.</w:t>
      </w:r>
      <w:r>
        <w:rPr>
          <w:snapToGrid w:val="0"/>
        </w:rPr>
        <w:tab/>
        <w:t>Waste disposal to be in accordance with this Division</w:t>
      </w:r>
      <w:bookmarkEnd w:id="4010"/>
    </w:p>
    <w:p>
      <w:pPr>
        <w:pStyle w:val="Subsection"/>
        <w:rPr>
          <w:snapToGrid w:val="0"/>
        </w:rPr>
      </w:pPr>
      <w:r>
        <w:rPr>
          <w:snapToGrid w:val="0"/>
        </w:rPr>
        <w:tab/>
        <w:t>(1)</w:t>
      </w:r>
      <w:r>
        <w:rPr>
          <w:snapToGrid w:val="0"/>
        </w:rPr>
        <w:tab/>
        <w:t>A person must not dump or dispose of any waste, other than in accordance with this Division.</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person who contravenes subregulation (1) is liable for any cost incurred if the waste is removed at the request of the CEO, in addition to the penalty specified for contravention of that subregulation.</w:t>
      </w:r>
    </w:p>
    <w:p>
      <w:pPr>
        <w:pStyle w:val="Footnotesection"/>
      </w:pPr>
      <w:r>
        <w:tab/>
        <w:t>[Regulation 96 amended in Gazette 6 Jul 2007 p. 3389</w:t>
      </w:r>
      <w:r>
        <w:noBreakHyphen/>
        <w:t>90.]</w:t>
      </w:r>
    </w:p>
    <w:p>
      <w:pPr>
        <w:pStyle w:val="Heading5"/>
        <w:rPr>
          <w:snapToGrid w:val="0"/>
        </w:rPr>
      </w:pPr>
      <w:bookmarkStart w:id="4011" w:name="_Toc309309458"/>
      <w:r>
        <w:rPr>
          <w:rStyle w:val="CharSectno"/>
        </w:rPr>
        <w:t>97</w:t>
      </w:r>
      <w:r>
        <w:rPr>
          <w:snapToGrid w:val="0"/>
        </w:rPr>
        <w:t>.</w:t>
      </w:r>
      <w:r>
        <w:rPr>
          <w:snapToGrid w:val="0"/>
        </w:rPr>
        <w:tab/>
        <w:t>Food waste</w:t>
      </w:r>
      <w:bookmarkEnd w:id="4011"/>
    </w:p>
    <w:p>
      <w:pPr>
        <w:pStyle w:val="Subsection"/>
        <w:rPr>
          <w:snapToGrid w:val="0"/>
        </w:rPr>
      </w:pPr>
      <w:r>
        <w:rPr>
          <w:snapToGrid w:val="0"/>
        </w:rPr>
        <w:tab/>
        <w:t>(1)</w:t>
      </w:r>
      <w:r>
        <w:rPr>
          <w:snapToGrid w:val="0"/>
        </w:rPr>
        <w:tab/>
        <w:t>A person must dispose of food waste —</w:t>
      </w:r>
    </w:p>
    <w:p>
      <w:pPr>
        <w:pStyle w:val="Indenta"/>
        <w:rPr>
          <w:snapToGrid w:val="0"/>
        </w:rPr>
      </w:pPr>
      <w:r>
        <w:rPr>
          <w:snapToGrid w:val="0"/>
        </w:rPr>
        <w:tab/>
        <w:t>(a)</w:t>
      </w:r>
      <w:r>
        <w:rPr>
          <w:snapToGrid w:val="0"/>
        </w:rPr>
        <w:tab/>
        <w:t>by dumping that waste at sea; or</w:t>
      </w:r>
    </w:p>
    <w:p>
      <w:pPr>
        <w:pStyle w:val="Indenta"/>
        <w:rPr>
          <w:snapToGrid w:val="0"/>
        </w:rPr>
      </w:pPr>
      <w:r>
        <w:rPr>
          <w:snapToGrid w:val="0"/>
        </w:rPr>
        <w:tab/>
        <w:t>(b)</w:t>
      </w:r>
      <w:r>
        <w:rPr>
          <w:snapToGrid w:val="0"/>
        </w:rPr>
        <w:tab/>
        <w:t>by incinerating the waste in an incinerator.</w:t>
      </w:r>
    </w:p>
    <w:p>
      <w:pPr>
        <w:pStyle w:val="Subsection"/>
        <w:rPr>
          <w:snapToGrid w:val="0"/>
        </w:rPr>
      </w:pPr>
      <w:r>
        <w:rPr>
          <w:snapToGrid w:val="0"/>
        </w:rPr>
        <w:tab/>
        <w:t>(2)</w:t>
      </w:r>
      <w:r>
        <w:rPr>
          <w:snapToGrid w:val="0"/>
        </w:rPr>
        <w:tab/>
        <w:t>Where any unburnt residue remains after incineration of waste under subregulation (1), the person incinerating the waste must ensure that the residue is returned to the mainland for disposal, or disposed of at an approved dumping site.</w:t>
      </w:r>
    </w:p>
    <w:p>
      <w:pPr>
        <w:pStyle w:val="Penstart"/>
        <w:rPr>
          <w:snapToGrid w:val="0"/>
        </w:rPr>
      </w:pPr>
      <w:r>
        <w:rPr>
          <w:snapToGrid w:val="0"/>
        </w:rPr>
        <w:tab/>
        <w:t>Penalty: $1 000.</w:t>
      </w:r>
    </w:p>
    <w:p>
      <w:pPr>
        <w:pStyle w:val="Heading5"/>
        <w:rPr>
          <w:snapToGrid w:val="0"/>
        </w:rPr>
      </w:pPr>
      <w:bookmarkStart w:id="4012" w:name="_Toc309309459"/>
      <w:r>
        <w:rPr>
          <w:rStyle w:val="CharSectno"/>
        </w:rPr>
        <w:t>98</w:t>
      </w:r>
      <w:r>
        <w:rPr>
          <w:snapToGrid w:val="0"/>
        </w:rPr>
        <w:t>.</w:t>
      </w:r>
      <w:r>
        <w:rPr>
          <w:snapToGrid w:val="0"/>
        </w:rPr>
        <w:tab/>
        <w:t>Paper, plastic, cardboard, bait bags etc.</w:t>
      </w:r>
      <w:bookmarkEnd w:id="4012"/>
    </w:p>
    <w:p>
      <w:pPr>
        <w:pStyle w:val="Subsection"/>
        <w:rPr>
          <w:snapToGrid w:val="0"/>
        </w:rPr>
      </w:pPr>
      <w:r>
        <w:rPr>
          <w:snapToGrid w:val="0"/>
        </w:rPr>
        <w:tab/>
        <w:t>(1)</w:t>
      </w:r>
      <w:r>
        <w:rPr>
          <w:snapToGrid w:val="0"/>
        </w:rPr>
        <w:tab/>
        <w:t>A person must not dispose of paper, plastic, cardboard, bait bags, or other combustible materials by dumping them at sea.</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must dispose of paper, plastic, cardboard, bait bags and other combustible items of a like nature —</w:t>
      </w:r>
    </w:p>
    <w:p>
      <w:pPr>
        <w:pStyle w:val="Indenta"/>
        <w:rPr>
          <w:snapToGrid w:val="0"/>
        </w:rPr>
      </w:pPr>
      <w:r>
        <w:rPr>
          <w:snapToGrid w:val="0"/>
        </w:rPr>
        <w:tab/>
        <w:t>(a)</w:t>
      </w:r>
      <w:r>
        <w:rPr>
          <w:snapToGrid w:val="0"/>
        </w:rPr>
        <w:tab/>
        <w:t>by returning these items to the mainland for recycling or disposal; or</w:t>
      </w:r>
    </w:p>
    <w:p>
      <w:pPr>
        <w:pStyle w:val="Indenta"/>
        <w:rPr>
          <w:snapToGrid w:val="0"/>
        </w:rPr>
      </w:pPr>
      <w:r>
        <w:rPr>
          <w:snapToGrid w:val="0"/>
        </w:rPr>
        <w:tab/>
        <w:t>(b)</w:t>
      </w:r>
      <w:r>
        <w:rPr>
          <w:snapToGrid w:val="0"/>
        </w:rPr>
        <w:tab/>
        <w:t>by incinerating these items in an incinerator.</w:t>
      </w:r>
    </w:p>
    <w:p>
      <w:pPr>
        <w:pStyle w:val="Subsection"/>
        <w:rPr>
          <w:snapToGrid w:val="0"/>
        </w:rPr>
      </w:pPr>
      <w:r>
        <w:rPr>
          <w:snapToGrid w:val="0"/>
        </w:rPr>
        <w:tab/>
        <w:t>(3)</w:t>
      </w:r>
      <w:r>
        <w:rPr>
          <w:snapToGrid w:val="0"/>
        </w:rPr>
        <w:tab/>
        <w:t>Where any unburnt residue remains after incineration under subregulation (2), the person incinerating the items must ensure that the residue is disposed of by —</w:t>
      </w:r>
    </w:p>
    <w:p>
      <w:pPr>
        <w:pStyle w:val="Indenta"/>
        <w:rPr>
          <w:snapToGrid w:val="0"/>
        </w:rPr>
      </w:pPr>
      <w:r>
        <w:rPr>
          <w:snapToGrid w:val="0"/>
        </w:rPr>
        <w:tab/>
        <w:t>(a)</w:t>
      </w:r>
      <w:r>
        <w:rPr>
          <w:snapToGrid w:val="0"/>
        </w:rPr>
        <w:tab/>
        <w:t>returning it to the mainland for disposal; or</w:t>
      </w:r>
    </w:p>
    <w:p>
      <w:pPr>
        <w:pStyle w:val="Indenta"/>
        <w:rPr>
          <w:snapToGrid w:val="0"/>
        </w:rPr>
      </w:pPr>
      <w:r>
        <w:rPr>
          <w:snapToGrid w:val="0"/>
        </w:rPr>
        <w:tab/>
        <w:t>(b)</w:t>
      </w:r>
      <w:r>
        <w:rPr>
          <w:snapToGrid w:val="0"/>
        </w:rPr>
        <w:tab/>
        <w:t>by bagging, or otherwise containing, it in non</w:t>
      </w:r>
      <w:r>
        <w:rPr>
          <w:snapToGrid w:val="0"/>
        </w:rPr>
        <w:noBreakHyphen/>
        <w:t>hazardous natural and non</w:t>
      </w:r>
      <w:r>
        <w:rPr>
          <w:snapToGrid w:val="0"/>
        </w:rPr>
        <w:noBreakHyphen/>
        <w:t>combustible material and dumping it at an approved refuse dumping site.</w:t>
      </w:r>
    </w:p>
    <w:p>
      <w:pPr>
        <w:pStyle w:val="Penstart"/>
        <w:rPr>
          <w:snapToGrid w:val="0"/>
        </w:rPr>
      </w:pPr>
      <w:r>
        <w:rPr>
          <w:snapToGrid w:val="0"/>
        </w:rPr>
        <w:tab/>
        <w:t>Penalty: $1 000.</w:t>
      </w:r>
    </w:p>
    <w:p>
      <w:pPr>
        <w:pStyle w:val="Heading5"/>
        <w:rPr>
          <w:snapToGrid w:val="0"/>
        </w:rPr>
      </w:pPr>
      <w:bookmarkStart w:id="4013" w:name="_Toc309309460"/>
      <w:r>
        <w:rPr>
          <w:rStyle w:val="CharSectno"/>
        </w:rPr>
        <w:t>99</w:t>
      </w:r>
      <w:r>
        <w:rPr>
          <w:snapToGrid w:val="0"/>
        </w:rPr>
        <w:t>.</w:t>
      </w:r>
      <w:r>
        <w:rPr>
          <w:snapToGrid w:val="0"/>
        </w:rPr>
        <w:tab/>
        <w:t>Non</w:t>
      </w:r>
      <w:r>
        <w:rPr>
          <w:snapToGrid w:val="0"/>
        </w:rPr>
        <w:noBreakHyphen/>
        <w:t>hazardous and non</w:t>
      </w:r>
      <w:r>
        <w:rPr>
          <w:snapToGrid w:val="0"/>
        </w:rPr>
        <w:noBreakHyphen/>
        <w:t>combustible waste</w:t>
      </w:r>
      <w:bookmarkEnd w:id="4013"/>
    </w:p>
    <w:p>
      <w:pPr>
        <w:pStyle w:val="Subsection"/>
        <w:rPr>
          <w:snapToGrid w:val="0"/>
        </w:rPr>
      </w:pPr>
      <w:r>
        <w:rPr>
          <w:snapToGrid w:val="0"/>
        </w:rPr>
        <w:tab/>
        <w:t>(1)</w:t>
      </w:r>
      <w:r>
        <w:rPr>
          <w:snapToGrid w:val="0"/>
        </w:rPr>
        <w:tab/>
        <w:t>A person may dispose of non</w:t>
      </w:r>
      <w:r>
        <w:rPr>
          <w:snapToGrid w:val="0"/>
        </w:rPr>
        <w:noBreakHyphen/>
        <w:t>hazardous and non</w:t>
      </w:r>
      <w:r>
        <w:rPr>
          <w:snapToGrid w:val="0"/>
        </w:rPr>
        <w:noBreakHyphen/>
        <w:t>combustible materials, including cray</w:t>
      </w:r>
      <w:r>
        <w:rPr>
          <w:snapToGrid w:val="0"/>
        </w:rPr>
        <w:noBreakHyphen/>
        <w:t>pots, water tanks, household and building materials —</w:t>
      </w:r>
    </w:p>
    <w:p>
      <w:pPr>
        <w:pStyle w:val="Indenta"/>
        <w:rPr>
          <w:snapToGrid w:val="0"/>
        </w:rPr>
      </w:pPr>
      <w:r>
        <w:rPr>
          <w:snapToGrid w:val="0"/>
        </w:rPr>
        <w:tab/>
        <w:t>(a)</w:t>
      </w:r>
      <w:r>
        <w:rPr>
          <w:snapToGrid w:val="0"/>
        </w:rPr>
        <w:tab/>
        <w:t>by returning those materials to the mainland for recycling or disposal; or</w:t>
      </w:r>
    </w:p>
    <w:p>
      <w:pPr>
        <w:pStyle w:val="Indenta"/>
        <w:rPr>
          <w:snapToGrid w:val="0"/>
        </w:rPr>
      </w:pPr>
      <w:r>
        <w:rPr>
          <w:snapToGrid w:val="0"/>
        </w:rPr>
        <w:tab/>
        <w:t>(b)</w:t>
      </w:r>
      <w:r>
        <w:rPr>
          <w:snapToGrid w:val="0"/>
        </w:rPr>
        <w:tab/>
        <w:t>by dumping those materials at an approved refuse dumping site.</w:t>
      </w:r>
    </w:p>
    <w:p>
      <w:pPr>
        <w:pStyle w:val="Subsection"/>
        <w:keepLines/>
        <w:rPr>
          <w:snapToGrid w:val="0"/>
        </w:rPr>
      </w:pPr>
      <w:r>
        <w:rPr>
          <w:snapToGrid w:val="0"/>
        </w:rPr>
        <w:tab/>
        <w:t>(2)</w:t>
      </w:r>
      <w:r>
        <w:rPr>
          <w:snapToGrid w:val="0"/>
        </w:rPr>
        <w:tab/>
        <w:t>A person who disposes of the material referred to in subregulation (1) by dumping them in an area other than the mainland or an approved refuse disposal site commits an offence.</w:t>
      </w:r>
    </w:p>
    <w:p>
      <w:pPr>
        <w:pStyle w:val="Penstart"/>
        <w:rPr>
          <w:snapToGrid w:val="0"/>
        </w:rPr>
      </w:pPr>
      <w:r>
        <w:rPr>
          <w:snapToGrid w:val="0"/>
        </w:rPr>
        <w:tab/>
        <w:t>Penalty: $1 000.</w:t>
      </w:r>
    </w:p>
    <w:p>
      <w:pPr>
        <w:pStyle w:val="Heading5"/>
        <w:rPr>
          <w:snapToGrid w:val="0"/>
        </w:rPr>
      </w:pPr>
      <w:bookmarkStart w:id="4014" w:name="_Toc309309461"/>
      <w:r>
        <w:rPr>
          <w:rStyle w:val="CharSectno"/>
        </w:rPr>
        <w:t>100</w:t>
      </w:r>
      <w:r>
        <w:rPr>
          <w:snapToGrid w:val="0"/>
        </w:rPr>
        <w:t>.</w:t>
      </w:r>
      <w:r>
        <w:rPr>
          <w:snapToGrid w:val="0"/>
        </w:rPr>
        <w:tab/>
        <w:t>Oil, fuel, engine filters and batteries</w:t>
      </w:r>
      <w:bookmarkEnd w:id="4014"/>
    </w:p>
    <w:p>
      <w:pPr>
        <w:pStyle w:val="Subsection"/>
        <w:rPr>
          <w:snapToGrid w:val="0"/>
        </w:rPr>
      </w:pPr>
      <w:r>
        <w:rPr>
          <w:snapToGrid w:val="0"/>
        </w:rPr>
        <w:tab/>
      </w:r>
      <w:r>
        <w:rPr>
          <w:snapToGrid w:val="0"/>
        </w:rPr>
        <w:tab/>
        <w:t>A person must not dispose of any oil, fuel, engine filter or battery other than by returning it to the mainland.</w:t>
      </w:r>
    </w:p>
    <w:p>
      <w:pPr>
        <w:pStyle w:val="Penstart"/>
        <w:rPr>
          <w:snapToGrid w:val="0"/>
        </w:rPr>
      </w:pPr>
      <w:r>
        <w:rPr>
          <w:snapToGrid w:val="0"/>
        </w:rPr>
        <w:tab/>
        <w:t>Penalty: $2 000.</w:t>
      </w:r>
    </w:p>
    <w:p>
      <w:pPr>
        <w:pStyle w:val="Heading5"/>
        <w:rPr>
          <w:snapToGrid w:val="0"/>
        </w:rPr>
      </w:pPr>
      <w:bookmarkStart w:id="4015" w:name="_Toc309309462"/>
      <w:r>
        <w:rPr>
          <w:rStyle w:val="CharSectno"/>
        </w:rPr>
        <w:t>101</w:t>
      </w:r>
      <w:r>
        <w:rPr>
          <w:snapToGrid w:val="0"/>
        </w:rPr>
        <w:t>.</w:t>
      </w:r>
      <w:r>
        <w:rPr>
          <w:snapToGrid w:val="0"/>
        </w:rPr>
        <w:tab/>
        <w:t>Campsite waste</w:t>
      </w:r>
      <w:bookmarkEnd w:id="4015"/>
    </w:p>
    <w:p>
      <w:pPr>
        <w:pStyle w:val="Subsection"/>
        <w:rPr>
          <w:snapToGrid w:val="0"/>
        </w:rPr>
      </w:pPr>
      <w:r>
        <w:rPr>
          <w:snapToGrid w:val="0"/>
        </w:rPr>
        <w:tab/>
        <w:t>(1)</w:t>
      </w:r>
      <w:r>
        <w:rPr>
          <w:snapToGrid w:val="0"/>
        </w:rPr>
        <w:tab/>
        <w:t>The operator must provide an associated camp with fly</w:t>
      </w:r>
      <w:r>
        <w:rPr>
          <w:snapToGrid w:val="0"/>
        </w:rPr>
        <w:noBreakHyphen/>
        <w:t>proof and vermin</w:t>
      </w:r>
      <w:r>
        <w:rPr>
          <w:snapToGrid w:val="0"/>
        </w:rPr>
        <w:noBreakHyphen/>
        <w:t>proof waste receptacles which may be used for the disposal of putrescible material.</w:t>
      </w:r>
    </w:p>
    <w:p>
      <w:pPr>
        <w:pStyle w:val="Subsection"/>
        <w:rPr>
          <w:snapToGrid w:val="0"/>
        </w:rPr>
      </w:pPr>
      <w:r>
        <w:rPr>
          <w:snapToGrid w:val="0"/>
        </w:rPr>
        <w:tab/>
        <w:t>(2)</w:t>
      </w:r>
      <w:r>
        <w:rPr>
          <w:snapToGrid w:val="0"/>
        </w:rPr>
        <w:tab/>
        <w:t>An operator who establishes, or is in control of an associated camp is responsible for keeping that camp, and any associated jetty or foreshore areas, free from waste.</w:t>
      </w:r>
    </w:p>
    <w:p>
      <w:pPr>
        <w:pStyle w:val="Subsection"/>
        <w:rPr>
          <w:snapToGrid w:val="0"/>
        </w:rPr>
      </w:pPr>
      <w:r>
        <w:rPr>
          <w:snapToGrid w:val="0"/>
        </w:rPr>
        <w:tab/>
        <w:t>(3)</w:t>
      </w:r>
      <w:r>
        <w:rPr>
          <w:snapToGrid w:val="0"/>
        </w:rPr>
        <w:tab/>
        <w:t>A fisheries officer may, in writing, order the operator of a camp to remove waste from any part of a camp or adjacent foreshore areas.</w:t>
      </w:r>
    </w:p>
    <w:p>
      <w:pPr>
        <w:pStyle w:val="Subsection"/>
        <w:rPr>
          <w:snapToGrid w:val="0"/>
        </w:rPr>
      </w:pPr>
      <w:r>
        <w:rPr>
          <w:snapToGrid w:val="0"/>
        </w:rPr>
        <w:tab/>
        <w:t>(4)</w:t>
      </w:r>
      <w:r>
        <w:rPr>
          <w:snapToGrid w:val="0"/>
        </w:rPr>
        <w:tab/>
        <w:t>An operator who does not comply with an order under subregulation (3) commits an offence and in addition to any penalty to which that operator is liable, will be liable for any cost incurred if the waste is removed at the request of the CEO.</w:t>
      </w:r>
    </w:p>
    <w:p>
      <w:pPr>
        <w:pStyle w:val="Penstart"/>
        <w:rPr>
          <w:snapToGrid w:val="0"/>
        </w:rPr>
      </w:pPr>
      <w:r>
        <w:rPr>
          <w:snapToGrid w:val="0"/>
        </w:rPr>
        <w:tab/>
        <w:t>Penalty: $500, and a daily penalty of $50.</w:t>
      </w:r>
    </w:p>
    <w:p>
      <w:pPr>
        <w:pStyle w:val="Footnotesection"/>
      </w:pPr>
      <w:r>
        <w:tab/>
        <w:t>[Regulation 101 amended in Gazette 6 Jul 2007 p. 3389</w:t>
      </w:r>
      <w:r>
        <w:noBreakHyphen/>
        <w:t>90.]</w:t>
      </w:r>
    </w:p>
    <w:p>
      <w:pPr>
        <w:pStyle w:val="Heading5"/>
        <w:rPr>
          <w:snapToGrid w:val="0"/>
        </w:rPr>
      </w:pPr>
      <w:bookmarkStart w:id="4016" w:name="_Toc309309463"/>
      <w:r>
        <w:rPr>
          <w:rStyle w:val="CharSectno"/>
        </w:rPr>
        <w:t>102</w:t>
      </w:r>
      <w:r>
        <w:rPr>
          <w:snapToGrid w:val="0"/>
        </w:rPr>
        <w:t>.</w:t>
      </w:r>
      <w:r>
        <w:rPr>
          <w:snapToGrid w:val="0"/>
        </w:rPr>
        <w:tab/>
        <w:t>Sewage</w:t>
      </w:r>
      <w:bookmarkEnd w:id="4016"/>
    </w:p>
    <w:p>
      <w:pPr>
        <w:pStyle w:val="Subsection"/>
        <w:rPr>
          <w:snapToGrid w:val="0"/>
        </w:rPr>
      </w:pPr>
      <w:r>
        <w:rPr>
          <w:snapToGrid w:val="0"/>
        </w:rPr>
        <w:tab/>
      </w:r>
      <w:r>
        <w:rPr>
          <w:snapToGrid w:val="0"/>
        </w:rPr>
        <w:tab/>
        <w:t>A person must not dispose of sewage in any manner other than —</w:t>
      </w:r>
    </w:p>
    <w:p>
      <w:pPr>
        <w:pStyle w:val="Indenta"/>
        <w:rPr>
          <w:snapToGrid w:val="0"/>
        </w:rPr>
      </w:pPr>
      <w:r>
        <w:rPr>
          <w:snapToGrid w:val="0"/>
        </w:rPr>
        <w:tab/>
        <w:t>(a)</w:t>
      </w:r>
      <w:r>
        <w:rPr>
          <w:snapToGrid w:val="0"/>
        </w:rPr>
        <w:tab/>
        <w:t>where practicable, by use of a saltwater flushing outfall pipe feeding directly into the sea; or</w:t>
      </w:r>
    </w:p>
    <w:p>
      <w:pPr>
        <w:pStyle w:val="Indenta"/>
        <w:rPr>
          <w:snapToGrid w:val="0"/>
        </w:rPr>
      </w:pPr>
      <w:r>
        <w:rPr>
          <w:snapToGrid w:val="0"/>
        </w:rPr>
        <w:tab/>
        <w:t>(b)</w:t>
      </w:r>
      <w:r>
        <w:rPr>
          <w:snapToGrid w:val="0"/>
        </w:rPr>
        <w:tab/>
        <w:t>through a septic tank disposal system; or</w:t>
      </w:r>
    </w:p>
    <w:p>
      <w:pPr>
        <w:pStyle w:val="Indenta"/>
        <w:rPr>
          <w:snapToGrid w:val="0"/>
        </w:rPr>
      </w:pPr>
      <w:r>
        <w:rPr>
          <w:snapToGrid w:val="0"/>
        </w:rPr>
        <w:tab/>
        <w:t>(c)</w:t>
      </w:r>
      <w:r>
        <w:rPr>
          <w:snapToGrid w:val="0"/>
        </w:rPr>
        <w:tab/>
        <w:t>by use of an approved sewage disposal system at an approved site.</w:t>
      </w:r>
    </w:p>
    <w:p>
      <w:pPr>
        <w:pStyle w:val="Penstart"/>
        <w:rPr>
          <w:snapToGrid w:val="0"/>
        </w:rPr>
      </w:pPr>
      <w:r>
        <w:rPr>
          <w:snapToGrid w:val="0"/>
        </w:rPr>
        <w:tab/>
        <w:t>Penalty: $500.</w:t>
      </w:r>
    </w:p>
    <w:p>
      <w:pPr>
        <w:pStyle w:val="Heading5"/>
        <w:rPr>
          <w:snapToGrid w:val="0"/>
        </w:rPr>
      </w:pPr>
      <w:bookmarkStart w:id="4017" w:name="_Toc309309464"/>
      <w:r>
        <w:rPr>
          <w:rStyle w:val="CharSectno"/>
        </w:rPr>
        <w:t>103</w:t>
      </w:r>
      <w:r>
        <w:rPr>
          <w:snapToGrid w:val="0"/>
        </w:rPr>
        <w:t>.</w:t>
      </w:r>
      <w:r>
        <w:rPr>
          <w:snapToGrid w:val="0"/>
        </w:rPr>
        <w:tab/>
        <w:t>Incinerators, construction and use of</w:t>
      </w:r>
      <w:bookmarkEnd w:id="4017"/>
    </w:p>
    <w:p>
      <w:pPr>
        <w:pStyle w:val="Subsection"/>
        <w:rPr>
          <w:snapToGrid w:val="0"/>
        </w:rPr>
      </w:pPr>
      <w:r>
        <w:rPr>
          <w:snapToGrid w:val="0"/>
        </w:rPr>
        <w:tab/>
        <w:t>(1)</w:t>
      </w:r>
      <w:r>
        <w:rPr>
          <w:snapToGrid w:val="0"/>
        </w:rPr>
        <w:tab/>
        <w:t>An incinerator for the disposal of waste —</w:t>
      </w:r>
    </w:p>
    <w:p>
      <w:pPr>
        <w:pStyle w:val="Indenta"/>
        <w:rPr>
          <w:snapToGrid w:val="0"/>
        </w:rPr>
      </w:pPr>
      <w:r>
        <w:rPr>
          <w:snapToGrid w:val="0"/>
        </w:rPr>
        <w:tab/>
        <w:t>(a)</w:t>
      </w:r>
      <w:r>
        <w:rPr>
          <w:snapToGrid w:val="0"/>
        </w:rPr>
        <w:tab/>
        <w:t>must be constructed in a manner which allows combustion to occur in an efficient manner; and</w:t>
      </w:r>
    </w:p>
    <w:p>
      <w:pPr>
        <w:pStyle w:val="Indenta"/>
        <w:rPr>
          <w:snapToGrid w:val="0"/>
        </w:rPr>
      </w:pPr>
      <w:r>
        <w:rPr>
          <w:snapToGrid w:val="0"/>
        </w:rPr>
        <w:tab/>
        <w:t>(b)</w:t>
      </w:r>
      <w:r>
        <w:rPr>
          <w:snapToGrid w:val="0"/>
        </w:rPr>
        <w:tab/>
        <w:t>if constructed wholly or partly of mesh, must be made using a mesh of not more than 50 mm; and</w:t>
      </w:r>
    </w:p>
    <w:p>
      <w:pPr>
        <w:pStyle w:val="Indenta"/>
        <w:rPr>
          <w:snapToGrid w:val="0"/>
        </w:rPr>
      </w:pPr>
      <w:r>
        <w:rPr>
          <w:snapToGrid w:val="0"/>
        </w:rPr>
        <w:tab/>
        <w:t>(c)</w:t>
      </w:r>
      <w:r>
        <w:rPr>
          <w:snapToGrid w:val="0"/>
        </w:rPr>
        <w:tab/>
        <w:t>must be sited —</w:t>
      </w:r>
    </w:p>
    <w:p>
      <w:pPr>
        <w:pStyle w:val="Indenti"/>
        <w:rPr>
          <w:snapToGrid w:val="0"/>
        </w:rPr>
      </w:pPr>
      <w:r>
        <w:rPr>
          <w:snapToGrid w:val="0"/>
        </w:rPr>
        <w:tab/>
        <w:t>(i)</w:t>
      </w:r>
      <w:r>
        <w:rPr>
          <w:snapToGrid w:val="0"/>
        </w:rPr>
        <w:tab/>
        <w:t>in an area approved in writing by a fisheries officer; and</w:t>
      </w:r>
    </w:p>
    <w:p>
      <w:pPr>
        <w:pStyle w:val="Indenti"/>
        <w:rPr>
          <w:snapToGrid w:val="0"/>
        </w:rPr>
      </w:pPr>
      <w:r>
        <w:rPr>
          <w:snapToGrid w:val="0"/>
        </w:rPr>
        <w:tab/>
        <w:t>(ii)</w:t>
      </w:r>
      <w:r>
        <w:rPr>
          <w:snapToGrid w:val="0"/>
        </w:rPr>
        <w:tab/>
        <w:t>so that correct use does not cause smoke to become a nuisance.</w:t>
      </w:r>
    </w:p>
    <w:p>
      <w:pPr>
        <w:pStyle w:val="Subsection"/>
        <w:rPr>
          <w:snapToGrid w:val="0"/>
        </w:rPr>
      </w:pPr>
      <w:r>
        <w:rPr>
          <w:snapToGrid w:val="0"/>
        </w:rPr>
        <w:tab/>
        <w:t>(2)</w:t>
      </w:r>
      <w:r>
        <w:rPr>
          <w:snapToGrid w:val="0"/>
        </w:rPr>
        <w:tab/>
        <w:t>An operator who uses an incinerator must ensure —</w:t>
      </w:r>
    </w:p>
    <w:p>
      <w:pPr>
        <w:pStyle w:val="Indenta"/>
        <w:rPr>
          <w:snapToGrid w:val="0"/>
        </w:rPr>
      </w:pPr>
      <w:r>
        <w:rPr>
          <w:snapToGrid w:val="0"/>
        </w:rPr>
        <w:tab/>
        <w:t>(a)</w:t>
      </w:r>
      <w:r>
        <w:rPr>
          <w:snapToGrid w:val="0"/>
        </w:rPr>
        <w:tab/>
        <w:t>that the incinerator is cleaned after use to avoid leaving unburnt residues to remain or smoulder; and</w:t>
      </w:r>
    </w:p>
    <w:p>
      <w:pPr>
        <w:pStyle w:val="Indenta"/>
        <w:rPr>
          <w:snapToGrid w:val="0"/>
        </w:rPr>
      </w:pPr>
      <w:r>
        <w:rPr>
          <w:snapToGrid w:val="0"/>
        </w:rPr>
        <w:tab/>
        <w:t>(b)</w:t>
      </w:r>
      <w:r>
        <w:rPr>
          <w:snapToGrid w:val="0"/>
        </w:rPr>
        <w:tab/>
        <w:t>that the incinerator is not used before noon, or such other time as is determined by a fisheries officer.</w:t>
      </w:r>
    </w:p>
    <w:p>
      <w:pPr>
        <w:pStyle w:val="Penstart"/>
        <w:rPr>
          <w:snapToGrid w:val="0"/>
        </w:rPr>
      </w:pPr>
      <w:r>
        <w:rPr>
          <w:snapToGrid w:val="0"/>
        </w:rPr>
        <w:tab/>
        <w:t>Penalty: $500.</w:t>
      </w:r>
    </w:p>
    <w:p>
      <w:pPr>
        <w:pStyle w:val="Heading3"/>
      </w:pPr>
      <w:bookmarkStart w:id="4018" w:name="_Toc189988035"/>
      <w:bookmarkStart w:id="4019" w:name="_Toc192041618"/>
      <w:bookmarkStart w:id="4020" w:name="_Toc199570852"/>
      <w:bookmarkStart w:id="4021" w:name="_Toc199738850"/>
      <w:bookmarkStart w:id="4022" w:name="_Toc199814951"/>
      <w:bookmarkStart w:id="4023" w:name="_Toc215040758"/>
      <w:bookmarkStart w:id="4024" w:name="_Toc215041203"/>
      <w:bookmarkStart w:id="4025" w:name="_Toc222129411"/>
      <w:bookmarkStart w:id="4026" w:name="_Toc222223116"/>
      <w:bookmarkStart w:id="4027" w:name="_Toc225914368"/>
      <w:bookmarkStart w:id="4028" w:name="_Toc231282413"/>
      <w:bookmarkStart w:id="4029" w:name="_Toc231282857"/>
      <w:bookmarkStart w:id="4030" w:name="_Toc234899444"/>
      <w:bookmarkStart w:id="4031" w:name="_Toc236632726"/>
      <w:bookmarkStart w:id="4032" w:name="_Toc236720339"/>
      <w:bookmarkStart w:id="4033" w:name="_Toc237764538"/>
      <w:bookmarkStart w:id="4034" w:name="_Toc238356162"/>
      <w:bookmarkStart w:id="4035" w:name="_Toc238368867"/>
      <w:bookmarkStart w:id="4036" w:name="_Toc238375820"/>
      <w:bookmarkStart w:id="4037" w:name="_Toc240339144"/>
      <w:bookmarkStart w:id="4038" w:name="_Toc241993650"/>
      <w:bookmarkStart w:id="4039" w:name="_Toc243192793"/>
      <w:bookmarkStart w:id="4040" w:name="_Toc243295495"/>
      <w:bookmarkStart w:id="4041" w:name="_Toc245113068"/>
      <w:bookmarkStart w:id="4042" w:name="_Toc245198230"/>
      <w:bookmarkStart w:id="4043" w:name="_Toc245198679"/>
      <w:bookmarkStart w:id="4044" w:name="_Toc245199128"/>
      <w:bookmarkStart w:id="4045" w:name="_Toc248122159"/>
      <w:bookmarkStart w:id="4046" w:name="_Toc248122610"/>
      <w:bookmarkStart w:id="4047" w:name="_Toc253670597"/>
      <w:bookmarkStart w:id="4048" w:name="_Toc253671047"/>
      <w:bookmarkStart w:id="4049" w:name="_Toc254942817"/>
      <w:bookmarkStart w:id="4050" w:name="_Toc254943270"/>
      <w:bookmarkStart w:id="4051" w:name="_Toc255475862"/>
      <w:bookmarkStart w:id="4052" w:name="_Toc256432183"/>
      <w:bookmarkStart w:id="4053" w:name="_Toc257720520"/>
      <w:bookmarkStart w:id="4054" w:name="_Toc257722202"/>
      <w:bookmarkStart w:id="4055" w:name="_Toc258335878"/>
      <w:bookmarkStart w:id="4056" w:name="_Toc260406320"/>
      <w:bookmarkStart w:id="4057" w:name="_Toc261271506"/>
      <w:bookmarkStart w:id="4058" w:name="_Toc262808188"/>
      <w:bookmarkStart w:id="4059" w:name="_Toc267572581"/>
      <w:bookmarkStart w:id="4060" w:name="_Toc270684330"/>
      <w:bookmarkStart w:id="4061" w:name="_Toc274214507"/>
      <w:bookmarkStart w:id="4062" w:name="_Toc274214956"/>
      <w:bookmarkStart w:id="4063" w:name="_Toc278976287"/>
      <w:bookmarkStart w:id="4064" w:name="_Toc286760610"/>
      <w:bookmarkStart w:id="4065" w:name="_Toc289080955"/>
      <w:bookmarkStart w:id="4066" w:name="_Toc290284149"/>
      <w:bookmarkStart w:id="4067" w:name="_Toc290642970"/>
      <w:bookmarkStart w:id="4068" w:name="_Toc290643419"/>
      <w:bookmarkStart w:id="4069" w:name="_Toc290643872"/>
      <w:bookmarkStart w:id="4070" w:name="_Toc294701689"/>
      <w:bookmarkStart w:id="4071" w:name="_Toc295200097"/>
      <w:bookmarkStart w:id="4072" w:name="_Toc296954538"/>
      <w:bookmarkStart w:id="4073" w:name="_Toc297276170"/>
      <w:bookmarkStart w:id="4074" w:name="_Toc297276622"/>
      <w:bookmarkStart w:id="4075" w:name="_Toc297277072"/>
      <w:bookmarkStart w:id="4076" w:name="_Toc297726441"/>
      <w:bookmarkStart w:id="4077" w:name="_Toc299980227"/>
      <w:bookmarkStart w:id="4078" w:name="_Toc300234853"/>
      <w:bookmarkStart w:id="4079" w:name="_Toc301961356"/>
      <w:bookmarkStart w:id="4080" w:name="_Toc301966926"/>
      <w:bookmarkStart w:id="4081" w:name="_Toc303253135"/>
      <w:bookmarkStart w:id="4082" w:name="_Toc303257299"/>
      <w:bookmarkStart w:id="4083" w:name="_Toc307992932"/>
      <w:bookmarkStart w:id="4084" w:name="_Toc309029965"/>
      <w:bookmarkStart w:id="4085" w:name="_Toc309304188"/>
      <w:bookmarkStart w:id="4086" w:name="_Toc309304641"/>
      <w:bookmarkStart w:id="4087" w:name="_Toc309309465"/>
      <w:r>
        <w:rPr>
          <w:rStyle w:val="CharDivNo"/>
        </w:rPr>
        <w:t>Division 8</w:t>
      </w:r>
      <w:r>
        <w:rPr>
          <w:snapToGrid w:val="0"/>
        </w:rPr>
        <w:t> — </w:t>
      </w:r>
      <w:r>
        <w:rPr>
          <w:rStyle w:val="CharDivText"/>
        </w:rPr>
        <w:t>Miscellaneous</w:t>
      </w:r>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p>
    <w:p>
      <w:pPr>
        <w:pStyle w:val="Heading5"/>
        <w:rPr>
          <w:snapToGrid w:val="0"/>
        </w:rPr>
      </w:pPr>
      <w:bookmarkStart w:id="4088" w:name="_Toc309309466"/>
      <w:r>
        <w:rPr>
          <w:rStyle w:val="CharSectno"/>
        </w:rPr>
        <w:t>104</w:t>
      </w:r>
      <w:r>
        <w:rPr>
          <w:snapToGrid w:val="0"/>
        </w:rPr>
        <w:t>.</w:t>
      </w:r>
      <w:r>
        <w:rPr>
          <w:snapToGrid w:val="0"/>
        </w:rPr>
        <w:tab/>
        <w:t>Noise to be kept below certain levels</w:t>
      </w:r>
      <w:bookmarkEnd w:id="4088"/>
    </w:p>
    <w:p>
      <w:pPr>
        <w:pStyle w:val="Subsection"/>
        <w:rPr>
          <w:snapToGrid w:val="0"/>
        </w:rPr>
      </w:pPr>
      <w:r>
        <w:rPr>
          <w:snapToGrid w:val="0"/>
        </w:rPr>
        <w:tab/>
        <w:t>(1)</w:t>
      </w:r>
      <w:r>
        <w:rPr>
          <w:snapToGrid w:val="0"/>
        </w:rPr>
        <w:tab/>
        <w:t>A resident or visitor must ensure that the noise emissions from premises or motors in the reserve (other than boats), under the person’s control, do not exceed the following levels —</w:t>
      </w:r>
    </w:p>
    <w:p>
      <w:pPr>
        <w:pStyle w:val="Indenta"/>
        <w:rPr>
          <w:snapToGrid w:val="0"/>
        </w:rPr>
      </w:pPr>
      <w:r>
        <w:rPr>
          <w:snapToGrid w:val="0"/>
        </w:rPr>
        <w:tab/>
        <w:t>(a)</w:t>
      </w:r>
      <w:r>
        <w:rPr>
          <w:snapToGrid w:val="0"/>
        </w:rPr>
        <w:tab/>
        <w:t>50dB(A), between the hours of 6.00 a.m. and 7.00 p.m., on any day; or</w:t>
      </w:r>
    </w:p>
    <w:p>
      <w:pPr>
        <w:pStyle w:val="Indenta"/>
        <w:rPr>
          <w:snapToGrid w:val="0"/>
        </w:rPr>
      </w:pPr>
      <w:r>
        <w:rPr>
          <w:snapToGrid w:val="0"/>
        </w:rPr>
        <w:tab/>
        <w:t>(b)</w:t>
      </w:r>
      <w:r>
        <w:rPr>
          <w:snapToGrid w:val="0"/>
        </w:rPr>
        <w:tab/>
        <w:t>40dB(A), between the hours of 7.00 p.m. on any day and 6.00 a.m. on the following day,</w:t>
      </w:r>
    </w:p>
    <w:p>
      <w:pPr>
        <w:pStyle w:val="Subsection"/>
        <w:rPr>
          <w:snapToGrid w:val="0"/>
        </w:rPr>
      </w:pPr>
      <w:r>
        <w:rPr>
          <w:snapToGrid w:val="0"/>
        </w:rPr>
        <w:tab/>
      </w:r>
      <w:r>
        <w:rPr>
          <w:snapToGrid w:val="0"/>
        </w:rPr>
        <w:tab/>
        <w:t>and must ensure that tonal noise or impulses of noise which are unreasonably loud are not emitted.</w:t>
      </w:r>
    </w:p>
    <w:p>
      <w:pPr>
        <w:pStyle w:val="Subsection"/>
        <w:rPr>
          <w:snapToGrid w:val="0"/>
        </w:rPr>
      </w:pPr>
      <w:r>
        <w:rPr>
          <w:snapToGrid w:val="0"/>
        </w:rPr>
        <w:tab/>
        <w:t>(2)</w:t>
      </w:r>
      <w:r>
        <w:rPr>
          <w:snapToGrid w:val="0"/>
        </w:rPr>
        <w:tab/>
        <w:t>If a fisheries officer receives a complaint alleging that a person is responsible for noise in excess of the levels set out in subregulation (1), a fisheries officer may investigate that complaint and, if appropriate, request the person to undertake reasonable measures to lower the level of noise to comply with subregulation (1).</w:t>
      </w:r>
    </w:p>
    <w:p>
      <w:pPr>
        <w:pStyle w:val="Subsection"/>
        <w:rPr>
          <w:snapToGrid w:val="0"/>
        </w:rPr>
      </w:pPr>
      <w:r>
        <w:rPr>
          <w:snapToGrid w:val="0"/>
        </w:rPr>
        <w:tab/>
        <w:t>(3)</w:t>
      </w:r>
      <w:r>
        <w:rPr>
          <w:snapToGrid w:val="0"/>
        </w:rPr>
        <w:tab/>
        <w:t>A person must not, without a lawful excuse, refuse to carry out a request under subregulation (2).</w:t>
      </w:r>
    </w:p>
    <w:p>
      <w:pPr>
        <w:pStyle w:val="Penstart"/>
        <w:rPr>
          <w:snapToGrid w:val="0"/>
        </w:rPr>
      </w:pPr>
      <w:r>
        <w:rPr>
          <w:snapToGrid w:val="0"/>
        </w:rPr>
        <w:tab/>
        <w:t>Penalty: $500.</w:t>
      </w:r>
    </w:p>
    <w:p>
      <w:pPr>
        <w:pStyle w:val="Subsection"/>
        <w:rPr>
          <w:snapToGrid w:val="0"/>
        </w:rPr>
      </w:pPr>
      <w:r>
        <w:rPr>
          <w:snapToGrid w:val="0"/>
        </w:rPr>
        <w:tab/>
        <w:t>(4)</w:t>
      </w:r>
      <w:r>
        <w:rPr>
          <w:snapToGrid w:val="0"/>
        </w:rPr>
        <w:tab/>
        <w:t xml:space="preserve">For the purposes of this regulation, </w:t>
      </w:r>
      <w:r>
        <w:rPr>
          <w:rStyle w:val="CharDefText"/>
        </w:rPr>
        <w:t>dB(A)</w:t>
      </w:r>
      <w:r>
        <w:rPr>
          <w:snapToGrid w:val="0"/>
        </w:rPr>
        <w:t xml:space="preserve"> means the reading in decibels on a sound level meter or other sound level measuring equipment using the A</w:t>
      </w:r>
      <w:r>
        <w:rPr>
          <w:snapToGrid w:val="0"/>
        </w:rPr>
        <w:noBreakHyphen/>
        <w:t>weighting network specified for sound level meters in Part I or Part II, whichever is applicable to the measuring equipment in question, of Australian Standard AS 1259 of 1976.</w:t>
      </w:r>
    </w:p>
    <w:p>
      <w:pPr>
        <w:pStyle w:val="Heading5"/>
        <w:keepNext w:val="0"/>
        <w:keepLines w:val="0"/>
        <w:rPr>
          <w:snapToGrid w:val="0"/>
        </w:rPr>
      </w:pPr>
      <w:bookmarkStart w:id="4089" w:name="_Toc309309467"/>
      <w:r>
        <w:rPr>
          <w:rStyle w:val="CharSectno"/>
        </w:rPr>
        <w:t>105</w:t>
      </w:r>
      <w:r>
        <w:rPr>
          <w:snapToGrid w:val="0"/>
        </w:rPr>
        <w:t>.</w:t>
      </w:r>
      <w:r>
        <w:rPr>
          <w:snapToGrid w:val="0"/>
        </w:rPr>
        <w:tab/>
        <w:t>Vehicles not to be used without CEO’s approval</w:t>
      </w:r>
      <w:bookmarkEnd w:id="4089"/>
    </w:p>
    <w:p>
      <w:pPr>
        <w:pStyle w:val="Subsection"/>
        <w:rPr>
          <w:snapToGrid w:val="0"/>
        </w:rPr>
      </w:pPr>
      <w:r>
        <w:rPr>
          <w:snapToGrid w:val="0"/>
        </w:rPr>
        <w:tab/>
        <w:t>(1)</w:t>
      </w:r>
      <w:r>
        <w:rPr>
          <w:snapToGrid w:val="0"/>
        </w:rPr>
        <w:tab/>
        <w:t>A person must not bring a vehicle into the reserve unless the CEO has given written approval in which it is specified the conditions under which the vehicle may be in the reserve.</w:t>
      </w:r>
    </w:p>
    <w:p>
      <w:pPr>
        <w:pStyle w:val="Penstart"/>
        <w:rPr>
          <w:snapToGrid w:val="0"/>
        </w:rPr>
      </w:pPr>
      <w:r>
        <w:rPr>
          <w:snapToGrid w:val="0"/>
        </w:rPr>
        <w:tab/>
        <w:t>Penalty: $1 000.</w:t>
      </w:r>
    </w:p>
    <w:p>
      <w:pPr>
        <w:pStyle w:val="Subsection"/>
        <w:rPr>
          <w:snapToGrid w:val="0"/>
        </w:rPr>
      </w:pPr>
      <w:r>
        <w:rPr>
          <w:snapToGrid w:val="0"/>
        </w:rPr>
        <w:tab/>
        <w:t>(2)</w:t>
      </w:r>
      <w:r>
        <w:rPr>
          <w:snapToGrid w:val="0"/>
        </w:rPr>
        <w:tab/>
        <w:t>Conditions under subregulation (1) may include, but are not limited to, restrictions on —</w:t>
      </w:r>
    </w:p>
    <w:p>
      <w:pPr>
        <w:pStyle w:val="Indenta"/>
        <w:rPr>
          <w:snapToGrid w:val="0"/>
        </w:rPr>
      </w:pPr>
      <w:r>
        <w:rPr>
          <w:snapToGrid w:val="0"/>
        </w:rPr>
        <w:tab/>
        <w:t>(a)</w:t>
      </w:r>
      <w:r>
        <w:rPr>
          <w:snapToGrid w:val="0"/>
        </w:rPr>
        <w:tab/>
        <w:t>the time of day that the specified vehicle may be used; and</w:t>
      </w:r>
    </w:p>
    <w:p>
      <w:pPr>
        <w:pStyle w:val="Indenta"/>
        <w:rPr>
          <w:snapToGrid w:val="0"/>
        </w:rPr>
      </w:pPr>
      <w:r>
        <w:rPr>
          <w:snapToGrid w:val="0"/>
        </w:rPr>
        <w:tab/>
        <w:t>(b)</w:t>
      </w:r>
      <w:r>
        <w:rPr>
          <w:snapToGrid w:val="0"/>
        </w:rPr>
        <w:tab/>
        <w:t>the person or persons that are allowed to use that vehicle; and</w:t>
      </w:r>
    </w:p>
    <w:p>
      <w:pPr>
        <w:pStyle w:val="Indenta"/>
        <w:rPr>
          <w:snapToGrid w:val="0"/>
        </w:rPr>
      </w:pPr>
      <w:r>
        <w:rPr>
          <w:snapToGrid w:val="0"/>
        </w:rPr>
        <w:tab/>
        <w:t>(c)</w:t>
      </w:r>
      <w:r>
        <w:rPr>
          <w:snapToGrid w:val="0"/>
        </w:rPr>
        <w:tab/>
        <w:t>the period for which the approval is valid; and</w:t>
      </w:r>
    </w:p>
    <w:p>
      <w:pPr>
        <w:pStyle w:val="Indenta"/>
        <w:rPr>
          <w:snapToGrid w:val="0"/>
        </w:rPr>
      </w:pPr>
      <w:r>
        <w:rPr>
          <w:snapToGrid w:val="0"/>
        </w:rPr>
        <w:tab/>
        <w:t>(d)</w:t>
      </w:r>
      <w:r>
        <w:rPr>
          <w:snapToGrid w:val="0"/>
        </w:rPr>
        <w:tab/>
        <w:t>the purposes for which that vehicle can be used.</w:t>
      </w:r>
    </w:p>
    <w:p>
      <w:pPr>
        <w:pStyle w:val="Subsection"/>
        <w:rPr>
          <w:snapToGrid w:val="0"/>
        </w:rPr>
      </w:pPr>
      <w:r>
        <w:rPr>
          <w:snapToGrid w:val="0"/>
        </w:rPr>
        <w:tab/>
        <w:t>(3)</w:t>
      </w:r>
      <w:r>
        <w:rPr>
          <w:snapToGrid w:val="0"/>
        </w:rPr>
        <w:tab/>
        <w:t>A person must not use a vehicle in the reserve in contravention of a condition imposed under this regulation.</w:t>
      </w:r>
    </w:p>
    <w:p>
      <w:pPr>
        <w:pStyle w:val="Penstart"/>
        <w:rPr>
          <w:snapToGrid w:val="0"/>
        </w:rPr>
      </w:pPr>
      <w:r>
        <w:rPr>
          <w:snapToGrid w:val="0"/>
        </w:rPr>
        <w:tab/>
        <w:t>Penalty: $500.</w:t>
      </w:r>
    </w:p>
    <w:p>
      <w:pPr>
        <w:pStyle w:val="Footnotesection"/>
        <w:ind w:left="890" w:hanging="890"/>
      </w:pPr>
      <w:r>
        <w:tab/>
        <w:t>[Regulation 105 amended in Gazette 6 Jul 2007 p. 3389</w:t>
      </w:r>
      <w:r>
        <w:noBreakHyphen/>
        <w:t>90.]</w:t>
      </w:r>
    </w:p>
    <w:p>
      <w:pPr>
        <w:pStyle w:val="Ednotesection"/>
      </w:pPr>
      <w:r>
        <w:t>[</w:t>
      </w:r>
      <w:r>
        <w:rPr>
          <w:b/>
        </w:rPr>
        <w:t>105A.</w:t>
      </w:r>
      <w:r>
        <w:tab/>
        <w:t>Inserted in Gazette 26 Mar 1999 p. 1279</w:t>
      </w:r>
      <w:r>
        <w:noBreakHyphen/>
        <w:t>80. Disallowed in Gazette 25 Jun 1999 p. 2742.]</w:t>
      </w:r>
    </w:p>
    <w:p>
      <w:pPr>
        <w:pStyle w:val="Heading5"/>
        <w:rPr>
          <w:snapToGrid w:val="0"/>
        </w:rPr>
      </w:pPr>
      <w:bookmarkStart w:id="4090" w:name="_Toc309309468"/>
      <w:r>
        <w:rPr>
          <w:rStyle w:val="CharSectno"/>
        </w:rPr>
        <w:t>106</w:t>
      </w:r>
      <w:r>
        <w:rPr>
          <w:snapToGrid w:val="0"/>
        </w:rPr>
        <w:t>.</w:t>
      </w:r>
      <w:r>
        <w:rPr>
          <w:snapToGrid w:val="0"/>
        </w:rPr>
        <w:tab/>
        <w:t>Domestic pets prohibited on reserve and boats at jetties</w:t>
      </w:r>
      <w:bookmarkEnd w:id="4090"/>
    </w:p>
    <w:p>
      <w:pPr>
        <w:pStyle w:val="Subsection"/>
        <w:keepNext/>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keep a domestic pet in the reserve; or</w:t>
      </w:r>
    </w:p>
    <w:p>
      <w:pPr>
        <w:pStyle w:val="Indenta"/>
        <w:rPr>
          <w:snapToGrid w:val="0"/>
        </w:rPr>
      </w:pPr>
      <w:r>
        <w:rPr>
          <w:snapToGrid w:val="0"/>
        </w:rPr>
        <w:tab/>
        <w:t>(b)</w:t>
      </w:r>
      <w:r>
        <w:rPr>
          <w:snapToGrid w:val="0"/>
        </w:rPr>
        <w:tab/>
        <w:t>allow or cause a boat with a domestic animal on board to secure to or come alongside any jetty in the reserve; or</w:t>
      </w:r>
    </w:p>
    <w:p>
      <w:pPr>
        <w:pStyle w:val="Indenta"/>
        <w:rPr>
          <w:snapToGrid w:val="0"/>
        </w:rPr>
      </w:pPr>
      <w:r>
        <w:rPr>
          <w:snapToGrid w:val="0"/>
        </w:rPr>
        <w:tab/>
        <w:t>(c)</w:t>
      </w:r>
      <w:r>
        <w:rPr>
          <w:snapToGrid w:val="0"/>
        </w:rPr>
        <w:tab/>
        <w:t>allow or cause any domestic animal to be landed onto any island in the reserve.</w:t>
      </w:r>
    </w:p>
    <w:p>
      <w:pPr>
        <w:pStyle w:val="Penstart"/>
        <w:rPr>
          <w:snapToGrid w:val="0"/>
        </w:rPr>
      </w:pPr>
      <w:r>
        <w:rPr>
          <w:snapToGrid w:val="0"/>
        </w:rPr>
        <w:tab/>
        <w:t>Penalty: $1 000.</w:t>
      </w:r>
    </w:p>
    <w:p>
      <w:pPr>
        <w:pStyle w:val="Heading5"/>
        <w:rPr>
          <w:snapToGrid w:val="0"/>
        </w:rPr>
      </w:pPr>
      <w:bookmarkStart w:id="4091" w:name="_Toc309309469"/>
      <w:r>
        <w:rPr>
          <w:rStyle w:val="CharSectno"/>
        </w:rPr>
        <w:t>107</w:t>
      </w:r>
      <w:r>
        <w:rPr>
          <w:snapToGrid w:val="0"/>
        </w:rPr>
        <w:t>.</w:t>
      </w:r>
      <w:r>
        <w:rPr>
          <w:snapToGrid w:val="0"/>
        </w:rPr>
        <w:tab/>
        <w:t>Flora and fauna not to be introduced without approval</w:t>
      </w:r>
      <w:bookmarkEnd w:id="4091"/>
    </w:p>
    <w:p>
      <w:pPr>
        <w:pStyle w:val="Subsection"/>
        <w:rPr>
          <w:snapToGrid w:val="0"/>
        </w:rPr>
      </w:pPr>
      <w:r>
        <w:rPr>
          <w:snapToGrid w:val="0"/>
        </w:rPr>
        <w:tab/>
      </w:r>
      <w:r>
        <w:rPr>
          <w:snapToGrid w:val="0"/>
        </w:rPr>
        <w:tab/>
        <w:t>A person must not introduce any species of flora or fauna to the reserve, unless that person has first obtained the written approval of the CEO and the Department of Conservation and Land Management</w:t>
      </w:r>
      <w:r>
        <w:rPr>
          <w:snapToGrid w:val="0"/>
          <w:vertAlign w:val="superscript"/>
        </w:rPr>
        <w:t> 2</w:t>
      </w:r>
      <w:r>
        <w:rPr>
          <w:snapToGrid w:val="0"/>
        </w:rPr>
        <w:t>.</w:t>
      </w:r>
    </w:p>
    <w:p>
      <w:pPr>
        <w:pStyle w:val="Penstart"/>
        <w:rPr>
          <w:snapToGrid w:val="0"/>
        </w:rPr>
      </w:pPr>
      <w:r>
        <w:rPr>
          <w:snapToGrid w:val="0"/>
        </w:rPr>
        <w:tab/>
        <w:t>Penalty: $2 000.</w:t>
      </w:r>
    </w:p>
    <w:p>
      <w:pPr>
        <w:pStyle w:val="Footnotesection"/>
      </w:pPr>
      <w:r>
        <w:tab/>
        <w:t>[Regulation 107 amended in Gazette 6 Jul 2007 p. 3389</w:t>
      </w:r>
      <w:r>
        <w:noBreakHyphen/>
        <w:t>90.]</w:t>
      </w:r>
    </w:p>
    <w:p>
      <w:pPr>
        <w:pStyle w:val="Heading5"/>
        <w:rPr>
          <w:snapToGrid w:val="0"/>
        </w:rPr>
      </w:pPr>
      <w:bookmarkStart w:id="4092" w:name="_Toc309309470"/>
      <w:r>
        <w:rPr>
          <w:rStyle w:val="CharSectno"/>
        </w:rPr>
        <w:t>108</w:t>
      </w:r>
      <w:r>
        <w:rPr>
          <w:snapToGrid w:val="0"/>
        </w:rPr>
        <w:t>.</w:t>
      </w:r>
      <w:r>
        <w:rPr>
          <w:snapToGrid w:val="0"/>
        </w:rPr>
        <w:tab/>
        <w:t>Noxious etc. plants, pests etc., control of to be by approved methods</w:t>
      </w:r>
      <w:bookmarkEnd w:id="4092"/>
    </w:p>
    <w:p>
      <w:pPr>
        <w:pStyle w:val="Subsection"/>
        <w:rPr>
          <w:snapToGrid w:val="0"/>
        </w:rPr>
      </w:pPr>
      <w:r>
        <w:rPr>
          <w:snapToGrid w:val="0"/>
        </w:rPr>
        <w:tab/>
        <w:t>(1)</w:t>
      </w:r>
      <w:r>
        <w:rPr>
          <w:snapToGrid w:val="0"/>
        </w:rPr>
        <w:tab/>
        <w:t>When carrying out measures for noxious or introduced plant control in the reserve, a person must use only approved preventive and control methods.</w:t>
      </w:r>
    </w:p>
    <w:p>
      <w:pPr>
        <w:pStyle w:val="Penstart"/>
        <w:rPr>
          <w:snapToGrid w:val="0"/>
        </w:rPr>
      </w:pPr>
      <w:r>
        <w:rPr>
          <w:snapToGrid w:val="0"/>
        </w:rPr>
        <w:tab/>
        <w:t>Penalty: $250.</w:t>
      </w:r>
    </w:p>
    <w:p>
      <w:pPr>
        <w:pStyle w:val="Subsection"/>
        <w:keepNext/>
        <w:rPr>
          <w:snapToGrid w:val="0"/>
        </w:rPr>
      </w:pPr>
      <w:r>
        <w:rPr>
          <w:snapToGrid w:val="0"/>
        </w:rPr>
        <w:tab/>
        <w:t>(2)</w:t>
      </w:r>
      <w:r>
        <w:rPr>
          <w:snapToGrid w:val="0"/>
        </w:rPr>
        <w:tab/>
        <w:t>A person must not carry out noxious or introduced plant control in an area that has not been approved by a fisheries officer.</w:t>
      </w:r>
    </w:p>
    <w:p>
      <w:pPr>
        <w:pStyle w:val="Penstart"/>
        <w:rPr>
          <w:snapToGrid w:val="0"/>
        </w:rPr>
      </w:pPr>
      <w:r>
        <w:rPr>
          <w:snapToGrid w:val="0"/>
        </w:rPr>
        <w:tab/>
        <w:t>Penalty: $250.</w:t>
      </w:r>
    </w:p>
    <w:p>
      <w:pPr>
        <w:pStyle w:val="Subsection"/>
        <w:rPr>
          <w:snapToGrid w:val="0"/>
        </w:rPr>
      </w:pPr>
      <w:r>
        <w:rPr>
          <w:snapToGrid w:val="0"/>
        </w:rPr>
        <w:tab/>
        <w:t>(3)</w:t>
      </w:r>
      <w:r>
        <w:rPr>
          <w:snapToGrid w:val="0"/>
        </w:rPr>
        <w:tab/>
        <w:t>When carrying out measures to control rodents, cockroaches, mosquitos or flies, a person must only use approved preventive and control methods.</w:t>
      </w:r>
    </w:p>
    <w:p>
      <w:pPr>
        <w:pStyle w:val="Penstart"/>
        <w:rPr>
          <w:snapToGrid w:val="0"/>
        </w:rPr>
      </w:pPr>
      <w:r>
        <w:rPr>
          <w:snapToGrid w:val="0"/>
        </w:rPr>
        <w:tab/>
        <w:t>Penalty: $250.</w:t>
      </w:r>
    </w:p>
    <w:p>
      <w:pPr>
        <w:pStyle w:val="Subsection"/>
        <w:rPr>
          <w:snapToGrid w:val="0"/>
        </w:rPr>
      </w:pPr>
      <w:r>
        <w:rPr>
          <w:snapToGrid w:val="0"/>
        </w:rPr>
        <w:tab/>
        <w:t>(4)</w:t>
      </w:r>
      <w:r>
        <w:rPr>
          <w:snapToGrid w:val="0"/>
        </w:rPr>
        <w:tab/>
        <w:t>A person must not carry out any rodent or pest baiting programme in the reserve unless the person has first obtained the approval of the CEO.</w:t>
      </w:r>
    </w:p>
    <w:p>
      <w:pPr>
        <w:pStyle w:val="Penstart"/>
        <w:rPr>
          <w:snapToGrid w:val="0"/>
        </w:rPr>
      </w:pPr>
      <w:r>
        <w:rPr>
          <w:snapToGrid w:val="0"/>
        </w:rPr>
        <w:tab/>
        <w:t>Penalty: $250.</w:t>
      </w:r>
    </w:p>
    <w:p>
      <w:pPr>
        <w:pStyle w:val="Footnotesection"/>
      </w:pPr>
      <w:r>
        <w:tab/>
        <w:t>[Regulation 108 amended in Gazette 6 Jul 2007 p. 3389</w:t>
      </w:r>
      <w:r>
        <w:noBreakHyphen/>
        <w:t>90.]</w:t>
      </w:r>
    </w:p>
    <w:p>
      <w:pPr>
        <w:pStyle w:val="Heading5"/>
        <w:rPr>
          <w:snapToGrid w:val="0"/>
        </w:rPr>
      </w:pPr>
      <w:bookmarkStart w:id="4093" w:name="_Toc309309471"/>
      <w:r>
        <w:rPr>
          <w:rStyle w:val="CharSectno"/>
        </w:rPr>
        <w:t>109</w:t>
      </w:r>
      <w:r>
        <w:rPr>
          <w:snapToGrid w:val="0"/>
        </w:rPr>
        <w:t>.</w:t>
      </w:r>
      <w:r>
        <w:rPr>
          <w:snapToGrid w:val="0"/>
        </w:rPr>
        <w:tab/>
        <w:t>Behaviour standards for people; power to direct person to leave</w:t>
      </w:r>
      <w:bookmarkEnd w:id="4093"/>
    </w:p>
    <w:p>
      <w:pPr>
        <w:pStyle w:val="Subsection"/>
        <w:rPr>
          <w:snapToGrid w:val="0"/>
        </w:rPr>
      </w:pPr>
      <w:r>
        <w:rPr>
          <w:snapToGrid w:val="0"/>
        </w:rPr>
        <w:tab/>
        <w:t>(1)</w:t>
      </w:r>
      <w:r>
        <w:rPr>
          <w:snapToGrid w:val="0"/>
        </w:rPr>
        <w:tab/>
        <w:t>A person, while in the reserve, must not engage in behaviour which falls short of normal community standards and a fisheries officer may direct a person to leave the reserve if, in the opinion of both a fisheries officer and a majority of residents in the area, that standard of behaviour is not maintained by that person.</w:t>
      </w:r>
    </w:p>
    <w:p>
      <w:pPr>
        <w:pStyle w:val="Subsection"/>
        <w:rPr>
          <w:snapToGrid w:val="0"/>
        </w:rPr>
      </w:pPr>
      <w:r>
        <w:rPr>
          <w:snapToGrid w:val="0"/>
        </w:rPr>
        <w:tab/>
        <w:t>(2)</w:t>
      </w:r>
      <w:r>
        <w:rPr>
          <w:snapToGrid w:val="0"/>
        </w:rPr>
        <w:tab/>
        <w:t>A person must comply with a direction under subregulation (1) within 24 hours of that direction being given.</w:t>
      </w:r>
    </w:p>
    <w:p>
      <w:pPr>
        <w:pStyle w:val="Penstart"/>
        <w:rPr>
          <w:snapToGrid w:val="0"/>
        </w:rPr>
      </w:pPr>
      <w:r>
        <w:rPr>
          <w:snapToGrid w:val="0"/>
        </w:rPr>
        <w:tab/>
        <w:t>Penalty: $500.</w:t>
      </w:r>
    </w:p>
    <w:p>
      <w:pPr>
        <w:pStyle w:val="Heading5"/>
        <w:rPr>
          <w:snapToGrid w:val="0"/>
        </w:rPr>
      </w:pPr>
      <w:bookmarkStart w:id="4094" w:name="_Toc309309472"/>
      <w:r>
        <w:rPr>
          <w:rStyle w:val="CharSectno"/>
        </w:rPr>
        <w:t>110</w:t>
      </w:r>
      <w:r>
        <w:rPr>
          <w:snapToGrid w:val="0"/>
        </w:rPr>
        <w:t>.</w:t>
      </w:r>
      <w:r>
        <w:rPr>
          <w:snapToGrid w:val="0"/>
        </w:rPr>
        <w:tab/>
        <w:t>Chlorine tarping of boats, restrictions on</w:t>
      </w:r>
      <w:bookmarkEnd w:id="4094"/>
    </w:p>
    <w:p>
      <w:pPr>
        <w:pStyle w:val="Subsection"/>
        <w:keepNext/>
        <w:keepLines/>
        <w:rPr>
          <w:snapToGrid w:val="0"/>
        </w:rPr>
      </w:pPr>
      <w:r>
        <w:rPr>
          <w:snapToGrid w:val="0"/>
        </w:rPr>
        <w:tab/>
        <w:t>(1)</w:t>
      </w:r>
      <w:r>
        <w:rPr>
          <w:snapToGrid w:val="0"/>
        </w:rPr>
        <w:tab/>
        <w:t>A person must not carry out chlorine tarping on a boat unless —</w:t>
      </w:r>
    </w:p>
    <w:p>
      <w:pPr>
        <w:pStyle w:val="Indenta"/>
        <w:rPr>
          <w:snapToGrid w:val="0"/>
        </w:rPr>
      </w:pPr>
      <w:r>
        <w:rPr>
          <w:snapToGrid w:val="0"/>
        </w:rPr>
        <w:tab/>
        <w:t>(a)</w:t>
      </w:r>
      <w:r>
        <w:rPr>
          <w:snapToGrid w:val="0"/>
        </w:rPr>
        <w:tab/>
        <w:t>the boat is secured to a mooring or is anchored; and</w:t>
      </w:r>
    </w:p>
    <w:p>
      <w:pPr>
        <w:pStyle w:val="Indenta"/>
        <w:rPr>
          <w:snapToGrid w:val="0"/>
        </w:rPr>
      </w:pPr>
      <w:r>
        <w:rPr>
          <w:snapToGrid w:val="0"/>
        </w:rPr>
        <w:tab/>
        <w:t>(b)</w:t>
      </w:r>
      <w:r>
        <w:rPr>
          <w:snapToGrid w:val="0"/>
        </w:rPr>
        <w:tab/>
        <w:t>it is carried out when there are no rock lobsters in holding crates within 50 m of the boat.</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In this regulation </w:t>
      </w:r>
      <w:r>
        <w:rPr>
          <w:rStyle w:val="CharDefText"/>
        </w:rPr>
        <w:t>chlorine tarping</w:t>
      </w:r>
      <w:r>
        <w:rPr>
          <w:snapToGrid w:val="0"/>
        </w:rPr>
        <w:t xml:space="preserve"> means the enclosing of a boat’s hull by a cover, such as a tarpaulin, and the adding of chlorine to the water enclosed between the boat and the cover.</w:t>
      </w:r>
    </w:p>
    <w:p>
      <w:pPr>
        <w:pStyle w:val="Heading5"/>
        <w:keepLines w:val="0"/>
        <w:rPr>
          <w:snapToGrid w:val="0"/>
        </w:rPr>
      </w:pPr>
      <w:bookmarkStart w:id="4095" w:name="_Toc309309473"/>
      <w:r>
        <w:rPr>
          <w:rStyle w:val="CharSectno"/>
        </w:rPr>
        <w:t>111</w:t>
      </w:r>
      <w:r>
        <w:rPr>
          <w:snapToGrid w:val="0"/>
        </w:rPr>
        <w:t>.</w:t>
      </w:r>
      <w:r>
        <w:rPr>
          <w:snapToGrid w:val="0"/>
        </w:rPr>
        <w:tab/>
        <w:t>Travel to reserve in off</w:t>
      </w:r>
      <w:r>
        <w:rPr>
          <w:snapToGrid w:val="0"/>
        </w:rPr>
        <w:noBreakHyphen/>
        <w:t>season, notice of required</w:t>
      </w:r>
      <w:bookmarkEnd w:id="4095"/>
    </w:p>
    <w:p>
      <w:pPr>
        <w:pStyle w:val="Subsection"/>
        <w:rPr>
          <w:snapToGrid w:val="0"/>
        </w:rPr>
      </w:pPr>
      <w:r>
        <w:rPr>
          <w:snapToGrid w:val="0"/>
        </w:rPr>
        <w:tab/>
        <w:t>(1)</w:t>
      </w:r>
      <w:r>
        <w:rPr>
          <w:snapToGrid w:val="0"/>
        </w:rPr>
        <w:tab/>
        <w:t>The master of a boat must not travel to the reserve between 15 July in any year and 20 February in the next following year unless the Department’s Geraldton office has been given written notice which includes the following details —</w:t>
      </w:r>
    </w:p>
    <w:p>
      <w:pPr>
        <w:pStyle w:val="Indenta"/>
        <w:rPr>
          <w:snapToGrid w:val="0"/>
        </w:rPr>
      </w:pPr>
      <w:r>
        <w:rPr>
          <w:snapToGrid w:val="0"/>
        </w:rPr>
        <w:tab/>
        <w:t>(a)</w:t>
      </w:r>
      <w:r>
        <w:rPr>
          <w:snapToGrid w:val="0"/>
        </w:rPr>
        <w:tab/>
        <w:t>the length of stay proposed; and</w:t>
      </w:r>
    </w:p>
    <w:p>
      <w:pPr>
        <w:pStyle w:val="Indenta"/>
        <w:rPr>
          <w:snapToGrid w:val="0"/>
        </w:rPr>
      </w:pPr>
      <w:r>
        <w:rPr>
          <w:snapToGrid w:val="0"/>
        </w:rPr>
        <w:tab/>
        <w:t>(b)</w:t>
      </w:r>
      <w:r>
        <w:rPr>
          <w:snapToGrid w:val="0"/>
        </w:rPr>
        <w:tab/>
        <w:t>the name, description and (where applicable) any distinguishing number allocated in respect of the boat under these regulations; and</w:t>
      </w:r>
    </w:p>
    <w:p>
      <w:pPr>
        <w:pStyle w:val="Indenta"/>
        <w:rPr>
          <w:snapToGrid w:val="0"/>
        </w:rPr>
      </w:pPr>
      <w:r>
        <w:rPr>
          <w:snapToGrid w:val="0"/>
        </w:rPr>
        <w:tab/>
        <w:t>(c)</w:t>
      </w:r>
      <w:r>
        <w:rPr>
          <w:snapToGrid w:val="0"/>
        </w:rPr>
        <w:tab/>
        <w:t>the number of persons on the boat; and</w:t>
      </w:r>
    </w:p>
    <w:p>
      <w:pPr>
        <w:pStyle w:val="Indenta"/>
        <w:rPr>
          <w:snapToGrid w:val="0"/>
        </w:rPr>
      </w:pPr>
      <w:r>
        <w:rPr>
          <w:snapToGrid w:val="0"/>
        </w:rPr>
        <w:tab/>
        <w:t>(d)</w:t>
      </w:r>
      <w:r>
        <w:rPr>
          <w:snapToGrid w:val="0"/>
        </w:rPr>
        <w:tab/>
        <w:t>details of the particular areas of the reserve it is proposed to visit; and</w:t>
      </w:r>
    </w:p>
    <w:p>
      <w:pPr>
        <w:pStyle w:val="Indenta"/>
        <w:rPr>
          <w:snapToGrid w:val="0"/>
        </w:rPr>
      </w:pPr>
      <w:r>
        <w:rPr>
          <w:snapToGrid w:val="0"/>
        </w:rPr>
        <w:tab/>
        <w:t>(e)</w:t>
      </w:r>
      <w:r>
        <w:rPr>
          <w:snapToGrid w:val="0"/>
        </w:rPr>
        <w:tab/>
        <w:t>a radio call signal on which the boat can be contacted.</w:t>
      </w:r>
    </w:p>
    <w:p>
      <w:pPr>
        <w:pStyle w:val="Subsection"/>
        <w:rPr>
          <w:snapToGrid w:val="0"/>
        </w:rPr>
      </w:pPr>
      <w:r>
        <w:rPr>
          <w:snapToGrid w:val="0"/>
        </w:rPr>
        <w:tab/>
        <w:t>(2)</w:t>
      </w:r>
      <w:r>
        <w:rPr>
          <w:snapToGrid w:val="0"/>
        </w:rPr>
        <w:tab/>
        <w:t>The master of a boat must not anchor, moor or berth that boat at a mooring or jetty at the time referred to in subregulation (1) unless the notice referred to in that subregulation has been given.</w:t>
      </w:r>
    </w:p>
    <w:p>
      <w:pPr>
        <w:pStyle w:val="Penstart"/>
        <w:rPr>
          <w:snapToGrid w:val="0"/>
        </w:rPr>
      </w:pPr>
      <w:r>
        <w:rPr>
          <w:snapToGrid w:val="0"/>
        </w:rPr>
        <w:tab/>
        <w:t>Penalty: $500.</w:t>
      </w:r>
    </w:p>
    <w:p>
      <w:pPr>
        <w:pStyle w:val="Heading5"/>
        <w:rPr>
          <w:snapToGrid w:val="0"/>
        </w:rPr>
      </w:pPr>
      <w:bookmarkStart w:id="4096" w:name="_Toc309309474"/>
      <w:r>
        <w:rPr>
          <w:rStyle w:val="CharSectno"/>
        </w:rPr>
        <w:t>112</w:t>
      </w:r>
      <w:r>
        <w:rPr>
          <w:snapToGrid w:val="0"/>
        </w:rPr>
        <w:t>.</w:t>
      </w:r>
      <w:r>
        <w:rPr>
          <w:snapToGrid w:val="0"/>
        </w:rPr>
        <w:tab/>
        <w:t>Weapons prohibited</w:t>
      </w:r>
      <w:bookmarkEnd w:id="4096"/>
    </w:p>
    <w:p>
      <w:pPr>
        <w:pStyle w:val="Subsection"/>
        <w:keepNext/>
        <w:keepLines/>
        <w:rPr>
          <w:snapToGrid w:val="0"/>
        </w:rPr>
      </w:pPr>
      <w:r>
        <w:rPr>
          <w:snapToGrid w:val="0"/>
        </w:rPr>
        <w:tab/>
      </w:r>
      <w:r>
        <w:rPr>
          <w:snapToGrid w:val="0"/>
        </w:rPr>
        <w:tab/>
        <w:t>A person must not bring into the reserve or possess in the reserve, any weapon, including any firearm.</w:t>
      </w:r>
    </w:p>
    <w:p>
      <w:pPr>
        <w:pStyle w:val="Penstart"/>
        <w:rPr>
          <w:snapToGrid w:val="0"/>
        </w:rPr>
      </w:pPr>
      <w:r>
        <w:rPr>
          <w:snapToGrid w:val="0"/>
        </w:rPr>
        <w:tab/>
        <w:t>Penalty: $500.</w:t>
      </w:r>
    </w:p>
    <w:p>
      <w:pPr>
        <w:pStyle w:val="Heading5"/>
        <w:rPr>
          <w:snapToGrid w:val="0"/>
        </w:rPr>
      </w:pPr>
      <w:bookmarkStart w:id="4097" w:name="_Toc309309475"/>
      <w:r>
        <w:rPr>
          <w:rStyle w:val="CharSectno"/>
        </w:rPr>
        <w:t>113</w:t>
      </w:r>
      <w:r>
        <w:rPr>
          <w:snapToGrid w:val="0"/>
        </w:rPr>
        <w:t>.</w:t>
      </w:r>
      <w:r>
        <w:rPr>
          <w:snapToGrid w:val="0"/>
        </w:rPr>
        <w:tab/>
        <w:t>Open fires prohibited</w:t>
      </w:r>
      <w:bookmarkEnd w:id="4097"/>
    </w:p>
    <w:p>
      <w:pPr>
        <w:pStyle w:val="Subsection"/>
        <w:rPr>
          <w:snapToGrid w:val="0"/>
        </w:rPr>
      </w:pPr>
      <w:r>
        <w:rPr>
          <w:snapToGrid w:val="0"/>
        </w:rPr>
        <w:tab/>
      </w:r>
      <w:r>
        <w:rPr>
          <w:snapToGrid w:val="0"/>
        </w:rPr>
        <w:tab/>
        <w:t>A person must not light an open fire in the reserve.</w:t>
      </w:r>
    </w:p>
    <w:p>
      <w:pPr>
        <w:pStyle w:val="Penstart"/>
        <w:rPr>
          <w:snapToGrid w:val="0"/>
        </w:rPr>
      </w:pPr>
      <w:r>
        <w:rPr>
          <w:snapToGrid w:val="0"/>
        </w:rPr>
        <w:tab/>
        <w:t>Penalty: $500.</w:t>
      </w:r>
    </w:p>
    <w:p>
      <w:pPr>
        <w:pStyle w:val="Heading2"/>
        <w:rPr>
          <w:b w:val="0"/>
        </w:rPr>
      </w:pPr>
      <w:bookmarkStart w:id="4098" w:name="_Toc189988046"/>
      <w:bookmarkStart w:id="4099" w:name="_Toc192041629"/>
      <w:bookmarkStart w:id="4100" w:name="_Toc199570863"/>
      <w:bookmarkStart w:id="4101" w:name="_Toc199738861"/>
      <w:bookmarkStart w:id="4102" w:name="_Toc199814962"/>
      <w:bookmarkStart w:id="4103" w:name="_Toc215040769"/>
      <w:bookmarkStart w:id="4104" w:name="_Toc215041214"/>
      <w:bookmarkStart w:id="4105" w:name="_Toc222129422"/>
      <w:bookmarkStart w:id="4106" w:name="_Toc222223127"/>
      <w:bookmarkStart w:id="4107" w:name="_Toc225914379"/>
      <w:bookmarkStart w:id="4108" w:name="_Toc231282424"/>
      <w:bookmarkStart w:id="4109" w:name="_Toc231282868"/>
      <w:bookmarkStart w:id="4110" w:name="_Toc234899455"/>
      <w:bookmarkStart w:id="4111" w:name="_Toc236632737"/>
      <w:bookmarkStart w:id="4112" w:name="_Toc236720350"/>
      <w:bookmarkStart w:id="4113" w:name="_Toc237764549"/>
      <w:bookmarkStart w:id="4114" w:name="_Toc238356173"/>
      <w:bookmarkStart w:id="4115" w:name="_Toc238368878"/>
      <w:bookmarkStart w:id="4116" w:name="_Toc238375831"/>
      <w:bookmarkStart w:id="4117" w:name="_Toc240339155"/>
      <w:bookmarkStart w:id="4118" w:name="_Toc241993661"/>
      <w:bookmarkStart w:id="4119" w:name="_Toc243192804"/>
      <w:bookmarkStart w:id="4120" w:name="_Toc243295506"/>
      <w:bookmarkStart w:id="4121" w:name="_Toc245113079"/>
      <w:bookmarkStart w:id="4122" w:name="_Toc245198241"/>
      <w:bookmarkStart w:id="4123" w:name="_Toc245198690"/>
      <w:bookmarkStart w:id="4124" w:name="_Toc245199139"/>
      <w:bookmarkStart w:id="4125" w:name="_Toc248122170"/>
      <w:bookmarkStart w:id="4126" w:name="_Toc248122621"/>
      <w:bookmarkStart w:id="4127" w:name="_Toc253670608"/>
      <w:bookmarkStart w:id="4128" w:name="_Toc253671058"/>
      <w:bookmarkStart w:id="4129" w:name="_Toc254942828"/>
      <w:bookmarkStart w:id="4130" w:name="_Toc254943281"/>
      <w:bookmarkStart w:id="4131" w:name="_Toc255475873"/>
      <w:bookmarkStart w:id="4132" w:name="_Toc256432194"/>
      <w:bookmarkStart w:id="4133" w:name="_Toc257720531"/>
      <w:bookmarkStart w:id="4134" w:name="_Toc257722213"/>
      <w:bookmarkStart w:id="4135" w:name="_Toc258335889"/>
      <w:bookmarkStart w:id="4136" w:name="_Toc260406331"/>
      <w:bookmarkStart w:id="4137" w:name="_Toc261271517"/>
      <w:bookmarkStart w:id="4138" w:name="_Toc262808199"/>
      <w:bookmarkStart w:id="4139" w:name="_Toc267572592"/>
      <w:bookmarkStart w:id="4140" w:name="_Toc270684341"/>
      <w:bookmarkStart w:id="4141" w:name="_Toc274214518"/>
      <w:bookmarkStart w:id="4142" w:name="_Toc274214967"/>
      <w:bookmarkStart w:id="4143" w:name="_Toc278976298"/>
      <w:bookmarkStart w:id="4144" w:name="_Toc286760621"/>
      <w:bookmarkStart w:id="4145" w:name="_Toc289080966"/>
      <w:bookmarkStart w:id="4146" w:name="_Toc290284160"/>
      <w:bookmarkStart w:id="4147" w:name="_Toc290642981"/>
      <w:bookmarkStart w:id="4148" w:name="_Toc290643430"/>
      <w:bookmarkStart w:id="4149" w:name="_Toc290643883"/>
      <w:bookmarkStart w:id="4150" w:name="_Toc294701700"/>
      <w:bookmarkStart w:id="4151" w:name="_Toc295200108"/>
      <w:bookmarkStart w:id="4152" w:name="_Toc296954549"/>
      <w:bookmarkStart w:id="4153" w:name="_Toc297276181"/>
      <w:bookmarkStart w:id="4154" w:name="_Toc297276633"/>
      <w:bookmarkStart w:id="4155" w:name="_Toc297277083"/>
      <w:bookmarkStart w:id="4156" w:name="_Toc297726452"/>
      <w:bookmarkStart w:id="4157" w:name="_Toc299980238"/>
      <w:bookmarkStart w:id="4158" w:name="_Toc300234864"/>
      <w:bookmarkStart w:id="4159" w:name="_Toc301961367"/>
      <w:bookmarkStart w:id="4160" w:name="_Toc301966937"/>
      <w:bookmarkStart w:id="4161" w:name="_Toc303253146"/>
      <w:bookmarkStart w:id="4162" w:name="_Toc303257310"/>
      <w:bookmarkStart w:id="4163" w:name="_Toc307992943"/>
      <w:bookmarkStart w:id="4164" w:name="_Toc309029976"/>
      <w:bookmarkStart w:id="4165" w:name="_Toc309304199"/>
      <w:bookmarkStart w:id="4166" w:name="_Toc309304652"/>
      <w:bookmarkStart w:id="4167" w:name="_Toc309309476"/>
      <w:r>
        <w:rPr>
          <w:rStyle w:val="CharPartNo"/>
        </w:rPr>
        <w:t>Part 9A</w:t>
      </w:r>
      <w:r>
        <w:rPr>
          <w:b w:val="0"/>
        </w:rPr>
        <w:t> </w:t>
      </w:r>
      <w:r>
        <w:t>—</w:t>
      </w:r>
      <w:r>
        <w:rPr>
          <w:b w:val="0"/>
        </w:rPr>
        <w:t> </w:t>
      </w:r>
      <w:r>
        <w:rPr>
          <w:rStyle w:val="CharPartText"/>
        </w:rPr>
        <w:t>Fish Habitat Protection Areas</w:t>
      </w:r>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p>
    <w:p>
      <w:pPr>
        <w:pStyle w:val="Footnoteheading"/>
        <w:tabs>
          <w:tab w:val="left" w:pos="851"/>
        </w:tabs>
      </w:pPr>
      <w:r>
        <w:tab/>
        <w:t>[Heading inserted in Gazette 23 Dec 2003 p. 5205.]</w:t>
      </w:r>
    </w:p>
    <w:p>
      <w:pPr>
        <w:pStyle w:val="Heading3"/>
      </w:pPr>
      <w:bookmarkStart w:id="4168" w:name="_Toc189988047"/>
      <w:bookmarkStart w:id="4169" w:name="_Toc192041630"/>
      <w:bookmarkStart w:id="4170" w:name="_Toc199570864"/>
      <w:bookmarkStart w:id="4171" w:name="_Toc199738862"/>
      <w:bookmarkStart w:id="4172" w:name="_Toc199814963"/>
      <w:bookmarkStart w:id="4173" w:name="_Toc215040770"/>
      <w:bookmarkStart w:id="4174" w:name="_Toc215041215"/>
      <w:bookmarkStart w:id="4175" w:name="_Toc222129423"/>
      <w:bookmarkStart w:id="4176" w:name="_Toc222223128"/>
      <w:bookmarkStart w:id="4177" w:name="_Toc225914380"/>
      <w:bookmarkStart w:id="4178" w:name="_Toc231282425"/>
      <w:bookmarkStart w:id="4179" w:name="_Toc231282869"/>
      <w:bookmarkStart w:id="4180" w:name="_Toc234899456"/>
      <w:bookmarkStart w:id="4181" w:name="_Toc236632738"/>
      <w:bookmarkStart w:id="4182" w:name="_Toc236720351"/>
      <w:bookmarkStart w:id="4183" w:name="_Toc237764550"/>
      <w:bookmarkStart w:id="4184" w:name="_Toc238356174"/>
      <w:bookmarkStart w:id="4185" w:name="_Toc238368879"/>
      <w:bookmarkStart w:id="4186" w:name="_Toc238375832"/>
      <w:bookmarkStart w:id="4187" w:name="_Toc240339156"/>
      <w:bookmarkStart w:id="4188" w:name="_Toc241993662"/>
      <w:bookmarkStart w:id="4189" w:name="_Toc243192805"/>
      <w:bookmarkStart w:id="4190" w:name="_Toc243295507"/>
      <w:bookmarkStart w:id="4191" w:name="_Toc245113080"/>
      <w:bookmarkStart w:id="4192" w:name="_Toc245198242"/>
      <w:bookmarkStart w:id="4193" w:name="_Toc245198691"/>
      <w:bookmarkStart w:id="4194" w:name="_Toc245199140"/>
      <w:bookmarkStart w:id="4195" w:name="_Toc248122171"/>
      <w:bookmarkStart w:id="4196" w:name="_Toc248122622"/>
      <w:bookmarkStart w:id="4197" w:name="_Toc253670609"/>
      <w:bookmarkStart w:id="4198" w:name="_Toc253671059"/>
      <w:bookmarkStart w:id="4199" w:name="_Toc254942829"/>
      <w:bookmarkStart w:id="4200" w:name="_Toc254943282"/>
      <w:bookmarkStart w:id="4201" w:name="_Toc255475874"/>
      <w:bookmarkStart w:id="4202" w:name="_Toc256432195"/>
      <w:bookmarkStart w:id="4203" w:name="_Toc257720532"/>
      <w:bookmarkStart w:id="4204" w:name="_Toc257722214"/>
      <w:bookmarkStart w:id="4205" w:name="_Toc258335890"/>
      <w:bookmarkStart w:id="4206" w:name="_Toc260406332"/>
      <w:bookmarkStart w:id="4207" w:name="_Toc261271518"/>
      <w:bookmarkStart w:id="4208" w:name="_Toc262808200"/>
      <w:bookmarkStart w:id="4209" w:name="_Toc267572593"/>
      <w:bookmarkStart w:id="4210" w:name="_Toc270684342"/>
      <w:bookmarkStart w:id="4211" w:name="_Toc274214519"/>
      <w:bookmarkStart w:id="4212" w:name="_Toc274214968"/>
      <w:bookmarkStart w:id="4213" w:name="_Toc278976299"/>
      <w:bookmarkStart w:id="4214" w:name="_Toc286760622"/>
      <w:bookmarkStart w:id="4215" w:name="_Toc289080967"/>
      <w:bookmarkStart w:id="4216" w:name="_Toc290284161"/>
      <w:bookmarkStart w:id="4217" w:name="_Toc290642982"/>
      <w:bookmarkStart w:id="4218" w:name="_Toc290643431"/>
      <w:bookmarkStart w:id="4219" w:name="_Toc290643884"/>
      <w:bookmarkStart w:id="4220" w:name="_Toc294701701"/>
      <w:bookmarkStart w:id="4221" w:name="_Toc295200109"/>
      <w:bookmarkStart w:id="4222" w:name="_Toc296954550"/>
      <w:bookmarkStart w:id="4223" w:name="_Toc297276182"/>
      <w:bookmarkStart w:id="4224" w:name="_Toc297276634"/>
      <w:bookmarkStart w:id="4225" w:name="_Toc297277084"/>
      <w:bookmarkStart w:id="4226" w:name="_Toc297726453"/>
      <w:bookmarkStart w:id="4227" w:name="_Toc299980239"/>
      <w:bookmarkStart w:id="4228" w:name="_Toc300234865"/>
      <w:bookmarkStart w:id="4229" w:name="_Toc301961368"/>
      <w:bookmarkStart w:id="4230" w:name="_Toc301966938"/>
      <w:bookmarkStart w:id="4231" w:name="_Toc303253147"/>
      <w:bookmarkStart w:id="4232" w:name="_Toc303257311"/>
      <w:bookmarkStart w:id="4233" w:name="_Toc307992944"/>
      <w:bookmarkStart w:id="4234" w:name="_Toc309029977"/>
      <w:bookmarkStart w:id="4235" w:name="_Toc309304200"/>
      <w:bookmarkStart w:id="4236" w:name="_Toc309304653"/>
      <w:bookmarkStart w:id="4237" w:name="_Toc309309477"/>
      <w:r>
        <w:rPr>
          <w:rStyle w:val="CharDivNo"/>
        </w:rPr>
        <w:t>Division 1</w:t>
      </w:r>
      <w:r>
        <w:t> — </w:t>
      </w:r>
      <w:r>
        <w:rPr>
          <w:rStyle w:val="CharDivText"/>
        </w:rPr>
        <w:t>Cottesloe Reef Fish Habitat Protection Area</w:t>
      </w:r>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p>
    <w:p>
      <w:pPr>
        <w:pStyle w:val="Footnoteheading"/>
        <w:tabs>
          <w:tab w:val="left" w:pos="851"/>
        </w:tabs>
      </w:pPr>
      <w:r>
        <w:tab/>
        <w:t>[Heading inserted in Gazette 23 Dec 2003 p. 5205.]</w:t>
      </w:r>
    </w:p>
    <w:p>
      <w:pPr>
        <w:pStyle w:val="Heading5"/>
      </w:pPr>
      <w:bookmarkStart w:id="4238" w:name="_Toc309309478"/>
      <w:r>
        <w:rPr>
          <w:rStyle w:val="CharSectno"/>
        </w:rPr>
        <w:t>113A</w:t>
      </w:r>
      <w:r>
        <w:t>.</w:t>
      </w:r>
      <w:r>
        <w:tab/>
        <w:t>Prohibited activities</w:t>
      </w:r>
      <w:bookmarkEnd w:id="4238"/>
    </w:p>
    <w:p>
      <w:pPr>
        <w:pStyle w:val="Subsection"/>
      </w:pPr>
      <w:r>
        <w:tab/>
        <w:t>(1)</w:t>
      </w:r>
      <w:r>
        <w:tab/>
        <w:t xml:space="preserve">A </w:t>
      </w:r>
      <w:r>
        <w:rPr>
          <w:snapToGrid w:val="0"/>
        </w:rPr>
        <w:t>person</w:t>
      </w:r>
      <w:r>
        <w:t xml:space="preserve"> must not fish for a commercial purpose in the Cottesloe Reef waters.</w:t>
      </w:r>
    </w:p>
    <w:p>
      <w:pPr>
        <w:pStyle w:val="Penstart"/>
      </w:pPr>
      <w:r>
        <w:tab/>
        <w:t>Penalty: $2 000 and the penalty provided in section 222 of the Act.</w:t>
      </w:r>
    </w:p>
    <w:p>
      <w:pPr>
        <w:pStyle w:val="Subsection"/>
      </w:pPr>
      <w:r>
        <w:tab/>
        <w:t>(2)</w:t>
      </w:r>
      <w:r>
        <w:tab/>
        <w:t xml:space="preserve">A </w:t>
      </w:r>
      <w:r>
        <w:rPr>
          <w:snapToGrid w:val="0"/>
        </w:rPr>
        <w:t xml:space="preserve">person must not engage in recreational fishing in the Cottesloe </w:t>
      </w:r>
      <w:r>
        <w:t>Reef waters.</w:t>
      </w:r>
    </w:p>
    <w:p>
      <w:pPr>
        <w:pStyle w:val="Penstart"/>
      </w:pPr>
      <w:r>
        <w:tab/>
        <w:t>Penalty: $2 000 and the penalty provided in section 222 of the Act.</w:t>
      </w:r>
    </w:p>
    <w:p>
      <w:pPr>
        <w:pStyle w:val="Subsection"/>
      </w:pPr>
      <w:r>
        <w:tab/>
        <w:t>(3)</w:t>
      </w:r>
      <w:r>
        <w:tab/>
      </w:r>
      <w:r>
        <w:rPr>
          <w:snapToGrid w:val="0"/>
        </w:rPr>
        <w:t>Subregulation (</w:t>
      </w:r>
      <w:r>
        <w:t>2) does not apply to —</w:t>
      </w:r>
    </w:p>
    <w:p>
      <w:pPr>
        <w:pStyle w:val="Indenta"/>
      </w:pPr>
      <w:r>
        <w:tab/>
        <w:t>(a)</w:t>
      </w:r>
      <w:r>
        <w:tab/>
        <w:t>a person who fishes for an abalone; or</w:t>
      </w:r>
    </w:p>
    <w:p>
      <w:pPr>
        <w:pStyle w:val="Indenta"/>
      </w:pPr>
      <w:r>
        <w:tab/>
        <w:t>(b)</w:t>
      </w:r>
      <w:r>
        <w:tab/>
        <w:t>a person who fishes for a rock lobster; or</w:t>
      </w:r>
    </w:p>
    <w:p>
      <w:pPr>
        <w:pStyle w:val="Indenta"/>
      </w:pPr>
      <w:r>
        <w:tab/>
        <w:t>(c)</w:t>
      </w:r>
      <w:r>
        <w:tab/>
        <w:t>a person who fishes for an osteichthye using a single rod and line.</w:t>
      </w:r>
    </w:p>
    <w:p>
      <w:pPr>
        <w:pStyle w:val="Subsection"/>
      </w:pPr>
      <w:r>
        <w:tab/>
        <w:t>(4)</w:t>
      </w:r>
      <w:r>
        <w:tab/>
        <w:t>A person must not deposit, or cause or permit to be deposited, blood or offal in the Cottesloe Reef waters.</w:t>
      </w:r>
    </w:p>
    <w:p>
      <w:pPr>
        <w:pStyle w:val="Penstart"/>
      </w:pPr>
      <w:r>
        <w:tab/>
        <w:t>Penalty: $2 000.</w:t>
      </w:r>
    </w:p>
    <w:p>
      <w:pPr>
        <w:pStyle w:val="Subsection"/>
      </w:pPr>
      <w:r>
        <w:tab/>
        <w:t>(5)</w:t>
      </w:r>
      <w:r>
        <w:tab/>
        <w:t>A person must not use a jet ski in the Cottesloe Reef waters.</w:t>
      </w:r>
    </w:p>
    <w:p>
      <w:pPr>
        <w:pStyle w:val="Penstart"/>
      </w:pPr>
      <w:r>
        <w:tab/>
        <w:t>Penalty: $1 000.</w:t>
      </w:r>
    </w:p>
    <w:p>
      <w:pPr>
        <w:pStyle w:val="Subsection"/>
      </w:pPr>
      <w:r>
        <w:tab/>
        <w:t>(6)</w:t>
      </w:r>
      <w:r>
        <w:tab/>
        <w:t>A person must not anchor a boat in the Cottesloe Reef waters.</w:t>
      </w:r>
    </w:p>
    <w:p>
      <w:pPr>
        <w:pStyle w:val="Penstart"/>
      </w:pPr>
      <w:r>
        <w:tab/>
        <w:t>Penalty: $1 000.</w:t>
      </w:r>
    </w:p>
    <w:p>
      <w:pPr>
        <w:pStyle w:val="Footnotesection"/>
      </w:pPr>
      <w:r>
        <w:tab/>
        <w:t>[Regulation 113A inserted in Gazette 23 Dec 2003 p. 5205.]</w:t>
      </w:r>
    </w:p>
    <w:p>
      <w:pPr>
        <w:pStyle w:val="Heading3"/>
      </w:pPr>
      <w:bookmarkStart w:id="4239" w:name="_Toc189988049"/>
      <w:bookmarkStart w:id="4240" w:name="_Toc192041632"/>
      <w:bookmarkStart w:id="4241" w:name="_Toc199570866"/>
      <w:bookmarkStart w:id="4242" w:name="_Toc199738864"/>
      <w:bookmarkStart w:id="4243" w:name="_Toc199814965"/>
      <w:bookmarkStart w:id="4244" w:name="_Toc215040772"/>
      <w:bookmarkStart w:id="4245" w:name="_Toc215041217"/>
      <w:bookmarkStart w:id="4246" w:name="_Toc222129425"/>
      <w:bookmarkStart w:id="4247" w:name="_Toc222223130"/>
      <w:bookmarkStart w:id="4248" w:name="_Toc225914382"/>
      <w:bookmarkStart w:id="4249" w:name="_Toc231282427"/>
      <w:bookmarkStart w:id="4250" w:name="_Toc231282871"/>
      <w:bookmarkStart w:id="4251" w:name="_Toc234899458"/>
      <w:bookmarkStart w:id="4252" w:name="_Toc236632740"/>
      <w:bookmarkStart w:id="4253" w:name="_Toc236720353"/>
      <w:bookmarkStart w:id="4254" w:name="_Toc237764552"/>
      <w:bookmarkStart w:id="4255" w:name="_Toc238356176"/>
      <w:bookmarkStart w:id="4256" w:name="_Toc238368881"/>
      <w:bookmarkStart w:id="4257" w:name="_Toc238375834"/>
      <w:bookmarkStart w:id="4258" w:name="_Toc240339158"/>
      <w:bookmarkStart w:id="4259" w:name="_Toc241993664"/>
      <w:bookmarkStart w:id="4260" w:name="_Toc243192807"/>
      <w:bookmarkStart w:id="4261" w:name="_Toc243295509"/>
      <w:bookmarkStart w:id="4262" w:name="_Toc245113082"/>
      <w:bookmarkStart w:id="4263" w:name="_Toc245198244"/>
      <w:bookmarkStart w:id="4264" w:name="_Toc245198693"/>
      <w:bookmarkStart w:id="4265" w:name="_Toc245199142"/>
      <w:bookmarkStart w:id="4266" w:name="_Toc248122173"/>
      <w:bookmarkStart w:id="4267" w:name="_Toc248122624"/>
      <w:bookmarkStart w:id="4268" w:name="_Toc253670611"/>
      <w:bookmarkStart w:id="4269" w:name="_Toc253671061"/>
      <w:bookmarkStart w:id="4270" w:name="_Toc254942831"/>
      <w:bookmarkStart w:id="4271" w:name="_Toc254943284"/>
      <w:bookmarkStart w:id="4272" w:name="_Toc255475876"/>
      <w:bookmarkStart w:id="4273" w:name="_Toc256432197"/>
      <w:bookmarkStart w:id="4274" w:name="_Toc257720534"/>
      <w:bookmarkStart w:id="4275" w:name="_Toc257722216"/>
      <w:bookmarkStart w:id="4276" w:name="_Toc258335892"/>
      <w:bookmarkStart w:id="4277" w:name="_Toc260406334"/>
      <w:bookmarkStart w:id="4278" w:name="_Toc261271520"/>
      <w:bookmarkStart w:id="4279" w:name="_Toc262808202"/>
      <w:bookmarkStart w:id="4280" w:name="_Toc267572595"/>
      <w:bookmarkStart w:id="4281" w:name="_Toc270684344"/>
      <w:bookmarkStart w:id="4282" w:name="_Toc274214521"/>
      <w:bookmarkStart w:id="4283" w:name="_Toc274214970"/>
      <w:bookmarkStart w:id="4284" w:name="_Toc278976301"/>
      <w:bookmarkStart w:id="4285" w:name="_Toc286760624"/>
      <w:bookmarkStart w:id="4286" w:name="_Toc289080969"/>
      <w:bookmarkStart w:id="4287" w:name="_Toc290284163"/>
      <w:bookmarkStart w:id="4288" w:name="_Toc290642984"/>
      <w:bookmarkStart w:id="4289" w:name="_Toc290643433"/>
      <w:bookmarkStart w:id="4290" w:name="_Toc290643886"/>
      <w:bookmarkStart w:id="4291" w:name="_Toc294701703"/>
      <w:bookmarkStart w:id="4292" w:name="_Toc295200111"/>
      <w:bookmarkStart w:id="4293" w:name="_Toc296954552"/>
      <w:bookmarkStart w:id="4294" w:name="_Toc297276184"/>
      <w:bookmarkStart w:id="4295" w:name="_Toc297276636"/>
      <w:bookmarkStart w:id="4296" w:name="_Toc297277086"/>
      <w:bookmarkStart w:id="4297" w:name="_Toc297726455"/>
      <w:bookmarkStart w:id="4298" w:name="_Toc299980241"/>
      <w:bookmarkStart w:id="4299" w:name="_Toc300234867"/>
      <w:bookmarkStart w:id="4300" w:name="_Toc301961370"/>
      <w:bookmarkStart w:id="4301" w:name="_Toc301966940"/>
      <w:bookmarkStart w:id="4302" w:name="_Toc303253149"/>
      <w:bookmarkStart w:id="4303" w:name="_Toc303257313"/>
      <w:bookmarkStart w:id="4304" w:name="_Toc307992946"/>
      <w:bookmarkStart w:id="4305" w:name="_Toc309029979"/>
      <w:bookmarkStart w:id="4306" w:name="_Toc309304202"/>
      <w:bookmarkStart w:id="4307" w:name="_Toc309304655"/>
      <w:bookmarkStart w:id="4308" w:name="_Toc309309479"/>
      <w:r>
        <w:rPr>
          <w:rStyle w:val="CharDivNo"/>
        </w:rPr>
        <w:t>Division 2</w:t>
      </w:r>
      <w:r>
        <w:t> — </w:t>
      </w:r>
      <w:smartTag w:uri="urn:schemas-microsoft-com:office:smarttags" w:element="place">
        <w:smartTag w:uri="urn:schemas-microsoft-com:office:smarttags" w:element="PlaceName">
          <w:r>
            <w:rPr>
              <w:rStyle w:val="CharDivText"/>
            </w:rPr>
            <w:t>Lancelin</w:t>
          </w:r>
        </w:smartTag>
        <w:r>
          <w:rPr>
            <w:rStyle w:val="CharDivText"/>
          </w:rPr>
          <w:t xml:space="preserve"> </w:t>
        </w:r>
        <w:smartTag w:uri="urn:schemas-microsoft-com:office:smarttags" w:element="PlaceType">
          <w:r>
            <w:rPr>
              <w:rStyle w:val="CharDivText"/>
            </w:rPr>
            <w:t>Island</w:t>
          </w:r>
        </w:smartTag>
      </w:smartTag>
      <w:r>
        <w:rPr>
          <w:rStyle w:val="CharDivText"/>
        </w:rPr>
        <w:t xml:space="preserve"> Lagoon Fish Habitat Protection Area</w:t>
      </w:r>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p>
    <w:p>
      <w:pPr>
        <w:pStyle w:val="Footnoteheading"/>
        <w:tabs>
          <w:tab w:val="left" w:pos="851"/>
        </w:tabs>
      </w:pPr>
      <w:r>
        <w:tab/>
        <w:t>[Heading inserted in Gazette 23 Dec 2003 p. 5205.]</w:t>
      </w:r>
    </w:p>
    <w:p>
      <w:pPr>
        <w:pStyle w:val="Heading5"/>
        <w:spacing w:before="240"/>
      </w:pPr>
      <w:bookmarkStart w:id="4309" w:name="_Toc309309480"/>
      <w:r>
        <w:rPr>
          <w:rStyle w:val="CharSectno"/>
        </w:rPr>
        <w:t>113B</w:t>
      </w:r>
      <w:r>
        <w:t>.</w:t>
      </w:r>
      <w:r>
        <w:tab/>
        <w:t>Prohibited activities</w:t>
      </w:r>
      <w:bookmarkEnd w:id="4309"/>
    </w:p>
    <w:p>
      <w:pPr>
        <w:pStyle w:val="Subsection"/>
        <w:spacing w:before="180"/>
      </w:pPr>
      <w:r>
        <w:tab/>
        <w:t>(1)</w:t>
      </w:r>
      <w:r>
        <w:tab/>
        <w:t xml:space="preserve">A </w:t>
      </w:r>
      <w:r>
        <w:rPr>
          <w:snapToGrid w:val="0"/>
        </w:rPr>
        <w:t>person</w:t>
      </w:r>
      <w:r>
        <w:t xml:space="preserve"> must not fish in the Lancelin Island Lagoon.</w:t>
      </w:r>
    </w:p>
    <w:p>
      <w:pPr>
        <w:pStyle w:val="Penstart"/>
      </w:pPr>
      <w:r>
        <w:tab/>
        <w:t>Penalty: $2 000 and the penalty provided in section 222 of the Act.</w:t>
      </w:r>
    </w:p>
    <w:p>
      <w:pPr>
        <w:pStyle w:val="Subsection"/>
        <w:spacing w:before="180"/>
      </w:pPr>
      <w:r>
        <w:tab/>
        <w:t>(2)</w:t>
      </w:r>
      <w:r>
        <w:tab/>
        <w:t xml:space="preserve">A </w:t>
      </w:r>
      <w:r>
        <w:rPr>
          <w:snapToGrid w:val="0"/>
        </w:rPr>
        <w:t>person</w:t>
      </w:r>
      <w:r>
        <w:t xml:space="preserve"> must not use a jet ski in the Lancelin Island Lagoon.</w:t>
      </w:r>
    </w:p>
    <w:p>
      <w:pPr>
        <w:pStyle w:val="Penstart"/>
      </w:pPr>
      <w:r>
        <w:tab/>
        <w:t>Penalty: $1 000.</w:t>
      </w:r>
    </w:p>
    <w:p>
      <w:pPr>
        <w:pStyle w:val="Subsection"/>
        <w:spacing w:before="180"/>
      </w:pPr>
      <w:r>
        <w:tab/>
        <w:t>(3)</w:t>
      </w:r>
      <w:r>
        <w:tab/>
        <w:t xml:space="preserve">A </w:t>
      </w:r>
      <w:r>
        <w:rPr>
          <w:snapToGrid w:val="0"/>
        </w:rPr>
        <w:t>person</w:t>
      </w:r>
      <w:r>
        <w:t xml:space="preserve"> must not anchor a boat in the Lancelin Island Lagoon.</w:t>
      </w:r>
    </w:p>
    <w:p>
      <w:pPr>
        <w:pStyle w:val="Penstart"/>
      </w:pPr>
      <w:r>
        <w:tab/>
        <w:t>Penalty: $1 000.</w:t>
      </w:r>
    </w:p>
    <w:p>
      <w:pPr>
        <w:pStyle w:val="Footnotesection"/>
      </w:pPr>
      <w:r>
        <w:tab/>
        <w:t>[Regulation 113B inserted in Gazette 23 Dec 2003 p. 5205</w:t>
      </w:r>
      <w:r>
        <w:noBreakHyphen/>
        <w:t>6.]</w:t>
      </w:r>
    </w:p>
    <w:p>
      <w:pPr>
        <w:pStyle w:val="Heading3"/>
        <w:spacing w:before="260"/>
      </w:pPr>
      <w:bookmarkStart w:id="4310" w:name="_Toc189988051"/>
      <w:bookmarkStart w:id="4311" w:name="_Toc192041634"/>
      <w:bookmarkStart w:id="4312" w:name="_Toc199570868"/>
      <w:bookmarkStart w:id="4313" w:name="_Toc199738866"/>
      <w:bookmarkStart w:id="4314" w:name="_Toc199814967"/>
      <w:bookmarkStart w:id="4315" w:name="_Toc215040774"/>
      <w:bookmarkStart w:id="4316" w:name="_Toc215041219"/>
      <w:bookmarkStart w:id="4317" w:name="_Toc222129427"/>
      <w:bookmarkStart w:id="4318" w:name="_Toc222223132"/>
      <w:bookmarkStart w:id="4319" w:name="_Toc225914384"/>
      <w:bookmarkStart w:id="4320" w:name="_Toc231282429"/>
      <w:bookmarkStart w:id="4321" w:name="_Toc231282873"/>
      <w:bookmarkStart w:id="4322" w:name="_Toc234899460"/>
      <w:bookmarkStart w:id="4323" w:name="_Toc236632742"/>
      <w:bookmarkStart w:id="4324" w:name="_Toc236720355"/>
      <w:bookmarkStart w:id="4325" w:name="_Toc237764554"/>
      <w:bookmarkStart w:id="4326" w:name="_Toc238356178"/>
      <w:bookmarkStart w:id="4327" w:name="_Toc238368883"/>
      <w:bookmarkStart w:id="4328" w:name="_Toc238375836"/>
      <w:bookmarkStart w:id="4329" w:name="_Toc240339160"/>
      <w:bookmarkStart w:id="4330" w:name="_Toc241993666"/>
      <w:bookmarkStart w:id="4331" w:name="_Toc243192809"/>
      <w:bookmarkStart w:id="4332" w:name="_Toc243295511"/>
      <w:bookmarkStart w:id="4333" w:name="_Toc245113084"/>
      <w:bookmarkStart w:id="4334" w:name="_Toc245198246"/>
      <w:bookmarkStart w:id="4335" w:name="_Toc245198695"/>
      <w:bookmarkStart w:id="4336" w:name="_Toc245199144"/>
      <w:bookmarkStart w:id="4337" w:name="_Toc248122175"/>
      <w:bookmarkStart w:id="4338" w:name="_Toc248122626"/>
      <w:bookmarkStart w:id="4339" w:name="_Toc253670613"/>
      <w:bookmarkStart w:id="4340" w:name="_Toc253671063"/>
      <w:bookmarkStart w:id="4341" w:name="_Toc254942833"/>
      <w:bookmarkStart w:id="4342" w:name="_Toc254943286"/>
      <w:bookmarkStart w:id="4343" w:name="_Toc255475878"/>
      <w:bookmarkStart w:id="4344" w:name="_Toc256432199"/>
      <w:bookmarkStart w:id="4345" w:name="_Toc257720536"/>
      <w:bookmarkStart w:id="4346" w:name="_Toc257722218"/>
      <w:bookmarkStart w:id="4347" w:name="_Toc258335894"/>
      <w:bookmarkStart w:id="4348" w:name="_Toc260406336"/>
      <w:bookmarkStart w:id="4349" w:name="_Toc261271522"/>
      <w:bookmarkStart w:id="4350" w:name="_Toc262808204"/>
      <w:bookmarkStart w:id="4351" w:name="_Toc267572597"/>
      <w:bookmarkStart w:id="4352" w:name="_Toc270684346"/>
      <w:bookmarkStart w:id="4353" w:name="_Toc274214523"/>
      <w:bookmarkStart w:id="4354" w:name="_Toc274214972"/>
      <w:bookmarkStart w:id="4355" w:name="_Toc278976303"/>
      <w:bookmarkStart w:id="4356" w:name="_Toc286760626"/>
      <w:bookmarkStart w:id="4357" w:name="_Toc289080971"/>
      <w:bookmarkStart w:id="4358" w:name="_Toc290284165"/>
      <w:bookmarkStart w:id="4359" w:name="_Toc290642986"/>
      <w:bookmarkStart w:id="4360" w:name="_Toc290643435"/>
      <w:bookmarkStart w:id="4361" w:name="_Toc290643888"/>
      <w:bookmarkStart w:id="4362" w:name="_Toc294701705"/>
      <w:bookmarkStart w:id="4363" w:name="_Toc295200113"/>
      <w:bookmarkStart w:id="4364" w:name="_Toc296954554"/>
      <w:bookmarkStart w:id="4365" w:name="_Toc297276186"/>
      <w:bookmarkStart w:id="4366" w:name="_Toc297276638"/>
      <w:bookmarkStart w:id="4367" w:name="_Toc297277088"/>
      <w:bookmarkStart w:id="4368" w:name="_Toc297726457"/>
      <w:bookmarkStart w:id="4369" w:name="_Toc299980243"/>
      <w:bookmarkStart w:id="4370" w:name="_Toc300234869"/>
      <w:bookmarkStart w:id="4371" w:name="_Toc301961372"/>
      <w:bookmarkStart w:id="4372" w:name="_Toc301966942"/>
      <w:bookmarkStart w:id="4373" w:name="_Toc303253151"/>
      <w:bookmarkStart w:id="4374" w:name="_Toc303257315"/>
      <w:bookmarkStart w:id="4375" w:name="_Toc307992948"/>
      <w:bookmarkStart w:id="4376" w:name="_Toc309029981"/>
      <w:bookmarkStart w:id="4377" w:name="_Toc309304204"/>
      <w:bookmarkStart w:id="4378" w:name="_Toc309304657"/>
      <w:bookmarkStart w:id="4379" w:name="_Toc309309481"/>
      <w:r>
        <w:rPr>
          <w:rStyle w:val="CharDivNo"/>
        </w:rPr>
        <w:t>Division 3</w:t>
      </w:r>
      <w:r>
        <w:t> — </w:t>
      </w:r>
      <w:r>
        <w:rPr>
          <w:rStyle w:val="CharDivText"/>
        </w:rPr>
        <w:t>Kalbarri Blue Holes Fish Habitat Protection Area</w:t>
      </w:r>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p>
    <w:p>
      <w:pPr>
        <w:pStyle w:val="Footnoteheading"/>
        <w:tabs>
          <w:tab w:val="left" w:pos="851"/>
        </w:tabs>
      </w:pPr>
      <w:r>
        <w:tab/>
        <w:t>[Heading inserted in Gazette 21 Dec 2007 p. 6326.]</w:t>
      </w:r>
    </w:p>
    <w:p>
      <w:pPr>
        <w:pStyle w:val="Heading5"/>
        <w:spacing w:before="240"/>
      </w:pPr>
      <w:bookmarkStart w:id="4380" w:name="_Toc309309482"/>
      <w:r>
        <w:rPr>
          <w:rStyle w:val="CharSectno"/>
        </w:rPr>
        <w:t>113C</w:t>
      </w:r>
      <w:r>
        <w:t>.</w:t>
      </w:r>
      <w:r>
        <w:tab/>
        <w:t>Prohibited activities</w:t>
      </w:r>
      <w:bookmarkEnd w:id="4380"/>
    </w:p>
    <w:p>
      <w:pPr>
        <w:pStyle w:val="Subsection"/>
        <w:spacing w:before="180"/>
      </w:pPr>
      <w:r>
        <w:tab/>
        <w:t>(1)</w:t>
      </w:r>
      <w:r>
        <w:tab/>
        <w:t xml:space="preserve">A </w:t>
      </w:r>
      <w:r>
        <w:rPr>
          <w:snapToGrid w:val="0"/>
        </w:rPr>
        <w:t>person</w:t>
      </w:r>
      <w:r>
        <w:t xml:space="preserve"> must not fish in the Kalbarri Blue Holes waters.</w:t>
      </w:r>
    </w:p>
    <w:p>
      <w:pPr>
        <w:pStyle w:val="Penstart"/>
      </w:pPr>
      <w:r>
        <w:tab/>
        <w:t>Penalty: $2 000 and the penalty provided in section 222 of the Act.</w:t>
      </w:r>
    </w:p>
    <w:p>
      <w:pPr>
        <w:pStyle w:val="Subsection"/>
        <w:spacing w:before="180"/>
      </w:pPr>
      <w:r>
        <w:tab/>
        <w:t>(2)</w:t>
      </w:r>
      <w:r>
        <w:tab/>
        <w:t xml:space="preserve">A </w:t>
      </w:r>
      <w:r>
        <w:rPr>
          <w:snapToGrid w:val="0"/>
        </w:rPr>
        <w:t>person</w:t>
      </w:r>
      <w:r>
        <w:t xml:space="preserve"> must not use a motor boat in the Kalbarri Blue Holes waters.</w:t>
      </w:r>
    </w:p>
    <w:p>
      <w:pPr>
        <w:pStyle w:val="Penstart"/>
      </w:pPr>
      <w:r>
        <w:tab/>
        <w:t>Penalty: $1 000.</w:t>
      </w:r>
    </w:p>
    <w:p>
      <w:pPr>
        <w:pStyle w:val="Footnotesection"/>
      </w:pPr>
      <w:r>
        <w:tab/>
        <w:t>[Regulation 113C inserted in Gazette 21 Dec 2007 p. 6326.]</w:t>
      </w:r>
    </w:p>
    <w:p>
      <w:pPr>
        <w:pStyle w:val="Heading3"/>
        <w:keepLines/>
      </w:pPr>
      <w:bookmarkStart w:id="4381" w:name="_Toc234382752"/>
      <w:bookmarkStart w:id="4382" w:name="_Toc234899462"/>
      <w:bookmarkStart w:id="4383" w:name="_Toc236632744"/>
      <w:bookmarkStart w:id="4384" w:name="_Toc236720357"/>
      <w:bookmarkStart w:id="4385" w:name="_Toc237764556"/>
      <w:bookmarkStart w:id="4386" w:name="_Toc238356180"/>
      <w:bookmarkStart w:id="4387" w:name="_Toc238368885"/>
      <w:bookmarkStart w:id="4388" w:name="_Toc238375838"/>
      <w:bookmarkStart w:id="4389" w:name="_Toc240339162"/>
      <w:bookmarkStart w:id="4390" w:name="_Toc241993668"/>
      <w:bookmarkStart w:id="4391" w:name="_Toc243192811"/>
      <w:bookmarkStart w:id="4392" w:name="_Toc243295513"/>
      <w:bookmarkStart w:id="4393" w:name="_Toc245113086"/>
      <w:bookmarkStart w:id="4394" w:name="_Toc245198248"/>
      <w:bookmarkStart w:id="4395" w:name="_Toc245198697"/>
      <w:bookmarkStart w:id="4396" w:name="_Toc245199146"/>
      <w:bookmarkStart w:id="4397" w:name="_Toc248122177"/>
      <w:bookmarkStart w:id="4398" w:name="_Toc248122628"/>
      <w:bookmarkStart w:id="4399" w:name="_Toc253670615"/>
      <w:bookmarkStart w:id="4400" w:name="_Toc253671065"/>
      <w:bookmarkStart w:id="4401" w:name="_Toc254942835"/>
      <w:bookmarkStart w:id="4402" w:name="_Toc254943288"/>
      <w:bookmarkStart w:id="4403" w:name="_Toc255475880"/>
      <w:bookmarkStart w:id="4404" w:name="_Toc256432201"/>
      <w:bookmarkStart w:id="4405" w:name="_Toc257720538"/>
      <w:bookmarkStart w:id="4406" w:name="_Toc257722220"/>
      <w:bookmarkStart w:id="4407" w:name="_Toc258335896"/>
      <w:bookmarkStart w:id="4408" w:name="_Toc260406338"/>
      <w:bookmarkStart w:id="4409" w:name="_Toc261271524"/>
      <w:bookmarkStart w:id="4410" w:name="_Toc262808206"/>
      <w:bookmarkStart w:id="4411" w:name="_Toc267572599"/>
      <w:bookmarkStart w:id="4412" w:name="_Toc270684348"/>
      <w:bookmarkStart w:id="4413" w:name="_Toc274214525"/>
      <w:bookmarkStart w:id="4414" w:name="_Toc274214974"/>
      <w:bookmarkStart w:id="4415" w:name="_Toc278976305"/>
      <w:bookmarkStart w:id="4416" w:name="_Toc286760628"/>
      <w:bookmarkStart w:id="4417" w:name="_Toc289080973"/>
      <w:bookmarkStart w:id="4418" w:name="_Toc290284167"/>
      <w:bookmarkStart w:id="4419" w:name="_Toc290642988"/>
      <w:bookmarkStart w:id="4420" w:name="_Toc290643437"/>
      <w:bookmarkStart w:id="4421" w:name="_Toc290643890"/>
      <w:bookmarkStart w:id="4422" w:name="_Toc294701707"/>
      <w:bookmarkStart w:id="4423" w:name="_Toc295200115"/>
      <w:bookmarkStart w:id="4424" w:name="_Toc296954556"/>
      <w:bookmarkStart w:id="4425" w:name="_Toc297276188"/>
      <w:bookmarkStart w:id="4426" w:name="_Toc297276640"/>
      <w:bookmarkStart w:id="4427" w:name="_Toc297277090"/>
      <w:bookmarkStart w:id="4428" w:name="_Toc297726459"/>
      <w:bookmarkStart w:id="4429" w:name="_Toc299980245"/>
      <w:bookmarkStart w:id="4430" w:name="_Toc300234871"/>
      <w:bookmarkStart w:id="4431" w:name="_Toc301961374"/>
      <w:bookmarkStart w:id="4432" w:name="_Toc301966944"/>
      <w:bookmarkStart w:id="4433" w:name="_Toc303253153"/>
      <w:bookmarkStart w:id="4434" w:name="_Toc303257317"/>
      <w:bookmarkStart w:id="4435" w:name="_Toc307992950"/>
      <w:bookmarkStart w:id="4436" w:name="_Toc309029983"/>
      <w:bookmarkStart w:id="4437" w:name="_Toc309304206"/>
      <w:bookmarkStart w:id="4438" w:name="_Toc309304659"/>
      <w:bookmarkStart w:id="4439" w:name="_Toc309309483"/>
      <w:r>
        <w:rPr>
          <w:rStyle w:val="CharDivNo"/>
        </w:rPr>
        <w:t>Division 4</w:t>
      </w:r>
      <w:r>
        <w:t> — </w:t>
      </w:r>
      <w:r>
        <w:rPr>
          <w:rStyle w:val="CharDivText"/>
        </w:rPr>
        <w:t>Point Quobba Fish Habitat Protection Area</w:t>
      </w:r>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p>
    <w:p>
      <w:pPr>
        <w:pStyle w:val="Footnoteheading"/>
        <w:keepNext/>
        <w:keepLines/>
        <w:tabs>
          <w:tab w:val="left" w:pos="851"/>
        </w:tabs>
      </w:pPr>
      <w:r>
        <w:tab/>
        <w:t>[Heading inserted in Gazette 3 Jul 2009 p. 2679.]</w:t>
      </w:r>
    </w:p>
    <w:p>
      <w:pPr>
        <w:pStyle w:val="Heading5"/>
      </w:pPr>
      <w:bookmarkStart w:id="4440" w:name="_Toc234382753"/>
      <w:bookmarkStart w:id="4441" w:name="_Toc309309484"/>
      <w:r>
        <w:rPr>
          <w:rStyle w:val="CharSectno"/>
        </w:rPr>
        <w:t>113D</w:t>
      </w:r>
      <w:r>
        <w:t>.</w:t>
      </w:r>
      <w:r>
        <w:tab/>
        <w:t>Terms used</w:t>
      </w:r>
      <w:bookmarkEnd w:id="4440"/>
      <w:bookmarkEnd w:id="4441"/>
    </w:p>
    <w:p>
      <w:pPr>
        <w:pStyle w:val="Subsection"/>
        <w:keepNext/>
        <w:keepLines/>
      </w:pPr>
      <w:r>
        <w:tab/>
      </w:r>
      <w:r>
        <w:tab/>
        <w:t>In this Division —</w:t>
      </w:r>
    </w:p>
    <w:p>
      <w:pPr>
        <w:pStyle w:val="Defstart"/>
      </w:pPr>
      <w:r>
        <w:rPr>
          <w:b/>
        </w:rPr>
        <w:tab/>
      </w:r>
      <w:r>
        <w:rPr>
          <w:rStyle w:val="CharDefText"/>
        </w:rPr>
        <w:t>Point Quobba restricted area</w:t>
      </w:r>
      <w:r>
        <w:t xml:space="preserve"> means the portion of the waters of Point Quobba bounded by a line commencing at the intersection of the high water mark on the coastline and 24° 29.075′ south latitude, from there southerly along the geodesic to the intersection of 24° 29.619′ south latitude and 113° 24.440′ east longitude, from there east along the parallel to the intersection of 24° 29.619′ south latitude and 113° 24.975′ east longitude, from there north along the meridian to the intersection of the high water mark on the coastline and 133° 24.975′ east longitude, from there generally north westerly along the high water mark to the commencement point;</w:t>
      </w:r>
    </w:p>
    <w:p>
      <w:pPr>
        <w:pStyle w:val="Defstart"/>
      </w:pPr>
      <w:r>
        <w:rPr>
          <w:b/>
        </w:rPr>
        <w:tab/>
      </w:r>
      <w:r>
        <w:rPr>
          <w:rStyle w:val="CharDefText"/>
        </w:rPr>
        <w:t>waters of Point Quobba</w:t>
      </w:r>
      <w:r>
        <w:t xml:space="preserve"> has the meaning given in the </w:t>
      </w:r>
      <w:r>
        <w:rPr>
          <w:i/>
        </w:rPr>
        <w:t>Point Quobba Fish Habitat Protection Area Order 2004</w:t>
      </w:r>
      <w:r>
        <w:t>.</w:t>
      </w:r>
    </w:p>
    <w:p>
      <w:pPr>
        <w:pStyle w:val="Footnotesection"/>
      </w:pPr>
      <w:r>
        <w:tab/>
        <w:t>[Regulation 113D inserted in Gazette 3 Jul 2009 p. 2679</w:t>
      </w:r>
      <w:r>
        <w:noBreakHyphen/>
        <w:t>80.]</w:t>
      </w:r>
    </w:p>
    <w:p>
      <w:pPr>
        <w:pStyle w:val="Heading5"/>
      </w:pPr>
      <w:bookmarkStart w:id="4442" w:name="_Toc234382754"/>
      <w:bookmarkStart w:id="4443" w:name="_Toc309309485"/>
      <w:r>
        <w:rPr>
          <w:rStyle w:val="CharSectno"/>
        </w:rPr>
        <w:t>113E</w:t>
      </w:r>
      <w:r>
        <w:t>.</w:t>
      </w:r>
      <w:r>
        <w:tab/>
      </w:r>
      <w:bookmarkEnd w:id="4442"/>
      <w:r>
        <w:t>Prohibited activities</w:t>
      </w:r>
      <w:bookmarkEnd w:id="4443"/>
    </w:p>
    <w:p>
      <w:pPr>
        <w:pStyle w:val="Subsection"/>
      </w:pPr>
      <w:r>
        <w:tab/>
        <w:t>(1)</w:t>
      </w:r>
      <w:r>
        <w:tab/>
        <w:t>A person must not fish in the Point Quobba restricted area.</w:t>
      </w:r>
    </w:p>
    <w:p>
      <w:pPr>
        <w:pStyle w:val="Penstart"/>
      </w:pPr>
      <w:r>
        <w:tab/>
        <w:t>Penalty: $2 000 and the penalty provided in section 222 of the Act.</w:t>
      </w:r>
    </w:p>
    <w:p>
      <w:pPr>
        <w:pStyle w:val="Subsection"/>
      </w:pPr>
      <w:r>
        <w:tab/>
        <w:t>(2)</w:t>
      </w:r>
      <w:r>
        <w:tab/>
        <w:t>Subregulation (1) does not apply to —</w:t>
      </w:r>
    </w:p>
    <w:p>
      <w:pPr>
        <w:pStyle w:val="Indenta"/>
      </w:pPr>
      <w:r>
        <w:tab/>
        <w:t>(a)</w:t>
      </w:r>
      <w:r>
        <w:tab/>
        <w:t>a person who takes oysters by hand other than for a commercial purpose; or</w:t>
      </w:r>
    </w:p>
    <w:p>
      <w:pPr>
        <w:pStyle w:val="Indenta"/>
      </w:pPr>
      <w:r>
        <w:tab/>
        <w:t>(b)</w:t>
      </w:r>
      <w:r>
        <w:tab/>
        <w:t>a person who takes squid using a squid jig without bait.</w:t>
      </w:r>
    </w:p>
    <w:p>
      <w:pPr>
        <w:pStyle w:val="Subsection"/>
      </w:pPr>
      <w:r>
        <w:tab/>
        <w:t>(3)</w:t>
      </w:r>
      <w:r>
        <w:tab/>
        <w:t>A person must not use a jet ski in the Point Quobba restricted area.</w:t>
      </w:r>
    </w:p>
    <w:p>
      <w:pPr>
        <w:pStyle w:val="Penstart"/>
      </w:pPr>
      <w:r>
        <w:tab/>
        <w:t>Penalty: $1 000.</w:t>
      </w:r>
    </w:p>
    <w:p>
      <w:pPr>
        <w:pStyle w:val="Footnotesection"/>
      </w:pPr>
      <w:r>
        <w:tab/>
        <w:t>[Regulation 113E inserted in Gazette 3 Jul 2009 p. 2680.]</w:t>
      </w:r>
    </w:p>
    <w:p>
      <w:pPr>
        <w:pStyle w:val="Heading2"/>
      </w:pPr>
      <w:bookmarkStart w:id="4444" w:name="_Toc189988053"/>
      <w:bookmarkStart w:id="4445" w:name="_Toc192041636"/>
      <w:bookmarkStart w:id="4446" w:name="_Toc199570870"/>
      <w:bookmarkStart w:id="4447" w:name="_Toc199738868"/>
      <w:bookmarkStart w:id="4448" w:name="_Toc199814969"/>
      <w:bookmarkStart w:id="4449" w:name="_Toc215040776"/>
      <w:bookmarkStart w:id="4450" w:name="_Toc215041221"/>
      <w:bookmarkStart w:id="4451" w:name="_Toc222129429"/>
      <w:bookmarkStart w:id="4452" w:name="_Toc222223134"/>
      <w:bookmarkStart w:id="4453" w:name="_Toc225914386"/>
      <w:bookmarkStart w:id="4454" w:name="_Toc231282431"/>
      <w:bookmarkStart w:id="4455" w:name="_Toc231282875"/>
      <w:bookmarkStart w:id="4456" w:name="_Toc234899465"/>
      <w:bookmarkStart w:id="4457" w:name="_Toc236632747"/>
      <w:bookmarkStart w:id="4458" w:name="_Toc236720360"/>
      <w:bookmarkStart w:id="4459" w:name="_Toc237764559"/>
      <w:bookmarkStart w:id="4460" w:name="_Toc238356183"/>
      <w:bookmarkStart w:id="4461" w:name="_Toc238368888"/>
      <w:bookmarkStart w:id="4462" w:name="_Toc238375841"/>
      <w:bookmarkStart w:id="4463" w:name="_Toc240339165"/>
      <w:bookmarkStart w:id="4464" w:name="_Toc241993671"/>
      <w:bookmarkStart w:id="4465" w:name="_Toc243192814"/>
      <w:bookmarkStart w:id="4466" w:name="_Toc243295516"/>
      <w:bookmarkStart w:id="4467" w:name="_Toc245113089"/>
      <w:bookmarkStart w:id="4468" w:name="_Toc245198251"/>
      <w:bookmarkStart w:id="4469" w:name="_Toc245198700"/>
      <w:bookmarkStart w:id="4470" w:name="_Toc245199149"/>
      <w:bookmarkStart w:id="4471" w:name="_Toc248122180"/>
      <w:bookmarkStart w:id="4472" w:name="_Toc248122631"/>
      <w:bookmarkStart w:id="4473" w:name="_Toc253670618"/>
      <w:bookmarkStart w:id="4474" w:name="_Toc253671068"/>
      <w:bookmarkStart w:id="4475" w:name="_Toc254942838"/>
      <w:bookmarkStart w:id="4476" w:name="_Toc254943291"/>
      <w:bookmarkStart w:id="4477" w:name="_Toc255475883"/>
      <w:bookmarkStart w:id="4478" w:name="_Toc256432204"/>
      <w:bookmarkStart w:id="4479" w:name="_Toc257720541"/>
      <w:bookmarkStart w:id="4480" w:name="_Toc257722223"/>
      <w:bookmarkStart w:id="4481" w:name="_Toc258335899"/>
      <w:bookmarkStart w:id="4482" w:name="_Toc260406341"/>
      <w:bookmarkStart w:id="4483" w:name="_Toc261271527"/>
      <w:bookmarkStart w:id="4484" w:name="_Toc262808209"/>
      <w:bookmarkStart w:id="4485" w:name="_Toc267572602"/>
      <w:bookmarkStart w:id="4486" w:name="_Toc270684351"/>
      <w:bookmarkStart w:id="4487" w:name="_Toc274214528"/>
      <w:bookmarkStart w:id="4488" w:name="_Toc274214977"/>
      <w:bookmarkStart w:id="4489" w:name="_Toc278976308"/>
      <w:bookmarkStart w:id="4490" w:name="_Toc286760631"/>
      <w:bookmarkStart w:id="4491" w:name="_Toc289080976"/>
      <w:bookmarkStart w:id="4492" w:name="_Toc290284170"/>
      <w:bookmarkStart w:id="4493" w:name="_Toc290642991"/>
      <w:bookmarkStart w:id="4494" w:name="_Toc290643440"/>
      <w:bookmarkStart w:id="4495" w:name="_Toc290643893"/>
      <w:bookmarkStart w:id="4496" w:name="_Toc294701710"/>
      <w:bookmarkStart w:id="4497" w:name="_Toc295200118"/>
      <w:bookmarkStart w:id="4498" w:name="_Toc296954559"/>
      <w:bookmarkStart w:id="4499" w:name="_Toc297276191"/>
      <w:bookmarkStart w:id="4500" w:name="_Toc297276643"/>
      <w:bookmarkStart w:id="4501" w:name="_Toc297277093"/>
      <w:bookmarkStart w:id="4502" w:name="_Toc297726462"/>
      <w:bookmarkStart w:id="4503" w:name="_Toc299980248"/>
      <w:bookmarkStart w:id="4504" w:name="_Toc300234874"/>
      <w:bookmarkStart w:id="4505" w:name="_Toc301961377"/>
      <w:bookmarkStart w:id="4506" w:name="_Toc301966947"/>
      <w:bookmarkStart w:id="4507" w:name="_Toc303253156"/>
      <w:bookmarkStart w:id="4508" w:name="_Toc303257320"/>
      <w:bookmarkStart w:id="4509" w:name="_Toc307992953"/>
      <w:bookmarkStart w:id="4510" w:name="_Toc309029986"/>
      <w:bookmarkStart w:id="4511" w:name="_Toc309304209"/>
      <w:bookmarkStart w:id="4512" w:name="_Toc309304662"/>
      <w:bookmarkStart w:id="4513" w:name="_Toc309309486"/>
      <w:r>
        <w:rPr>
          <w:rStyle w:val="CharPartNo"/>
        </w:rPr>
        <w:t>Part 10</w:t>
      </w:r>
      <w:r>
        <w:rPr>
          <w:rStyle w:val="CharDivNo"/>
        </w:rPr>
        <w:t> </w:t>
      </w:r>
      <w:r>
        <w:t>—</w:t>
      </w:r>
      <w:r>
        <w:rPr>
          <w:rStyle w:val="CharDivText"/>
        </w:rPr>
        <w:t> </w:t>
      </w:r>
      <w:r>
        <w:rPr>
          <w:rStyle w:val="CharPartText"/>
        </w:rPr>
        <w:t>Register</w:t>
      </w:r>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p>
    <w:p>
      <w:pPr>
        <w:pStyle w:val="Heading5"/>
        <w:rPr>
          <w:snapToGrid w:val="0"/>
        </w:rPr>
      </w:pPr>
      <w:bookmarkStart w:id="4514" w:name="_Toc309309487"/>
      <w:r>
        <w:rPr>
          <w:rStyle w:val="CharSectno"/>
        </w:rPr>
        <w:t>114</w:t>
      </w:r>
      <w:r>
        <w:rPr>
          <w:snapToGrid w:val="0"/>
        </w:rPr>
        <w:t>.</w:t>
      </w:r>
      <w:r>
        <w:rPr>
          <w:snapToGrid w:val="0"/>
        </w:rPr>
        <w:tab/>
        <w:t>Hours, place and fees prescribed (Act s. 124)</w:t>
      </w:r>
      <w:bookmarkEnd w:id="4514"/>
    </w:p>
    <w:p>
      <w:pPr>
        <w:pStyle w:val="Subsection"/>
        <w:spacing w:after="120"/>
        <w:rPr>
          <w:snapToGrid w:val="0"/>
        </w:rPr>
      </w:pPr>
      <w:r>
        <w:rPr>
          <w:snapToGrid w:val="0"/>
        </w:rPr>
        <w:tab/>
        <w:t>(1)</w:t>
      </w:r>
      <w:r>
        <w:rPr>
          <w:snapToGrid w:val="0"/>
        </w:rPr>
        <w:tab/>
        <w:t>The register is available for public inspection between the hours of 8.30 a.m. and 4.30 p.m. on Monday to Friday, other than public holidays at — </w:t>
      </w:r>
    </w:p>
    <w:tbl>
      <w:tblPr>
        <w:tblW w:w="0" w:type="auto"/>
        <w:tblInd w:w="1428" w:type="dxa"/>
        <w:tblLayout w:type="fixed"/>
        <w:tblLook w:val="0000" w:firstRow="0" w:lastRow="0" w:firstColumn="0" w:lastColumn="0" w:noHBand="0" w:noVBand="0"/>
      </w:tblPr>
      <w:tblGrid>
        <w:gridCol w:w="3360"/>
      </w:tblGrid>
      <w:tr>
        <w:tc>
          <w:tcPr>
            <w:tcW w:w="3360" w:type="dxa"/>
          </w:tcPr>
          <w:p>
            <w:pPr>
              <w:pStyle w:val="TableNAm"/>
              <w:spacing w:before="60"/>
            </w:pPr>
            <w:r>
              <w:t>The Department of Fisheries</w:t>
            </w:r>
          </w:p>
        </w:tc>
      </w:tr>
      <w:tr>
        <w:tc>
          <w:tcPr>
            <w:tcW w:w="3360" w:type="dxa"/>
          </w:tcPr>
          <w:p>
            <w:pPr>
              <w:pStyle w:val="TableNAm"/>
              <w:spacing w:before="60"/>
            </w:pPr>
            <w:r>
              <w:t>The Atrium</w:t>
            </w:r>
          </w:p>
        </w:tc>
      </w:tr>
      <w:tr>
        <w:tc>
          <w:tcPr>
            <w:tcW w:w="3360" w:type="dxa"/>
          </w:tcPr>
          <w:p>
            <w:pPr>
              <w:pStyle w:val="TableNAm"/>
              <w:spacing w:before="60"/>
              <w:rPr>
                <w:snapToGrid w:val="0"/>
              </w:rPr>
            </w:pPr>
            <w:r>
              <w:rPr>
                <w:snapToGrid w:val="0"/>
              </w:rPr>
              <w:t>168</w:t>
            </w:r>
            <w:r>
              <w:rPr>
                <w:snapToGrid w:val="0"/>
              </w:rPr>
              <w:noBreakHyphen/>
              <w:t xml:space="preserve">170 </w:t>
            </w:r>
            <w:smartTag w:uri="urn:schemas-microsoft-com:office:smarttags" w:element="place">
              <w:smartTag w:uri="urn:schemas-microsoft-com:office:smarttags" w:element="City">
                <w:r>
                  <w:rPr>
                    <w:snapToGrid w:val="0"/>
                  </w:rPr>
                  <w:t>St. George’s</w:t>
                </w:r>
              </w:smartTag>
            </w:smartTag>
            <w:r>
              <w:rPr>
                <w:snapToGrid w:val="0"/>
              </w:rPr>
              <w:t xml:space="preserve"> Tce.</w:t>
            </w:r>
          </w:p>
        </w:tc>
      </w:tr>
      <w:tr>
        <w:tc>
          <w:tcPr>
            <w:tcW w:w="3360" w:type="dxa"/>
          </w:tcPr>
          <w:p>
            <w:pPr>
              <w:pStyle w:val="TableNAm"/>
              <w:spacing w:before="60"/>
              <w:rPr>
                <w:snapToGrid w:val="0"/>
              </w:rPr>
            </w:pPr>
            <w:smartTag w:uri="urn:schemas-microsoft-com:office:smarttags" w:element="place">
              <w:smartTag w:uri="urn:schemas-microsoft-com:office:smarttags" w:element="City">
                <w:r>
                  <w:rPr>
                    <w:snapToGrid w:val="0"/>
                  </w:rPr>
                  <w:t>PERTH</w:t>
                </w:r>
              </w:smartTag>
            </w:smartTag>
            <w:r>
              <w:rPr>
                <w:snapToGrid w:val="0"/>
              </w:rPr>
              <w:t xml:space="preserve"> WA 6000</w:t>
            </w:r>
          </w:p>
        </w:tc>
      </w:tr>
    </w:tbl>
    <w:p>
      <w:pPr>
        <w:pStyle w:val="Subsection"/>
        <w:rPr>
          <w:snapToGrid w:val="0"/>
        </w:rPr>
      </w:pPr>
      <w:r>
        <w:rPr>
          <w:snapToGrid w:val="0"/>
        </w:rPr>
        <w:tab/>
        <w:t>(2)</w:t>
      </w:r>
      <w:r>
        <w:rPr>
          <w:snapToGrid w:val="0"/>
        </w:rPr>
        <w:tab/>
        <w:t>On payment of the fee set out —</w:t>
      </w:r>
    </w:p>
    <w:p>
      <w:pPr>
        <w:pStyle w:val="Indenta"/>
        <w:rPr>
          <w:snapToGrid w:val="0"/>
        </w:rPr>
      </w:pPr>
      <w:r>
        <w:rPr>
          <w:snapToGrid w:val="0"/>
        </w:rPr>
        <w:tab/>
        <w:t>(a)</w:t>
      </w:r>
      <w:r>
        <w:rPr>
          <w:snapToGrid w:val="0"/>
        </w:rPr>
        <w:tab/>
        <w:t>in item 2 of Part 1 of Schedule 1, a person may obtain a copy of an entry in, or an extract from, the register; and</w:t>
      </w:r>
    </w:p>
    <w:p>
      <w:pPr>
        <w:pStyle w:val="Indenta"/>
        <w:rPr>
          <w:snapToGrid w:val="0"/>
        </w:rPr>
      </w:pPr>
      <w:r>
        <w:rPr>
          <w:snapToGrid w:val="0"/>
        </w:rPr>
        <w:tab/>
        <w:t>(b)</w:t>
      </w:r>
      <w:r>
        <w:rPr>
          <w:snapToGrid w:val="0"/>
        </w:rPr>
        <w:tab/>
        <w:t>in item 3 of Part 1 of Schedule 1, a person may have access to the register in electronic form for such period of time as is specified by the Registrar.</w:t>
      </w:r>
    </w:p>
    <w:p>
      <w:pPr>
        <w:pStyle w:val="Footnotesection"/>
      </w:pPr>
      <w:r>
        <w:tab/>
        <w:t>[Regulation 114 amended in Gazette 7 Jul 1998 p. 3614; 23 May 2006 p. 1860.]</w:t>
      </w:r>
    </w:p>
    <w:p>
      <w:pPr>
        <w:pStyle w:val="Heading5"/>
        <w:rPr>
          <w:snapToGrid w:val="0"/>
        </w:rPr>
      </w:pPr>
      <w:bookmarkStart w:id="4515" w:name="_Toc309309488"/>
      <w:r>
        <w:rPr>
          <w:rStyle w:val="CharSectno"/>
        </w:rPr>
        <w:t>115</w:t>
      </w:r>
      <w:r>
        <w:rPr>
          <w:snapToGrid w:val="0"/>
        </w:rPr>
        <w:t>.</w:t>
      </w:r>
      <w:r>
        <w:rPr>
          <w:snapToGrid w:val="0"/>
        </w:rPr>
        <w:tab/>
        <w:t>Details prescribed (Act s. 126)</w:t>
      </w:r>
      <w:bookmarkEnd w:id="4515"/>
    </w:p>
    <w:p>
      <w:pPr>
        <w:pStyle w:val="Subsection"/>
        <w:rPr>
          <w:snapToGrid w:val="0"/>
        </w:rPr>
      </w:pPr>
      <w:r>
        <w:rPr>
          <w:snapToGrid w:val="0"/>
        </w:rPr>
        <w:tab/>
      </w:r>
      <w:r>
        <w:rPr>
          <w:snapToGrid w:val="0"/>
        </w:rPr>
        <w:tab/>
        <w:t>The following details are prescribed under section 126(e) of the Act as additional details to be set out on the register —</w:t>
      </w:r>
    </w:p>
    <w:p>
      <w:pPr>
        <w:pStyle w:val="Indenta"/>
        <w:rPr>
          <w:snapToGrid w:val="0"/>
        </w:rPr>
      </w:pPr>
      <w:r>
        <w:rPr>
          <w:snapToGrid w:val="0"/>
        </w:rPr>
        <w:tab/>
        <w:t>(a)</w:t>
      </w:r>
      <w:r>
        <w:rPr>
          <w:snapToGrid w:val="0"/>
        </w:rPr>
        <w:tab/>
        <w:t>the date the authorisation or exemption was granted or renewed and the date it expires; and</w:t>
      </w:r>
    </w:p>
    <w:p>
      <w:pPr>
        <w:pStyle w:val="Indenta"/>
        <w:rPr>
          <w:snapToGrid w:val="0"/>
        </w:rPr>
      </w:pPr>
      <w:r>
        <w:rPr>
          <w:snapToGrid w:val="0"/>
        </w:rPr>
        <w:tab/>
        <w:t>(b)</w:t>
      </w:r>
      <w:r>
        <w:rPr>
          <w:snapToGrid w:val="0"/>
        </w:rPr>
        <w:tab/>
        <w:t>the authorisation or exemption number specified on each authorisation or exemption; and</w:t>
      </w:r>
    </w:p>
    <w:p>
      <w:pPr>
        <w:pStyle w:val="Indenta"/>
        <w:rPr>
          <w:snapToGrid w:val="0"/>
        </w:rPr>
      </w:pPr>
      <w:r>
        <w:rPr>
          <w:snapToGrid w:val="0"/>
        </w:rPr>
        <w:tab/>
        <w:t>(c)</w:t>
      </w:r>
      <w:r>
        <w:rPr>
          <w:snapToGrid w:val="0"/>
        </w:rPr>
        <w:tab/>
        <w:t>any conditions imposed on the authorisation or exemption by the Minister or CEO, either in full, abbreviated or by reference to another text; and</w:t>
      </w:r>
    </w:p>
    <w:p>
      <w:pPr>
        <w:pStyle w:val="Indenta"/>
        <w:rPr>
          <w:snapToGrid w:val="0"/>
        </w:rPr>
      </w:pPr>
      <w:r>
        <w:rPr>
          <w:snapToGrid w:val="0"/>
        </w:rPr>
        <w:tab/>
        <w:t>(d)</w:t>
      </w:r>
      <w:r>
        <w:rPr>
          <w:snapToGrid w:val="0"/>
        </w:rPr>
        <w:tab/>
        <w:t>any period during which the authorisation is suspended; and</w:t>
      </w:r>
    </w:p>
    <w:p>
      <w:pPr>
        <w:pStyle w:val="Indenta"/>
        <w:rPr>
          <w:snapToGrid w:val="0"/>
        </w:rPr>
      </w:pPr>
      <w:r>
        <w:rPr>
          <w:snapToGrid w:val="0"/>
        </w:rPr>
        <w:tab/>
        <w:t>(e)</w:t>
      </w:r>
      <w:r>
        <w:rPr>
          <w:snapToGrid w:val="0"/>
        </w:rPr>
        <w:tab/>
        <w:t>the nature of any entitlement conferred by the authorisation; and</w:t>
      </w:r>
    </w:p>
    <w:p>
      <w:pPr>
        <w:pStyle w:val="Indenta"/>
        <w:spacing w:before="60"/>
        <w:rPr>
          <w:snapToGrid w:val="0"/>
        </w:rPr>
      </w:pPr>
      <w:r>
        <w:rPr>
          <w:snapToGrid w:val="0"/>
        </w:rPr>
        <w:tab/>
        <w:t>(f)</w:t>
      </w:r>
      <w:r>
        <w:rPr>
          <w:snapToGrid w:val="0"/>
        </w:rPr>
        <w:tab/>
        <w:t>details of any boat specified in the authorisation.</w:t>
      </w:r>
    </w:p>
    <w:p>
      <w:pPr>
        <w:pStyle w:val="Footnotesection"/>
      </w:pPr>
      <w:r>
        <w:tab/>
        <w:t>[Regulation 115 amended in Gazette 6 Jul 2007 p. 3389</w:t>
      </w:r>
      <w:r>
        <w:noBreakHyphen/>
        <w:t>90.]</w:t>
      </w:r>
    </w:p>
    <w:p>
      <w:pPr>
        <w:pStyle w:val="Heading5"/>
        <w:rPr>
          <w:snapToGrid w:val="0"/>
        </w:rPr>
      </w:pPr>
      <w:bookmarkStart w:id="4516" w:name="_Toc309309489"/>
      <w:r>
        <w:rPr>
          <w:rStyle w:val="CharSectno"/>
        </w:rPr>
        <w:t>116</w:t>
      </w:r>
      <w:r>
        <w:rPr>
          <w:snapToGrid w:val="0"/>
        </w:rPr>
        <w:t>.</w:t>
      </w:r>
      <w:r>
        <w:rPr>
          <w:snapToGrid w:val="0"/>
        </w:rPr>
        <w:tab/>
        <w:t>Details of security interest prescribed (Act s. 128)</w:t>
      </w:r>
      <w:bookmarkEnd w:id="4516"/>
    </w:p>
    <w:p>
      <w:pPr>
        <w:pStyle w:val="Subsection"/>
        <w:rPr>
          <w:snapToGrid w:val="0"/>
        </w:rPr>
      </w:pPr>
      <w:r>
        <w:rPr>
          <w:snapToGrid w:val="0"/>
        </w:rPr>
        <w:tab/>
      </w:r>
      <w:r>
        <w:rPr>
          <w:snapToGrid w:val="0"/>
        </w:rPr>
        <w:tab/>
        <w:t>The following details are prescribed under section 128(2)(c) of the Act as additional details in respect of the notation of a security interest on the register —</w:t>
      </w:r>
    </w:p>
    <w:p>
      <w:pPr>
        <w:pStyle w:val="Indenta"/>
        <w:rPr>
          <w:snapToGrid w:val="0"/>
        </w:rPr>
      </w:pPr>
      <w:r>
        <w:rPr>
          <w:snapToGrid w:val="0"/>
        </w:rPr>
        <w:tab/>
        <w:t>(a)</w:t>
      </w:r>
      <w:r>
        <w:rPr>
          <w:snapToGrid w:val="0"/>
        </w:rPr>
        <w:tab/>
        <w:t>the date of the creation of the interest; and</w:t>
      </w:r>
    </w:p>
    <w:p>
      <w:pPr>
        <w:pStyle w:val="Indenta"/>
        <w:rPr>
          <w:snapToGrid w:val="0"/>
        </w:rPr>
      </w:pPr>
      <w:r>
        <w:rPr>
          <w:snapToGrid w:val="0"/>
        </w:rPr>
        <w:tab/>
        <w:t>(b)</w:t>
      </w:r>
      <w:r>
        <w:rPr>
          <w:snapToGrid w:val="0"/>
        </w:rPr>
        <w:tab/>
        <w:t>the date of notation of the interest; and</w:t>
      </w:r>
    </w:p>
    <w:p>
      <w:pPr>
        <w:pStyle w:val="Indenta"/>
      </w:pPr>
      <w:r>
        <w:rPr>
          <w:snapToGrid w:val="0"/>
        </w:rPr>
        <w:tab/>
        <w:t>(c)</w:t>
      </w:r>
      <w:r>
        <w:rPr>
          <w:snapToGrid w:val="0"/>
        </w:rPr>
        <w:tab/>
        <w:t>any entitlement affected by the interest</w:t>
      </w:r>
      <w:r>
        <w:t>, including, if the entitlement is an entitlement under a management plan and is expressed in terms of units, the number of units, if any, affected by the interest; and</w:t>
      </w:r>
    </w:p>
    <w:p>
      <w:pPr>
        <w:pStyle w:val="Indenta"/>
      </w:pPr>
      <w:r>
        <w:tab/>
        <w:t>(d)</w:t>
      </w:r>
      <w:r>
        <w:tab/>
        <w:t>any debt or other pecuniary obligation secured by the interest.</w:t>
      </w:r>
    </w:p>
    <w:p>
      <w:pPr>
        <w:pStyle w:val="Footnotesection"/>
      </w:pPr>
      <w:r>
        <w:tab/>
        <w:t>[Regulation 116 amended in Gazette 30 Nov 2004 p. 5487.]</w:t>
      </w:r>
    </w:p>
    <w:p>
      <w:pPr>
        <w:pStyle w:val="Heading2"/>
      </w:pPr>
      <w:bookmarkStart w:id="4517" w:name="_Toc189988057"/>
      <w:bookmarkStart w:id="4518" w:name="_Toc192041640"/>
      <w:bookmarkStart w:id="4519" w:name="_Toc199570874"/>
      <w:bookmarkStart w:id="4520" w:name="_Toc199738872"/>
      <w:bookmarkStart w:id="4521" w:name="_Toc199814973"/>
      <w:bookmarkStart w:id="4522" w:name="_Toc215040780"/>
      <w:bookmarkStart w:id="4523" w:name="_Toc215041225"/>
      <w:bookmarkStart w:id="4524" w:name="_Toc222129433"/>
      <w:bookmarkStart w:id="4525" w:name="_Toc222223138"/>
      <w:bookmarkStart w:id="4526" w:name="_Toc225914390"/>
      <w:bookmarkStart w:id="4527" w:name="_Toc231282435"/>
      <w:bookmarkStart w:id="4528" w:name="_Toc231282879"/>
      <w:bookmarkStart w:id="4529" w:name="_Toc234899469"/>
      <w:bookmarkStart w:id="4530" w:name="_Toc236632751"/>
      <w:bookmarkStart w:id="4531" w:name="_Toc236720364"/>
      <w:bookmarkStart w:id="4532" w:name="_Toc237764563"/>
      <w:bookmarkStart w:id="4533" w:name="_Toc238356187"/>
      <w:bookmarkStart w:id="4534" w:name="_Toc238368892"/>
      <w:bookmarkStart w:id="4535" w:name="_Toc238375845"/>
      <w:bookmarkStart w:id="4536" w:name="_Toc240339169"/>
      <w:bookmarkStart w:id="4537" w:name="_Toc241993675"/>
      <w:bookmarkStart w:id="4538" w:name="_Toc243192818"/>
      <w:bookmarkStart w:id="4539" w:name="_Toc243295520"/>
      <w:bookmarkStart w:id="4540" w:name="_Toc245113093"/>
      <w:bookmarkStart w:id="4541" w:name="_Toc245198255"/>
      <w:bookmarkStart w:id="4542" w:name="_Toc245198704"/>
      <w:bookmarkStart w:id="4543" w:name="_Toc245199153"/>
      <w:bookmarkStart w:id="4544" w:name="_Toc248122184"/>
      <w:bookmarkStart w:id="4545" w:name="_Toc248122635"/>
      <w:bookmarkStart w:id="4546" w:name="_Toc253670622"/>
      <w:bookmarkStart w:id="4547" w:name="_Toc253671072"/>
      <w:bookmarkStart w:id="4548" w:name="_Toc254942842"/>
      <w:bookmarkStart w:id="4549" w:name="_Toc254943295"/>
      <w:bookmarkStart w:id="4550" w:name="_Toc255475887"/>
      <w:bookmarkStart w:id="4551" w:name="_Toc256432208"/>
      <w:bookmarkStart w:id="4552" w:name="_Toc257720545"/>
      <w:bookmarkStart w:id="4553" w:name="_Toc257722227"/>
      <w:bookmarkStart w:id="4554" w:name="_Toc258335903"/>
      <w:bookmarkStart w:id="4555" w:name="_Toc260406345"/>
      <w:bookmarkStart w:id="4556" w:name="_Toc261271531"/>
      <w:bookmarkStart w:id="4557" w:name="_Toc262808213"/>
      <w:bookmarkStart w:id="4558" w:name="_Toc267572606"/>
      <w:bookmarkStart w:id="4559" w:name="_Toc270684355"/>
      <w:bookmarkStart w:id="4560" w:name="_Toc274214532"/>
      <w:bookmarkStart w:id="4561" w:name="_Toc274214981"/>
      <w:bookmarkStart w:id="4562" w:name="_Toc278976312"/>
      <w:bookmarkStart w:id="4563" w:name="_Toc286760635"/>
      <w:bookmarkStart w:id="4564" w:name="_Toc289080980"/>
      <w:bookmarkStart w:id="4565" w:name="_Toc290284174"/>
      <w:bookmarkStart w:id="4566" w:name="_Toc290642995"/>
      <w:bookmarkStart w:id="4567" w:name="_Toc290643444"/>
      <w:bookmarkStart w:id="4568" w:name="_Toc290643897"/>
      <w:bookmarkStart w:id="4569" w:name="_Toc294701714"/>
      <w:bookmarkStart w:id="4570" w:name="_Toc295200122"/>
      <w:bookmarkStart w:id="4571" w:name="_Toc296954563"/>
      <w:bookmarkStart w:id="4572" w:name="_Toc297276195"/>
      <w:bookmarkStart w:id="4573" w:name="_Toc297276647"/>
      <w:bookmarkStart w:id="4574" w:name="_Toc297277097"/>
      <w:bookmarkStart w:id="4575" w:name="_Toc297726466"/>
      <w:bookmarkStart w:id="4576" w:name="_Toc299980252"/>
      <w:bookmarkStart w:id="4577" w:name="_Toc300234878"/>
      <w:bookmarkStart w:id="4578" w:name="_Toc301961381"/>
      <w:bookmarkStart w:id="4579" w:name="_Toc301966951"/>
      <w:bookmarkStart w:id="4580" w:name="_Toc303253160"/>
      <w:bookmarkStart w:id="4581" w:name="_Toc303257324"/>
      <w:bookmarkStart w:id="4582" w:name="_Toc307992957"/>
      <w:bookmarkStart w:id="4583" w:name="_Toc309029990"/>
      <w:bookmarkStart w:id="4584" w:name="_Toc309304213"/>
      <w:bookmarkStart w:id="4585" w:name="_Toc309304666"/>
      <w:bookmarkStart w:id="4586" w:name="_Toc309309490"/>
      <w:r>
        <w:rPr>
          <w:rStyle w:val="CharPartNo"/>
        </w:rPr>
        <w:t>Part 11</w:t>
      </w:r>
      <w:r>
        <w:t> — </w:t>
      </w:r>
      <w:r>
        <w:rPr>
          <w:rStyle w:val="CharPartText"/>
        </w:rPr>
        <w:t>Authorisations</w:t>
      </w:r>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p>
    <w:p>
      <w:pPr>
        <w:pStyle w:val="Heading3"/>
      </w:pPr>
      <w:bookmarkStart w:id="4587" w:name="_Toc189988058"/>
      <w:bookmarkStart w:id="4588" w:name="_Toc192041641"/>
      <w:bookmarkStart w:id="4589" w:name="_Toc199570875"/>
      <w:bookmarkStart w:id="4590" w:name="_Toc199738873"/>
      <w:bookmarkStart w:id="4591" w:name="_Toc199814974"/>
      <w:bookmarkStart w:id="4592" w:name="_Toc215040781"/>
      <w:bookmarkStart w:id="4593" w:name="_Toc215041226"/>
      <w:bookmarkStart w:id="4594" w:name="_Toc222129434"/>
      <w:bookmarkStart w:id="4595" w:name="_Toc222223139"/>
      <w:bookmarkStart w:id="4596" w:name="_Toc225914391"/>
      <w:bookmarkStart w:id="4597" w:name="_Toc231282436"/>
      <w:bookmarkStart w:id="4598" w:name="_Toc231282880"/>
      <w:bookmarkStart w:id="4599" w:name="_Toc234899470"/>
      <w:bookmarkStart w:id="4600" w:name="_Toc236632752"/>
      <w:bookmarkStart w:id="4601" w:name="_Toc236720365"/>
      <w:bookmarkStart w:id="4602" w:name="_Toc237764564"/>
      <w:bookmarkStart w:id="4603" w:name="_Toc238356188"/>
      <w:bookmarkStart w:id="4604" w:name="_Toc238368893"/>
      <w:bookmarkStart w:id="4605" w:name="_Toc238375846"/>
      <w:bookmarkStart w:id="4606" w:name="_Toc240339170"/>
      <w:bookmarkStart w:id="4607" w:name="_Toc241993676"/>
      <w:bookmarkStart w:id="4608" w:name="_Toc243192819"/>
      <w:bookmarkStart w:id="4609" w:name="_Toc243295521"/>
      <w:bookmarkStart w:id="4610" w:name="_Toc245113094"/>
      <w:bookmarkStart w:id="4611" w:name="_Toc245198256"/>
      <w:bookmarkStart w:id="4612" w:name="_Toc245198705"/>
      <w:bookmarkStart w:id="4613" w:name="_Toc245199154"/>
      <w:bookmarkStart w:id="4614" w:name="_Toc248122185"/>
      <w:bookmarkStart w:id="4615" w:name="_Toc248122636"/>
      <w:bookmarkStart w:id="4616" w:name="_Toc253670623"/>
      <w:bookmarkStart w:id="4617" w:name="_Toc253671073"/>
      <w:bookmarkStart w:id="4618" w:name="_Toc254942843"/>
      <w:bookmarkStart w:id="4619" w:name="_Toc254943296"/>
      <w:bookmarkStart w:id="4620" w:name="_Toc255475888"/>
      <w:bookmarkStart w:id="4621" w:name="_Toc256432209"/>
      <w:bookmarkStart w:id="4622" w:name="_Toc257720546"/>
      <w:bookmarkStart w:id="4623" w:name="_Toc257722228"/>
      <w:bookmarkStart w:id="4624" w:name="_Toc258335904"/>
      <w:bookmarkStart w:id="4625" w:name="_Toc260406346"/>
      <w:bookmarkStart w:id="4626" w:name="_Toc261271532"/>
      <w:bookmarkStart w:id="4627" w:name="_Toc262808214"/>
      <w:bookmarkStart w:id="4628" w:name="_Toc267572607"/>
      <w:bookmarkStart w:id="4629" w:name="_Toc270684356"/>
      <w:bookmarkStart w:id="4630" w:name="_Toc274214533"/>
      <w:bookmarkStart w:id="4631" w:name="_Toc274214982"/>
      <w:bookmarkStart w:id="4632" w:name="_Toc278976313"/>
      <w:bookmarkStart w:id="4633" w:name="_Toc286760636"/>
      <w:bookmarkStart w:id="4634" w:name="_Toc289080981"/>
      <w:bookmarkStart w:id="4635" w:name="_Toc290284175"/>
      <w:bookmarkStart w:id="4636" w:name="_Toc290642996"/>
      <w:bookmarkStart w:id="4637" w:name="_Toc290643445"/>
      <w:bookmarkStart w:id="4638" w:name="_Toc290643898"/>
      <w:bookmarkStart w:id="4639" w:name="_Toc294701715"/>
      <w:bookmarkStart w:id="4640" w:name="_Toc295200123"/>
      <w:bookmarkStart w:id="4641" w:name="_Toc296954564"/>
      <w:bookmarkStart w:id="4642" w:name="_Toc297276196"/>
      <w:bookmarkStart w:id="4643" w:name="_Toc297276648"/>
      <w:bookmarkStart w:id="4644" w:name="_Toc297277098"/>
      <w:bookmarkStart w:id="4645" w:name="_Toc297726467"/>
      <w:bookmarkStart w:id="4646" w:name="_Toc299980253"/>
      <w:bookmarkStart w:id="4647" w:name="_Toc300234879"/>
      <w:bookmarkStart w:id="4648" w:name="_Toc301961382"/>
      <w:bookmarkStart w:id="4649" w:name="_Toc301966952"/>
      <w:bookmarkStart w:id="4650" w:name="_Toc303253161"/>
      <w:bookmarkStart w:id="4651" w:name="_Toc303257325"/>
      <w:bookmarkStart w:id="4652" w:name="_Toc307992958"/>
      <w:bookmarkStart w:id="4653" w:name="_Toc309029991"/>
      <w:bookmarkStart w:id="4654" w:name="_Toc309304214"/>
      <w:bookmarkStart w:id="4655" w:name="_Toc309304667"/>
      <w:bookmarkStart w:id="4656" w:name="_Toc309309491"/>
      <w:r>
        <w:rPr>
          <w:rStyle w:val="CharDivNo"/>
        </w:rPr>
        <w:t>Division 1</w:t>
      </w:r>
      <w:r>
        <w:t xml:space="preserve"> — </w:t>
      </w:r>
      <w:r>
        <w:rPr>
          <w:rStyle w:val="CharDivText"/>
        </w:rPr>
        <w:t>Commercial fishing</w:t>
      </w:r>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p>
    <w:p>
      <w:pPr>
        <w:pStyle w:val="Footnoteheading"/>
        <w:tabs>
          <w:tab w:val="left" w:pos="909"/>
        </w:tabs>
        <w:ind w:left="923" w:hanging="923"/>
      </w:pPr>
      <w:r>
        <w:tab/>
        <w:t>[Heading inserted in Gazette 29 Jun 2001 p. 3164.]</w:t>
      </w:r>
    </w:p>
    <w:p>
      <w:pPr>
        <w:pStyle w:val="Heading5"/>
        <w:rPr>
          <w:snapToGrid w:val="0"/>
        </w:rPr>
      </w:pPr>
      <w:bookmarkStart w:id="4657" w:name="_Toc309309492"/>
      <w:r>
        <w:rPr>
          <w:rStyle w:val="CharSectno"/>
        </w:rPr>
        <w:t>117</w:t>
      </w:r>
      <w:r>
        <w:rPr>
          <w:snapToGrid w:val="0"/>
        </w:rPr>
        <w:t>.</w:t>
      </w:r>
      <w:r>
        <w:rPr>
          <w:snapToGrid w:val="0"/>
        </w:rPr>
        <w:tab/>
        <w:t>Fishing boats, duties of masters etc. as to licences, LFB numbers etc.</w:t>
      </w:r>
      <w:bookmarkEnd w:id="4657"/>
    </w:p>
    <w:p>
      <w:pPr>
        <w:pStyle w:val="Subsection"/>
        <w:rPr>
          <w:snapToGrid w:val="0"/>
        </w:rPr>
      </w:pPr>
      <w:r>
        <w:rPr>
          <w:snapToGrid w:val="0"/>
        </w:rPr>
        <w:tab/>
        <w:t>(1)</w:t>
      </w:r>
      <w:r>
        <w:rPr>
          <w:snapToGrid w:val="0"/>
        </w:rPr>
        <w:tab/>
        <w:t>A person having the day to day control of any boat used or intended to be used for or in connection with commercial fishing, must ensure that a current fishing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(2)</w:t>
      </w:r>
      <w:r>
        <w:rPr>
          <w:snapToGrid w:val="0"/>
        </w:rPr>
        <w:tab/>
        <w:t>The holder of a fishing boat licence must ensure that the name of the boat in respect of which the licence is in force is not changed without the written approval of the CEO.</w:t>
      </w:r>
    </w:p>
    <w:p>
      <w:pPr>
        <w:pStyle w:val="Penstart"/>
        <w:rPr>
          <w:snapToGrid w:val="0"/>
        </w:rPr>
      </w:pPr>
      <w:r>
        <w:rPr>
          <w:snapToGrid w:val="0"/>
        </w:rPr>
        <w:tab/>
        <w:t>Penalty: $5 000.</w:t>
      </w:r>
    </w:p>
    <w:p>
      <w:pPr>
        <w:pStyle w:val="Subsection"/>
        <w:rPr>
          <w:snapToGrid w:val="0"/>
        </w:rPr>
      </w:pPr>
      <w:r>
        <w:rPr>
          <w:snapToGrid w:val="0"/>
        </w:rPr>
        <w:tab/>
        <w:t>(3)</w:t>
      </w:r>
      <w:r>
        <w:rPr>
          <w:snapToGrid w:val="0"/>
        </w:rPr>
        <w:tab/>
        <w:t>Subregulation (2) applies whether or not there has been a change in the ownership of the boat or in the licensed fishing boat number of the boat.</w:t>
      </w:r>
    </w:p>
    <w:p>
      <w:pPr>
        <w:pStyle w:val="Subsection"/>
        <w:rPr>
          <w:snapToGrid w:val="0"/>
        </w:rPr>
      </w:pPr>
      <w:r>
        <w:rPr>
          <w:snapToGrid w:val="0"/>
        </w:rPr>
        <w:tab/>
        <w:t>(4)</w:t>
      </w:r>
      <w:r>
        <w:rPr>
          <w:snapToGrid w:val="0"/>
        </w:rPr>
        <w:tab/>
        <w:t>The holder of a fishing boat licence must ensure that there is legibly painted on both sides of the hull at the turn of the bow of the boat in respect of which that licence is held, the letters “L.F.B.” followed by the licensed fishing boat number of the boat.</w:t>
      </w:r>
    </w:p>
    <w:p>
      <w:pPr>
        <w:pStyle w:val="Penstart"/>
        <w:rPr>
          <w:snapToGrid w:val="0"/>
        </w:rPr>
      </w:pPr>
      <w:r>
        <w:rPr>
          <w:snapToGrid w:val="0"/>
        </w:rPr>
        <w:tab/>
        <w:t>Penalty: $1 000.</w:t>
      </w:r>
    </w:p>
    <w:p>
      <w:pPr>
        <w:pStyle w:val="Subsection"/>
        <w:rPr>
          <w:snapToGrid w:val="0"/>
        </w:rPr>
      </w:pPr>
      <w:r>
        <w:rPr>
          <w:snapToGrid w:val="0"/>
        </w:rPr>
        <w:tab/>
        <w:t>(5)</w:t>
      </w:r>
      <w:r>
        <w:rPr>
          <w:snapToGrid w:val="0"/>
        </w:rPr>
        <w:tab/>
        <w:t>The letters and figures to be painted under subregulation (4) are to be painted in black on a yellow background and are to be not less than 300 mm in height and not less than 50 mm in width, except where the boat is one propelled solely by oars in which case those letters and figures may be less than 150 mm but not less than 120 mm in height.</w:t>
      </w:r>
    </w:p>
    <w:p>
      <w:pPr>
        <w:pStyle w:val="Subsection"/>
        <w:keepNext/>
        <w:rPr>
          <w:snapToGrid w:val="0"/>
        </w:rPr>
      </w:pPr>
      <w:r>
        <w:rPr>
          <w:snapToGrid w:val="0"/>
        </w:rPr>
        <w:tab/>
        <w:t>(6)</w:t>
      </w:r>
      <w:r>
        <w:rPr>
          <w:snapToGrid w:val="0"/>
        </w:rPr>
        <w:tab/>
        <w:t>A person must not —</w:t>
      </w:r>
    </w:p>
    <w:p>
      <w:pPr>
        <w:pStyle w:val="Indenta"/>
        <w:rPr>
          <w:snapToGrid w:val="0"/>
        </w:rPr>
      </w:pPr>
      <w:r>
        <w:rPr>
          <w:snapToGrid w:val="0"/>
        </w:rPr>
        <w:tab/>
        <w:t>(a)</w:t>
      </w:r>
      <w:r>
        <w:rPr>
          <w:snapToGrid w:val="0"/>
        </w:rPr>
        <w:tab/>
        <w:t>use a boat bearing a licensed fishing boat number, or a number that purports to be such a number; or</w:t>
      </w:r>
    </w:p>
    <w:p>
      <w:pPr>
        <w:pStyle w:val="Indenta"/>
        <w:rPr>
          <w:snapToGrid w:val="0"/>
        </w:rPr>
      </w:pPr>
      <w:r>
        <w:rPr>
          <w:snapToGrid w:val="0"/>
        </w:rPr>
        <w:tab/>
        <w:t>(b)</w:t>
      </w:r>
      <w:r>
        <w:rPr>
          <w:snapToGrid w:val="0"/>
        </w:rPr>
        <w:tab/>
        <w:t>permit or suffer a person to use a boat bearing a licensed fishing boat number, or a number which purports to be such a number,</w:t>
      </w:r>
    </w:p>
    <w:p>
      <w:pPr>
        <w:pStyle w:val="Subsection"/>
        <w:spacing w:before="180"/>
        <w:rPr>
          <w:snapToGrid w:val="0"/>
        </w:rPr>
      </w:pPr>
      <w:r>
        <w:rPr>
          <w:snapToGrid w:val="0"/>
        </w:rPr>
        <w:tab/>
      </w:r>
      <w:r>
        <w:rPr>
          <w:snapToGrid w:val="0"/>
        </w:rPr>
        <w:tab/>
        <w:t>unless a current fishing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Subsection"/>
        <w:spacing w:before="180"/>
      </w:pPr>
      <w:r>
        <w:rPr>
          <w:snapToGrid w:val="0"/>
        </w:rPr>
        <w:tab/>
        <w:t>(7)</w:t>
      </w:r>
      <w:r>
        <w:rPr>
          <w:snapToGrid w:val="0"/>
        </w:rPr>
        <w:tab/>
        <w:t>The master of a fishing boat must not permit or suffer any person aboard the boat in respect of which the licence is held to engage in fishing unless that person</w:t>
      </w:r>
      <w:r>
        <w:t> —</w:t>
      </w:r>
    </w:p>
    <w:p>
      <w:pPr>
        <w:pStyle w:val="Indenta"/>
      </w:pPr>
      <w:r>
        <w:tab/>
        <w:t>(a)</w:t>
      </w:r>
      <w:r>
        <w:tab/>
        <w:t>holds a commercial fishing licence and is fishing for a commercial purpose; or</w:t>
      </w:r>
    </w:p>
    <w:p>
      <w:pPr>
        <w:pStyle w:val="Indenta"/>
        <w:rPr>
          <w:snapToGrid w:val="0"/>
        </w:rPr>
      </w:pPr>
      <w:r>
        <w:tab/>
        <w:t>(b)</w:t>
      </w:r>
      <w:r>
        <w:tab/>
        <w:t>is a participant in a fishing tour on or from the boat.</w:t>
      </w:r>
    </w:p>
    <w:p>
      <w:pPr>
        <w:pStyle w:val="Penstart"/>
        <w:rPr>
          <w:snapToGrid w:val="0"/>
        </w:rPr>
      </w:pPr>
      <w:r>
        <w:rPr>
          <w:snapToGrid w:val="0"/>
        </w:rPr>
        <w:tab/>
        <w:t xml:space="preserve">Penalty: </w:t>
      </w:r>
      <w:r>
        <w:t>a fine of $2 000.</w:t>
      </w:r>
    </w:p>
    <w:p>
      <w:pPr>
        <w:pStyle w:val="Subsection"/>
      </w:pPr>
      <w:r>
        <w:tab/>
        <w:t>(8)</w:t>
      </w:r>
      <w:r>
        <w:tab/>
        <w:t xml:space="preserve">A person aboard a fishing boat must not engage in fishing unless the person — </w:t>
      </w:r>
    </w:p>
    <w:p>
      <w:pPr>
        <w:pStyle w:val="Indenta"/>
      </w:pPr>
      <w:r>
        <w:tab/>
        <w:t>(a)</w:t>
      </w:r>
      <w:r>
        <w:tab/>
        <w:t>holds a commercial fishing licence and is fishing for a commercial purpose; or</w:t>
      </w:r>
    </w:p>
    <w:p>
      <w:pPr>
        <w:pStyle w:val="Indenta"/>
      </w:pPr>
      <w:r>
        <w:tab/>
        <w:t>(b)</w:t>
      </w:r>
      <w:r>
        <w:tab/>
        <w:t>is a participant in a fishing tour on or from the boat.</w:t>
      </w:r>
    </w:p>
    <w:p>
      <w:pPr>
        <w:pStyle w:val="Penstart"/>
      </w:pPr>
      <w:r>
        <w:tab/>
        <w:t>Penalty: a fine of $2 000.</w:t>
      </w:r>
    </w:p>
    <w:p>
      <w:pPr>
        <w:pStyle w:val="Footnotesection"/>
      </w:pPr>
      <w:r>
        <w:tab/>
        <w:t>[Regulation 117 amended in Gazette 29 Jun 2001 p. 3164; 27 Jun 2003 p. 2390; 6 Jul 2007 p. 3389</w:t>
      </w:r>
      <w:r>
        <w:noBreakHyphen/>
        <w:t>90; 2 Nov 2011 p. 4624</w:t>
      </w:r>
      <w:r>
        <w:noBreakHyphen/>
        <w:t>5.]</w:t>
      </w:r>
    </w:p>
    <w:p>
      <w:pPr>
        <w:pStyle w:val="Heading5"/>
        <w:spacing w:before="240"/>
        <w:rPr>
          <w:snapToGrid w:val="0"/>
        </w:rPr>
      </w:pPr>
      <w:bookmarkStart w:id="4658" w:name="_Toc309309493"/>
      <w:r>
        <w:rPr>
          <w:rStyle w:val="CharSectno"/>
        </w:rPr>
        <w:t>118</w:t>
      </w:r>
      <w:r>
        <w:rPr>
          <w:snapToGrid w:val="0"/>
        </w:rPr>
        <w:t>.</w:t>
      </w:r>
      <w:r>
        <w:rPr>
          <w:snapToGrid w:val="0"/>
        </w:rPr>
        <w:tab/>
        <w:t>Fishing boat licences, grant of</w:t>
      </w:r>
      <w:bookmarkEnd w:id="4658"/>
    </w:p>
    <w:p>
      <w:pPr>
        <w:pStyle w:val="Subsection"/>
        <w:spacing w:before="180"/>
        <w:rPr>
          <w:snapToGrid w:val="0"/>
        </w:rPr>
      </w:pPr>
      <w:r>
        <w:rPr>
          <w:snapToGrid w:val="0"/>
        </w:rPr>
        <w:tab/>
        <w:t>(1)</w:t>
      </w:r>
      <w:r>
        <w:rPr>
          <w:snapToGrid w:val="0"/>
        </w:rPr>
        <w:tab/>
        <w:t>If a person applies to the CEO for the grant of a fishing boat licence authorising a person to use a boat for commercial fishing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 and</w:t>
      </w:r>
    </w:p>
    <w:p>
      <w:pPr>
        <w:pStyle w:val="Indenta"/>
        <w:rPr>
          <w:snapToGrid w:val="0"/>
        </w:rPr>
      </w:pPr>
      <w:r>
        <w:rPr>
          <w:snapToGrid w:val="0"/>
        </w:rPr>
        <w:tab/>
        <w:t>(c)</w:t>
      </w:r>
      <w:r>
        <w:rPr>
          <w:snapToGrid w:val="0"/>
        </w:rPr>
        <w:tab/>
        <w:t xml:space="preserve">a Certificate of Survey has been issued in respect of that boat in accordance with the </w:t>
      </w:r>
      <w:r>
        <w:rPr>
          <w:i/>
          <w:snapToGrid w:val="0"/>
        </w:rPr>
        <w:t>W.A. Marine (Surveys and Certificates of Survey) Regulations 1983</w:t>
      </w:r>
      <w:r>
        <w:rPr>
          <w:snapToGrid w:val="0"/>
        </w:rPr>
        <w:t>; and</w:t>
      </w:r>
    </w:p>
    <w:p>
      <w:pPr>
        <w:pStyle w:val="Indenta"/>
        <w:keepNext/>
        <w:rPr>
          <w:snapToGrid w:val="0"/>
        </w:rPr>
      </w:pPr>
      <w:r>
        <w:rPr>
          <w:snapToGrid w:val="0"/>
        </w:rPr>
        <w:tab/>
        <w:t>(d)</w:t>
      </w:r>
      <w:r>
        <w:rPr>
          <w:snapToGrid w:val="0"/>
        </w:rPr>
        <w:tab/>
        <w:t>the boat does not have the same name as any other licensed fishing boat,</w:t>
      </w:r>
    </w:p>
    <w:p>
      <w:pPr>
        <w:pStyle w:val="Subsection"/>
        <w:rPr>
          <w:snapToGrid w:val="0"/>
        </w:rPr>
      </w:pPr>
      <w:r>
        <w:rPr>
          <w:snapToGrid w:val="0"/>
        </w:rPr>
        <w:tab/>
      </w:r>
      <w:r>
        <w:rPr>
          <w:snapToGrid w:val="0"/>
        </w:rPr>
        <w:tab/>
        <w:t>the CEO may grant to the person a fishing boat licence.</w:t>
      </w:r>
    </w:p>
    <w:p>
      <w:pPr>
        <w:pStyle w:val="Subsection"/>
        <w:rPr>
          <w:snapToGrid w:val="0"/>
        </w:rPr>
      </w:pPr>
      <w:r>
        <w:rPr>
          <w:snapToGrid w:val="0"/>
        </w:rPr>
        <w:tab/>
        <w:t>(2)</w:t>
      </w:r>
      <w:r>
        <w:rPr>
          <w:snapToGrid w:val="0"/>
        </w:rPr>
        <w:tab/>
        <w:t>Nothing in subregulation (1) prevents the CEO from granting another fishing boat licence to a person who held a fishing boat licence which was cancelled under section 143, 223 or 224 of the Act.</w:t>
      </w:r>
    </w:p>
    <w:p>
      <w:pPr>
        <w:pStyle w:val="Subsection"/>
        <w:rPr>
          <w:snapToGrid w:val="0"/>
        </w:rPr>
      </w:pPr>
      <w:r>
        <w:rPr>
          <w:snapToGrid w:val="0"/>
        </w:rPr>
        <w:tab/>
        <w:t>(3)</w:t>
      </w:r>
      <w:r>
        <w:rPr>
          <w:snapToGrid w:val="0"/>
        </w:rPr>
        <w:tab/>
        <w:t>A fishing boat licence is to specify a distinguishing letter and number (licensed fishing boat number) allocated in respect of the boat.</w:t>
      </w:r>
    </w:p>
    <w:p>
      <w:pPr>
        <w:pStyle w:val="Footnotesection"/>
      </w:pPr>
      <w:r>
        <w:tab/>
        <w:t>[Regulation 118 amended in Gazette 6 Jul 2007 p. 3389.]</w:t>
      </w:r>
    </w:p>
    <w:p>
      <w:pPr>
        <w:pStyle w:val="Heading5"/>
      </w:pPr>
      <w:bookmarkStart w:id="4659" w:name="_Toc309309494"/>
      <w:r>
        <w:rPr>
          <w:rStyle w:val="CharSectno"/>
        </w:rPr>
        <w:t>118A</w:t>
      </w:r>
      <w:r>
        <w:t>.</w:t>
      </w:r>
      <w:r>
        <w:tab/>
        <w:t>Fishing boat licence of no effect in some circumstances</w:t>
      </w:r>
      <w:bookmarkEnd w:id="4659"/>
    </w:p>
    <w:p>
      <w:pPr>
        <w:pStyle w:val="Subsection"/>
      </w:pPr>
      <w:r>
        <w:tab/>
        <w:t>(1)</w:t>
      </w:r>
      <w:r>
        <w:tab/>
        <w:t>At any time when a managed fishery licence —</w:t>
      </w:r>
    </w:p>
    <w:p>
      <w:pPr>
        <w:pStyle w:val="Indenta"/>
      </w:pPr>
      <w:r>
        <w:tab/>
        <w:t>(a)</w:t>
      </w:r>
      <w:r>
        <w:tab/>
        <w:t xml:space="preserve">has been granted in respect of the West Coast Rock Lobster Managed Fishery declared under the </w:t>
      </w:r>
      <w:r>
        <w:rPr>
          <w:i/>
        </w:rPr>
        <w:t>West Coast Rock Lobster Management Plan 1993</w:t>
      </w:r>
      <w:r>
        <w:t>; and</w:t>
      </w:r>
    </w:p>
    <w:p>
      <w:pPr>
        <w:pStyle w:val="Indenta"/>
      </w:pPr>
      <w:r>
        <w:tab/>
        <w:t>(b)</w:t>
      </w:r>
      <w:r>
        <w:tab/>
        <w:t>authorises the use in that fishery of the same boat in respect of which a fishing boat licence is in force; and</w:t>
      </w:r>
    </w:p>
    <w:p>
      <w:pPr>
        <w:pStyle w:val="Indenta"/>
      </w:pPr>
      <w:r>
        <w:tab/>
        <w:t>(c)</w:t>
      </w:r>
      <w:r>
        <w:tab/>
        <w:t>confers a current entitlement, or a usual entitlement, of less than 60 units,</w:t>
      </w:r>
    </w:p>
    <w:p>
      <w:pPr>
        <w:pStyle w:val="Subsection"/>
      </w:pPr>
      <w:r>
        <w:tab/>
      </w:r>
      <w:r>
        <w:tab/>
        <w:t xml:space="preserve">the authority conferred by the fishing boat licence referred to in </w:t>
      </w:r>
      <w:r>
        <w:rPr>
          <w:snapToGrid w:val="0"/>
        </w:rPr>
        <w:t>paragraph (</w:t>
      </w:r>
      <w:r>
        <w:t>b) is of no effect.</w:t>
      </w:r>
    </w:p>
    <w:p>
      <w:pPr>
        <w:pStyle w:val="Subsection"/>
      </w:pPr>
      <w:r>
        <w:tab/>
        <w:t>(2)</w:t>
      </w:r>
      <w:r>
        <w:tab/>
        <w:t xml:space="preserve">In </w:t>
      </w:r>
      <w:r>
        <w:rPr>
          <w:snapToGrid w:val="0"/>
        </w:rPr>
        <w:t>subregulation (</w:t>
      </w:r>
      <w:r>
        <w:t>1) —</w:t>
      </w:r>
    </w:p>
    <w:p>
      <w:pPr>
        <w:pStyle w:val="Defstart"/>
      </w:pPr>
      <w:r>
        <w:tab/>
      </w:r>
      <w:r>
        <w:rPr>
          <w:rStyle w:val="CharDefText"/>
        </w:rPr>
        <w:t>current entitlement</w:t>
      </w:r>
      <w:r>
        <w:t xml:space="preserve"> means the entitlement conferred by a managed fishery licence as —</w:t>
      </w:r>
    </w:p>
    <w:p>
      <w:pPr>
        <w:pStyle w:val="Defpara"/>
      </w:pPr>
      <w:r>
        <w:tab/>
        <w:t>(a)</w:t>
      </w:r>
      <w:r>
        <w:tab/>
        <w:t>increased by any entitlement transferred to the licence under section 141 of the Act; or</w:t>
      </w:r>
    </w:p>
    <w:p>
      <w:pPr>
        <w:pStyle w:val="Defpara"/>
      </w:pPr>
      <w:r>
        <w:tab/>
        <w:t>(b)</w:t>
      </w:r>
      <w:r>
        <w:tab/>
        <w:t>decreased by any entitlement transferred from the licence under section 141 of the Act;</w:t>
      </w:r>
    </w:p>
    <w:p>
      <w:pPr>
        <w:pStyle w:val="Defstart"/>
      </w:pPr>
      <w:r>
        <w:tab/>
      </w:r>
      <w:r>
        <w:rPr>
          <w:rStyle w:val="CharDefText"/>
        </w:rPr>
        <w:t>usual entitlement</w:t>
      </w:r>
      <w:r>
        <w:t xml:space="preserve"> means the entitlement conferred by a managed fishery licence without regard to any entitlement transferred to or from the licence under section 141 of the Act.</w:t>
      </w:r>
    </w:p>
    <w:p>
      <w:pPr>
        <w:pStyle w:val="Footnotesection"/>
        <w:spacing w:before="80"/>
        <w:ind w:left="890" w:hanging="890"/>
      </w:pPr>
      <w:r>
        <w:tab/>
        <w:t>[Regulation 118A inserted in Gazette 8 Sep 2000 p. 5187; amended in Gazette 14 Nov 2001 p. 5978</w:t>
      </w:r>
      <w:r>
        <w:noBreakHyphen/>
        <w:t>9; 18 Nov 2011 p. 4810.]</w:t>
      </w:r>
    </w:p>
    <w:p>
      <w:pPr>
        <w:pStyle w:val="Heading5"/>
        <w:rPr>
          <w:snapToGrid w:val="0"/>
        </w:rPr>
      </w:pPr>
      <w:bookmarkStart w:id="4660" w:name="_Toc309309495"/>
      <w:r>
        <w:rPr>
          <w:rStyle w:val="CharSectno"/>
        </w:rPr>
        <w:t>119</w:t>
      </w:r>
      <w:r>
        <w:rPr>
          <w:snapToGrid w:val="0"/>
        </w:rPr>
        <w:t>.</w:t>
      </w:r>
      <w:r>
        <w:rPr>
          <w:snapToGrid w:val="0"/>
        </w:rPr>
        <w:tab/>
        <w:t>Carrier boats, duties of masters etc. as to licences, LCB numbers etc.</w:t>
      </w:r>
      <w:bookmarkEnd w:id="4660"/>
    </w:p>
    <w:p>
      <w:pPr>
        <w:pStyle w:val="Subsection"/>
        <w:rPr>
          <w:snapToGrid w:val="0"/>
        </w:rPr>
      </w:pPr>
      <w:r>
        <w:rPr>
          <w:snapToGrid w:val="0"/>
        </w:rPr>
        <w:tab/>
        <w:t>(1)</w:t>
      </w:r>
      <w:r>
        <w:rPr>
          <w:snapToGrid w:val="0"/>
        </w:rPr>
        <w:tab/>
        <w:t>In this regulation and regulation 120 —</w:t>
      </w:r>
    </w:p>
    <w:p>
      <w:pPr>
        <w:pStyle w:val="Defstart"/>
      </w:pPr>
      <w:r>
        <w:rPr>
          <w:b/>
        </w:rPr>
        <w:tab/>
      </w:r>
      <w:r>
        <w:rPr>
          <w:rStyle w:val="CharDefText"/>
        </w:rPr>
        <w:t>carrier boat</w:t>
      </w:r>
      <w:r>
        <w:t xml:space="preserve"> means a boat used or intended to be used for transporting fish for commercial purposes that have been taken with the use of another boat but does not include a tender dinghy to a licensed fishing boat which —</w:t>
      </w:r>
    </w:p>
    <w:p>
      <w:pPr>
        <w:pStyle w:val="Defpara"/>
      </w:pPr>
      <w:r>
        <w:tab/>
        <w:t>(a)</w:t>
      </w:r>
      <w:r>
        <w:tab/>
        <w:t>does not exceed 6 m in length; and</w:t>
      </w:r>
    </w:p>
    <w:p>
      <w:pPr>
        <w:pStyle w:val="Defpara"/>
      </w:pPr>
      <w:r>
        <w:tab/>
        <w:t>(b)</w:t>
      </w:r>
      <w:r>
        <w:tab/>
        <w:t>is used for carrying fish taken by that boat.</w:t>
      </w:r>
    </w:p>
    <w:p>
      <w:pPr>
        <w:pStyle w:val="Subsection"/>
        <w:rPr>
          <w:snapToGrid w:val="0"/>
        </w:rPr>
      </w:pPr>
      <w:r>
        <w:rPr>
          <w:snapToGrid w:val="0"/>
        </w:rPr>
        <w:tab/>
        <w:t>(2)</w:t>
      </w:r>
      <w:r>
        <w:rPr>
          <w:snapToGrid w:val="0"/>
        </w:rPr>
        <w:tab/>
        <w:t>The person having the day to day control of a carrier boat must ensure that a current carrier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(3)</w:t>
      </w:r>
      <w:r>
        <w:rPr>
          <w:snapToGrid w:val="0"/>
        </w:rPr>
        <w:tab/>
        <w:t>The holder of a carrier boat licence must ensure that there is legibly painted on both sides of the hull at the turn of the bow of the boat in respect of which the licence is in force, the letters “L.C.B.” followed by the licensed carrier boat number of the boat.</w:t>
      </w:r>
    </w:p>
    <w:p>
      <w:pPr>
        <w:pStyle w:val="Penstart"/>
        <w:rPr>
          <w:snapToGrid w:val="0"/>
        </w:rPr>
      </w:pPr>
      <w:r>
        <w:rPr>
          <w:snapToGrid w:val="0"/>
        </w:rPr>
        <w:tab/>
        <w:t>Penalty: $1 000.</w:t>
      </w:r>
    </w:p>
    <w:p>
      <w:pPr>
        <w:pStyle w:val="Subsection"/>
        <w:rPr>
          <w:snapToGrid w:val="0"/>
        </w:rPr>
      </w:pPr>
      <w:r>
        <w:rPr>
          <w:snapToGrid w:val="0"/>
        </w:rPr>
        <w:tab/>
        <w:t>(4)</w:t>
      </w:r>
      <w:r>
        <w:rPr>
          <w:snapToGrid w:val="0"/>
        </w:rPr>
        <w:tab/>
        <w:t>The letters and figures to be painted under subregulation (3) are to be painted in black on a yellow background and are to be not less than 300 mm in height and not less than 50 mm in width.</w:t>
      </w:r>
    </w:p>
    <w:p>
      <w:pPr>
        <w:pStyle w:val="Subsection"/>
        <w:rPr>
          <w:snapToGrid w:val="0"/>
        </w:rPr>
      </w:pPr>
      <w:r>
        <w:rPr>
          <w:snapToGrid w:val="0"/>
        </w:rPr>
        <w:tab/>
        <w:t>(5)</w:t>
      </w:r>
      <w:r>
        <w:rPr>
          <w:snapToGrid w:val="0"/>
        </w:rPr>
        <w:tab/>
        <w:t>Where a boat is licensed under both this regulation and regulation 117, subregulation (3) need not be complied with.</w:t>
      </w:r>
    </w:p>
    <w:p>
      <w:pPr>
        <w:pStyle w:val="Subsection"/>
        <w:keepNext/>
        <w:rPr>
          <w:snapToGrid w:val="0"/>
        </w:rPr>
      </w:pPr>
      <w:r>
        <w:rPr>
          <w:snapToGrid w:val="0"/>
        </w:rPr>
        <w:tab/>
        <w:t>(6)</w:t>
      </w:r>
      <w:r>
        <w:rPr>
          <w:snapToGrid w:val="0"/>
        </w:rPr>
        <w:tab/>
        <w:t>A person must not —</w:t>
      </w:r>
    </w:p>
    <w:p>
      <w:pPr>
        <w:pStyle w:val="Indenta"/>
        <w:rPr>
          <w:snapToGrid w:val="0"/>
        </w:rPr>
      </w:pPr>
      <w:r>
        <w:rPr>
          <w:snapToGrid w:val="0"/>
        </w:rPr>
        <w:tab/>
        <w:t>(a)</w:t>
      </w:r>
      <w:r>
        <w:rPr>
          <w:snapToGrid w:val="0"/>
        </w:rPr>
        <w:tab/>
        <w:t>use a boat bearing a licensed carrier boat number, or a number which purports to be such a number; or</w:t>
      </w:r>
    </w:p>
    <w:p>
      <w:pPr>
        <w:pStyle w:val="Indenta"/>
        <w:rPr>
          <w:snapToGrid w:val="0"/>
        </w:rPr>
      </w:pPr>
      <w:r>
        <w:rPr>
          <w:snapToGrid w:val="0"/>
        </w:rPr>
        <w:tab/>
        <w:t>(b)</w:t>
      </w:r>
      <w:r>
        <w:rPr>
          <w:snapToGrid w:val="0"/>
        </w:rPr>
        <w:tab/>
        <w:t>permit or suffer a person to use a boat bearing a licensed carrier boat number, or a number which purports to be such a number,</w:t>
      </w:r>
    </w:p>
    <w:p>
      <w:pPr>
        <w:pStyle w:val="Subsection"/>
        <w:rPr>
          <w:snapToGrid w:val="0"/>
        </w:rPr>
      </w:pPr>
      <w:r>
        <w:rPr>
          <w:snapToGrid w:val="0"/>
        </w:rPr>
        <w:tab/>
      </w:r>
      <w:r>
        <w:rPr>
          <w:snapToGrid w:val="0"/>
        </w:rPr>
        <w:tab/>
        <w:t>unless a current carrier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Footnotesection"/>
      </w:pPr>
      <w:r>
        <w:tab/>
        <w:t>[Regulation 119 amended in Gazette 15 Jan 1999 p. 113.]</w:t>
      </w:r>
    </w:p>
    <w:p>
      <w:pPr>
        <w:pStyle w:val="Heading5"/>
        <w:rPr>
          <w:snapToGrid w:val="0"/>
        </w:rPr>
      </w:pPr>
      <w:bookmarkStart w:id="4661" w:name="_Toc309309496"/>
      <w:r>
        <w:rPr>
          <w:rStyle w:val="CharSectno"/>
        </w:rPr>
        <w:t>120</w:t>
      </w:r>
      <w:r>
        <w:rPr>
          <w:snapToGrid w:val="0"/>
        </w:rPr>
        <w:t>.</w:t>
      </w:r>
      <w:r>
        <w:rPr>
          <w:snapToGrid w:val="0"/>
        </w:rPr>
        <w:tab/>
        <w:t>Carrier boat licences, grant of</w:t>
      </w:r>
      <w:bookmarkEnd w:id="4661"/>
    </w:p>
    <w:p>
      <w:pPr>
        <w:pStyle w:val="Subsection"/>
        <w:rPr>
          <w:snapToGrid w:val="0"/>
        </w:rPr>
      </w:pPr>
      <w:r>
        <w:rPr>
          <w:snapToGrid w:val="0"/>
        </w:rPr>
        <w:tab/>
        <w:t>(1)</w:t>
      </w:r>
      <w:r>
        <w:rPr>
          <w:snapToGrid w:val="0"/>
        </w:rPr>
        <w:tab/>
        <w:t>If a person applies to the CEO for the grant of a carrier boat licence authorising that person to use a boat as a carrier boat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spacing w:before="120"/>
        <w:rPr>
          <w:snapToGrid w:val="0"/>
        </w:rPr>
      </w:pPr>
      <w:r>
        <w:rPr>
          <w:snapToGrid w:val="0"/>
        </w:rPr>
        <w:tab/>
      </w:r>
      <w:r>
        <w:rPr>
          <w:snapToGrid w:val="0"/>
        </w:rPr>
        <w:tab/>
        <w:t>the CEO may grant to the person a carrier boat licence.</w:t>
      </w:r>
    </w:p>
    <w:p>
      <w:pPr>
        <w:pStyle w:val="Subsection"/>
        <w:rPr>
          <w:snapToGrid w:val="0"/>
        </w:rPr>
      </w:pPr>
      <w:r>
        <w:rPr>
          <w:snapToGrid w:val="0"/>
        </w:rPr>
        <w:tab/>
        <w:t>(2)</w:t>
      </w:r>
      <w:r>
        <w:rPr>
          <w:snapToGrid w:val="0"/>
        </w:rPr>
        <w:tab/>
        <w:t>Nothing in subregulation (1) prevents the CEO from granting another carrier boat licence to a person who held a carrier boat licence which was cancelled under section 143, 223 or 224 of the Act.</w:t>
      </w:r>
    </w:p>
    <w:p>
      <w:pPr>
        <w:pStyle w:val="Subsection"/>
        <w:rPr>
          <w:snapToGrid w:val="0"/>
        </w:rPr>
      </w:pPr>
      <w:r>
        <w:rPr>
          <w:snapToGrid w:val="0"/>
        </w:rPr>
        <w:tab/>
        <w:t>(3)</w:t>
      </w:r>
      <w:r>
        <w:rPr>
          <w:snapToGrid w:val="0"/>
        </w:rPr>
        <w:tab/>
        <w:t>A carrier boat licence is to specify a distinguishing number (licensed carrier boat number) allocated in respect of the boat.</w:t>
      </w:r>
    </w:p>
    <w:p>
      <w:pPr>
        <w:pStyle w:val="Footnotesection"/>
      </w:pPr>
      <w:r>
        <w:tab/>
        <w:t>[Regulation 120 amended in Gazette 6 Jul 2007 p. 3389.]</w:t>
      </w:r>
    </w:p>
    <w:p>
      <w:pPr>
        <w:pStyle w:val="Heading5"/>
        <w:keepLines w:val="0"/>
        <w:rPr>
          <w:snapToGrid w:val="0"/>
        </w:rPr>
      </w:pPr>
      <w:bookmarkStart w:id="4662" w:name="_Toc309309497"/>
      <w:r>
        <w:rPr>
          <w:rStyle w:val="CharSectno"/>
        </w:rPr>
        <w:t>121</w:t>
      </w:r>
      <w:r>
        <w:rPr>
          <w:snapToGrid w:val="0"/>
        </w:rPr>
        <w:t>.</w:t>
      </w:r>
      <w:r>
        <w:rPr>
          <w:snapToGrid w:val="0"/>
        </w:rPr>
        <w:tab/>
        <w:t>Commercial fishing licence, when required</w:t>
      </w:r>
      <w:bookmarkEnd w:id="4662"/>
    </w:p>
    <w:p>
      <w:pPr>
        <w:pStyle w:val="Subsection"/>
        <w:rPr>
          <w:snapToGrid w:val="0"/>
        </w:rPr>
      </w:pPr>
      <w:r>
        <w:rPr>
          <w:snapToGrid w:val="0"/>
        </w:rPr>
        <w:tab/>
        <w:t>(1)</w:t>
      </w:r>
      <w:r>
        <w:rPr>
          <w:snapToGrid w:val="0"/>
        </w:rPr>
        <w:tab/>
        <w:t>A person, other than a person referred to in section 91(d) of the Act, who engages in commercial fishing must hold a commercial fishing licence.</w:t>
      </w:r>
    </w:p>
    <w:p>
      <w:pPr>
        <w:pStyle w:val="Subsection"/>
        <w:keepNext/>
        <w:keepLines/>
        <w:rPr>
          <w:snapToGrid w:val="0"/>
        </w:rPr>
      </w:pPr>
      <w:r>
        <w:rPr>
          <w:snapToGrid w:val="0"/>
        </w:rPr>
        <w:tab/>
        <w:t>(2)</w:t>
      </w:r>
      <w:r>
        <w:rPr>
          <w:snapToGrid w:val="0"/>
        </w:rPr>
        <w:tab/>
        <w:t>A person, other than a person referred to in section 91(d) of the Act, who takes fish or assists in taking fish must not directly or indirectly sell that fish unless it is taken under a commercial fishing licence by the holder of that licence.</w:t>
      </w:r>
    </w:p>
    <w:p>
      <w:pPr>
        <w:pStyle w:val="Penstart"/>
        <w:rPr>
          <w:snapToGrid w:val="0"/>
        </w:rPr>
      </w:pPr>
      <w:r>
        <w:rPr>
          <w:snapToGrid w:val="0"/>
        </w:rPr>
        <w:tab/>
        <w:t>Penalty: $5 000 and the penalty provided in section 222 of the Act.</w:t>
      </w:r>
    </w:p>
    <w:p>
      <w:pPr>
        <w:pStyle w:val="Heading5"/>
        <w:rPr>
          <w:snapToGrid w:val="0"/>
        </w:rPr>
      </w:pPr>
      <w:bookmarkStart w:id="4663" w:name="_Toc309309498"/>
      <w:r>
        <w:rPr>
          <w:rStyle w:val="CharSectno"/>
        </w:rPr>
        <w:t>122</w:t>
      </w:r>
      <w:r>
        <w:rPr>
          <w:snapToGrid w:val="0"/>
        </w:rPr>
        <w:t>.</w:t>
      </w:r>
      <w:r>
        <w:rPr>
          <w:snapToGrid w:val="0"/>
        </w:rPr>
        <w:tab/>
        <w:t>Commercial fishing licences, grant of</w:t>
      </w:r>
      <w:bookmarkEnd w:id="4663"/>
    </w:p>
    <w:p>
      <w:pPr>
        <w:pStyle w:val="Subsection"/>
        <w:rPr>
          <w:snapToGrid w:val="0"/>
        </w:rPr>
      </w:pPr>
      <w:r>
        <w:rPr>
          <w:snapToGrid w:val="0"/>
        </w:rPr>
        <w:tab/>
      </w:r>
      <w:r>
        <w:rPr>
          <w:snapToGrid w:val="0"/>
        </w:rPr>
        <w:tab/>
        <w:t>If a person applies to the CEO for the grant of a commercial fishing licence authorising that person to engage in commercial fishing and the CEO is satisfied that it is in the better interests of the fishing industry to grant the licence the CEO may do so.</w:t>
      </w:r>
    </w:p>
    <w:p>
      <w:pPr>
        <w:pStyle w:val="Footnotesection"/>
      </w:pPr>
      <w:r>
        <w:tab/>
        <w:t>[Regulation 122 amended in Gazette 6 Jul 2007 p. 3389.]</w:t>
      </w:r>
    </w:p>
    <w:p>
      <w:pPr>
        <w:pStyle w:val="Heading3"/>
      </w:pPr>
      <w:bookmarkStart w:id="4664" w:name="_Toc189988066"/>
      <w:bookmarkStart w:id="4665" w:name="_Toc192041649"/>
      <w:bookmarkStart w:id="4666" w:name="_Toc199570883"/>
      <w:bookmarkStart w:id="4667" w:name="_Toc199738881"/>
      <w:bookmarkStart w:id="4668" w:name="_Toc199814982"/>
      <w:bookmarkStart w:id="4669" w:name="_Toc215040789"/>
      <w:bookmarkStart w:id="4670" w:name="_Toc215041234"/>
      <w:bookmarkStart w:id="4671" w:name="_Toc222129442"/>
      <w:bookmarkStart w:id="4672" w:name="_Toc222223147"/>
      <w:bookmarkStart w:id="4673" w:name="_Toc225914399"/>
      <w:bookmarkStart w:id="4674" w:name="_Toc231282444"/>
      <w:bookmarkStart w:id="4675" w:name="_Toc231282888"/>
      <w:bookmarkStart w:id="4676" w:name="_Toc234899478"/>
      <w:bookmarkStart w:id="4677" w:name="_Toc236632760"/>
      <w:bookmarkStart w:id="4678" w:name="_Toc236720373"/>
      <w:bookmarkStart w:id="4679" w:name="_Toc237764572"/>
      <w:bookmarkStart w:id="4680" w:name="_Toc238356196"/>
      <w:bookmarkStart w:id="4681" w:name="_Toc238368901"/>
      <w:bookmarkStart w:id="4682" w:name="_Toc238375854"/>
      <w:bookmarkStart w:id="4683" w:name="_Toc240339178"/>
      <w:bookmarkStart w:id="4684" w:name="_Toc241993684"/>
      <w:bookmarkStart w:id="4685" w:name="_Toc243192827"/>
      <w:bookmarkStart w:id="4686" w:name="_Toc243295529"/>
      <w:bookmarkStart w:id="4687" w:name="_Toc245113102"/>
      <w:bookmarkStart w:id="4688" w:name="_Toc245198264"/>
      <w:bookmarkStart w:id="4689" w:name="_Toc245198713"/>
      <w:bookmarkStart w:id="4690" w:name="_Toc245199162"/>
      <w:bookmarkStart w:id="4691" w:name="_Toc248122193"/>
      <w:bookmarkStart w:id="4692" w:name="_Toc248122644"/>
      <w:bookmarkStart w:id="4693" w:name="_Toc253670631"/>
      <w:bookmarkStart w:id="4694" w:name="_Toc253671081"/>
      <w:bookmarkStart w:id="4695" w:name="_Toc254942851"/>
      <w:bookmarkStart w:id="4696" w:name="_Toc254943304"/>
      <w:bookmarkStart w:id="4697" w:name="_Toc255475896"/>
      <w:bookmarkStart w:id="4698" w:name="_Toc256432217"/>
      <w:bookmarkStart w:id="4699" w:name="_Toc257720554"/>
      <w:bookmarkStart w:id="4700" w:name="_Toc257722236"/>
      <w:bookmarkStart w:id="4701" w:name="_Toc258335912"/>
      <w:bookmarkStart w:id="4702" w:name="_Toc260406354"/>
      <w:bookmarkStart w:id="4703" w:name="_Toc261271540"/>
      <w:bookmarkStart w:id="4704" w:name="_Toc262808222"/>
      <w:bookmarkStart w:id="4705" w:name="_Toc267572615"/>
      <w:bookmarkStart w:id="4706" w:name="_Toc270684364"/>
      <w:bookmarkStart w:id="4707" w:name="_Toc274214541"/>
      <w:bookmarkStart w:id="4708" w:name="_Toc274214990"/>
      <w:bookmarkStart w:id="4709" w:name="_Toc278976321"/>
      <w:bookmarkStart w:id="4710" w:name="_Toc286760644"/>
      <w:bookmarkStart w:id="4711" w:name="_Toc289080989"/>
      <w:bookmarkStart w:id="4712" w:name="_Toc290284183"/>
      <w:bookmarkStart w:id="4713" w:name="_Toc290643004"/>
      <w:bookmarkStart w:id="4714" w:name="_Toc290643453"/>
      <w:bookmarkStart w:id="4715" w:name="_Toc290643906"/>
      <w:bookmarkStart w:id="4716" w:name="_Toc294701723"/>
      <w:bookmarkStart w:id="4717" w:name="_Toc295200131"/>
      <w:bookmarkStart w:id="4718" w:name="_Toc296954572"/>
      <w:bookmarkStart w:id="4719" w:name="_Toc297276204"/>
      <w:bookmarkStart w:id="4720" w:name="_Toc297276656"/>
      <w:bookmarkStart w:id="4721" w:name="_Toc297277106"/>
      <w:bookmarkStart w:id="4722" w:name="_Toc297726475"/>
      <w:bookmarkStart w:id="4723" w:name="_Toc299980261"/>
      <w:bookmarkStart w:id="4724" w:name="_Toc300234887"/>
      <w:bookmarkStart w:id="4725" w:name="_Toc301961390"/>
      <w:bookmarkStart w:id="4726" w:name="_Toc301966960"/>
      <w:bookmarkStart w:id="4727" w:name="_Toc303253169"/>
      <w:bookmarkStart w:id="4728" w:name="_Toc303257333"/>
      <w:bookmarkStart w:id="4729" w:name="_Toc307992966"/>
      <w:bookmarkStart w:id="4730" w:name="_Toc309029999"/>
      <w:bookmarkStart w:id="4731" w:name="_Toc309304222"/>
      <w:bookmarkStart w:id="4732" w:name="_Toc309304675"/>
      <w:bookmarkStart w:id="4733" w:name="_Toc309309499"/>
      <w:r>
        <w:rPr>
          <w:rStyle w:val="CharDivNo"/>
        </w:rPr>
        <w:t>Division 2</w:t>
      </w:r>
      <w:r>
        <w:t> — </w:t>
      </w:r>
      <w:r>
        <w:rPr>
          <w:rStyle w:val="CharDivText"/>
        </w:rPr>
        <w:t>Recreational fishing</w:t>
      </w:r>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p>
    <w:p>
      <w:pPr>
        <w:pStyle w:val="Footnoteheading"/>
        <w:tabs>
          <w:tab w:val="left" w:pos="909"/>
        </w:tabs>
        <w:ind w:left="923" w:hanging="923"/>
      </w:pPr>
      <w:r>
        <w:tab/>
        <w:t>[Heading inserted in Gazette 29 Jun 2001 p. 3164.]</w:t>
      </w:r>
    </w:p>
    <w:p>
      <w:pPr>
        <w:pStyle w:val="Heading4"/>
      </w:pPr>
      <w:bookmarkStart w:id="4734" w:name="_Toc254942852"/>
      <w:bookmarkStart w:id="4735" w:name="_Toc254943305"/>
      <w:bookmarkStart w:id="4736" w:name="_Toc255475897"/>
      <w:bookmarkStart w:id="4737" w:name="_Toc256432218"/>
      <w:bookmarkStart w:id="4738" w:name="_Toc257720555"/>
      <w:bookmarkStart w:id="4739" w:name="_Toc257722237"/>
      <w:bookmarkStart w:id="4740" w:name="_Toc258335913"/>
      <w:bookmarkStart w:id="4741" w:name="_Toc260406355"/>
      <w:bookmarkStart w:id="4742" w:name="_Toc261271541"/>
      <w:bookmarkStart w:id="4743" w:name="_Toc262808223"/>
      <w:bookmarkStart w:id="4744" w:name="_Toc267572616"/>
      <w:bookmarkStart w:id="4745" w:name="_Toc270684365"/>
      <w:bookmarkStart w:id="4746" w:name="_Toc274214542"/>
      <w:bookmarkStart w:id="4747" w:name="_Toc274214991"/>
      <w:bookmarkStart w:id="4748" w:name="_Toc278976322"/>
      <w:bookmarkStart w:id="4749" w:name="_Toc286760645"/>
      <w:bookmarkStart w:id="4750" w:name="_Toc289080990"/>
      <w:bookmarkStart w:id="4751" w:name="_Toc290284184"/>
      <w:bookmarkStart w:id="4752" w:name="_Toc290643005"/>
      <w:bookmarkStart w:id="4753" w:name="_Toc290643454"/>
      <w:bookmarkStart w:id="4754" w:name="_Toc290643907"/>
      <w:bookmarkStart w:id="4755" w:name="_Toc294701724"/>
      <w:bookmarkStart w:id="4756" w:name="_Toc295200132"/>
      <w:bookmarkStart w:id="4757" w:name="_Toc296954573"/>
      <w:bookmarkStart w:id="4758" w:name="_Toc297276205"/>
      <w:bookmarkStart w:id="4759" w:name="_Toc297276657"/>
      <w:bookmarkStart w:id="4760" w:name="_Toc297277107"/>
      <w:bookmarkStart w:id="4761" w:name="_Toc297726476"/>
      <w:bookmarkStart w:id="4762" w:name="_Toc299980262"/>
      <w:bookmarkStart w:id="4763" w:name="_Toc300234888"/>
      <w:bookmarkStart w:id="4764" w:name="_Toc301961391"/>
      <w:bookmarkStart w:id="4765" w:name="_Toc301966961"/>
      <w:bookmarkStart w:id="4766" w:name="_Toc303253170"/>
      <w:bookmarkStart w:id="4767" w:name="_Toc303257334"/>
      <w:bookmarkStart w:id="4768" w:name="_Toc307992967"/>
      <w:bookmarkStart w:id="4769" w:name="_Toc309030000"/>
      <w:bookmarkStart w:id="4770" w:name="_Toc309304223"/>
      <w:bookmarkStart w:id="4771" w:name="_Toc309304676"/>
      <w:bookmarkStart w:id="4772" w:name="_Toc309309500"/>
      <w:r>
        <w:t>Subdivision 1 — Recreational fishing licence</w:t>
      </w:r>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p>
    <w:p>
      <w:pPr>
        <w:pStyle w:val="Footnoteheading"/>
      </w:pPr>
      <w:r>
        <w:tab/>
        <w:t>[Heading inserted in Gazette 12 Feb 2010 p. 584.]</w:t>
      </w:r>
    </w:p>
    <w:p>
      <w:pPr>
        <w:pStyle w:val="Heading5"/>
        <w:rPr>
          <w:snapToGrid w:val="0"/>
        </w:rPr>
      </w:pPr>
      <w:bookmarkStart w:id="4773" w:name="_Toc309309501"/>
      <w:r>
        <w:rPr>
          <w:rStyle w:val="CharSectno"/>
        </w:rPr>
        <w:t>123</w:t>
      </w:r>
      <w:r>
        <w:rPr>
          <w:snapToGrid w:val="0"/>
        </w:rPr>
        <w:t>.</w:t>
      </w:r>
      <w:r>
        <w:rPr>
          <w:snapToGrid w:val="0"/>
        </w:rPr>
        <w:tab/>
        <w:t>Recreational fishing licence, when required</w:t>
      </w:r>
      <w:bookmarkEnd w:id="4773"/>
    </w:p>
    <w:p>
      <w:pPr>
        <w:pStyle w:val="Subsection"/>
        <w:rPr>
          <w:snapToGrid w:val="0"/>
        </w:rPr>
      </w:pPr>
      <w:r>
        <w:rPr>
          <w:snapToGrid w:val="0"/>
        </w:rPr>
        <w:tab/>
        <w:t>(1)</w:t>
      </w:r>
      <w:r>
        <w:rPr>
          <w:snapToGrid w:val="0"/>
        </w:rPr>
        <w:tab/>
        <w:t>A person who carries out any activity set out in the Table to regulation 124 must hold a recreational fishing licence specifying that the person may engage in the activity unless —</w:t>
      </w:r>
    </w:p>
    <w:p>
      <w:pPr>
        <w:pStyle w:val="Indenta"/>
        <w:rPr>
          <w:snapToGrid w:val="0"/>
        </w:rPr>
      </w:pPr>
      <w:r>
        <w:rPr>
          <w:snapToGrid w:val="0"/>
        </w:rPr>
        <w:tab/>
        <w:t>(a)</w:t>
      </w:r>
      <w:r>
        <w:rPr>
          <w:snapToGrid w:val="0"/>
        </w:rPr>
        <w:tab/>
        <w:t>the activity is carried out for a commercial purpose; or</w:t>
      </w:r>
    </w:p>
    <w:p>
      <w:pPr>
        <w:pStyle w:val="Indenta"/>
        <w:rPr>
          <w:snapToGrid w:val="0"/>
        </w:rPr>
      </w:pPr>
      <w:r>
        <w:rPr>
          <w:snapToGrid w:val="0"/>
        </w:rPr>
        <w:tab/>
        <w:t>(b)</w:t>
      </w:r>
      <w:r>
        <w:rPr>
          <w:snapToGrid w:val="0"/>
        </w:rPr>
        <w:tab/>
        <w:t>the person is an Aboriginal person not required to hold a recreational fishing licence under section 6 of the Act.</w:t>
      </w:r>
    </w:p>
    <w:p>
      <w:pPr>
        <w:pStyle w:val="Penstart"/>
        <w:rPr>
          <w:snapToGrid w:val="0"/>
        </w:rPr>
      </w:pPr>
      <w:r>
        <w:rPr>
          <w:snapToGrid w:val="0"/>
        </w:rPr>
        <w:tab/>
        <w:t>Penalty: $2 000.</w:t>
      </w:r>
    </w:p>
    <w:p>
      <w:pPr>
        <w:pStyle w:val="Ednotesubsection"/>
      </w:pPr>
      <w:r>
        <w:tab/>
        <w:t>[(2)</w:t>
      </w:r>
      <w:r>
        <w:tab/>
        <w:t>deleted]</w:t>
      </w:r>
    </w:p>
    <w:p>
      <w:pPr>
        <w:pStyle w:val="Footnotesection"/>
      </w:pPr>
      <w:r>
        <w:tab/>
        <w:t>[Regulation 123 amended in Gazette 12 Feb 2010 p. 584; 1 Mar 2011 p. 675; 2 Nov 2011 p. 4625.]</w:t>
      </w:r>
    </w:p>
    <w:p>
      <w:pPr>
        <w:pStyle w:val="Heading5"/>
        <w:rPr>
          <w:snapToGrid w:val="0"/>
        </w:rPr>
      </w:pPr>
      <w:bookmarkStart w:id="4774" w:name="_Toc309309502"/>
      <w:r>
        <w:rPr>
          <w:rStyle w:val="CharSectno"/>
        </w:rPr>
        <w:t>124</w:t>
      </w:r>
      <w:r>
        <w:rPr>
          <w:snapToGrid w:val="0"/>
        </w:rPr>
        <w:t>.</w:t>
      </w:r>
      <w:r>
        <w:rPr>
          <w:snapToGrid w:val="0"/>
        </w:rPr>
        <w:tab/>
        <w:t>Recreational fishing licences, grant of</w:t>
      </w:r>
      <w:bookmarkEnd w:id="4774"/>
      <w:r>
        <w:rPr>
          <w:snapToGrid w:val="0"/>
        </w:rPr>
        <w:t xml:space="preserve"> </w:t>
      </w:r>
    </w:p>
    <w:p>
      <w:pPr>
        <w:pStyle w:val="Subsection"/>
        <w:rPr>
          <w:snapToGrid w:val="0"/>
        </w:rPr>
      </w:pPr>
      <w:r>
        <w:rPr>
          <w:snapToGrid w:val="0"/>
        </w:rPr>
        <w:tab/>
        <w:t>(1)</w:t>
      </w:r>
      <w:r>
        <w:rPr>
          <w:snapToGrid w:val="0"/>
        </w:rPr>
        <w:tab/>
        <w:t>If a person applies to the CEO for the grant of a recreational fishing licence authorising that person to engage in an activity by way of recreational fishing the CEO may grant to the person a recreational fishing licence to engage in the activity.</w:t>
      </w:r>
    </w:p>
    <w:p>
      <w:pPr>
        <w:pStyle w:val="Subsection"/>
        <w:rPr>
          <w:snapToGrid w:val="0"/>
        </w:rPr>
      </w:pPr>
      <w:r>
        <w:rPr>
          <w:snapToGrid w:val="0"/>
        </w:rPr>
        <w:tab/>
        <w:t>(2)</w:t>
      </w:r>
      <w:r>
        <w:rPr>
          <w:snapToGrid w:val="0"/>
        </w:rPr>
        <w:tab/>
        <w:t>A recreational fishing licence is to —</w:t>
      </w:r>
    </w:p>
    <w:p>
      <w:pPr>
        <w:pStyle w:val="Indenta"/>
        <w:rPr>
          <w:snapToGrid w:val="0"/>
        </w:rPr>
      </w:pPr>
      <w:r>
        <w:rPr>
          <w:snapToGrid w:val="0"/>
        </w:rPr>
        <w:tab/>
        <w:t>(a)</w:t>
      </w:r>
      <w:r>
        <w:rPr>
          <w:snapToGrid w:val="0"/>
        </w:rPr>
        <w:tab/>
        <w:t>specify that the person who holds the licence may engage in one or more of the activities set out in the Table to this regulation; and</w:t>
      </w:r>
    </w:p>
    <w:p>
      <w:pPr>
        <w:pStyle w:val="Indenta"/>
        <w:rPr>
          <w:snapToGrid w:val="0"/>
        </w:rPr>
      </w:pPr>
      <w:r>
        <w:rPr>
          <w:snapToGrid w:val="0"/>
        </w:rPr>
        <w:tab/>
        <w:t>(b)</w:t>
      </w:r>
      <w:r>
        <w:rPr>
          <w:snapToGrid w:val="0"/>
        </w:rPr>
        <w:tab/>
        <w:t>specify any letters and numbers (gear identification number) allocated in respect of the licence, where the licence specifies that the licence holder may fish for rock lobster or fish by means of a fishing net.</w:t>
      </w:r>
    </w:p>
    <w:p>
      <w:pPr>
        <w:pStyle w:val="THeadingNAm"/>
        <w:rPr>
          <w:snapToGrid w:val="0"/>
        </w:rPr>
      </w:pPr>
      <w:r>
        <w:rPr>
          <w:snapToGrid w:val="0"/>
        </w:rPr>
        <w:t>Table</w:t>
      </w:r>
    </w:p>
    <w:tbl>
      <w:tblPr>
        <w:tblW w:w="0" w:type="auto"/>
        <w:tblInd w:w="1668" w:type="dxa"/>
        <w:tblLayout w:type="fixed"/>
        <w:tblLook w:val="0000" w:firstRow="0" w:lastRow="0" w:firstColumn="0" w:lastColumn="0" w:noHBand="0" w:noVBand="0"/>
      </w:tblPr>
      <w:tblGrid>
        <w:gridCol w:w="1134"/>
        <w:gridCol w:w="3827"/>
      </w:tblGrid>
      <w:tr>
        <w:trPr>
          <w:tblHeader/>
        </w:trPr>
        <w:tc>
          <w:tcPr>
            <w:tcW w:w="1134" w:type="dxa"/>
          </w:tcPr>
          <w:p>
            <w:pPr>
              <w:pStyle w:val="TableNAm"/>
              <w:spacing w:before="60"/>
              <w:rPr>
                <w:snapToGrid w:val="0"/>
                <w:u w:val="single"/>
              </w:rPr>
            </w:pPr>
            <w:r>
              <w:rPr>
                <w:snapToGrid w:val="0"/>
                <w:u w:val="single"/>
              </w:rPr>
              <w:t>Item</w:t>
            </w:r>
          </w:p>
        </w:tc>
        <w:tc>
          <w:tcPr>
            <w:tcW w:w="3827" w:type="dxa"/>
          </w:tcPr>
          <w:p>
            <w:pPr>
              <w:pStyle w:val="TableNAm"/>
              <w:spacing w:before="60"/>
              <w:rPr>
                <w:snapToGrid w:val="0"/>
                <w:u w:val="single"/>
              </w:rPr>
            </w:pPr>
            <w:r>
              <w:rPr>
                <w:snapToGrid w:val="0"/>
                <w:u w:val="single"/>
              </w:rPr>
              <w:t>Activities</w:t>
            </w:r>
          </w:p>
        </w:tc>
      </w:tr>
      <w:tr>
        <w:tc>
          <w:tcPr>
            <w:tcW w:w="1134" w:type="dxa"/>
          </w:tcPr>
          <w:p>
            <w:pPr>
              <w:pStyle w:val="TableNAm"/>
              <w:spacing w:before="60"/>
              <w:rPr>
                <w:snapToGrid w:val="0"/>
              </w:rPr>
            </w:pPr>
            <w:r>
              <w:rPr>
                <w:snapToGrid w:val="0"/>
              </w:rPr>
              <w:t>1.</w:t>
            </w:r>
          </w:p>
        </w:tc>
        <w:tc>
          <w:tcPr>
            <w:tcW w:w="3827" w:type="dxa"/>
          </w:tcPr>
          <w:p>
            <w:pPr>
              <w:pStyle w:val="TableNAm"/>
              <w:spacing w:before="60"/>
              <w:rPr>
                <w:snapToGrid w:val="0"/>
              </w:rPr>
            </w:pPr>
            <w:r>
              <w:rPr>
                <w:snapToGrid w:val="0"/>
              </w:rPr>
              <w:t>Fishing for rock lobster</w:t>
            </w:r>
          </w:p>
        </w:tc>
      </w:tr>
      <w:tr>
        <w:tc>
          <w:tcPr>
            <w:tcW w:w="1134" w:type="dxa"/>
          </w:tcPr>
          <w:p>
            <w:pPr>
              <w:pStyle w:val="TableNAm"/>
              <w:spacing w:before="60"/>
              <w:rPr>
                <w:snapToGrid w:val="0"/>
              </w:rPr>
            </w:pPr>
            <w:r>
              <w:rPr>
                <w:snapToGrid w:val="0"/>
              </w:rPr>
              <w:t>2.</w:t>
            </w:r>
          </w:p>
        </w:tc>
        <w:tc>
          <w:tcPr>
            <w:tcW w:w="3827" w:type="dxa"/>
          </w:tcPr>
          <w:p>
            <w:pPr>
              <w:pStyle w:val="TableNAm"/>
              <w:spacing w:before="60"/>
              <w:rPr>
                <w:snapToGrid w:val="0"/>
              </w:rPr>
            </w:pPr>
            <w:r>
              <w:rPr>
                <w:snapToGrid w:val="0"/>
              </w:rPr>
              <w:t>Fishing for marron</w:t>
            </w:r>
          </w:p>
        </w:tc>
      </w:tr>
      <w:tr>
        <w:tc>
          <w:tcPr>
            <w:tcW w:w="1134" w:type="dxa"/>
          </w:tcPr>
          <w:p>
            <w:pPr>
              <w:pStyle w:val="TableNAm"/>
              <w:spacing w:before="60"/>
              <w:rPr>
                <w:snapToGrid w:val="0"/>
              </w:rPr>
            </w:pPr>
            <w:r>
              <w:rPr>
                <w:snapToGrid w:val="0"/>
              </w:rPr>
              <w:t>3.</w:t>
            </w:r>
          </w:p>
        </w:tc>
        <w:tc>
          <w:tcPr>
            <w:tcW w:w="3827" w:type="dxa"/>
          </w:tcPr>
          <w:p>
            <w:pPr>
              <w:pStyle w:val="TableNAm"/>
              <w:spacing w:before="60"/>
              <w:rPr>
                <w:snapToGrid w:val="0"/>
              </w:rPr>
            </w:pPr>
            <w:r>
              <w:rPr>
                <w:snapToGrid w:val="0"/>
              </w:rPr>
              <w:t>Fishing for abalone</w:t>
            </w:r>
          </w:p>
        </w:tc>
      </w:tr>
      <w:tr>
        <w:trPr>
          <w:cantSplit/>
        </w:trPr>
        <w:tc>
          <w:tcPr>
            <w:tcW w:w="1134" w:type="dxa"/>
          </w:tcPr>
          <w:p>
            <w:pPr>
              <w:pStyle w:val="TableNAm"/>
              <w:spacing w:before="60"/>
              <w:rPr>
                <w:snapToGrid w:val="0"/>
              </w:rPr>
            </w:pPr>
            <w:r>
              <w:rPr>
                <w:snapToGrid w:val="0"/>
              </w:rPr>
              <w:t>4.</w:t>
            </w:r>
          </w:p>
        </w:tc>
        <w:tc>
          <w:tcPr>
            <w:tcW w:w="3827" w:type="dxa"/>
          </w:tcPr>
          <w:p>
            <w:pPr>
              <w:pStyle w:val="TableNAm"/>
              <w:spacing w:before="60"/>
              <w:rPr>
                <w:snapToGrid w:val="0"/>
              </w:rPr>
            </w:pPr>
            <w:r>
              <w:rPr>
                <w:snapToGrid w:val="0"/>
              </w:rPr>
              <w:t>Fishing for all freshwater fish (other than crustaceans) in waters south of 29° south latitude above the tidal influence including all lakes, dams, rivers and their tributaries</w:t>
            </w:r>
          </w:p>
        </w:tc>
      </w:tr>
      <w:tr>
        <w:tc>
          <w:tcPr>
            <w:tcW w:w="1134" w:type="dxa"/>
          </w:tcPr>
          <w:p>
            <w:pPr>
              <w:pStyle w:val="TableNAm"/>
              <w:spacing w:before="60"/>
              <w:rPr>
                <w:snapToGrid w:val="0"/>
              </w:rPr>
            </w:pPr>
            <w:r>
              <w:rPr>
                <w:snapToGrid w:val="0"/>
              </w:rPr>
              <w:t>5.</w:t>
            </w:r>
          </w:p>
        </w:tc>
        <w:tc>
          <w:tcPr>
            <w:tcW w:w="3827" w:type="dxa"/>
          </w:tcPr>
          <w:p>
            <w:pPr>
              <w:pStyle w:val="TableNAm"/>
              <w:spacing w:before="60"/>
              <w:rPr>
                <w:snapToGrid w:val="0"/>
              </w:rPr>
            </w:pPr>
            <w:r>
              <w:rPr>
                <w:snapToGrid w:val="0"/>
              </w:rPr>
              <w:t>Fishing by means of a fishing net</w:t>
            </w:r>
          </w:p>
        </w:tc>
      </w:tr>
    </w:tbl>
    <w:p>
      <w:pPr>
        <w:pStyle w:val="Footnotesection"/>
        <w:ind w:left="890" w:hanging="890"/>
      </w:pPr>
      <w:r>
        <w:tab/>
        <w:t>[Regulation 124 amended in Gazette 6 Jul 2007 p. 3389.]</w:t>
      </w:r>
    </w:p>
    <w:p>
      <w:pPr>
        <w:pStyle w:val="Heading5"/>
      </w:pPr>
      <w:bookmarkStart w:id="4775" w:name="_Toc309309503"/>
      <w:r>
        <w:rPr>
          <w:rStyle w:val="CharSectno"/>
        </w:rPr>
        <w:t>124A</w:t>
      </w:r>
      <w:r>
        <w:t>.</w:t>
      </w:r>
      <w:r>
        <w:tab/>
        <w:t>Recreational fishing licence receipt may have effect as a recreational fishing licence</w:t>
      </w:r>
      <w:bookmarkEnd w:id="4775"/>
    </w:p>
    <w:p>
      <w:pPr>
        <w:pStyle w:val="Subsection"/>
        <w:keepNext/>
        <w:keepLines/>
      </w:pPr>
      <w:r>
        <w:tab/>
        <w:t>(1)</w:t>
      </w:r>
      <w:r>
        <w:tab/>
        <w:t>In this regulation —</w:t>
      </w:r>
    </w:p>
    <w:p>
      <w:pPr>
        <w:pStyle w:val="Defstart"/>
      </w:pPr>
      <w:r>
        <w:rPr>
          <w:b/>
        </w:rPr>
        <w:tab/>
      </w:r>
      <w:r>
        <w:rPr>
          <w:rStyle w:val="CharDefText"/>
        </w:rPr>
        <w:t>recreational fishing licence receipt</w:t>
      </w:r>
      <w:r>
        <w:t xml:space="preserve"> means a receipt issued by the CEO to a person who has applied for the grant, or renewal, of a recreational fishing licence.</w:t>
      </w:r>
    </w:p>
    <w:p>
      <w:pPr>
        <w:pStyle w:val="Subsection"/>
      </w:pPr>
      <w:r>
        <w:tab/>
        <w:t>(2)</w:t>
      </w:r>
      <w:r>
        <w:tab/>
        <w:t>A recreational fishing licence receipt issued to an applicant has effect as if it was a recreational fishing licence granted under regulation 124 to the person until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Despite subregulation (2), a recreational fishing licence receipt does not have effect as if it was a recreational fishing licence if the applicant to whom it was issued —</w:t>
      </w:r>
    </w:p>
    <w:p>
      <w:pPr>
        <w:pStyle w:val="Indenta"/>
      </w:pPr>
      <w:r>
        <w:tab/>
        <w:t>(a)</w:t>
      </w:r>
      <w:r>
        <w:tab/>
        <w:t>was the holder of a recreational fishing licence which was cancelled, or not renewed by the CEO; or</w:t>
      </w:r>
    </w:p>
    <w:p>
      <w:pPr>
        <w:pStyle w:val="Indenta"/>
      </w:pPr>
      <w:r>
        <w:tab/>
        <w:t>(b)</w:t>
      </w:r>
      <w:r>
        <w:tab/>
        <w:t>has been convicted of an offence against the Act; or</w:t>
      </w:r>
    </w:p>
    <w:p>
      <w:pPr>
        <w:pStyle w:val="Indenta"/>
      </w:pPr>
      <w:r>
        <w:tab/>
        <w:t>(c)</w:t>
      </w:r>
      <w:r>
        <w:tab/>
        <w:t>is not in possession of the receipt when engaging in an activity specified in the receipt.</w:t>
      </w:r>
    </w:p>
    <w:p>
      <w:pPr>
        <w:pStyle w:val="Ednotepara"/>
      </w:pPr>
      <w:r>
        <w:tab/>
        <w:t>[(d)</w:t>
      </w:r>
      <w:r>
        <w:tab/>
        <w:t>deleted]</w:t>
      </w:r>
    </w:p>
    <w:p>
      <w:pPr>
        <w:pStyle w:val="Subsection"/>
      </w:pPr>
      <w:r>
        <w:tab/>
        <w:t>(4)</w:t>
      </w:r>
      <w:r>
        <w:tab/>
        <w:t>A recreational fishing licence receipt is to be in a form approved by the CEO and is to specify —</w:t>
      </w:r>
    </w:p>
    <w:p>
      <w:pPr>
        <w:pStyle w:val="Indenta"/>
      </w:pPr>
      <w:r>
        <w:tab/>
        <w:t>(a)</w:t>
      </w:r>
      <w:r>
        <w:tab/>
        <w:t>the same matters that are to be specified in respect of a recreational fishing licence under regulation 124(2)(a) and (b); and</w:t>
      </w:r>
    </w:p>
    <w:p>
      <w:pPr>
        <w:pStyle w:val="Indenta"/>
        <w:keepNext/>
      </w:pPr>
      <w:r>
        <w:tab/>
        <w:t>(b)</w:t>
      </w:r>
      <w:r>
        <w:tab/>
        <w:t>the date on which the receipt was issued.</w:t>
      </w:r>
    </w:p>
    <w:p>
      <w:pPr>
        <w:pStyle w:val="Footnotesection"/>
        <w:ind w:left="890" w:hanging="890"/>
      </w:pPr>
      <w:r>
        <w:tab/>
        <w:t>[Regulation 124A inserted in Gazette 3 Jun 2005 p. 2491; amended in Gazette 6 Jul 2007 p. 3389; 2 Nov 2011 p. 4625.]</w:t>
      </w:r>
    </w:p>
    <w:p>
      <w:pPr>
        <w:pStyle w:val="Heading4"/>
      </w:pPr>
      <w:bookmarkStart w:id="4776" w:name="_Toc254942856"/>
      <w:bookmarkStart w:id="4777" w:name="_Toc254943309"/>
      <w:bookmarkStart w:id="4778" w:name="_Toc255475901"/>
      <w:bookmarkStart w:id="4779" w:name="_Toc256432222"/>
      <w:bookmarkStart w:id="4780" w:name="_Toc257720559"/>
      <w:bookmarkStart w:id="4781" w:name="_Toc257722241"/>
      <w:bookmarkStart w:id="4782" w:name="_Toc258335917"/>
      <w:bookmarkStart w:id="4783" w:name="_Toc260406359"/>
      <w:bookmarkStart w:id="4784" w:name="_Toc261271545"/>
      <w:bookmarkStart w:id="4785" w:name="_Toc262808227"/>
      <w:bookmarkStart w:id="4786" w:name="_Toc267572620"/>
      <w:bookmarkStart w:id="4787" w:name="_Toc270684369"/>
      <w:bookmarkStart w:id="4788" w:name="_Toc274214546"/>
      <w:bookmarkStart w:id="4789" w:name="_Toc274214995"/>
      <w:bookmarkStart w:id="4790" w:name="_Toc278976326"/>
      <w:bookmarkStart w:id="4791" w:name="_Toc286760649"/>
      <w:bookmarkStart w:id="4792" w:name="_Toc289080994"/>
      <w:bookmarkStart w:id="4793" w:name="_Toc290284188"/>
      <w:bookmarkStart w:id="4794" w:name="_Toc290643009"/>
      <w:bookmarkStart w:id="4795" w:name="_Toc290643458"/>
      <w:bookmarkStart w:id="4796" w:name="_Toc290643911"/>
      <w:bookmarkStart w:id="4797" w:name="_Toc294701728"/>
      <w:bookmarkStart w:id="4798" w:name="_Toc295200136"/>
      <w:bookmarkStart w:id="4799" w:name="_Toc296954577"/>
      <w:bookmarkStart w:id="4800" w:name="_Toc297276209"/>
      <w:bookmarkStart w:id="4801" w:name="_Toc297276661"/>
      <w:bookmarkStart w:id="4802" w:name="_Toc297277111"/>
      <w:bookmarkStart w:id="4803" w:name="_Toc297726480"/>
      <w:bookmarkStart w:id="4804" w:name="_Toc299980266"/>
      <w:bookmarkStart w:id="4805" w:name="_Toc300234892"/>
      <w:bookmarkStart w:id="4806" w:name="_Toc301961395"/>
      <w:bookmarkStart w:id="4807" w:name="_Toc301966965"/>
      <w:bookmarkStart w:id="4808" w:name="_Toc303253174"/>
      <w:bookmarkStart w:id="4809" w:name="_Toc303257338"/>
      <w:bookmarkStart w:id="4810" w:name="_Toc307992971"/>
      <w:bookmarkStart w:id="4811" w:name="_Toc309030004"/>
      <w:bookmarkStart w:id="4812" w:name="_Toc309304227"/>
      <w:bookmarkStart w:id="4813" w:name="_Toc309304680"/>
      <w:bookmarkStart w:id="4814" w:name="_Toc309309504"/>
      <w:bookmarkStart w:id="4815" w:name="_Toc189988070"/>
      <w:bookmarkStart w:id="4816" w:name="_Toc192041653"/>
      <w:bookmarkStart w:id="4817" w:name="_Toc199570887"/>
      <w:bookmarkStart w:id="4818" w:name="_Toc199738885"/>
      <w:bookmarkStart w:id="4819" w:name="_Toc199814986"/>
      <w:bookmarkStart w:id="4820" w:name="_Toc215040793"/>
      <w:bookmarkStart w:id="4821" w:name="_Toc215041238"/>
      <w:bookmarkStart w:id="4822" w:name="_Toc222129446"/>
      <w:bookmarkStart w:id="4823" w:name="_Toc222223151"/>
      <w:bookmarkStart w:id="4824" w:name="_Toc225914403"/>
      <w:bookmarkStart w:id="4825" w:name="_Toc231282448"/>
      <w:bookmarkStart w:id="4826" w:name="_Toc231282892"/>
      <w:bookmarkStart w:id="4827" w:name="_Toc234899482"/>
      <w:bookmarkStart w:id="4828" w:name="_Toc236632764"/>
      <w:bookmarkStart w:id="4829" w:name="_Toc236720377"/>
      <w:bookmarkStart w:id="4830" w:name="_Toc237764576"/>
      <w:bookmarkStart w:id="4831" w:name="_Toc238356200"/>
      <w:bookmarkStart w:id="4832" w:name="_Toc238368905"/>
      <w:bookmarkStart w:id="4833" w:name="_Toc238375858"/>
      <w:bookmarkStart w:id="4834" w:name="_Toc240339182"/>
      <w:bookmarkStart w:id="4835" w:name="_Toc241993688"/>
      <w:bookmarkStart w:id="4836" w:name="_Toc243192831"/>
      <w:bookmarkStart w:id="4837" w:name="_Toc243295533"/>
      <w:bookmarkStart w:id="4838" w:name="_Toc245113106"/>
      <w:bookmarkStart w:id="4839" w:name="_Toc245198268"/>
      <w:bookmarkStart w:id="4840" w:name="_Toc245198717"/>
      <w:bookmarkStart w:id="4841" w:name="_Toc245199166"/>
      <w:bookmarkStart w:id="4842" w:name="_Toc248122197"/>
      <w:bookmarkStart w:id="4843" w:name="_Toc248122648"/>
      <w:bookmarkStart w:id="4844" w:name="_Toc253670635"/>
      <w:bookmarkStart w:id="4845" w:name="_Toc253671085"/>
      <w:r>
        <w:t>Subdivision 2 — Recreational (boat) fishing licence</w:t>
      </w:r>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p>
    <w:p>
      <w:pPr>
        <w:pStyle w:val="Footnoteheading"/>
      </w:pPr>
      <w:r>
        <w:tab/>
        <w:t>[Heading inserted in Gazette 12 Feb 2010 p. 584.]</w:t>
      </w:r>
    </w:p>
    <w:p>
      <w:pPr>
        <w:pStyle w:val="Heading5"/>
      </w:pPr>
      <w:bookmarkStart w:id="4846" w:name="_Toc309309505"/>
      <w:r>
        <w:rPr>
          <w:rStyle w:val="CharSectno"/>
        </w:rPr>
        <w:t>124B</w:t>
      </w:r>
      <w:r>
        <w:t>.</w:t>
      </w:r>
      <w:r>
        <w:tab/>
        <w:t>Recreational (boat) fishing licence, when required</w:t>
      </w:r>
      <w:bookmarkEnd w:id="4846"/>
    </w:p>
    <w:p>
      <w:pPr>
        <w:pStyle w:val="Subsection"/>
      </w:pPr>
      <w:r>
        <w:tab/>
        <w:t>(1)</w:t>
      </w:r>
      <w:r>
        <w:tab/>
        <w:t>In this regulation —</w:t>
      </w:r>
    </w:p>
    <w:p>
      <w:pPr>
        <w:pStyle w:val="Defstart"/>
      </w:pPr>
      <w:r>
        <w:tab/>
      </w:r>
      <w:r>
        <w:rPr>
          <w:rStyle w:val="CharDefText"/>
        </w:rPr>
        <w:t>boat</w:t>
      </w:r>
      <w:r>
        <w:t xml:space="preserve"> means a vessel propelled by a motor.</w:t>
      </w:r>
    </w:p>
    <w:p>
      <w:pPr>
        <w:pStyle w:val="Subsection"/>
      </w:pPr>
      <w:r>
        <w:tab/>
        <w:t>(2)</w:t>
      </w:r>
      <w:r>
        <w:tab/>
        <w:t>A person who fishes by use of a boat must hold a recreational (boat) fishing licence unless —</w:t>
      </w:r>
    </w:p>
    <w:p>
      <w:pPr>
        <w:pStyle w:val="Indenta"/>
      </w:pPr>
      <w:r>
        <w:tab/>
        <w:t>(a)</w:t>
      </w:r>
      <w:r>
        <w:tab/>
        <w:t>the person is not required to hold a recreational (boat) fishing licence under subregulation (3); or</w:t>
      </w:r>
    </w:p>
    <w:p>
      <w:pPr>
        <w:pStyle w:val="Indenta"/>
      </w:pPr>
      <w:r>
        <w:tab/>
        <w:t>(b)</w:t>
      </w:r>
      <w:r>
        <w:tab/>
        <w:t>the person is not required to hold a recreational (boat) fishing licence under subregulation (5); or</w:t>
      </w:r>
    </w:p>
    <w:p>
      <w:pPr>
        <w:pStyle w:val="Indenta"/>
      </w:pPr>
      <w:r>
        <w:tab/>
        <w:t>(c)</w:t>
      </w:r>
      <w:r>
        <w:tab/>
        <w:t>the person is fishing for a commercial purpose; or</w:t>
      </w:r>
    </w:p>
    <w:p>
      <w:pPr>
        <w:pStyle w:val="Indenta"/>
      </w:pPr>
      <w:r>
        <w:tab/>
        <w:t>(d)</w:t>
      </w:r>
      <w:r>
        <w:tab/>
        <w:t>the person is an Aboriginal person not required to hold a recreational fishing licence under section 6 of the Act; or</w:t>
      </w:r>
    </w:p>
    <w:p>
      <w:pPr>
        <w:pStyle w:val="Indenta"/>
      </w:pPr>
      <w:r>
        <w:tab/>
        <w:t>(e)</w:t>
      </w:r>
      <w:r>
        <w:tab/>
        <w:t>the person is participating in a fishing tour on board a boat that is specified on a fishing tour operator’s licence, or a restricted fishing tour operator’s licence, granted under regulation 128J.</w:t>
      </w:r>
    </w:p>
    <w:p>
      <w:pPr>
        <w:pStyle w:val="Penstart"/>
      </w:pPr>
      <w:r>
        <w:tab/>
        <w:t>Penalty: a fine of $2 000.</w:t>
      </w:r>
    </w:p>
    <w:p>
      <w:pPr>
        <w:pStyle w:val="Subsection"/>
      </w:pPr>
      <w:r>
        <w:tab/>
        <w:t>(3)</w:t>
      </w:r>
      <w:r>
        <w:tab/>
        <w:t xml:space="preserve">A person (an </w:t>
      </w:r>
      <w:r>
        <w:rPr>
          <w:rStyle w:val="CharDefText"/>
        </w:rPr>
        <w:t>unlicensed person</w:t>
      </w:r>
      <w:r>
        <w:t>) is not required to hold a recreational (boat) fishing licence to fish by use of a boat if the unlicensed person is fishing with another person who holds a recreational (boat) fishing licence.</w:t>
      </w:r>
    </w:p>
    <w:p>
      <w:pPr>
        <w:pStyle w:val="Subsection"/>
      </w:pPr>
      <w:r>
        <w:tab/>
        <w:t>(4)</w:t>
      </w:r>
      <w:r>
        <w:tab/>
        <w:t>For the purposes of determining whether a bag limit has been exceeded, any fish taken by an unlicensed person when fishing under the authority conferred by subregulation (3) are to be regarded as having been taken by the other person who holds a recreational (boat) fishing licence.</w:t>
      </w:r>
    </w:p>
    <w:p>
      <w:pPr>
        <w:pStyle w:val="Subsection"/>
      </w:pPr>
      <w:r>
        <w:tab/>
        <w:t>(5)</w:t>
      </w:r>
      <w:r>
        <w:tab/>
        <w:t>A person is not required to hold a recreational (boat) fishing licence to fish by use of a boat if the person in doing so engages only in an activity set out in the Table to regulation 124 for which the person holds a recreational fishing licence specifying that the person may engage in that activity.</w:t>
      </w:r>
    </w:p>
    <w:p>
      <w:pPr>
        <w:pStyle w:val="Subsection"/>
      </w:pPr>
      <w:r>
        <w:tab/>
        <w:t>(6)</w:t>
      </w:r>
      <w:r>
        <w:tab/>
        <w:t>This regulation does not limit the operation of regulation 123.</w:t>
      </w:r>
    </w:p>
    <w:p>
      <w:pPr>
        <w:pStyle w:val="Footnotesection"/>
      </w:pPr>
      <w:r>
        <w:tab/>
        <w:t>[Regulation 124B inserted in Gazette 12 Feb 2010 p. 584</w:t>
      </w:r>
      <w:r>
        <w:noBreakHyphen/>
        <w:t>5; amended in Gazette 24 Aug 2011 p. 3405-6.]</w:t>
      </w:r>
    </w:p>
    <w:p>
      <w:pPr>
        <w:pStyle w:val="Heading5"/>
      </w:pPr>
      <w:bookmarkStart w:id="4847" w:name="_Toc309309506"/>
      <w:r>
        <w:rPr>
          <w:rStyle w:val="CharSectno"/>
        </w:rPr>
        <w:t>124C</w:t>
      </w:r>
      <w:r>
        <w:t>.</w:t>
      </w:r>
      <w:r>
        <w:tab/>
        <w:t>Recreational (boat) fishing licences, grant of</w:t>
      </w:r>
      <w:bookmarkEnd w:id="4847"/>
    </w:p>
    <w:p>
      <w:pPr>
        <w:pStyle w:val="Subsection"/>
      </w:pPr>
      <w:r>
        <w:tab/>
      </w:r>
      <w:r>
        <w:tab/>
        <w:t>If a person applies to the CEO, the CEO may grant to the person a recreational (boat) fishing licence.</w:t>
      </w:r>
    </w:p>
    <w:p>
      <w:pPr>
        <w:pStyle w:val="Footnotesection"/>
      </w:pPr>
      <w:r>
        <w:tab/>
        <w:t>[Regulation 124C inserted in Gazette 12 Feb 2010 p. 585.]</w:t>
      </w:r>
    </w:p>
    <w:p>
      <w:pPr>
        <w:pStyle w:val="Heading3"/>
      </w:pPr>
      <w:bookmarkStart w:id="4848" w:name="_Toc254942859"/>
      <w:bookmarkStart w:id="4849" w:name="_Toc254943312"/>
      <w:bookmarkStart w:id="4850" w:name="_Toc255475904"/>
      <w:bookmarkStart w:id="4851" w:name="_Toc256432225"/>
      <w:bookmarkStart w:id="4852" w:name="_Toc257720562"/>
      <w:bookmarkStart w:id="4853" w:name="_Toc257722244"/>
      <w:bookmarkStart w:id="4854" w:name="_Toc258335920"/>
      <w:bookmarkStart w:id="4855" w:name="_Toc260406362"/>
      <w:bookmarkStart w:id="4856" w:name="_Toc261271548"/>
      <w:bookmarkStart w:id="4857" w:name="_Toc262808230"/>
      <w:bookmarkStart w:id="4858" w:name="_Toc267572623"/>
      <w:bookmarkStart w:id="4859" w:name="_Toc270684372"/>
      <w:bookmarkStart w:id="4860" w:name="_Toc274214549"/>
      <w:bookmarkStart w:id="4861" w:name="_Toc274214998"/>
      <w:bookmarkStart w:id="4862" w:name="_Toc278976329"/>
      <w:bookmarkStart w:id="4863" w:name="_Toc286760652"/>
      <w:bookmarkStart w:id="4864" w:name="_Toc289080997"/>
      <w:bookmarkStart w:id="4865" w:name="_Toc290284191"/>
      <w:bookmarkStart w:id="4866" w:name="_Toc290643012"/>
      <w:bookmarkStart w:id="4867" w:name="_Toc290643461"/>
      <w:bookmarkStart w:id="4868" w:name="_Toc290643914"/>
      <w:bookmarkStart w:id="4869" w:name="_Toc294701731"/>
      <w:bookmarkStart w:id="4870" w:name="_Toc295200139"/>
      <w:bookmarkStart w:id="4871" w:name="_Toc296954580"/>
      <w:bookmarkStart w:id="4872" w:name="_Toc297276212"/>
      <w:bookmarkStart w:id="4873" w:name="_Toc297276664"/>
      <w:bookmarkStart w:id="4874" w:name="_Toc297277114"/>
      <w:bookmarkStart w:id="4875" w:name="_Toc297726483"/>
      <w:bookmarkStart w:id="4876" w:name="_Toc299980269"/>
      <w:bookmarkStart w:id="4877" w:name="_Toc300234895"/>
      <w:bookmarkStart w:id="4878" w:name="_Toc301961398"/>
      <w:bookmarkStart w:id="4879" w:name="_Toc301966968"/>
      <w:bookmarkStart w:id="4880" w:name="_Toc303253177"/>
      <w:bookmarkStart w:id="4881" w:name="_Toc303257341"/>
      <w:bookmarkStart w:id="4882" w:name="_Toc307992974"/>
      <w:bookmarkStart w:id="4883" w:name="_Toc309030007"/>
      <w:bookmarkStart w:id="4884" w:name="_Toc309304230"/>
      <w:bookmarkStart w:id="4885" w:name="_Toc309304683"/>
      <w:bookmarkStart w:id="4886" w:name="_Toc309309507"/>
      <w:r>
        <w:rPr>
          <w:rStyle w:val="CharDivNo"/>
        </w:rPr>
        <w:t>Division 3</w:t>
      </w:r>
      <w:r>
        <w:t xml:space="preserve"> — </w:t>
      </w:r>
      <w:r>
        <w:rPr>
          <w:rStyle w:val="CharDivText"/>
        </w:rPr>
        <w:t>Specific fish or specific methods of fishing</w:t>
      </w:r>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p>
    <w:p>
      <w:pPr>
        <w:pStyle w:val="Footnoteheading"/>
        <w:tabs>
          <w:tab w:val="left" w:pos="909"/>
        </w:tabs>
        <w:ind w:left="923" w:hanging="923"/>
      </w:pPr>
      <w:r>
        <w:tab/>
        <w:t>[Heading inserted in Gazette 29 Jun 2001 p. 3164.]</w:t>
      </w:r>
    </w:p>
    <w:p>
      <w:pPr>
        <w:pStyle w:val="Heading5"/>
        <w:spacing w:before="180"/>
        <w:rPr>
          <w:snapToGrid w:val="0"/>
        </w:rPr>
      </w:pPr>
      <w:bookmarkStart w:id="4887" w:name="_Toc309309508"/>
      <w:r>
        <w:rPr>
          <w:rStyle w:val="CharSectno"/>
        </w:rPr>
        <w:t>125</w:t>
      </w:r>
      <w:r>
        <w:rPr>
          <w:snapToGrid w:val="0"/>
        </w:rPr>
        <w:t>.</w:t>
      </w:r>
      <w:r>
        <w:rPr>
          <w:snapToGrid w:val="0"/>
        </w:rPr>
        <w:tab/>
        <w:t>Rock lobster pot licence, when required</w:t>
      </w:r>
      <w:bookmarkEnd w:id="4887"/>
    </w:p>
    <w:p>
      <w:pPr>
        <w:pStyle w:val="Subsection"/>
        <w:spacing w:before="120"/>
        <w:rPr>
          <w:snapToGrid w:val="0"/>
        </w:rPr>
      </w:pPr>
      <w:r>
        <w:rPr>
          <w:snapToGrid w:val="0"/>
        </w:rPr>
        <w:tab/>
        <w:t>(1)</w:t>
      </w:r>
      <w:r>
        <w:rPr>
          <w:snapToGrid w:val="0"/>
        </w:rPr>
        <w:tab/>
        <w:t>A person who uses one or more rock lobster pots to engage in the commercial fishing of rock lobster must hold a rock lobster pot licence.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r>
      <w:r>
        <w:rPr>
          <w:snapToGrid w:val="0"/>
          <w:spacing w:val="-4"/>
        </w:rPr>
        <w:t>A person who holds a rock lobster pot licence must not use any rock lobster pots in excess of the number specified in that licence as being the number authorised to be used under the licence.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This regulation does not apply to a person using a rock lobster pot in a managed fishery in accordance with an authorisation granted in respect of that fishery.</w:t>
      </w:r>
    </w:p>
    <w:p>
      <w:pPr>
        <w:pStyle w:val="Heading5"/>
        <w:rPr>
          <w:snapToGrid w:val="0"/>
        </w:rPr>
      </w:pPr>
      <w:bookmarkStart w:id="4888" w:name="_Toc309309509"/>
      <w:r>
        <w:rPr>
          <w:rStyle w:val="CharSectno"/>
        </w:rPr>
        <w:t>126</w:t>
      </w:r>
      <w:r>
        <w:rPr>
          <w:snapToGrid w:val="0"/>
        </w:rPr>
        <w:t>.</w:t>
      </w:r>
      <w:r>
        <w:rPr>
          <w:snapToGrid w:val="0"/>
        </w:rPr>
        <w:tab/>
        <w:t>Rock lobster pot licence, grant of</w:t>
      </w:r>
      <w:bookmarkEnd w:id="4888"/>
    </w:p>
    <w:p>
      <w:pPr>
        <w:pStyle w:val="Subsection"/>
        <w:rPr>
          <w:snapToGrid w:val="0"/>
        </w:rPr>
      </w:pPr>
      <w:r>
        <w:rPr>
          <w:snapToGrid w:val="0"/>
        </w:rPr>
        <w:tab/>
      </w:r>
      <w:r>
        <w:rPr>
          <w:snapToGrid w:val="0"/>
        </w:rPr>
        <w:tab/>
        <w:t>If a person applies to the CEO for the grant of a rock lobster pot licence authorising that person to engage in the commercial fishing of rock lobster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rPr>
          <w:snapToGrid w:val="0"/>
        </w:rPr>
      </w:pPr>
      <w:r>
        <w:rPr>
          <w:snapToGrid w:val="0"/>
        </w:rPr>
        <w:tab/>
      </w:r>
      <w:r>
        <w:rPr>
          <w:snapToGrid w:val="0"/>
        </w:rPr>
        <w:tab/>
        <w:t>the CEO may grant to the person a rock lobster pot licence.</w:t>
      </w:r>
    </w:p>
    <w:p>
      <w:pPr>
        <w:pStyle w:val="Footnotesection"/>
      </w:pPr>
      <w:r>
        <w:tab/>
        <w:t>[Regulation 126 amended in Gazette 6 Jul 2007 p. 3389.]</w:t>
      </w:r>
    </w:p>
    <w:p>
      <w:pPr>
        <w:pStyle w:val="Ednotesection"/>
      </w:pPr>
      <w:r>
        <w:t>[</w:t>
      </w:r>
      <w:r>
        <w:rPr>
          <w:b/>
        </w:rPr>
        <w:t>127, 128.</w:t>
      </w:r>
      <w:r>
        <w:rPr>
          <w:b/>
        </w:rPr>
        <w:tab/>
      </w:r>
      <w:r>
        <w:t>Deleted in Gazette 4 Sep 2007 p. 4520.]</w:t>
      </w:r>
    </w:p>
    <w:p>
      <w:pPr>
        <w:pStyle w:val="Heading3"/>
      </w:pPr>
      <w:bookmarkStart w:id="4889" w:name="_Toc189988073"/>
      <w:bookmarkStart w:id="4890" w:name="_Toc192041656"/>
      <w:bookmarkStart w:id="4891" w:name="_Toc199570890"/>
      <w:bookmarkStart w:id="4892" w:name="_Toc199738888"/>
      <w:bookmarkStart w:id="4893" w:name="_Toc199814989"/>
      <w:bookmarkStart w:id="4894" w:name="_Toc215040796"/>
      <w:bookmarkStart w:id="4895" w:name="_Toc215041241"/>
      <w:bookmarkStart w:id="4896" w:name="_Toc222129449"/>
      <w:bookmarkStart w:id="4897" w:name="_Toc222223154"/>
      <w:bookmarkStart w:id="4898" w:name="_Toc225914406"/>
      <w:bookmarkStart w:id="4899" w:name="_Toc231282451"/>
      <w:bookmarkStart w:id="4900" w:name="_Toc231282895"/>
      <w:bookmarkStart w:id="4901" w:name="_Toc234899485"/>
      <w:bookmarkStart w:id="4902" w:name="_Toc236632767"/>
      <w:bookmarkStart w:id="4903" w:name="_Toc236720380"/>
      <w:bookmarkStart w:id="4904" w:name="_Toc237764579"/>
      <w:bookmarkStart w:id="4905" w:name="_Toc238356203"/>
      <w:bookmarkStart w:id="4906" w:name="_Toc238368908"/>
      <w:bookmarkStart w:id="4907" w:name="_Toc238375861"/>
      <w:bookmarkStart w:id="4908" w:name="_Toc240339185"/>
      <w:bookmarkStart w:id="4909" w:name="_Toc241993691"/>
      <w:bookmarkStart w:id="4910" w:name="_Toc243192834"/>
      <w:bookmarkStart w:id="4911" w:name="_Toc243295536"/>
      <w:bookmarkStart w:id="4912" w:name="_Toc245113109"/>
      <w:bookmarkStart w:id="4913" w:name="_Toc245198271"/>
      <w:bookmarkStart w:id="4914" w:name="_Toc245198720"/>
      <w:bookmarkStart w:id="4915" w:name="_Toc245199169"/>
      <w:bookmarkStart w:id="4916" w:name="_Toc248122200"/>
      <w:bookmarkStart w:id="4917" w:name="_Toc248122651"/>
      <w:bookmarkStart w:id="4918" w:name="_Toc253670638"/>
      <w:bookmarkStart w:id="4919" w:name="_Toc253671088"/>
      <w:bookmarkStart w:id="4920" w:name="_Toc254942862"/>
      <w:bookmarkStart w:id="4921" w:name="_Toc254943315"/>
      <w:bookmarkStart w:id="4922" w:name="_Toc255475907"/>
      <w:bookmarkStart w:id="4923" w:name="_Toc256432228"/>
      <w:bookmarkStart w:id="4924" w:name="_Toc257720565"/>
      <w:bookmarkStart w:id="4925" w:name="_Toc257722247"/>
      <w:bookmarkStart w:id="4926" w:name="_Toc258335923"/>
      <w:bookmarkStart w:id="4927" w:name="_Toc260406365"/>
      <w:bookmarkStart w:id="4928" w:name="_Toc261271551"/>
      <w:bookmarkStart w:id="4929" w:name="_Toc262808233"/>
      <w:bookmarkStart w:id="4930" w:name="_Toc267572626"/>
      <w:bookmarkStart w:id="4931" w:name="_Toc270684375"/>
      <w:bookmarkStart w:id="4932" w:name="_Toc274214552"/>
      <w:bookmarkStart w:id="4933" w:name="_Toc274215001"/>
      <w:bookmarkStart w:id="4934" w:name="_Toc278976332"/>
      <w:bookmarkStart w:id="4935" w:name="_Toc286760655"/>
      <w:bookmarkStart w:id="4936" w:name="_Toc289081000"/>
      <w:bookmarkStart w:id="4937" w:name="_Toc290284194"/>
      <w:bookmarkStart w:id="4938" w:name="_Toc290643015"/>
      <w:bookmarkStart w:id="4939" w:name="_Toc290643464"/>
      <w:bookmarkStart w:id="4940" w:name="_Toc290643917"/>
      <w:bookmarkStart w:id="4941" w:name="_Toc294701734"/>
      <w:bookmarkStart w:id="4942" w:name="_Toc295200142"/>
      <w:bookmarkStart w:id="4943" w:name="_Toc296954583"/>
      <w:bookmarkStart w:id="4944" w:name="_Toc297276215"/>
      <w:bookmarkStart w:id="4945" w:name="_Toc297276667"/>
      <w:bookmarkStart w:id="4946" w:name="_Toc297277117"/>
      <w:bookmarkStart w:id="4947" w:name="_Toc297726486"/>
      <w:bookmarkStart w:id="4948" w:name="_Toc299980272"/>
      <w:bookmarkStart w:id="4949" w:name="_Toc300234898"/>
      <w:bookmarkStart w:id="4950" w:name="_Toc301961401"/>
      <w:bookmarkStart w:id="4951" w:name="_Toc301966971"/>
      <w:bookmarkStart w:id="4952" w:name="_Toc303253180"/>
      <w:bookmarkStart w:id="4953" w:name="_Toc303257344"/>
      <w:bookmarkStart w:id="4954" w:name="_Toc307992977"/>
      <w:bookmarkStart w:id="4955" w:name="_Toc309030010"/>
      <w:bookmarkStart w:id="4956" w:name="_Toc309304233"/>
      <w:bookmarkStart w:id="4957" w:name="_Toc309304686"/>
      <w:bookmarkStart w:id="4958" w:name="_Toc309309510"/>
      <w:r>
        <w:rPr>
          <w:rStyle w:val="CharDivNo"/>
        </w:rPr>
        <w:t>Division 4</w:t>
      </w:r>
      <w:r>
        <w:t> — </w:t>
      </w:r>
      <w:r>
        <w:rPr>
          <w:rStyle w:val="CharDivText"/>
        </w:rPr>
        <w:t>Aquatic eco</w:t>
      </w:r>
      <w:r>
        <w:rPr>
          <w:rStyle w:val="CharDivText"/>
        </w:rPr>
        <w:noBreakHyphen/>
        <w:t>tourism operators</w:t>
      </w:r>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p>
    <w:p>
      <w:pPr>
        <w:pStyle w:val="Footnoteheading"/>
        <w:tabs>
          <w:tab w:val="left" w:pos="909"/>
        </w:tabs>
        <w:ind w:left="923" w:hanging="923"/>
      </w:pPr>
      <w:r>
        <w:tab/>
        <w:t>[Heading inserted in Gazette 29 Jun 2001 p. 3165.]</w:t>
      </w:r>
    </w:p>
    <w:p>
      <w:pPr>
        <w:pStyle w:val="Heading5"/>
      </w:pPr>
      <w:bookmarkStart w:id="4959" w:name="_Toc309309511"/>
      <w:r>
        <w:rPr>
          <w:rStyle w:val="CharSectno"/>
        </w:rPr>
        <w:t>128A</w:t>
      </w:r>
      <w:r>
        <w:t>.</w:t>
      </w:r>
      <w:r>
        <w:tab/>
        <w:t>Aquatic eco</w:t>
      </w:r>
      <w:r>
        <w:noBreakHyphen/>
        <w:t>tourism operator’s licence, when required</w:t>
      </w:r>
      <w:bookmarkEnd w:id="4959"/>
    </w:p>
    <w:p>
      <w:pPr>
        <w:pStyle w:val="Subsection"/>
        <w:spacing w:before="120"/>
      </w:pPr>
      <w:r>
        <w:tab/>
        <w:t>(1)</w:t>
      </w:r>
      <w:r>
        <w:tab/>
        <w:t xml:space="preserve">Subject to </w:t>
      </w:r>
      <w:r>
        <w:rPr>
          <w:snapToGrid w:val="0"/>
        </w:rPr>
        <w:t>subregulations (</w:t>
      </w:r>
      <w:r>
        <w:t>2) and (3), a person who engages in aquatic eco</w:t>
      </w:r>
      <w:r>
        <w:noBreakHyphen/>
        <w:t>tourism for a commercial purpose in a zone set out in Schedule 15 must be authorised to do so under an aquatic eco</w:t>
      </w:r>
      <w:r>
        <w:noBreakHyphen/>
        <w:t>tourism operator’s licence for that zone.</w:t>
      </w:r>
    </w:p>
    <w:p>
      <w:pPr>
        <w:pStyle w:val="Penstart"/>
      </w:pPr>
      <w:r>
        <w:tab/>
        <w:t>Penalty: $10 000.</w:t>
      </w:r>
    </w:p>
    <w:p>
      <w:pPr>
        <w:pStyle w:val="Subsection"/>
      </w:pPr>
      <w:r>
        <w:tab/>
        <w:t>(2)</w:t>
      </w:r>
      <w:r>
        <w:tab/>
        <w:t>Subregulation (1) does not apply if —</w:t>
      </w:r>
    </w:p>
    <w:p>
      <w:pPr>
        <w:pStyle w:val="Indenta"/>
      </w:pPr>
      <w:r>
        <w:tab/>
        <w:t>(a)</w:t>
      </w:r>
      <w:r>
        <w:tab/>
        <w:t>a person who engages in eco</w:t>
      </w:r>
      <w:r>
        <w:noBreakHyphen/>
        <w:t xml:space="preserve">tourism for a commercial purpose has a licence to do so issued under, or who is otherwise authorised to do so under, the </w:t>
      </w:r>
      <w:r>
        <w:rPr>
          <w:i/>
        </w:rPr>
        <w:t>Conservation and Land Management Act 1984</w:t>
      </w:r>
      <w:r>
        <w:t xml:space="preserve"> or regulations made under that Act; and</w:t>
      </w:r>
    </w:p>
    <w:p>
      <w:pPr>
        <w:pStyle w:val="Indenta"/>
      </w:pPr>
      <w:r>
        <w:tab/>
        <w:t>(b)</w:t>
      </w:r>
      <w:r>
        <w:tab/>
        <w:t>the eco</w:t>
      </w:r>
      <w:r>
        <w:noBreakHyphen/>
        <w:t xml:space="preserve">tourism operation is conducted wholly within a marine reserve as defined in section 3 of the </w:t>
      </w:r>
      <w:r>
        <w:rPr>
          <w:i/>
        </w:rPr>
        <w:t>Conservation and Land Management Act 1984</w:t>
      </w:r>
      <w:r>
        <w:t>.</w:t>
      </w:r>
    </w:p>
    <w:p>
      <w:pPr>
        <w:pStyle w:val="Subsection"/>
      </w:pPr>
      <w:r>
        <w:tab/>
        <w:t>(3)</w:t>
      </w:r>
      <w:r>
        <w:tab/>
        <w:t>Subregulation (1) does not apply if a person who engages in eco</w:t>
      </w:r>
      <w:r>
        <w:noBreakHyphen/>
        <w:t>tourism for a commercial purpose has a fishing tour operator’s licence or a restricted fishing tour operator’s licence.</w:t>
      </w:r>
    </w:p>
    <w:p>
      <w:pPr>
        <w:pStyle w:val="Footnotesection"/>
      </w:pPr>
      <w:r>
        <w:tab/>
        <w:t>[Regulation 128A inserted in Gazette 29 Jun 2001 p. 3165; amended in Gazette 27 Jun 2003 p. 2390; 1 Mar 2011 p. 672.]</w:t>
      </w:r>
    </w:p>
    <w:p>
      <w:pPr>
        <w:pStyle w:val="Heading5"/>
        <w:keepLines w:val="0"/>
      </w:pPr>
      <w:bookmarkStart w:id="4960" w:name="_Toc309309512"/>
      <w:r>
        <w:rPr>
          <w:rStyle w:val="CharSectno"/>
        </w:rPr>
        <w:t>128B</w:t>
      </w:r>
      <w:r>
        <w:t>.</w:t>
      </w:r>
      <w:r>
        <w:tab/>
        <w:t>Aquatic eco</w:t>
      </w:r>
      <w:r>
        <w:noBreakHyphen/>
        <w:t>tourism operator’s licence, grant of</w:t>
      </w:r>
      <w:bookmarkEnd w:id="4960"/>
    </w:p>
    <w:p>
      <w:pPr>
        <w:pStyle w:val="Subsection"/>
      </w:pPr>
      <w:r>
        <w:tab/>
        <w:t>(1)</w:t>
      </w:r>
      <w:r>
        <w:tab/>
        <w:t>If a person applies to the CEO for the grant of an aquatic eco</w:t>
      </w:r>
      <w:r>
        <w:noBreakHyphen/>
        <w:t>tourism operator’s licence to engage in aquatic eco</w:t>
      </w:r>
      <w:r>
        <w:noBreakHyphen/>
        <w:t>tourism for a commercial purpose in a zone set out in Schedule 15 and the CEO is satisfied that —</w:t>
      </w:r>
    </w:p>
    <w:p>
      <w:pPr>
        <w:pStyle w:val="Indenta"/>
        <w:spacing w:before="60"/>
      </w:pPr>
      <w:r>
        <w:tab/>
        <w:t>(a)</w:t>
      </w:r>
      <w:r>
        <w:tab/>
        <w:t>the person is a fit and proper person to hold the licence; and</w:t>
      </w:r>
    </w:p>
    <w:p>
      <w:pPr>
        <w:pStyle w:val="Indenta"/>
        <w:keepNext/>
        <w:spacing w:before="60"/>
      </w:pPr>
      <w:r>
        <w:tab/>
        <w:t>(b)</w:t>
      </w:r>
      <w:r>
        <w:tab/>
        <w:t>it is in the interests of the management of aquatic eco</w:t>
      </w:r>
      <w:r>
        <w:noBreakHyphen/>
        <w:t>tourism to grant the licence,</w:t>
      </w:r>
    </w:p>
    <w:p>
      <w:pPr>
        <w:pStyle w:val="Subsection"/>
      </w:pPr>
      <w:r>
        <w:tab/>
      </w:r>
      <w:r>
        <w:tab/>
        <w:t>the CEO may grant to the person an aquatic eco</w:t>
      </w:r>
      <w:r>
        <w:noBreakHyphen/>
        <w:t>tourism operator’s licence for that zone.</w:t>
      </w:r>
    </w:p>
    <w:p>
      <w:pPr>
        <w:pStyle w:val="Subsection"/>
      </w:pPr>
      <w:r>
        <w:tab/>
        <w:t>(2)</w:t>
      </w:r>
      <w:r>
        <w:tab/>
        <w:t>An aquatic eco</w:t>
      </w:r>
      <w:r>
        <w:noBreakHyphen/>
        <w:t>tourism operator’s licence is to —</w:t>
      </w:r>
    </w:p>
    <w:p>
      <w:pPr>
        <w:pStyle w:val="Indenta"/>
      </w:pPr>
      <w:r>
        <w:tab/>
        <w:t>(a)</w:t>
      </w:r>
      <w:r>
        <w:tab/>
        <w:t>specify the name and business address of the holder of the licence; and</w:t>
      </w:r>
    </w:p>
    <w:p>
      <w:pPr>
        <w:pStyle w:val="Indenta"/>
      </w:pPr>
      <w:r>
        <w:tab/>
        <w:t>(b)</w:t>
      </w:r>
      <w:r>
        <w:tab/>
        <w:t>specify the licence number; and</w:t>
      </w:r>
    </w:p>
    <w:p>
      <w:pPr>
        <w:pStyle w:val="Indenta"/>
      </w:pPr>
      <w:r>
        <w:tab/>
        <w:t>(c)</w:t>
      </w:r>
      <w:r>
        <w:tab/>
        <w:t>specify the period for which the licence has been granted; and</w:t>
      </w:r>
    </w:p>
    <w:p>
      <w:pPr>
        <w:pStyle w:val="Indenta"/>
      </w:pPr>
      <w:r>
        <w:tab/>
        <w:t>(d)</w:t>
      </w:r>
      <w:r>
        <w:tab/>
        <w:t>specify the zone in which an aquatic eco</w:t>
      </w:r>
      <w:r>
        <w:noBreakHyphen/>
        <w:t>tour may be conducted under the licence; and</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r>
      <w:r>
        <w:tab/>
        <w:t>and</w:t>
      </w:r>
    </w:p>
    <w:p>
      <w:pPr>
        <w:pStyle w:val="Indenta"/>
      </w:pPr>
      <w:r>
        <w:tab/>
        <w:t>(f)</w:t>
      </w:r>
      <w:r>
        <w:tab/>
        <w:t>specify any conditions that the CEO has imposed in relation to the grant of the licence; and</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128B inserted in Gazette 29 Jun 2001 p. 3165</w:t>
      </w:r>
      <w:r>
        <w:noBreakHyphen/>
        <w:t>7; amended in Gazette 27 Jun 2003 p. 2390; 6 Jul 2007 p. 3389.]</w:t>
      </w:r>
    </w:p>
    <w:p>
      <w:pPr>
        <w:pStyle w:val="Ednotesection"/>
      </w:pPr>
      <w:r>
        <w:t>[</w:t>
      </w:r>
      <w:r>
        <w:rPr>
          <w:b/>
        </w:rPr>
        <w:t>128C.</w:t>
      </w:r>
      <w:r>
        <w:tab/>
        <w:t>Deleted in Gazette 27 Jun 2003 p. 2390.]</w:t>
      </w:r>
    </w:p>
    <w:p>
      <w:pPr>
        <w:pStyle w:val="Heading5"/>
        <w:keepLines w:val="0"/>
      </w:pPr>
      <w:bookmarkStart w:id="4961" w:name="_Toc309309513"/>
      <w:r>
        <w:rPr>
          <w:rStyle w:val="CharSectno"/>
        </w:rPr>
        <w:t>128D</w:t>
      </w:r>
      <w:r>
        <w:t>.</w:t>
      </w:r>
      <w:r>
        <w:tab/>
        <w:t>Documents to be carried on boat etc. connected with aquatic eco-tour</w:t>
      </w:r>
      <w:bookmarkEnd w:id="4961"/>
      <w:r>
        <w:t xml:space="preserve"> </w:t>
      </w:r>
    </w:p>
    <w:p>
      <w:pPr>
        <w:pStyle w:val="Subsection"/>
        <w:spacing w:before="120"/>
      </w:pPr>
      <w:r>
        <w:tab/>
        <w:t>(1)</w:t>
      </w:r>
      <w:r>
        <w:tab/>
        <w:t>The master or person in charge of a boat, vehicle, or aircraft used in connection with an aquatic eco</w:t>
      </w:r>
      <w:r>
        <w:noBreakHyphen/>
        <w:t>tour must unless regulation 128A(2) applies to the tour cause to be kept on board the boat, vehicle or aircraft —</w:t>
      </w:r>
    </w:p>
    <w:p>
      <w:pPr>
        <w:pStyle w:val="Indenta"/>
      </w:pPr>
      <w:r>
        <w:tab/>
        <w:t>(a)</w:t>
      </w:r>
      <w:r>
        <w:tab/>
        <w:t>the aquatic eco</w:t>
      </w:r>
      <w:r>
        <w:noBreakHyphen/>
        <w:t>tourism operator’s licence or the fishing tour operator’s licence, as the case may be, of the person conducting the tour; and</w:t>
      </w:r>
    </w:p>
    <w:p>
      <w:pPr>
        <w:pStyle w:val="Indenta"/>
      </w:pPr>
      <w:r>
        <w:tab/>
        <w:t>(b)</w:t>
      </w:r>
      <w:r>
        <w:tab/>
        <w:t>any other authorisation relating to the boat or its crew, vehicle or aircraft required to be held under the Act,</w:t>
      </w:r>
    </w:p>
    <w:p>
      <w:pPr>
        <w:pStyle w:val="Subsection"/>
        <w:spacing w:before="120"/>
      </w:pPr>
      <w:r>
        <w:tab/>
      </w:r>
      <w:r>
        <w:tab/>
        <w:t>or legible copies of those documents.</w:t>
      </w:r>
    </w:p>
    <w:p>
      <w:pPr>
        <w:pStyle w:val="Penstart"/>
      </w:pPr>
      <w:r>
        <w:tab/>
        <w:t>Penalty: $2 000.</w:t>
      </w:r>
    </w:p>
    <w:p>
      <w:pPr>
        <w:pStyle w:val="Subsection"/>
      </w:pPr>
      <w:r>
        <w:tab/>
        <w:t>(2)</w:t>
      </w:r>
      <w:r>
        <w:tab/>
        <w:t>Where the CEO considers that it would be impractical to require a person to comply with subregulation (1), the CEO may in writing exempt that person from that subregulation in relation to a boat, vehicle or aircraft or class of boats, vehicles or aircraft.</w:t>
      </w:r>
    </w:p>
    <w:p>
      <w:pPr>
        <w:pStyle w:val="Subsection"/>
      </w:pPr>
      <w:r>
        <w:tab/>
        <w:t>(3)</w:t>
      </w:r>
      <w:r>
        <w:tab/>
        <w:t>The master or person in charge of a boat, vehicle or aircraft used in connection with an aquatic eco</w:t>
      </w:r>
      <w:r>
        <w:noBreakHyphen/>
        <w:t>tour must cause the exemption or a legible copy of it to be kept on board the boat, vehicle or aircraft.</w:t>
      </w:r>
    </w:p>
    <w:p>
      <w:pPr>
        <w:pStyle w:val="Penstart"/>
      </w:pPr>
      <w:r>
        <w:tab/>
        <w:t>Penalty: $500.</w:t>
      </w:r>
    </w:p>
    <w:p>
      <w:pPr>
        <w:pStyle w:val="Footnotesection"/>
      </w:pPr>
      <w:r>
        <w:tab/>
        <w:t>[Regulation 128D inserted in Gazette 29 Jun 2001 p. 3167</w:t>
      </w:r>
      <w:r>
        <w:noBreakHyphen/>
        <w:t>8; amended in Gazette 6 Jul 2007 p. 3389.]</w:t>
      </w:r>
    </w:p>
    <w:p>
      <w:pPr>
        <w:pStyle w:val="Heading5"/>
      </w:pPr>
      <w:bookmarkStart w:id="4962" w:name="_Toc309309514"/>
      <w:r>
        <w:rPr>
          <w:rStyle w:val="CharSectno"/>
        </w:rPr>
        <w:t>128E</w:t>
      </w:r>
      <w:r>
        <w:t>.</w:t>
      </w:r>
      <w:r>
        <w:tab/>
        <w:t>Records to be kept and returns to be given to Department</w:t>
      </w:r>
      <w:bookmarkEnd w:id="4962"/>
    </w:p>
    <w:p>
      <w:pPr>
        <w:pStyle w:val="Subsection"/>
      </w:pPr>
      <w:r>
        <w:tab/>
        <w:t>(1)</w:t>
      </w:r>
      <w:r>
        <w:tab/>
        <w:t>The holder of an aquatic eco</w:t>
      </w:r>
      <w:r>
        <w:noBreakHyphen/>
        <w:t>tourism operator’s licence must keep records relevant to operations conducted under that licence relating to the times and places of carrying out aquatic eco</w:t>
      </w:r>
      <w:r>
        <w:noBreakHyphen/>
        <w:t>tourism for a commercial purpose and must retain those records for a period of not less than 7 years.</w:t>
      </w:r>
    </w:p>
    <w:p>
      <w:pPr>
        <w:pStyle w:val="Subsection"/>
      </w:pPr>
      <w:r>
        <w:tab/>
        <w:t>(2)</w:t>
      </w:r>
      <w:r>
        <w:tab/>
        <w:t>Subject to subregulation (5), a person who must keep records under this regulation must submit a return to the Department regarding the operations each month and, where there have been no operations in the month, the return must be marked “Nil”.</w:t>
      </w:r>
    </w:p>
    <w:p>
      <w:pPr>
        <w:pStyle w:val="Subsection"/>
      </w:pPr>
      <w:r>
        <w:tab/>
        <w:t>(3)</w:t>
      </w:r>
      <w:r>
        <w:tab/>
        <w:t>If the CEO has approved a form for that return, a person who must submit a return must use the relevant form approved by the CEO.</w:t>
      </w:r>
    </w:p>
    <w:p>
      <w:pPr>
        <w:pStyle w:val="Subsection"/>
      </w:pPr>
      <w:r>
        <w:tab/>
        <w:t>(4)</w:t>
      </w:r>
      <w:r>
        <w:tab/>
        <w:t xml:space="preserve">A person who must submit a return must send the return relating to each month to the head office of the Department in </w:t>
      </w:r>
      <w:smartTag w:uri="urn:schemas-microsoft-com:office:smarttags" w:element="place">
        <w:smartTag w:uri="urn:schemas-microsoft-com:office:smarttags" w:element="City">
          <w:r>
            <w:t>Perth</w:t>
          </w:r>
        </w:smartTag>
      </w:smartTag>
      <w:r>
        <w:t xml:space="preserve"> to arrive not later than the 15th day of the next month.</w:t>
      </w:r>
    </w:p>
    <w:p>
      <w:pPr>
        <w:pStyle w:val="Subsection"/>
      </w:pPr>
      <w:r>
        <w:tab/>
        <w:t>(5)</w:t>
      </w:r>
      <w:r>
        <w:tab/>
        <w:t>The CEO may in writing exempt a person who must keep records under this regulation from submitting a monthly return under subregulation (2) for the period of time, or in respect of the operation, specified in writing and sent to the person who is to be exempt.</w:t>
      </w:r>
    </w:p>
    <w:p>
      <w:pPr>
        <w:pStyle w:val="Subsection"/>
        <w:keepNext/>
      </w:pPr>
      <w:r>
        <w:tab/>
        <w:t>(6)</w:t>
      </w:r>
      <w:r>
        <w:tab/>
        <w:t>A person must not make an entry or statement that is false or misleading in a material particular in a record kept or a return submitted under this regulation.</w:t>
      </w:r>
    </w:p>
    <w:p>
      <w:pPr>
        <w:pStyle w:val="Penstart"/>
      </w:pPr>
      <w:r>
        <w:tab/>
        <w:t>Penalty: In the case of an individual $5 000 or, in the case of a body corporate, $10 000.</w:t>
      </w:r>
    </w:p>
    <w:p>
      <w:pPr>
        <w:pStyle w:val="Footnotesection"/>
      </w:pPr>
      <w:r>
        <w:tab/>
        <w:t>[Regulation 128E inserted in Gazette 29 Jun 2001 p. 3168</w:t>
      </w:r>
      <w:r>
        <w:noBreakHyphen/>
        <w:t>9; amended in Gazette 27 Jun 2003 p. 2390; 6 Jul 2007 p. 3389.]</w:t>
      </w:r>
    </w:p>
    <w:p>
      <w:pPr>
        <w:pStyle w:val="Ednotesection"/>
        <w:spacing w:before="180"/>
      </w:pPr>
      <w:r>
        <w:t>[</w:t>
      </w:r>
      <w:r>
        <w:rPr>
          <w:b/>
        </w:rPr>
        <w:t>128F.</w:t>
      </w:r>
      <w:r>
        <w:tab/>
        <w:t>Deleted in Gazette 27 Jun 2003 p. 2390.]</w:t>
      </w:r>
    </w:p>
    <w:p>
      <w:pPr>
        <w:pStyle w:val="Heading5"/>
        <w:spacing w:before="180"/>
      </w:pPr>
      <w:bookmarkStart w:id="4963" w:name="_Toc309309515"/>
      <w:r>
        <w:rPr>
          <w:rStyle w:val="CharSectno"/>
        </w:rPr>
        <w:t>128G</w:t>
      </w:r>
      <w:r>
        <w:t>.</w:t>
      </w:r>
      <w:r>
        <w:tab/>
        <w:t>Fishing etc. and fish prohibited on aquatic eco</w:t>
      </w:r>
      <w:r>
        <w:noBreakHyphen/>
        <w:t>tour</w:t>
      </w:r>
      <w:bookmarkEnd w:id="4963"/>
    </w:p>
    <w:p>
      <w:pPr>
        <w:pStyle w:val="Subsection"/>
      </w:pPr>
      <w:r>
        <w:tab/>
        <w:t>(1)</w:t>
      </w:r>
      <w:r>
        <w:tab/>
        <w:t>The master of a boat used for an aquatic eco</w:t>
      </w:r>
      <w:r>
        <w:noBreakHyphen/>
        <w:t>tourism trip must not allow a participant in the tour to —</w:t>
      </w:r>
    </w:p>
    <w:p>
      <w:pPr>
        <w:pStyle w:val="Indenta"/>
      </w:pPr>
      <w:r>
        <w:tab/>
        <w:t>(a)</w:t>
      </w:r>
      <w:r>
        <w:tab/>
        <w:t>take any fish while on the boat; or</w:t>
      </w:r>
    </w:p>
    <w:p>
      <w:pPr>
        <w:pStyle w:val="Indenta"/>
      </w:pPr>
      <w:r>
        <w:tab/>
        <w:t>(b)</w:t>
      </w:r>
      <w:r>
        <w:tab/>
        <w:t>keep any fish on the boat; or</w:t>
      </w:r>
    </w:p>
    <w:p>
      <w:pPr>
        <w:pStyle w:val="Indenta"/>
      </w:pPr>
      <w:r>
        <w:tab/>
        <w:t>(c)</w:t>
      </w:r>
      <w:r>
        <w:tab/>
        <w:t>bring onto land any fish from the boat.</w:t>
      </w:r>
    </w:p>
    <w:p>
      <w:pPr>
        <w:pStyle w:val="Penstart"/>
      </w:pPr>
      <w:r>
        <w:tab/>
        <w:t>Penalty: $2 000.</w:t>
      </w:r>
    </w:p>
    <w:p>
      <w:pPr>
        <w:pStyle w:val="Subsection"/>
      </w:pPr>
      <w:r>
        <w:tab/>
        <w:t>(2)</w:t>
      </w:r>
      <w:r>
        <w:tab/>
        <w:t>The person in charge of any boat, vehicle or aircraft being used for an aquatic eco</w:t>
      </w:r>
      <w:r>
        <w:noBreakHyphen/>
        <w:t>tourism trip must not —</w:t>
      </w:r>
    </w:p>
    <w:p>
      <w:pPr>
        <w:pStyle w:val="Indenta"/>
      </w:pPr>
      <w:r>
        <w:tab/>
        <w:t>(a)</w:t>
      </w:r>
      <w:r>
        <w:tab/>
        <w:t>commence the tour with any fish on the boat, vehicle or aircraft; or</w:t>
      </w:r>
    </w:p>
    <w:p>
      <w:pPr>
        <w:pStyle w:val="Indenta"/>
      </w:pPr>
      <w:r>
        <w:tab/>
        <w:t>(b)</w:t>
      </w:r>
      <w:r>
        <w:tab/>
        <w:t>allow any fish to remain on the boat at the end of the tour.</w:t>
      </w:r>
    </w:p>
    <w:p>
      <w:pPr>
        <w:pStyle w:val="Penstart"/>
      </w:pPr>
      <w:r>
        <w:tab/>
        <w:t>Penalty: $10 000.</w:t>
      </w:r>
    </w:p>
    <w:p>
      <w:pPr>
        <w:pStyle w:val="Ednotesubsection"/>
        <w:spacing w:before="120"/>
      </w:pPr>
      <w:r>
        <w:tab/>
        <w:t>[(3)</w:t>
      </w:r>
      <w:r>
        <w:tab/>
        <w:t>deleted]</w:t>
      </w:r>
    </w:p>
    <w:p>
      <w:pPr>
        <w:pStyle w:val="Subsection"/>
        <w:spacing w:before="120"/>
      </w:pPr>
      <w:r>
        <w:tab/>
        <w:t>(4)</w:t>
      </w:r>
      <w:r>
        <w:tab/>
        <w:t>It is a defence in proceedings for an offence against subregulation (2)(a) or (2)(b) for the person charged to prove that the fish was purchased from a person other than a participant in the tour for the purpose of providing meals for participants in a tour on the boat.</w:t>
      </w:r>
    </w:p>
    <w:p>
      <w:pPr>
        <w:pStyle w:val="Footnotesection"/>
        <w:spacing w:before="80"/>
        <w:ind w:left="890" w:hanging="890"/>
      </w:pPr>
      <w:r>
        <w:tab/>
        <w:t>[Regulation 128G inserted in Gazette 29 Jun 2001 p. 3169</w:t>
      </w:r>
      <w:r>
        <w:noBreakHyphen/>
        <w:t>70; amended in Gazette 27 Jun 2003 p. 2390</w:t>
      </w:r>
      <w:r>
        <w:noBreakHyphen/>
        <w:t>1; 4 Nov 2005 p. 5312.]</w:t>
      </w:r>
    </w:p>
    <w:p>
      <w:pPr>
        <w:pStyle w:val="Heading5"/>
        <w:spacing w:before="180"/>
      </w:pPr>
      <w:bookmarkStart w:id="4964" w:name="_Toc309309516"/>
      <w:r>
        <w:rPr>
          <w:rStyle w:val="CharSectno"/>
        </w:rPr>
        <w:t>128H</w:t>
      </w:r>
      <w:r>
        <w:t>.</w:t>
      </w:r>
      <w:r>
        <w:tab/>
        <w:t>Boat not to be used for both commercial fishing and aquatic eco</w:t>
      </w:r>
      <w:r>
        <w:noBreakHyphen/>
        <w:t>tour during single trip</w:t>
      </w:r>
      <w:bookmarkEnd w:id="4964"/>
    </w:p>
    <w:p>
      <w:pPr>
        <w:pStyle w:val="Subsection"/>
      </w:pPr>
      <w:r>
        <w:tab/>
      </w:r>
      <w:r>
        <w:tab/>
        <w:t>A person who uses a licensed fishing boat that is specified in an aquatic eco</w:t>
      </w:r>
      <w:r>
        <w:noBreakHyphen/>
        <w:t>tourism operator’s licence for or in connection with commercial fishing and an aquatic eco</w:t>
      </w:r>
      <w:r>
        <w:noBreakHyphen/>
        <w:t>tour in the course of a single trip commits an offence.</w:t>
      </w:r>
    </w:p>
    <w:p>
      <w:pPr>
        <w:pStyle w:val="Penstart"/>
      </w:pPr>
      <w:r>
        <w:tab/>
        <w:t>Penalty: $5 000.</w:t>
      </w:r>
    </w:p>
    <w:p>
      <w:pPr>
        <w:pStyle w:val="Footnotesection"/>
        <w:spacing w:before="80"/>
        <w:ind w:left="890" w:hanging="890"/>
      </w:pPr>
      <w:r>
        <w:tab/>
        <w:t>[Regulation 128H inserted in Gazette 27 Jun 2003 p. 2391.]</w:t>
      </w:r>
    </w:p>
    <w:p>
      <w:pPr>
        <w:pStyle w:val="Heading3"/>
        <w:keepLines/>
      </w:pPr>
      <w:bookmarkStart w:id="4965" w:name="_Toc189988080"/>
      <w:bookmarkStart w:id="4966" w:name="_Toc192041663"/>
      <w:bookmarkStart w:id="4967" w:name="_Toc199570897"/>
      <w:bookmarkStart w:id="4968" w:name="_Toc199738895"/>
      <w:bookmarkStart w:id="4969" w:name="_Toc199814996"/>
      <w:bookmarkStart w:id="4970" w:name="_Toc215040803"/>
      <w:bookmarkStart w:id="4971" w:name="_Toc215041248"/>
      <w:bookmarkStart w:id="4972" w:name="_Toc222129456"/>
      <w:bookmarkStart w:id="4973" w:name="_Toc222223161"/>
      <w:bookmarkStart w:id="4974" w:name="_Toc225914413"/>
      <w:bookmarkStart w:id="4975" w:name="_Toc231282458"/>
      <w:bookmarkStart w:id="4976" w:name="_Toc231282902"/>
      <w:bookmarkStart w:id="4977" w:name="_Toc234899492"/>
      <w:bookmarkStart w:id="4978" w:name="_Toc236632774"/>
      <w:bookmarkStart w:id="4979" w:name="_Toc236720387"/>
      <w:bookmarkStart w:id="4980" w:name="_Toc237764586"/>
      <w:bookmarkStart w:id="4981" w:name="_Toc238356210"/>
      <w:bookmarkStart w:id="4982" w:name="_Toc238368915"/>
      <w:bookmarkStart w:id="4983" w:name="_Toc238375868"/>
      <w:bookmarkStart w:id="4984" w:name="_Toc240339192"/>
      <w:bookmarkStart w:id="4985" w:name="_Toc241993698"/>
      <w:bookmarkStart w:id="4986" w:name="_Toc243192841"/>
      <w:bookmarkStart w:id="4987" w:name="_Toc243295543"/>
      <w:bookmarkStart w:id="4988" w:name="_Toc245113116"/>
      <w:bookmarkStart w:id="4989" w:name="_Toc245198278"/>
      <w:bookmarkStart w:id="4990" w:name="_Toc245198727"/>
      <w:bookmarkStart w:id="4991" w:name="_Toc245199176"/>
      <w:bookmarkStart w:id="4992" w:name="_Toc248122207"/>
      <w:bookmarkStart w:id="4993" w:name="_Toc248122658"/>
      <w:bookmarkStart w:id="4994" w:name="_Toc253670645"/>
      <w:bookmarkStart w:id="4995" w:name="_Toc253671095"/>
      <w:bookmarkStart w:id="4996" w:name="_Toc254942869"/>
      <w:bookmarkStart w:id="4997" w:name="_Toc254943322"/>
      <w:bookmarkStart w:id="4998" w:name="_Toc255475914"/>
      <w:bookmarkStart w:id="4999" w:name="_Toc256432235"/>
      <w:bookmarkStart w:id="5000" w:name="_Toc257720572"/>
      <w:bookmarkStart w:id="5001" w:name="_Toc257722254"/>
      <w:bookmarkStart w:id="5002" w:name="_Toc258335930"/>
      <w:bookmarkStart w:id="5003" w:name="_Toc260406372"/>
      <w:bookmarkStart w:id="5004" w:name="_Toc261271558"/>
      <w:bookmarkStart w:id="5005" w:name="_Toc262808240"/>
      <w:bookmarkStart w:id="5006" w:name="_Toc267572633"/>
      <w:bookmarkStart w:id="5007" w:name="_Toc270684382"/>
      <w:bookmarkStart w:id="5008" w:name="_Toc274214559"/>
      <w:bookmarkStart w:id="5009" w:name="_Toc274215008"/>
      <w:bookmarkStart w:id="5010" w:name="_Toc278976339"/>
      <w:bookmarkStart w:id="5011" w:name="_Toc286760662"/>
      <w:bookmarkStart w:id="5012" w:name="_Toc289081007"/>
      <w:bookmarkStart w:id="5013" w:name="_Toc290284201"/>
      <w:bookmarkStart w:id="5014" w:name="_Toc290643022"/>
      <w:bookmarkStart w:id="5015" w:name="_Toc290643471"/>
      <w:bookmarkStart w:id="5016" w:name="_Toc290643924"/>
      <w:bookmarkStart w:id="5017" w:name="_Toc294701741"/>
      <w:bookmarkStart w:id="5018" w:name="_Toc295200149"/>
      <w:bookmarkStart w:id="5019" w:name="_Toc296954590"/>
      <w:bookmarkStart w:id="5020" w:name="_Toc297276222"/>
      <w:bookmarkStart w:id="5021" w:name="_Toc297276674"/>
      <w:bookmarkStart w:id="5022" w:name="_Toc297277124"/>
      <w:bookmarkStart w:id="5023" w:name="_Toc297726493"/>
      <w:bookmarkStart w:id="5024" w:name="_Toc299980279"/>
      <w:bookmarkStart w:id="5025" w:name="_Toc300234905"/>
      <w:bookmarkStart w:id="5026" w:name="_Toc301961408"/>
      <w:bookmarkStart w:id="5027" w:name="_Toc301966978"/>
      <w:bookmarkStart w:id="5028" w:name="_Toc303253187"/>
      <w:bookmarkStart w:id="5029" w:name="_Toc303257351"/>
      <w:bookmarkStart w:id="5030" w:name="_Toc307992984"/>
      <w:bookmarkStart w:id="5031" w:name="_Toc309030017"/>
      <w:bookmarkStart w:id="5032" w:name="_Toc309304240"/>
      <w:bookmarkStart w:id="5033" w:name="_Toc309304693"/>
      <w:bookmarkStart w:id="5034" w:name="_Toc309309517"/>
      <w:r>
        <w:rPr>
          <w:rStyle w:val="CharDivNo"/>
        </w:rPr>
        <w:t>Division 5</w:t>
      </w:r>
      <w:r>
        <w:t> — </w:t>
      </w:r>
      <w:r>
        <w:rPr>
          <w:rStyle w:val="CharDivText"/>
        </w:rPr>
        <w:t>Fishing tour operators</w:t>
      </w:r>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p>
    <w:p>
      <w:pPr>
        <w:pStyle w:val="Footnoteheading"/>
        <w:keepNext/>
        <w:keepLines/>
        <w:tabs>
          <w:tab w:val="left" w:pos="909"/>
        </w:tabs>
        <w:ind w:left="923" w:hanging="923"/>
      </w:pPr>
      <w:r>
        <w:tab/>
        <w:t>[Heading inserted in Gazette 29 Jun 2001 p. 3171.]</w:t>
      </w:r>
    </w:p>
    <w:p>
      <w:pPr>
        <w:pStyle w:val="Heading5"/>
        <w:spacing w:before="240"/>
      </w:pPr>
      <w:bookmarkStart w:id="5035" w:name="_Toc309309518"/>
      <w:r>
        <w:rPr>
          <w:rStyle w:val="CharSectno"/>
        </w:rPr>
        <w:t>128I</w:t>
      </w:r>
      <w:r>
        <w:t>.</w:t>
      </w:r>
      <w:r>
        <w:tab/>
        <w:t>Fishing tour operator’s licence, when required</w:t>
      </w:r>
      <w:bookmarkEnd w:id="5035"/>
    </w:p>
    <w:p>
      <w:pPr>
        <w:pStyle w:val="Subsection"/>
      </w:pPr>
      <w:r>
        <w:tab/>
      </w:r>
      <w:r>
        <w:tab/>
        <w:t>A person who conducts a fishing tour for a commercial purpose in a zone set out in Schedule 15 must be authorised to do so under a fishing tour operator’s licence or a restricted fishing tour operator’s licence for that zone.</w:t>
      </w:r>
    </w:p>
    <w:p>
      <w:pPr>
        <w:pStyle w:val="Penstart"/>
      </w:pPr>
      <w:r>
        <w:tab/>
        <w:t>Penalty: $10 000.</w:t>
      </w:r>
    </w:p>
    <w:p>
      <w:pPr>
        <w:pStyle w:val="Footnotesection"/>
      </w:pPr>
      <w:r>
        <w:tab/>
        <w:t>[Regulation 128I inserted in Gazette 29 Jun 2001 p. 3171; amended in Gazette 27 Jun 2003 p. 2391; 1 Mar 2011 p. 672.]</w:t>
      </w:r>
    </w:p>
    <w:p>
      <w:pPr>
        <w:pStyle w:val="Heading5"/>
        <w:spacing w:before="180"/>
      </w:pPr>
      <w:bookmarkStart w:id="5036" w:name="_Toc309309519"/>
      <w:r>
        <w:rPr>
          <w:rStyle w:val="CharSectno"/>
        </w:rPr>
        <w:t>128J</w:t>
      </w:r>
      <w:r>
        <w:t>.</w:t>
      </w:r>
      <w:r>
        <w:tab/>
        <w:t>Fishing tour operator’s licence, grant of</w:t>
      </w:r>
      <w:bookmarkEnd w:id="5036"/>
    </w:p>
    <w:p>
      <w:pPr>
        <w:pStyle w:val="Subsection"/>
      </w:pPr>
      <w:r>
        <w:tab/>
        <w:t>(1)</w:t>
      </w:r>
      <w:r>
        <w:tab/>
        <w:t>If a person applies to the CEO for the grant of a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keepNext/>
      </w:pPr>
      <w:r>
        <w:tab/>
        <w:t>(b)</w:t>
      </w:r>
      <w:r>
        <w:tab/>
        <w:t>it is in the interests of the management of commercial and recreational fishing to grant the licence,</w:t>
      </w:r>
    </w:p>
    <w:p>
      <w:pPr>
        <w:pStyle w:val="Subsection"/>
        <w:spacing w:before="120"/>
      </w:pPr>
      <w:r>
        <w:tab/>
      </w:r>
      <w:r>
        <w:tab/>
        <w:t>the CEO may grant to the person a fishing tour operator’s licence for that zone.</w:t>
      </w:r>
    </w:p>
    <w:p>
      <w:pPr>
        <w:pStyle w:val="Subsection"/>
      </w:pPr>
      <w:r>
        <w:tab/>
        <w:t>(1a)</w:t>
      </w:r>
      <w:r>
        <w:tab/>
        <w:t>If a person applies to the CEO for the grant of a restricted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pPr>
      <w:r>
        <w:tab/>
        <w:t>(b)</w:t>
      </w:r>
      <w:r>
        <w:tab/>
        <w:t>it is in the interests of the management of commercial and recreational fishing to grant the licence,</w:t>
      </w:r>
    </w:p>
    <w:p>
      <w:pPr>
        <w:pStyle w:val="Subsection"/>
        <w:spacing w:before="120"/>
      </w:pPr>
      <w:r>
        <w:tab/>
      </w:r>
      <w:r>
        <w:tab/>
        <w:t>the CEO may grant to the person a restricted fishing tour operator’s licence for that zone.</w:t>
      </w:r>
    </w:p>
    <w:p>
      <w:pPr>
        <w:pStyle w:val="Subsection"/>
      </w:pPr>
      <w:r>
        <w:tab/>
        <w:t>(2)</w:t>
      </w:r>
      <w:r>
        <w:tab/>
        <w:t>A fishing tour operator’s licence or a restricted fishing tour operator’s licence is to —</w:t>
      </w:r>
    </w:p>
    <w:p>
      <w:pPr>
        <w:pStyle w:val="Indenta"/>
      </w:pPr>
      <w:r>
        <w:tab/>
        <w:t>(a)</w:t>
      </w:r>
      <w:r>
        <w:tab/>
        <w:t>specify the name and business address of the holder of the licence; and</w:t>
      </w:r>
    </w:p>
    <w:p>
      <w:pPr>
        <w:pStyle w:val="Indenta"/>
      </w:pPr>
      <w:r>
        <w:tab/>
        <w:t>(b)</w:t>
      </w:r>
      <w:r>
        <w:tab/>
        <w:t>specify the licence number; and</w:t>
      </w:r>
    </w:p>
    <w:p>
      <w:pPr>
        <w:pStyle w:val="Indenta"/>
      </w:pPr>
      <w:r>
        <w:tab/>
        <w:t>(c)</w:t>
      </w:r>
      <w:r>
        <w:tab/>
        <w:t>specify the period for which the licence has been granted; and</w:t>
      </w:r>
    </w:p>
    <w:p>
      <w:pPr>
        <w:pStyle w:val="Indenta"/>
      </w:pPr>
      <w:r>
        <w:tab/>
        <w:t>(d)</w:t>
      </w:r>
      <w:r>
        <w:tab/>
        <w:t>specify the zone or a part of a zone in which a fishing tour may be conducted under the licence; and</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r>
      <w:r>
        <w:tab/>
        <w:t>and</w:t>
      </w:r>
    </w:p>
    <w:p>
      <w:pPr>
        <w:pStyle w:val="Indenta"/>
      </w:pPr>
      <w:r>
        <w:tab/>
        <w:t>(f)</w:t>
      </w:r>
      <w:r>
        <w:tab/>
        <w:t>specify any conditions that the CEO has imposed in relation to the grant of the licence; and</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128J inserted in Gazette 29 Jun 2001 p. 3171</w:t>
      </w:r>
      <w:r>
        <w:noBreakHyphen/>
        <w:t>2; amended in Gazette 27 Jun 2003 p. 2391; 6 Jul 2007 p. 3389.]</w:t>
      </w:r>
    </w:p>
    <w:p>
      <w:pPr>
        <w:pStyle w:val="Heading5"/>
      </w:pPr>
      <w:bookmarkStart w:id="5037" w:name="_Toc309309520"/>
      <w:r>
        <w:rPr>
          <w:rStyle w:val="CharSectno"/>
        </w:rPr>
        <w:t>128K</w:t>
      </w:r>
      <w:r>
        <w:t>.</w:t>
      </w:r>
      <w:r>
        <w:tab/>
        <w:t>Master of fishing boat used for fishing tours to notify Department of commercial fishing trip</w:t>
      </w:r>
      <w:bookmarkEnd w:id="5037"/>
    </w:p>
    <w:p>
      <w:pPr>
        <w:pStyle w:val="Subsection"/>
      </w:pPr>
      <w:r>
        <w:tab/>
      </w:r>
      <w:r>
        <w:tab/>
        <w:t>If a boat that is authorised to be used on a fishing tour is also a licensed fishing boat, the master of the boat must, before taking the boat from the port to fish for a commercial purpose or to conduct a fishing tour for a commercial purpose, give notice of the trip in a manner and form approved by the CEO to the office of the Department nearest to that port.</w:t>
      </w:r>
    </w:p>
    <w:p>
      <w:pPr>
        <w:pStyle w:val="Penstart"/>
      </w:pPr>
      <w:r>
        <w:tab/>
        <w:t>Penalty: $2 000.</w:t>
      </w:r>
    </w:p>
    <w:p>
      <w:pPr>
        <w:pStyle w:val="Footnotesection"/>
      </w:pPr>
      <w:r>
        <w:tab/>
        <w:t>[Regulation 128K inserted in Gazette 29 Jun 2001 p. 3172; amended in Gazette 27 Jun 2003 p. 2392; 6 Jul 2007 p. 3389.]</w:t>
      </w:r>
    </w:p>
    <w:p>
      <w:pPr>
        <w:pStyle w:val="Heading5"/>
      </w:pPr>
      <w:bookmarkStart w:id="5038" w:name="_Toc309309521"/>
      <w:r>
        <w:rPr>
          <w:rStyle w:val="CharSectno"/>
        </w:rPr>
        <w:t>128L</w:t>
      </w:r>
      <w:r>
        <w:t>.</w:t>
      </w:r>
      <w:r>
        <w:tab/>
        <w:t>Documents to be carried on boat etc. connected with fishing tour</w:t>
      </w:r>
      <w:bookmarkEnd w:id="5038"/>
    </w:p>
    <w:p>
      <w:pPr>
        <w:pStyle w:val="Subsection"/>
      </w:pPr>
      <w:r>
        <w:tab/>
        <w:t>(1)</w:t>
      </w:r>
      <w:r>
        <w:tab/>
        <w:t xml:space="preserve">The </w:t>
      </w:r>
      <w:r>
        <w:rPr>
          <w:snapToGrid w:val="0"/>
        </w:rPr>
        <w:t>master</w:t>
      </w:r>
      <w:r>
        <w:t xml:space="preserve"> or person in charge of a boat, vehicle or aircraft used for or in connection with a fishing tour must cause to be kept on board the boat, vehicle or aircraft —</w:t>
      </w:r>
    </w:p>
    <w:p>
      <w:pPr>
        <w:pStyle w:val="Indenta"/>
      </w:pPr>
      <w:r>
        <w:tab/>
        <w:t>(a)</w:t>
      </w:r>
      <w:r>
        <w:tab/>
        <w:t>the fishing tour operator’s licence or the restricted fishing tour operator’s licence of the person conducting the tour; and</w:t>
      </w:r>
    </w:p>
    <w:p>
      <w:pPr>
        <w:pStyle w:val="Indenta"/>
      </w:pPr>
      <w:r>
        <w:tab/>
        <w:t>(b)</w:t>
      </w:r>
      <w:r>
        <w:tab/>
        <w:t>any other authorisation relating to the boat or its crew, vehicle or aircraft required to be held under the Act,</w:t>
      </w:r>
    </w:p>
    <w:p>
      <w:pPr>
        <w:pStyle w:val="Subsection"/>
      </w:pPr>
      <w:r>
        <w:tab/>
      </w:r>
      <w:r>
        <w:tab/>
        <w:t xml:space="preserve">or </w:t>
      </w:r>
      <w:r>
        <w:rPr>
          <w:snapToGrid w:val="0"/>
        </w:rPr>
        <w:t>legible</w:t>
      </w:r>
      <w:r>
        <w:t xml:space="preserve"> copies of </w:t>
      </w:r>
      <w:r>
        <w:rPr>
          <w:snapToGrid w:val="0"/>
        </w:rPr>
        <w:t>those</w:t>
      </w:r>
      <w:r>
        <w:t xml:space="preserve"> documents.</w:t>
      </w:r>
    </w:p>
    <w:p>
      <w:pPr>
        <w:pStyle w:val="Penstart"/>
      </w:pPr>
      <w:r>
        <w:tab/>
        <w:t>Penalty: $2 000.</w:t>
      </w:r>
    </w:p>
    <w:p>
      <w:pPr>
        <w:pStyle w:val="Subsection"/>
      </w:pPr>
      <w:r>
        <w:tab/>
        <w:t>(2)</w:t>
      </w:r>
      <w:r>
        <w:tab/>
        <w:t xml:space="preserve">Where the CEO considers that it would be impractical to require a person to comply with </w:t>
      </w:r>
      <w:r>
        <w:rPr>
          <w:snapToGrid w:val="0"/>
        </w:rPr>
        <w:t>subregulation (</w:t>
      </w:r>
      <w:r>
        <w:t>1), the CEO may in writing exempt that person from that subregulation in relation to a boat, vehicle or aircraft or class of boats, vehicles or aircraft.</w:t>
      </w:r>
    </w:p>
    <w:p>
      <w:pPr>
        <w:pStyle w:val="Subsection"/>
      </w:pPr>
      <w:r>
        <w:tab/>
        <w:t>(3)</w:t>
      </w:r>
      <w:r>
        <w:tab/>
        <w:t xml:space="preserve">The </w:t>
      </w:r>
      <w:r>
        <w:rPr>
          <w:snapToGrid w:val="0"/>
        </w:rPr>
        <w:t>master</w:t>
      </w:r>
      <w:r>
        <w:t xml:space="preserve"> or person </w:t>
      </w:r>
      <w:r>
        <w:rPr>
          <w:snapToGrid w:val="0"/>
        </w:rPr>
        <w:t>in</w:t>
      </w:r>
      <w:r>
        <w:t xml:space="preserve"> charge of a boat, vehicle or aircraft used in connection with a fishing tour must cause the exemption or a legible copy of it to be kept on board the boat, vehicle or aircraft.</w:t>
      </w:r>
    </w:p>
    <w:p>
      <w:pPr>
        <w:pStyle w:val="Penstart"/>
      </w:pPr>
      <w:r>
        <w:tab/>
        <w:t>Penalty: $500.</w:t>
      </w:r>
    </w:p>
    <w:p>
      <w:pPr>
        <w:pStyle w:val="Footnotesection"/>
        <w:ind w:left="890" w:hanging="890"/>
      </w:pPr>
      <w:r>
        <w:tab/>
        <w:t>[Regulation 128L inserted in Gazette 29 Jun 2001 p. 3172</w:t>
      </w:r>
      <w:r>
        <w:noBreakHyphen/>
        <w:t>3; amended in Gazette 27 Jun 2003 p. 2392; 6 Jul 2007 p. 3389.]</w:t>
      </w:r>
    </w:p>
    <w:p>
      <w:pPr>
        <w:pStyle w:val="Heading5"/>
        <w:spacing w:before="240"/>
      </w:pPr>
      <w:bookmarkStart w:id="5039" w:name="_Toc309309522"/>
      <w:r>
        <w:rPr>
          <w:rStyle w:val="CharSectno"/>
        </w:rPr>
        <w:t>128M</w:t>
      </w:r>
      <w:r>
        <w:t>.</w:t>
      </w:r>
      <w:r>
        <w:tab/>
        <w:t>Operators etc. to ensure participants in fishing tour comply with recreational fishing laws</w:t>
      </w:r>
      <w:bookmarkEnd w:id="5039"/>
    </w:p>
    <w:p>
      <w:pPr>
        <w:pStyle w:val="Subsection"/>
      </w:pPr>
      <w:r>
        <w:tab/>
      </w:r>
      <w:r>
        <w:tab/>
        <w:t xml:space="preserve">A person who </w:t>
      </w:r>
      <w:r>
        <w:rPr>
          <w:snapToGrid w:val="0"/>
        </w:rPr>
        <w:t>holds</w:t>
      </w:r>
      <w:r>
        <w:t xml:space="preserve"> a fishing tour operator’s licence or a restricted fishing tour operator’s licence or a person who is in charge of a fishing tour trip must not permit or suffer any person participating in a fishing tour trip to engage in fishing in a manner contrary to the provisions of the Act applicable to recreational fishing.</w:t>
      </w:r>
    </w:p>
    <w:p>
      <w:pPr>
        <w:pStyle w:val="Penstart"/>
      </w:pPr>
      <w:r>
        <w:tab/>
        <w:t>Penalty: $2 000.</w:t>
      </w:r>
    </w:p>
    <w:p>
      <w:pPr>
        <w:pStyle w:val="Footnotesection"/>
        <w:ind w:left="890" w:hanging="890"/>
      </w:pPr>
      <w:r>
        <w:tab/>
        <w:t>[Regulation 128M inserted in Gazette 29 Jun 2001 p. 3173; amended in Gazette 27 Jun 2003 p. 2392.]</w:t>
      </w:r>
    </w:p>
    <w:p>
      <w:pPr>
        <w:pStyle w:val="Ednotesection"/>
      </w:pPr>
      <w:r>
        <w:t>[</w:t>
      </w:r>
      <w:r>
        <w:rPr>
          <w:b/>
        </w:rPr>
        <w:t>128N.</w:t>
      </w:r>
      <w:r>
        <w:tab/>
        <w:t>Deleted in Gazette 1 Mar 2011 p. 672]</w:t>
      </w:r>
    </w:p>
    <w:p>
      <w:pPr>
        <w:pStyle w:val="Heading5"/>
      </w:pPr>
      <w:bookmarkStart w:id="5040" w:name="_Toc309309523"/>
      <w:r>
        <w:rPr>
          <w:rStyle w:val="CharSectno"/>
        </w:rPr>
        <w:t>128O</w:t>
      </w:r>
      <w:r>
        <w:t>.</w:t>
      </w:r>
      <w:r>
        <w:tab/>
      </w:r>
      <w:smartTag w:uri="urn:schemas-microsoft-com:office:smarttags" w:element="place">
        <w:smartTag w:uri="urn:schemas-microsoft-com:office:smarttags" w:element="City">
          <w:r>
            <w:t>Sale</w:t>
          </w:r>
        </w:smartTag>
      </w:smartTag>
      <w:r>
        <w:t xml:space="preserve"> of fish taken on fishing tour prohibited</w:t>
      </w:r>
      <w:bookmarkEnd w:id="5040"/>
    </w:p>
    <w:p>
      <w:pPr>
        <w:pStyle w:val="Subsection"/>
      </w:pPr>
      <w:r>
        <w:tab/>
      </w:r>
      <w:r>
        <w:tab/>
        <w:t>A person who holds a fishing tour operator’s licence or a restricted fishing tour operator’s licence or a person acting on a licence holder’s behalf must not sell any fish taken on a tour conducted under the licence.</w:t>
      </w:r>
    </w:p>
    <w:p>
      <w:pPr>
        <w:pStyle w:val="Penstart"/>
      </w:pPr>
      <w:r>
        <w:tab/>
        <w:t>Penalty: $10 000.</w:t>
      </w:r>
    </w:p>
    <w:p>
      <w:pPr>
        <w:pStyle w:val="Footnotesection"/>
      </w:pPr>
      <w:r>
        <w:tab/>
        <w:t>[Regulation 128O inserted in Gazette 29 Jun 2001 p. 3174; amended in Gazette 27 Jun 2003 p. 2392.]</w:t>
      </w:r>
    </w:p>
    <w:p>
      <w:pPr>
        <w:pStyle w:val="Heading5"/>
      </w:pPr>
      <w:bookmarkStart w:id="5041" w:name="_Toc309309524"/>
      <w:r>
        <w:rPr>
          <w:rStyle w:val="CharSectno"/>
        </w:rPr>
        <w:t>128P</w:t>
      </w:r>
      <w:r>
        <w:t>.</w:t>
      </w:r>
      <w:r>
        <w:tab/>
        <w:t>Boat not to be used for both commercial fishing and fishing tour during single trip</w:t>
      </w:r>
      <w:bookmarkEnd w:id="5041"/>
    </w:p>
    <w:p>
      <w:pPr>
        <w:pStyle w:val="Subsection"/>
      </w:pPr>
      <w:r>
        <w:tab/>
      </w:r>
      <w:r>
        <w:tab/>
        <w:t>A person who uses a licensed fishing boat that is specified in a fishing tour operator’s licence or a restricted fishing tour operator’s licence for or in connection with commercial fishing and a fishing tour in the course of a single trip commits an offence.</w:t>
      </w:r>
    </w:p>
    <w:p>
      <w:pPr>
        <w:pStyle w:val="Penstart"/>
        <w:spacing w:before="60"/>
      </w:pPr>
      <w:r>
        <w:tab/>
        <w:t>Penalty: $5 000.</w:t>
      </w:r>
    </w:p>
    <w:p>
      <w:pPr>
        <w:pStyle w:val="Footnotesection"/>
        <w:keepLines w:val="0"/>
        <w:spacing w:before="60"/>
        <w:ind w:left="890" w:hanging="890"/>
      </w:pPr>
      <w:r>
        <w:tab/>
        <w:t>[Regulation 128P inserted in Gazette 27 Jun 2003 p. 2393.]</w:t>
      </w:r>
    </w:p>
    <w:p>
      <w:pPr>
        <w:pStyle w:val="Ednotesection"/>
      </w:pPr>
      <w:r>
        <w:t>[</w:t>
      </w:r>
      <w:r>
        <w:rPr>
          <w:b/>
        </w:rPr>
        <w:t>128Q.</w:t>
      </w:r>
      <w:r>
        <w:tab/>
        <w:t>Deleted in Gazette 1 Mar 2011 p. 672]</w:t>
      </w:r>
    </w:p>
    <w:p>
      <w:pPr>
        <w:pStyle w:val="Heading5"/>
      </w:pPr>
      <w:bookmarkStart w:id="5042" w:name="_Toc309309525"/>
      <w:r>
        <w:rPr>
          <w:rStyle w:val="CharSectno"/>
        </w:rPr>
        <w:t>128R</w:t>
      </w:r>
      <w:r>
        <w:t>.</w:t>
      </w:r>
      <w:r>
        <w:tab/>
        <w:t>Person in charge of restricted fishing tour not to permit rod on boat</w:t>
      </w:r>
      <w:bookmarkEnd w:id="5042"/>
    </w:p>
    <w:p>
      <w:pPr>
        <w:pStyle w:val="Subsection"/>
      </w:pPr>
      <w:r>
        <w:tab/>
      </w:r>
      <w:r>
        <w:tab/>
        <w:t>A person in charge of a fishing tour conducted by virtue of a restricted fishing tour operator’s licence must not permit a rod to be kept on board a boat during any period that the boat is being used for the tour.</w:t>
      </w:r>
    </w:p>
    <w:p>
      <w:pPr>
        <w:pStyle w:val="Penstart"/>
      </w:pPr>
      <w:r>
        <w:tab/>
        <w:t>Penalty: $5 000.</w:t>
      </w:r>
    </w:p>
    <w:p>
      <w:pPr>
        <w:pStyle w:val="Footnotesection"/>
      </w:pPr>
      <w:r>
        <w:tab/>
        <w:t>[Regulation 128R inserted in Gazette 27 Jun 2003 p. 2393.]</w:t>
      </w:r>
    </w:p>
    <w:p>
      <w:pPr>
        <w:pStyle w:val="Heading5"/>
      </w:pPr>
      <w:bookmarkStart w:id="5043" w:name="_Toc309309526"/>
      <w:r>
        <w:rPr>
          <w:rStyle w:val="CharSectno"/>
        </w:rPr>
        <w:t>128S</w:t>
      </w:r>
      <w:r>
        <w:t>.</w:t>
      </w:r>
      <w:r>
        <w:tab/>
        <w:t>Restricted fishing tours, limits on fishing etc. by participants etc.</w:t>
      </w:r>
      <w:bookmarkEnd w:id="5043"/>
    </w:p>
    <w:p>
      <w:pPr>
        <w:pStyle w:val="Subsection"/>
      </w:pPr>
      <w:r>
        <w:tab/>
        <w:t>(1)</w:t>
      </w:r>
      <w:r>
        <w:tab/>
        <w:t>In this regulation —</w:t>
      </w:r>
    </w:p>
    <w:p>
      <w:pPr>
        <w:pStyle w:val="Defstart"/>
      </w:pPr>
      <w:r>
        <w:rPr>
          <w:b/>
        </w:rPr>
        <w:tab/>
      </w:r>
      <w:r>
        <w:rPr>
          <w:rStyle w:val="CharDefText"/>
        </w:rPr>
        <w:t>restricted fishing tour</w:t>
      </w:r>
      <w:r>
        <w:t xml:space="preserve"> means a fishing tour conducted by virtue of a restricted tour operator’s licence.</w:t>
      </w:r>
    </w:p>
    <w:p>
      <w:pPr>
        <w:pStyle w:val="Subsection"/>
      </w:pPr>
      <w:r>
        <w:tab/>
        <w:t>(2)</w:t>
      </w:r>
      <w:r>
        <w:tab/>
        <w:t>The master of a boat used for a restricted fishing tour must not allow a participant on the tour to bring onto land any fish from the boat.</w:t>
      </w:r>
    </w:p>
    <w:p>
      <w:pPr>
        <w:pStyle w:val="Penstart"/>
      </w:pPr>
      <w:r>
        <w:tab/>
        <w:t>Penalty: $5 000.</w:t>
      </w:r>
    </w:p>
    <w:p>
      <w:pPr>
        <w:pStyle w:val="Subsection"/>
      </w:pPr>
      <w:r>
        <w:tab/>
        <w:t>(3)</w:t>
      </w:r>
      <w:r>
        <w:tab/>
        <w:t>The master of a boat being used for a restricted fishing tour must not —</w:t>
      </w:r>
    </w:p>
    <w:p>
      <w:pPr>
        <w:pStyle w:val="Indenta"/>
      </w:pPr>
      <w:r>
        <w:tab/>
        <w:t>(a)</w:t>
      </w:r>
      <w:r>
        <w:tab/>
        <w:t>commence the tour with any fish on the boat; or</w:t>
      </w:r>
    </w:p>
    <w:p>
      <w:pPr>
        <w:pStyle w:val="Indenta"/>
      </w:pPr>
      <w:r>
        <w:tab/>
        <w:t>(b)</w:t>
      </w:r>
      <w:r>
        <w:tab/>
        <w:t>allow any fish to remain on the boat at the end of the tour.</w:t>
      </w:r>
    </w:p>
    <w:p>
      <w:pPr>
        <w:pStyle w:val="Penstart"/>
      </w:pPr>
      <w:r>
        <w:tab/>
        <w:t>Penalty: $10 000.</w:t>
      </w:r>
    </w:p>
    <w:p>
      <w:pPr>
        <w:pStyle w:val="Subsection"/>
      </w:pPr>
      <w:r>
        <w:tab/>
        <w:t>(4)</w:t>
      </w:r>
      <w:r>
        <w:tab/>
      </w:r>
      <w:r>
        <w:rPr>
          <w:spacing w:val="-2"/>
        </w:rPr>
        <w:t>A person in charge of a restricted fishing tour must not allow participants on the tour to take more than a reasonable quantity of fish for a meal for those on the boat at the time the fish is taken</w:t>
      </w:r>
      <w:r>
        <w:t>.</w:t>
      </w:r>
    </w:p>
    <w:p>
      <w:pPr>
        <w:pStyle w:val="Penstart"/>
      </w:pPr>
      <w:r>
        <w:tab/>
        <w:t>Penalty: $5 000.</w:t>
      </w:r>
    </w:p>
    <w:p>
      <w:pPr>
        <w:pStyle w:val="Subsection"/>
      </w:pPr>
      <w:r>
        <w:tab/>
        <w:t>(5)</w:t>
      </w:r>
      <w:r>
        <w:tab/>
        <w:t>It is a defence in proceedings for an offence against subregulation (3) for the person charged to prove that the fish was purchased from a person other than a participant on the tour for the purpose of providing meals for participants on a tour on the boat.</w:t>
      </w:r>
    </w:p>
    <w:p>
      <w:pPr>
        <w:pStyle w:val="Footnotesection"/>
      </w:pPr>
      <w:r>
        <w:tab/>
        <w:t>[Regulation 128S inserted in Gazette 27 Jun 2003 p. 2393</w:t>
      </w:r>
      <w:r>
        <w:noBreakHyphen/>
        <w:t>4; amended in Gazette 4 Nov 2005 p. 5312.]</w:t>
      </w:r>
    </w:p>
    <w:p>
      <w:pPr>
        <w:pStyle w:val="Heading3"/>
      </w:pPr>
      <w:bookmarkStart w:id="5044" w:name="_Toc297276232"/>
      <w:bookmarkStart w:id="5045" w:name="_Toc297276684"/>
      <w:bookmarkStart w:id="5046" w:name="_Toc297277134"/>
      <w:bookmarkStart w:id="5047" w:name="_Toc297726503"/>
      <w:bookmarkStart w:id="5048" w:name="_Toc299980289"/>
      <w:bookmarkStart w:id="5049" w:name="_Toc300234915"/>
      <w:bookmarkStart w:id="5050" w:name="_Toc301961418"/>
      <w:bookmarkStart w:id="5051" w:name="_Toc301966988"/>
      <w:bookmarkStart w:id="5052" w:name="_Toc303253197"/>
      <w:bookmarkStart w:id="5053" w:name="_Toc303257361"/>
      <w:bookmarkStart w:id="5054" w:name="_Toc307992994"/>
      <w:bookmarkStart w:id="5055" w:name="_Toc309030027"/>
      <w:bookmarkStart w:id="5056" w:name="_Toc309304250"/>
      <w:bookmarkStart w:id="5057" w:name="_Toc309304703"/>
      <w:bookmarkStart w:id="5058" w:name="_Toc309309527"/>
      <w:bookmarkStart w:id="5059" w:name="_Toc189988092"/>
      <w:bookmarkStart w:id="5060" w:name="_Toc192041675"/>
      <w:bookmarkStart w:id="5061" w:name="_Toc199570909"/>
      <w:bookmarkStart w:id="5062" w:name="_Toc199738907"/>
      <w:bookmarkStart w:id="5063" w:name="_Toc199815008"/>
      <w:bookmarkStart w:id="5064" w:name="_Toc215040815"/>
      <w:bookmarkStart w:id="5065" w:name="_Toc215041260"/>
      <w:bookmarkStart w:id="5066" w:name="_Toc222129468"/>
      <w:bookmarkStart w:id="5067" w:name="_Toc222223173"/>
      <w:bookmarkStart w:id="5068" w:name="_Toc225914425"/>
      <w:bookmarkStart w:id="5069" w:name="_Toc231282470"/>
      <w:bookmarkStart w:id="5070" w:name="_Toc231282914"/>
      <w:bookmarkStart w:id="5071" w:name="_Toc234899504"/>
      <w:bookmarkStart w:id="5072" w:name="_Toc236632786"/>
      <w:bookmarkStart w:id="5073" w:name="_Toc236720399"/>
      <w:bookmarkStart w:id="5074" w:name="_Toc237764598"/>
      <w:bookmarkStart w:id="5075" w:name="_Toc238356222"/>
      <w:bookmarkStart w:id="5076" w:name="_Toc238368927"/>
      <w:bookmarkStart w:id="5077" w:name="_Toc238375880"/>
      <w:bookmarkStart w:id="5078" w:name="_Toc240339204"/>
      <w:bookmarkStart w:id="5079" w:name="_Toc241993710"/>
      <w:bookmarkStart w:id="5080" w:name="_Toc243192853"/>
      <w:bookmarkStart w:id="5081" w:name="_Toc243295555"/>
      <w:bookmarkStart w:id="5082" w:name="_Toc245113128"/>
      <w:bookmarkStart w:id="5083" w:name="_Toc245198290"/>
      <w:bookmarkStart w:id="5084" w:name="_Toc245198739"/>
      <w:bookmarkStart w:id="5085" w:name="_Toc245199188"/>
      <w:bookmarkStart w:id="5086" w:name="_Toc248122219"/>
      <w:bookmarkStart w:id="5087" w:name="_Toc248122670"/>
      <w:bookmarkStart w:id="5088" w:name="_Toc253670657"/>
      <w:bookmarkStart w:id="5089" w:name="_Toc253671107"/>
      <w:bookmarkStart w:id="5090" w:name="_Toc254942881"/>
      <w:bookmarkStart w:id="5091" w:name="_Toc254943334"/>
      <w:bookmarkStart w:id="5092" w:name="_Toc255475926"/>
      <w:bookmarkStart w:id="5093" w:name="_Toc256432247"/>
      <w:bookmarkStart w:id="5094" w:name="_Toc257720584"/>
      <w:bookmarkStart w:id="5095" w:name="_Toc257722266"/>
      <w:bookmarkStart w:id="5096" w:name="_Toc258335942"/>
      <w:bookmarkStart w:id="5097" w:name="_Toc260406384"/>
      <w:bookmarkStart w:id="5098" w:name="_Toc261271570"/>
      <w:bookmarkStart w:id="5099" w:name="_Toc262808252"/>
      <w:bookmarkStart w:id="5100" w:name="_Toc267572645"/>
      <w:bookmarkStart w:id="5101" w:name="_Toc270684394"/>
      <w:bookmarkStart w:id="5102" w:name="_Toc274214571"/>
      <w:bookmarkStart w:id="5103" w:name="_Toc274215020"/>
      <w:bookmarkStart w:id="5104" w:name="_Toc278976351"/>
      <w:bookmarkStart w:id="5105" w:name="_Toc286760672"/>
      <w:bookmarkStart w:id="5106" w:name="_Toc289081017"/>
      <w:bookmarkStart w:id="5107" w:name="_Toc290284211"/>
      <w:bookmarkStart w:id="5108" w:name="_Toc290643032"/>
      <w:bookmarkStart w:id="5109" w:name="_Toc290643481"/>
      <w:bookmarkStart w:id="5110" w:name="_Toc290643934"/>
      <w:bookmarkStart w:id="5111" w:name="_Toc294701751"/>
      <w:bookmarkStart w:id="5112" w:name="_Toc295200159"/>
      <w:bookmarkStart w:id="5113" w:name="_Toc296954600"/>
      <w:r>
        <w:rPr>
          <w:rStyle w:val="CharDivNo"/>
        </w:rPr>
        <w:t>Division 6A</w:t>
      </w:r>
      <w:r>
        <w:t> — </w:t>
      </w:r>
      <w:r>
        <w:rPr>
          <w:rStyle w:val="CharDivText"/>
        </w:rPr>
        <w:t>Replacement of cancelled authorisations</w:t>
      </w:r>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p>
    <w:p>
      <w:pPr>
        <w:pStyle w:val="Footnoteheading"/>
      </w:pPr>
      <w:r>
        <w:tab/>
        <w:t>[Heading inserted in Gazette 1 Jul 2011 p. 2722.]</w:t>
      </w:r>
    </w:p>
    <w:p>
      <w:pPr>
        <w:pStyle w:val="Heading5"/>
      </w:pPr>
      <w:bookmarkStart w:id="5114" w:name="_Toc309309528"/>
      <w:r>
        <w:rPr>
          <w:rStyle w:val="CharSectno"/>
        </w:rPr>
        <w:t>129A</w:t>
      </w:r>
      <w:r>
        <w:t>.</w:t>
      </w:r>
      <w:r>
        <w:tab/>
        <w:t>Terms used</w:t>
      </w:r>
      <w:bookmarkEnd w:id="5114"/>
    </w:p>
    <w:p>
      <w:pPr>
        <w:pStyle w:val="Subsection"/>
      </w:pPr>
      <w:r>
        <w:tab/>
      </w:r>
      <w:r>
        <w:tab/>
        <w:t xml:space="preserve">In this Division — </w:t>
      </w:r>
    </w:p>
    <w:p>
      <w:pPr>
        <w:pStyle w:val="Defstart"/>
      </w:pPr>
      <w:r>
        <w:tab/>
      </w:r>
      <w:r>
        <w:rPr>
          <w:rStyle w:val="CharDefText"/>
        </w:rPr>
        <w:t>authorisation</w:t>
      </w:r>
      <w:r>
        <w:t xml:space="preserve"> means a managed fishery licence granted in respect of the West Coast Rock Lobster Managed Fishery;</w:t>
      </w:r>
    </w:p>
    <w:p>
      <w:pPr>
        <w:pStyle w:val="Defstart"/>
      </w:pPr>
      <w:r>
        <w:tab/>
      </w:r>
      <w:r>
        <w:rPr>
          <w:rStyle w:val="CharDefText"/>
        </w:rPr>
        <w:t>cancelled authorisation</w:t>
      </w:r>
      <w:r>
        <w:t xml:space="preserve"> means authorisation No. 1450 or No. 1493;</w:t>
      </w:r>
    </w:p>
    <w:p>
      <w:pPr>
        <w:pStyle w:val="Defstart"/>
      </w:pPr>
      <w:r>
        <w:tab/>
      </w:r>
      <w:r>
        <w:rPr>
          <w:rStyle w:val="CharDefText"/>
        </w:rPr>
        <w:t>former authorisation holder</w:t>
      </w:r>
      <w:r>
        <w:t xml:space="preserve"> means the person who held authorisation No. 1450 or No. 1493 immediately before it was cancelled under section 224;</w:t>
      </w:r>
    </w:p>
    <w:p>
      <w:pPr>
        <w:pStyle w:val="Defstart"/>
      </w:pPr>
      <w:r>
        <w:tab/>
      </w:r>
      <w:r>
        <w:rPr>
          <w:rStyle w:val="CharDefText"/>
        </w:rPr>
        <w:t>section 224</w:t>
      </w:r>
      <w:r>
        <w:t xml:space="preserve"> has the meaning given in section 78A(1) of the Act.</w:t>
      </w:r>
    </w:p>
    <w:p>
      <w:pPr>
        <w:pStyle w:val="Footnotesection"/>
      </w:pPr>
      <w:r>
        <w:tab/>
        <w:t>[Regulation 129A inserted in Gazette 1 Jul 2011 p. 2722.]</w:t>
      </w:r>
    </w:p>
    <w:p>
      <w:pPr>
        <w:pStyle w:val="Heading5"/>
      </w:pPr>
      <w:bookmarkStart w:id="5115" w:name="_Toc309309529"/>
      <w:r>
        <w:rPr>
          <w:rStyle w:val="CharSectno"/>
        </w:rPr>
        <w:t>129B</w:t>
      </w:r>
      <w:r>
        <w:t>.</w:t>
      </w:r>
      <w:r>
        <w:tab/>
        <w:t>CEO may grant certain replacement authorisations</w:t>
      </w:r>
      <w:bookmarkEnd w:id="5115"/>
    </w:p>
    <w:p>
      <w:pPr>
        <w:pStyle w:val="Subsection"/>
        <w:keepNext/>
      </w:pPr>
      <w:r>
        <w:tab/>
        <w:t>(1)</w:t>
      </w:r>
      <w:r>
        <w:tab/>
        <w:t xml:space="preserve">If — </w:t>
      </w:r>
    </w:p>
    <w:p>
      <w:pPr>
        <w:pStyle w:val="Indenta"/>
      </w:pPr>
      <w:r>
        <w:tab/>
        <w:t>(a)</w:t>
      </w:r>
      <w:r>
        <w:tab/>
        <w:t>a former authorisation holder applies on or before 15 August 2011 to the CEO for the grant of an authorisation; and</w:t>
      </w:r>
    </w:p>
    <w:p>
      <w:pPr>
        <w:pStyle w:val="Indenta"/>
      </w:pPr>
      <w:r>
        <w:tab/>
        <w:t>(b)</w:t>
      </w:r>
      <w:r>
        <w:tab/>
        <w:t xml:space="preserve">the application is accompanied by — </w:t>
      </w:r>
    </w:p>
    <w:p>
      <w:pPr>
        <w:pStyle w:val="Indenti"/>
      </w:pPr>
      <w:r>
        <w:tab/>
        <w:t>(i)</w:t>
      </w:r>
      <w:r>
        <w:tab/>
        <w:t>an application fee of $329.00; and</w:t>
      </w:r>
    </w:p>
    <w:p>
      <w:pPr>
        <w:pStyle w:val="Indenti"/>
      </w:pPr>
      <w:r>
        <w:tab/>
        <w:t>(ii)</w:t>
      </w:r>
      <w:r>
        <w:tab/>
        <w:t>the relevant replacement authorisation fee set out in subregulation (3),</w:t>
      </w:r>
    </w:p>
    <w:p>
      <w:pPr>
        <w:pStyle w:val="Subsection"/>
      </w:pPr>
      <w:r>
        <w:tab/>
      </w:r>
      <w:r>
        <w:tab/>
        <w:t>the CEO may grant to the former authorisation holder an authorisation to replace the former authorisation holder’s cancelled authorisation.</w:t>
      </w:r>
    </w:p>
    <w:p>
      <w:pPr>
        <w:pStyle w:val="Subsection"/>
      </w:pPr>
      <w:r>
        <w:tab/>
        <w:t>(2)</w:t>
      </w:r>
      <w:r>
        <w:tab/>
        <w:t xml:space="preserve">When an authorisation is granted to replace a cancelled authorisation, the replacement authorisation — </w:t>
      </w:r>
    </w:p>
    <w:p>
      <w:pPr>
        <w:pStyle w:val="Indenta"/>
      </w:pPr>
      <w:r>
        <w:tab/>
        <w:t>(a)</w:t>
      </w:r>
      <w:r>
        <w:tab/>
        <w:t>confers the same authority and entitlement that were conferred by the cancelled authorisation immediately before it was cancelled; and</w:t>
      </w:r>
    </w:p>
    <w:p>
      <w:pPr>
        <w:pStyle w:val="Indenta"/>
      </w:pPr>
      <w:r>
        <w:tab/>
        <w:t>(b)</w:t>
      </w:r>
      <w:r>
        <w:tab/>
        <w:t>is subject to the same conditions to which the cancelled authorisation was subject immediately before it was cancelled.</w:t>
      </w:r>
    </w:p>
    <w:p>
      <w:pPr>
        <w:pStyle w:val="Subsection"/>
      </w:pPr>
      <w:r>
        <w:tab/>
        <w:t>(3)</w:t>
      </w:r>
      <w:r>
        <w:tab/>
        <w:t xml:space="preserve">The replacement authorisation fee — </w:t>
      </w:r>
    </w:p>
    <w:p>
      <w:pPr>
        <w:pStyle w:val="Indenta"/>
      </w:pPr>
      <w:r>
        <w:tab/>
        <w:t>(a)</w:t>
      </w:r>
      <w:r>
        <w:tab/>
        <w:t>for the grant of an authorisation to replace authorisation No. 1450 — is $82 180;</w:t>
      </w:r>
    </w:p>
    <w:p>
      <w:pPr>
        <w:pStyle w:val="Indenta"/>
      </w:pPr>
      <w:r>
        <w:tab/>
        <w:t>(b)</w:t>
      </w:r>
      <w:r>
        <w:tab/>
        <w:t>for the grant of an authorisation to replace authorisation No. 1493 — is $100 878.</w:t>
      </w:r>
    </w:p>
    <w:p>
      <w:pPr>
        <w:pStyle w:val="Footnotesection"/>
      </w:pPr>
      <w:r>
        <w:tab/>
        <w:t>[Regulation 129B inserted in Gazette 1 Jul 2011 p. 2722</w:t>
      </w:r>
      <w:r>
        <w:noBreakHyphen/>
        <w:t>3.]</w:t>
      </w:r>
    </w:p>
    <w:p>
      <w:pPr>
        <w:pStyle w:val="Heading3"/>
      </w:pPr>
      <w:bookmarkStart w:id="5116" w:name="_Toc297276235"/>
      <w:bookmarkStart w:id="5117" w:name="_Toc297276687"/>
      <w:bookmarkStart w:id="5118" w:name="_Toc297277137"/>
      <w:bookmarkStart w:id="5119" w:name="_Toc297726506"/>
      <w:bookmarkStart w:id="5120" w:name="_Toc299980292"/>
      <w:bookmarkStart w:id="5121" w:name="_Toc300234918"/>
      <w:bookmarkStart w:id="5122" w:name="_Toc301961421"/>
      <w:bookmarkStart w:id="5123" w:name="_Toc301966991"/>
      <w:bookmarkStart w:id="5124" w:name="_Toc303253200"/>
      <w:bookmarkStart w:id="5125" w:name="_Toc303257364"/>
      <w:bookmarkStart w:id="5126" w:name="_Toc307992997"/>
      <w:bookmarkStart w:id="5127" w:name="_Toc309030030"/>
      <w:bookmarkStart w:id="5128" w:name="_Toc309304253"/>
      <w:bookmarkStart w:id="5129" w:name="_Toc309304706"/>
      <w:bookmarkStart w:id="5130" w:name="_Toc309309530"/>
      <w:r>
        <w:rPr>
          <w:rStyle w:val="CharDivNo"/>
        </w:rPr>
        <w:t>Division 6</w:t>
      </w:r>
      <w:r>
        <w:t> — </w:t>
      </w:r>
      <w:r>
        <w:rPr>
          <w:rStyle w:val="CharDivText"/>
        </w:rPr>
        <w:t>General</w:t>
      </w:r>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p>
    <w:p>
      <w:pPr>
        <w:pStyle w:val="Footnoteheading"/>
        <w:keepNext/>
        <w:tabs>
          <w:tab w:val="left" w:pos="909"/>
        </w:tabs>
        <w:ind w:left="923" w:hanging="923"/>
      </w:pPr>
      <w:r>
        <w:tab/>
        <w:t>[Heading inserted in Gazette 29 Jun 2001 p. 3174.]</w:t>
      </w:r>
    </w:p>
    <w:p>
      <w:pPr>
        <w:pStyle w:val="Heading5"/>
        <w:spacing w:before="180"/>
        <w:rPr>
          <w:snapToGrid w:val="0"/>
        </w:rPr>
      </w:pPr>
      <w:bookmarkStart w:id="5131" w:name="_Toc309309531"/>
      <w:r>
        <w:rPr>
          <w:rStyle w:val="CharSectno"/>
        </w:rPr>
        <w:t>129</w:t>
      </w:r>
      <w:r>
        <w:rPr>
          <w:snapToGrid w:val="0"/>
        </w:rPr>
        <w:t>.</w:t>
      </w:r>
      <w:r>
        <w:rPr>
          <w:snapToGrid w:val="0"/>
        </w:rPr>
        <w:tab/>
        <w:t>Lost etc. authorisations, replacement of</w:t>
      </w:r>
      <w:bookmarkEnd w:id="5131"/>
    </w:p>
    <w:p>
      <w:pPr>
        <w:pStyle w:val="Subsection"/>
        <w:rPr>
          <w:snapToGrid w:val="0"/>
        </w:rPr>
      </w:pPr>
      <w:r>
        <w:rPr>
          <w:snapToGrid w:val="0"/>
        </w:rPr>
        <w:tab/>
        <w:t>(1)</w:t>
      </w:r>
      <w:r>
        <w:rPr>
          <w:snapToGrid w:val="0"/>
        </w:rPr>
        <w:tab/>
        <w:t>The holder of an authorisation that has been lost, damaged or destroyed may apply to the CEO for a replacement for the authorisation.</w:t>
      </w:r>
    </w:p>
    <w:p>
      <w:pPr>
        <w:pStyle w:val="Subsection"/>
        <w:rPr>
          <w:snapToGrid w:val="0"/>
        </w:rPr>
      </w:pPr>
      <w:r>
        <w:rPr>
          <w:snapToGrid w:val="0"/>
        </w:rPr>
        <w:tab/>
        <w:t>(2)</w:t>
      </w:r>
      <w:r>
        <w:rPr>
          <w:snapToGrid w:val="0"/>
        </w:rPr>
        <w:tab/>
        <w:t>An application —</w:t>
      </w:r>
    </w:p>
    <w:p>
      <w:pPr>
        <w:pStyle w:val="Indenta"/>
        <w:rPr>
          <w:snapToGrid w:val="0"/>
        </w:rPr>
      </w:pPr>
      <w:r>
        <w:rPr>
          <w:snapToGrid w:val="0"/>
        </w:rPr>
        <w:tab/>
        <w:t>(a)</w:t>
      </w:r>
      <w:r>
        <w:rPr>
          <w:snapToGrid w:val="0"/>
        </w:rPr>
        <w:tab/>
        <w:t>must be made as if it were an application to which section 135 of the Act applies; and</w:t>
      </w:r>
    </w:p>
    <w:p>
      <w:pPr>
        <w:pStyle w:val="Indenta"/>
        <w:rPr>
          <w:snapToGrid w:val="0"/>
        </w:rPr>
      </w:pPr>
      <w:r>
        <w:rPr>
          <w:snapToGrid w:val="0"/>
        </w:rPr>
        <w:tab/>
        <w:t>(b)</w:t>
      </w:r>
      <w:r>
        <w:rPr>
          <w:snapToGrid w:val="0"/>
        </w:rPr>
        <w:tab/>
        <w:t>must be accompanied by the fee set out in item 4 of Part 1 of Schedule 1.</w:t>
      </w:r>
    </w:p>
    <w:p>
      <w:pPr>
        <w:pStyle w:val="Footnotesection"/>
      </w:pPr>
      <w:r>
        <w:tab/>
        <w:t>[Regulation 129 amended in Gazette 6 Jul 2007 p. 3389; 9 Jun 2009 p. 1911.]</w:t>
      </w:r>
    </w:p>
    <w:p>
      <w:pPr>
        <w:pStyle w:val="Heading5"/>
        <w:keepNext w:val="0"/>
        <w:keepLines w:val="0"/>
        <w:spacing w:before="180"/>
        <w:rPr>
          <w:snapToGrid w:val="0"/>
        </w:rPr>
      </w:pPr>
      <w:bookmarkStart w:id="5132" w:name="_Toc309309532"/>
      <w:r>
        <w:rPr>
          <w:rStyle w:val="CharSectno"/>
        </w:rPr>
        <w:t>130</w:t>
      </w:r>
      <w:r>
        <w:rPr>
          <w:snapToGrid w:val="0"/>
        </w:rPr>
        <w:t>.</w:t>
      </w:r>
      <w:r>
        <w:rPr>
          <w:snapToGrid w:val="0"/>
        </w:rPr>
        <w:tab/>
        <w:t>Conditions of licences, imposition of etc.</w:t>
      </w:r>
      <w:bookmarkEnd w:id="5132"/>
    </w:p>
    <w:p>
      <w:pPr>
        <w:pStyle w:val="Subsection"/>
        <w:rPr>
          <w:snapToGrid w:val="0"/>
        </w:rPr>
      </w:pPr>
      <w:r>
        <w:rPr>
          <w:snapToGrid w:val="0"/>
        </w:rPr>
        <w:tab/>
        <w:t>(1)</w:t>
      </w:r>
      <w:r>
        <w:rPr>
          <w:snapToGrid w:val="0"/>
        </w:rPr>
        <w:tab/>
        <w:t>A licence granted under this Part is subject to any conditions imposed in writing by the CEO.</w:t>
      </w:r>
    </w:p>
    <w:p>
      <w:pPr>
        <w:pStyle w:val="Subsection"/>
        <w:rPr>
          <w:snapToGrid w:val="0"/>
        </w:rPr>
      </w:pPr>
      <w:r>
        <w:rPr>
          <w:snapToGrid w:val="0"/>
        </w:rPr>
        <w:tab/>
        <w:t>(2)</w:t>
      </w:r>
      <w:r>
        <w:rPr>
          <w:snapToGrid w:val="0"/>
        </w:rPr>
        <w:tab/>
        <w:t>A licence may be granted or renewed under this Part or transferred subject to such conditions as the CEO thinks fit and specifies in the licence.</w:t>
      </w:r>
    </w:p>
    <w:p>
      <w:pPr>
        <w:pStyle w:val="Subsection"/>
        <w:rPr>
          <w:snapToGrid w:val="0"/>
        </w:rPr>
      </w:pPr>
      <w:r>
        <w:rPr>
          <w:snapToGrid w:val="0"/>
        </w:rPr>
        <w:tab/>
        <w:t>(3)</w:t>
      </w:r>
      <w:r>
        <w:rPr>
          <w:snapToGrid w:val="0"/>
        </w:rPr>
        <w:tab/>
        <w:t>The CEO may at any time, by notice in writing given to the licence holder, delete or vary any condition on a licence imposed under this regulation or add a new condition to the licence.</w:t>
      </w:r>
    </w:p>
    <w:p>
      <w:pPr>
        <w:pStyle w:val="Subsection"/>
        <w:keepNext/>
        <w:rPr>
          <w:snapToGrid w:val="0"/>
        </w:rPr>
      </w:pPr>
      <w:r>
        <w:rPr>
          <w:snapToGrid w:val="0"/>
        </w:rPr>
        <w:tab/>
        <w:t>(4)</w:t>
      </w:r>
      <w:r>
        <w:rPr>
          <w:snapToGrid w:val="0"/>
        </w:rPr>
        <w:tab/>
        <w:t>A person must not contravene a condition of a licence granted under this Part.</w:t>
      </w:r>
    </w:p>
    <w:p>
      <w:pPr>
        <w:pStyle w:val="Penstart"/>
        <w:rPr>
          <w:snapToGrid w:val="0"/>
        </w:rPr>
      </w:pPr>
      <w:r>
        <w:rPr>
          <w:snapToGrid w:val="0"/>
        </w:rPr>
        <w:tab/>
        <w:t>Penalty: $5 000 and the penalty provided in section 222 of the Act.</w:t>
      </w:r>
    </w:p>
    <w:p>
      <w:pPr>
        <w:pStyle w:val="Footnotesection"/>
      </w:pPr>
      <w:r>
        <w:tab/>
        <w:t>[Regulation 130 amended in Gazette 6 Jul 2007 p. 3389.]</w:t>
      </w:r>
    </w:p>
    <w:p>
      <w:pPr>
        <w:pStyle w:val="Heading5"/>
      </w:pPr>
      <w:bookmarkStart w:id="5133" w:name="_Toc309309533"/>
      <w:r>
        <w:rPr>
          <w:rStyle w:val="CharSectno"/>
        </w:rPr>
        <w:t>130A</w:t>
      </w:r>
      <w:r>
        <w:t>.</w:t>
      </w:r>
      <w:r>
        <w:tab/>
        <w:t>Boat used for aquatic eco</w:t>
      </w:r>
      <w:r>
        <w:noBreakHyphen/>
        <w:t>tourism or fishing tour to be identified</w:t>
      </w:r>
      <w:bookmarkEnd w:id="5133"/>
    </w:p>
    <w:p>
      <w:pPr>
        <w:pStyle w:val="Subsection"/>
      </w:pPr>
      <w:r>
        <w:tab/>
      </w:r>
      <w:r>
        <w:tab/>
        <w:t>The holder of an aquatic eco</w:t>
      </w:r>
      <w:r>
        <w:noBreakHyphen/>
        <w:t>tour operator’s licence, a fishing tour operator’s licence or a restricted fishing tour operator’s licence must ensure that a boat or vehicle used for or in connection with an aquatic eco</w:t>
      </w:r>
      <w:r>
        <w:noBreakHyphen/>
        <w:t>tour or a fishing tour, as the case may be, is identified in such manner as the CEO specifies in a written notice given to the holder of the licence.</w:t>
      </w:r>
    </w:p>
    <w:p>
      <w:pPr>
        <w:pStyle w:val="Penstart"/>
      </w:pPr>
      <w:r>
        <w:tab/>
        <w:t>Penalty: $2 000.</w:t>
      </w:r>
    </w:p>
    <w:p>
      <w:pPr>
        <w:pStyle w:val="Footnotesection"/>
      </w:pPr>
      <w:r>
        <w:tab/>
        <w:t>[Regulation 130A inserted in Gazette 29 Jun 2001 p. 3174</w:t>
      </w:r>
      <w:r>
        <w:noBreakHyphen/>
        <w:t>5; amended in Gazette 27 Jun 2003 p. 2394; 6 Jul 2007 p. 3389.]</w:t>
      </w:r>
    </w:p>
    <w:p>
      <w:pPr>
        <w:pStyle w:val="Heading5"/>
        <w:rPr>
          <w:snapToGrid w:val="0"/>
        </w:rPr>
      </w:pPr>
      <w:bookmarkStart w:id="5134" w:name="_Toc309309534"/>
      <w:r>
        <w:rPr>
          <w:rStyle w:val="CharSectno"/>
        </w:rPr>
        <w:t>131</w:t>
      </w:r>
      <w:r>
        <w:rPr>
          <w:snapToGrid w:val="0"/>
        </w:rPr>
        <w:t>.</w:t>
      </w:r>
      <w:r>
        <w:rPr>
          <w:snapToGrid w:val="0"/>
        </w:rPr>
        <w:tab/>
        <w:t>Grounds for refusal of transfer of authorisations etc. prescribed (Act s. 140)</w:t>
      </w:r>
      <w:bookmarkEnd w:id="5134"/>
    </w:p>
    <w:p>
      <w:pPr>
        <w:pStyle w:val="Subsection"/>
        <w:rPr>
          <w:snapToGrid w:val="0"/>
        </w:rPr>
      </w:pPr>
      <w:r>
        <w:rPr>
          <w:snapToGrid w:val="0"/>
        </w:rPr>
        <w:tab/>
      </w:r>
      <w:r>
        <w:rPr>
          <w:snapToGrid w:val="0"/>
        </w:rPr>
        <w:tab/>
        <w:t>The CEO may, under section 140(2)(b) of the Act, refuse to transfer an authorisation or part of an entitlement under an authorisation on the grounds that —</w:t>
      </w:r>
    </w:p>
    <w:p>
      <w:pPr>
        <w:pStyle w:val="Indenta"/>
        <w:rPr>
          <w:snapToGrid w:val="0"/>
        </w:rPr>
      </w:pPr>
      <w:r>
        <w:rPr>
          <w:snapToGrid w:val="0"/>
        </w:rPr>
        <w:tab/>
        <w:t>(a)</w:t>
      </w:r>
      <w:r>
        <w:rPr>
          <w:snapToGrid w:val="0"/>
        </w:rPr>
        <w:tab/>
        <w:t>the proposed transferor or transferee has not provided information, or further information, required by the CEO for a proper consideration of the application, or has refused to verify such information by statutory declaration; or</w:t>
      </w:r>
    </w:p>
    <w:p>
      <w:pPr>
        <w:pStyle w:val="Indenta"/>
        <w:rPr>
          <w:snapToGrid w:val="0"/>
        </w:rPr>
      </w:pPr>
      <w:r>
        <w:rPr>
          <w:snapToGrid w:val="0"/>
        </w:rPr>
        <w:tab/>
        <w:t>(b)</w:t>
      </w:r>
      <w:r>
        <w:rPr>
          <w:snapToGrid w:val="0"/>
        </w:rPr>
        <w:tab/>
        <w:t>where the authorisation is held in respect of a boat, the boat is unseaworthy, lost or destroyed; or</w:t>
      </w:r>
    </w:p>
    <w:p>
      <w:pPr>
        <w:pStyle w:val="Indenta"/>
      </w:pPr>
      <w:r>
        <w:tab/>
        <w:t>(ba)</w:t>
      </w:r>
      <w:r>
        <w:tab/>
        <w:t>where the holder has 2 or more authorisations and all of those authorisations are not simultaneously being transferred to the same transferee, in the opinion of the CEO, it is not in the best interests of the fishery to transfer the authorisation; or</w:t>
      </w:r>
    </w:p>
    <w:p>
      <w:pPr>
        <w:pStyle w:val="Indenta"/>
        <w:rPr>
          <w:snapToGrid w:val="0"/>
        </w:rPr>
      </w:pPr>
      <w:r>
        <w:rPr>
          <w:snapToGrid w:val="0"/>
        </w:rPr>
        <w:tab/>
        <w:t>(c)</w:t>
      </w:r>
      <w:r>
        <w:rPr>
          <w:snapToGrid w:val="0"/>
        </w:rPr>
        <w:tab/>
        <w:t>the holder has not used the authorisation in the previous 2 years; or</w:t>
      </w:r>
    </w:p>
    <w:p>
      <w:pPr>
        <w:pStyle w:val="Indenta"/>
        <w:rPr>
          <w:snapToGrid w:val="0"/>
        </w:rPr>
      </w:pPr>
      <w:r>
        <w:rPr>
          <w:snapToGrid w:val="0"/>
        </w:rPr>
        <w:tab/>
        <w:t>(d)</w:t>
      </w:r>
      <w:r>
        <w:rPr>
          <w:snapToGrid w:val="0"/>
        </w:rPr>
        <w:tab/>
        <w:t>the holder has been convicted of an offence against —</w:t>
      </w:r>
    </w:p>
    <w:p>
      <w:pPr>
        <w:pStyle w:val="Indenti"/>
        <w:rPr>
          <w:snapToGrid w:val="0"/>
        </w:rPr>
      </w:pPr>
      <w:r>
        <w:rPr>
          <w:snapToGrid w:val="0"/>
        </w:rPr>
        <w:tab/>
        <w:t>(i)</w:t>
      </w:r>
      <w:r>
        <w:rPr>
          <w:snapToGrid w:val="0"/>
        </w:rPr>
        <w:tab/>
        <w:t>the Act or these regulations;</w:t>
      </w:r>
    </w:p>
    <w:p>
      <w:pPr>
        <w:pStyle w:val="Indenti"/>
        <w:rPr>
          <w:snapToGrid w:val="0"/>
        </w:rPr>
      </w:pPr>
      <w:r>
        <w:rPr>
          <w:snapToGrid w:val="0"/>
        </w:rPr>
        <w:tab/>
        <w:t>(ii)</w:t>
      </w:r>
      <w:r>
        <w:rPr>
          <w:snapToGrid w:val="0"/>
        </w:rPr>
        <w:tab/>
        <w:t>a written law other than this Act if the offence relates to the fishing industry; or</w:t>
      </w:r>
    </w:p>
    <w:p>
      <w:pPr>
        <w:pStyle w:val="Indenti"/>
        <w:rPr>
          <w:snapToGrid w:val="0"/>
        </w:rPr>
      </w:pPr>
      <w:r>
        <w:rPr>
          <w:snapToGrid w:val="0"/>
        </w:rPr>
        <w:tab/>
        <w:t>(iii)</w:t>
      </w:r>
      <w:r>
        <w:rPr>
          <w:snapToGrid w:val="0"/>
        </w:rPr>
        <w:tab/>
        <w:t>a law of the Commonwealth, or of another State or Territory, relating to the management or regulation of fish resources;</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in the opinion of the CEO, a condition of the authorisation has been contravened; or</w:t>
      </w:r>
    </w:p>
    <w:p>
      <w:pPr>
        <w:pStyle w:val="Indenta"/>
        <w:rPr>
          <w:snapToGrid w:val="0"/>
        </w:rPr>
      </w:pPr>
      <w:r>
        <w:rPr>
          <w:snapToGrid w:val="0"/>
        </w:rPr>
        <w:tab/>
        <w:t>(f)</w:t>
      </w:r>
      <w:r>
        <w:rPr>
          <w:snapToGrid w:val="0"/>
        </w:rPr>
        <w:tab/>
        <w:t>the authorisation was obtained by fraud or misrepresentation; or</w:t>
      </w:r>
    </w:p>
    <w:p>
      <w:pPr>
        <w:pStyle w:val="Indenta"/>
        <w:rPr>
          <w:snapToGrid w:val="0"/>
        </w:rPr>
      </w:pPr>
      <w:r>
        <w:rPr>
          <w:snapToGrid w:val="0"/>
        </w:rPr>
        <w:tab/>
        <w:t>(g)</w:t>
      </w:r>
      <w:r>
        <w:rPr>
          <w:snapToGrid w:val="0"/>
        </w:rPr>
        <w:tab/>
        <w:t>the holder has —</w:t>
      </w:r>
    </w:p>
    <w:p>
      <w:pPr>
        <w:pStyle w:val="Indenti"/>
        <w:rPr>
          <w:snapToGrid w:val="0"/>
        </w:rPr>
      </w:pPr>
      <w:r>
        <w:rPr>
          <w:snapToGrid w:val="0"/>
        </w:rPr>
        <w:tab/>
        <w:t>(i)</w:t>
      </w:r>
      <w:r>
        <w:rPr>
          <w:snapToGrid w:val="0"/>
        </w:rPr>
        <w:tab/>
        <w:t>failed to keep any record, or submit any return, that is required to be kept or submitted under this Act; or</w:t>
      </w:r>
    </w:p>
    <w:p>
      <w:pPr>
        <w:pStyle w:val="Indenti"/>
        <w:rPr>
          <w:snapToGrid w:val="0"/>
        </w:rPr>
      </w:pPr>
      <w:r>
        <w:rPr>
          <w:snapToGrid w:val="0"/>
        </w:rPr>
        <w:tab/>
        <w:t>(ii)</w:t>
      </w:r>
      <w:r>
        <w:rPr>
          <w:snapToGrid w:val="0"/>
        </w:rPr>
        <w:tab/>
        <w:t>made an entry or statement in such a record or return that is false or misleading in a material particular;</w:t>
      </w:r>
    </w:p>
    <w:p>
      <w:pPr>
        <w:pStyle w:val="Indenta"/>
        <w:rPr>
          <w:snapToGrid w:val="0"/>
        </w:rPr>
      </w:pPr>
      <w:r>
        <w:rPr>
          <w:snapToGrid w:val="0"/>
        </w:rPr>
        <w:tab/>
      </w:r>
      <w:r>
        <w:rPr>
          <w:snapToGrid w:val="0"/>
        </w:rPr>
        <w:tab/>
        <w:t>or</w:t>
      </w:r>
    </w:p>
    <w:p>
      <w:pPr>
        <w:pStyle w:val="Indenta"/>
        <w:rPr>
          <w:snapToGrid w:val="0"/>
        </w:rPr>
      </w:pPr>
      <w:r>
        <w:rPr>
          <w:snapToGrid w:val="0"/>
        </w:rPr>
        <w:tab/>
        <w:t>(h)</w:t>
      </w:r>
      <w:r>
        <w:rPr>
          <w:snapToGrid w:val="0"/>
        </w:rPr>
        <w:tab/>
        <w:t>a fee, charge or levy payable in respect of the authorisation has not been paid when it became due; or</w:t>
      </w:r>
    </w:p>
    <w:p>
      <w:pPr>
        <w:pStyle w:val="Indenta"/>
        <w:rPr>
          <w:snapToGrid w:val="0"/>
        </w:rPr>
      </w:pPr>
      <w:r>
        <w:rPr>
          <w:snapToGrid w:val="0"/>
        </w:rPr>
        <w:tab/>
        <w:t>(i)</w:t>
      </w:r>
      <w:r>
        <w:rPr>
          <w:snapToGrid w:val="0"/>
        </w:rPr>
        <w:tab/>
        <w:t>the transfer would contravene a condition of the authorisation or be contrary to a provision of a management plan.</w:t>
      </w:r>
    </w:p>
    <w:p>
      <w:pPr>
        <w:pStyle w:val="Footnotesection"/>
        <w:ind w:left="890" w:hanging="890"/>
      </w:pPr>
      <w:r>
        <w:tab/>
        <w:t>[Regulation 131 amended in Gazette 29 Jun 2001 p. 3175; 6 Jul 2007 p. 3389.]</w:t>
      </w:r>
    </w:p>
    <w:p>
      <w:pPr>
        <w:pStyle w:val="Heading5"/>
        <w:rPr>
          <w:snapToGrid w:val="0"/>
        </w:rPr>
      </w:pPr>
      <w:bookmarkStart w:id="5135" w:name="_Toc309309535"/>
      <w:r>
        <w:rPr>
          <w:rStyle w:val="CharSectno"/>
        </w:rPr>
        <w:t>132</w:t>
      </w:r>
      <w:r>
        <w:rPr>
          <w:snapToGrid w:val="0"/>
        </w:rPr>
        <w:t>.</w:t>
      </w:r>
      <w:r>
        <w:rPr>
          <w:snapToGrid w:val="0"/>
        </w:rPr>
        <w:tab/>
        <w:t>Short term use of boat instead of lost etc. licensed fishing boat etc., authorisation of</w:t>
      </w:r>
      <w:bookmarkEnd w:id="5135"/>
    </w:p>
    <w:p>
      <w:pPr>
        <w:pStyle w:val="Subsection"/>
        <w:rPr>
          <w:snapToGrid w:val="0"/>
        </w:rPr>
      </w:pPr>
      <w:r>
        <w:rPr>
          <w:snapToGrid w:val="0"/>
        </w:rPr>
        <w:tab/>
        <w:t>(1)</w:t>
      </w:r>
      <w:r>
        <w:rPr>
          <w:snapToGrid w:val="0"/>
        </w:rPr>
        <w:tab/>
        <w:t>Despite regulations 117 and 119, where a fishing boat or a carrier boat licence has been granted in respect of a boat and —</w:t>
      </w:r>
    </w:p>
    <w:p>
      <w:pPr>
        <w:pStyle w:val="Indenta"/>
        <w:rPr>
          <w:snapToGrid w:val="0"/>
        </w:rPr>
      </w:pPr>
      <w:r>
        <w:rPr>
          <w:snapToGrid w:val="0"/>
        </w:rPr>
        <w:tab/>
        <w:t>(a)</w:t>
      </w:r>
      <w:r>
        <w:rPr>
          <w:snapToGrid w:val="0"/>
        </w:rPr>
        <w:tab/>
        <w:t>the boat is unseaworthy, lost or destroyed; or</w:t>
      </w:r>
    </w:p>
    <w:p>
      <w:pPr>
        <w:pStyle w:val="Indenta"/>
        <w:rPr>
          <w:snapToGrid w:val="0"/>
        </w:rPr>
      </w:pPr>
      <w:r>
        <w:rPr>
          <w:snapToGrid w:val="0"/>
        </w:rPr>
        <w:tab/>
        <w:t>(b)</w:t>
      </w:r>
      <w:r>
        <w:rPr>
          <w:snapToGrid w:val="0"/>
        </w:rPr>
        <w:tab/>
        <w:t>the Certificate of Survey, as required under regulation 118(1)(c), for the boat has expired or is cancelled,</w:t>
      </w:r>
    </w:p>
    <w:p>
      <w:pPr>
        <w:pStyle w:val="Subsection"/>
        <w:rPr>
          <w:snapToGrid w:val="0"/>
        </w:rPr>
      </w:pPr>
      <w:r>
        <w:rPr>
          <w:snapToGrid w:val="0"/>
        </w:rPr>
        <w:tab/>
      </w:r>
      <w:r>
        <w:rPr>
          <w:snapToGrid w:val="0"/>
        </w:rPr>
        <w:tab/>
        <w:t>the CEO may, on application by the holder of the licence, authorise by notice in writing, the holder to use a boat other than the boat in respect of which the licence was granted.</w:t>
      </w:r>
    </w:p>
    <w:p>
      <w:pPr>
        <w:pStyle w:val="Subsection"/>
        <w:rPr>
          <w:snapToGrid w:val="0"/>
        </w:rPr>
      </w:pPr>
      <w:r>
        <w:rPr>
          <w:snapToGrid w:val="0"/>
        </w:rPr>
        <w:tab/>
        <w:t>(2)</w:t>
      </w:r>
      <w:r>
        <w:rPr>
          <w:snapToGrid w:val="0"/>
        </w:rPr>
        <w:tab/>
        <w:t>An application for an authority under subregulation (1)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6 of Part 2 of Schedule 1.</w:t>
      </w:r>
    </w:p>
    <w:p>
      <w:pPr>
        <w:pStyle w:val="Subsection"/>
        <w:rPr>
          <w:snapToGrid w:val="0"/>
        </w:rPr>
      </w:pPr>
      <w:r>
        <w:rPr>
          <w:snapToGrid w:val="0"/>
        </w:rPr>
        <w:tab/>
        <w:t>(3)</w:t>
      </w:r>
      <w:r>
        <w:rPr>
          <w:snapToGrid w:val="0"/>
        </w:rPr>
        <w:tab/>
        <w:t>An authority under this regulation —</w:t>
      </w:r>
    </w:p>
    <w:p>
      <w:pPr>
        <w:pStyle w:val="Indenta"/>
        <w:rPr>
          <w:snapToGrid w:val="0"/>
        </w:rPr>
      </w:pPr>
      <w:r>
        <w:rPr>
          <w:snapToGrid w:val="0"/>
        </w:rPr>
        <w:tab/>
        <w:t>(a)</w:t>
      </w:r>
      <w:r>
        <w:rPr>
          <w:snapToGrid w:val="0"/>
        </w:rPr>
        <w:tab/>
        <w:t>must specify the boat to which the authority relates and the period for which the boat may be used under the licence, being a period not exceeding 28 days; and</w:t>
      </w:r>
    </w:p>
    <w:p>
      <w:pPr>
        <w:pStyle w:val="Indenta"/>
        <w:rPr>
          <w:snapToGrid w:val="0"/>
        </w:rPr>
      </w:pPr>
      <w:r>
        <w:rPr>
          <w:snapToGrid w:val="0"/>
        </w:rPr>
        <w:tab/>
        <w:t>(b)</w:t>
      </w:r>
      <w:r>
        <w:rPr>
          <w:snapToGrid w:val="0"/>
        </w:rPr>
        <w:tab/>
        <w:t>is subject to any conditions specified in the authority by the CEO.</w:t>
      </w:r>
    </w:p>
    <w:p>
      <w:pPr>
        <w:pStyle w:val="Subsection"/>
        <w:rPr>
          <w:snapToGrid w:val="0"/>
        </w:rPr>
      </w:pPr>
      <w:r>
        <w:rPr>
          <w:snapToGrid w:val="0"/>
        </w:rPr>
        <w:tab/>
        <w:t>(4)</w:t>
      </w:r>
      <w:r>
        <w:rPr>
          <w:snapToGrid w:val="0"/>
        </w:rPr>
        <w:tab/>
        <w:t>The CEO may vary or cancel a condition imposed on an authority under this regulation by notice in writing given to the holder of the authority.</w:t>
      </w:r>
    </w:p>
    <w:p>
      <w:pPr>
        <w:pStyle w:val="Subsection"/>
        <w:rPr>
          <w:snapToGrid w:val="0"/>
        </w:rPr>
      </w:pPr>
      <w:r>
        <w:rPr>
          <w:snapToGrid w:val="0"/>
        </w:rPr>
        <w:tab/>
        <w:t>(5)</w:t>
      </w:r>
      <w:r>
        <w:rPr>
          <w:snapToGrid w:val="0"/>
        </w:rPr>
        <w:tab/>
        <w:t>The CEO may vary or cancel an authority under this regulation by notice in writing given to the holder of the authority.</w:t>
      </w:r>
    </w:p>
    <w:p>
      <w:pPr>
        <w:pStyle w:val="Subsection"/>
        <w:rPr>
          <w:snapToGrid w:val="0"/>
        </w:rPr>
      </w:pPr>
      <w:r>
        <w:rPr>
          <w:snapToGrid w:val="0"/>
        </w:rPr>
        <w:tab/>
        <w:t>(6)</w:t>
      </w:r>
      <w:r>
        <w:rPr>
          <w:snapToGrid w:val="0"/>
        </w:rPr>
        <w:tab/>
        <w:t>A person to whom an authority has been granted under this regulation must not contravene that authority while it is in force.</w:t>
      </w:r>
    </w:p>
    <w:p>
      <w:pPr>
        <w:pStyle w:val="Penstart"/>
        <w:rPr>
          <w:snapToGrid w:val="0"/>
        </w:rPr>
      </w:pPr>
      <w:r>
        <w:rPr>
          <w:snapToGrid w:val="0"/>
        </w:rPr>
        <w:tab/>
        <w:t>Penalty: $5 000.</w:t>
      </w:r>
    </w:p>
    <w:p>
      <w:pPr>
        <w:pStyle w:val="Footnotesection"/>
      </w:pPr>
      <w:r>
        <w:tab/>
        <w:t>[Regulation 132 amended in Gazette 6 Jul 2007 p. 3389.]</w:t>
      </w:r>
    </w:p>
    <w:p>
      <w:pPr>
        <w:pStyle w:val="Heading5"/>
        <w:rPr>
          <w:snapToGrid w:val="0"/>
        </w:rPr>
      </w:pPr>
      <w:bookmarkStart w:id="5136" w:name="_Toc309309536"/>
      <w:r>
        <w:rPr>
          <w:rStyle w:val="CharSectno"/>
        </w:rPr>
        <w:t>133</w:t>
      </w:r>
      <w:r>
        <w:rPr>
          <w:snapToGrid w:val="0"/>
        </w:rPr>
        <w:t>.</w:t>
      </w:r>
      <w:r>
        <w:rPr>
          <w:snapToGrid w:val="0"/>
        </w:rPr>
        <w:tab/>
        <w:t>Duration of licences</w:t>
      </w:r>
      <w:bookmarkEnd w:id="5136"/>
    </w:p>
    <w:p>
      <w:pPr>
        <w:pStyle w:val="Subsection"/>
        <w:rPr>
          <w:snapToGrid w:val="0"/>
        </w:rPr>
      </w:pPr>
      <w:r>
        <w:rPr>
          <w:snapToGrid w:val="0"/>
        </w:rPr>
        <w:tab/>
      </w:r>
      <w:r>
        <w:rPr>
          <w:snapToGrid w:val="0"/>
        </w:rPr>
        <w:tab/>
        <w:t>Except as otherwise provided in the Act or in the licence, a licence granted under this Part remains in force for a period of 12 months from the day on which it is granted or renewed.</w:t>
      </w:r>
    </w:p>
    <w:p>
      <w:pPr>
        <w:pStyle w:val="Heading5"/>
        <w:rPr>
          <w:snapToGrid w:val="0"/>
        </w:rPr>
      </w:pPr>
      <w:bookmarkStart w:id="5137" w:name="_Toc309309537"/>
      <w:r>
        <w:rPr>
          <w:rStyle w:val="CharSectno"/>
        </w:rPr>
        <w:t>134</w:t>
      </w:r>
      <w:r>
        <w:rPr>
          <w:snapToGrid w:val="0"/>
        </w:rPr>
        <w:t>.</w:t>
      </w:r>
      <w:r>
        <w:rPr>
          <w:snapToGrid w:val="0"/>
        </w:rPr>
        <w:tab/>
        <w:t>Renewal of licences</w:t>
      </w:r>
      <w:bookmarkEnd w:id="5137"/>
    </w:p>
    <w:p>
      <w:pPr>
        <w:pStyle w:val="Subsection"/>
        <w:rPr>
          <w:snapToGrid w:val="0"/>
        </w:rPr>
      </w:pPr>
      <w:r>
        <w:rPr>
          <w:snapToGrid w:val="0"/>
        </w:rPr>
        <w:tab/>
      </w:r>
      <w:r>
        <w:rPr>
          <w:snapToGrid w:val="0"/>
        </w:rPr>
        <w:tab/>
        <w:t>If a person applies to the CEO for the renewal of a licence granted under this Part, the CEO is, subject to section 143 of the Act, to renew the licence.</w:t>
      </w:r>
    </w:p>
    <w:p>
      <w:pPr>
        <w:pStyle w:val="Footnotesection"/>
      </w:pPr>
      <w:r>
        <w:tab/>
        <w:t>[Regulation 134 amended in Gazette 6 Jul 2007 p. 3389.]</w:t>
      </w:r>
    </w:p>
    <w:p>
      <w:pPr>
        <w:pStyle w:val="Heading5"/>
        <w:rPr>
          <w:snapToGrid w:val="0"/>
        </w:rPr>
      </w:pPr>
      <w:bookmarkStart w:id="5138" w:name="_Toc309309538"/>
      <w:r>
        <w:rPr>
          <w:rStyle w:val="CharSectno"/>
        </w:rPr>
        <w:t>135</w:t>
      </w:r>
      <w:r>
        <w:rPr>
          <w:snapToGrid w:val="0"/>
        </w:rPr>
        <w:t>.</w:t>
      </w:r>
      <w:r>
        <w:rPr>
          <w:snapToGrid w:val="0"/>
        </w:rPr>
        <w:tab/>
        <w:t>Application fees (Sch. 1 Part 2)</w:t>
      </w:r>
      <w:bookmarkEnd w:id="5138"/>
    </w:p>
    <w:p>
      <w:pPr>
        <w:pStyle w:val="Subsection"/>
        <w:rPr>
          <w:snapToGrid w:val="0"/>
        </w:rPr>
      </w:pPr>
      <w:r>
        <w:rPr>
          <w:snapToGrid w:val="0"/>
        </w:rPr>
        <w:tab/>
      </w:r>
      <w:r>
        <w:rPr>
          <w:snapToGrid w:val="0"/>
        </w:rPr>
        <w:tab/>
        <w:t>A fee set out in Part 2 of Schedule 1 opposite a particular type of application is the fee to be paid to make that application.</w:t>
      </w:r>
    </w:p>
    <w:p>
      <w:pPr>
        <w:pStyle w:val="Heading5"/>
        <w:rPr>
          <w:snapToGrid w:val="0"/>
        </w:rPr>
      </w:pPr>
      <w:bookmarkStart w:id="5139" w:name="_Toc309309539"/>
      <w:r>
        <w:rPr>
          <w:rStyle w:val="CharSectno"/>
        </w:rPr>
        <w:t>136</w:t>
      </w:r>
      <w:r>
        <w:rPr>
          <w:snapToGrid w:val="0"/>
        </w:rPr>
        <w:t>.</w:t>
      </w:r>
      <w:r>
        <w:rPr>
          <w:snapToGrid w:val="0"/>
        </w:rPr>
        <w:tab/>
        <w:t>Recreational fishing licence fee halved for pensioners etc.</w:t>
      </w:r>
      <w:bookmarkEnd w:id="5139"/>
    </w:p>
    <w:p>
      <w:pPr>
        <w:pStyle w:val="Subsection"/>
      </w:pPr>
      <w:r>
        <w:tab/>
        <w:t>(1)</w:t>
      </w:r>
      <w:r>
        <w:tab/>
        <w:t>In this regulation —</w:t>
      </w:r>
    </w:p>
    <w:p>
      <w:pPr>
        <w:pStyle w:val="Defstart"/>
      </w:pPr>
      <w:r>
        <w:tab/>
      </w:r>
      <w:r>
        <w:rPr>
          <w:rStyle w:val="CharDefText"/>
        </w:rPr>
        <w:t>recreational fishing licence</w:t>
      </w:r>
      <w:r>
        <w:t xml:space="preserve"> includes a recreational (boat) fishing licence applied for under regulation 124C.</w:t>
      </w:r>
    </w:p>
    <w:p>
      <w:pPr>
        <w:pStyle w:val="Subsection"/>
        <w:keepNext/>
        <w:rPr>
          <w:snapToGrid w:val="0"/>
        </w:rPr>
      </w:pPr>
      <w:r>
        <w:rPr>
          <w:snapToGrid w:val="0"/>
        </w:rPr>
        <w:tab/>
        <w:t>(2)</w:t>
      </w:r>
      <w:r>
        <w:rPr>
          <w:snapToGrid w:val="0"/>
        </w:rPr>
        <w:tab/>
        <w:t>Where a recreational fishing licence is applied for by —</w:t>
      </w:r>
    </w:p>
    <w:p>
      <w:pPr>
        <w:pStyle w:val="Indenta"/>
        <w:spacing w:before="60"/>
        <w:rPr>
          <w:snapToGrid w:val="0"/>
        </w:rPr>
      </w:pPr>
      <w:r>
        <w:rPr>
          <w:snapToGrid w:val="0"/>
        </w:rPr>
        <w:tab/>
        <w:t>(a)</w:t>
      </w:r>
      <w:r>
        <w:rPr>
          <w:snapToGrid w:val="0"/>
        </w:rPr>
        <w:tab/>
        <w:t>a person under the age of 16 years; or</w:t>
      </w:r>
    </w:p>
    <w:p>
      <w:pPr>
        <w:pStyle w:val="Indenta"/>
        <w:spacing w:before="60"/>
        <w:rPr>
          <w:snapToGrid w:val="0"/>
        </w:rPr>
      </w:pPr>
      <w:r>
        <w:rPr>
          <w:snapToGrid w:val="0"/>
        </w:rPr>
        <w:tab/>
        <w:t>(b)</w:t>
      </w:r>
      <w:r>
        <w:rPr>
          <w:snapToGrid w:val="0"/>
        </w:rPr>
        <w:tab/>
        <w:t>a person receiving —</w:t>
      </w:r>
    </w:p>
    <w:p>
      <w:pPr>
        <w:pStyle w:val="Indenti"/>
        <w:spacing w:before="60"/>
        <w:rPr>
          <w:snapToGrid w:val="0"/>
        </w:rPr>
      </w:pPr>
      <w:r>
        <w:rPr>
          <w:snapToGrid w:val="0"/>
        </w:rPr>
        <w:tab/>
        <w:t>(i)</w:t>
      </w:r>
      <w:r>
        <w:rPr>
          <w:snapToGrid w:val="0"/>
        </w:rPr>
        <w:tab/>
        <w:t xml:space="preserve">under the </w:t>
      </w:r>
      <w:r>
        <w:rPr>
          <w:i/>
          <w:snapToGrid w:val="0"/>
        </w:rPr>
        <w:t>Social Security Act 1991</w:t>
      </w:r>
      <w:r>
        <w:rPr>
          <w:snapToGrid w:val="0"/>
        </w:rPr>
        <w:t xml:space="preserve"> of the Commonwealth, an age, disability support or widows pension or allowance;</w:t>
      </w:r>
    </w:p>
    <w:p>
      <w:pPr>
        <w:pStyle w:val="Indenti"/>
        <w:spacing w:before="60"/>
        <w:rPr>
          <w:snapToGrid w:val="0"/>
        </w:rPr>
      </w:pPr>
      <w:r>
        <w:rPr>
          <w:snapToGrid w:val="0"/>
        </w:rPr>
        <w:tab/>
        <w:t>(ii)</w:t>
      </w:r>
      <w:r>
        <w:rPr>
          <w:snapToGrid w:val="0"/>
        </w:rPr>
        <w:tab/>
        <w:t xml:space="preserve">a pension under the </w:t>
      </w:r>
      <w:r>
        <w:rPr>
          <w:i/>
          <w:snapToGrid w:val="0"/>
        </w:rPr>
        <w:t>Coal Industry Superannuation Act 1989</w:t>
      </w:r>
      <w:r>
        <w:rPr>
          <w:snapToGrid w:val="0"/>
        </w:rPr>
        <w:t>;</w:t>
      </w:r>
    </w:p>
    <w:p>
      <w:pPr>
        <w:pStyle w:val="Indenti"/>
        <w:spacing w:before="60"/>
        <w:rPr>
          <w:snapToGrid w:val="0"/>
        </w:rPr>
      </w:pPr>
      <w:r>
        <w:rPr>
          <w:snapToGrid w:val="0"/>
        </w:rPr>
        <w:tab/>
        <w:t>(iii)</w:t>
      </w:r>
      <w:r>
        <w:rPr>
          <w:snapToGrid w:val="0"/>
        </w:rPr>
        <w:tab/>
        <w:t xml:space="preserve">under the </w:t>
      </w:r>
      <w:r>
        <w:rPr>
          <w:i/>
          <w:snapToGrid w:val="0"/>
        </w:rPr>
        <w:t>Veterans Entitlements Act 1986</w:t>
      </w:r>
      <w:r>
        <w:rPr>
          <w:snapToGrid w:val="0"/>
        </w:rPr>
        <w:t xml:space="preserve"> of the Commonwealth, a pension as a widow of a member of the forces, a service pension or the special rate of pension as a person who is totally and permanently incapacitated;</w:t>
      </w:r>
    </w:p>
    <w:p>
      <w:pPr>
        <w:pStyle w:val="Indenta"/>
        <w:spacing w:before="60"/>
        <w:rPr>
          <w:snapToGrid w:val="0"/>
        </w:rPr>
      </w:pPr>
      <w:r>
        <w:rPr>
          <w:snapToGrid w:val="0"/>
        </w:rPr>
        <w:tab/>
      </w:r>
      <w:r>
        <w:rPr>
          <w:snapToGrid w:val="0"/>
        </w:rPr>
        <w:tab/>
        <w:t>or</w:t>
      </w:r>
    </w:p>
    <w:p>
      <w:pPr>
        <w:pStyle w:val="Indenta"/>
        <w:rPr>
          <w:snapToGrid w:val="0"/>
        </w:rPr>
      </w:pPr>
      <w:r>
        <w:rPr>
          <w:snapToGrid w:val="0"/>
        </w:rPr>
        <w:tab/>
        <w:t>(c)</w:t>
      </w:r>
      <w:r>
        <w:rPr>
          <w:snapToGrid w:val="0"/>
        </w:rPr>
        <w:tab/>
        <w:t>a person who is the spouse, widow or widower of a person referred to in paragraph (b); or</w:t>
      </w:r>
    </w:p>
    <w:p>
      <w:pPr>
        <w:pStyle w:val="Indenta"/>
        <w:keepNext/>
        <w:spacing w:before="60"/>
      </w:pPr>
      <w:r>
        <w:tab/>
        <w:t>(ca)</w:t>
      </w:r>
      <w:r>
        <w:tab/>
        <w:t>a person who —</w:t>
      </w:r>
    </w:p>
    <w:p>
      <w:pPr>
        <w:pStyle w:val="Indenti"/>
        <w:spacing w:before="60"/>
      </w:pPr>
      <w:r>
        <w:tab/>
        <w:t>(i)</w:t>
      </w:r>
      <w:r>
        <w:tab/>
        <w:t>is the de facto partner of a person referred to in paragraph (b); or</w:t>
      </w:r>
    </w:p>
    <w:p>
      <w:pPr>
        <w:pStyle w:val="Indenti"/>
        <w:spacing w:before="60"/>
      </w:pPr>
      <w:r>
        <w:tab/>
        <w:t>(ii)</w:t>
      </w:r>
      <w:r>
        <w:tab/>
        <w:t>if the person referred to in paragraph (b) has died, was the de facto partner of that person immediately before the death of that person;</w:t>
      </w:r>
    </w:p>
    <w:p>
      <w:pPr>
        <w:pStyle w:val="Indenta"/>
        <w:spacing w:before="60"/>
      </w:pPr>
      <w:r>
        <w:tab/>
      </w:r>
      <w:r>
        <w:tab/>
        <w:t>or</w:t>
      </w:r>
    </w:p>
    <w:p>
      <w:pPr>
        <w:pStyle w:val="Indenta"/>
        <w:spacing w:before="60"/>
        <w:rPr>
          <w:snapToGrid w:val="0"/>
        </w:rPr>
      </w:pPr>
      <w:r>
        <w:rPr>
          <w:snapToGrid w:val="0"/>
        </w:rPr>
        <w:tab/>
        <w:t>(d)</w:t>
      </w:r>
      <w:r>
        <w:rPr>
          <w:snapToGrid w:val="0"/>
        </w:rPr>
        <w:tab/>
        <w:t>a person who is the holder of a Seniors’ Card issued by the Office of Seniors Interests,</w:t>
      </w:r>
    </w:p>
    <w:p>
      <w:pPr>
        <w:pStyle w:val="Subsection"/>
        <w:spacing w:before="120"/>
        <w:rPr>
          <w:snapToGrid w:val="0"/>
        </w:rPr>
      </w:pPr>
      <w:r>
        <w:rPr>
          <w:snapToGrid w:val="0"/>
        </w:rPr>
        <w:tab/>
      </w:r>
      <w:r>
        <w:rPr>
          <w:snapToGrid w:val="0"/>
        </w:rPr>
        <w:tab/>
        <w:t>only one half of the fee otherwise applicable is payable.</w:t>
      </w:r>
    </w:p>
    <w:p>
      <w:pPr>
        <w:pStyle w:val="Footnotesection"/>
      </w:pPr>
      <w:r>
        <w:tab/>
        <w:t>[Regulation 136 amended in Gazette 30 Jun 2003 p. 2603; 12 Feb 2010 p. 585</w:t>
      </w:r>
      <w:r>
        <w:noBreakHyphen/>
        <w:t>6.]</w:t>
      </w:r>
    </w:p>
    <w:p>
      <w:pPr>
        <w:pStyle w:val="Heading5"/>
        <w:rPr>
          <w:snapToGrid w:val="0"/>
        </w:rPr>
      </w:pPr>
      <w:bookmarkStart w:id="5140" w:name="_Toc309309540"/>
      <w:r>
        <w:rPr>
          <w:rStyle w:val="CharSectno"/>
        </w:rPr>
        <w:t>137</w:t>
      </w:r>
      <w:r>
        <w:rPr>
          <w:snapToGrid w:val="0"/>
        </w:rPr>
        <w:t>.</w:t>
      </w:r>
      <w:r>
        <w:rPr>
          <w:snapToGrid w:val="0"/>
        </w:rPr>
        <w:tab/>
        <w:t>Fees for grant or renewal of authorisation (Sch. 1 Part 3)</w:t>
      </w:r>
      <w:bookmarkEnd w:id="5140"/>
    </w:p>
    <w:p>
      <w:pPr>
        <w:pStyle w:val="Subsection"/>
        <w:rPr>
          <w:snapToGrid w:val="0"/>
        </w:rPr>
      </w:pPr>
      <w:r>
        <w:rPr>
          <w:snapToGrid w:val="0"/>
        </w:rPr>
        <w:tab/>
        <w:t>(1)</w:t>
      </w:r>
      <w:r>
        <w:rPr>
          <w:snapToGrid w:val="0"/>
        </w:rPr>
        <w:tab/>
        <w:t>A fee set out in Part 3 of Schedule 1 opposite a particular type of authorisation is the fee to be paid in respect of the grant or renewal of the authorisation.</w:t>
      </w:r>
    </w:p>
    <w:p>
      <w:pPr>
        <w:pStyle w:val="Subsection"/>
      </w:pPr>
      <w:r>
        <w:tab/>
        <w:t>(1a)</w:t>
      </w:r>
      <w:r>
        <w:tab/>
        <w:t>Any term used in a subitem of Schedule 1 Part 3 item 3 has the same meaning as it is given in the management plan for that managed fishery.</w:t>
      </w:r>
    </w:p>
    <w:p>
      <w:pPr>
        <w:pStyle w:val="Subsection"/>
        <w:rPr>
          <w:snapToGrid w:val="0"/>
        </w:rPr>
      </w:pPr>
      <w:r>
        <w:rPr>
          <w:snapToGrid w:val="0"/>
        </w:rPr>
        <w:tab/>
        <w:t>(2)</w:t>
      </w:r>
      <w:r>
        <w:rPr>
          <w:snapToGrid w:val="0"/>
        </w:rPr>
        <w:tab/>
        <w:t>If the relevant management plan provides for the payment by instalments of a fee set out in item 3 of Part 3 of Schedule 1, the fee may be paid in 2 or 3 instalments in accordance with the relevant management plan.</w:t>
      </w:r>
    </w:p>
    <w:p>
      <w:pPr>
        <w:pStyle w:val="Subsection"/>
        <w:rPr>
          <w:snapToGrid w:val="0"/>
        </w:rPr>
      </w:pPr>
      <w:r>
        <w:rPr>
          <w:snapToGrid w:val="0"/>
        </w:rPr>
        <w:tab/>
        <w:t>(3)</w:t>
      </w:r>
      <w:r>
        <w:rPr>
          <w:snapToGrid w:val="0"/>
        </w:rPr>
        <w:tab/>
        <w:t>If a fee referred to in subregulation (2) is to be paid by instalments, a surcharge of —</w:t>
      </w:r>
    </w:p>
    <w:p>
      <w:pPr>
        <w:pStyle w:val="Indenta"/>
        <w:rPr>
          <w:snapToGrid w:val="0"/>
        </w:rPr>
      </w:pPr>
      <w:r>
        <w:rPr>
          <w:snapToGrid w:val="0"/>
        </w:rPr>
        <w:tab/>
        <w:t>(a)</w:t>
      </w:r>
      <w:r>
        <w:rPr>
          <w:snapToGrid w:val="0"/>
        </w:rPr>
        <w:tab/>
        <w:t>10% of that fee; or</w:t>
      </w:r>
    </w:p>
    <w:p>
      <w:pPr>
        <w:pStyle w:val="Indenta"/>
        <w:rPr>
          <w:snapToGrid w:val="0"/>
        </w:rPr>
      </w:pPr>
      <w:r>
        <w:rPr>
          <w:snapToGrid w:val="0"/>
        </w:rPr>
        <w:tab/>
        <w:t>(b)</w:t>
      </w:r>
      <w:r>
        <w:rPr>
          <w:snapToGrid w:val="0"/>
        </w:rPr>
        <w:tab/>
        <w:t>any lesser percentage of that fee, if such a percentage is specified in the relevant management plan,</w:t>
      </w:r>
    </w:p>
    <w:p>
      <w:pPr>
        <w:pStyle w:val="Subsection"/>
        <w:rPr>
          <w:snapToGrid w:val="0"/>
        </w:rPr>
      </w:pPr>
      <w:r>
        <w:rPr>
          <w:snapToGrid w:val="0"/>
        </w:rPr>
        <w:tab/>
      </w:r>
      <w:r>
        <w:rPr>
          <w:snapToGrid w:val="0"/>
        </w:rPr>
        <w:tab/>
        <w:t>is payable with the first instalment.</w:t>
      </w:r>
    </w:p>
    <w:p>
      <w:pPr>
        <w:pStyle w:val="Subsection"/>
        <w:rPr>
          <w:snapToGrid w:val="0"/>
        </w:rPr>
      </w:pPr>
      <w:r>
        <w:rPr>
          <w:snapToGrid w:val="0"/>
        </w:rPr>
        <w:tab/>
        <w:t>(4)</w:t>
      </w:r>
      <w:r>
        <w:rPr>
          <w:snapToGrid w:val="0"/>
        </w:rPr>
        <w:tab/>
        <w:t>If an instalment of a fee, including the surcharge if payable with that instalment, is not paid on or before the day specified in the relevant management plan (</w:t>
      </w:r>
      <w:r>
        <w:t xml:space="preserve">the </w:t>
      </w:r>
      <w:r>
        <w:rPr>
          <w:rStyle w:val="CharDefText"/>
        </w:rPr>
        <w:t>due date</w:t>
      </w:r>
      <w:r>
        <w:rPr>
          <w:snapToGrid w:val="0"/>
        </w:rPr>
        <w:t>) —</w:t>
      </w:r>
    </w:p>
    <w:p>
      <w:pPr>
        <w:pStyle w:val="Indenta"/>
        <w:rPr>
          <w:snapToGrid w:val="0"/>
        </w:rPr>
      </w:pPr>
      <w:r>
        <w:rPr>
          <w:snapToGrid w:val="0"/>
        </w:rPr>
        <w:tab/>
        <w:t>(a)</w:t>
      </w:r>
      <w:r>
        <w:rPr>
          <w:snapToGrid w:val="0"/>
        </w:rPr>
        <w:tab/>
        <w:t>the full amount outstanding of the fee becomes immediately payable; and</w:t>
      </w:r>
    </w:p>
    <w:p>
      <w:pPr>
        <w:pStyle w:val="Indenta"/>
        <w:rPr>
          <w:snapToGrid w:val="0"/>
        </w:rPr>
      </w:pPr>
      <w:r>
        <w:rPr>
          <w:snapToGrid w:val="0"/>
        </w:rPr>
        <w:tab/>
        <w:t>(b)</w:t>
      </w:r>
      <w:r>
        <w:rPr>
          <w:snapToGrid w:val="0"/>
        </w:rPr>
        <w:tab/>
        <w:t>the authority conferred by the authorisation to which the fee applies is of no effect during the period from the due date until the day on which the full amount outstanding of the fee is paid.</w:t>
      </w:r>
    </w:p>
    <w:p>
      <w:pPr>
        <w:pStyle w:val="Subsection"/>
        <w:rPr>
          <w:snapToGrid w:val="0"/>
        </w:rPr>
      </w:pPr>
      <w:r>
        <w:rPr>
          <w:snapToGrid w:val="0"/>
        </w:rPr>
        <w:tab/>
        <w:t>(5)</w:t>
      </w:r>
      <w:r>
        <w:rPr>
          <w:snapToGrid w:val="0"/>
        </w:rPr>
        <w:tab/>
        <w:t>In subregulation (4) —</w:t>
      </w:r>
    </w:p>
    <w:p>
      <w:pPr>
        <w:pStyle w:val="Defstart"/>
      </w:pPr>
      <w:r>
        <w:rPr>
          <w:b/>
        </w:rPr>
        <w:tab/>
      </w:r>
      <w:r>
        <w:rPr>
          <w:rStyle w:val="CharDefText"/>
        </w:rPr>
        <w:t>full amount outstanding of the fee</w:t>
      </w:r>
      <w:r>
        <w:t xml:space="preserve"> includes the surcharge payable under subregulation (3).</w:t>
      </w:r>
    </w:p>
    <w:p>
      <w:pPr>
        <w:pStyle w:val="Subsection"/>
      </w:pPr>
      <w:r>
        <w:tab/>
        <w:t>(6)</w:t>
      </w:r>
      <w:r>
        <w:tab/>
        <w:t>If —</w:t>
      </w:r>
    </w:p>
    <w:p>
      <w:pPr>
        <w:pStyle w:val="Indenta"/>
      </w:pPr>
      <w:r>
        <w:tab/>
        <w:t>(a)</w:t>
      </w:r>
      <w:r>
        <w:tab/>
        <w:t>an application is made under regulation 124; and</w:t>
      </w:r>
    </w:p>
    <w:p>
      <w:pPr>
        <w:pStyle w:val="Indenta"/>
      </w:pPr>
      <w:r>
        <w:tab/>
        <w:t>(b)</w:t>
      </w:r>
      <w:r>
        <w:tab/>
        <w:t>the application relates to 2 or more of the activities set out in the Table to that regulation,</w:t>
      </w:r>
    </w:p>
    <w:p>
      <w:pPr>
        <w:pStyle w:val="Subsection"/>
        <w:spacing w:before="120"/>
      </w:pPr>
      <w:r>
        <w:tab/>
      </w:r>
      <w:r>
        <w:tab/>
        <w:t>the fees set out in Schedule 1 Part 3 item 8 to be paid in respect of the grant of the recreational fishing licence are each to be reduced by 10%.</w:t>
      </w:r>
    </w:p>
    <w:p>
      <w:pPr>
        <w:pStyle w:val="Subsection"/>
      </w:pPr>
      <w:r>
        <w:tab/>
        <w:t>(7)</w:t>
      </w:r>
      <w:r>
        <w:tab/>
        <w:t>Subregulation (8) applies if —</w:t>
      </w:r>
    </w:p>
    <w:p>
      <w:pPr>
        <w:pStyle w:val="Indenta"/>
      </w:pPr>
      <w:r>
        <w:tab/>
        <w:t>(a)</w:t>
      </w:r>
      <w:r>
        <w:tab/>
        <w:t>an application is made by a person under regulation 124 relating to one or more of the activities set out in the Table to that regulation; and</w:t>
      </w:r>
    </w:p>
    <w:p>
      <w:pPr>
        <w:pStyle w:val="Indenta"/>
      </w:pPr>
      <w:r>
        <w:tab/>
        <w:t>(b)</w:t>
      </w:r>
      <w:r>
        <w:tab/>
        <w:t>at the same time an application is made by the person under regulation 124C.</w:t>
      </w:r>
    </w:p>
    <w:p>
      <w:pPr>
        <w:pStyle w:val="Subsection"/>
      </w:pPr>
      <w:r>
        <w:tab/>
        <w:t>(8)</w:t>
      </w:r>
      <w:r>
        <w:tab/>
        <w:t>If this subregulation applies —</w:t>
      </w:r>
    </w:p>
    <w:p>
      <w:pPr>
        <w:pStyle w:val="Indenta"/>
      </w:pPr>
      <w:r>
        <w:tab/>
        <w:t>(a)</w:t>
      </w:r>
      <w:r>
        <w:tab/>
        <w:t>the fee or fees set out in Schedule 1 Part 3 item 8 to be paid in respect of the grant of the recreational fishing licence; and</w:t>
      </w:r>
    </w:p>
    <w:p>
      <w:pPr>
        <w:pStyle w:val="Indenta"/>
        <w:keepNext/>
      </w:pPr>
      <w:r>
        <w:tab/>
        <w:t>(b)</w:t>
      </w:r>
      <w:r>
        <w:tab/>
        <w:t>the fee set out in Schedule 1 Part 3 item 9 to be paid in respect of the grant of the recreational (boat) fishing licence,</w:t>
      </w:r>
    </w:p>
    <w:p>
      <w:pPr>
        <w:pStyle w:val="Subsection"/>
      </w:pPr>
      <w:r>
        <w:tab/>
      </w:r>
      <w:r>
        <w:tab/>
        <w:t>are each to be reduced by 10%.</w:t>
      </w:r>
    </w:p>
    <w:p>
      <w:pPr>
        <w:pStyle w:val="Footnotesection"/>
      </w:pPr>
      <w:r>
        <w:tab/>
        <w:t>[Regulation 137 amended in Gazette 24 Dec 1996 p. 7114; 5 Sep 2006 p. 3615; 12 Feb 2010 p. 586.]</w:t>
      </w:r>
    </w:p>
    <w:p>
      <w:pPr>
        <w:pStyle w:val="Heading5"/>
        <w:rPr>
          <w:snapToGrid w:val="0"/>
        </w:rPr>
      </w:pPr>
      <w:bookmarkStart w:id="5141" w:name="_Toc309309541"/>
      <w:r>
        <w:rPr>
          <w:rStyle w:val="CharSectno"/>
        </w:rPr>
        <w:t>138</w:t>
      </w:r>
      <w:r>
        <w:rPr>
          <w:snapToGrid w:val="0"/>
        </w:rPr>
        <w:t>.</w:t>
      </w:r>
      <w:r>
        <w:rPr>
          <w:snapToGrid w:val="0"/>
        </w:rPr>
        <w:tab/>
        <w:t>Transfer of part of entitlement not permitted in some cases</w:t>
      </w:r>
      <w:bookmarkEnd w:id="5141"/>
    </w:p>
    <w:p>
      <w:pPr>
        <w:pStyle w:val="Subsection"/>
        <w:spacing w:before="180"/>
        <w:rPr>
          <w:snapToGrid w:val="0"/>
        </w:rPr>
      </w:pPr>
      <w:r>
        <w:rPr>
          <w:snapToGrid w:val="0"/>
        </w:rPr>
        <w:tab/>
      </w:r>
      <w:r>
        <w:rPr>
          <w:snapToGrid w:val="0"/>
        </w:rPr>
        <w:tab/>
        <w:t>Part of an entitlement under an authorisation may not be transferred under section 141 of the Act for a period ending on a day after the authorisation would expire, if it were not renewed.</w:t>
      </w:r>
    </w:p>
    <w:p>
      <w:pPr>
        <w:pStyle w:val="Heading5"/>
        <w:keepNext w:val="0"/>
        <w:keepLines w:val="0"/>
        <w:rPr>
          <w:snapToGrid w:val="0"/>
        </w:rPr>
      </w:pPr>
      <w:bookmarkStart w:id="5142" w:name="_Toc309309542"/>
      <w:r>
        <w:rPr>
          <w:rStyle w:val="CharSectno"/>
        </w:rPr>
        <w:t>139</w:t>
      </w:r>
      <w:r>
        <w:rPr>
          <w:snapToGrid w:val="0"/>
        </w:rPr>
        <w:t>.</w:t>
      </w:r>
      <w:r>
        <w:rPr>
          <w:snapToGrid w:val="0"/>
        </w:rPr>
        <w:tab/>
        <w:t>Change of name or address, duty to notify CEO</w:t>
      </w:r>
      <w:bookmarkEnd w:id="5142"/>
    </w:p>
    <w:p>
      <w:pPr>
        <w:pStyle w:val="Subsection"/>
        <w:rPr>
          <w:snapToGrid w:val="0"/>
        </w:rPr>
      </w:pPr>
      <w:r>
        <w:rPr>
          <w:snapToGrid w:val="0"/>
        </w:rPr>
        <w:tab/>
      </w:r>
      <w:r>
        <w:rPr>
          <w:snapToGrid w:val="0"/>
        </w:rPr>
        <w:tab/>
        <w:t>If a person who holds an exemption, authorisation, aquaculture lease or exclusive licence changes name or address, the person must within 7 days after the change notify the CEO in writing of the person’s new name or address and provide details of each exemption, authorisation, aquaculture lease or exclusive licence held by the person.</w:t>
      </w:r>
    </w:p>
    <w:p>
      <w:pPr>
        <w:pStyle w:val="Penstart"/>
        <w:rPr>
          <w:snapToGrid w:val="0"/>
        </w:rPr>
      </w:pPr>
      <w:r>
        <w:rPr>
          <w:snapToGrid w:val="0"/>
        </w:rPr>
        <w:tab/>
        <w:t>Penalty: $200.</w:t>
      </w:r>
    </w:p>
    <w:p>
      <w:pPr>
        <w:pStyle w:val="Footnotesection"/>
      </w:pPr>
      <w:r>
        <w:tab/>
        <w:t>[Regulation 139 amended in Gazette 6 Jul 2007 p. 3389.]</w:t>
      </w:r>
    </w:p>
    <w:p>
      <w:pPr>
        <w:pStyle w:val="Ednotepart"/>
      </w:pPr>
      <w:r>
        <w:t>[Part 12 (r. 140</w:t>
      </w:r>
      <w:r>
        <w:noBreakHyphen/>
        <w:t>143) deleted in Gazette 30 Dec 2004 p. 6965.]</w:t>
      </w:r>
    </w:p>
    <w:p>
      <w:pPr>
        <w:pStyle w:val="Heading2"/>
      </w:pPr>
      <w:bookmarkStart w:id="5143" w:name="_Toc189988105"/>
      <w:bookmarkStart w:id="5144" w:name="_Toc192041688"/>
      <w:bookmarkStart w:id="5145" w:name="_Toc199570922"/>
      <w:bookmarkStart w:id="5146" w:name="_Toc199738920"/>
      <w:bookmarkStart w:id="5147" w:name="_Toc199815021"/>
      <w:bookmarkStart w:id="5148" w:name="_Toc215040828"/>
      <w:bookmarkStart w:id="5149" w:name="_Toc215041273"/>
      <w:bookmarkStart w:id="5150" w:name="_Toc222129481"/>
      <w:bookmarkStart w:id="5151" w:name="_Toc222223186"/>
      <w:bookmarkStart w:id="5152" w:name="_Toc225914438"/>
      <w:bookmarkStart w:id="5153" w:name="_Toc231282483"/>
      <w:bookmarkStart w:id="5154" w:name="_Toc231282927"/>
      <w:bookmarkStart w:id="5155" w:name="_Toc234899517"/>
      <w:bookmarkStart w:id="5156" w:name="_Toc236632799"/>
      <w:bookmarkStart w:id="5157" w:name="_Toc236720412"/>
      <w:bookmarkStart w:id="5158" w:name="_Toc237764611"/>
      <w:bookmarkStart w:id="5159" w:name="_Toc238356235"/>
      <w:bookmarkStart w:id="5160" w:name="_Toc238368940"/>
      <w:bookmarkStart w:id="5161" w:name="_Toc238375893"/>
      <w:bookmarkStart w:id="5162" w:name="_Toc240339217"/>
      <w:bookmarkStart w:id="5163" w:name="_Toc241993723"/>
      <w:bookmarkStart w:id="5164" w:name="_Toc243192866"/>
      <w:bookmarkStart w:id="5165" w:name="_Toc243295568"/>
      <w:bookmarkStart w:id="5166" w:name="_Toc245113141"/>
      <w:bookmarkStart w:id="5167" w:name="_Toc245198303"/>
      <w:bookmarkStart w:id="5168" w:name="_Toc245198752"/>
      <w:bookmarkStart w:id="5169" w:name="_Toc245199201"/>
      <w:bookmarkStart w:id="5170" w:name="_Toc248122232"/>
      <w:bookmarkStart w:id="5171" w:name="_Toc248122683"/>
      <w:bookmarkStart w:id="5172" w:name="_Toc253670670"/>
      <w:bookmarkStart w:id="5173" w:name="_Toc253671120"/>
      <w:bookmarkStart w:id="5174" w:name="_Toc254942894"/>
      <w:bookmarkStart w:id="5175" w:name="_Toc254943347"/>
      <w:bookmarkStart w:id="5176" w:name="_Toc255475939"/>
      <w:bookmarkStart w:id="5177" w:name="_Toc256432260"/>
      <w:bookmarkStart w:id="5178" w:name="_Toc257720597"/>
      <w:bookmarkStart w:id="5179" w:name="_Toc257722279"/>
      <w:bookmarkStart w:id="5180" w:name="_Toc258335955"/>
      <w:bookmarkStart w:id="5181" w:name="_Toc260406397"/>
      <w:bookmarkStart w:id="5182" w:name="_Toc261271583"/>
      <w:bookmarkStart w:id="5183" w:name="_Toc262808265"/>
      <w:bookmarkStart w:id="5184" w:name="_Toc267572658"/>
      <w:bookmarkStart w:id="5185" w:name="_Toc270684407"/>
      <w:bookmarkStart w:id="5186" w:name="_Toc274214584"/>
      <w:bookmarkStart w:id="5187" w:name="_Toc274215033"/>
      <w:bookmarkStart w:id="5188" w:name="_Toc278976364"/>
      <w:bookmarkStart w:id="5189" w:name="_Toc286760685"/>
      <w:bookmarkStart w:id="5190" w:name="_Toc289081030"/>
      <w:bookmarkStart w:id="5191" w:name="_Toc290284224"/>
      <w:bookmarkStart w:id="5192" w:name="_Toc290643045"/>
      <w:bookmarkStart w:id="5193" w:name="_Toc290643494"/>
      <w:bookmarkStart w:id="5194" w:name="_Toc290643947"/>
      <w:bookmarkStart w:id="5195" w:name="_Toc294701764"/>
      <w:bookmarkStart w:id="5196" w:name="_Toc295200172"/>
      <w:bookmarkStart w:id="5197" w:name="_Toc296954613"/>
      <w:bookmarkStart w:id="5198" w:name="_Toc297276248"/>
      <w:bookmarkStart w:id="5199" w:name="_Toc297276700"/>
      <w:bookmarkStart w:id="5200" w:name="_Toc297277150"/>
      <w:bookmarkStart w:id="5201" w:name="_Toc297726519"/>
      <w:bookmarkStart w:id="5202" w:name="_Toc299980305"/>
      <w:bookmarkStart w:id="5203" w:name="_Toc300234931"/>
      <w:bookmarkStart w:id="5204" w:name="_Toc301961434"/>
      <w:bookmarkStart w:id="5205" w:name="_Toc301967004"/>
      <w:bookmarkStart w:id="5206" w:name="_Toc303253213"/>
      <w:bookmarkStart w:id="5207" w:name="_Toc303257377"/>
      <w:bookmarkStart w:id="5208" w:name="_Toc307993010"/>
      <w:bookmarkStart w:id="5209" w:name="_Toc309030043"/>
      <w:bookmarkStart w:id="5210" w:name="_Toc309304266"/>
      <w:bookmarkStart w:id="5211" w:name="_Toc309304719"/>
      <w:bookmarkStart w:id="5212" w:name="_Toc309309543"/>
      <w:r>
        <w:rPr>
          <w:rStyle w:val="CharPartNo"/>
        </w:rPr>
        <w:t>Part 13</w:t>
      </w:r>
      <w:r>
        <w:rPr>
          <w:rStyle w:val="CharDivNo"/>
        </w:rPr>
        <w:t> </w:t>
      </w:r>
      <w:r>
        <w:t>—</w:t>
      </w:r>
      <w:r>
        <w:rPr>
          <w:rStyle w:val="CharDivText"/>
        </w:rPr>
        <w:t> </w:t>
      </w:r>
      <w:r>
        <w:rPr>
          <w:rStyle w:val="CharPartText"/>
        </w:rPr>
        <w:t>Miscellaneous offences</w:t>
      </w:r>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p>
    <w:p>
      <w:pPr>
        <w:pStyle w:val="Heading5"/>
        <w:rPr>
          <w:snapToGrid w:val="0"/>
        </w:rPr>
      </w:pPr>
      <w:bookmarkStart w:id="5213" w:name="_Toc309309544"/>
      <w:r>
        <w:rPr>
          <w:rStyle w:val="CharSectno"/>
        </w:rPr>
        <w:t>144</w:t>
      </w:r>
      <w:r>
        <w:rPr>
          <w:snapToGrid w:val="0"/>
        </w:rPr>
        <w:t>.</w:t>
      </w:r>
      <w:r>
        <w:rPr>
          <w:snapToGrid w:val="0"/>
        </w:rPr>
        <w:tab/>
        <w:t>Certain activities in bays etc. and as to use of traps prohibited</w:t>
      </w:r>
      <w:bookmarkEnd w:id="5213"/>
    </w:p>
    <w:p>
      <w:pPr>
        <w:pStyle w:val="Subsection"/>
        <w:rPr>
          <w:snapToGrid w:val="0"/>
        </w:rPr>
      </w:pPr>
      <w:r>
        <w:rPr>
          <w:snapToGrid w:val="0"/>
        </w:rPr>
        <w:tab/>
        <w:t>(1)</w:t>
      </w:r>
      <w:r>
        <w:rPr>
          <w:snapToGrid w:val="0"/>
        </w:rPr>
        <w:tab/>
        <w:t>A person must not set any fishing gear or any other thing across or within any bay, inlet, river, creek or any tidal or inland waters so that fish are enclosed, left stranded, destroyed or wasted.</w:t>
      </w:r>
    </w:p>
    <w:p>
      <w:pPr>
        <w:pStyle w:val="Subsection"/>
        <w:rPr>
          <w:snapToGrid w:val="0"/>
        </w:rPr>
      </w:pPr>
      <w:r>
        <w:rPr>
          <w:snapToGrid w:val="0"/>
        </w:rPr>
        <w:tab/>
        <w:t>(2)</w:t>
      </w:r>
      <w:r>
        <w:rPr>
          <w:snapToGrid w:val="0"/>
        </w:rPr>
        <w:tab/>
        <w:t>A person must not place, set or use in inland waters, a trap or device enclosed with wire, or wire netting with wings attached so as to impede the free passage of fish on either side of the trap or device.</w:t>
      </w:r>
    </w:p>
    <w:p>
      <w:pPr>
        <w:pStyle w:val="Penstart"/>
        <w:rPr>
          <w:snapToGrid w:val="0"/>
        </w:rPr>
      </w:pPr>
      <w:r>
        <w:rPr>
          <w:snapToGrid w:val="0"/>
        </w:rPr>
        <w:tab/>
        <w:t>Penalty: $1 000.</w:t>
      </w:r>
    </w:p>
    <w:p>
      <w:pPr>
        <w:pStyle w:val="Heading5"/>
        <w:rPr>
          <w:snapToGrid w:val="0"/>
        </w:rPr>
      </w:pPr>
      <w:bookmarkStart w:id="5214" w:name="_Toc309309545"/>
      <w:r>
        <w:rPr>
          <w:rStyle w:val="CharSectno"/>
        </w:rPr>
        <w:t>145</w:t>
      </w:r>
      <w:r>
        <w:rPr>
          <w:snapToGrid w:val="0"/>
        </w:rPr>
        <w:t>.</w:t>
      </w:r>
      <w:r>
        <w:rPr>
          <w:snapToGrid w:val="0"/>
        </w:rPr>
        <w:tab/>
        <w:t>Explosives or noxious substances, carriage of on boats</w:t>
      </w:r>
      <w:bookmarkEnd w:id="5214"/>
    </w:p>
    <w:p>
      <w:pPr>
        <w:pStyle w:val="Subsection"/>
        <w:rPr>
          <w:snapToGrid w:val="0"/>
        </w:rPr>
      </w:pPr>
      <w:r>
        <w:rPr>
          <w:snapToGrid w:val="0"/>
        </w:rPr>
        <w:tab/>
        <w:t>(1)</w:t>
      </w:r>
      <w:r>
        <w:rPr>
          <w:snapToGrid w:val="0"/>
        </w:rPr>
        <w:tab/>
        <w:t>A person must not in WA waters carry on, or in, a boat any explosive or noxious substance unless so authorised under subregulation (2).</w:t>
      </w:r>
    </w:p>
    <w:p>
      <w:pPr>
        <w:pStyle w:val="Penstart"/>
        <w:rPr>
          <w:snapToGrid w:val="0"/>
        </w:rPr>
      </w:pPr>
      <w:r>
        <w:rPr>
          <w:snapToGrid w:val="0"/>
        </w:rPr>
        <w:tab/>
        <w:t>Penalty: In the case of an individual, $5 000 or, in the case of a body corporate, $10 000.</w:t>
      </w:r>
    </w:p>
    <w:p>
      <w:pPr>
        <w:pStyle w:val="Subsection"/>
        <w:rPr>
          <w:snapToGrid w:val="0"/>
        </w:rPr>
      </w:pPr>
      <w:r>
        <w:rPr>
          <w:snapToGrid w:val="0"/>
        </w:rPr>
        <w:tab/>
        <w:t>(2)</w:t>
      </w:r>
      <w:r>
        <w:rPr>
          <w:snapToGrid w:val="0"/>
        </w:rPr>
        <w:tab/>
        <w:t>A fisheries officer may, in writing, authorise a person to carry any explosive or noxious substance on a boat referred to in subregulation (1) and in that authority must specify —</w:t>
      </w:r>
    </w:p>
    <w:p>
      <w:pPr>
        <w:pStyle w:val="Indenta"/>
        <w:rPr>
          <w:snapToGrid w:val="0"/>
        </w:rPr>
      </w:pPr>
      <w:r>
        <w:rPr>
          <w:snapToGrid w:val="0"/>
        </w:rPr>
        <w:tab/>
        <w:t>(a)</w:t>
      </w:r>
      <w:r>
        <w:rPr>
          <w:snapToGrid w:val="0"/>
        </w:rPr>
        <w:tab/>
        <w:t>the type and amount that may be carried; and</w:t>
      </w:r>
    </w:p>
    <w:p>
      <w:pPr>
        <w:pStyle w:val="Indenta"/>
        <w:rPr>
          <w:snapToGrid w:val="0"/>
        </w:rPr>
      </w:pPr>
      <w:r>
        <w:rPr>
          <w:snapToGrid w:val="0"/>
        </w:rPr>
        <w:tab/>
        <w:t>(b)</w:t>
      </w:r>
      <w:r>
        <w:rPr>
          <w:snapToGrid w:val="0"/>
        </w:rPr>
        <w:tab/>
        <w:t>the purpose for which it may be carried; and</w:t>
      </w:r>
    </w:p>
    <w:p>
      <w:pPr>
        <w:pStyle w:val="Indenta"/>
        <w:rPr>
          <w:snapToGrid w:val="0"/>
        </w:rPr>
      </w:pPr>
      <w:r>
        <w:rPr>
          <w:snapToGrid w:val="0"/>
        </w:rPr>
        <w:tab/>
        <w:t>(c)</w:t>
      </w:r>
      <w:r>
        <w:rPr>
          <w:snapToGrid w:val="0"/>
        </w:rPr>
        <w:tab/>
        <w:t>the period of time within which it must be carried; and</w:t>
      </w:r>
    </w:p>
    <w:p>
      <w:pPr>
        <w:pStyle w:val="Indenta"/>
        <w:rPr>
          <w:snapToGrid w:val="0"/>
        </w:rPr>
      </w:pPr>
      <w:r>
        <w:rPr>
          <w:snapToGrid w:val="0"/>
        </w:rPr>
        <w:tab/>
        <w:t>(d)</w:t>
      </w:r>
      <w:r>
        <w:rPr>
          <w:snapToGrid w:val="0"/>
        </w:rPr>
        <w:tab/>
        <w:t>the boat on, or in, which it may be carried.</w:t>
      </w:r>
    </w:p>
    <w:p>
      <w:pPr>
        <w:pStyle w:val="Heading5"/>
        <w:rPr>
          <w:snapToGrid w:val="0"/>
        </w:rPr>
      </w:pPr>
      <w:bookmarkStart w:id="5215" w:name="_Toc309309546"/>
      <w:r>
        <w:rPr>
          <w:rStyle w:val="CharSectno"/>
        </w:rPr>
        <w:t>146</w:t>
      </w:r>
      <w:r>
        <w:rPr>
          <w:snapToGrid w:val="0"/>
        </w:rPr>
        <w:t>.</w:t>
      </w:r>
      <w:r>
        <w:rPr>
          <w:snapToGrid w:val="0"/>
        </w:rPr>
        <w:tab/>
        <w:t>Explosive or noxious substance used to take fish, presumptions as to possession of</w:t>
      </w:r>
      <w:bookmarkEnd w:id="5215"/>
    </w:p>
    <w:p>
      <w:pPr>
        <w:pStyle w:val="Subsection"/>
        <w:rPr>
          <w:snapToGrid w:val="0"/>
        </w:rPr>
      </w:pPr>
      <w:r>
        <w:rPr>
          <w:snapToGrid w:val="0"/>
        </w:rPr>
        <w:tab/>
        <w:t>(1)</w:t>
      </w:r>
      <w:r>
        <w:rPr>
          <w:snapToGrid w:val="0"/>
        </w:rPr>
        <w:tab/>
        <w:t>Where any explosive or noxious substance has been used in WA waters without lawful excuse, resulting in the taking of fish and a person is found in possession of any explosive or noxious substance that person, in the absence of evidence to the contrary, is to be presumed to be the person who used the explosive or noxious substance.</w:t>
      </w:r>
    </w:p>
    <w:p>
      <w:pPr>
        <w:pStyle w:val="Subsection"/>
        <w:rPr>
          <w:snapToGrid w:val="0"/>
        </w:rPr>
      </w:pPr>
      <w:r>
        <w:rPr>
          <w:snapToGrid w:val="0"/>
        </w:rPr>
        <w:tab/>
        <w:t>(2)</w:t>
      </w:r>
      <w:r>
        <w:rPr>
          <w:snapToGrid w:val="0"/>
        </w:rPr>
        <w:tab/>
        <w:t>For the purpose of this regulation, the master of a boat on which is found any explosive or noxious substance is to be taken to be in possession of that explosive or noxious substance.</w:t>
      </w:r>
    </w:p>
    <w:p>
      <w:pPr>
        <w:pStyle w:val="Heading2"/>
      </w:pPr>
      <w:bookmarkStart w:id="5216" w:name="_Toc189988109"/>
      <w:bookmarkStart w:id="5217" w:name="_Toc192041692"/>
      <w:bookmarkStart w:id="5218" w:name="_Toc199570926"/>
      <w:bookmarkStart w:id="5219" w:name="_Toc199738924"/>
      <w:bookmarkStart w:id="5220" w:name="_Toc199815025"/>
      <w:bookmarkStart w:id="5221" w:name="_Toc215040832"/>
      <w:bookmarkStart w:id="5222" w:name="_Toc215041277"/>
      <w:bookmarkStart w:id="5223" w:name="_Toc222129485"/>
      <w:bookmarkStart w:id="5224" w:name="_Toc222223190"/>
      <w:bookmarkStart w:id="5225" w:name="_Toc225914442"/>
      <w:bookmarkStart w:id="5226" w:name="_Toc231282487"/>
      <w:bookmarkStart w:id="5227" w:name="_Toc231282931"/>
      <w:bookmarkStart w:id="5228" w:name="_Toc234899521"/>
      <w:bookmarkStart w:id="5229" w:name="_Toc236632803"/>
      <w:bookmarkStart w:id="5230" w:name="_Toc236720416"/>
      <w:bookmarkStart w:id="5231" w:name="_Toc237764615"/>
      <w:bookmarkStart w:id="5232" w:name="_Toc238356239"/>
      <w:bookmarkStart w:id="5233" w:name="_Toc238368944"/>
      <w:bookmarkStart w:id="5234" w:name="_Toc238375897"/>
      <w:bookmarkStart w:id="5235" w:name="_Toc240339221"/>
      <w:bookmarkStart w:id="5236" w:name="_Toc241993727"/>
      <w:bookmarkStart w:id="5237" w:name="_Toc243192870"/>
      <w:bookmarkStart w:id="5238" w:name="_Toc243295572"/>
      <w:bookmarkStart w:id="5239" w:name="_Toc245113145"/>
      <w:bookmarkStart w:id="5240" w:name="_Toc245198307"/>
      <w:bookmarkStart w:id="5241" w:name="_Toc245198756"/>
      <w:bookmarkStart w:id="5242" w:name="_Toc245199205"/>
      <w:bookmarkStart w:id="5243" w:name="_Toc248122236"/>
      <w:bookmarkStart w:id="5244" w:name="_Toc248122687"/>
      <w:bookmarkStart w:id="5245" w:name="_Toc253670674"/>
      <w:bookmarkStart w:id="5246" w:name="_Toc253671124"/>
      <w:bookmarkStart w:id="5247" w:name="_Toc254942898"/>
      <w:bookmarkStart w:id="5248" w:name="_Toc254943351"/>
      <w:bookmarkStart w:id="5249" w:name="_Toc255475943"/>
      <w:bookmarkStart w:id="5250" w:name="_Toc256432264"/>
      <w:bookmarkStart w:id="5251" w:name="_Toc257720601"/>
      <w:bookmarkStart w:id="5252" w:name="_Toc257722283"/>
      <w:bookmarkStart w:id="5253" w:name="_Toc258335959"/>
      <w:bookmarkStart w:id="5254" w:name="_Toc260406401"/>
      <w:bookmarkStart w:id="5255" w:name="_Toc261271587"/>
      <w:bookmarkStart w:id="5256" w:name="_Toc262808269"/>
      <w:bookmarkStart w:id="5257" w:name="_Toc267572662"/>
      <w:bookmarkStart w:id="5258" w:name="_Toc270684411"/>
      <w:bookmarkStart w:id="5259" w:name="_Toc274214588"/>
      <w:bookmarkStart w:id="5260" w:name="_Toc274215037"/>
      <w:bookmarkStart w:id="5261" w:name="_Toc278976368"/>
      <w:bookmarkStart w:id="5262" w:name="_Toc286760689"/>
      <w:bookmarkStart w:id="5263" w:name="_Toc289081034"/>
      <w:bookmarkStart w:id="5264" w:name="_Toc290284228"/>
      <w:bookmarkStart w:id="5265" w:name="_Toc290643049"/>
      <w:bookmarkStart w:id="5266" w:name="_Toc290643498"/>
      <w:bookmarkStart w:id="5267" w:name="_Toc290643951"/>
      <w:bookmarkStart w:id="5268" w:name="_Toc294701768"/>
      <w:bookmarkStart w:id="5269" w:name="_Toc295200176"/>
      <w:bookmarkStart w:id="5270" w:name="_Toc296954617"/>
      <w:bookmarkStart w:id="5271" w:name="_Toc297276252"/>
      <w:bookmarkStart w:id="5272" w:name="_Toc297276704"/>
      <w:bookmarkStart w:id="5273" w:name="_Toc297277154"/>
      <w:bookmarkStart w:id="5274" w:name="_Toc297726523"/>
      <w:bookmarkStart w:id="5275" w:name="_Toc299980309"/>
      <w:bookmarkStart w:id="5276" w:name="_Toc300234935"/>
      <w:bookmarkStart w:id="5277" w:name="_Toc301961438"/>
      <w:bookmarkStart w:id="5278" w:name="_Toc301967008"/>
      <w:bookmarkStart w:id="5279" w:name="_Toc303253217"/>
      <w:bookmarkStart w:id="5280" w:name="_Toc303257381"/>
      <w:bookmarkStart w:id="5281" w:name="_Toc307993014"/>
      <w:bookmarkStart w:id="5282" w:name="_Toc309030047"/>
      <w:bookmarkStart w:id="5283" w:name="_Toc309304270"/>
      <w:bookmarkStart w:id="5284" w:name="_Toc309304723"/>
      <w:bookmarkStart w:id="5285" w:name="_Toc309309547"/>
      <w:r>
        <w:rPr>
          <w:rStyle w:val="CharPartNo"/>
        </w:rPr>
        <w:t>Part 14</w:t>
      </w:r>
      <w:r>
        <w:rPr>
          <w:rStyle w:val="CharDivNo"/>
        </w:rPr>
        <w:t> </w:t>
      </w:r>
      <w:r>
        <w:t>—</w:t>
      </w:r>
      <w:r>
        <w:rPr>
          <w:rStyle w:val="CharDivText"/>
        </w:rPr>
        <w:t> </w:t>
      </w:r>
      <w:r>
        <w:rPr>
          <w:rStyle w:val="CharPartText"/>
        </w:rPr>
        <w:t>Fisheries officers</w:t>
      </w:r>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p>
    <w:p>
      <w:pPr>
        <w:pStyle w:val="Heading5"/>
        <w:rPr>
          <w:snapToGrid w:val="0"/>
        </w:rPr>
      </w:pPr>
      <w:bookmarkStart w:id="5286" w:name="_Toc309309548"/>
      <w:r>
        <w:rPr>
          <w:rStyle w:val="CharSectno"/>
        </w:rPr>
        <w:t>147</w:t>
      </w:r>
      <w:r>
        <w:rPr>
          <w:snapToGrid w:val="0"/>
        </w:rPr>
        <w:t>.</w:t>
      </w:r>
      <w:r>
        <w:rPr>
          <w:snapToGrid w:val="0"/>
        </w:rPr>
        <w:tab/>
        <w:t>Warrant form prescribed (Act s. 187)</w:t>
      </w:r>
      <w:bookmarkEnd w:id="5286"/>
    </w:p>
    <w:p>
      <w:pPr>
        <w:pStyle w:val="Subsection"/>
        <w:rPr>
          <w:snapToGrid w:val="0"/>
        </w:rPr>
      </w:pPr>
      <w:r>
        <w:rPr>
          <w:snapToGrid w:val="0"/>
        </w:rPr>
        <w:tab/>
      </w:r>
      <w:r>
        <w:rPr>
          <w:snapToGrid w:val="0"/>
        </w:rPr>
        <w:tab/>
        <w:t>A warrant under section 187 of the Act is to be in the form of Form 2.</w:t>
      </w:r>
    </w:p>
    <w:p>
      <w:pPr>
        <w:pStyle w:val="Heading5"/>
        <w:rPr>
          <w:snapToGrid w:val="0"/>
        </w:rPr>
      </w:pPr>
      <w:bookmarkStart w:id="5287" w:name="_Toc309309549"/>
      <w:r>
        <w:rPr>
          <w:rStyle w:val="CharSectno"/>
        </w:rPr>
        <w:t>148</w:t>
      </w:r>
      <w:r>
        <w:rPr>
          <w:snapToGrid w:val="0"/>
        </w:rPr>
        <w:t>.</w:t>
      </w:r>
      <w:r>
        <w:rPr>
          <w:snapToGrid w:val="0"/>
        </w:rPr>
        <w:tab/>
        <w:t>Ways of disposing of fish prescribed (Act s. 194)</w:t>
      </w:r>
      <w:bookmarkEnd w:id="5287"/>
    </w:p>
    <w:p>
      <w:pPr>
        <w:pStyle w:val="Subsection"/>
        <w:rPr>
          <w:snapToGrid w:val="0"/>
        </w:rPr>
      </w:pPr>
      <w:r>
        <w:rPr>
          <w:snapToGrid w:val="0"/>
        </w:rPr>
        <w:tab/>
      </w:r>
      <w:r>
        <w:rPr>
          <w:snapToGrid w:val="0"/>
        </w:rPr>
        <w:tab/>
        <w:t>For the purposes of section 194(2) of the Act, fish seized under the Act may be —</w:t>
      </w:r>
    </w:p>
    <w:p>
      <w:pPr>
        <w:pStyle w:val="Indenta"/>
        <w:rPr>
          <w:snapToGrid w:val="0"/>
        </w:rPr>
      </w:pPr>
      <w:r>
        <w:rPr>
          <w:snapToGrid w:val="0"/>
        </w:rPr>
        <w:tab/>
        <w:t>(a)</w:t>
      </w:r>
      <w:r>
        <w:rPr>
          <w:snapToGrid w:val="0"/>
        </w:rPr>
        <w:tab/>
        <w:t>given to the Department for its use or transferred, with or without charge, to any other department of the State or Commonwealth; or</w:t>
      </w:r>
    </w:p>
    <w:p>
      <w:pPr>
        <w:pStyle w:val="Indenta"/>
        <w:rPr>
          <w:snapToGrid w:val="0"/>
        </w:rPr>
      </w:pPr>
      <w:r>
        <w:rPr>
          <w:snapToGrid w:val="0"/>
        </w:rPr>
        <w:tab/>
        <w:t>(b)</w:t>
      </w:r>
      <w:r>
        <w:rPr>
          <w:snapToGrid w:val="0"/>
        </w:rPr>
        <w:tab/>
        <w:t>sold at public auction, by tender or by private contract; or</w:t>
      </w:r>
    </w:p>
    <w:p>
      <w:pPr>
        <w:pStyle w:val="Indenta"/>
        <w:rPr>
          <w:snapToGrid w:val="0"/>
        </w:rPr>
      </w:pPr>
      <w:r>
        <w:rPr>
          <w:snapToGrid w:val="0"/>
        </w:rPr>
        <w:tab/>
        <w:t>(c)</w:t>
      </w:r>
      <w:r>
        <w:rPr>
          <w:snapToGrid w:val="0"/>
        </w:rPr>
        <w:tab/>
        <w:t>donated to needy persons, or an institution operated for the benefit of needy persons; or</w:t>
      </w:r>
    </w:p>
    <w:p>
      <w:pPr>
        <w:pStyle w:val="Indenta"/>
        <w:rPr>
          <w:snapToGrid w:val="0"/>
        </w:rPr>
      </w:pPr>
      <w:r>
        <w:rPr>
          <w:snapToGrid w:val="0"/>
        </w:rPr>
        <w:tab/>
        <w:t>(d)</w:t>
      </w:r>
      <w:r>
        <w:rPr>
          <w:snapToGrid w:val="0"/>
        </w:rPr>
        <w:tab/>
        <w:t>destroyed where a fisheries officer is of the opinion that the fish is not fit for human consumption or it is not practical to release, sell or donate the fish.</w:t>
      </w:r>
    </w:p>
    <w:p>
      <w:pPr>
        <w:pStyle w:val="Heading5"/>
        <w:rPr>
          <w:snapToGrid w:val="0"/>
        </w:rPr>
      </w:pPr>
      <w:bookmarkStart w:id="5288" w:name="_Toc309309550"/>
      <w:r>
        <w:rPr>
          <w:rStyle w:val="CharSectno"/>
        </w:rPr>
        <w:t>149</w:t>
      </w:r>
      <w:r>
        <w:rPr>
          <w:snapToGrid w:val="0"/>
        </w:rPr>
        <w:t>.</w:t>
      </w:r>
      <w:r>
        <w:rPr>
          <w:snapToGrid w:val="0"/>
        </w:rPr>
        <w:tab/>
        <w:t>Accounts prescribed (Act s. 194)</w:t>
      </w:r>
      <w:bookmarkEnd w:id="5288"/>
    </w:p>
    <w:p>
      <w:pPr>
        <w:pStyle w:val="Subsection"/>
        <w:rPr>
          <w:snapToGrid w:val="0"/>
        </w:rPr>
      </w:pPr>
      <w:r>
        <w:rPr>
          <w:snapToGrid w:val="0"/>
        </w:rPr>
        <w:tab/>
      </w:r>
      <w:r>
        <w:rPr>
          <w:snapToGrid w:val="0"/>
        </w:rPr>
        <w:tab/>
        <w:t>For the purposes of section 194(3) of the Act proceeds of the sale of any fish under section 194(2) of the Act are to be paid to the credit of —</w:t>
      </w:r>
    </w:p>
    <w:p>
      <w:pPr>
        <w:pStyle w:val="Indenta"/>
        <w:rPr>
          <w:snapToGrid w:val="0"/>
        </w:rPr>
      </w:pPr>
      <w:r>
        <w:rPr>
          <w:snapToGrid w:val="0"/>
        </w:rPr>
        <w:tab/>
        <w:t>(a)</w:t>
      </w:r>
      <w:r>
        <w:rPr>
          <w:snapToGrid w:val="0"/>
        </w:rPr>
        <w:tab/>
        <w:t>the Fisheries Research and Development Fund</w:t>
      </w:r>
      <w:r>
        <w:rPr>
          <w:snapToGrid w:val="0"/>
          <w:vertAlign w:val="superscript"/>
        </w:rPr>
        <w:t> 3</w:t>
      </w:r>
      <w:r>
        <w:rPr>
          <w:snapToGrid w:val="0"/>
        </w:rPr>
        <w:t xml:space="preserve"> continued under section 238 of the Act, where the fish was the subject of an offence, or suspected offence, relating to aquaculture, aquatic eco</w:t>
      </w:r>
      <w:r>
        <w:rPr>
          <w:snapToGrid w:val="0"/>
        </w:rPr>
        <w:noBreakHyphen/>
        <w:t>tourism, commercial fishing, or processing; and</w:t>
      </w:r>
    </w:p>
    <w:p>
      <w:pPr>
        <w:pStyle w:val="Indenta"/>
        <w:rPr>
          <w:snapToGrid w:val="0"/>
        </w:rPr>
      </w:pPr>
      <w:r>
        <w:rPr>
          <w:snapToGrid w:val="0"/>
        </w:rPr>
        <w:tab/>
        <w:t>(b)</w:t>
      </w:r>
      <w:r>
        <w:rPr>
          <w:snapToGrid w:val="0"/>
        </w:rPr>
        <w:tab/>
        <w:t>the Recreational Fishing Fund</w:t>
      </w:r>
      <w:r>
        <w:rPr>
          <w:snapToGrid w:val="0"/>
          <w:vertAlign w:val="superscript"/>
        </w:rPr>
        <w:t> 4</w:t>
      </w:r>
      <w:r>
        <w:rPr>
          <w:snapToGrid w:val="0"/>
        </w:rPr>
        <w:t xml:space="preserve"> established under section 239 of the Act in all other cases.</w:t>
      </w:r>
    </w:p>
    <w:p>
      <w:pPr>
        <w:pStyle w:val="Heading5"/>
        <w:rPr>
          <w:snapToGrid w:val="0"/>
        </w:rPr>
      </w:pPr>
      <w:bookmarkStart w:id="5289" w:name="_Toc309309551"/>
      <w:r>
        <w:rPr>
          <w:rStyle w:val="CharSectno"/>
        </w:rPr>
        <w:t>150</w:t>
      </w:r>
      <w:r>
        <w:rPr>
          <w:snapToGrid w:val="0"/>
        </w:rPr>
        <w:t>.</w:t>
      </w:r>
      <w:r>
        <w:rPr>
          <w:snapToGrid w:val="0"/>
        </w:rPr>
        <w:tab/>
        <w:t>Applying for compensation under Act s. 197(3)</w:t>
      </w:r>
      <w:bookmarkEnd w:id="5289"/>
    </w:p>
    <w:p>
      <w:pPr>
        <w:pStyle w:val="Subsection"/>
        <w:rPr>
          <w:snapToGrid w:val="0"/>
        </w:rPr>
      </w:pPr>
      <w:r>
        <w:rPr>
          <w:snapToGrid w:val="0"/>
        </w:rPr>
        <w:tab/>
        <w:t>(1)</w:t>
      </w:r>
      <w:r>
        <w:rPr>
          <w:snapToGrid w:val="0"/>
        </w:rPr>
        <w:tab/>
        <w:t>An application to the CEO for compensation under section 197(3) of the Act must be made in writing.</w:t>
      </w:r>
    </w:p>
    <w:p>
      <w:pPr>
        <w:pStyle w:val="Subsection"/>
        <w:rPr>
          <w:snapToGrid w:val="0"/>
        </w:rPr>
      </w:pPr>
      <w:r>
        <w:rPr>
          <w:snapToGrid w:val="0"/>
        </w:rPr>
        <w:tab/>
        <w:t>(2)</w:t>
      </w:r>
      <w:r>
        <w:rPr>
          <w:snapToGrid w:val="0"/>
        </w:rPr>
        <w:tab/>
        <w:t>An application for compensation may contain information regarding the following matters —</w:t>
      </w:r>
    </w:p>
    <w:p>
      <w:pPr>
        <w:pStyle w:val="Indenta"/>
        <w:rPr>
          <w:snapToGrid w:val="0"/>
        </w:rPr>
      </w:pPr>
      <w:r>
        <w:rPr>
          <w:snapToGrid w:val="0"/>
        </w:rPr>
        <w:tab/>
        <w:t>(a)</w:t>
      </w:r>
      <w:r>
        <w:rPr>
          <w:snapToGrid w:val="0"/>
        </w:rPr>
        <w:tab/>
        <w:t>why compensation is claimed;</w:t>
      </w:r>
    </w:p>
    <w:p>
      <w:pPr>
        <w:pStyle w:val="Indenta"/>
        <w:rPr>
          <w:snapToGrid w:val="0"/>
        </w:rPr>
      </w:pPr>
      <w:r>
        <w:rPr>
          <w:snapToGrid w:val="0"/>
        </w:rPr>
        <w:tab/>
        <w:t>(b)</w:t>
      </w:r>
      <w:r>
        <w:rPr>
          <w:snapToGrid w:val="0"/>
        </w:rPr>
        <w:tab/>
        <w:t>when the boat or vehicle was used and by whom;</w:t>
      </w:r>
    </w:p>
    <w:p>
      <w:pPr>
        <w:pStyle w:val="Indenta"/>
        <w:rPr>
          <w:snapToGrid w:val="0"/>
        </w:rPr>
      </w:pPr>
      <w:r>
        <w:rPr>
          <w:snapToGrid w:val="0"/>
        </w:rPr>
        <w:tab/>
        <w:t>(c)</w:t>
      </w:r>
      <w:r>
        <w:rPr>
          <w:snapToGrid w:val="0"/>
        </w:rPr>
        <w:tab/>
        <w:t>what use was made of the boat or vehicle;</w:t>
      </w:r>
    </w:p>
    <w:p>
      <w:pPr>
        <w:pStyle w:val="Indenta"/>
        <w:rPr>
          <w:snapToGrid w:val="0"/>
        </w:rPr>
      </w:pPr>
      <w:r>
        <w:rPr>
          <w:snapToGrid w:val="0"/>
        </w:rPr>
        <w:tab/>
        <w:t>(d)</w:t>
      </w:r>
      <w:r>
        <w:rPr>
          <w:snapToGrid w:val="0"/>
        </w:rPr>
        <w:tab/>
        <w:t>how the applicant was affected by the use of the boat or vehicle.</w:t>
      </w:r>
    </w:p>
    <w:p>
      <w:pPr>
        <w:pStyle w:val="Footnotesection"/>
      </w:pPr>
      <w:r>
        <w:tab/>
        <w:t>[Regulation 150 amended in Gazette 6 Jul 2007 p. 3389.]</w:t>
      </w:r>
    </w:p>
    <w:p>
      <w:pPr>
        <w:pStyle w:val="Heading2"/>
      </w:pPr>
      <w:bookmarkStart w:id="5290" w:name="_Toc189988114"/>
      <w:bookmarkStart w:id="5291" w:name="_Toc192041697"/>
      <w:bookmarkStart w:id="5292" w:name="_Toc199570931"/>
      <w:bookmarkStart w:id="5293" w:name="_Toc199738929"/>
      <w:bookmarkStart w:id="5294" w:name="_Toc199815030"/>
      <w:bookmarkStart w:id="5295" w:name="_Toc215040837"/>
      <w:bookmarkStart w:id="5296" w:name="_Toc215041282"/>
      <w:bookmarkStart w:id="5297" w:name="_Toc222129490"/>
      <w:bookmarkStart w:id="5298" w:name="_Toc222223195"/>
      <w:bookmarkStart w:id="5299" w:name="_Toc225914447"/>
      <w:bookmarkStart w:id="5300" w:name="_Toc231282492"/>
      <w:bookmarkStart w:id="5301" w:name="_Toc231282936"/>
      <w:bookmarkStart w:id="5302" w:name="_Toc234899526"/>
      <w:bookmarkStart w:id="5303" w:name="_Toc236632808"/>
      <w:bookmarkStart w:id="5304" w:name="_Toc236720421"/>
      <w:bookmarkStart w:id="5305" w:name="_Toc237764620"/>
      <w:bookmarkStart w:id="5306" w:name="_Toc238356244"/>
      <w:bookmarkStart w:id="5307" w:name="_Toc238368949"/>
      <w:bookmarkStart w:id="5308" w:name="_Toc238375902"/>
      <w:bookmarkStart w:id="5309" w:name="_Toc240339226"/>
      <w:bookmarkStart w:id="5310" w:name="_Toc241993732"/>
      <w:bookmarkStart w:id="5311" w:name="_Toc243192875"/>
      <w:bookmarkStart w:id="5312" w:name="_Toc243295577"/>
      <w:bookmarkStart w:id="5313" w:name="_Toc245113150"/>
      <w:bookmarkStart w:id="5314" w:name="_Toc245198312"/>
      <w:bookmarkStart w:id="5315" w:name="_Toc245198761"/>
      <w:bookmarkStart w:id="5316" w:name="_Toc245199210"/>
      <w:bookmarkStart w:id="5317" w:name="_Toc248122241"/>
      <w:bookmarkStart w:id="5318" w:name="_Toc248122692"/>
      <w:bookmarkStart w:id="5319" w:name="_Toc253670679"/>
      <w:bookmarkStart w:id="5320" w:name="_Toc253671129"/>
      <w:bookmarkStart w:id="5321" w:name="_Toc254942903"/>
      <w:bookmarkStart w:id="5322" w:name="_Toc254943356"/>
      <w:bookmarkStart w:id="5323" w:name="_Toc255475948"/>
      <w:bookmarkStart w:id="5324" w:name="_Toc256432269"/>
      <w:bookmarkStart w:id="5325" w:name="_Toc257720606"/>
      <w:bookmarkStart w:id="5326" w:name="_Toc257722288"/>
      <w:bookmarkStart w:id="5327" w:name="_Toc258335964"/>
      <w:bookmarkStart w:id="5328" w:name="_Toc260406406"/>
      <w:bookmarkStart w:id="5329" w:name="_Toc261271592"/>
      <w:bookmarkStart w:id="5330" w:name="_Toc262808274"/>
      <w:bookmarkStart w:id="5331" w:name="_Toc267572667"/>
      <w:bookmarkStart w:id="5332" w:name="_Toc270684416"/>
      <w:bookmarkStart w:id="5333" w:name="_Toc274214593"/>
      <w:bookmarkStart w:id="5334" w:name="_Toc274215042"/>
      <w:bookmarkStart w:id="5335" w:name="_Toc278976373"/>
      <w:bookmarkStart w:id="5336" w:name="_Toc286760694"/>
      <w:bookmarkStart w:id="5337" w:name="_Toc289081039"/>
      <w:bookmarkStart w:id="5338" w:name="_Toc290284233"/>
      <w:bookmarkStart w:id="5339" w:name="_Toc290643054"/>
      <w:bookmarkStart w:id="5340" w:name="_Toc290643503"/>
      <w:bookmarkStart w:id="5341" w:name="_Toc290643956"/>
      <w:bookmarkStart w:id="5342" w:name="_Toc294701773"/>
      <w:bookmarkStart w:id="5343" w:name="_Toc295200181"/>
      <w:bookmarkStart w:id="5344" w:name="_Toc296954622"/>
      <w:bookmarkStart w:id="5345" w:name="_Toc297276257"/>
      <w:bookmarkStart w:id="5346" w:name="_Toc297276709"/>
      <w:bookmarkStart w:id="5347" w:name="_Toc297277159"/>
      <w:bookmarkStart w:id="5348" w:name="_Toc297726528"/>
      <w:bookmarkStart w:id="5349" w:name="_Toc299980314"/>
      <w:bookmarkStart w:id="5350" w:name="_Toc300234940"/>
      <w:bookmarkStart w:id="5351" w:name="_Toc301961443"/>
      <w:bookmarkStart w:id="5352" w:name="_Toc301967013"/>
      <w:bookmarkStart w:id="5353" w:name="_Toc303253222"/>
      <w:bookmarkStart w:id="5354" w:name="_Toc303257386"/>
      <w:bookmarkStart w:id="5355" w:name="_Toc307993019"/>
      <w:bookmarkStart w:id="5356" w:name="_Toc309030052"/>
      <w:bookmarkStart w:id="5357" w:name="_Toc309304275"/>
      <w:bookmarkStart w:id="5358" w:name="_Toc309304728"/>
      <w:bookmarkStart w:id="5359" w:name="_Toc309309552"/>
      <w:r>
        <w:rPr>
          <w:rStyle w:val="CharPartNo"/>
        </w:rPr>
        <w:t>Part 15</w:t>
      </w:r>
      <w:r>
        <w:rPr>
          <w:rStyle w:val="CharDivNo"/>
        </w:rPr>
        <w:t> </w:t>
      </w:r>
      <w:r>
        <w:t>—</w:t>
      </w:r>
      <w:r>
        <w:rPr>
          <w:rStyle w:val="CharDivText"/>
        </w:rPr>
        <w:t> </w:t>
      </w:r>
      <w:r>
        <w:rPr>
          <w:rStyle w:val="CharPartText"/>
        </w:rPr>
        <w:t>Legal proceedings</w:t>
      </w:r>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p>
    <w:p>
      <w:pPr>
        <w:pStyle w:val="Heading5"/>
        <w:spacing w:before="260"/>
        <w:rPr>
          <w:snapToGrid w:val="0"/>
        </w:rPr>
      </w:pPr>
      <w:bookmarkStart w:id="5360" w:name="_Toc309309553"/>
      <w:r>
        <w:rPr>
          <w:rStyle w:val="CharSectno"/>
        </w:rPr>
        <w:t>151</w:t>
      </w:r>
      <w:r>
        <w:rPr>
          <w:snapToGrid w:val="0"/>
        </w:rPr>
        <w:t>.</w:t>
      </w:r>
      <w:r>
        <w:rPr>
          <w:snapToGrid w:val="0"/>
        </w:rPr>
        <w:tab/>
        <w:t>Method for determining size etc. of fish prescribed (Act s. 214)</w:t>
      </w:r>
      <w:bookmarkEnd w:id="5360"/>
    </w:p>
    <w:p>
      <w:pPr>
        <w:pStyle w:val="Subsection"/>
        <w:rPr>
          <w:snapToGrid w:val="0"/>
        </w:rPr>
      </w:pPr>
      <w:r>
        <w:rPr>
          <w:snapToGrid w:val="0"/>
        </w:rPr>
        <w:tab/>
      </w:r>
      <w:r>
        <w:rPr>
          <w:snapToGrid w:val="0"/>
        </w:rPr>
        <w:tab/>
        <w:t>The method prescribed under section 214 of the Act to determine —</w:t>
      </w:r>
    </w:p>
    <w:p>
      <w:pPr>
        <w:pStyle w:val="Indenta"/>
        <w:spacing w:before="100"/>
        <w:rPr>
          <w:snapToGrid w:val="0"/>
        </w:rPr>
      </w:pPr>
      <w:r>
        <w:rPr>
          <w:snapToGrid w:val="0"/>
        </w:rPr>
        <w:tab/>
        <w:t>(a)</w:t>
      </w:r>
      <w:r>
        <w:rPr>
          <w:snapToGrid w:val="0"/>
        </w:rPr>
        <w:tab/>
      </w:r>
      <w:r>
        <w:t>the length of a whole fish</w:t>
      </w:r>
      <w:r>
        <w:rPr>
          <w:snapToGrid w:val="0"/>
        </w:rPr>
        <w:t xml:space="preserve"> listed in column 1 of Part 1 of Schedule 8 is as set out opposite the name of the fish in column 2; and</w:t>
      </w:r>
    </w:p>
    <w:p>
      <w:pPr>
        <w:pStyle w:val="Indenta"/>
        <w:spacing w:before="100"/>
      </w:pPr>
      <w:r>
        <w:rPr>
          <w:snapToGrid w:val="0"/>
        </w:rPr>
        <w:tab/>
        <w:t>(b)</w:t>
      </w:r>
      <w:r>
        <w:rPr>
          <w:snapToGrid w:val="0"/>
        </w:rPr>
        <w:tab/>
        <w:t>the volume of fish, other than oysters, is as set out in Part 2 of Schedule 8; and</w:t>
      </w:r>
    </w:p>
    <w:p>
      <w:pPr>
        <w:pStyle w:val="Indenta"/>
        <w:spacing w:before="100"/>
      </w:pPr>
      <w:r>
        <w:tab/>
        <w:t>(c)</w:t>
      </w:r>
      <w:r>
        <w:tab/>
        <w:t>the weight of fish that is packaged and frozen, is by weighing the fish together with any packaging and liquid that is not easily removable from the fish; and</w:t>
      </w:r>
    </w:p>
    <w:p>
      <w:pPr>
        <w:pStyle w:val="Indenta"/>
        <w:spacing w:before="100"/>
      </w:pPr>
      <w:r>
        <w:tab/>
        <w:t>(d)</w:t>
      </w:r>
      <w:r>
        <w:tab/>
        <w:t>the length of a fillet or fish trunk is as set out in Part 3 of Schedule 8.</w:t>
      </w:r>
    </w:p>
    <w:p>
      <w:pPr>
        <w:pStyle w:val="Footnotesection"/>
      </w:pPr>
      <w:r>
        <w:tab/>
        <w:t>[Regulation 151 amended in Gazette 1 Oct 2003 p. 4327; 4 Nov 2005 p. 5312</w:t>
      </w:r>
      <w:r>
        <w:noBreakHyphen/>
        <w:t>13.]</w:t>
      </w:r>
    </w:p>
    <w:p>
      <w:pPr>
        <w:pStyle w:val="Heading5"/>
        <w:spacing w:before="260"/>
      </w:pPr>
      <w:bookmarkStart w:id="5361" w:name="_Toc309309554"/>
      <w:r>
        <w:rPr>
          <w:rStyle w:val="CharSectno"/>
        </w:rPr>
        <w:t>152</w:t>
      </w:r>
      <w:r>
        <w:t>.</w:t>
      </w:r>
      <w:r>
        <w:tab/>
        <w:t>Australian datum prescribed (Act s. 216)</w:t>
      </w:r>
      <w:bookmarkEnd w:id="5361"/>
    </w:p>
    <w:p>
      <w:pPr>
        <w:pStyle w:val="Subsection"/>
        <w:keepLines/>
      </w:pPr>
      <w:r>
        <w:tab/>
        <w:t>(1)</w:t>
      </w:r>
      <w:r>
        <w:tab/>
        <w:t xml:space="preserve">The Geocentric Datum of Australia (the </w:t>
      </w:r>
      <w:r>
        <w:rPr>
          <w:rStyle w:val="CharDefText"/>
        </w:rPr>
        <w:t>GDA</w:t>
      </w:r>
      <w:r>
        <w:t>) is the prescribed Australian datum for the purposes of section 216 of the Act.</w:t>
      </w:r>
    </w:p>
    <w:p>
      <w:pPr>
        <w:pStyle w:val="Subsection"/>
        <w:keepLines/>
      </w:pPr>
      <w:r>
        <w:tab/>
        <w:t>(2)</w:t>
      </w:r>
      <w:r>
        <w:tab/>
        <w:t>The reference ellipsoid for the GDA is the Geodetic Reference System 1980 (</w:t>
      </w:r>
      <w:r>
        <w:rPr>
          <w:rStyle w:val="CharDefText"/>
        </w:rPr>
        <w:t>GRS80</w:t>
      </w:r>
      <w:r>
        <w:t>) ellipsoid with a semi</w:t>
      </w:r>
      <w:r>
        <w:noBreakHyphen/>
        <w:t>major axis of 6 378 137 m exactly and an inverse flattening (l/f) of 298.257 222 101.</w:t>
      </w:r>
    </w:p>
    <w:p>
      <w:pPr>
        <w:pStyle w:val="Subsection"/>
        <w:spacing w:after="60"/>
      </w:pPr>
      <w:r>
        <w:tab/>
        <w:t>(3)</w:t>
      </w:r>
      <w:r>
        <w:tab/>
        <w:t xml:space="preserve">The reference frame for the GDA is realised by the coordinates of the following Australian Fiducial Network geodetic stations referred to the GRS80 ellipsoid determined within the International Earth Rotation Service Terrestrial Reference Frame 1992 (ITRF92) at the epoch of 1994.0 — </w:t>
      </w:r>
    </w:p>
    <w:tbl>
      <w:tblPr>
        <w:tblW w:w="0" w:type="auto"/>
        <w:jc w:val="center"/>
        <w:tblLayout w:type="fixed"/>
        <w:tblLook w:val="0000" w:firstRow="0" w:lastRow="0" w:firstColumn="0" w:lastColumn="0" w:noHBand="0" w:noVBand="0"/>
      </w:tblPr>
      <w:tblGrid>
        <w:gridCol w:w="992"/>
        <w:gridCol w:w="1134"/>
        <w:gridCol w:w="1701"/>
        <w:gridCol w:w="1843"/>
        <w:gridCol w:w="1212"/>
      </w:tblGrid>
      <w:tr>
        <w:trPr>
          <w:tblHeader/>
          <w:jc w:val="center"/>
        </w:trPr>
        <w:tc>
          <w:tcPr>
            <w:tcW w:w="992" w:type="dxa"/>
            <w:tcBorders>
              <w:top w:val="single" w:sz="4" w:space="0" w:color="auto"/>
              <w:bottom w:val="single" w:sz="4" w:space="0" w:color="auto"/>
            </w:tcBorders>
          </w:tcPr>
          <w:p>
            <w:pPr>
              <w:pStyle w:val="TableNAm"/>
              <w:keepNext/>
              <w:spacing w:before="60"/>
              <w:rPr>
                <w:b/>
                <w:bCs/>
                <w:sz w:val="20"/>
              </w:rPr>
            </w:pPr>
            <w:r>
              <w:rPr>
                <w:b/>
                <w:bCs/>
                <w:sz w:val="20"/>
              </w:rPr>
              <w:br w:type="page"/>
            </w:r>
            <w:r>
              <w:rPr>
                <w:b/>
                <w:bCs/>
                <w:sz w:val="20"/>
              </w:rPr>
              <w:br w:type="page"/>
              <w:t>No.</w:t>
            </w:r>
          </w:p>
        </w:tc>
        <w:tc>
          <w:tcPr>
            <w:tcW w:w="1134" w:type="dxa"/>
            <w:tcBorders>
              <w:top w:val="single" w:sz="4" w:space="0" w:color="auto"/>
              <w:bottom w:val="single" w:sz="4" w:space="0" w:color="auto"/>
            </w:tcBorders>
          </w:tcPr>
          <w:p>
            <w:pPr>
              <w:pStyle w:val="TableNAm"/>
              <w:spacing w:before="60"/>
              <w:rPr>
                <w:b/>
                <w:bCs/>
                <w:sz w:val="20"/>
              </w:rPr>
            </w:pPr>
            <w:r>
              <w:rPr>
                <w:b/>
                <w:bCs/>
                <w:sz w:val="20"/>
              </w:rPr>
              <w:t>Name</w:t>
            </w:r>
          </w:p>
        </w:tc>
        <w:tc>
          <w:tcPr>
            <w:tcW w:w="1701" w:type="dxa"/>
            <w:tcBorders>
              <w:top w:val="single" w:sz="4" w:space="0" w:color="auto"/>
              <w:bottom w:val="single" w:sz="4" w:space="0" w:color="auto"/>
            </w:tcBorders>
          </w:tcPr>
          <w:p>
            <w:pPr>
              <w:pStyle w:val="TableNAm"/>
              <w:spacing w:before="60"/>
              <w:rPr>
                <w:b/>
                <w:bCs/>
                <w:sz w:val="20"/>
              </w:rPr>
            </w:pPr>
            <w:r>
              <w:rPr>
                <w:b/>
                <w:bCs/>
                <w:sz w:val="20"/>
              </w:rPr>
              <w:t>South Latitude</w:t>
            </w:r>
          </w:p>
        </w:tc>
        <w:tc>
          <w:tcPr>
            <w:tcW w:w="1843" w:type="dxa"/>
            <w:tcBorders>
              <w:top w:val="single" w:sz="4" w:space="0" w:color="auto"/>
              <w:bottom w:val="single" w:sz="4" w:space="0" w:color="auto"/>
            </w:tcBorders>
          </w:tcPr>
          <w:p>
            <w:pPr>
              <w:pStyle w:val="TableNAm"/>
              <w:spacing w:before="60"/>
              <w:rPr>
                <w:b/>
                <w:bCs/>
                <w:sz w:val="20"/>
              </w:rPr>
            </w:pPr>
            <w:r>
              <w:rPr>
                <w:b/>
                <w:bCs/>
                <w:sz w:val="20"/>
              </w:rPr>
              <w:t>East Longitude</w:t>
            </w:r>
          </w:p>
        </w:tc>
        <w:tc>
          <w:tcPr>
            <w:tcW w:w="1212" w:type="dxa"/>
            <w:tcBorders>
              <w:top w:val="single" w:sz="4" w:space="0" w:color="auto"/>
              <w:bottom w:val="single" w:sz="4" w:space="0" w:color="auto"/>
            </w:tcBorders>
          </w:tcPr>
          <w:p>
            <w:pPr>
              <w:pStyle w:val="TableNAm"/>
              <w:spacing w:before="60"/>
              <w:rPr>
                <w:b/>
                <w:bCs/>
                <w:sz w:val="20"/>
              </w:rPr>
            </w:pPr>
            <w:r>
              <w:rPr>
                <w:b/>
                <w:bCs/>
                <w:sz w:val="20"/>
              </w:rPr>
              <w:t>Ellipsoidal Height</w:t>
            </w:r>
          </w:p>
        </w:tc>
      </w:tr>
      <w:tr>
        <w:trPr>
          <w:cantSplit/>
          <w:jc w:val="center"/>
        </w:trPr>
        <w:tc>
          <w:tcPr>
            <w:tcW w:w="992" w:type="dxa"/>
          </w:tcPr>
          <w:p>
            <w:pPr>
              <w:pStyle w:val="TableNAm"/>
              <w:spacing w:before="60"/>
              <w:rPr>
                <w:sz w:val="20"/>
              </w:rPr>
            </w:pPr>
            <w:r>
              <w:rPr>
                <w:sz w:val="20"/>
              </w:rPr>
              <w:t>AU 012</w:t>
            </w:r>
          </w:p>
        </w:tc>
        <w:tc>
          <w:tcPr>
            <w:tcW w:w="1134" w:type="dxa"/>
          </w:tcPr>
          <w:p>
            <w:pPr>
              <w:pStyle w:val="TableNAm"/>
              <w:spacing w:before="60"/>
              <w:rPr>
                <w:sz w:val="20"/>
              </w:rPr>
            </w:pPr>
            <w:smartTag w:uri="urn:schemas-microsoft-com:office:smarttags" w:element="place">
              <w:r>
                <w:rPr>
                  <w:sz w:val="20"/>
                </w:rPr>
                <w:t>Alice Springs</w:t>
              </w:r>
            </w:smartTag>
          </w:p>
        </w:tc>
        <w:tc>
          <w:tcPr>
            <w:tcW w:w="1701" w:type="dxa"/>
            <w:vAlign w:val="bottom"/>
          </w:tcPr>
          <w:p>
            <w:pPr>
              <w:pStyle w:val="TableNAm"/>
              <w:spacing w:before="60"/>
              <w:rPr>
                <w:sz w:val="20"/>
              </w:rPr>
            </w:pPr>
            <w:r>
              <w:rPr>
                <w:snapToGrid w:val="0"/>
                <w:sz w:val="20"/>
              </w:rPr>
              <w:t>23° 40′ 12.44592″</w:t>
            </w:r>
          </w:p>
        </w:tc>
        <w:tc>
          <w:tcPr>
            <w:tcW w:w="1843" w:type="dxa"/>
            <w:vAlign w:val="bottom"/>
          </w:tcPr>
          <w:p>
            <w:pPr>
              <w:pStyle w:val="TableNAm"/>
              <w:spacing w:before="60"/>
              <w:rPr>
                <w:sz w:val="20"/>
              </w:rPr>
            </w:pPr>
            <w:r>
              <w:rPr>
                <w:snapToGrid w:val="0"/>
                <w:sz w:val="20"/>
              </w:rPr>
              <w:t>133° 53′ 07.84757″</w:t>
            </w:r>
          </w:p>
        </w:tc>
        <w:tc>
          <w:tcPr>
            <w:tcW w:w="1212" w:type="dxa"/>
            <w:vAlign w:val="bottom"/>
          </w:tcPr>
          <w:p>
            <w:pPr>
              <w:pStyle w:val="TableNAm"/>
              <w:spacing w:before="60"/>
              <w:rPr>
                <w:sz w:val="20"/>
              </w:rPr>
            </w:pPr>
            <w:r>
              <w:rPr>
                <w:sz w:val="20"/>
              </w:rPr>
              <w:t>603.358 m</w:t>
            </w:r>
          </w:p>
        </w:tc>
      </w:tr>
      <w:tr>
        <w:trPr>
          <w:jc w:val="center"/>
        </w:trPr>
        <w:tc>
          <w:tcPr>
            <w:tcW w:w="992" w:type="dxa"/>
          </w:tcPr>
          <w:p>
            <w:pPr>
              <w:pStyle w:val="TableNAm"/>
              <w:spacing w:before="60"/>
              <w:rPr>
                <w:sz w:val="20"/>
              </w:rPr>
            </w:pPr>
            <w:r>
              <w:rPr>
                <w:sz w:val="20"/>
              </w:rPr>
              <w:t>AU 013</w:t>
            </w:r>
          </w:p>
        </w:tc>
        <w:tc>
          <w:tcPr>
            <w:tcW w:w="1134" w:type="dxa"/>
          </w:tcPr>
          <w:p>
            <w:pPr>
              <w:pStyle w:val="TableNAm"/>
              <w:spacing w:before="60"/>
              <w:rPr>
                <w:sz w:val="20"/>
              </w:rPr>
            </w:pPr>
            <w:r>
              <w:rPr>
                <w:sz w:val="20"/>
              </w:rPr>
              <w:t>Karratha</w:t>
            </w:r>
          </w:p>
        </w:tc>
        <w:tc>
          <w:tcPr>
            <w:tcW w:w="1701" w:type="dxa"/>
          </w:tcPr>
          <w:p>
            <w:pPr>
              <w:pStyle w:val="TableNAm"/>
              <w:spacing w:before="60"/>
              <w:rPr>
                <w:sz w:val="20"/>
              </w:rPr>
            </w:pPr>
            <w:r>
              <w:rPr>
                <w:snapToGrid w:val="0"/>
                <w:sz w:val="20"/>
              </w:rPr>
              <w:t>20° 58′ 53.17004″</w:t>
            </w:r>
          </w:p>
        </w:tc>
        <w:tc>
          <w:tcPr>
            <w:tcW w:w="1843" w:type="dxa"/>
          </w:tcPr>
          <w:p>
            <w:pPr>
              <w:pStyle w:val="TableNAm"/>
              <w:spacing w:before="60"/>
              <w:rPr>
                <w:sz w:val="20"/>
              </w:rPr>
            </w:pPr>
            <w:r>
              <w:rPr>
                <w:snapToGrid w:val="0"/>
                <w:sz w:val="20"/>
              </w:rPr>
              <w:t>117° 05′ 49.87255″</w:t>
            </w:r>
          </w:p>
        </w:tc>
        <w:tc>
          <w:tcPr>
            <w:tcW w:w="1212" w:type="dxa"/>
          </w:tcPr>
          <w:p>
            <w:pPr>
              <w:pStyle w:val="TableNAm"/>
              <w:spacing w:before="60"/>
              <w:rPr>
                <w:sz w:val="20"/>
              </w:rPr>
            </w:pPr>
            <w:r>
              <w:rPr>
                <w:sz w:val="20"/>
              </w:rPr>
              <w:t>109.246 m</w:t>
            </w:r>
          </w:p>
        </w:tc>
      </w:tr>
      <w:tr>
        <w:trPr>
          <w:jc w:val="center"/>
        </w:trPr>
        <w:tc>
          <w:tcPr>
            <w:tcW w:w="992" w:type="dxa"/>
          </w:tcPr>
          <w:p>
            <w:pPr>
              <w:pStyle w:val="TableNAm"/>
              <w:spacing w:before="60"/>
              <w:rPr>
                <w:sz w:val="20"/>
              </w:rPr>
            </w:pPr>
            <w:r>
              <w:rPr>
                <w:sz w:val="20"/>
              </w:rPr>
              <w:t>AU 014</w:t>
            </w:r>
          </w:p>
        </w:tc>
        <w:tc>
          <w:tcPr>
            <w:tcW w:w="1134" w:type="dxa"/>
          </w:tcPr>
          <w:p>
            <w:pPr>
              <w:pStyle w:val="TableNAm"/>
              <w:spacing w:before="60"/>
              <w:rPr>
                <w:sz w:val="20"/>
              </w:rPr>
            </w:pPr>
            <w:smartTag w:uri="urn:schemas-microsoft-com:office:smarttags" w:element="place">
              <w:smartTag w:uri="urn:schemas-microsoft-com:office:smarttags" w:element="City">
                <w:r>
                  <w:rPr>
                    <w:sz w:val="20"/>
                  </w:rPr>
                  <w:t>Darwin</w:t>
                </w:r>
              </w:smartTag>
            </w:smartTag>
          </w:p>
        </w:tc>
        <w:tc>
          <w:tcPr>
            <w:tcW w:w="1701" w:type="dxa"/>
          </w:tcPr>
          <w:p>
            <w:pPr>
              <w:pStyle w:val="TableNAm"/>
              <w:spacing w:before="60"/>
              <w:rPr>
                <w:sz w:val="20"/>
              </w:rPr>
            </w:pPr>
            <w:r>
              <w:rPr>
                <w:snapToGrid w:val="0"/>
                <w:sz w:val="20"/>
              </w:rPr>
              <w:t>12° 50′ 37.35839″</w:t>
            </w:r>
          </w:p>
        </w:tc>
        <w:tc>
          <w:tcPr>
            <w:tcW w:w="1843" w:type="dxa"/>
          </w:tcPr>
          <w:p>
            <w:pPr>
              <w:pStyle w:val="TableNAm"/>
              <w:spacing w:before="60"/>
              <w:rPr>
                <w:sz w:val="20"/>
              </w:rPr>
            </w:pPr>
            <w:r>
              <w:rPr>
                <w:snapToGrid w:val="0"/>
                <w:sz w:val="20"/>
              </w:rPr>
              <w:t>131° 07′ 57.84838″</w:t>
            </w:r>
          </w:p>
        </w:tc>
        <w:tc>
          <w:tcPr>
            <w:tcW w:w="1212" w:type="dxa"/>
          </w:tcPr>
          <w:p>
            <w:pPr>
              <w:pStyle w:val="TableNAm"/>
              <w:spacing w:before="60"/>
              <w:rPr>
                <w:sz w:val="20"/>
              </w:rPr>
            </w:pPr>
            <w:r>
              <w:rPr>
                <w:sz w:val="20"/>
              </w:rPr>
              <w:t>125.197 m</w:t>
            </w:r>
          </w:p>
        </w:tc>
      </w:tr>
      <w:tr>
        <w:trPr>
          <w:jc w:val="center"/>
        </w:trPr>
        <w:tc>
          <w:tcPr>
            <w:tcW w:w="992" w:type="dxa"/>
          </w:tcPr>
          <w:p>
            <w:pPr>
              <w:pStyle w:val="TableNAm"/>
              <w:spacing w:before="60"/>
              <w:rPr>
                <w:sz w:val="20"/>
              </w:rPr>
            </w:pPr>
            <w:r>
              <w:rPr>
                <w:sz w:val="20"/>
              </w:rPr>
              <w:t>AU 015</w:t>
            </w:r>
          </w:p>
        </w:tc>
        <w:tc>
          <w:tcPr>
            <w:tcW w:w="1134" w:type="dxa"/>
          </w:tcPr>
          <w:p>
            <w:pPr>
              <w:pStyle w:val="TableNAm"/>
              <w:spacing w:before="60"/>
              <w:rPr>
                <w:sz w:val="20"/>
              </w:rPr>
            </w:pPr>
            <w:r>
              <w:rPr>
                <w:sz w:val="20"/>
              </w:rPr>
              <w:t>Townsville</w:t>
            </w:r>
          </w:p>
        </w:tc>
        <w:tc>
          <w:tcPr>
            <w:tcW w:w="1701" w:type="dxa"/>
          </w:tcPr>
          <w:p>
            <w:pPr>
              <w:pStyle w:val="TableNAm"/>
              <w:spacing w:before="60"/>
              <w:rPr>
                <w:sz w:val="20"/>
              </w:rPr>
            </w:pPr>
            <w:r>
              <w:rPr>
                <w:snapToGrid w:val="0"/>
                <w:sz w:val="20"/>
              </w:rPr>
              <w:t>19° 20′ 50.42839″</w:t>
            </w:r>
          </w:p>
        </w:tc>
        <w:tc>
          <w:tcPr>
            <w:tcW w:w="1843" w:type="dxa"/>
          </w:tcPr>
          <w:p>
            <w:pPr>
              <w:pStyle w:val="TableNAm"/>
              <w:spacing w:before="60"/>
              <w:rPr>
                <w:sz w:val="20"/>
              </w:rPr>
            </w:pPr>
            <w:r>
              <w:rPr>
                <w:snapToGrid w:val="0"/>
                <w:sz w:val="20"/>
              </w:rPr>
              <w:t>146° 46′ 30.79057″</w:t>
            </w:r>
          </w:p>
        </w:tc>
        <w:tc>
          <w:tcPr>
            <w:tcW w:w="1212" w:type="dxa"/>
          </w:tcPr>
          <w:p>
            <w:pPr>
              <w:pStyle w:val="TableNAm"/>
              <w:spacing w:before="60"/>
              <w:rPr>
                <w:sz w:val="20"/>
              </w:rPr>
            </w:pPr>
            <w:r>
              <w:rPr>
                <w:sz w:val="20"/>
              </w:rPr>
              <w:t>587.077 m</w:t>
            </w:r>
          </w:p>
        </w:tc>
      </w:tr>
      <w:tr>
        <w:trPr>
          <w:jc w:val="center"/>
        </w:trPr>
        <w:tc>
          <w:tcPr>
            <w:tcW w:w="992" w:type="dxa"/>
          </w:tcPr>
          <w:p>
            <w:pPr>
              <w:pStyle w:val="TableNAm"/>
              <w:spacing w:before="60"/>
              <w:rPr>
                <w:sz w:val="20"/>
              </w:rPr>
            </w:pPr>
            <w:r>
              <w:rPr>
                <w:sz w:val="20"/>
              </w:rPr>
              <w:t>AU 016</w:t>
            </w:r>
          </w:p>
        </w:tc>
        <w:tc>
          <w:tcPr>
            <w:tcW w:w="1134" w:type="dxa"/>
          </w:tcPr>
          <w:p>
            <w:pPr>
              <w:pStyle w:val="TableNAm"/>
              <w:spacing w:before="60"/>
              <w:rPr>
                <w:sz w:val="20"/>
              </w:rPr>
            </w:pPr>
            <w:smartTag w:uri="urn:schemas-microsoft-com:office:smarttags" w:element="place">
              <w:smartTag w:uri="urn:schemas-microsoft-com:office:smarttags" w:element="City">
                <w:r>
                  <w:rPr>
                    <w:sz w:val="20"/>
                  </w:rPr>
                  <w:t>Hobart</w:t>
                </w:r>
              </w:smartTag>
            </w:smartTag>
          </w:p>
        </w:tc>
        <w:tc>
          <w:tcPr>
            <w:tcW w:w="1701" w:type="dxa"/>
          </w:tcPr>
          <w:p>
            <w:pPr>
              <w:pStyle w:val="TableNAm"/>
              <w:spacing w:before="60"/>
              <w:rPr>
                <w:sz w:val="20"/>
              </w:rPr>
            </w:pPr>
            <w:r>
              <w:rPr>
                <w:snapToGrid w:val="0"/>
                <w:sz w:val="20"/>
              </w:rPr>
              <w:t>42° 48′ 16.98506″</w:t>
            </w:r>
          </w:p>
        </w:tc>
        <w:tc>
          <w:tcPr>
            <w:tcW w:w="1843" w:type="dxa"/>
          </w:tcPr>
          <w:p>
            <w:pPr>
              <w:pStyle w:val="TableNAm"/>
              <w:spacing w:before="60"/>
              <w:rPr>
                <w:sz w:val="20"/>
              </w:rPr>
            </w:pPr>
            <w:r>
              <w:rPr>
                <w:snapToGrid w:val="0"/>
                <w:sz w:val="20"/>
              </w:rPr>
              <w:t>147° 26′ 19.43548″</w:t>
            </w:r>
          </w:p>
        </w:tc>
        <w:tc>
          <w:tcPr>
            <w:tcW w:w="1212" w:type="dxa"/>
          </w:tcPr>
          <w:p>
            <w:pPr>
              <w:pStyle w:val="TableNAm"/>
              <w:spacing w:before="60"/>
              <w:rPr>
                <w:sz w:val="20"/>
              </w:rPr>
            </w:pPr>
            <w:r>
              <w:rPr>
                <w:sz w:val="20"/>
              </w:rPr>
              <w:t>41.126 m</w:t>
            </w:r>
          </w:p>
        </w:tc>
      </w:tr>
      <w:tr>
        <w:trPr>
          <w:jc w:val="center"/>
        </w:trPr>
        <w:tc>
          <w:tcPr>
            <w:tcW w:w="992" w:type="dxa"/>
          </w:tcPr>
          <w:p>
            <w:pPr>
              <w:pStyle w:val="TableNAm"/>
              <w:spacing w:before="60"/>
              <w:rPr>
                <w:sz w:val="20"/>
              </w:rPr>
            </w:pPr>
            <w:r>
              <w:rPr>
                <w:sz w:val="20"/>
              </w:rPr>
              <w:t>AU 017</w:t>
            </w:r>
          </w:p>
        </w:tc>
        <w:tc>
          <w:tcPr>
            <w:tcW w:w="1134" w:type="dxa"/>
          </w:tcPr>
          <w:p>
            <w:pPr>
              <w:pStyle w:val="TableNAm"/>
              <w:spacing w:before="60"/>
              <w:rPr>
                <w:sz w:val="20"/>
              </w:rPr>
            </w:pPr>
            <w:r>
              <w:rPr>
                <w:sz w:val="20"/>
              </w:rPr>
              <w:t>Tidbinbilla</w:t>
            </w:r>
          </w:p>
        </w:tc>
        <w:tc>
          <w:tcPr>
            <w:tcW w:w="1701" w:type="dxa"/>
          </w:tcPr>
          <w:p>
            <w:pPr>
              <w:pStyle w:val="TableNAm"/>
              <w:spacing w:before="60"/>
              <w:rPr>
                <w:sz w:val="20"/>
              </w:rPr>
            </w:pPr>
            <w:r>
              <w:rPr>
                <w:snapToGrid w:val="0"/>
                <w:sz w:val="20"/>
              </w:rPr>
              <w:t>35° 23′ 57.15627″</w:t>
            </w:r>
          </w:p>
        </w:tc>
        <w:tc>
          <w:tcPr>
            <w:tcW w:w="1843" w:type="dxa"/>
          </w:tcPr>
          <w:p>
            <w:pPr>
              <w:pStyle w:val="TableNAm"/>
              <w:spacing w:before="60"/>
              <w:rPr>
                <w:sz w:val="20"/>
              </w:rPr>
            </w:pPr>
            <w:r>
              <w:rPr>
                <w:snapToGrid w:val="0"/>
                <w:sz w:val="20"/>
              </w:rPr>
              <w:t>148° 58′ 47.98425″</w:t>
            </w:r>
          </w:p>
        </w:tc>
        <w:tc>
          <w:tcPr>
            <w:tcW w:w="1212" w:type="dxa"/>
          </w:tcPr>
          <w:p>
            <w:pPr>
              <w:pStyle w:val="TableNAm"/>
              <w:spacing w:before="60"/>
              <w:rPr>
                <w:sz w:val="20"/>
              </w:rPr>
            </w:pPr>
            <w:r>
              <w:rPr>
                <w:sz w:val="20"/>
              </w:rPr>
              <w:t>665.440 m</w:t>
            </w:r>
          </w:p>
        </w:tc>
      </w:tr>
      <w:tr>
        <w:trPr>
          <w:jc w:val="center"/>
        </w:trPr>
        <w:tc>
          <w:tcPr>
            <w:tcW w:w="992" w:type="dxa"/>
          </w:tcPr>
          <w:p>
            <w:pPr>
              <w:pStyle w:val="TableNAm"/>
              <w:spacing w:before="60"/>
              <w:rPr>
                <w:sz w:val="20"/>
              </w:rPr>
            </w:pPr>
            <w:r>
              <w:rPr>
                <w:sz w:val="20"/>
              </w:rPr>
              <w:t>AU 019</w:t>
            </w:r>
          </w:p>
        </w:tc>
        <w:tc>
          <w:tcPr>
            <w:tcW w:w="1134" w:type="dxa"/>
          </w:tcPr>
          <w:p>
            <w:pPr>
              <w:pStyle w:val="TableNAm"/>
              <w:spacing w:before="60"/>
              <w:rPr>
                <w:sz w:val="20"/>
              </w:rPr>
            </w:pPr>
            <w:r>
              <w:rPr>
                <w:sz w:val="20"/>
              </w:rPr>
              <w:t>Ceduna</w:t>
            </w:r>
          </w:p>
        </w:tc>
        <w:tc>
          <w:tcPr>
            <w:tcW w:w="1701" w:type="dxa"/>
          </w:tcPr>
          <w:p>
            <w:pPr>
              <w:pStyle w:val="TableNAm"/>
              <w:spacing w:before="60"/>
              <w:rPr>
                <w:sz w:val="20"/>
              </w:rPr>
            </w:pPr>
            <w:r>
              <w:rPr>
                <w:snapToGrid w:val="0"/>
                <w:sz w:val="20"/>
              </w:rPr>
              <w:t>31° 52′ 00.01664″</w:t>
            </w:r>
          </w:p>
        </w:tc>
        <w:tc>
          <w:tcPr>
            <w:tcW w:w="1843" w:type="dxa"/>
          </w:tcPr>
          <w:p>
            <w:pPr>
              <w:pStyle w:val="TableNAm"/>
              <w:spacing w:before="60"/>
              <w:rPr>
                <w:sz w:val="20"/>
              </w:rPr>
            </w:pPr>
            <w:r>
              <w:rPr>
                <w:snapToGrid w:val="0"/>
                <w:sz w:val="20"/>
              </w:rPr>
              <w:t>133° 48′ 35.37527″</w:t>
            </w:r>
          </w:p>
        </w:tc>
        <w:tc>
          <w:tcPr>
            <w:tcW w:w="1212" w:type="dxa"/>
          </w:tcPr>
          <w:p>
            <w:pPr>
              <w:pStyle w:val="TableNAm"/>
              <w:spacing w:before="60"/>
              <w:rPr>
                <w:sz w:val="20"/>
              </w:rPr>
            </w:pPr>
            <w:r>
              <w:rPr>
                <w:sz w:val="20"/>
              </w:rPr>
              <w:t>144.802 m</w:t>
            </w:r>
          </w:p>
        </w:tc>
      </w:tr>
      <w:tr>
        <w:trPr>
          <w:jc w:val="center"/>
        </w:trPr>
        <w:tc>
          <w:tcPr>
            <w:tcW w:w="992" w:type="dxa"/>
            <w:tcBorders>
              <w:bottom w:val="single" w:sz="4" w:space="0" w:color="auto"/>
            </w:tcBorders>
          </w:tcPr>
          <w:p>
            <w:pPr>
              <w:pStyle w:val="TableNAm"/>
              <w:spacing w:before="60"/>
              <w:rPr>
                <w:sz w:val="20"/>
              </w:rPr>
            </w:pPr>
            <w:r>
              <w:rPr>
                <w:sz w:val="20"/>
              </w:rPr>
              <w:t>AU 029</w:t>
            </w:r>
          </w:p>
        </w:tc>
        <w:tc>
          <w:tcPr>
            <w:tcW w:w="1134" w:type="dxa"/>
            <w:tcBorders>
              <w:bottom w:val="single" w:sz="4" w:space="0" w:color="auto"/>
            </w:tcBorders>
          </w:tcPr>
          <w:p>
            <w:pPr>
              <w:pStyle w:val="TableNAm"/>
              <w:spacing w:before="60"/>
              <w:rPr>
                <w:sz w:val="20"/>
              </w:rPr>
            </w:pPr>
            <w:r>
              <w:rPr>
                <w:sz w:val="20"/>
              </w:rPr>
              <w:t>Yaragadee</w:t>
            </w:r>
          </w:p>
        </w:tc>
        <w:tc>
          <w:tcPr>
            <w:tcW w:w="1701" w:type="dxa"/>
            <w:tcBorders>
              <w:bottom w:val="single" w:sz="4" w:space="0" w:color="auto"/>
            </w:tcBorders>
          </w:tcPr>
          <w:p>
            <w:pPr>
              <w:pStyle w:val="TableNAm"/>
              <w:spacing w:before="60"/>
              <w:rPr>
                <w:sz w:val="20"/>
              </w:rPr>
            </w:pPr>
            <w:r>
              <w:rPr>
                <w:snapToGrid w:val="0"/>
                <w:sz w:val="20"/>
              </w:rPr>
              <w:t>29° 02′ 47.61687″</w:t>
            </w:r>
          </w:p>
        </w:tc>
        <w:tc>
          <w:tcPr>
            <w:tcW w:w="1843" w:type="dxa"/>
            <w:tcBorders>
              <w:bottom w:val="single" w:sz="4" w:space="0" w:color="auto"/>
            </w:tcBorders>
          </w:tcPr>
          <w:p>
            <w:pPr>
              <w:pStyle w:val="TableNAm"/>
              <w:spacing w:before="60"/>
              <w:rPr>
                <w:sz w:val="20"/>
              </w:rPr>
            </w:pPr>
            <w:r>
              <w:rPr>
                <w:snapToGrid w:val="0"/>
                <w:sz w:val="20"/>
              </w:rPr>
              <w:t>115° 20′ 49.10049″</w:t>
            </w:r>
          </w:p>
        </w:tc>
        <w:tc>
          <w:tcPr>
            <w:tcW w:w="1212" w:type="dxa"/>
            <w:tcBorders>
              <w:bottom w:val="single" w:sz="4" w:space="0" w:color="auto"/>
            </w:tcBorders>
          </w:tcPr>
          <w:p>
            <w:pPr>
              <w:pStyle w:val="TableNAm"/>
              <w:spacing w:before="60"/>
              <w:rPr>
                <w:sz w:val="20"/>
              </w:rPr>
            </w:pPr>
            <w:r>
              <w:rPr>
                <w:sz w:val="20"/>
              </w:rPr>
              <w:t>241.291 m</w:t>
            </w:r>
          </w:p>
        </w:tc>
      </w:tr>
    </w:tbl>
    <w:p>
      <w:pPr>
        <w:pStyle w:val="Footnotesection"/>
      </w:pPr>
      <w:r>
        <w:tab/>
        <w:t>[Regulation 152 inserted in Gazette 19 Aug 2003 p. 3715.]</w:t>
      </w:r>
    </w:p>
    <w:p>
      <w:pPr>
        <w:pStyle w:val="Heading5"/>
        <w:rPr>
          <w:snapToGrid w:val="0"/>
        </w:rPr>
      </w:pPr>
      <w:bookmarkStart w:id="5362" w:name="_Toc309309555"/>
      <w:r>
        <w:rPr>
          <w:rStyle w:val="CharSectno"/>
        </w:rPr>
        <w:t>153</w:t>
      </w:r>
      <w:r>
        <w:rPr>
          <w:snapToGrid w:val="0"/>
        </w:rPr>
        <w:t>.</w:t>
      </w:r>
      <w:r>
        <w:rPr>
          <w:snapToGrid w:val="0"/>
        </w:rPr>
        <w:tab/>
        <w:t>Way of giving notice prescribed (Act s. 219(1))</w:t>
      </w:r>
      <w:bookmarkEnd w:id="5362"/>
    </w:p>
    <w:p>
      <w:pPr>
        <w:pStyle w:val="Subsection"/>
        <w:rPr>
          <w:snapToGrid w:val="0"/>
        </w:rPr>
      </w:pPr>
      <w:r>
        <w:rPr>
          <w:snapToGrid w:val="0"/>
        </w:rPr>
        <w:tab/>
      </w:r>
      <w:r>
        <w:rPr>
          <w:snapToGrid w:val="0"/>
        </w:rPr>
        <w:tab/>
        <w:t>The way prescribed for the CEO to give notice under section 219(1) of the Act is by a notice describing the thing seized to be displayed for at least 30 days in a prominent position on a notice board which is clearly visible from outside the office of the Department nearest to where the thing was seized.</w:t>
      </w:r>
    </w:p>
    <w:p>
      <w:pPr>
        <w:pStyle w:val="Footnotesection"/>
      </w:pPr>
      <w:r>
        <w:tab/>
        <w:t>[Regulation 153 amended in Gazette 6 Jul 2007 p. 3389.]</w:t>
      </w:r>
    </w:p>
    <w:p>
      <w:pPr>
        <w:pStyle w:val="Heading5"/>
        <w:rPr>
          <w:snapToGrid w:val="0"/>
        </w:rPr>
      </w:pPr>
      <w:bookmarkStart w:id="5363" w:name="_Toc309309556"/>
      <w:r>
        <w:rPr>
          <w:rStyle w:val="CharSectno"/>
        </w:rPr>
        <w:t>154</w:t>
      </w:r>
      <w:r>
        <w:rPr>
          <w:snapToGrid w:val="0"/>
        </w:rPr>
        <w:t>.</w:t>
      </w:r>
      <w:r>
        <w:rPr>
          <w:snapToGrid w:val="0"/>
        </w:rPr>
        <w:tab/>
        <w:t>Things forfeited to Crown, disposal of</w:t>
      </w:r>
      <w:bookmarkEnd w:id="5363"/>
    </w:p>
    <w:p>
      <w:pPr>
        <w:pStyle w:val="Subsection"/>
        <w:rPr>
          <w:snapToGrid w:val="0"/>
        </w:rPr>
      </w:pPr>
      <w:r>
        <w:rPr>
          <w:snapToGrid w:val="0"/>
        </w:rPr>
        <w:tab/>
        <w:t>(1)</w:t>
      </w:r>
      <w:r>
        <w:rPr>
          <w:snapToGrid w:val="0"/>
        </w:rPr>
        <w:tab/>
        <w:t>Any thing (other than fish) forfeited to the Crown under the Act is —</w:t>
      </w:r>
    </w:p>
    <w:p>
      <w:pPr>
        <w:pStyle w:val="Indenta"/>
        <w:rPr>
          <w:snapToGrid w:val="0"/>
        </w:rPr>
      </w:pPr>
      <w:r>
        <w:rPr>
          <w:snapToGrid w:val="0"/>
        </w:rPr>
        <w:tab/>
        <w:t>(a)</w:t>
      </w:r>
      <w:r>
        <w:rPr>
          <w:snapToGrid w:val="0"/>
        </w:rPr>
        <w:tab/>
        <w:t>to be given to the Department for its use or transferred, with or without charge, to any other department of the State or Commonwealth; or</w:t>
      </w:r>
    </w:p>
    <w:p>
      <w:pPr>
        <w:pStyle w:val="Indenta"/>
        <w:rPr>
          <w:snapToGrid w:val="0"/>
        </w:rPr>
      </w:pPr>
      <w:r>
        <w:rPr>
          <w:snapToGrid w:val="0"/>
        </w:rPr>
        <w:tab/>
        <w:t>(b)</w:t>
      </w:r>
      <w:r>
        <w:rPr>
          <w:snapToGrid w:val="0"/>
        </w:rPr>
        <w:tab/>
        <w:t>to be sold at public auction, by tender or by private contract; or</w:t>
      </w:r>
    </w:p>
    <w:p>
      <w:pPr>
        <w:pStyle w:val="Indenta"/>
        <w:rPr>
          <w:snapToGrid w:val="0"/>
        </w:rPr>
      </w:pPr>
      <w:r>
        <w:rPr>
          <w:snapToGrid w:val="0"/>
        </w:rPr>
        <w:tab/>
        <w:t>(c)</w:t>
      </w:r>
      <w:r>
        <w:rPr>
          <w:snapToGrid w:val="0"/>
        </w:rPr>
        <w:tab/>
        <w:t>to be destroyed, as specified by the CEO.</w:t>
      </w:r>
    </w:p>
    <w:p>
      <w:pPr>
        <w:pStyle w:val="Subsection"/>
        <w:spacing w:before="200"/>
        <w:rPr>
          <w:snapToGrid w:val="0"/>
        </w:rPr>
      </w:pPr>
      <w:r>
        <w:rPr>
          <w:snapToGrid w:val="0"/>
        </w:rPr>
        <w:tab/>
        <w:t>(2)</w:t>
      </w:r>
      <w:r>
        <w:rPr>
          <w:snapToGrid w:val="0"/>
        </w:rPr>
        <w:tab/>
        <w:t>Fish forfeited to the Crown under the Act are to be dealt with as specified in regulation 148 in respect of fish seized under the Act.</w:t>
      </w:r>
    </w:p>
    <w:p>
      <w:pPr>
        <w:pStyle w:val="Subsection"/>
        <w:spacing w:before="200"/>
        <w:rPr>
          <w:snapToGrid w:val="0"/>
        </w:rPr>
      </w:pPr>
      <w:r>
        <w:rPr>
          <w:snapToGrid w:val="0"/>
        </w:rPr>
        <w:tab/>
        <w:t>(3)</w:t>
      </w:r>
      <w:r>
        <w:rPr>
          <w:snapToGrid w:val="0"/>
        </w:rPr>
        <w:tab/>
        <w:t>The CEO is to specify which method referred to in subregulation (1) or regulation 148 is to apply in respect of a particular thing forfeited to the Crown.</w:t>
      </w:r>
    </w:p>
    <w:p>
      <w:pPr>
        <w:pStyle w:val="Footnotesection"/>
      </w:pPr>
      <w:r>
        <w:tab/>
        <w:t>[Regulation 154 amended in Gazette 6 Jul 2007 p. 3389.]</w:t>
      </w:r>
    </w:p>
    <w:p>
      <w:pPr>
        <w:pStyle w:val="Heading5"/>
        <w:spacing w:before="260"/>
        <w:rPr>
          <w:snapToGrid w:val="0"/>
        </w:rPr>
      </w:pPr>
      <w:bookmarkStart w:id="5364" w:name="_Toc309309557"/>
      <w:r>
        <w:rPr>
          <w:rStyle w:val="CharSectno"/>
        </w:rPr>
        <w:t>155</w:t>
      </w:r>
      <w:r>
        <w:rPr>
          <w:snapToGrid w:val="0"/>
        </w:rPr>
        <w:t>.</w:t>
      </w:r>
      <w:r>
        <w:rPr>
          <w:snapToGrid w:val="0"/>
        </w:rPr>
        <w:tab/>
        <w:t>Accounts prescribed (Act s. 221)</w:t>
      </w:r>
      <w:bookmarkEnd w:id="5364"/>
    </w:p>
    <w:p>
      <w:pPr>
        <w:pStyle w:val="Subsection"/>
        <w:spacing w:before="200"/>
        <w:rPr>
          <w:snapToGrid w:val="0"/>
        </w:rPr>
      </w:pPr>
      <w:r>
        <w:rPr>
          <w:snapToGrid w:val="0"/>
        </w:rPr>
        <w:tab/>
      </w:r>
      <w:r>
        <w:rPr>
          <w:snapToGrid w:val="0"/>
        </w:rPr>
        <w:tab/>
        <w:t>For the purposes of section 221(2) of the Act, proceeds of the sale of any thing forfeited to the Crown under the Act are to be paid to the credit of —</w:t>
      </w:r>
    </w:p>
    <w:p>
      <w:pPr>
        <w:pStyle w:val="Indenta"/>
        <w:rPr>
          <w:snapToGrid w:val="0"/>
        </w:rPr>
      </w:pPr>
      <w:r>
        <w:rPr>
          <w:snapToGrid w:val="0"/>
        </w:rPr>
        <w:tab/>
        <w:t>(a)</w:t>
      </w:r>
      <w:r>
        <w:rPr>
          <w:snapToGrid w:val="0"/>
        </w:rPr>
        <w:tab/>
        <w:t>the Fisheries Research and Development Fund</w:t>
      </w:r>
      <w:r>
        <w:rPr>
          <w:snapToGrid w:val="0"/>
          <w:vertAlign w:val="superscript"/>
        </w:rPr>
        <w:t xml:space="preserve"> 3 </w:t>
      </w:r>
      <w:r>
        <w:rPr>
          <w:snapToGrid w:val="0"/>
        </w:rPr>
        <w:t>continued under section 238 of the Act, where the thing was forfeited in respect of an offence relating to aquaculture, aquatic eco</w:t>
      </w:r>
      <w:r>
        <w:rPr>
          <w:snapToGrid w:val="0"/>
        </w:rPr>
        <w:noBreakHyphen/>
        <w:t>tourism, commercial fishing, or processing; or</w:t>
      </w:r>
    </w:p>
    <w:p>
      <w:pPr>
        <w:pStyle w:val="Indenta"/>
        <w:rPr>
          <w:snapToGrid w:val="0"/>
        </w:rPr>
      </w:pPr>
      <w:r>
        <w:rPr>
          <w:snapToGrid w:val="0"/>
        </w:rPr>
        <w:tab/>
        <w:t>(b)</w:t>
      </w:r>
      <w:r>
        <w:rPr>
          <w:snapToGrid w:val="0"/>
        </w:rPr>
        <w:tab/>
        <w:t>the Recreational Fishing Fund</w:t>
      </w:r>
      <w:r>
        <w:rPr>
          <w:snapToGrid w:val="0"/>
          <w:vertAlign w:val="superscript"/>
        </w:rPr>
        <w:t xml:space="preserve"> 4 </w:t>
      </w:r>
      <w:r>
        <w:rPr>
          <w:snapToGrid w:val="0"/>
        </w:rPr>
        <w:t xml:space="preserve"> established under section 239 of the Act in all other cases.</w:t>
      </w:r>
    </w:p>
    <w:p>
      <w:pPr>
        <w:pStyle w:val="Heading5"/>
        <w:spacing w:before="260"/>
        <w:rPr>
          <w:snapToGrid w:val="0"/>
        </w:rPr>
      </w:pPr>
      <w:bookmarkStart w:id="5365" w:name="_Toc309309558"/>
      <w:r>
        <w:rPr>
          <w:rStyle w:val="CharSectno"/>
        </w:rPr>
        <w:t>156</w:t>
      </w:r>
      <w:r>
        <w:rPr>
          <w:snapToGrid w:val="0"/>
        </w:rPr>
        <w:t>.</w:t>
      </w:r>
      <w:r>
        <w:rPr>
          <w:snapToGrid w:val="0"/>
        </w:rPr>
        <w:tab/>
        <w:t>Provisions of regulations prescribed (Act s. 222(1))</w:t>
      </w:r>
      <w:bookmarkEnd w:id="5365"/>
    </w:p>
    <w:p>
      <w:pPr>
        <w:pStyle w:val="Subsection"/>
        <w:spacing w:before="200"/>
        <w:rPr>
          <w:snapToGrid w:val="0"/>
        </w:rPr>
      </w:pPr>
      <w:r>
        <w:rPr>
          <w:snapToGrid w:val="0"/>
        </w:rPr>
        <w:tab/>
      </w:r>
      <w:r>
        <w:rPr>
          <w:snapToGrid w:val="0"/>
        </w:rPr>
        <w:tab/>
        <w:t>For the purposes of section 222(1) of the Act, the provisions of the regulations referred to in the Table to this regulation are prescribed provisions.</w:t>
      </w:r>
    </w:p>
    <w:p>
      <w:pPr>
        <w:pStyle w:val="THeadingNAm"/>
        <w:keepLines/>
      </w:pPr>
      <w: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TableNAm"/>
              <w:keepNext/>
              <w:keepLines/>
              <w:rPr>
                <w:sz w:val="22"/>
              </w:rPr>
            </w:pPr>
            <w:r>
              <w:rPr>
                <w:sz w:val="22"/>
              </w:rPr>
              <w:t xml:space="preserve">Regulations 14(2), 15(2), 16(2), 16A(1), 16B, </w:t>
            </w:r>
            <w:r>
              <w:rPr>
                <w:sz w:val="22"/>
                <w:szCs w:val="22"/>
              </w:rPr>
              <w:t>16E(3C),</w:t>
            </w:r>
            <w:r>
              <w:t xml:space="preserve"> </w:t>
            </w:r>
            <w:r>
              <w:rPr>
                <w:sz w:val="22"/>
              </w:rPr>
              <w:t xml:space="preserve">17A(3), 22, 31, 31A(1), 35, 38B, 38C, 38D(2), 38E, </w:t>
            </w:r>
            <w:r>
              <w:rPr>
                <w:sz w:val="22"/>
                <w:szCs w:val="22"/>
              </w:rPr>
              <w:t xml:space="preserve">38F, </w:t>
            </w:r>
            <w:r>
              <w:rPr>
                <w:sz w:val="22"/>
              </w:rPr>
              <w:t xml:space="preserve">38H, 38I(1), 38J, 38K, 38M, 38N(1), 38O(1), </w:t>
            </w:r>
            <w:r>
              <w:rPr>
                <w:sz w:val="22"/>
                <w:szCs w:val="22"/>
              </w:rPr>
              <w:t xml:space="preserve">41(1), 41(2A), </w:t>
            </w:r>
            <w:r>
              <w:rPr>
                <w:sz w:val="22"/>
              </w:rPr>
              <w:t>45(2), 56A, 64(5), 113A(1), 113A(2), 113B(1), 121, 128G(1), 128G(2), 128O and 130.</w:t>
            </w:r>
          </w:p>
        </w:tc>
      </w:tr>
    </w:tbl>
    <w:p>
      <w:pPr>
        <w:pStyle w:val="Footnotesection"/>
        <w:keepLines w:val="0"/>
      </w:pPr>
      <w:r>
        <w:tab/>
        <w:t>[Regulation 156 amended in Gazette 21 Dec 1999 p. 6408; 29 Dec 2000 p. 7979; 29 Jun 2001 p. 3175; 14 Nov 2001 p. 5979; 29 Nov 2002 p. 5655; 1 Oct 2003 p. 4327; 28 Nov 2003 p. 4775; 23 Dec 2003 p. 5206; 4 Nov 2005 p. 5313; 11 Nov 2005 p. 5566; 22 Dec 2005 p. 6227; 10 Nov 2006 p. 4709; 4 Sep 2007 p. 4520; 29 Sep 2009 p. 3867; 27 Aug 2010 p. 4106; 1 Mar 2011 p. 672; 2 Aug 2011 p. 3168.]</w:t>
      </w:r>
    </w:p>
    <w:p>
      <w:pPr>
        <w:pStyle w:val="Heading5"/>
      </w:pPr>
      <w:bookmarkStart w:id="5366" w:name="_Toc309309559"/>
      <w:r>
        <w:rPr>
          <w:rStyle w:val="CharSectno"/>
        </w:rPr>
        <w:t>157</w:t>
      </w:r>
      <w:r>
        <w:t>.</w:t>
      </w:r>
      <w:r>
        <w:tab/>
        <w:t>Values prescribed (Act s. 222(4))</w:t>
      </w:r>
      <w:bookmarkEnd w:id="5366"/>
    </w:p>
    <w:p>
      <w:pPr>
        <w:pStyle w:val="Subsection"/>
      </w:pPr>
      <w:r>
        <w:tab/>
        <w:t>(1)</w:t>
      </w:r>
      <w:r>
        <w:tab/>
        <w:t>For the purposes of section 222(4)(a) of the Act, the value per unit of weight of the fish is —</w:t>
      </w:r>
    </w:p>
    <w:p>
      <w:pPr>
        <w:pStyle w:val="Indenta"/>
      </w:pPr>
      <w:r>
        <w:tab/>
        <w:t>(a)</w:t>
      </w:r>
      <w:r>
        <w:tab/>
        <w:t>for a fillet of finfish, $30 per kg; or</w:t>
      </w:r>
    </w:p>
    <w:p>
      <w:pPr>
        <w:pStyle w:val="Indenta"/>
      </w:pPr>
      <w:r>
        <w:tab/>
        <w:t>(b)</w:t>
      </w:r>
      <w:r>
        <w:tab/>
        <w:t>for a fin of a shark or ray removed from the fish trunk, $120 per kg; or</w:t>
      </w:r>
    </w:p>
    <w:p>
      <w:pPr>
        <w:pStyle w:val="Indenta"/>
      </w:pPr>
      <w:r>
        <w:tab/>
        <w:t>(c)</w:t>
      </w:r>
      <w:r>
        <w:tab/>
        <w:t>otherwise, the amount per kg of fish set out in Schedule 9 for fish of that kind.</w:t>
      </w:r>
    </w:p>
    <w:p>
      <w:pPr>
        <w:pStyle w:val="Subsection"/>
      </w:pPr>
      <w:r>
        <w:tab/>
        <w:t>(2)</w:t>
      </w:r>
      <w:r>
        <w:tab/>
        <w:t>For the purposes of section 222(4)(b) of the Act, the value per fish is —</w:t>
      </w:r>
    </w:p>
    <w:p>
      <w:pPr>
        <w:pStyle w:val="Indenta"/>
      </w:pPr>
      <w:r>
        <w:tab/>
        <w:t>(a)</w:t>
      </w:r>
      <w:r>
        <w:tab/>
        <w:t>for a fin of a shark or ray removed from the fish trunk, $24 per fin; or</w:t>
      </w:r>
    </w:p>
    <w:p>
      <w:pPr>
        <w:pStyle w:val="Indenta"/>
      </w:pPr>
      <w:r>
        <w:tab/>
        <w:t>(b)</w:t>
      </w:r>
      <w:r>
        <w:tab/>
        <w:t>otherwise, the amount per fish set out in Schedule 9 for that kind of fish.</w:t>
      </w:r>
    </w:p>
    <w:p>
      <w:pPr>
        <w:pStyle w:val="Footnotesection"/>
      </w:pPr>
      <w:r>
        <w:tab/>
        <w:t>[Regulation 157 inserted in Gazette 10 Nov 2006 p. 4709; amended in Gazette 29 Sep 2009 p. 3867.]</w:t>
      </w:r>
    </w:p>
    <w:p>
      <w:pPr>
        <w:pStyle w:val="Heading5"/>
        <w:rPr>
          <w:snapToGrid w:val="0"/>
        </w:rPr>
      </w:pPr>
      <w:bookmarkStart w:id="5367" w:name="_Toc309309560"/>
      <w:r>
        <w:rPr>
          <w:rStyle w:val="CharSectno"/>
        </w:rPr>
        <w:t>158</w:t>
      </w:r>
      <w:r>
        <w:rPr>
          <w:snapToGrid w:val="0"/>
        </w:rPr>
        <w:t>.</w:t>
      </w:r>
      <w:r>
        <w:rPr>
          <w:snapToGrid w:val="0"/>
        </w:rPr>
        <w:tab/>
        <w:t>Offences prescribed (Act s. 224(1))</w:t>
      </w:r>
      <w:bookmarkEnd w:id="5367"/>
    </w:p>
    <w:p>
      <w:pPr>
        <w:pStyle w:val="Subsection"/>
        <w:keepNext/>
        <w:spacing w:before="120"/>
        <w:rPr>
          <w:snapToGrid w:val="0"/>
        </w:rPr>
      </w:pPr>
      <w:r>
        <w:rPr>
          <w:snapToGrid w:val="0"/>
        </w:rPr>
        <w:tab/>
      </w:r>
      <w:r>
        <w:rPr>
          <w:snapToGrid w:val="0"/>
        </w:rPr>
        <w:tab/>
        <w:t>An offence against a provision referred to in the Table to this regulation is a prescribed offence under section 224(1)(a) of the Act.</w:t>
      </w:r>
    </w:p>
    <w:p>
      <w:pPr>
        <w:pStyle w:val="THeadingNAm"/>
      </w:pPr>
      <w:r>
        <w:t>Table</w:t>
      </w:r>
    </w:p>
    <w:tbl>
      <w:tblPr>
        <w:tblW w:w="0" w:type="auto"/>
        <w:tblInd w:w="959" w:type="dxa"/>
        <w:tblLayout w:type="fixed"/>
        <w:tblLook w:val="0000" w:firstRow="0" w:lastRow="0" w:firstColumn="0" w:lastColumn="0" w:noHBand="0" w:noVBand="0"/>
      </w:tblPr>
      <w:tblGrid>
        <w:gridCol w:w="5812"/>
      </w:tblGrid>
      <w:tr>
        <w:tc>
          <w:tcPr>
            <w:tcW w:w="5812" w:type="dxa"/>
          </w:tcPr>
          <w:p>
            <w:pPr>
              <w:pStyle w:val="TableNAm"/>
              <w:spacing w:before="60"/>
              <w:jc w:val="center"/>
              <w:rPr>
                <w:b/>
                <w:bCs/>
                <w:snapToGrid w:val="0"/>
                <w:sz w:val="22"/>
              </w:rPr>
            </w:pPr>
            <w:r>
              <w:rPr>
                <w:b/>
                <w:bCs/>
                <w:snapToGrid w:val="0"/>
                <w:sz w:val="22"/>
              </w:rPr>
              <w:t>Provisions of the Act</w:t>
            </w:r>
          </w:p>
        </w:tc>
      </w:tr>
      <w:tr>
        <w:tc>
          <w:tcPr>
            <w:tcW w:w="5812" w:type="dxa"/>
          </w:tcPr>
          <w:p>
            <w:pPr>
              <w:pStyle w:val="TableNAm"/>
              <w:spacing w:before="60"/>
              <w:rPr>
                <w:snapToGrid w:val="0"/>
                <w:sz w:val="22"/>
              </w:rPr>
            </w:pPr>
            <w:r>
              <w:rPr>
                <w:snapToGrid w:val="0"/>
                <w:sz w:val="22"/>
              </w:rPr>
              <w:t>Sections 43(3), 46, 47, 49, 77, 82(1), 86, 88, 96, 112, 170(1), 171(1), 172, 173(1), 174(1), 175(1), 176, 189(2), 190(2), 191(5), 199, 200, 225(4) and (5) and 255(3).</w:t>
            </w:r>
          </w:p>
        </w:tc>
      </w:tr>
      <w:tr>
        <w:tc>
          <w:tcPr>
            <w:tcW w:w="5812" w:type="dxa"/>
          </w:tcPr>
          <w:p>
            <w:pPr>
              <w:pStyle w:val="TableNAm"/>
              <w:spacing w:before="60"/>
              <w:rPr>
                <w:snapToGrid w:val="0"/>
                <w:sz w:val="22"/>
              </w:rPr>
            </w:pPr>
            <w:r>
              <w:rPr>
                <w:snapToGrid w:val="0"/>
                <w:sz w:val="22"/>
              </w:rPr>
              <w:t>Section 74, where the provision of the management plan contravened is designated in the plan as a major provision.</w:t>
            </w:r>
          </w:p>
        </w:tc>
      </w:tr>
      <w:tr>
        <w:tc>
          <w:tcPr>
            <w:tcW w:w="5812" w:type="dxa"/>
          </w:tcPr>
          <w:p>
            <w:pPr>
              <w:pStyle w:val="TableNAm"/>
              <w:keepNext/>
              <w:keepLines/>
              <w:spacing w:before="160"/>
              <w:jc w:val="center"/>
              <w:rPr>
                <w:b/>
                <w:bCs/>
                <w:snapToGrid w:val="0"/>
                <w:sz w:val="22"/>
              </w:rPr>
            </w:pPr>
            <w:r>
              <w:rPr>
                <w:b/>
                <w:bCs/>
                <w:snapToGrid w:val="0"/>
                <w:sz w:val="22"/>
              </w:rPr>
              <w:t>Provision of these regulations</w:t>
            </w:r>
          </w:p>
        </w:tc>
      </w:tr>
      <w:tr>
        <w:tc>
          <w:tcPr>
            <w:tcW w:w="5812" w:type="dxa"/>
          </w:tcPr>
          <w:p>
            <w:pPr>
              <w:pStyle w:val="TableNAm"/>
              <w:keepNext/>
              <w:keepLines/>
              <w:spacing w:before="60"/>
              <w:rPr>
                <w:snapToGrid w:val="0"/>
                <w:sz w:val="22"/>
              </w:rPr>
            </w:pPr>
            <w:r>
              <w:rPr>
                <w:snapToGrid w:val="0"/>
                <w:sz w:val="22"/>
              </w:rPr>
              <w:t xml:space="preserve">Regulations 13, 16B, 18, 31A(1), 31A(2), 32(1), 35, 38, 63, 64, </w:t>
            </w:r>
            <w:r>
              <w:rPr>
                <w:sz w:val="22"/>
              </w:rPr>
              <w:t xml:space="preserve">64Q, </w:t>
            </w:r>
            <w:r>
              <w:rPr>
                <w:snapToGrid w:val="0"/>
                <w:sz w:val="22"/>
              </w:rPr>
              <w:t xml:space="preserve">71(3), 117(1), 119(2), 125(2), </w:t>
            </w:r>
            <w:r>
              <w:rPr>
                <w:sz w:val="22"/>
              </w:rPr>
              <w:t>128G(1), 128G(2), 128O, 128P,</w:t>
            </w:r>
            <w:r>
              <w:rPr>
                <w:snapToGrid w:val="0"/>
                <w:sz w:val="22"/>
              </w:rPr>
              <w:t xml:space="preserve"> 130(4), 130A, 145(1) and 176.</w:t>
            </w:r>
          </w:p>
        </w:tc>
      </w:tr>
    </w:tbl>
    <w:p>
      <w:pPr>
        <w:pStyle w:val="Footnotesection"/>
        <w:keepLines w:val="0"/>
      </w:pPr>
      <w:r>
        <w:tab/>
        <w:t>[Regulation 158 amended in Gazette 29 Jun 2001 p. 3175; 14 Nov 2001 p. 5979; 29 Nov 2002 p. 5655; 11 Feb 2003 p. 412; 1 Oct 2003 p. 4328; 31 Oct 2003 p. 4562; 10 Nov 2006 p. 4709; 27 Aug 2010 p. 4106.]</w:t>
      </w:r>
    </w:p>
    <w:p>
      <w:pPr>
        <w:pStyle w:val="Heading5"/>
        <w:rPr>
          <w:snapToGrid w:val="0"/>
        </w:rPr>
      </w:pPr>
      <w:bookmarkStart w:id="5368" w:name="_Toc309309561"/>
      <w:r>
        <w:rPr>
          <w:rStyle w:val="CharSectno"/>
        </w:rPr>
        <w:t>159</w:t>
      </w:r>
      <w:r>
        <w:rPr>
          <w:snapToGrid w:val="0"/>
        </w:rPr>
        <w:t>.</w:t>
      </w:r>
      <w:r>
        <w:rPr>
          <w:snapToGrid w:val="0"/>
        </w:rPr>
        <w:tab/>
        <w:t>Offences prescribed (Act s. 228(1))</w:t>
      </w:r>
      <w:bookmarkEnd w:id="5368"/>
    </w:p>
    <w:p>
      <w:pPr>
        <w:pStyle w:val="Subsection"/>
        <w:rPr>
          <w:snapToGrid w:val="0"/>
        </w:rPr>
      </w:pPr>
      <w:r>
        <w:rPr>
          <w:snapToGrid w:val="0"/>
        </w:rPr>
        <w:tab/>
      </w:r>
      <w:r>
        <w:rPr>
          <w:snapToGrid w:val="0"/>
        </w:rPr>
        <w:tab/>
        <w:t>An offence against a provision set out in column 1 of Schedule 12 is a prescribed offence under section 228(1) of the Act.</w:t>
      </w:r>
    </w:p>
    <w:p>
      <w:pPr>
        <w:pStyle w:val="Heading5"/>
        <w:rPr>
          <w:snapToGrid w:val="0"/>
        </w:rPr>
      </w:pPr>
      <w:bookmarkStart w:id="5369" w:name="_Toc309309562"/>
      <w:r>
        <w:rPr>
          <w:rStyle w:val="CharSectno"/>
        </w:rPr>
        <w:t>160</w:t>
      </w:r>
      <w:r>
        <w:rPr>
          <w:snapToGrid w:val="0"/>
        </w:rPr>
        <w:t>.</w:t>
      </w:r>
      <w:r>
        <w:rPr>
          <w:snapToGrid w:val="0"/>
        </w:rPr>
        <w:tab/>
        <w:t>Infringement notice form prescribed (Act s. 229(1))</w:t>
      </w:r>
      <w:bookmarkEnd w:id="5369"/>
    </w:p>
    <w:p>
      <w:pPr>
        <w:pStyle w:val="Subsection"/>
        <w:rPr>
          <w:snapToGrid w:val="0"/>
        </w:rPr>
      </w:pPr>
      <w:r>
        <w:rPr>
          <w:snapToGrid w:val="0"/>
        </w:rPr>
        <w:tab/>
      </w:r>
      <w:r>
        <w:rPr>
          <w:snapToGrid w:val="0"/>
        </w:rPr>
        <w:tab/>
        <w:t>An infringement notice under section 229(1) of the Act is to be in the form of Form 3.</w:t>
      </w:r>
    </w:p>
    <w:p>
      <w:pPr>
        <w:pStyle w:val="Heading5"/>
        <w:rPr>
          <w:snapToGrid w:val="0"/>
        </w:rPr>
      </w:pPr>
      <w:bookmarkStart w:id="5370" w:name="_Toc309309563"/>
      <w:r>
        <w:rPr>
          <w:rStyle w:val="CharSectno"/>
        </w:rPr>
        <w:t>161</w:t>
      </w:r>
      <w:r>
        <w:rPr>
          <w:snapToGrid w:val="0"/>
        </w:rPr>
        <w:t>.</w:t>
      </w:r>
      <w:r>
        <w:rPr>
          <w:snapToGrid w:val="0"/>
        </w:rPr>
        <w:tab/>
        <w:t>Withdrawal of infringement notice form prescribed (Act s. 231(1))</w:t>
      </w:r>
      <w:bookmarkEnd w:id="5370"/>
    </w:p>
    <w:p>
      <w:pPr>
        <w:pStyle w:val="Subsection"/>
        <w:rPr>
          <w:snapToGrid w:val="0"/>
        </w:rPr>
      </w:pPr>
      <w:r>
        <w:rPr>
          <w:snapToGrid w:val="0"/>
        </w:rPr>
        <w:tab/>
      </w:r>
      <w:r>
        <w:rPr>
          <w:snapToGrid w:val="0"/>
        </w:rPr>
        <w:tab/>
        <w:t>A notice to be served under section 231(1) of the Act is to be in the form of Form 4.</w:t>
      </w:r>
    </w:p>
    <w:p>
      <w:pPr>
        <w:pStyle w:val="Heading5"/>
        <w:rPr>
          <w:snapToGrid w:val="0"/>
        </w:rPr>
      </w:pPr>
      <w:bookmarkStart w:id="5371" w:name="_Toc309309564"/>
      <w:r>
        <w:rPr>
          <w:rStyle w:val="CharSectno"/>
        </w:rPr>
        <w:t>162</w:t>
      </w:r>
      <w:r>
        <w:rPr>
          <w:snapToGrid w:val="0"/>
        </w:rPr>
        <w:t>.</w:t>
      </w:r>
      <w:r>
        <w:rPr>
          <w:snapToGrid w:val="0"/>
        </w:rPr>
        <w:tab/>
        <w:t>Modified penalties prescribed (Act s. 229)</w:t>
      </w:r>
      <w:bookmarkEnd w:id="5371"/>
    </w:p>
    <w:p>
      <w:pPr>
        <w:pStyle w:val="Subsection"/>
        <w:rPr>
          <w:snapToGrid w:val="0"/>
        </w:rPr>
      </w:pPr>
      <w:r>
        <w:rPr>
          <w:snapToGrid w:val="0"/>
        </w:rPr>
        <w:tab/>
      </w:r>
      <w:r>
        <w:rPr>
          <w:snapToGrid w:val="0"/>
        </w:rPr>
        <w:tab/>
        <w:t>The modified penalty set out in column 2 of Schedule 12 opposite an offence referred to in column 1 is the prescribed modified penalty for that offence for the purposes of section 229(2) of the Act.</w:t>
      </w:r>
    </w:p>
    <w:p>
      <w:pPr>
        <w:pStyle w:val="Heading2"/>
      </w:pPr>
      <w:bookmarkStart w:id="5372" w:name="_Toc189988127"/>
      <w:bookmarkStart w:id="5373" w:name="_Toc192041710"/>
      <w:bookmarkStart w:id="5374" w:name="_Toc199570944"/>
      <w:bookmarkStart w:id="5375" w:name="_Toc199738942"/>
      <w:bookmarkStart w:id="5376" w:name="_Toc199815043"/>
      <w:bookmarkStart w:id="5377" w:name="_Toc215040850"/>
      <w:bookmarkStart w:id="5378" w:name="_Toc215041295"/>
      <w:bookmarkStart w:id="5379" w:name="_Toc222129503"/>
      <w:bookmarkStart w:id="5380" w:name="_Toc222223208"/>
      <w:bookmarkStart w:id="5381" w:name="_Toc225914460"/>
      <w:bookmarkStart w:id="5382" w:name="_Toc231282505"/>
      <w:bookmarkStart w:id="5383" w:name="_Toc231282949"/>
      <w:bookmarkStart w:id="5384" w:name="_Toc234899539"/>
      <w:bookmarkStart w:id="5385" w:name="_Toc236632821"/>
      <w:bookmarkStart w:id="5386" w:name="_Toc236720434"/>
      <w:bookmarkStart w:id="5387" w:name="_Toc237764633"/>
      <w:bookmarkStart w:id="5388" w:name="_Toc238356257"/>
      <w:bookmarkStart w:id="5389" w:name="_Toc238368962"/>
      <w:bookmarkStart w:id="5390" w:name="_Toc238375915"/>
      <w:bookmarkStart w:id="5391" w:name="_Toc240339239"/>
      <w:bookmarkStart w:id="5392" w:name="_Toc241993745"/>
      <w:bookmarkStart w:id="5393" w:name="_Toc243192888"/>
      <w:bookmarkStart w:id="5394" w:name="_Toc243295590"/>
      <w:bookmarkStart w:id="5395" w:name="_Toc245113163"/>
      <w:bookmarkStart w:id="5396" w:name="_Toc245198325"/>
      <w:bookmarkStart w:id="5397" w:name="_Toc245198774"/>
      <w:bookmarkStart w:id="5398" w:name="_Toc245199223"/>
      <w:bookmarkStart w:id="5399" w:name="_Toc248122254"/>
      <w:bookmarkStart w:id="5400" w:name="_Toc248122705"/>
      <w:bookmarkStart w:id="5401" w:name="_Toc253670692"/>
      <w:bookmarkStart w:id="5402" w:name="_Toc253671142"/>
      <w:bookmarkStart w:id="5403" w:name="_Toc254942916"/>
      <w:bookmarkStart w:id="5404" w:name="_Toc254943369"/>
      <w:bookmarkStart w:id="5405" w:name="_Toc255475961"/>
      <w:bookmarkStart w:id="5406" w:name="_Toc256432282"/>
      <w:bookmarkStart w:id="5407" w:name="_Toc257720619"/>
      <w:bookmarkStart w:id="5408" w:name="_Toc257722301"/>
      <w:bookmarkStart w:id="5409" w:name="_Toc258335977"/>
      <w:bookmarkStart w:id="5410" w:name="_Toc260406419"/>
      <w:bookmarkStart w:id="5411" w:name="_Toc261271605"/>
      <w:bookmarkStart w:id="5412" w:name="_Toc262808287"/>
      <w:bookmarkStart w:id="5413" w:name="_Toc267572680"/>
      <w:bookmarkStart w:id="5414" w:name="_Toc270684429"/>
      <w:bookmarkStart w:id="5415" w:name="_Toc274214606"/>
      <w:bookmarkStart w:id="5416" w:name="_Toc274215055"/>
      <w:bookmarkStart w:id="5417" w:name="_Toc278976386"/>
      <w:bookmarkStart w:id="5418" w:name="_Toc286760707"/>
      <w:bookmarkStart w:id="5419" w:name="_Toc289081052"/>
      <w:bookmarkStart w:id="5420" w:name="_Toc290284246"/>
      <w:bookmarkStart w:id="5421" w:name="_Toc290643067"/>
      <w:bookmarkStart w:id="5422" w:name="_Toc290643516"/>
      <w:bookmarkStart w:id="5423" w:name="_Toc290643969"/>
      <w:bookmarkStart w:id="5424" w:name="_Toc294701786"/>
      <w:bookmarkStart w:id="5425" w:name="_Toc295200194"/>
      <w:bookmarkStart w:id="5426" w:name="_Toc296954635"/>
      <w:bookmarkStart w:id="5427" w:name="_Toc297276270"/>
      <w:bookmarkStart w:id="5428" w:name="_Toc297276722"/>
      <w:bookmarkStart w:id="5429" w:name="_Toc297277172"/>
      <w:bookmarkStart w:id="5430" w:name="_Toc297726541"/>
      <w:bookmarkStart w:id="5431" w:name="_Toc299980327"/>
      <w:bookmarkStart w:id="5432" w:name="_Toc300234953"/>
      <w:bookmarkStart w:id="5433" w:name="_Toc301961456"/>
      <w:bookmarkStart w:id="5434" w:name="_Toc301967026"/>
      <w:bookmarkStart w:id="5435" w:name="_Toc303253235"/>
      <w:bookmarkStart w:id="5436" w:name="_Toc303257399"/>
      <w:bookmarkStart w:id="5437" w:name="_Toc307993032"/>
      <w:bookmarkStart w:id="5438" w:name="_Toc309030065"/>
      <w:bookmarkStart w:id="5439" w:name="_Toc309304288"/>
      <w:bookmarkStart w:id="5440" w:name="_Toc309304741"/>
      <w:bookmarkStart w:id="5441" w:name="_Toc309309565"/>
      <w:r>
        <w:rPr>
          <w:rStyle w:val="CharPartNo"/>
        </w:rPr>
        <w:t>Part 16</w:t>
      </w:r>
      <w:r>
        <w:rPr>
          <w:rStyle w:val="CharDivNo"/>
        </w:rPr>
        <w:t> </w:t>
      </w:r>
      <w:r>
        <w:t>—</w:t>
      </w:r>
      <w:r>
        <w:rPr>
          <w:rStyle w:val="CharDivText"/>
        </w:rPr>
        <w:t> </w:t>
      </w:r>
      <w:r>
        <w:rPr>
          <w:rStyle w:val="CharPartText"/>
        </w:rPr>
        <w:t>Financial provisions</w:t>
      </w:r>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p>
    <w:p>
      <w:pPr>
        <w:pStyle w:val="Heading5"/>
        <w:rPr>
          <w:snapToGrid w:val="0"/>
        </w:rPr>
      </w:pPr>
      <w:bookmarkStart w:id="5442" w:name="_Toc309309566"/>
      <w:r>
        <w:rPr>
          <w:rStyle w:val="CharSectno"/>
        </w:rPr>
        <w:t>163</w:t>
      </w:r>
      <w:r>
        <w:rPr>
          <w:snapToGrid w:val="0"/>
        </w:rPr>
        <w:t>.</w:t>
      </w:r>
      <w:r>
        <w:rPr>
          <w:snapToGrid w:val="0"/>
        </w:rPr>
        <w:tab/>
        <w:t>Times prescribed for special purpose audits (Act s. 240)</w:t>
      </w:r>
      <w:bookmarkEnd w:id="5442"/>
    </w:p>
    <w:p>
      <w:pPr>
        <w:pStyle w:val="Subsection"/>
        <w:rPr>
          <w:snapToGrid w:val="0"/>
        </w:rPr>
      </w:pPr>
      <w:r>
        <w:rPr>
          <w:snapToGrid w:val="0"/>
        </w:rPr>
        <w:tab/>
      </w:r>
      <w:r>
        <w:rPr>
          <w:snapToGrid w:val="0"/>
        </w:rPr>
        <w:tab/>
        <w:t>The times for a special purpose audit to be carried out under section 240(6)(b) of the Act are within 2 months after the end of any financial year in which —</w:t>
      </w:r>
    </w:p>
    <w:p>
      <w:pPr>
        <w:pStyle w:val="Indenta"/>
        <w:rPr>
          <w:snapToGrid w:val="0"/>
        </w:rPr>
      </w:pPr>
      <w:r>
        <w:rPr>
          <w:snapToGrid w:val="0"/>
        </w:rPr>
        <w:tab/>
        <w:t>(a)</w:t>
      </w:r>
      <w:r>
        <w:rPr>
          <w:snapToGrid w:val="0"/>
        </w:rPr>
        <w:tab/>
        <w:t>any money was paid to the industry body under section 240(5) of the Act; or</w:t>
      </w:r>
    </w:p>
    <w:p>
      <w:pPr>
        <w:pStyle w:val="Indenta"/>
        <w:rPr>
          <w:snapToGrid w:val="0"/>
        </w:rPr>
      </w:pPr>
      <w:r>
        <w:rPr>
          <w:snapToGrid w:val="0"/>
        </w:rPr>
        <w:tab/>
        <w:t>(b)</w:t>
      </w:r>
      <w:r>
        <w:rPr>
          <w:snapToGrid w:val="0"/>
        </w:rPr>
        <w:tab/>
        <w:t>any moneys paid to the industry body under section 240(5) of the Act were expended by the body.</w:t>
      </w:r>
    </w:p>
    <w:p>
      <w:pPr>
        <w:pStyle w:val="Heading2"/>
      </w:pPr>
      <w:bookmarkStart w:id="5443" w:name="_Toc189988129"/>
      <w:bookmarkStart w:id="5444" w:name="_Toc192041712"/>
      <w:bookmarkStart w:id="5445" w:name="_Toc199570946"/>
      <w:bookmarkStart w:id="5446" w:name="_Toc199738944"/>
      <w:bookmarkStart w:id="5447" w:name="_Toc199815045"/>
      <w:bookmarkStart w:id="5448" w:name="_Toc215040852"/>
      <w:bookmarkStart w:id="5449" w:name="_Toc215041297"/>
      <w:bookmarkStart w:id="5450" w:name="_Toc222129505"/>
      <w:bookmarkStart w:id="5451" w:name="_Toc222223210"/>
      <w:bookmarkStart w:id="5452" w:name="_Toc225914462"/>
      <w:bookmarkStart w:id="5453" w:name="_Toc231282507"/>
      <w:bookmarkStart w:id="5454" w:name="_Toc231282951"/>
      <w:bookmarkStart w:id="5455" w:name="_Toc234899541"/>
      <w:bookmarkStart w:id="5456" w:name="_Toc236632823"/>
      <w:bookmarkStart w:id="5457" w:name="_Toc236720436"/>
      <w:bookmarkStart w:id="5458" w:name="_Toc237764635"/>
      <w:bookmarkStart w:id="5459" w:name="_Toc238356259"/>
      <w:bookmarkStart w:id="5460" w:name="_Toc238368964"/>
      <w:bookmarkStart w:id="5461" w:name="_Toc238375917"/>
      <w:bookmarkStart w:id="5462" w:name="_Toc240339241"/>
      <w:bookmarkStart w:id="5463" w:name="_Toc241993747"/>
      <w:bookmarkStart w:id="5464" w:name="_Toc243192890"/>
      <w:bookmarkStart w:id="5465" w:name="_Toc243295592"/>
      <w:bookmarkStart w:id="5466" w:name="_Toc245113165"/>
      <w:bookmarkStart w:id="5467" w:name="_Toc245198327"/>
      <w:bookmarkStart w:id="5468" w:name="_Toc245198776"/>
      <w:bookmarkStart w:id="5469" w:name="_Toc245199225"/>
      <w:bookmarkStart w:id="5470" w:name="_Toc248122256"/>
      <w:bookmarkStart w:id="5471" w:name="_Toc248122707"/>
      <w:bookmarkStart w:id="5472" w:name="_Toc253670694"/>
      <w:bookmarkStart w:id="5473" w:name="_Toc253671144"/>
      <w:bookmarkStart w:id="5474" w:name="_Toc254942918"/>
      <w:bookmarkStart w:id="5475" w:name="_Toc254943371"/>
      <w:bookmarkStart w:id="5476" w:name="_Toc255475963"/>
      <w:bookmarkStart w:id="5477" w:name="_Toc256432284"/>
      <w:bookmarkStart w:id="5478" w:name="_Toc257720621"/>
      <w:bookmarkStart w:id="5479" w:name="_Toc257722303"/>
      <w:bookmarkStart w:id="5480" w:name="_Toc258335979"/>
      <w:bookmarkStart w:id="5481" w:name="_Toc260406421"/>
      <w:bookmarkStart w:id="5482" w:name="_Toc261271607"/>
      <w:bookmarkStart w:id="5483" w:name="_Toc262808289"/>
      <w:bookmarkStart w:id="5484" w:name="_Toc267572682"/>
      <w:bookmarkStart w:id="5485" w:name="_Toc270684431"/>
      <w:bookmarkStart w:id="5486" w:name="_Toc274214608"/>
      <w:bookmarkStart w:id="5487" w:name="_Toc274215057"/>
      <w:bookmarkStart w:id="5488" w:name="_Toc278976388"/>
      <w:bookmarkStart w:id="5489" w:name="_Toc286760709"/>
      <w:bookmarkStart w:id="5490" w:name="_Toc289081054"/>
      <w:bookmarkStart w:id="5491" w:name="_Toc290284248"/>
      <w:bookmarkStart w:id="5492" w:name="_Toc290643069"/>
      <w:bookmarkStart w:id="5493" w:name="_Toc290643518"/>
      <w:bookmarkStart w:id="5494" w:name="_Toc290643971"/>
      <w:bookmarkStart w:id="5495" w:name="_Toc294701788"/>
      <w:bookmarkStart w:id="5496" w:name="_Toc295200196"/>
      <w:bookmarkStart w:id="5497" w:name="_Toc296954637"/>
      <w:bookmarkStart w:id="5498" w:name="_Toc297276272"/>
      <w:bookmarkStart w:id="5499" w:name="_Toc297276724"/>
      <w:bookmarkStart w:id="5500" w:name="_Toc297277174"/>
      <w:bookmarkStart w:id="5501" w:name="_Toc297726543"/>
      <w:bookmarkStart w:id="5502" w:name="_Toc299980329"/>
      <w:bookmarkStart w:id="5503" w:name="_Toc300234955"/>
      <w:bookmarkStart w:id="5504" w:name="_Toc301961458"/>
      <w:bookmarkStart w:id="5505" w:name="_Toc301967028"/>
      <w:bookmarkStart w:id="5506" w:name="_Toc303253237"/>
      <w:bookmarkStart w:id="5507" w:name="_Toc303257401"/>
      <w:bookmarkStart w:id="5508" w:name="_Toc307993034"/>
      <w:bookmarkStart w:id="5509" w:name="_Toc309030067"/>
      <w:bookmarkStart w:id="5510" w:name="_Toc309304290"/>
      <w:bookmarkStart w:id="5511" w:name="_Toc309304743"/>
      <w:bookmarkStart w:id="5512" w:name="_Toc309309567"/>
      <w:r>
        <w:rPr>
          <w:rStyle w:val="CharPartNo"/>
        </w:rPr>
        <w:t>Part 17</w:t>
      </w:r>
      <w:r>
        <w:t> — </w:t>
      </w:r>
      <w:r>
        <w:rPr>
          <w:rStyle w:val="CharPartText"/>
        </w:rPr>
        <w:t>Miscellaneous</w:t>
      </w:r>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p>
    <w:p>
      <w:pPr>
        <w:pStyle w:val="Heading3"/>
      </w:pPr>
      <w:bookmarkStart w:id="5513" w:name="_Toc189988130"/>
      <w:bookmarkStart w:id="5514" w:name="_Toc192041713"/>
      <w:bookmarkStart w:id="5515" w:name="_Toc199570947"/>
      <w:bookmarkStart w:id="5516" w:name="_Toc199738945"/>
      <w:bookmarkStart w:id="5517" w:name="_Toc199815046"/>
      <w:bookmarkStart w:id="5518" w:name="_Toc215040853"/>
      <w:bookmarkStart w:id="5519" w:name="_Toc215041298"/>
      <w:bookmarkStart w:id="5520" w:name="_Toc222129506"/>
      <w:bookmarkStart w:id="5521" w:name="_Toc222223211"/>
      <w:bookmarkStart w:id="5522" w:name="_Toc225914463"/>
      <w:bookmarkStart w:id="5523" w:name="_Toc231282508"/>
      <w:bookmarkStart w:id="5524" w:name="_Toc231282952"/>
      <w:bookmarkStart w:id="5525" w:name="_Toc234899542"/>
      <w:bookmarkStart w:id="5526" w:name="_Toc236632824"/>
      <w:bookmarkStart w:id="5527" w:name="_Toc236720437"/>
      <w:bookmarkStart w:id="5528" w:name="_Toc237764636"/>
      <w:bookmarkStart w:id="5529" w:name="_Toc238356260"/>
      <w:bookmarkStart w:id="5530" w:name="_Toc238368965"/>
      <w:bookmarkStart w:id="5531" w:name="_Toc238375918"/>
      <w:bookmarkStart w:id="5532" w:name="_Toc240339242"/>
      <w:bookmarkStart w:id="5533" w:name="_Toc241993748"/>
      <w:bookmarkStart w:id="5534" w:name="_Toc243192891"/>
      <w:bookmarkStart w:id="5535" w:name="_Toc243295593"/>
      <w:bookmarkStart w:id="5536" w:name="_Toc245113166"/>
      <w:bookmarkStart w:id="5537" w:name="_Toc245198328"/>
      <w:bookmarkStart w:id="5538" w:name="_Toc245198777"/>
      <w:bookmarkStart w:id="5539" w:name="_Toc245199226"/>
      <w:bookmarkStart w:id="5540" w:name="_Toc248122257"/>
      <w:bookmarkStart w:id="5541" w:name="_Toc248122708"/>
      <w:bookmarkStart w:id="5542" w:name="_Toc253670695"/>
      <w:bookmarkStart w:id="5543" w:name="_Toc253671145"/>
      <w:bookmarkStart w:id="5544" w:name="_Toc254942919"/>
      <w:bookmarkStart w:id="5545" w:name="_Toc254943372"/>
      <w:bookmarkStart w:id="5546" w:name="_Toc255475964"/>
      <w:bookmarkStart w:id="5547" w:name="_Toc256432285"/>
      <w:bookmarkStart w:id="5548" w:name="_Toc257720622"/>
      <w:bookmarkStart w:id="5549" w:name="_Toc257722304"/>
      <w:bookmarkStart w:id="5550" w:name="_Toc258335980"/>
      <w:bookmarkStart w:id="5551" w:name="_Toc260406422"/>
      <w:bookmarkStart w:id="5552" w:name="_Toc261271608"/>
      <w:bookmarkStart w:id="5553" w:name="_Toc262808290"/>
      <w:bookmarkStart w:id="5554" w:name="_Toc267572683"/>
      <w:bookmarkStart w:id="5555" w:name="_Toc270684432"/>
      <w:bookmarkStart w:id="5556" w:name="_Toc274214609"/>
      <w:bookmarkStart w:id="5557" w:name="_Toc274215058"/>
      <w:bookmarkStart w:id="5558" w:name="_Toc278976389"/>
      <w:bookmarkStart w:id="5559" w:name="_Toc286760710"/>
      <w:bookmarkStart w:id="5560" w:name="_Toc289081055"/>
      <w:bookmarkStart w:id="5561" w:name="_Toc290284249"/>
      <w:bookmarkStart w:id="5562" w:name="_Toc290643070"/>
      <w:bookmarkStart w:id="5563" w:name="_Toc290643519"/>
      <w:bookmarkStart w:id="5564" w:name="_Toc290643972"/>
      <w:bookmarkStart w:id="5565" w:name="_Toc294701789"/>
      <w:bookmarkStart w:id="5566" w:name="_Toc295200197"/>
      <w:bookmarkStart w:id="5567" w:name="_Toc296954638"/>
      <w:bookmarkStart w:id="5568" w:name="_Toc297276273"/>
      <w:bookmarkStart w:id="5569" w:name="_Toc297276725"/>
      <w:bookmarkStart w:id="5570" w:name="_Toc297277175"/>
      <w:bookmarkStart w:id="5571" w:name="_Toc297726544"/>
      <w:bookmarkStart w:id="5572" w:name="_Toc299980330"/>
      <w:bookmarkStart w:id="5573" w:name="_Toc300234956"/>
      <w:bookmarkStart w:id="5574" w:name="_Toc301961459"/>
      <w:bookmarkStart w:id="5575" w:name="_Toc301967029"/>
      <w:bookmarkStart w:id="5576" w:name="_Toc303253238"/>
      <w:bookmarkStart w:id="5577" w:name="_Toc303257402"/>
      <w:bookmarkStart w:id="5578" w:name="_Toc307993035"/>
      <w:bookmarkStart w:id="5579" w:name="_Toc309030068"/>
      <w:bookmarkStart w:id="5580" w:name="_Toc309304291"/>
      <w:bookmarkStart w:id="5581" w:name="_Toc309309568"/>
      <w:r>
        <w:rPr>
          <w:rStyle w:val="CharDivNo"/>
        </w:rPr>
        <w:t>Division 1</w:t>
      </w:r>
      <w:r>
        <w:rPr>
          <w:snapToGrid w:val="0"/>
        </w:rPr>
        <w:t> — </w:t>
      </w:r>
      <w:r>
        <w:rPr>
          <w:rStyle w:val="CharDivText"/>
        </w:rPr>
        <w:t>Guidelines</w:t>
      </w:r>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p>
    <w:p>
      <w:pPr>
        <w:pStyle w:val="Heading5"/>
        <w:rPr>
          <w:snapToGrid w:val="0"/>
        </w:rPr>
      </w:pPr>
      <w:bookmarkStart w:id="5582" w:name="_Toc309309569"/>
      <w:r>
        <w:rPr>
          <w:rStyle w:val="CharSectno"/>
        </w:rPr>
        <w:t>164</w:t>
      </w:r>
      <w:r>
        <w:rPr>
          <w:snapToGrid w:val="0"/>
        </w:rPr>
        <w:t>.</w:t>
      </w:r>
      <w:r>
        <w:rPr>
          <w:snapToGrid w:val="0"/>
        </w:rPr>
        <w:tab/>
        <w:t>Ways of publishing guidelines prescribed (Act s. 246 and 247)</w:t>
      </w:r>
      <w:bookmarkEnd w:id="5582"/>
    </w:p>
    <w:p>
      <w:pPr>
        <w:pStyle w:val="Subsection"/>
        <w:rPr>
          <w:snapToGrid w:val="0"/>
        </w:rPr>
      </w:pPr>
      <w:r>
        <w:rPr>
          <w:snapToGrid w:val="0"/>
        </w:rPr>
        <w:tab/>
        <w:t>(1)</w:t>
      </w:r>
      <w:r>
        <w:rPr>
          <w:snapToGrid w:val="0"/>
        </w:rPr>
        <w:tab/>
        <w:t xml:space="preserve">The CEO is to publish guidelines under section 246 or 247 of the Act by publishing notice in the </w:t>
      </w:r>
      <w:r>
        <w:rPr>
          <w:i/>
          <w:snapToGrid w:val="0"/>
        </w:rPr>
        <w:t>Gazette</w:t>
      </w:r>
      <w:r>
        <w:rPr>
          <w:snapToGrid w:val="0"/>
        </w:rPr>
        <w:t xml:space="preserve"> or in a newspaper circulating daily in the State that the guidelines have been issued, amended or revoked and published by the Department and that copies are available to the public free of charge at the offices of the Department.</w:t>
      </w:r>
    </w:p>
    <w:p>
      <w:pPr>
        <w:pStyle w:val="Subsection"/>
        <w:rPr>
          <w:snapToGrid w:val="0"/>
        </w:rPr>
      </w:pPr>
      <w:r>
        <w:rPr>
          <w:snapToGrid w:val="0"/>
        </w:rPr>
        <w:tab/>
        <w:t>(2)</w:t>
      </w:r>
      <w:r>
        <w:rPr>
          <w:snapToGrid w:val="0"/>
        </w:rPr>
        <w:tab/>
        <w:t>The CEO is to make copies of published guidelines available to the public free of charge at the offices of the Department.</w:t>
      </w:r>
    </w:p>
    <w:p>
      <w:pPr>
        <w:pStyle w:val="Footnotesection"/>
      </w:pPr>
      <w:r>
        <w:tab/>
        <w:t>[Regulation 164 amended in Gazette 6 Jul 2007 p. 3389.]</w:t>
      </w:r>
    </w:p>
    <w:p>
      <w:pPr>
        <w:pStyle w:val="Heading5"/>
        <w:rPr>
          <w:snapToGrid w:val="0"/>
        </w:rPr>
      </w:pPr>
      <w:bookmarkStart w:id="5583" w:name="_Toc309309570"/>
      <w:r>
        <w:rPr>
          <w:rStyle w:val="CharSectno"/>
        </w:rPr>
        <w:t>165</w:t>
      </w:r>
      <w:r>
        <w:rPr>
          <w:snapToGrid w:val="0"/>
        </w:rPr>
        <w:t>.</w:t>
      </w:r>
      <w:r>
        <w:rPr>
          <w:snapToGrid w:val="0"/>
        </w:rPr>
        <w:tab/>
        <w:t>Form of notice to attend inquiry etc. (Act s. 249(3))</w:t>
      </w:r>
      <w:bookmarkEnd w:id="5583"/>
    </w:p>
    <w:p>
      <w:pPr>
        <w:pStyle w:val="Subsection"/>
        <w:rPr>
          <w:snapToGrid w:val="0"/>
        </w:rPr>
      </w:pPr>
      <w:r>
        <w:rPr>
          <w:snapToGrid w:val="0"/>
        </w:rPr>
        <w:tab/>
      </w:r>
      <w:r>
        <w:rPr>
          <w:snapToGrid w:val="0"/>
        </w:rPr>
        <w:tab/>
        <w:t>A notice under section 249(3)(a) of the Act is to be in the form of Form 5.</w:t>
      </w:r>
    </w:p>
    <w:p>
      <w:pPr>
        <w:pStyle w:val="Heading3"/>
      </w:pPr>
      <w:bookmarkStart w:id="5584" w:name="_Toc189988133"/>
      <w:bookmarkStart w:id="5585" w:name="_Toc192041716"/>
      <w:bookmarkStart w:id="5586" w:name="_Toc199570950"/>
      <w:bookmarkStart w:id="5587" w:name="_Toc199738948"/>
      <w:bookmarkStart w:id="5588" w:name="_Toc199815049"/>
      <w:bookmarkStart w:id="5589" w:name="_Toc215040856"/>
      <w:bookmarkStart w:id="5590" w:name="_Toc215041301"/>
      <w:bookmarkStart w:id="5591" w:name="_Toc222129509"/>
      <w:bookmarkStart w:id="5592" w:name="_Toc222223214"/>
      <w:bookmarkStart w:id="5593" w:name="_Toc225914466"/>
      <w:bookmarkStart w:id="5594" w:name="_Toc231282511"/>
      <w:bookmarkStart w:id="5595" w:name="_Toc231282955"/>
      <w:bookmarkStart w:id="5596" w:name="_Toc234899545"/>
      <w:bookmarkStart w:id="5597" w:name="_Toc236632827"/>
      <w:bookmarkStart w:id="5598" w:name="_Toc236720440"/>
      <w:bookmarkStart w:id="5599" w:name="_Toc237764639"/>
      <w:bookmarkStart w:id="5600" w:name="_Toc238356263"/>
      <w:bookmarkStart w:id="5601" w:name="_Toc238368968"/>
      <w:bookmarkStart w:id="5602" w:name="_Toc238375921"/>
      <w:bookmarkStart w:id="5603" w:name="_Toc240339245"/>
      <w:bookmarkStart w:id="5604" w:name="_Toc241993751"/>
      <w:bookmarkStart w:id="5605" w:name="_Toc243192894"/>
      <w:bookmarkStart w:id="5606" w:name="_Toc243295596"/>
      <w:bookmarkStart w:id="5607" w:name="_Toc245113169"/>
      <w:bookmarkStart w:id="5608" w:name="_Toc245198331"/>
      <w:bookmarkStart w:id="5609" w:name="_Toc245198780"/>
      <w:bookmarkStart w:id="5610" w:name="_Toc245199229"/>
      <w:bookmarkStart w:id="5611" w:name="_Toc248122260"/>
      <w:bookmarkStart w:id="5612" w:name="_Toc248122711"/>
      <w:bookmarkStart w:id="5613" w:name="_Toc253670698"/>
      <w:bookmarkStart w:id="5614" w:name="_Toc253671148"/>
      <w:bookmarkStart w:id="5615" w:name="_Toc254942922"/>
      <w:bookmarkStart w:id="5616" w:name="_Toc254943375"/>
      <w:bookmarkStart w:id="5617" w:name="_Toc255475967"/>
      <w:bookmarkStart w:id="5618" w:name="_Toc256432288"/>
      <w:bookmarkStart w:id="5619" w:name="_Toc257720625"/>
      <w:bookmarkStart w:id="5620" w:name="_Toc257722307"/>
      <w:bookmarkStart w:id="5621" w:name="_Toc258335983"/>
      <w:bookmarkStart w:id="5622" w:name="_Toc260406425"/>
      <w:bookmarkStart w:id="5623" w:name="_Toc261271611"/>
      <w:bookmarkStart w:id="5624" w:name="_Toc262808293"/>
      <w:bookmarkStart w:id="5625" w:name="_Toc267572686"/>
      <w:bookmarkStart w:id="5626" w:name="_Toc270684435"/>
      <w:bookmarkStart w:id="5627" w:name="_Toc274214612"/>
      <w:bookmarkStart w:id="5628" w:name="_Toc274215061"/>
      <w:bookmarkStart w:id="5629" w:name="_Toc278976392"/>
      <w:bookmarkStart w:id="5630" w:name="_Toc286760713"/>
      <w:bookmarkStart w:id="5631" w:name="_Toc289081058"/>
      <w:bookmarkStart w:id="5632" w:name="_Toc290284252"/>
      <w:bookmarkStart w:id="5633" w:name="_Toc290643073"/>
      <w:bookmarkStart w:id="5634" w:name="_Toc290643522"/>
      <w:bookmarkStart w:id="5635" w:name="_Toc290643975"/>
      <w:bookmarkStart w:id="5636" w:name="_Toc294701792"/>
      <w:bookmarkStart w:id="5637" w:name="_Toc295200200"/>
      <w:bookmarkStart w:id="5638" w:name="_Toc296954641"/>
      <w:bookmarkStart w:id="5639" w:name="_Toc297276276"/>
      <w:bookmarkStart w:id="5640" w:name="_Toc297276728"/>
      <w:bookmarkStart w:id="5641" w:name="_Toc297277178"/>
      <w:bookmarkStart w:id="5642" w:name="_Toc297726547"/>
      <w:bookmarkStart w:id="5643" w:name="_Toc299980333"/>
      <w:bookmarkStart w:id="5644" w:name="_Toc300234959"/>
      <w:bookmarkStart w:id="5645" w:name="_Toc301961462"/>
      <w:bookmarkStart w:id="5646" w:name="_Toc301967032"/>
      <w:bookmarkStart w:id="5647" w:name="_Toc303253241"/>
      <w:bookmarkStart w:id="5648" w:name="_Toc303257405"/>
      <w:bookmarkStart w:id="5649" w:name="_Toc307993038"/>
      <w:bookmarkStart w:id="5650" w:name="_Toc309030071"/>
      <w:bookmarkStart w:id="5651" w:name="_Toc309304294"/>
      <w:bookmarkStart w:id="5652" w:name="_Toc309309571"/>
      <w:r>
        <w:rPr>
          <w:rStyle w:val="CharDivNo"/>
        </w:rPr>
        <w:t>Division 2</w:t>
      </w:r>
      <w:r>
        <w:rPr>
          <w:snapToGrid w:val="0"/>
        </w:rPr>
        <w:t> — </w:t>
      </w:r>
      <w:r>
        <w:rPr>
          <w:rStyle w:val="CharDivText"/>
        </w:rPr>
        <w:t>Exclusive licences</w:t>
      </w:r>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p>
    <w:p>
      <w:pPr>
        <w:pStyle w:val="Heading5"/>
        <w:rPr>
          <w:snapToGrid w:val="0"/>
        </w:rPr>
      </w:pPr>
      <w:bookmarkStart w:id="5653" w:name="_Toc309309572"/>
      <w:r>
        <w:rPr>
          <w:rStyle w:val="CharSectno"/>
        </w:rPr>
        <w:t>166</w:t>
      </w:r>
      <w:r>
        <w:rPr>
          <w:snapToGrid w:val="0"/>
        </w:rPr>
        <w:t>.</w:t>
      </w:r>
      <w:r>
        <w:rPr>
          <w:snapToGrid w:val="0"/>
        </w:rPr>
        <w:tab/>
        <w:t>Applications for exclusive licences</w:t>
      </w:r>
      <w:bookmarkEnd w:id="5653"/>
    </w:p>
    <w:p>
      <w:pPr>
        <w:pStyle w:val="Subsection"/>
        <w:rPr>
          <w:snapToGrid w:val="0"/>
        </w:rPr>
      </w:pPr>
      <w:r>
        <w:rPr>
          <w:snapToGrid w:val="0"/>
        </w:rPr>
        <w:tab/>
        <w:t>(1)</w:t>
      </w:r>
      <w:r>
        <w:rPr>
          <w:snapToGrid w:val="0"/>
        </w:rPr>
        <w:tab/>
        <w:t>An application for the grant or renewal of an exclusive licence must be —</w:t>
      </w:r>
    </w:p>
    <w:p>
      <w:pPr>
        <w:pStyle w:val="Indenta"/>
        <w:rPr>
          <w:snapToGrid w:val="0"/>
        </w:rPr>
      </w:pPr>
      <w:r>
        <w:rPr>
          <w:snapToGrid w:val="0"/>
        </w:rPr>
        <w:tab/>
        <w:t>(a)</w:t>
      </w:r>
      <w:r>
        <w:rPr>
          <w:snapToGrid w:val="0"/>
        </w:rPr>
        <w:tab/>
        <w:t>made to the Minister in a form approved for that purpose by the CEO; and</w:t>
      </w:r>
    </w:p>
    <w:p>
      <w:pPr>
        <w:pStyle w:val="Indenta"/>
        <w:rPr>
          <w:snapToGrid w:val="0"/>
        </w:rPr>
      </w:pPr>
      <w:r>
        <w:rPr>
          <w:snapToGrid w:val="0"/>
        </w:rPr>
        <w:tab/>
        <w:t>(b)</w:t>
      </w:r>
      <w:r>
        <w:rPr>
          <w:snapToGrid w:val="0"/>
        </w:rPr>
        <w:tab/>
        <w:t>accompanied by the fee set out in item 13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[Regulation 166 amended in Gazette 6 Jul 2007 p. 3389; 9 Jun 2009 p. 1911.]</w:t>
      </w:r>
    </w:p>
    <w:p>
      <w:pPr>
        <w:pStyle w:val="Heading5"/>
        <w:rPr>
          <w:snapToGrid w:val="0"/>
        </w:rPr>
      </w:pPr>
      <w:bookmarkStart w:id="5654" w:name="_Toc309309573"/>
      <w:r>
        <w:rPr>
          <w:rStyle w:val="CharSectno"/>
        </w:rPr>
        <w:t>167</w:t>
      </w:r>
      <w:r>
        <w:rPr>
          <w:snapToGrid w:val="0"/>
        </w:rPr>
        <w:t>.</w:t>
      </w:r>
      <w:r>
        <w:rPr>
          <w:snapToGrid w:val="0"/>
        </w:rPr>
        <w:tab/>
        <w:t>Effect of exclusive licences</w:t>
      </w:r>
      <w:bookmarkEnd w:id="5654"/>
    </w:p>
    <w:p>
      <w:pPr>
        <w:pStyle w:val="Subsection"/>
        <w:rPr>
          <w:snapToGrid w:val="0"/>
        </w:rPr>
      </w:pPr>
      <w:r>
        <w:rPr>
          <w:snapToGrid w:val="0"/>
        </w:rPr>
        <w:tab/>
        <w:t>(1)</w:t>
      </w:r>
      <w:r>
        <w:rPr>
          <w:snapToGrid w:val="0"/>
        </w:rPr>
        <w:tab/>
        <w:t>An exclusive licence is granted and has effect subject to the Act and does not authorise the doing of anything in contravention of the Act.</w:t>
      </w:r>
    </w:p>
    <w:p>
      <w:pPr>
        <w:pStyle w:val="Subsection"/>
        <w:rPr>
          <w:snapToGrid w:val="0"/>
        </w:rPr>
      </w:pPr>
      <w:r>
        <w:rPr>
          <w:snapToGrid w:val="0"/>
        </w:rPr>
        <w:tab/>
        <w:t>(2)</w:t>
      </w:r>
      <w:r>
        <w:rPr>
          <w:snapToGrid w:val="0"/>
        </w:rPr>
        <w:tab/>
        <w:t>The authority conferred by an exclusive licence is of no effect at any time when any of its conditions are being contravened.</w:t>
      </w:r>
    </w:p>
    <w:p>
      <w:pPr>
        <w:pStyle w:val="Heading5"/>
        <w:rPr>
          <w:snapToGrid w:val="0"/>
        </w:rPr>
      </w:pPr>
      <w:bookmarkStart w:id="5655" w:name="_Toc309309574"/>
      <w:r>
        <w:rPr>
          <w:rStyle w:val="CharSectno"/>
        </w:rPr>
        <w:t>168</w:t>
      </w:r>
      <w:r>
        <w:rPr>
          <w:snapToGrid w:val="0"/>
        </w:rPr>
        <w:t>.</w:t>
      </w:r>
      <w:r>
        <w:rPr>
          <w:snapToGrid w:val="0"/>
        </w:rPr>
        <w:tab/>
        <w:t>Form of exclusive licences</w:t>
      </w:r>
      <w:bookmarkEnd w:id="5655"/>
    </w:p>
    <w:p>
      <w:pPr>
        <w:pStyle w:val="Subsection"/>
        <w:rPr>
          <w:snapToGrid w:val="0"/>
        </w:rPr>
      </w:pPr>
      <w:r>
        <w:rPr>
          <w:snapToGrid w:val="0"/>
        </w:rPr>
        <w:tab/>
      </w:r>
      <w:r>
        <w:rPr>
          <w:snapToGrid w:val="0"/>
        </w:rPr>
        <w:tab/>
        <w:t>An exclusive licence is to be in a form approved by the CEO.</w:t>
      </w:r>
    </w:p>
    <w:p>
      <w:pPr>
        <w:pStyle w:val="Footnotesection"/>
      </w:pPr>
      <w:r>
        <w:tab/>
        <w:t>[Regulation 168 amended in Gazette 6 Jul 2007 p. 3389</w:t>
      </w:r>
      <w:r>
        <w:noBreakHyphen/>
        <w:t>90.]</w:t>
      </w:r>
    </w:p>
    <w:p>
      <w:pPr>
        <w:pStyle w:val="Heading5"/>
        <w:rPr>
          <w:snapToGrid w:val="0"/>
        </w:rPr>
      </w:pPr>
      <w:bookmarkStart w:id="5656" w:name="_Toc309309575"/>
      <w:r>
        <w:rPr>
          <w:rStyle w:val="CharSectno"/>
        </w:rPr>
        <w:t>169</w:t>
      </w:r>
      <w:r>
        <w:rPr>
          <w:snapToGrid w:val="0"/>
        </w:rPr>
        <w:t>.</w:t>
      </w:r>
      <w:r>
        <w:rPr>
          <w:snapToGrid w:val="0"/>
        </w:rPr>
        <w:tab/>
        <w:t>Renewal after expiry of exclusive licences</w:t>
      </w:r>
      <w:bookmarkEnd w:id="5656"/>
    </w:p>
    <w:p>
      <w:pPr>
        <w:pStyle w:val="Subsection"/>
        <w:rPr>
          <w:snapToGrid w:val="0"/>
        </w:rPr>
      </w:pPr>
      <w:r>
        <w:rPr>
          <w:snapToGrid w:val="0"/>
        </w:rPr>
        <w:tab/>
      </w:r>
      <w:r>
        <w:rPr>
          <w:snapToGrid w:val="0"/>
        </w:rPr>
        <w:tab/>
        <w:t>Section 139 of the Act applies in respect of the renewal of an exclusive licence as if that licence were an authorisation referred to in that section, except that the application is to be made to the Minister.</w:t>
      </w:r>
    </w:p>
    <w:p>
      <w:pPr>
        <w:pStyle w:val="Heading5"/>
        <w:rPr>
          <w:snapToGrid w:val="0"/>
        </w:rPr>
      </w:pPr>
      <w:bookmarkStart w:id="5657" w:name="_Toc309309576"/>
      <w:r>
        <w:rPr>
          <w:rStyle w:val="CharSectno"/>
        </w:rPr>
        <w:t>170</w:t>
      </w:r>
      <w:r>
        <w:rPr>
          <w:snapToGrid w:val="0"/>
        </w:rPr>
        <w:t>.</w:t>
      </w:r>
      <w:r>
        <w:rPr>
          <w:snapToGrid w:val="0"/>
        </w:rPr>
        <w:tab/>
        <w:t>Some draft exclusive licences to go before Parliament</w:t>
      </w:r>
      <w:bookmarkEnd w:id="5657"/>
    </w:p>
    <w:p>
      <w:pPr>
        <w:pStyle w:val="Subsection"/>
        <w:rPr>
          <w:snapToGrid w:val="0"/>
        </w:rPr>
      </w:pPr>
      <w:r>
        <w:rPr>
          <w:snapToGrid w:val="0"/>
        </w:rPr>
        <w:tab/>
      </w:r>
      <w:r>
        <w:rPr>
          <w:snapToGrid w:val="0"/>
        </w:rPr>
        <w:tab/>
        <w:t>An exclusive licence is not to be granted in respect of an area that has a foreshore with a length greater than 120 km until 14 sitting days after a draft of the licence has been laid before each House of Parliament.</w:t>
      </w:r>
    </w:p>
    <w:p>
      <w:pPr>
        <w:pStyle w:val="Heading5"/>
        <w:rPr>
          <w:snapToGrid w:val="0"/>
        </w:rPr>
      </w:pPr>
      <w:bookmarkStart w:id="5658" w:name="_Toc309309577"/>
      <w:r>
        <w:rPr>
          <w:rStyle w:val="CharSectno"/>
        </w:rPr>
        <w:t>171</w:t>
      </w:r>
      <w:r>
        <w:rPr>
          <w:snapToGrid w:val="0"/>
        </w:rPr>
        <w:t>.</w:t>
      </w:r>
      <w:r>
        <w:rPr>
          <w:snapToGrid w:val="0"/>
        </w:rPr>
        <w:tab/>
        <w:t>Conditions of exclusive licences</w:t>
      </w:r>
      <w:bookmarkEnd w:id="5658"/>
    </w:p>
    <w:p>
      <w:pPr>
        <w:pStyle w:val="Subsection"/>
        <w:rPr>
          <w:snapToGrid w:val="0"/>
        </w:rPr>
      </w:pPr>
      <w:r>
        <w:rPr>
          <w:snapToGrid w:val="0"/>
        </w:rPr>
        <w:tab/>
      </w:r>
      <w:r>
        <w:rPr>
          <w:snapToGrid w:val="0"/>
        </w:rPr>
        <w:tab/>
        <w:t>Subject to any terms or conditions to which an exclusive licence is subject under section 251(3) of the Act, every exclusive licence is subject to the following conditions —</w:t>
      </w:r>
    </w:p>
    <w:p>
      <w:pPr>
        <w:pStyle w:val="Indenta"/>
        <w:rPr>
          <w:snapToGrid w:val="0"/>
        </w:rPr>
      </w:pPr>
      <w:r>
        <w:rPr>
          <w:snapToGrid w:val="0"/>
        </w:rPr>
        <w:tab/>
        <w:t>(a)</w:t>
      </w:r>
      <w:r>
        <w:rPr>
          <w:snapToGrid w:val="0"/>
        </w:rPr>
        <w:tab/>
        <w:t xml:space="preserve">that the fees or royalties (if any) that the licence holder is required to pay in relation to the licence are paid at the head office of the Department in </w:t>
      </w:r>
      <w:smartTag w:uri="urn:schemas-microsoft-com:office:smarttags" w:element="place">
        <w:smartTag w:uri="urn:schemas-microsoft-com:office:smarttags" w:element="City">
          <w:r>
            <w:rPr>
              <w:snapToGrid w:val="0"/>
            </w:rPr>
            <w:t>Perth</w:t>
          </w:r>
        </w:smartTag>
      </w:smartTag>
      <w:r>
        <w:rPr>
          <w:snapToGrid w:val="0"/>
        </w:rPr>
        <w:t xml:space="preserve"> in the manner provided in the licence;</w:t>
      </w:r>
    </w:p>
    <w:p>
      <w:pPr>
        <w:pStyle w:val="Indenta"/>
        <w:rPr>
          <w:snapToGrid w:val="0"/>
        </w:rPr>
      </w:pPr>
      <w:r>
        <w:rPr>
          <w:snapToGrid w:val="0"/>
        </w:rPr>
        <w:tab/>
        <w:t>(b)</w:t>
      </w:r>
      <w:r>
        <w:rPr>
          <w:snapToGrid w:val="0"/>
        </w:rPr>
        <w:tab/>
        <w:t>that if —</w:t>
      </w:r>
    </w:p>
    <w:p>
      <w:pPr>
        <w:pStyle w:val="Indenti"/>
        <w:rPr>
          <w:snapToGrid w:val="0"/>
        </w:rPr>
      </w:pPr>
      <w:r>
        <w:rPr>
          <w:snapToGrid w:val="0"/>
        </w:rPr>
        <w:tab/>
        <w:t>(i)</w:t>
      </w:r>
      <w:r>
        <w:rPr>
          <w:snapToGrid w:val="0"/>
        </w:rPr>
        <w:tab/>
        <w:t>any fees or royalties that the licence holder is required to pay in relation to the licence remain unpaid for 21 days after they become due; or</w:t>
      </w:r>
    </w:p>
    <w:p>
      <w:pPr>
        <w:pStyle w:val="Indenti"/>
        <w:rPr>
          <w:snapToGrid w:val="0"/>
        </w:rPr>
      </w:pPr>
      <w:r>
        <w:rPr>
          <w:snapToGrid w:val="0"/>
        </w:rPr>
        <w:tab/>
        <w:t>(ii)</w:t>
      </w:r>
      <w:r>
        <w:rPr>
          <w:snapToGrid w:val="0"/>
        </w:rPr>
        <w:tab/>
        <w:t>the licence holder fails to comply with any of these conditions or with any other terms or conditions relating to the licence to which the licence holder is subject; or</w:t>
      </w:r>
    </w:p>
    <w:p>
      <w:pPr>
        <w:pStyle w:val="Indenti"/>
        <w:rPr>
          <w:snapToGrid w:val="0"/>
        </w:rPr>
      </w:pPr>
      <w:r>
        <w:rPr>
          <w:snapToGrid w:val="0"/>
        </w:rPr>
        <w:tab/>
        <w:t>(iii)</w:t>
      </w:r>
      <w:r>
        <w:rPr>
          <w:snapToGrid w:val="0"/>
        </w:rPr>
        <w:tab/>
        <w:t>the Minister considers that it is in the public interest to do so,</w:t>
      </w:r>
    </w:p>
    <w:p>
      <w:pPr>
        <w:pStyle w:val="Indenta"/>
        <w:rPr>
          <w:snapToGrid w:val="0"/>
        </w:rPr>
      </w:pPr>
      <w:r>
        <w:rPr>
          <w:snapToGrid w:val="0"/>
        </w:rPr>
        <w:tab/>
      </w:r>
      <w:r>
        <w:rPr>
          <w:snapToGrid w:val="0"/>
        </w:rPr>
        <w:tab/>
        <w:t>the Minister may revoke the licence and, on the licence being revoked, all the interest of the licence holder, or any person claiming under the licence holder, in the licence terminates.</w:t>
      </w:r>
    </w:p>
    <w:p>
      <w:pPr>
        <w:pStyle w:val="Heading5"/>
        <w:rPr>
          <w:snapToGrid w:val="0"/>
        </w:rPr>
      </w:pPr>
      <w:bookmarkStart w:id="5659" w:name="_Toc309309578"/>
      <w:r>
        <w:rPr>
          <w:rStyle w:val="CharSectno"/>
        </w:rPr>
        <w:t>172</w:t>
      </w:r>
      <w:r>
        <w:rPr>
          <w:snapToGrid w:val="0"/>
        </w:rPr>
        <w:t>.</w:t>
      </w:r>
      <w:r>
        <w:rPr>
          <w:snapToGrid w:val="0"/>
        </w:rPr>
        <w:tab/>
        <w:t>Who can fish in areas the subject of exclusive licences</w:t>
      </w:r>
      <w:bookmarkEnd w:id="5659"/>
    </w:p>
    <w:p>
      <w:pPr>
        <w:pStyle w:val="Subsection"/>
        <w:rPr>
          <w:snapToGrid w:val="0"/>
        </w:rPr>
      </w:pPr>
      <w:r>
        <w:rPr>
          <w:snapToGrid w:val="0"/>
        </w:rPr>
        <w:tab/>
        <w:t>(1)</w:t>
      </w:r>
      <w:r>
        <w:rPr>
          <w:snapToGrid w:val="0"/>
        </w:rPr>
        <w:tab/>
        <w:t>Subject to subregulation (2), a person must not engage in fishing in an area that is the subject of an exclusive licence unless the person is authorised by the licence to do so.</w:t>
      </w:r>
    </w:p>
    <w:p>
      <w:pPr>
        <w:pStyle w:val="Penstart"/>
        <w:rPr>
          <w:snapToGrid w:val="0"/>
        </w:rPr>
      </w:pPr>
      <w:r>
        <w:rPr>
          <w:snapToGrid w:val="0"/>
        </w:rPr>
        <w:tab/>
        <w:t>Penalty: $3 000.</w:t>
      </w:r>
    </w:p>
    <w:p>
      <w:pPr>
        <w:pStyle w:val="Subsection"/>
        <w:rPr>
          <w:snapToGrid w:val="0"/>
        </w:rPr>
      </w:pPr>
      <w:r>
        <w:rPr>
          <w:snapToGrid w:val="0"/>
        </w:rPr>
        <w:tab/>
        <w:t>(2)</w:t>
      </w:r>
      <w:r>
        <w:rPr>
          <w:snapToGrid w:val="0"/>
        </w:rPr>
        <w:tab/>
        <w:t>Subregulation (1) does not apply to a person who takes fish for the purpose of personal consumption.</w:t>
      </w:r>
    </w:p>
    <w:p>
      <w:pPr>
        <w:pStyle w:val="Heading3"/>
      </w:pPr>
      <w:bookmarkStart w:id="5660" w:name="_Toc189988141"/>
      <w:bookmarkStart w:id="5661" w:name="_Toc192041724"/>
      <w:bookmarkStart w:id="5662" w:name="_Toc199570958"/>
      <w:bookmarkStart w:id="5663" w:name="_Toc199738956"/>
      <w:bookmarkStart w:id="5664" w:name="_Toc199815057"/>
      <w:bookmarkStart w:id="5665" w:name="_Toc215040864"/>
      <w:bookmarkStart w:id="5666" w:name="_Toc215041309"/>
      <w:bookmarkStart w:id="5667" w:name="_Toc222129517"/>
      <w:bookmarkStart w:id="5668" w:name="_Toc222223222"/>
      <w:bookmarkStart w:id="5669" w:name="_Toc225914474"/>
      <w:bookmarkStart w:id="5670" w:name="_Toc231282519"/>
      <w:bookmarkStart w:id="5671" w:name="_Toc231282963"/>
      <w:bookmarkStart w:id="5672" w:name="_Toc234899553"/>
      <w:bookmarkStart w:id="5673" w:name="_Toc236632835"/>
      <w:bookmarkStart w:id="5674" w:name="_Toc236720448"/>
      <w:bookmarkStart w:id="5675" w:name="_Toc237764647"/>
      <w:bookmarkStart w:id="5676" w:name="_Toc238356271"/>
      <w:bookmarkStart w:id="5677" w:name="_Toc238368976"/>
      <w:bookmarkStart w:id="5678" w:name="_Toc238375929"/>
      <w:bookmarkStart w:id="5679" w:name="_Toc240339253"/>
      <w:bookmarkStart w:id="5680" w:name="_Toc241993759"/>
      <w:bookmarkStart w:id="5681" w:name="_Toc243192902"/>
      <w:bookmarkStart w:id="5682" w:name="_Toc243295604"/>
      <w:bookmarkStart w:id="5683" w:name="_Toc245113177"/>
      <w:bookmarkStart w:id="5684" w:name="_Toc245198339"/>
      <w:bookmarkStart w:id="5685" w:name="_Toc245198788"/>
      <w:bookmarkStart w:id="5686" w:name="_Toc245199237"/>
      <w:bookmarkStart w:id="5687" w:name="_Toc248122268"/>
      <w:bookmarkStart w:id="5688" w:name="_Toc248122719"/>
      <w:bookmarkStart w:id="5689" w:name="_Toc253670706"/>
      <w:bookmarkStart w:id="5690" w:name="_Toc253671156"/>
      <w:bookmarkStart w:id="5691" w:name="_Toc254942930"/>
      <w:bookmarkStart w:id="5692" w:name="_Toc254943383"/>
      <w:bookmarkStart w:id="5693" w:name="_Toc255475975"/>
      <w:bookmarkStart w:id="5694" w:name="_Toc256432296"/>
      <w:bookmarkStart w:id="5695" w:name="_Toc257720633"/>
      <w:bookmarkStart w:id="5696" w:name="_Toc257722315"/>
      <w:bookmarkStart w:id="5697" w:name="_Toc258335991"/>
      <w:bookmarkStart w:id="5698" w:name="_Toc260406433"/>
      <w:bookmarkStart w:id="5699" w:name="_Toc261271619"/>
      <w:bookmarkStart w:id="5700" w:name="_Toc262808301"/>
      <w:bookmarkStart w:id="5701" w:name="_Toc267572694"/>
      <w:bookmarkStart w:id="5702" w:name="_Toc270684443"/>
      <w:bookmarkStart w:id="5703" w:name="_Toc274214620"/>
      <w:bookmarkStart w:id="5704" w:name="_Toc274215069"/>
      <w:bookmarkStart w:id="5705" w:name="_Toc278976400"/>
      <w:bookmarkStart w:id="5706" w:name="_Toc286760721"/>
      <w:bookmarkStart w:id="5707" w:name="_Toc289081066"/>
      <w:bookmarkStart w:id="5708" w:name="_Toc290284260"/>
      <w:bookmarkStart w:id="5709" w:name="_Toc290643081"/>
      <w:bookmarkStart w:id="5710" w:name="_Toc290643530"/>
      <w:bookmarkStart w:id="5711" w:name="_Toc290643983"/>
      <w:bookmarkStart w:id="5712" w:name="_Toc294701800"/>
      <w:bookmarkStart w:id="5713" w:name="_Toc295200208"/>
      <w:bookmarkStart w:id="5714" w:name="_Toc296954649"/>
      <w:bookmarkStart w:id="5715" w:name="_Toc297276284"/>
      <w:bookmarkStart w:id="5716" w:name="_Toc297276736"/>
      <w:bookmarkStart w:id="5717" w:name="_Toc297277186"/>
      <w:bookmarkStart w:id="5718" w:name="_Toc297726555"/>
      <w:bookmarkStart w:id="5719" w:name="_Toc299980341"/>
      <w:bookmarkStart w:id="5720" w:name="_Toc300234967"/>
      <w:bookmarkStart w:id="5721" w:name="_Toc301961470"/>
      <w:bookmarkStart w:id="5722" w:name="_Toc301967040"/>
      <w:bookmarkStart w:id="5723" w:name="_Toc303253249"/>
      <w:bookmarkStart w:id="5724" w:name="_Toc303257413"/>
      <w:bookmarkStart w:id="5725" w:name="_Toc307993046"/>
      <w:bookmarkStart w:id="5726" w:name="_Toc309030079"/>
      <w:bookmarkStart w:id="5727" w:name="_Toc309304302"/>
      <w:bookmarkStart w:id="5728" w:name="_Toc309309579"/>
      <w:r>
        <w:rPr>
          <w:rStyle w:val="CharDivNo"/>
        </w:rPr>
        <w:t>Division 3</w:t>
      </w:r>
      <w:r>
        <w:rPr>
          <w:snapToGrid w:val="0"/>
        </w:rPr>
        <w:t> — </w:t>
      </w:r>
      <w:r>
        <w:rPr>
          <w:rStyle w:val="CharDivText"/>
        </w:rPr>
        <w:t>Prohibition of activities that pollute waters</w:t>
      </w:r>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p>
    <w:p>
      <w:pPr>
        <w:pStyle w:val="Heading5"/>
        <w:rPr>
          <w:snapToGrid w:val="0"/>
        </w:rPr>
      </w:pPr>
      <w:bookmarkStart w:id="5729" w:name="_Toc309309580"/>
      <w:r>
        <w:rPr>
          <w:rStyle w:val="CharSectno"/>
        </w:rPr>
        <w:t>173</w:t>
      </w:r>
      <w:r>
        <w:rPr>
          <w:snapToGrid w:val="0"/>
        </w:rPr>
        <w:t>.</w:t>
      </w:r>
      <w:r>
        <w:rPr>
          <w:snapToGrid w:val="0"/>
        </w:rPr>
        <w:tab/>
        <w:t>Form of notice prohibiting activities (Act s. 255(1))</w:t>
      </w:r>
      <w:bookmarkEnd w:id="5729"/>
    </w:p>
    <w:p>
      <w:pPr>
        <w:pStyle w:val="Subsection"/>
        <w:rPr>
          <w:snapToGrid w:val="0"/>
        </w:rPr>
      </w:pPr>
      <w:r>
        <w:rPr>
          <w:snapToGrid w:val="0"/>
        </w:rPr>
        <w:tab/>
      </w:r>
      <w:r>
        <w:rPr>
          <w:snapToGrid w:val="0"/>
        </w:rPr>
        <w:tab/>
        <w:t>A notice to be given by the Minister under section 255(1) of the Act is to be in the form of Form 6.</w:t>
      </w:r>
    </w:p>
    <w:p>
      <w:pPr>
        <w:pStyle w:val="Heading5"/>
        <w:rPr>
          <w:snapToGrid w:val="0"/>
        </w:rPr>
      </w:pPr>
      <w:bookmarkStart w:id="5730" w:name="_Toc309309581"/>
      <w:r>
        <w:rPr>
          <w:rStyle w:val="CharSectno"/>
        </w:rPr>
        <w:t>174</w:t>
      </w:r>
      <w:r>
        <w:rPr>
          <w:snapToGrid w:val="0"/>
        </w:rPr>
        <w:t>.</w:t>
      </w:r>
      <w:r>
        <w:rPr>
          <w:snapToGrid w:val="0"/>
        </w:rPr>
        <w:tab/>
        <w:t>Form of notice of variation or revocation (Act s. 255(2)(c))</w:t>
      </w:r>
      <w:bookmarkEnd w:id="5730"/>
    </w:p>
    <w:p>
      <w:pPr>
        <w:pStyle w:val="Subsection"/>
        <w:rPr>
          <w:snapToGrid w:val="0"/>
        </w:rPr>
      </w:pPr>
      <w:r>
        <w:rPr>
          <w:snapToGrid w:val="0"/>
        </w:rPr>
        <w:tab/>
      </w:r>
      <w:r>
        <w:rPr>
          <w:snapToGrid w:val="0"/>
        </w:rPr>
        <w:tab/>
        <w:t>A notice to be given by the Minister under section 255(2)(c) of the Act is to be in the form of Form 7.</w:t>
      </w:r>
    </w:p>
    <w:p>
      <w:pPr>
        <w:pStyle w:val="Ednotesection"/>
      </w:pPr>
      <w:r>
        <w:t>[</w:t>
      </w:r>
      <w:r>
        <w:rPr>
          <w:b/>
        </w:rPr>
        <w:t>175.</w:t>
      </w:r>
      <w:r>
        <w:rPr>
          <w:b/>
        </w:rPr>
        <w:tab/>
      </w:r>
      <w:r>
        <w:t>Deleted in Gazette 30 Dec 2004 p. 6965.]</w:t>
      </w:r>
    </w:p>
    <w:p>
      <w:pPr>
        <w:pStyle w:val="Heading3"/>
      </w:pPr>
      <w:bookmarkStart w:id="5731" w:name="_Toc189988144"/>
      <w:bookmarkStart w:id="5732" w:name="_Toc192041727"/>
      <w:bookmarkStart w:id="5733" w:name="_Toc199570961"/>
      <w:bookmarkStart w:id="5734" w:name="_Toc199738959"/>
      <w:bookmarkStart w:id="5735" w:name="_Toc199815060"/>
      <w:bookmarkStart w:id="5736" w:name="_Toc215040867"/>
      <w:bookmarkStart w:id="5737" w:name="_Toc215041312"/>
      <w:bookmarkStart w:id="5738" w:name="_Toc222129520"/>
      <w:bookmarkStart w:id="5739" w:name="_Toc222223225"/>
      <w:bookmarkStart w:id="5740" w:name="_Toc225914477"/>
      <w:bookmarkStart w:id="5741" w:name="_Toc231282522"/>
      <w:bookmarkStart w:id="5742" w:name="_Toc231282966"/>
      <w:bookmarkStart w:id="5743" w:name="_Toc234899556"/>
      <w:bookmarkStart w:id="5744" w:name="_Toc236632838"/>
      <w:bookmarkStart w:id="5745" w:name="_Toc236720451"/>
      <w:bookmarkStart w:id="5746" w:name="_Toc237764650"/>
      <w:bookmarkStart w:id="5747" w:name="_Toc238356274"/>
      <w:bookmarkStart w:id="5748" w:name="_Toc238368979"/>
      <w:bookmarkStart w:id="5749" w:name="_Toc238375932"/>
      <w:bookmarkStart w:id="5750" w:name="_Toc240339256"/>
      <w:bookmarkStart w:id="5751" w:name="_Toc241993762"/>
      <w:bookmarkStart w:id="5752" w:name="_Toc243192905"/>
      <w:bookmarkStart w:id="5753" w:name="_Toc243295607"/>
      <w:bookmarkStart w:id="5754" w:name="_Toc245113180"/>
      <w:bookmarkStart w:id="5755" w:name="_Toc245198342"/>
      <w:bookmarkStart w:id="5756" w:name="_Toc245198791"/>
      <w:bookmarkStart w:id="5757" w:name="_Toc245199240"/>
      <w:bookmarkStart w:id="5758" w:name="_Toc248122271"/>
      <w:bookmarkStart w:id="5759" w:name="_Toc248122722"/>
      <w:bookmarkStart w:id="5760" w:name="_Toc253670709"/>
      <w:bookmarkStart w:id="5761" w:name="_Toc253671159"/>
      <w:bookmarkStart w:id="5762" w:name="_Toc254942933"/>
      <w:bookmarkStart w:id="5763" w:name="_Toc254943386"/>
      <w:bookmarkStart w:id="5764" w:name="_Toc255475978"/>
      <w:bookmarkStart w:id="5765" w:name="_Toc256432299"/>
      <w:bookmarkStart w:id="5766" w:name="_Toc257720636"/>
      <w:bookmarkStart w:id="5767" w:name="_Toc257722318"/>
      <w:bookmarkStart w:id="5768" w:name="_Toc258335994"/>
      <w:bookmarkStart w:id="5769" w:name="_Toc260406436"/>
      <w:bookmarkStart w:id="5770" w:name="_Toc261271622"/>
      <w:bookmarkStart w:id="5771" w:name="_Toc262808304"/>
      <w:bookmarkStart w:id="5772" w:name="_Toc267572697"/>
      <w:bookmarkStart w:id="5773" w:name="_Toc270684446"/>
      <w:bookmarkStart w:id="5774" w:name="_Toc274214623"/>
      <w:bookmarkStart w:id="5775" w:name="_Toc274215072"/>
      <w:bookmarkStart w:id="5776" w:name="_Toc278976403"/>
      <w:bookmarkStart w:id="5777" w:name="_Toc286760724"/>
      <w:bookmarkStart w:id="5778" w:name="_Toc289081069"/>
      <w:bookmarkStart w:id="5779" w:name="_Toc290284263"/>
      <w:bookmarkStart w:id="5780" w:name="_Toc290643084"/>
      <w:bookmarkStart w:id="5781" w:name="_Toc290643533"/>
      <w:bookmarkStart w:id="5782" w:name="_Toc290643986"/>
      <w:bookmarkStart w:id="5783" w:name="_Toc294701803"/>
      <w:bookmarkStart w:id="5784" w:name="_Toc295200211"/>
      <w:bookmarkStart w:id="5785" w:name="_Toc296954652"/>
      <w:bookmarkStart w:id="5786" w:name="_Toc297276287"/>
      <w:bookmarkStart w:id="5787" w:name="_Toc297276739"/>
      <w:bookmarkStart w:id="5788" w:name="_Toc297277189"/>
      <w:bookmarkStart w:id="5789" w:name="_Toc297726558"/>
      <w:bookmarkStart w:id="5790" w:name="_Toc299980344"/>
      <w:bookmarkStart w:id="5791" w:name="_Toc300234970"/>
      <w:bookmarkStart w:id="5792" w:name="_Toc301961473"/>
      <w:bookmarkStart w:id="5793" w:name="_Toc301967043"/>
      <w:bookmarkStart w:id="5794" w:name="_Toc303253252"/>
      <w:bookmarkStart w:id="5795" w:name="_Toc303257416"/>
      <w:bookmarkStart w:id="5796" w:name="_Toc307993049"/>
      <w:bookmarkStart w:id="5797" w:name="_Toc309030082"/>
      <w:bookmarkStart w:id="5798" w:name="_Toc309304305"/>
      <w:bookmarkStart w:id="5799" w:name="_Toc309309582"/>
      <w:r>
        <w:rPr>
          <w:rStyle w:val="CharDivNo"/>
        </w:rPr>
        <w:t>Division 4</w:t>
      </w:r>
      <w:r>
        <w:rPr>
          <w:snapToGrid w:val="0"/>
        </w:rPr>
        <w:t> — </w:t>
      </w:r>
      <w:r>
        <w:rPr>
          <w:rStyle w:val="CharDivText"/>
        </w:rPr>
        <w:t>General</w:t>
      </w:r>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p>
    <w:p>
      <w:pPr>
        <w:pStyle w:val="Heading5"/>
        <w:rPr>
          <w:snapToGrid w:val="0"/>
        </w:rPr>
      </w:pPr>
      <w:bookmarkStart w:id="5800" w:name="_Toc309309583"/>
      <w:r>
        <w:rPr>
          <w:rStyle w:val="CharSectno"/>
        </w:rPr>
        <w:t>176</w:t>
      </w:r>
      <w:r>
        <w:rPr>
          <w:snapToGrid w:val="0"/>
        </w:rPr>
        <w:t>.</w:t>
      </w:r>
      <w:r>
        <w:rPr>
          <w:snapToGrid w:val="0"/>
        </w:rPr>
        <w:tab/>
        <w:t>Non</w:t>
      </w:r>
      <w:r>
        <w:rPr>
          <w:snapToGrid w:val="0"/>
        </w:rPr>
        <w:noBreakHyphen/>
        <w:t>endemic fish, approval to import into WA etc.</w:t>
      </w:r>
      <w:bookmarkEnd w:id="5800"/>
    </w:p>
    <w:p>
      <w:pPr>
        <w:pStyle w:val="Subsection"/>
        <w:rPr>
          <w:snapToGrid w:val="0"/>
        </w:rPr>
      </w:pPr>
      <w:r>
        <w:rPr>
          <w:snapToGrid w:val="0"/>
        </w:rPr>
        <w:tab/>
        <w:t>(1)</w:t>
      </w:r>
      <w:r>
        <w:rPr>
          <w:snapToGrid w:val="0"/>
        </w:rPr>
        <w:tab/>
        <w:t>A person must not bring into the State, or a particular area of the State, a live fish of a species not endemic to the State, or that area of the State, other than in accordance with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(2); or</w:t>
      </w:r>
    </w:p>
    <w:p>
      <w:pPr>
        <w:pStyle w:val="Indenta"/>
        <w:rPr>
          <w:snapToGrid w:val="0"/>
        </w:rPr>
      </w:pPr>
      <w:r>
        <w:rPr>
          <w:snapToGrid w:val="0"/>
        </w:rPr>
        <w:tab/>
        <w:t>(c)</w:t>
      </w:r>
      <w:r>
        <w:rPr>
          <w:snapToGrid w:val="0"/>
        </w:rPr>
        <w:tab/>
        <w:t>an aquaculture licence.</w:t>
      </w:r>
    </w:p>
    <w:p>
      <w:pPr>
        <w:pStyle w:val="Subsection"/>
        <w:rPr>
          <w:snapToGrid w:val="0"/>
        </w:rPr>
      </w:pPr>
      <w:r>
        <w:rPr>
          <w:snapToGrid w:val="0"/>
        </w:rPr>
        <w:tab/>
        <w:t>(2)</w:t>
      </w:r>
      <w:r>
        <w:rPr>
          <w:snapToGrid w:val="0"/>
        </w:rPr>
        <w:tab/>
        <w:t>An application for an authority under subregulation (1)(b)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15 of Part 2 of Schedule 1.</w:t>
      </w:r>
    </w:p>
    <w:p>
      <w:pPr>
        <w:pStyle w:val="Subsection"/>
        <w:rPr>
          <w:snapToGrid w:val="0"/>
        </w:rPr>
      </w:pPr>
      <w:r>
        <w:rPr>
          <w:snapToGrid w:val="0"/>
        </w:rPr>
        <w:tab/>
        <w:t>(3)</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(4)</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(5)</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(6)</w:t>
      </w:r>
      <w:r>
        <w:rPr>
          <w:snapToGrid w:val="0"/>
        </w:rPr>
        <w:tab/>
        <w:t>A person must not contravene an approval or authority issued under subregulation (1).</w:t>
      </w:r>
    </w:p>
    <w:p>
      <w:pPr>
        <w:pStyle w:val="Subsection"/>
        <w:rPr>
          <w:snapToGrid w:val="0"/>
        </w:rPr>
      </w:pPr>
      <w:r>
        <w:rPr>
          <w:snapToGrid w:val="0"/>
        </w:rPr>
        <w:tab/>
        <w:t>(7)</w:t>
      </w:r>
      <w:r>
        <w:rPr>
          <w:snapToGrid w:val="0"/>
        </w:rPr>
        <w:tab/>
        <w:t>A person who is in possession of a fish of any species of fish not endemic to the State, or the area of the State where the person is in possession of the fish, must destroy the fish if the fish is found to be infected with any disease, unless otherwise approved in writing by the CEO.</w:t>
      </w:r>
    </w:p>
    <w:p>
      <w:pPr>
        <w:pStyle w:val="Subsection"/>
        <w:rPr>
          <w:snapToGrid w:val="0"/>
        </w:rPr>
      </w:pPr>
      <w:r>
        <w:rPr>
          <w:snapToGrid w:val="0"/>
        </w:rPr>
        <w:tab/>
        <w:t>(8)</w:t>
      </w:r>
      <w:r>
        <w:rPr>
          <w:snapToGrid w:val="0"/>
        </w:rPr>
        <w:tab/>
        <w:t>The species of fish listed in Schedule 10 are to be taken to be not endemic to the State for the purposes of the Act, but Schedule 10 is not a conclusive list of species of fish which are not endemic to the State for the purposes of the Act.</w:t>
      </w:r>
    </w:p>
    <w:p>
      <w:pPr>
        <w:pStyle w:val="Penstart"/>
        <w:rPr>
          <w:snapToGrid w:val="0"/>
        </w:rPr>
      </w:pPr>
      <w:r>
        <w:rPr>
          <w:snapToGrid w:val="0"/>
        </w:rPr>
        <w:tab/>
        <w:t>Penalty: $10 000.</w:t>
      </w:r>
    </w:p>
    <w:p>
      <w:pPr>
        <w:pStyle w:val="Footnotesection"/>
      </w:pPr>
      <w:r>
        <w:tab/>
        <w:t>[Regulation 176 amended in Gazette 6 Jul 2007 p. 3389</w:t>
      </w:r>
      <w:r>
        <w:noBreakHyphen/>
        <w:t>90; 9 Jun 2009 p. 1912.]</w:t>
      </w:r>
    </w:p>
    <w:p>
      <w:pPr>
        <w:pStyle w:val="Heading5"/>
        <w:rPr>
          <w:snapToGrid w:val="0"/>
        </w:rPr>
      </w:pPr>
      <w:bookmarkStart w:id="5801" w:name="_Toc309309584"/>
      <w:r>
        <w:rPr>
          <w:rStyle w:val="CharSectno"/>
        </w:rPr>
        <w:t>177</w:t>
      </w:r>
      <w:r>
        <w:rPr>
          <w:snapToGrid w:val="0"/>
        </w:rPr>
        <w:t>.</w:t>
      </w:r>
      <w:r>
        <w:rPr>
          <w:snapToGrid w:val="0"/>
        </w:rPr>
        <w:tab/>
        <w:t>Disease control at fish processing or aquaculture places</w:t>
      </w:r>
      <w:bookmarkEnd w:id="5801"/>
    </w:p>
    <w:p>
      <w:pPr>
        <w:pStyle w:val="Subsection"/>
        <w:rPr>
          <w:snapToGrid w:val="0"/>
        </w:rPr>
      </w:pPr>
      <w:r>
        <w:rPr>
          <w:snapToGrid w:val="0"/>
        </w:rPr>
        <w:tab/>
        <w:t>(1)</w:t>
      </w:r>
      <w:r>
        <w:rPr>
          <w:snapToGrid w:val="0"/>
        </w:rPr>
        <w:tab/>
        <w:t>A fisheries officer who has reasonable grounds to suspect that any fish at a place where fish processing or aquaculture is being carried on are diseased may, by notice in writing given to the holder of the relevant licence, require that person to carry out the treatment specified in the notice within the time specified in the notice.</w:t>
      </w:r>
    </w:p>
    <w:p>
      <w:pPr>
        <w:pStyle w:val="Subsection"/>
        <w:rPr>
          <w:snapToGrid w:val="0"/>
        </w:rPr>
      </w:pPr>
      <w:r>
        <w:rPr>
          <w:snapToGrid w:val="0"/>
        </w:rPr>
        <w:tab/>
        <w:t>(2)</w:t>
      </w:r>
      <w:r>
        <w:rPr>
          <w:snapToGrid w:val="0"/>
        </w:rPr>
        <w:tab/>
        <w:t>A fisheries officer who has reasonable grounds to suspect that fish at a place where aquaculture is being carried on are affected by —</w:t>
      </w:r>
    </w:p>
    <w:p>
      <w:pPr>
        <w:pStyle w:val="Indenta"/>
        <w:rPr>
          <w:snapToGrid w:val="0"/>
        </w:rPr>
      </w:pPr>
      <w:r>
        <w:rPr>
          <w:snapToGrid w:val="0"/>
        </w:rPr>
        <w:tab/>
        <w:t>(a)</w:t>
      </w:r>
      <w:r>
        <w:rPr>
          <w:snapToGrid w:val="0"/>
        </w:rPr>
        <w:tab/>
        <w:t xml:space="preserve">a disease specified in Schedule 1 to the </w:t>
      </w:r>
      <w:r>
        <w:rPr>
          <w:i/>
          <w:snapToGrid w:val="0"/>
        </w:rPr>
        <w:t>Enzootic Diseases Regulations 1970</w:t>
      </w:r>
      <w:r>
        <w:rPr>
          <w:snapToGrid w:val="0"/>
        </w:rPr>
        <w:t>; or</w:t>
      </w:r>
    </w:p>
    <w:p>
      <w:pPr>
        <w:pStyle w:val="Indenta"/>
        <w:rPr>
          <w:snapToGrid w:val="0"/>
        </w:rPr>
      </w:pPr>
      <w:r>
        <w:rPr>
          <w:snapToGrid w:val="0"/>
        </w:rPr>
        <w:tab/>
        <w:t>(b)</w:t>
      </w:r>
      <w:r>
        <w:rPr>
          <w:snapToGrid w:val="0"/>
        </w:rPr>
        <w:tab/>
        <w:t>any disease which cannot be effectively treated at the place where the fish are; or</w:t>
      </w:r>
    </w:p>
    <w:p>
      <w:pPr>
        <w:pStyle w:val="Indenta"/>
        <w:rPr>
          <w:snapToGrid w:val="0"/>
        </w:rPr>
      </w:pPr>
      <w:r>
        <w:rPr>
          <w:snapToGrid w:val="0"/>
        </w:rPr>
        <w:tab/>
        <w:t>(c)</w:t>
      </w:r>
      <w:r>
        <w:rPr>
          <w:snapToGrid w:val="0"/>
        </w:rPr>
        <w:tab/>
        <w:t>a disease of such a nature that the officer’s urgent action is required to prevent the spread of the disease,</w:t>
      </w:r>
    </w:p>
    <w:p>
      <w:pPr>
        <w:pStyle w:val="Subsection"/>
        <w:rPr>
          <w:snapToGrid w:val="0"/>
        </w:rPr>
      </w:pPr>
      <w:r>
        <w:rPr>
          <w:snapToGrid w:val="0"/>
        </w:rPr>
        <w:tab/>
      </w:r>
      <w:r>
        <w:rPr>
          <w:snapToGrid w:val="0"/>
        </w:rPr>
        <w:tab/>
        <w:t>may take, or require the holder of the relevant licence to take, such action as the officer thinks fit to destroy the fish affected and to eradicate the disease from the place.</w:t>
      </w:r>
    </w:p>
    <w:p>
      <w:pPr>
        <w:pStyle w:val="Subsection"/>
        <w:rPr>
          <w:snapToGrid w:val="0"/>
        </w:rPr>
      </w:pPr>
      <w:r>
        <w:rPr>
          <w:snapToGrid w:val="0"/>
        </w:rPr>
        <w:tab/>
        <w:t>(3)</w:t>
      </w:r>
      <w:r>
        <w:rPr>
          <w:snapToGrid w:val="0"/>
        </w:rPr>
        <w:tab/>
        <w:t>Any costs incurred as a result of action taken by a fisheries officer under subsection (2) may be recovered by the CEO from the holder of the licence as a debt due.</w:t>
      </w:r>
    </w:p>
    <w:p>
      <w:pPr>
        <w:pStyle w:val="Subsection"/>
        <w:rPr>
          <w:snapToGrid w:val="0"/>
        </w:rPr>
      </w:pPr>
      <w:r>
        <w:rPr>
          <w:snapToGrid w:val="0"/>
        </w:rPr>
        <w:tab/>
        <w:t>(4)</w:t>
      </w:r>
      <w:r>
        <w:rPr>
          <w:snapToGrid w:val="0"/>
        </w:rPr>
        <w:tab/>
        <w:t>The CEO may, by notice in writing given to the holder of an aquaculture licence, require that person to carry out such action as is specified in the notice for the prevention of any disease in fish at the place where aquaculture is carried out under the licence within the time specified in the notice.</w:t>
      </w:r>
    </w:p>
    <w:p>
      <w:pPr>
        <w:pStyle w:val="Subsection"/>
        <w:rPr>
          <w:snapToGrid w:val="0"/>
        </w:rPr>
      </w:pPr>
      <w:r>
        <w:rPr>
          <w:snapToGrid w:val="0"/>
        </w:rPr>
        <w:tab/>
        <w:t>(5)</w:t>
      </w:r>
      <w:r>
        <w:rPr>
          <w:snapToGrid w:val="0"/>
        </w:rPr>
        <w:tab/>
        <w:t>A person must —</w:t>
      </w:r>
    </w:p>
    <w:p>
      <w:pPr>
        <w:pStyle w:val="Indenta"/>
        <w:rPr>
          <w:snapToGrid w:val="0"/>
        </w:rPr>
      </w:pPr>
      <w:r>
        <w:rPr>
          <w:snapToGrid w:val="0"/>
        </w:rPr>
        <w:tab/>
        <w:t>(a)</w:t>
      </w:r>
      <w:r>
        <w:rPr>
          <w:snapToGrid w:val="0"/>
        </w:rPr>
        <w:tab/>
        <w:t>comply with a notice given to the person under subregulation (1); and</w:t>
      </w:r>
    </w:p>
    <w:p>
      <w:pPr>
        <w:pStyle w:val="Indenta"/>
        <w:rPr>
          <w:snapToGrid w:val="0"/>
        </w:rPr>
      </w:pPr>
      <w:r>
        <w:rPr>
          <w:snapToGrid w:val="0"/>
        </w:rPr>
        <w:tab/>
        <w:t>(b)</w:t>
      </w:r>
      <w:r>
        <w:rPr>
          <w:snapToGrid w:val="0"/>
        </w:rPr>
        <w:tab/>
        <w:t>carry out any action required by a fisheries officer to be carried out by that person under subregulation (2); and</w:t>
      </w:r>
    </w:p>
    <w:p>
      <w:pPr>
        <w:pStyle w:val="Indenta"/>
        <w:rPr>
          <w:snapToGrid w:val="0"/>
        </w:rPr>
      </w:pPr>
      <w:r>
        <w:rPr>
          <w:snapToGrid w:val="0"/>
        </w:rPr>
        <w:tab/>
        <w:t>(c)</w:t>
      </w:r>
      <w:r>
        <w:rPr>
          <w:snapToGrid w:val="0"/>
        </w:rPr>
        <w:tab/>
        <w:t>comply with a notice given by the CEO under subregulation (4).</w:t>
      </w:r>
    </w:p>
    <w:p>
      <w:pPr>
        <w:pStyle w:val="Penstart"/>
        <w:rPr>
          <w:snapToGrid w:val="0"/>
        </w:rPr>
      </w:pPr>
      <w:r>
        <w:rPr>
          <w:snapToGrid w:val="0"/>
        </w:rPr>
        <w:tab/>
        <w:t>Penalty: $10 000.</w:t>
      </w:r>
    </w:p>
    <w:p>
      <w:pPr>
        <w:pStyle w:val="Footnotesection"/>
      </w:pPr>
      <w:r>
        <w:tab/>
        <w:t>[Regulation 177 amended in Gazette 6 Jul 2007 p. 3389</w:t>
      </w:r>
      <w:r>
        <w:noBreakHyphen/>
        <w:t>90.]</w:t>
      </w:r>
    </w:p>
    <w:p>
      <w:pPr>
        <w:pStyle w:val="Heading5"/>
        <w:rPr>
          <w:snapToGrid w:val="0"/>
        </w:rPr>
      </w:pPr>
      <w:bookmarkStart w:id="5802" w:name="_Toc309309585"/>
      <w:r>
        <w:rPr>
          <w:rStyle w:val="CharSectno"/>
        </w:rPr>
        <w:t>178</w:t>
      </w:r>
      <w:r>
        <w:rPr>
          <w:snapToGrid w:val="0"/>
        </w:rPr>
        <w:t>.</w:t>
      </w:r>
      <w:r>
        <w:rPr>
          <w:snapToGrid w:val="0"/>
        </w:rPr>
        <w:tab/>
        <w:t>Fish for scientific purposes, authority to fish for</w:t>
      </w:r>
      <w:bookmarkEnd w:id="5802"/>
    </w:p>
    <w:p>
      <w:pPr>
        <w:pStyle w:val="Subsection"/>
        <w:rPr>
          <w:snapToGrid w:val="0"/>
        </w:rPr>
      </w:pPr>
      <w:r>
        <w:rPr>
          <w:snapToGrid w:val="0"/>
        </w:rPr>
        <w:tab/>
        <w:t>(1)</w:t>
      </w:r>
      <w:r>
        <w:rPr>
          <w:snapToGrid w:val="0"/>
        </w:rPr>
        <w:tab/>
        <w:t>Despite anything else in these regulations, a person may fish for fish for scientific purposes if that person has a written authority to do so issued by the CEO.</w:t>
      </w:r>
    </w:p>
    <w:p>
      <w:pPr>
        <w:pStyle w:val="Subsection"/>
        <w:rPr>
          <w:snapToGrid w:val="0"/>
        </w:rPr>
      </w:pPr>
      <w:r>
        <w:rPr>
          <w:snapToGrid w:val="0"/>
        </w:rPr>
        <w:tab/>
        <w:t>(2)</w:t>
      </w:r>
      <w:r>
        <w:rPr>
          <w:snapToGrid w:val="0"/>
        </w:rPr>
        <w:tab/>
        <w:t>An application for an authority under subregulation (1)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14 of Part 2 of Schedule 1.</w:t>
      </w:r>
    </w:p>
    <w:p>
      <w:pPr>
        <w:pStyle w:val="Subsection"/>
        <w:rPr>
          <w:snapToGrid w:val="0"/>
        </w:rPr>
      </w:pPr>
      <w:r>
        <w:rPr>
          <w:snapToGrid w:val="0"/>
        </w:rPr>
        <w:tab/>
        <w:t>(3)</w:t>
      </w:r>
      <w:r>
        <w:rPr>
          <w:snapToGrid w:val="0"/>
        </w:rPr>
        <w:tab/>
        <w:t>An authority under subregulation (1) is subject to any conditions specified in the authority by the CEO.</w:t>
      </w:r>
    </w:p>
    <w:p>
      <w:pPr>
        <w:pStyle w:val="Subsection"/>
        <w:rPr>
          <w:snapToGrid w:val="0"/>
        </w:rPr>
      </w:pPr>
      <w:r>
        <w:rPr>
          <w:snapToGrid w:val="0"/>
        </w:rPr>
        <w:tab/>
        <w:t>(4)</w:t>
      </w:r>
      <w:r>
        <w:rPr>
          <w:snapToGrid w:val="0"/>
        </w:rPr>
        <w:tab/>
        <w:t>The CEO may vary or cancel a condition specified in an authority under subregulation (1) by notice in writing given to the holder of the authority.</w:t>
      </w:r>
    </w:p>
    <w:p>
      <w:pPr>
        <w:pStyle w:val="Subsection"/>
        <w:rPr>
          <w:snapToGrid w:val="0"/>
        </w:rPr>
      </w:pPr>
      <w:r>
        <w:rPr>
          <w:snapToGrid w:val="0"/>
        </w:rPr>
        <w:tab/>
        <w:t>(5)</w:t>
      </w:r>
      <w:r>
        <w:rPr>
          <w:snapToGrid w:val="0"/>
        </w:rPr>
        <w:tab/>
        <w:t>The CEO may vary or cancel an authority at any time by notice in writing given to the holder of the authority.</w:t>
      </w:r>
    </w:p>
    <w:p>
      <w:pPr>
        <w:pStyle w:val="Subsection"/>
        <w:rPr>
          <w:snapToGrid w:val="0"/>
        </w:rPr>
      </w:pPr>
      <w:r>
        <w:rPr>
          <w:snapToGrid w:val="0"/>
        </w:rPr>
        <w:tab/>
        <w:t>(6)</w:t>
      </w:r>
      <w:r>
        <w:rPr>
          <w:snapToGrid w:val="0"/>
        </w:rPr>
        <w:tab/>
        <w:t>A person must not contravene an authority issued under subregulation (1).</w:t>
      </w:r>
    </w:p>
    <w:p>
      <w:pPr>
        <w:pStyle w:val="Penstart"/>
        <w:rPr>
          <w:snapToGrid w:val="0"/>
        </w:rPr>
      </w:pPr>
      <w:r>
        <w:rPr>
          <w:snapToGrid w:val="0"/>
        </w:rPr>
        <w:tab/>
        <w:t>Penalty: $3 000.</w:t>
      </w:r>
    </w:p>
    <w:p>
      <w:pPr>
        <w:pStyle w:val="Footnotesection"/>
      </w:pPr>
      <w:r>
        <w:tab/>
        <w:t>[Regulation 178 amended in Gazette 6 Jul 2007 p. 3389</w:t>
      </w:r>
      <w:r>
        <w:noBreakHyphen/>
        <w:t>90; 9 Jun 2009 p. 1912.]</w:t>
      </w:r>
    </w:p>
    <w:p>
      <w:pPr>
        <w:pStyle w:val="Heading5"/>
        <w:rPr>
          <w:snapToGrid w:val="0"/>
        </w:rPr>
      </w:pPr>
      <w:bookmarkStart w:id="5803" w:name="_Toc309309586"/>
      <w:r>
        <w:rPr>
          <w:rStyle w:val="CharSectno"/>
        </w:rPr>
        <w:t>179</w:t>
      </w:r>
      <w:r>
        <w:rPr>
          <w:snapToGrid w:val="0"/>
        </w:rPr>
        <w:t>.</w:t>
      </w:r>
      <w:r>
        <w:rPr>
          <w:snapToGrid w:val="0"/>
        </w:rPr>
        <w:tab/>
        <w:t>Fish for genetic etc. analysis, approval to take etc.</w:t>
      </w:r>
      <w:bookmarkEnd w:id="5803"/>
    </w:p>
    <w:p>
      <w:pPr>
        <w:pStyle w:val="Subsection"/>
        <w:rPr>
          <w:snapToGrid w:val="0"/>
        </w:rPr>
      </w:pPr>
      <w:r>
        <w:rPr>
          <w:snapToGrid w:val="0"/>
        </w:rPr>
        <w:tab/>
        <w:t>(1)</w:t>
      </w:r>
      <w:r>
        <w:rPr>
          <w:snapToGrid w:val="0"/>
        </w:rPr>
        <w:tab/>
        <w:t>A person must not engage in any activity referred to in subregulation (2) other than in accordance with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(3).</w:t>
      </w:r>
    </w:p>
    <w:p>
      <w:pPr>
        <w:pStyle w:val="Subsection"/>
        <w:rPr>
          <w:snapToGrid w:val="0"/>
        </w:rPr>
      </w:pPr>
      <w:r>
        <w:rPr>
          <w:snapToGrid w:val="0"/>
        </w:rPr>
        <w:tab/>
        <w:t>(2)</w:t>
      </w:r>
      <w:r>
        <w:rPr>
          <w:snapToGrid w:val="0"/>
        </w:rPr>
        <w:tab/>
        <w:t>For the purposes of subregulation (1) the activities are —</w:t>
      </w:r>
    </w:p>
    <w:p>
      <w:pPr>
        <w:pStyle w:val="Indenta"/>
        <w:rPr>
          <w:snapToGrid w:val="0"/>
        </w:rPr>
      </w:pPr>
      <w:r>
        <w:rPr>
          <w:snapToGrid w:val="0"/>
        </w:rPr>
        <w:tab/>
        <w:t>(a)</w:t>
      </w:r>
      <w:r>
        <w:rPr>
          <w:snapToGrid w:val="0"/>
        </w:rPr>
        <w:tab/>
        <w:t>the taking of fish for genetic or chemical extraction or analysis; or</w:t>
      </w:r>
    </w:p>
    <w:p>
      <w:pPr>
        <w:pStyle w:val="Indenta"/>
        <w:rPr>
          <w:snapToGrid w:val="0"/>
        </w:rPr>
      </w:pPr>
      <w:r>
        <w:rPr>
          <w:snapToGrid w:val="0"/>
        </w:rPr>
        <w:tab/>
        <w:t>(b)</w:t>
      </w:r>
      <w:r>
        <w:rPr>
          <w:snapToGrid w:val="0"/>
        </w:rPr>
        <w:tab/>
        <w:t>the handling, delivering, receiving, storing, packaging, purchasing or selling of fish which the person has reasonable grounds to believe are to be used for genetic or chemical extraction or analysis.</w:t>
      </w:r>
    </w:p>
    <w:p>
      <w:pPr>
        <w:pStyle w:val="Subsection"/>
        <w:rPr>
          <w:snapToGrid w:val="0"/>
        </w:rPr>
      </w:pPr>
      <w:r>
        <w:rPr>
          <w:snapToGrid w:val="0"/>
        </w:rPr>
        <w:tab/>
        <w:t>(3)</w:t>
      </w:r>
      <w:r>
        <w:rPr>
          <w:snapToGrid w:val="0"/>
        </w:rPr>
        <w:tab/>
        <w:t>An application for an authority under subregulation (1)(b)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18 of Part 2 of Schedule 1.</w:t>
      </w:r>
    </w:p>
    <w:p>
      <w:pPr>
        <w:pStyle w:val="Subsection"/>
        <w:rPr>
          <w:snapToGrid w:val="0"/>
        </w:rPr>
      </w:pPr>
      <w:r>
        <w:rPr>
          <w:snapToGrid w:val="0"/>
        </w:rPr>
        <w:tab/>
        <w:t>(4)</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(5)</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(6)</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(7)</w:t>
      </w:r>
      <w:r>
        <w:rPr>
          <w:snapToGrid w:val="0"/>
        </w:rPr>
        <w:tab/>
        <w:t>A person must not contravene an approval or authority issued under subregulation (1).</w:t>
      </w:r>
    </w:p>
    <w:p>
      <w:pPr>
        <w:pStyle w:val="Penstart"/>
        <w:rPr>
          <w:snapToGrid w:val="0"/>
        </w:rPr>
      </w:pPr>
      <w:r>
        <w:rPr>
          <w:snapToGrid w:val="0"/>
        </w:rPr>
        <w:tab/>
        <w:t>Penalty: $10 000.</w:t>
      </w:r>
    </w:p>
    <w:p>
      <w:pPr>
        <w:pStyle w:val="Footnotesection"/>
      </w:pPr>
      <w:r>
        <w:tab/>
        <w:t>[Regulation 179 amended in Gazette 6 Jul 2007 p. 3389</w:t>
      </w:r>
      <w:r>
        <w:noBreakHyphen/>
        <w:t>90; 9 Jun 2009 p. 1912.]</w:t>
      </w:r>
    </w:p>
    <w:p>
      <w:pPr>
        <w:pStyle w:val="Heading5"/>
        <w:rPr>
          <w:snapToGrid w:val="0"/>
        </w:rPr>
      </w:pPr>
      <w:bookmarkStart w:id="5804" w:name="_Toc309309587"/>
      <w:r>
        <w:rPr>
          <w:rStyle w:val="CharSectno"/>
        </w:rPr>
        <w:t>180</w:t>
      </w:r>
      <w:r>
        <w:rPr>
          <w:snapToGrid w:val="0"/>
        </w:rPr>
        <w:t>.</w:t>
      </w:r>
      <w:r>
        <w:rPr>
          <w:snapToGrid w:val="0"/>
        </w:rPr>
        <w:tab/>
        <w:t>Categories of fish (Sch. 4)</w:t>
      </w:r>
      <w:bookmarkEnd w:id="5804"/>
    </w:p>
    <w:p>
      <w:pPr>
        <w:pStyle w:val="Subsection"/>
        <w:rPr>
          <w:snapToGrid w:val="0"/>
        </w:rPr>
      </w:pPr>
      <w:r>
        <w:rPr>
          <w:snapToGrid w:val="0"/>
        </w:rPr>
        <w:tab/>
      </w:r>
      <w:r>
        <w:rPr>
          <w:snapToGrid w:val="0"/>
        </w:rPr>
        <w:tab/>
        <w:t>For the purposes of the Act, a species of fish referred to in Schedule 4 is a species of fish of the category referred to in the heading below which it appears.</w:t>
      </w:r>
    </w:p>
    <w:p>
      <w:pPr>
        <w:pStyle w:val="Footnotesection"/>
      </w:pPr>
      <w:r>
        <w:tab/>
        <w:t>[Regulation 180 amended in Gazette 1 Oct 2003 p. 4328; 4 Nov 2005 p. 5313.]</w:t>
      </w:r>
    </w:p>
    <w:p>
      <w:pPr>
        <w:pStyle w:val="Heading5"/>
        <w:rPr>
          <w:snapToGrid w:val="0"/>
        </w:rPr>
      </w:pPr>
      <w:bookmarkStart w:id="5805" w:name="_Toc309309588"/>
      <w:r>
        <w:rPr>
          <w:rStyle w:val="CharSectno"/>
        </w:rPr>
        <w:t>181</w:t>
      </w:r>
      <w:r>
        <w:rPr>
          <w:snapToGrid w:val="0"/>
        </w:rPr>
        <w:t>.</w:t>
      </w:r>
      <w:r>
        <w:rPr>
          <w:snapToGrid w:val="0"/>
        </w:rPr>
        <w:tab/>
        <w:t>Fees and charges, reduction and waiver of</w:t>
      </w:r>
      <w:bookmarkEnd w:id="5805"/>
    </w:p>
    <w:p>
      <w:pPr>
        <w:pStyle w:val="Subsection"/>
        <w:rPr>
          <w:snapToGrid w:val="0"/>
        </w:rPr>
      </w:pPr>
      <w:r>
        <w:rPr>
          <w:snapToGrid w:val="0"/>
        </w:rPr>
        <w:tab/>
      </w:r>
      <w:r>
        <w:rPr>
          <w:snapToGrid w:val="0"/>
        </w:rPr>
        <w:tab/>
        <w:t xml:space="preserve">The CEO may authorise the </w:t>
      </w:r>
      <w:r>
        <w:t xml:space="preserve">reduction, waiver or refund, in whole or in part, </w:t>
      </w:r>
      <w:r>
        <w:rPr>
          <w:snapToGrid w:val="0"/>
        </w:rPr>
        <w:t>of any fee or charge provided for in these regulations or in a management plan if the CEO considers it appropriate to do so.</w:t>
      </w:r>
    </w:p>
    <w:p>
      <w:pPr>
        <w:pStyle w:val="Footnotesection"/>
      </w:pPr>
      <w:r>
        <w:tab/>
        <w:t>[Regulation 181 amended in Gazette 26 Mar 1999 p. 1280 (disallowed in Gazette 25 Jun 1999 p. 2742); amended in Gazette 13 Aug 1999 p. 3827; 6 Jul 2007 p. 3389</w:t>
      </w:r>
      <w:r>
        <w:noBreakHyphen/>
        <w:t>90.]</w:t>
      </w:r>
    </w:p>
    <w:p>
      <w:pPr>
        <w:pStyle w:val="Heading2"/>
      </w:pPr>
      <w:bookmarkStart w:id="5806" w:name="_Toc189988151"/>
      <w:bookmarkStart w:id="5807" w:name="_Toc192041734"/>
      <w:bookmarkStart w:id="5808" w:name="_Toc199570968"/>
      <w:bookmarkStart w:id="5809" w:name="_Toc199738966"/>
      <w:bookmarkStart w:id="5810" w:name="_Toc199815067"/>
      <w:bookmarkStart w:id="5811" w:name="_Toc215040874"/>
      <w:bookmarkStart w:id="5812" w:name="_Toc215041319"/>
      <w:bookmarkStart w:id="5813" w:name="_Toc222129527"/>
      <w:bookmarkStart w:id="5814" w:name="_Toc222223232"/>
      <w:bookmarkStart w:id="5815" w:name="_Toc225914484"/>
      <w:bookmarkStart w:id="5816" w:name="_Toc231282529"/>
      <w:bookmarkStart w:id="5817" w:name="_Toc231282973"/>
      <w:bookmarkStart w:id="5818" w:name="_Toc234899563"/>
      <w:bookmarkStart w:id="5819" w:name="_Toc236632845"/>
      <w:bookmarkStart w:id="5820" w:name="_Toc236720458"/>
      <w:bookmarkStart w:id="5821" w:name="_Toc237764657"/>
      <w:bookmarkStart w:id="5822" w:name="_Toc238356281"/>
      <w:bookmarkStart w:id="5823" w:name="_Toc238368986"/>
      <w:bookmarkStart w:id="5824" w:name="_Toc238375939"/>
      <w:bookmarkStart w:id="5825" w:name="_Toc240339263"/>
      <w:bookmarkStart w:id="5826" w:name="_Toc241993769"/>
      <w:bookmarkStart w:id="5827" w:name="_Toc243192912"/>
      <w:bookmarkStart w:id="5828" w:name="_Toc243295614"/>
      <w:bookmarkStart w:id="5829" w:name="_Toc245113187"/>
      <w:bookmarkStart w:id="5830" w:name="_Toc245198349"/>
      <w:bookmarkStart w:id="5831" w:name="_Toc245198798"/>
      <w:bookmarkStart w:id="5832" w:name="_Toc245199247"/>
      <w:bookmarkStart w:id="5833" w:name="_Toc248122278"/>
      <w:bookmarkStart w:id="5834" w:name="_Toc248122729"/>
      <w:bookmarkStart w:id="5835" w:name="_Toc253670716"/>
      <w:bookmarkStart w:id="5836" w:name="_Toc253671166"/>
      <w:bookmarkStart w:id="5837" w:name="_Toc254942940"/>
      <w:bookmarkStart w:id="5838" w:name="_Toc254943393"/>
      <w:bookmarkStart w:id="5839" w:name="_Toc255475985"/>
      <w:bookmarkStart w:id="5840" w:name="_Toc256432306"/>
      <w:bookmarkStart w:id="5841" w:name="_Toc257720643"/>
      <w:bookmarkStart w:id="5842" w:name="_Toc257722325"/>
      <w:bookmarkStart w:id="5843" w:name="_Toc258336001"/>
      <w:bookmarkStart w:id="5844" w:name="_Toc260406443"/>
      <w:bookmarkStart w:id="5845" w:name="_Toc261271629"/>
      <w:bookmarkStart w:id="5846" w:name="_Toc262808311"/>
      <w:bookmarkStart w:id="5847" w:name="_Toc267572704"/>
      <w:bookmarkStart w:id="5848" w:name="_Toc270684453"/>
      <w:bookmarkStart w:id="5849" w:name="_Toc274214630"/>
      <w:bookmarkStart w:id="5850" w:name="_Toc274215079"/>
      <w:bookmarkStart w:id="5851" w:name="_Toc278976410"/>
      <w:bookmarkStart w:id="5852" w:name="_Toc286760731"/>
      <w:bookmarkStart w:id="5853" w:name="_Toc289081076"/>
      <w:bookmarkStart w:id="5854" w:name="_Toc290284270"/>
      <w:bookmarkStart w:id="5855" w:name="_Toc290643091"/>
      <w:bookmarkStart w:id="5856" w:name="_Toc290643540"/>
      <w:bookmarkStart w:id="5857" w:name="_Toc290643993"/>
      <w:bookmarkStart w:id="5858" w:name="_Toc294701810"/>
      <w:bookmarkStart w:id="5859" w:name="_Toc295200218"/>
      <w:bookmarkStart w:id="5860" w:name="_Toc296954659"/>
      <w:bookmarkStart w:id="5861" w:name="_Toc297276294"/>
      <w:bookmarkStart w:id="5862" w:name="_Toc297276746"/>
      <w:bookmarkStart w:id="5863" w:name="_Toc297277196"/>
      <w:bookmarkStart w:id="5864" w:name="_Toc297726565"/>
      <w:bookmarkStart w:id="5865" w:name="_Toc299980351"/>
      <w:bookmarkStart w:id="5866" w:name="_Toc300234977"/>
      <w:bookmarkStart w:id="5867" w:name="_Toc301961480"/>
      <w:bookmarkStart w:id="5868" w:name="_Toc301967050"/>
      <w:bookmarkStart w:id="5869" w:name="_Toc303253259"/>
      <w:bookmarkStart w:id="5870" w:name="_Toc303257423"/>
      <w:bookmarkStart w:id="5871" w:name="_Toc307993056"/>
      <w:bookmarkStart w:id="5872" w:name="_Toc309030089"/>
      <w:bookmarkStart w:id="5873" w:name="_Toc309304312"/>
      <w:bookmarkStart w:id="5874" w:name="_Toc309309589"/>
      <w:r>
        <w:rPr>
          <w:rStyle w:val="CharPartNo"/>
        </w:rPr>
        <w:t>Part 18</w:t>
      </w:r>
      <w:r>
        <w:rPr>
          <w:rStyle w:val="CharDivNo"/>
        </w:rPr>
        <w:t> </w:t>
      </w:r>
      <w:r>
        <w:t>—</w:t>
      </w:r>
      <w:r>
        <w:rPr>
          <w:rStyle w:val="CharDivText"/>
        </w:rPr>
        <w:t> </w:t>
      </w:r>
      <w:r>
        <w:rPr>
          <w:rStyle w:val="CharPartText"/>
        </w:rPr>
        <w:t>Savings and transitional provisions</w:t>
      </w:r>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p>
    <w:p>
      <w:pPr>
        <w:pStyle w:val="Heading5"/>
        <w:rPr>
          <w:snapToGrid w:val="0"/>
        </w:rPr>
      </w:pPr>
      <w:bookmarkStart w:id="5875" w:name="_Toc309309590"/>
      <w:r>
        <w:rPr>
          <w:rStyle w:val="CharSectno"/>
        </w:rPr>
        <w:t>182</w:t>
      </w:r>
      <w:r>
        <w:rPr>
          <w:snapToGrid w:val="0"/>
        </w:rPr>
        <w:t>.</w:t>
      </w:r>
      <w:r>
        <w:rPr>
          <w:snapToGrid w:val="0"/>
        </w:rPr>
        <w:tab/>
        <w:t>Limited entry fisheries under repealed Act</w:t>
      </w:r>
      <w:bookmarkEnd w:id="5875"/>
    </w:p>
    <w:p>
      <w:pPr>
        <w:pStyle w:val="Subsection"/>
        <w:rPr>
          <w:snapToGrid w:val="0"/>
        </w:rPr>
      </w:pPr>
      <w:r>
        <w:rPr>
          <w:snapToGrid w:val="0"/>
        </w:rPr>
        <w:tab/>
        <w:t>(1)</w:t>
      </w:r>
      <w:r>
        <w:rPr>
          <w:snapToGrid w:val="0"/>
        </w:rPr>
        <w:tab/>
        <w:t>For the purposes of section 74 of the Act, a provision of a notice under section 32 of the repealed Act continued in effect under clause 9 of Schedule 3 of the Act as if it were a management plan which requires a person —</w:t>
      </w:r>
    </w:p>
    <w:p>
      <w:pPr>
        <w:pStyle w:val="Indenta"/>
        <w:rPr>
          <w:snapToGrid w:val="0"/>
        </w:rPr>
      </w:pPr>
      <w:r>
        <w:rPr>
          <w:snapToGrid w:val="0"/>
        </w:rPr>
        <w:tab/>
        <w:t>(a)</w:t>
      </w:r>
      <w:r>
        <w:rPr>
          <w:snapToGrid w:val="0"/>
        </w:rPr>
        <w:tab/>
        <w:t>to do; or</w:t>
      </w:r>
    </w:p>
    <w:p>
      <w:pPr>
        <w:pStyle w:val="Indenta"/>
        <w:rPr>
          <w:snapToGrid w:val="0"/>
        </w:rPr>
      </w:pPr>
      <w:r>
        <w:rPr>
          <w:snapToGrid w:val="0"/>
        </w:rPr>
        <w:tab/>
        <w:t>(b)</w:t>
      </w:r>
      <w:r>
        <w:rPr>
          <w:snapToGrid w:val="0"/>
        </w:rPr>
        <w:tab/>
        <w:t>not to do,</w:t>
      </w:r>
    </w:p>
    <w:p>
      <w:pPr>
        <w:pStyle w:val="Subsection"/>
        <w:rPr>
          <w:snapToGrid w:val="0"/>
        </w:rPr>
      </w:pPr>
      <w:r>
        <w:rPr>
          <w:snapToGrid w:val="0"/>
        </w:rPr>
        <w:tab/>
      </w:r>
      <w:r>
        <w:rPr>
          <w:snapToGrid w:val="0"/>
        </w:rPr>
        <w:tab/>
        <w:t>a specified thing is to be taken to be a provision the contravention of which is specified in the notice to be an offence.</w:t>
      </w:r>
    </w:p>
    <w:p>
      <w:pPr>
        <w:pStyle w:val="Ednotesubsection"/>
      </w:pPr>
      <w:r>
        <w:tab/>
        <w:t>[(2)</w:t>
      </w:r>
      <w:r>
        <w:tab/>
        <w:t>deleted]</w:t>
      </w:r>
    </w:p>
    <w:p>
      <w:pPr>
        <w:pStyle w:val="Footnotesection"/>
      </w:pPr>
      <w:r>
        <w:tab/>
        <w:t>[Regulation 182 amended in Gazette 23 May 2006 p. 1860.]</w:t>
      </w:r>
    </w:p>
    <w:p>
      <w:pPr>
        <w:pStyle w:val="Heading5"/>
        <w:rPr>
          <w:snapToGrid w:val="0"/>
        </w:rPr>
      </w:pPr>
      <w:bookmarkStart w:id="5876" w:name="_Toc309309591"/>
      <w:r>
        <w:rPr>
          <w:rStyle w:val="CharSectno"/>
        </w:rPr>
        <w:t>183</w:t>
      </w:r>
      <w:r>
        <w:rPr>
          <w:snapToGrid w:val="0"/>
        </w:rPr>
        <w:t>.</w:t>
      </w:r>
      <w:r>
        <w:rPr>
          <w:snapToGrid w:val="0"/>
        </w:rPr>
        <w:tab/>
        <w:t>Citation of notices</w:t>
      </w:r>
      <w:bookmarkEnd w:id="5876"/>
    </w:p>
    <w:p>
      <w:pPr>
        <w:pStyle w:val="Subsection"/>
        <w:rPr>
          <w:snapToGrid w:val="0"/>
        </w:rPr>
      </w:pPr>
      <w:r>
        <w:rPr>
          <w:snapToGrid w:val="0"/>
        </w:rPr>
        <w:tab/>
        <w:t>(1)</w:t>
      </w:r>
      <w:r>
        <w:rPr>
          <w:snapToGrid w:val="0"/>
        </w:rPr>
        <w:tab/>
        <w:t>Each notice made under section 32 of the repealed Act referred to in column 1 of the Table to this regulation may be cited using the citation set out opposite the item in column 2 of that Table.</w:t>
      </w:r>
    </w:p>
    <w:p>
      <w:pPr>
        <w:pStyle w:val="Subsection"/>
        <w:rPr>
          <w:snapToGrid w:val="0"/>
        </w:rPr>
      </w:pPr>
      <w:r>
        <w:rPr>
          <w:snapToGrid w:val="0"/>
        </w:rPr>
        <w:tab/>
        <w:t>(2)</w:t>
      </w:r>
      <w:r>
        <w:rPr>
          <w:snapToGrid w:val="0"/>
        </w:rPr>
        <w:tab/>
        <w:t>Those notices in force under section 32 of the repealed Act immediately before the commencement of these regulations not set out in column 1 of the Table to this regulation may be cited as if the words “Limited Entry Fishery Notice” were deleted from their citation and the word “Management Plan” were substituted.</w:t>
      </w:r>
    </w:p>
    <w:p>
      <w:pPr>
        <w:pStyle w:val="THeadingNAm"/>
      </w:pPr>
      <w:r>
        <w:t>Table</w:t>
      </w:r>
    </w:p>
    <w:tbl>
      <w:tblPr>
        <w:tblW w:w="0" w:type="auto"/>
        <w:tblInd w:w="851" w:type="dxa"/>
        <w:tblLayout w:type="fixed"/>
        <w:tblCellMar>
          <w:left w:w="141" w:type="dxa"/>
          <w:right w:w="141" w:type="dxa"/>
        </w:tblCellMar>
        <w:tblLook w:val="0000" w:firstRow="0" w:lastRow="0" w:firstColumn="0" w:lastColumn="0" w:noHBand="0" w:noVBand="0"/>
      </w:tblPr>
      <w:tblGrid>
        <w:gridCol w:w="3118"/>
        <w:gridCol w:w="3260"/>
      </w:tblGrid>
      <w:tr>
        <w:tc>
          <w:tcPr>
            <w:tcW w:w="3118" w:type="dxa"/>
          </w:tcPr>
          <w:p>
            <w:pPr>
              <w:pStyle w:val="TableNAm"/>
              <w:spacing w:before="60"/>
              <w:rPr>
                <w:i/>
                <w:iCs/>
                <w:sz w:val="22"/>
              </w:rPr>
            </w:pPr>
            <w:smartTag w:uri="urn:schemas-microsoft-com:office:smarttags" w:element="place">
              <w:smartTag w:uri="urn:schemas-microsoft-com:office:smarttags" w:element="PlaceName">
                <w:r>
                  <w:rPr>
                    <w:i/>
                    <w:iCs/>
                    <w:sz w:val="22"/>
                  </w:rPr>
                  <w:t>South</w:t>
                </w:r>
              </w:smartTag>
              <w:r>
                <w:rPr>
                  <w:i/>
                  <w:iCs/>
                  <w:sz w:val="22"/>
                </w:rPr>
                <w:t xml:space="preserve"> </w:t>
              </w:r>
              <w:smartTag w:uri="urn:schemas-microsoft-com:office:smarttags" w:element="PlaceType">
                <w:r>
                  <w:rPr>
                    <w:i/>
                    <w:iCs/>
                    <w:sz w:val="22"/>
                  </w:rPr>
                  <w:t>Coast</w:t>
                </w:r>
              </w:smartTag>
            </w:smartTag>
            <w:r>
              <w:rPr>
                <w:i/>
                <w:iCs/>
                <w:sz w:val="22"/>
              </w:rPr>
              <w:t xml:space="preserve"> Salmon Fishery Notice 1982</w:t>
            </w:r>
          </w:p>
        </w:tc>
        <w:tc>
          <w:tcPr>
            <w:tcW w:w="3260" w:type="dxa"/>
          </w:tcPr>
          <w:p>
            <w:pPr>
              <w:pStyle w:val="TableNAm"/>
              <w:spacing w:before="60"/>
              <w:rPr>
                <w:i/>
                <w:iCs/>
                <w:sz w:val="22"/>
              </w:rPr>
            </w:pPr>
            <w:smartTag w:uri="urn:schemas-microsoft-com:office:smarttags" w:element="place">
              <w:smartTag w:uri="urn:schemas-microsoft-com:office:smarttags" w:element="PlaceName">
                <w:r>
                  <w:rPr>
                    <w:i/>
                    <w:iCs/>
                    <w:sz w:val="22"/>
                  </w:rPr>
                  <w:t>South</w:t>
                </w:r>
              </w:smartTag>
              <w:r>
                <w:rPr>
                  <w:i/>
                  <w:iCs/>
                  <w:sz w:val="22"/>
                </w:rPr>
                <w:t xml:space="preserve"> </w:t>
              </w:r>
              <w:smartTag w:uri="urn:schemas-microsoft-com:office:smarttags" w:element="PlaceType">
                <w:r>
                  <w:rPr>
                    <w:i/>
                    <w:iCs/>
                    <w:sz w:val="22"/>
                  </w:rPr>
                  <w:t>Coast</w:t>
                </w:r>
              </w:smartTag>
            </w:smartTag>
            <w:r>
              <w:rPr>
                <w:i/>
                <w:iCs/>
                <w:sz w:val="22"/>
              </w:rPr>
              <w:t xml:space="preserve"> Salmon Management Plan 1982</w:t>
            </w:r>
          </w:p>
        </w:tc>
      </w:tr>
      <w:tr>
        <w:tc>
          <w:tcPr>
            <w:tcW w:w="3118" w:type="dxa"/>
          </w:tcPr>
          <w:p>
            <w:pPr>
              <w:pStyle w:val="TableNAm"/>
              <w:spacing w:before="60"/>
              <w:rPr>
                <w:i/>
                <w:iCs/>
                <w:sz w:val="22"/>
              </w:rPr>
            </w:pPr>
            <w:r>
              <w:rPr>
                <w:i/>
                <w:iCs/>
                <w:sz w:val="22"/>
              </w:rPr>
              <w:t>South</w:t>
            </w:r>
            <w:r>
              <w:rPr>
                <w:i/>
                <w:iCs/>
                <w:sz w:val="22"/>
              </w:rPr>
              <w:noBreakHyphen/>
              <w:t>West Coast Salmon Fishery Notice 1982</w:t>
            </w:r>
          </w:p>
        </w:tc>
        <w:tc>
          <w:tcPr>
            <w:tcW w:w="3260" w:type="dxa"/>
          </w:tcPr>
          <w:p>
            <w:pPr>
              <w:pStyle w:val="TableNAm"/>
              <w:spacing w:before="60"/>
              <w:rPr>
                <w:i/>
                <w:iCs/>
                <w:sz w:val="22"/>
              </w:rPr>
            </w:pPr>
            <w:r>
              <w:rPr>
                <w:i/>
                <w:iCs/>
                <w:sz w:val="22"/>
              </w:rPr>
              <w:t>South</w:t>
            </w:r>
            <w:r>
              <w:rPr>
                <w:i/>
                <w:iCs/>
                <w:sz w:val="22"/>
              </w:rPr>
              <w:noBreakHyphen/>
              <w:t>West Coast Salmon Management Plan 1982</w:t>
            </w:r>
          </w:p>
        </w:tc>
      </w:tr>
    </w:tbl>
    <w:p>
      <w:pPr>
        <w:pStyle w:val="Ednotesection"/>
      </w:pPr>
      <w:r>
        <w:t>[</w:t>
      </w:r>
      <w:r>
        <w:rPr>
          <w:b/>
        </w:rPr>
        <w:t>184, 185.</w:t>
      </w:r>
      <w:r>
        <w:tab/>
        <w:t>Deleted in Gazette 23 May 2006 p. 1861.]</w:t>
      </w:r>
    </w:p>
    <w:p>
      <w:pPr>
        <w:pStyle w:val="Heading5"/>
        <w:rPr>
          <w:snapToGrid w:val="0"/>
        </w:rPr>
      </w:pPr>
      <w:bookmarkStart w:id="5877" w:name="_Toc309309592"/>
      <w:r>
        <w:rPr>
          <w:rStyle w:val="CharSectno"/>
        </w:rPr>
        <w:t>186</w:t>
      </w:r>
      <w:r>
        <w:rPr>
          <w:snapToGrid w:val="0"/>
        </w:rPr>
        <w:t>.</w:t>
      </w:r>
      <w:r>
        <w:rPr>
          <w:snapToGrid w:val="0"/>
        </w:rPr>
        <w:tab/>
        <w:t>Certain notices under repealed Act continued as orders under Act s. 43</w:t>
      </w:r>
      <w:bookmarkEnd w:id="5877"/>
    </w:p>
    <w:p>
      <w:pPr>
        <w:pStyle w:val="Subsection"/>
        <w:rPr>
          <w:snapToGrid w:val="0"/>
        </w:rPr>
      </w:pPr>
      <w:r>
        <w:rPr>
          <w:snapToGrid w:val="0"/>
        </w:rPr>
        <w:tab/>
      </w:r>
      <w:r>
        <w:rPr>
          <w:snapToGrid w:val="0"/>
        </w:rPr>
        <w:tab/>
        <w:t>A notice under section 9, 10, 11 or 38 of the repealed Act in force immediately before the commencement of these regulations continues in force on that commencement, and may be amended or revoked, as if the notice were an order made under section 43 of the Act and as if any reference in the notice to the Director were a reference to the CEO.</w:t>
      </w:r>
    </w:p>
    <w:p>
      <w:pPr>
        <w:pStyle w:val="Footnotesection"/>
      </w:pPr>
      <w:r>
        <w:tab/>
        <w:t>[Regulation 186 amended in Gazette 6 Jul 2007 p. 3389</w:t>
      </w:r>
      <w:r>
        <w:noBreakHyphen/>
        <w:t>90.]</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5878" w:name="_Toc189988155"/>
      <w:bookmarkStart w:id="5879" w:name="_Toc192041738"/>
      <w:bookmarkStart w:id="5880" w:name="_Toc199570972"/>
      <w:bookmarkStart w:id="5881" w:name="_Toc199738970"/>
      <w:bookmarkStart w:id="5882" w:name="_Toc199815071"/>
      <w:bookmarkStart w:id="5883" w:name="_Toc215040878"/>
      <w:bookmarkStart w:id="5884" w:name="_Toc215041323"/>
      <w:bookmarkStart w:id="5885" w:name="_Toc222129531"/>
      <w:bookmarkStart w:id="5886" w:name="_Toc222223236"/>
      <w:bookmarkStart w:id="5887" w:name="_Toc225914488"/>
      <w:bookmarkStart w:id="5888" w:name="_Toc231282533"/>
      <w:bookmarkStart w:id="5889" w:name="_Toc231282977"/>
      <w:bookmarkStart w:id="5890" w:name="_Toc234899567"/>
      <w:bookmarkStart w:id="5891" w:name="_Toc236632849"/>
      <w:bookmarkStart w:id="5892" w:name="_Toc236720462"/>
      <w:bookmarkStart w:id="5893" w:name="_Toc237764661"/>
      <w:bookmarkStart w:id="5894" w:name="_Toc238356285"/>
      <w:bookmarkStart w:id="5895" w:name="_Toc238368990"/>
      <w:bookmarkStart w:id="5896" w:name="_Toc238375943"/>
      <w:bookmarkStart w:id="5897" w:name="_Toc240339267"/>
      <w:bookmarkStart w:id="5898" w:name="_Toc241993773"/>
      <w:bookmarkStart w:id="5899" w:name="_Toc243192916"/>
      <w:bookmarkStart w:id="5900" w:name="_Toc243295618"/>
      <w:bookmarkStart w:id="5901" w:name="_Toc245113191"/>
      <w:bookmarkStart w:id="5902" w:name="_Toc245198353"/>
      <w:bookmarkStart w:id="5903" w:name="_Toc245198802"/>
      <w:bookmarkStart w:id="5904" w:name="_Toc245199251"/>
      <w:bookmarkStart w:id="5905" w:name="_Toc248122282"/>
      <w:bookmarkStart w:id="5906" w:name="_Toc248122733"/>
      <w:bookmarkStart w:id="5907" w:name="_Toc253670720"/>
      <w:bookmarkStart w:id="5908" w:name="_Toc253671170"/>
      <w:bookmarkStart w:id="5909" w:name="_Toc254942944"/>
      <w:bookmarkStart w:id="5910" w:name="_Toc254943397"/>
      <w:bookmarkStart w:id="5911" w:name="_Toc255475989"/>
      <w:bookmarkStart w:id="5912" w:name="_Toc256432310"/>
      <w:bookmarkStart w:id="5913" w:name="_Toc257720647"/>
      <w:bookmarkStart w:id="5914" w:name="_Toc257722329"/>
      <w:bookmarkStart w:id="5915" w:name="_Toc258336005"/>
      <w:bookmarkStart w:id="5916" w:name="_Toc260406447"/>
      <w:bookmarkStart w:id="5917" w:name="_Toc261271633"/>
      <w:bookmarkStart w:id="5918" w:name="_Toc262808315"/>
      <w:bookmarkStart w:id="5919" w:name="_Toc267572708"/>
      <w:bookmarkStart w:id="5920" w:name="_Toc270684457"/>
      <w:bookmarkStart w:id="5921" w:name="_Toc274214634"/>
      <w:bookmarkStart w:id="5922" w:name="_Toc274215083"/>
      <w:bookmarkStart w:id="5923" w:name="_Toc278976414"/>
      <w:bookmarkStart w:id="5924" w:name="_Toc286760735"/>
      <w:bookmarkStart w:id="5925" w:name="_Toc289081080"/>
      <w:bookmarkStart w:id="5926" w:name="_Toc290284274"/>
      <w:bookmarkStart w:id="5927" w:name="_Toc290643095"/>
      <w:bookmarkStart w:id="5928" w:name="_Toc290643544"/>
      <w:bookmarkStart w:id="5929" w:name="_Toc290643997"/>
      <w:bookmarkStart w:id="5930" w:name="_Toc294701814"/>
      <w:bookmarkStart w:id="5931" w:name="_Toc295200222"/>
      <w:bookmarkStart w:id="5932" w:name="_Toc296954663"/>
      <w:bookmarkStart w:id="5933" w:name="_Toc297276298"/>
      <w:bookmarkStart w:id="5934" w:name="_Toc297276750"/>
      <w:bookmarkStart w:id="5935" w:name="_Toc297277200"/>
      <w:bookmarkStart w:id="5936" w:name="_Toc297726569"/>
      <w:bookmarkStart w:id="5937" w:name="_Toc299980355"/>
      <w:bookmarkStart w:id="5938" w:name="_Toc300234981"/>
      <w:bookmarkStart w:id="5939" w:name="_Toc301961484"/>
      <w:bookmarkStart w:id="5940" w:name="_Toc301967054"/>
      <w:bookmarkStart w:id="5941" w:name="_Toc303253263"/>
      <w:bookmarkStart w:id="5942" w:name="_Toc303257427"/>
      <w:bookmarkStart w:id="5943" w:name="_Toc307993060"/>
      <w:bookmarkStart w:id="5944" w:name="_Toc309030093"/>
      <w:bookmarkStart w:id="5945" w:name="_Toc309304316"/>
      <w:bookmarkStart w:id="5946" w:name="_Toc309309593"/>
      <w:r>
        <w:rPr>
          <w:rStyle w:val="CharSchNo"/>
        </w:rPr>
        <w:t>Schedule 1</w:t>
      </w:r>
      <w:r>
        <w:t> — </w:t>
      </w:r>
      <w:r>
        <w:rPr>
          <w:rStyle w:val="CharSchText"/>
        </w:rPr>
        <w:t>Fees</w:t>
      </w:r>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4"/>
      <w:bookmarkEnd w:id="5945"/>
      <w:bookmarkEnd w:id="5946"/>
    </w:p>
    <w:p>
      <w:pPr>
        <w:pStyle w:val="yFootnoteheading"/>
      </w:pPr>
      <w:r>
        <w:tab/>
        <w:t>[Heading inserted in Gazette 9 Jun 2009 p. 1912.]</w:t>
      </w:r>
    </w:p>
    <w:p>
      <w:pPr>
        <w:pStyle w:val="yHeading2"/>
      </w:pPr>
      <w:bookmarkStart w:id="5947" w:name="_Toc233188986"/>
      <w:bookmarkStart w:id="5948" w:name="_Toc234382858"/>
      <w:bookmarkStart w:id="5949" w:name="_Toc234899568"/>
      <w:bookmarkStart w:id="5950" w:name="_Toc236632850"/>
      <w:bookmarkStart w:id="5951" w:name="_Toc236720463"/>
      <w:bookmarkStart w:id="5952" w:name="_Toc237764662"/>
      <w:bookmarkStart w:id="5953" w:name="_Toc238356286"/>
      <w:bookmarkStart w:id="5954" w:name="_Toc238368991"/>
      <w:bookmarkStart w:id="5955" w:name="_Toc238375944"/>
      <w:bookmarkStart w:id="5956" w:name="_Toc240339268"/>
      <w:bookmarkStart w:id="5957" w:name="_Toc241993774"/>
      <w:bookmarkStart w:id="5958" w:name="_Toc243192917"/>
      <w:bookmarkStart w:id="5959" w:name="_Toc243295619"/>
      <w:bookmarkStart w:id="5960" w:name="_Toc245113192"/>
      <w:bookmarkStart w:id="5961" w:name="_Toc245198354"/>
      <w:bookmarkStart w:id="5962" w:name="_Toc245198803"/>
      <w:bookmarkStart w:id="5963" w:name="_Toc245199252"/>
      <w:bookmarkStart w:id="5964" w:name="_Toc248122283"/>
      <w:bookmarkStart w:id="5965" w:name="_Toc248122734"/>
      <w:bookmarkStart w:id="5966" w:name="_Toc253670721"/>
      <w:bookmarkStart w:id="5967" w:name="_Toc253671171"/>
      <w:bookmarkStart w:id="5968" w:name="_Toc254942945"/>
      <w:bookmarkStart w:id="5969" w:name="_Toc254943398"/>
      <w:bookmarkStart w:id="5970" w:name="_Toc255475990"/>
      <w:bookmarkStart w:id="5971" w:name="_Toc256432311"/>
      <w:bookmarkStart w:id="5972" w:name="_Toc257720648"/>
      <w:bookmarkStart w:id="5973" w:name="_Toc257722330"/>
      <w:bookmarkStart w:id="5974" w:name="_Toc258336006"/>
      <w:bookmarkStart w:id="5975" w:name="_Toc260406448"/>
      <w:bookmarkStart w:id="5976" w:name="_Toc261271634"/>
      <w:bookmarkStart w:id="5977" w:name="_Toc262808316"/>
      <w:bookmarkStart w:id="5978" w:name="_Toc267572709"/>
      <w:bookmarkStart w:id="5979" w:name="_Toc270684458"/>
      <w:bookmarkStart w:id="5980" w:name="_Toc274214635"/>
      <w:bookmarkStart w:id="5981" w:name="_Toc274215084"/>
      <w:bookmarkStart w:id="5982" w:name="_Toc278976415"/>
      <w:bookmarkStart w:id="5983" w:name="_Toc286760736"/>
      <w:bookmarkStart w:id="5984" w:name="_Toc289081081"/>
      <w:bookmarkStart w:id="5985" w:name="_Toc290284275"/>
      <w:bookmarkStart w:id="5986" w:name="_Toc290643096"/>
      <w:bookmarkStart w:id="5987" w:name="_Toc290643545"/>
      <w:bookmarkStart w:id="5988" w:name="_Toc290643998"/>
      <w:bookmarkStart w:id="5989" w:name="_Toc294701815"/>
      <w:bookmarkStart w:id="5990" w:name="_Toc295200223"/>
      <w:bookmarkStart w:id="5991" w:name="_Toc296954664"/>
      <w:bookmarkStart w:id="5992" w:name="_Toc297276299"/>
      <w:bookmarkStart w:id="5993" w:name="_Toc297276751"/>
      <w:bookmarkStart w:id="5994" w:name="_Toc297277201"/>
      <w:bookmarkStart w:id="5995" w:name="_Toc297726570"/>
      <w:bookmarkStart w:id="5996" w:name="_Toc299980356"/>
      <w:bookmarkStart w:id="5997" w:name="_Toc300234982"/>
      <w:bookmarkStart w:id="5998" w:name="_Toc301961485"/>
      <w:bookmarkStart w:id="5999" w:name="_Toc301967055"/>
      <w:bookmarkStart w:id="6000" w:name="_Toc303253264"/>
      <w:bookmarkStart w:id="6001" w:name="_Toc303257428"/>
      <w:bookmarkStart w:id="6002" w:name="_Toc307993061"/>
      <w:bookmarkStart w:id="6003" w:name="_Toc309030094"/>
      <w:bookmarkStart w:id="6004" w:name="_Toc309304317"/>
      <w:bookmarkStart w:id="6005" w:name="_Toc309309594"/>
      <w:r>
        <w:rPr>
          <w:rStyle w:val="CharSDivNo"/>
          <w:sz w:val="28"/>
        </w:rPr>
        <w:t>Part 1</w:t>
      </w:r>
      <w:r>
        <w:t> — </w:t>
      </w:r>
      <w:r>
        <w:rPr>
          <w:rStyle w:val="CharSDivText"/>
          <w:sz w:val="28"/>
        </w:rPr>
        <w:t>General fees</w:t>
      </w:r>
      <w:bookmarkEnd w:id="5947"/>
      <w:bookmarkEnd w:id="5948"/>
      <w:bookmarkEnd w:id="5949"/>
      <w:bookmarkEnd w:id="5950"/>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bookmarkEnd w:id="5966"/>
      <w:bookmarkEnd w:id="5967"/>
      <w:bookmarkEnd w:id="5968"/>
      <w:bookmarkEnd w:id="5969"/>
      <w:bookmarkEnd w:id="5970"/>
      <w:bookmarkEnd w:id="5971"/>
      <w:bookmarkEnd w:id="5972"/>
      <w:bookmarkEnd w:id="5973"/>
      <w:bookmarkEnd w:id="5974"/>
      <w:bookmarkEnd w:id="5975"/>
      <w:bookmarkEnd w:id="5976"/>
      <w:bookmarkEnd w:id="5977"/>
      <w:bookmarkEnd w:id="5978"/>
      <w:bookmarkEnd w:id="5979"/>
      <w:bookmarkEnd w:id="5980"/>
      <w:bookmarkEnd w:id="5981"/>
      <w:bookmarkEnd w:id="5982"/>
      <w:bookmarkEnd w:id="5983"/>
      <w:bookmarkEnd w:id="5984"/>
      <w:bookmarkEnd w:id="5985"/>
      <w:bookmarkEnd w:id="5986"/>
      <w:bookmarkEnd w:id="5987"/>
      <w:bookmarkEnd w:id="5988"/>
      <w:bookmarkEnd w:id="5989"/>
      <w:bookmarkEnd w:id="5990"/>
      <w:bookmarkEnd w:id="5991"/>
      <w:bookmarkEnd w:id="5992"/>
      <w:bookmarkEnd w:id="5993"/>
      <w:bookmarkEnd w:id="5994"/>
      <w:bookmarkEnd w:id="5995"/>
      <w:bookmarkEnd w:id="5996"/>
      <w:bookmarkEnd w:id="5997"/>
      <w:bookmarkEnd w:id="5998"/>
      <w:bookmarkEnd w:id="5999"/>
      <w:bookmarkEnd w:id="6000"/>
      <w:bookmarkEnd w:id="6001"/>
      <w:bookmarkEnd w:id="6002"/>
      <w:bookmarkEnd w:id="6003"/>
      <w:bookmarkEnd w:id="6004"/>
      <w:bookmarkEnd w:id="6005"/>
    </w:p>
    <w:p>
      <w:pPr>
        <w:pStyle w:val="yFootnoteheading"/>
      </w:pPr>
      <w:r>
        <w:tab/>
        <w:t>[Heading inserted in Gazette 9 Jun 2009 p. 1912.]</w:t>
      </w:r>
    </w:p>
    <w:p>
      <w:pPr>
        <w:pStyle w:val="yTHeadingNAm"/>
        <w:spacing w:before="240"/>
      </w:pPr>
      <w:r>
        <w:t>Table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880"/>
        <w:gridCol w:w="1200"/>
      </w:tblGrid>
      <w:tr>
        <w:trPr>
          <w:tblHeader/>
        </w:trPr>
        <w:tc>
          <w:tcPr>
            <w:tcW w:w="5880" w:type="dxa"/>
          </w:tcPr>
          <w:p>
            <w:pPr>
              <w:pStyle w:val="yTableNAm"/>
              <w:rPr>
                <w:b/>
                <w:bCs/>
              </w:rPr>
            </w:pPr>
            <w:r>
              <w:rPr>
                <w:b/>
                <w:bCs/>
              </w:rPr>
              <w:t>Fees</w:t>
            </w:r>
          </w:p>
        </w:tc>
        <w:tc>
          <w:tcPr>
            <w:tcW w:w="1200" w:type="dxa"/>
          </w:tcPr>
          <w:p>
            <w:pPr>
              <w:pStyle w:val="yTableNAm"/>
              <w:ind w:right="118"/>
              <w:jc w:val="center"/>
              <w:rPr>
                <w:b/>
                <w:bCs/>
              </w:rPr>
            </w:pPr>
            <w:r>
              <w:rPr>
                <w:b/>
                <w:bCs/>
              </w:rPr>
              <w:t>$</w:t>
            </w:r>
          </w:p>
        </w:tc>
      </w:tr>
      <w:tr>
        <w:tc>
          <w:tcPr>
            <w:tcW w:w="5880" w:type="dxa"/>
          </w:tcPr>
          <w:p>
            <w:pPr>
              <w:pStyle w:val="yTableNAm"/>
              <w:tabs>
                <w:tab w:val="clear" w:pos="567"/>
                <w:tab w:val="left" w:pos="598"/>
              </w:tabs>
              <w:ind w:left="612" w:hanging="612"/>
            </w:pPr>
            <w:r>
              <w:t>1.</w:t>
            </w:r>
            <w:r>
              <w:tab/>
              <w:t>Application for an exemption under section 7(4) —</w:t>
            </w:r>
          </w:p>
        </w:tc>
        <w:tc>
          <w:tcPr>
            <w:tcW w:w="1200" w:type="dxa"/>
          </w:tcPr>
          <w:p>
            <w:pPr>
              <w:pStyle w:val="yTableNAm"/>
              <w:ind w:right="118"/>
              <w:jc w:val="right"/>
            </w:pPr>
          </w:p>
        </w:tc>
      </w:tr>
      <w:tr>
        <w:tc>
          <w:tcPr>
            <w:tcW w:w="5880" w:type="dxa"/>
          </w:tcPr>
          <w:p>
            <w:pPr>
              <w:pStyle w:val="yTableNAm"/>
              <w:tabs>
                <w:tab w:val="left" w:pos="1092"/>
              </w:tabs>
              <w:ind w:left="1092" w:hanging="1092"/>
            </w:pPr>
            <w:r>
              <w:tab/>
              <w:t>(a)</w:t>
            </w:r>
            <w:r>
              <w:tab/>
              <w:t xml:space="preserve">to the Minister, for any purpose (as provided by section 7(2) of the Act) </w:t>
            </w:r>
          </w:p>
        </w:tc>
        <w:tc>
          <w:tcPr>
            <w:tcW w:w="1200" w:type="dxa"/>
          </w:tcPr>
          <w:p>
            <w:pPr>
              <w:pStyle w:val="yTableNAm"/>
              <w:ind w:right="118"/>
              <w:jc w:val="right"/>
            </w:pPr>
            <w:r>
              <w:br/>
            </w:r>
            <w:r>
              <w:rPr>
                <w:szCs w:val="22"/>
              </w:rPr>
              <w:t>2 335.00</w:t>
            </w:r>
          </w:p>
        </w:tc>
      </w:tr>
      <w:tr>
        <w:tc>
          <w:tcPr>
            <w:tcW w:w="5880" w:type="dxa"/>
          </w:tcPr>
          <w:p>
            <w:pPr>
              <w:pStyle w:val="yTableNAm"/>
              <w:tabs>
                <w:tab w:val="left" w:pos="1092"/>
              </w:tabs>
              <w:ind w:left="1092" w:hanging="1092"/>
            </w:pPr>
            <w:r>
              <w:tab/>
              <w:t>(b)</w:t>
            </w:r>
            <w:r>
              <w:tab/>
              <w:t xml:space="preserve">to the CEO, for the purposes of scientific research (as provided by section 7(3)(a)), or for educational and community awareness programmes (as provided by section 7(3)(g)) </w:t>
            </w:r>
          </w:p>
        </w:tc>
        <w:tc>
          <w:tcPr>
            <w:tcW w:w="1200" w:type="dxa"/>
          </w:tcPr>
          <w:p>
            <w:pPr>
              <w:pStyle w:val="yTableNAm"/>
              <w:ind w:right="118"/>
              <w:jc w:val="right"/>
            </w:pPr>
            <w:r>
              <w:br/>
            </w:r>
            <w:r>
              <w:br/>
            </w:r>
            <w:r>
              <w:br/>
            </w:r>
            <w:r>
              <w:rPr>
                <w:szCs w:val="22"/>
              </w:rPr>
              <w:t>305.00</w:t>
            </w:r>
          </w:p>
        </w:tc>
      </w:tr>
      <w:tr>
        <w:tc>
          <w:tcPr>
            <w:tcW w:w="5880" w:type="dxa"/>
          </w:tcPr>
          <w:p>
            <w:pPr>
              <w:pStyle w:val="yTableNAm"/>
              <w:tabs>
                <w:tab w:val="left" w:pos="1092"/>
              </w:tabs>
              <w:ind w:left="1092" w:hanging="1092"/>
            </w:pPr>
            <w:r>
              <w:tab/>
              <w:t>(c)</w:t>
            </w:r>
            <w:r>
              <w:tab/>
              <w:t xml:space="preserve">to the CEO, for one of the purposes provided by section 7(3)(b), (c), (d), (e), or (f) </w:t>
            </w:r>
          </w:p>
        </w:tc>
        <w:tc>
          <w:tcPr>
            <w:tcW w:w="1200" w:type="dxa"/>
          </w:tcPr>
          <w:p>
            <w:pPr>
              <w:pStyle w:val="yTableNAm"/>
              <w:ind w:right="118"/>
              <w:jc w:val="right"/>
            </w:pPr>
            <w:r>
              <w:br/>
            </w:r>
            <w:r>
              <w:rPr>
                <w:szCs w:val="22"/>
              </w:rPr>
              <w:t>1 231.00</w:t>
            </w:r>
          </w:p>
        </w:tc>
      </w:tr>
      <w:tr>
        <w:tc>
          <w:tcPr>
            <w:tcW w:w="5880" w:type="dxa"/>
          </w:tcPr>
          <w:p>
            <w:pPr>
              <w:pStyle w:val="yTableNAm"/>
              <w:tabs>
                <w:tab w:val="clear" w:pos="567"/>
                <w:tab w:val="left" w:pos="598"/>
              </w:tabs>
              <w:ind w:left="612" w:hanging="612"/>
            </w:pPr>
            <w:r>
              <w:t>2.</w:t>
            </w:r>
            <w:r>
              <w:tab/>
              <w:t xml:space="preserve">Copy of entry on, or extract from, the register </w:t>
            </w:r>
            <w:r>
              <w:br/>
              <w:t xml:space="preserve">(reg. 114(2)(a)) </w:t>
            </w:r>
          </w:p>
        </w:tc>
        <w:tc>
          <w:tcPr>
            <w:tcW w:w="1200" w:type="dxa"/>
          </w:tcPr>
          <w:p>
            <w:pPr>
              <w:pStyle w:val="yTableNAm"/>
              <w:ind w:right="118"/>
              <w:jc w:val="right"/>
            </w:pPr>
            <w:r>
              <w:br/>
            </w:r>
            <w:r>
              <w:rPr>
                <w:szCs w:val="22"/>
              </w:rPr>
              <w:t>33.00</w:t>
            </w:r>
          </w:p>
        </w:tc>
      </w:tr>
      <w:tr>
        <w:tc>
          <w:tcPr>
            <w:tcW w:w="5880" w:type="dxa"/>
          </w:tcPr>
          <w:p>
            <w:pPr>
              <w:pStyle w:val="yTableNAm"/>
              <w:tabs>
                <w:tab w:val="clear" w:pos="567"/>
                <w:tab w:val="left" w:pos="598"/>
              </w:tabs>
              <w:ind w:left="612" w:hanging="612"/>
            </w:pPr>
            <w:r>
              <w:t>3.</w:t>
            </w:r>
            <w:r>
              <w:tab/>
              <w:t xml:space="preserve">Access to the register in electronic form (reg. 114(2)(b)) </w:t>
            </w:r>
          </w:p>
        </w:tc>
        <w:tc>
          <w:tcPr>
            <w:tcW w:w="1200" w:type="dxa"/>
          </w:tcPr>
          <w:p>
            <w:pPr>
              <w:pStyle w:val="yTableNAm"/>
              <w:ind w:right="118"/>
              <w:jc w:val="right"/>
            </w:pPr>
            <w:r>
              <w:rPr>
                <w:szCs w:val="22"/>
              </w:rPr>
              <w:t>33.00</w:t>
            </w:r>
          </w:p>
        </w:tc>
      </w:tr>
      <w:tr>
        <w:tc>
          <w:tcPr>
            <w:tcW w:w="5880" w:type="dxa"/>
          </w:tcPr>
          <w:p>
            <w:pPr>
              <w:pStyle w:val="yTableNAm"/>
              <w:tabs>
                <w:tab w:val="clear" w:pos="567"/>
                <w:tab w:val="left" w:pos="598"/>
              </w:tabs>
              <w:ind w:left="612" w:hanging="612"/>
            </w:pPr>
            <w:r>
              <w:t>4.</w:t>
            </w:r>
            <w:r>
              <w:tab/>
              <w:t xml:space="preserve">Application for replacement authorisation (reg. 129) </w:t>
            </w:r>
          </w:p>
        </w:tc>
        <w:tc>
          <w:tcPr>
            <w:tcW w:w="1200" w:type="dxa"/>
          </w:tcPr>
          <w:p>
            <w:pPr>
              <w:pStyle w:val="yTableNAm"/>
              <w:ind w:right="118"/>
              <w:jc w:val="right"/>
            </w:pPr>
            <w:r>
              <w:t>20.00</w:t>
            </w:r>
          </w:p>
        </w:tc>
      </w:tr>
    </w:tbl>
    <w:p>
      <w:pPr>
        <w:pStyle w:val="yFootnotesection"/>
      </w:pPr>
      <w:r>
        <w:tab/>
        <w:t>[Part 1 inserted in Gazette 9 Jun 2009 p. 1912; amended in Gazette 6 May 2011 p. 1609</w:t>
      </w:r>
      <w:r>
        <w:noBreakHyphen/>
        <w:t>10.]</w:t>
      </w:r>
    </w:p>
    <w:p>
      <w:pPr>
        <w:pStyle w:val="yHeading2"/>
        <w:keepLines/>
      </w:pPr>
      <w:bookmarkStart w:id="6006" w:name="_Toc233188987"/>
      <w:bookmarkStart w:id="6007" w:name="_Toc234382859"/>
      <w:bookmarkStart w:id="6008" w:name="_Toc234899569"/>
      <w:bookmarkStart w:id="6009" w:name="_Toc236632851"/>
      <w:bookmarkStart w:id="6010" w:name="_Toc236720464"/>
      <w:bookmarkStart w:id="6011" w:name="_Toc237764663"/>
      <w:bookmarkStart w:id="6012" w:name="_Toc238356287"/>
      <w:bookmarkStart w:id="6013" w:name="_Toc238368992"/>
      <w:bookmarkStart w:id="6014" w:name="_Toc238375945"/>
      <w:bookmarkStart w:id="6015" w:name="_Toc240339269"/>
      <w:bookmarkStart w:id="6016" w:name="_Toc241993775"/>
      <w:bookmarkStart w:id="6017" w:name="_Toc243192918"/>
      <w:bookmarkStart w:id="6018" w:name="_Toc243295620"/>
      <w:bookmarkStart w:id="6019" w:name="_Toc245113193"/>
      <w:bookmarkStart w:id="6020" w:name="_Toc245198355"/>
      <w:bookmarkStart w:id="6021" w:name="_Toc245198804"/>
      <w:bookmarkStart w:id="6022" w:name="_Toc245199253"/>
      <w:bookmarkStart w:id="6023" w:name="_Toc248122284"/>
      <w:bookmarkStart w:id="6024" w:name="_Toc248122735"/>
      <w:bookmarkStart w:id="6025" w:name="_Toc253670722"/>
      <w:bookmarkStart w:id="6026" w:name="_Toc253671172"/>
      <w:bookmarkStart w:id="6027" w:name="_Toc254942946"/>
      <w:bookmarkStart w:id="6028" w:name="_Toc254943399"/>
      <w:bookmarkStart w:id="6029" w:name="_Toc255475991"/>
      <w:bookmarkStart w:id="6030" w:name="_Toc256432312"/>
      <w:bookmarkStart w:id="6031" w:name="_Toc257720649"/>
      <w:bookmarkStart w:id="6032" w:name="_Toc257722331"/>
      <w:bookmarkStart w:id="6033" w:name="_Toc258336007"/>
      <w:bookmarkStart w:id="6034" w:name="_Toc260406449"/>
      <w:bookmarkStart w:id="6035" w:name="_Toc261271635"/>
      <w:bookmarkStart w:id="6036" w:name="_Toc262808317"/>
      <w:bookmarkStart w:id="6037" w:name="_Toc267572710"/>
      <w:bookmarkStart w:id="6038" w:name="_Toc270684459"/>
      <w:bookmarkStart w:id="6039" w:name="_Toc274214636"/>
      <w:bookmarkStart w:id="6040" w:name="_Toc274215085"/>
      <w:bookmarkStart w:id="6041" w:name="_Toc278976416"/>
      <w:bookmarkStart w:id="6042" w:name="_Toc286760737"/>
      <w:bookmarkStart w:id="6043" w:name="_Toc289081082"/>
      <w:bookmarkStart w:id="6044" w:name="_Toc290284276"/>
      <w:bookmarkStart w:id="6045" w:name="_Toc290643097"/>
      <w:bookmarkStart w:id="6046" w:name="_Toc290643546"/>
      <w:bookmarkStart w:id="6047" w:name="_Toc290643999"/>
      <w:bookmarkStart w:id="6048" w:name="_Toc294701816"/>
      <w:bookmarkStart w:id="6049" w:name="_Toc295200224"/>
      <w:bookmarkStart w:id="6050" w:name="_Toc296954665"/>
      <w:bookmarkStart w:id="6051" w:name="_Toc297276300"/>
      <w:bookmarkStart w:id="6052" w:name="_Toc297276752"/>
      <w:bookmarkStart w:id="6053" w:name="_Toc297277202"/>
      <w:bookmarkStart w:id="6054" w:name="_Toc297726571"/>
      <w:bookmarkStart w:id="6055" w:name="_Toc299980357"/>
      <w:bookmarkStart w:id="6056" w:name="_Toc300234983"/>
      <w:bookmarkStart w:id="6057" w:name="_Toc301961486"/>
      <w:bookmarkStart w:id="6058" w:name="_Toc301967056"/>
      <w:bookmarkStart w:id="6059" w:name="_Toc303253265"/>
      <w:bookmarkStart w:id="6060" w:name="_Toc303257429"/>
      <w:bookmarkStart w:id="6061" w:name="_Toc307993062"/>
      <w:bookmarkStart w:id="6062" w:name="_Toc309030095"/>
      <w:bookmarkStart w:id="6063" w:name="_Toc309304318"/>
      <w:bookmarkStart w:id="6064" w:name="_Toc309309595"/>
      <w:r>
        <w:rPr>
          <w:rStyle w:val="CharSDivNo"/>
          <w:sz w:val="28"/>
        </w:rPr>
        <w:t>Part 2</w:t>
      </w:r>
      <w:r>
        <w:t> — </w:t>
      </w:r>
      <w:r>
        <w:rPr>
          <w:rStyle w:val="CharSDivText"/>
          <w:sz w:val="28"/>
        </w:rPr>
        <w:t>Application fees</w:t>
      </w:r>
      <w:bookmarkEnd w:id="6006"/>
      <w:bookmarkEnd w:id="6007"/>
      <w:bookmarkEnd w:id="6008"/>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bookmarkEnd w:id="6044"/>
      <w:bookmarkEnd w:id="6045"/>
      <w:bookmarkEnd w:id="6046"/>
      <w:bookmarkEnd w:id="6047"/>
      <w:bookmarkEnd w:id="6048"/>
      <w:bookmarkEnd w:id="6049"/>
      <w:bookmarkEnd w:id="6050"/>
      <w:bookmarkEnd w:id="6051"/>
      <w:bookmarkEnd w:id="6052"/>
      <w:bookmarkEnd w:id="6053"/>
      <w:bookmarkEnd w:id="6054"/>
      <w:bookmarkEnd w:id="6055"/>
      <w:bookmarkEnd w:id="6056"/>
      <w:bookmarkEnd w:id="6057"/>
      <w:bookmarkEnd w:id="6058"/>
      <w:bookmarkEnd w:id="6059"/>
      <w:bookmarkEnd w:id="6060"/>
      <w:bookmarkEnd w:id="6061"/>
      <w:bookmarkEnd w:id="6062"/>
      <w:bookmarkEnd w:id="6063"/>
      <w:bookmarkEnd w:id="6064"/>
    </w:p>
    <w:p>
      <w:pPr>
        <w:pStyle w:val="yShoulderClause"/>
        <w:keepNext/>
        <w:keepLines/>
        <w:rPr>
          <w:snapToGrid w:val="0"/>
        </w:rPr>
      </w:pPr>
      <w:r>
        <w:rPr>
          <w:snapToGrid w:val="0"/>
        </w:rPr>
        <w:t>[reg. 135]</w:t>
      </w:r>
    </w:p>
    <w:p>
      <w:pPr>
        <w:pStyle w:val="yFootnoteheading"/>
        <w:keepNext/>
        <w:keepLines/>
        <w:spacing w:before="40" w:after="80"/>
      </w:pPr>
      <w:r>
        <w:tab/>
        <w:t>[Heading inserted in Gazette 9 Jun 2009 p. 1913.]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760"/>
        <w:gridCol w:w="1320"/>
      </w:tblGrid>
      <w:tr>
        <w:trPr>
          <w:tblHeader/>
        </w:trPr>
        <w:tc>
          <w:tcPr>
            <w:tcW w:w="5760" w:type="dxa"/>
          </w:tcPr>
          <w:p>
            <w:pPr>
              <w:pStyle w:val="yTableNAm"/>
              <w:keepNext/>
              <w:keepLines/>
              <w:rPr>
                <w:b/>
                <w:bCs/>
              </w:rPr>
            </w:pPr>
            <w:r>
              <w:rPr>
                <w:b/>
                <w:bCs/>
              </w:rPr>
              <w:t>Fee</w:t>
            </w:r>
          </w:p>
        </w:tc>
        <w:tc>
          <w:tcPr>
            <w:tcW w:w="1320" w:type="dxa"/>
          </w:tcPr>
          <w:p>
            <w:pPr>
              <w:pStyle w:val="yTableNAm"/>
              <w:keepNext/>
              <w:keepLines/>
              <w:ind w:right="238"/>
              <w:jc w:val="center"/>
              <w:rPr>
                <w:b/>
                <w:bCs/>
              </w:rPr>
            </w:pPr>
            <w:r>
              <w:rPr>
                <w:b/>
                <w:bCs/>
              </w:rPr>
              <w:t>$</w:t>
            </w:r>
          </w:p>
        </w:tc>
      </w:tr>
      <w:tr>
        <w:tc>
          <w:tcPr>
            <w:tcW w:w="5760" w:type="dxa"/>
          </w:tcPr>
          <w:p>
            <w:pPr>
              <w:pStyle w:val="yTableNAm"/>
              <w:keepNext/>
              <w:tabs>
                <w:tab w:val="clear" w:pos="567"/>
                <w:tab w:val="left" w:pos="598"/>
              </w:tabs>
              <w:ind w:left="612" w:hanging="612"/>
            </w:pPr>
            <w:r>
              <w:t>1.</w:t>
            </w:r>
            <w:r>
              <w:tab/>
              <w:t xml:space="preserve">Fishing boat licence, grant or renewal (reg. 118) </w:t>
            </w:r>
          </w:p>
        </w:tc>
        <w:tc>
          <w:tcPr>
            <w:tcW w:w="1320" w:type="dxa"/>
          </w:tcPr>
          <w:p>
            <w:pPr>
              <w:pStyle w:val="yTableNAm"/>
              <w:keepNext/>
              <w:ind w:right="238"/>
              <w:jc w:val="right"/>
            </w:pPr>
            <w:r>
              <w:rPr>
                <w:szCs w:val="22"/>
              </w:rPr>
              <w:t>87.00</w:t>
            </w:r>
          </w:p>
        </w:tc>
      </w:tr>
      <w:tr>
        <w:tc>
          <w:tcPr>
            <w:tcW w:w="5760" w:type="dxa"/>
          </w:tcPr>
          <w:p>
            <w:pPr>
              <w:pStyle w:val="yTableNAm"/>
            </w:pPr>
            <w:r>
              <w:tab/>
              <w:t xml:space="preserve">For transfer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2.</w:t>
            </w:r>
            <w:r>
              <w:tab/>
              <w:t xml:space="preserve">Carrier boat licence, grant or renewal (reg. 120) </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3.</w:t>
            </w:r>
            <w:r>
              <w:tab/>
              <w:t xml:space="preserve">Commercial fishing licence, grant or renewal (reg. 122) </w:t>
            </w:r>
          </w:p>
        </w:tc>
        <w:tc>
          <w:tcPr>
            <w:tcW w:w="1320" w:type="dxa"/>
          </w:tcPr>
          <w:p>
            <w:pPr>
              <w:pStyle w:val="yTableNAm"/>
              <w:ind w:right="238"/>
              <w:jc w:val="right"/>
            </w:pPr>
            <w:r>
              <w:rPr>
                <w:szCs w:val="22"/>
              </w:rPr>
              <w:t>87.00</w:t>
            </w:r>
          </w:p>
        </w:tc>
      </w:tr>
      <w:tr>
        <w:tc>
          <w:tcPr>
            <w:tcW w:w="5760" w:type="dxa"/>
          </w:tcPr>
          <w:p>
            <w:pPr>
              <w:pStyle w:val="yTableNAm"/>
              <w:tabs>
                <w:tab w:val="left" w:pos="1092"/>
              </w:tabs>
              <w:ind w:left="1092" w:hanging="1092"/>
              <w:rPr>
                <w:i/>
                <w:iCs/>
              </w:rPr>
            </w:pPr>
            <w:r>
              <w:rPr>
                <w:i/>
                <w:iCs/>
              </w:rPr>
              <w:t>[4.</w:t>
            </w:r>
            <w:r>
              <w:rPr>
                <w:i/>
                <w:iCs/>
              </w:rPr>
              <w:tab/>
              <w:t>deleted]</w:t>
            </w:r>
          </w:p>
        </w:tc>
        <w:tc>
          <w:tcPr>
            <w:tcW w:w="1320" w:type="dxa"/>
          </w:tcPr>
          <w:p>
            <w:pPr>
              <w:pStyle w:val="yTableNAm"/>
              <w:ind w:right="238"/>
              <w:jc w:val="right"/>
            </w:pPr>
            <w:r>
              <w:tab/>
            </w:r>
          </w:p>
        </w:tc>
      </w:tr>
      <w:tr>
        <w:tc>
          <w:tcPr>
            <w:tcW w:w="5760" w:type="dxa"/>
          </w:tcPr>
          <w:p>
            <w:pPr>
              <w:pStyle w:val="yTableNAm"/>
            </w:pPr>
            <w:r>
              <w:t>5.</w:t>
            </w:r>
            <w:r>
              <w:tab/>
              <w:t xml:space="preserve">Rock lobster pot licence, grant or renewal (reg. 126) </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327.00</w:t>
            </w:r>
          </w:p>
        </w:tc>
      </w:tr>
      <w:tr>
        <w:tc>
          <w:tcPr>
            <w:tcW w:w="5760" w:type="dxa"/>
          </w:tcPr>
          <w:p>
            <w:pPr>
              <w:pStyle w:val="yTableNAm"/>
              <w:tabs>
                <w:tab w:val="clear" w:pos="567"/>
                <w:tab w:val="left" w:pos="598"/>
              </w:tabs>
              <w:ind w:left="612" w:hanging="612"/>
            </w:pPr>
            <w:r>
              <w:t>6.</w:t>
            </w:r>
            <w:r>
              <w:tab/>
              <w:t xml:space="preserve">Application for authority to use another boat (reg. 132)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7.</w:t>
            </w:r>
            <w:r>
              <w:tab/>
              <w:t xml:space="preserve">Grant of permit under section 80 of the Act </w:t>
            </w:r>
          </w:p>
        </w:tc>
        <w:tc>
          <w:tcPr>
            <w:tcW w:w="1320" w:type="dxa"/>
          </w:tcPr>
          <w:p>
            <w:pPr>
              <w:pStyle w:val="yTableNAm"/>
              <w:ind w:right="238"/>
              <w:jc w:val="right"/>
            </w:pPr>
            <w:r>
              <w:rPr>
                <w:szCs w:val="22"/>
              </w:rPr>
              <w:t>465.00</w:t>
            </w:r>
          </w:p>
        </w:tc>
      </w:tr>
      <w:tr>
        <w:tc>
          <w:tcPr>
            <w:tcW w:w="5760" w:type="dxa"/>
          </w:tcPr>
          <w:p>
            <w:pPr>
              <w:pStyle w:val="yTableNAm"/>
              <w:tabs>
                <w:tab w:val="clear" w:pos="567"/>
                <w:tab w:val="left" w:pos="598"/>
              </w:tabs>
              <w:ind w:left="612" w:hanging="612"/>
            </w:pPr>
            <w:r>
              <w:t>8.</w:t>
            </w:r>
            <w:r>
              <w:tab/>
              <w:t xml:space="preserve">Fish processor’s licence under section 83 of the Act </w:t>
            </w:r>
          </w:p>
        </w:tc>
        <w:tc>
          <w:tcPr>
            <w:tcW w:w="1320" w:type="dxa"/>
          </w:tcPr>
          <w:p>
            <w:pPr>
              <w:pStyle w:val="yTableNAm"/>
              <w:ind w:right="238"/>
              <w:jc w:val="right"/>
            </w:pPr>
            <w:r>
              <w:rPr>
                <w:szCs w:val="22"/>
              </w:rPr>
              <w:t>465.00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91.00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544.00</w:t>
            </w:r>
          </w:p>
        </w:tc>
      </w:tr>
      <w:tr>
        <w:tc>
          <w:tcPr>
            <w:tcW w:w="5760" w:type="dxa"/>
          </w:tcPr>
          <w:p>
            <w:pPr>
              <w:pStyle w:val="yTableNAm"/>
              <w:tabs>
                <w:tab w:val="clear" w:pos="567"/>
                <w:tab w:val="left" w:pos="598"/>
              </w:tabs>
              <w:ind w:left="612" w:hanging="612"/>
            </w:pPr>
            <w:r>
              <w:tab/>
              <w:t xml:space="preserve">For variation (other than as set out in item 9) </w:t>
            </w:r>
          </w:p>
        </w:tc>
        <w:tc>
          <w:tcPr>
            <w:tcW w:w="1320" w:type="dxa"/>
          </w:tcPr>
          <w:p>
            <w:pPr>
              <w:pStyle w:val="yTableNAm"/>
              <w:ind w:right="238"/>
              <w:jc w:val="right"/>
            </w:pPr>
            <w:r>
              <w:rPr>
                <w:szCs w:val="22"/>
              </w:rPr>
              <w:t>544.00</w:t>
            </w:r>
          </w:p>
        </w:tc>
      </w:tr>
      <w:tr>
        <w:trPr>
          <w:cantSplit/>
        </w:trPr>
        <w:tc>
          <w:tcPr>
            <w:tcW w:w="5760" w:type="dxa"/>
          </w:tcPr>
          <w:p>
            <w:pPr>
              <w:pStyle w:val="yTableNAm"/>
              <w:tabs>
                <w:tab w:val="clear" w:pos="567"/>
                <w:tab w:val="left" w:pos="598"/>
              </w:tabs>
              <w:ind w:left="612" w:hanging="612"/>
            </w:pPr>
            <w:r>
              <w:t>9.</w:t>
            </w:r>
            <w:r>
              <w:tab/>
              <w:t xml:space="preserve">Variation of fish processor’s licence to change place at which fish may be processed under the licence </w:t>
            </w:r>
          </w:p>
        </w:tc>
        <w:tc>
          <w:tcPr>
            <w:tcW w:w="1320" w:type="dxa"/>
          </w:tcPr>
          <w:p>
            <w:pPr>
              <w:pStyle w:val="yTableNAm"/>
              <w:ind w:right="238"/>
              <w:jc w:val="right"/>
            </w:pPr>
            <w:r>
              <w:br/>
            </w:r>
            <w:r>
              <w:rPr>
                <w:szCs w:val="22"/>
              </w:rPr>
              <w:t>544.00</w:t>
            </w:r>
          </w:p>
        </w:tc>
      </w:tr>
      <w:tr>
        <w:tc>
          <w:tcPr>
            <w:tcW w:w="5760" w:type="dxa"/>
          </w:tcPr>
          <w:p>
            <w:pPr>
              <w:pStyle w:val="yTableNAm"/>
              <w:tabs>
                <w:tab w:val="clear" w:pos="567"/>
                <w:tab w:val="left" w:pos="598"/>
              </w:tabs>
              <w:ind w:left="612" w:hanging="612"/>
            </w:pPr>
            <w:r>
              <w:t>10.</w:t>
            </w:r>
            <w:r>
              <w:tab/>
              <w:t xml:space="preserve">Aquaculture lease, grant or renewal (reg. 67) </w:t>
            </w:r>
          </w:p>
        </w:tc>
        <w:tc>
          <w:tcPr>
            <w:tcW w:w="1320" w:type="dxa"/>
          </w:tcPr>
          <w:p>
            <w:pPr>
              <w:pStyle w:val="yTableNAm"/>
              <w:ind w:right="238"/>
              <w:jc w:val="right"/>
            </w:pPr>
            <w:r>
              <w:rPr>
                <w:szCs w:val="22"/>
              </w:rPr>
              <w:t>2 461.00</w:t>
            </w:r>
          </w:p>
        </w:tc>
      </w:tr>
      <w:tr>
        <w:tc>
          <w:tcPr>
            <w:tcW w:w="5760" w:type="dxa"/>
          </w:tcPr>
          <w:p>
            <w:pPr>
              <w:pStyle w:val="yTableNAm"/>
              <w:tabs>
                <w:tab w:val="clear" w:pos="567"/>
                <w:tab w:val="left" w:pos="598"/>
              </w:tabs>
              <w:ind w:left="612" w:hanging="612"/>
            </w:pPr>
            <w:r>
              <w:t>11.</w:t>
            </w:r>
            <w:r>
              <w:tab/>
              <w:t xml:space="preserve">Aquaculture licence under section 92 of the Act — </w:t>
            </w:r>
          </w:p>
        </w:tc>
        <w:tc>
          <w:tcPr>
            <w:tcW w:w="1320" w:type="dxa"/>
          </w:tcPr>
          <w:p>
            <w:pPr>
              <w:pStyle w:val="yTableNAm"/>
              <w:ind w:right="238"/>
              <w:jc w:val="right"/>
            </w:pPr>
          </w:p>
        </w:tc>
      </w:tr>
      <w:tr>
        <w:tc>
          <w:tcPr>
            <w:tcW w:w="5760" w:type="dxa"/>
          </w:tcPr>
          <w:p>
            <w:pPr>
              <w:pStyle w:val="yTableNAm"/>
              <w:tabs>
                <w:tab w:val="clear" w:pos="567"/>
                <w:tab w:val="left" w:pos="598"/>
              </w:tabs>
              <w:ind w:left="612" w:hanging="612"/>
            </w:pPr>
            <w:r>
              <w:tab/>
              <w:t xml:space="preserve">In respect of freehold land </w:t>
            </w:r>
          </w:p>
        </w:tc>
        <w:tc>
          <w:tcPr>
            <w:tcW w:w="1320" w:type="dxa"/>
          </w:tcPr>
          <w:p>
            <w:pPr>
              <w:pStyle w:val="yTableNAm"/>
              <w:ind w:right="238"/>
              <w:jc w:val="right"/>
            </w:pPr>
            <w:r>
              <w:rPr>
                <w:szCs w:val="22"/>
              </w:rPr>
              <w:t>171.00</w:t>
            </w:r>
          </w:p>
        </w:tc>
      </w:tr>
      <w:tr>
        <w:tc>
          <w:tcPr>
            <w:tcW w:w="5760" w:type="dxa"/>
          </w:tcPr>
          <w:p>
            <w:pPr>
              <w:pStyle w:val="yTableNAm"/>
              <w:tabs>
                <w:tab w:val="clear" w:pos="567"/>
                <w:tab w:val="left" w:pos="598"/>
              </w:tabs>
              <w:ind w:left="612" w:hanging="612"/>
            </w:pPr>
            <w:r>
              <w:tab/>
              <w:t>In respect of non</w:t>
            </w:r>
            <w:r>
              <w:noBreakHyphen/>
              <w:t xml:space="preserve">freehold land </w:t>
            </w:r>
          </w:p>
        </w:tc>
        <w:tc>
          <w:tcPr>
            <w:tcW w:w="1320" w:type="dxa"/>
          </w:tcPr>
          <w:p>
            <w:pPr>
              <w:pStyle w:val="yTableNAm"/>
              <w:ind w:right="238"/>
              <w:jc w:val="right"/>
            </w:pPr>
            <w:r>
              <w:rPr>
                <w:szCs w:val="22"/>
              </w:rPr>
              <w:t>771.00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ab/>
              <w:t xml:space="preserve">For transfer (freehold land) </w:t>
            </w:r>
          </w:p>
        </w:tc>
        <w:tc>
          <w:tcPr>
            <w:tcW w:w="1320" w:type="dxa"/>
          </w:tcPr>
          <w:p>
            <w:pPr>
              <w:pStyle w:val="yTableNAm"/>
              <w:ind w:right="238"/>
              <w:jc w:val="right"/>
            </w:pPr>
            <w:r>
              <w:rPr>
                <w:szCs w:val="22"/>
              </w:rPr>
              <w:t>171.00</w:t>
            </w:r>
          </w:p>
        </w:tc>
      </w:tr>
      <w:tr>
        <w:tc>
          <w:tcPr>
            <w:tcW w:w="5760" w:type="dxa"/>
          </w:tcPr>
          <w:p>
            <w:pPr>
              <w:pStyle w:val="yTableNAm"/>
              <w:tabs>
                <w:tab w:val="clear" w:pos="567"/>
                <w:tab w:val="left" w:pos="598"/>
              </w:tabs>
              <w:ind w:left="612" w:hanging="612"/>
            </w:pPr>
            <w:r>
              <w:tab/>
              <w:t>For transfer (non</w:t>
            </w:r>
            <w:r>
              <w:noBreakHyphen/>
              <w:t xml:space="preserve">freehold land) </w:t>
            </w:r>
          </w:p>
        </w:tc>
        <w:tc>
          <w:tcPr>
            <w:tcW w:w="1320" w:type="dxa"/>
          </w:tcPr>
          <w:p>
            <w:pPr>
              <w:pStyle w:val="yTableNAm"/>
              <w:ind w:right="238"/>
              <w:jc w:val="right"/>
            </w:pPr>
            <w:r>
              <w:rPr>
                <w:szCs w:val="22"/>
              </w:rPr>
              <w:t>567.00</w:t>
            </w:r>
          </w:p>
        </w:tc>
      </w:tr>
      <w:tr>
        <w:tc>
          <w:tcPr>
            <w:tcW w:w="5760" w:type="dxa"/>
          </w:tcPr>
          <w:p>
            <w:pPr>
              <w:pStyle w:val="yTableNAm"/>
              <w:tabs>
                <w:tab w:val="clear" w:pos="567"/>
                <w:tab w:val="left" w:pos="598"/>
              </w:tabs>
              <w:ind w:left="612" w:hanging="612"/>
            </w:pPr>
            <w:r>
              <w:tab/>
              <w:t xml:space="preserve">For variation (freehold land) </w:t>
            </w:r>
          </w:p>
        </w:tc>
        <w:tc>
          <w:tcPr>
            <w:tcW w:w="1320" w:type="dxa"/>
          </w:tcPr>
          <w:p>
            <w:pPr>
              <w:pStyle w:val="yTableNAm"/>
              <w:ind w:right="238"/>
              <w:jc w:val="right"/>
            </w:pPr>
            <w:r>
              <w:rPr>
                <w:szCs w:val="22"/>
              </w:rPr>
              <w:t>171.00</w:t>
            </w:r>
          </w:p>
        </w:tc>
      </w:tr>
      <w:tr>
        <w:tc>
          <w:tcPr>
            <w:tcW w:w="5760" w:type="dxa"/>
          </w:tcPr>
          <w:p>
            <w:pPr>
              <w:pStyle w:val="yTableNAm"/>
              <w:tabs>
                <w:tab w:val="clear" w:pos="567"/>
                <w:tab w:val="left" w:pos="598"/>
              </w:tabs>
              <w:ind w:left="612" w:hanging="612"/>
            </w:pPr>
            <w:r>
              <w:tab/>
              <w:t>For variation (non</w:t>
            </w:r>
            <w:r>
              <w:noBreakHyphen/>
              <w:t xml:space="preserve">freehold land) </w:t>
            </w:r>
          </w:p>
        </w:tc>
        <w:tc>
          <w:tcPr>
            <w:tcW w:w="1320" w:type="dxa"/>
          </w:tcPr>
          <w:p>
            <w:pPr>
              <w:pStyle w:val="yTableNAm"/>
              <w:ind w:right="238"/>
              <w:jc w:val="right"/>
            </w:pPr>
            <w:r>
              <w:rPr>
                <w:szCs w:val="22"/>
              </w:rPr>
              <w:t>567.00</w:t>
            </w:r>
          </w:p>
        </w:tc>
      </w:tr>
      <w:tr>
        <w:tc>
          <w:tcPr>
            <w:tcW w:w="5760" w:type="dxa"/>
          </w:tcPr>
          <w:p>
            <w:pPr>
              <w:pStyle w:val="yTableNAm"/>
              <w:tabs>
                <w:tab w:val="clear" w:pos="567"/>
                <w:tab w:val="left" w:pos="598"/>
              </w:tabs>
              <w:ind w:left="612" w:hanging="612"/>
            </w:pPr>
            <w:r>
              <w:t>12.</w:t>
            </w:r>
            <w:r>
              <w:tab/>
              <w:t xml:space="preserve">Authorisation under section 66 of the Act </w:t>
            </w:r>
          </w:p>
        </w:tc>
        <w:tc>
          <w:tcPr>
            <w:tcW w:w="1320" w:type="dxa"/>
          </w:tcPr>
          <w:p>
            <w:pPr>
              <w:pStyle w:val="yTableNAm"/>
              <w:ind w:right="238"/>
              <w:jc w:val="right"/>
            </w:pPr>
            <w:r>
              <w:rPr>
                <w:szCs w:val="22"/>
              </w:rPr>
              <w:t>329.00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13.</w:t>
            </w:r>
            <w:r>
              <w:tab/>
              <w:t xml:space="preserve">Exclusive licence, grant or renewal (reg. 166) </w:t>
            </w:r>
          </w:p>
        </w:tc>
        <w:tc>
          <w:tcPr>
            <w:tcW w:w="1320" w:type="dxa"/>
          </w:tcPr>
          <w:p>
            <w:pPr>
              <w:pStyle w:val="yTableNAm"/>
              <w:ind w:right="238"/>
              <w:jc w:val="right"/>
            </w:pPr>
            <w:r>
              <w:rPr>
                <w:szCs w:val="22"/>
              </w:rPr>
              <w:t>771.00</w:t>
            </w:r>
          </w:p>
        </w:tc>
      </w:tr>
      <w:tr>
        <w:tc>
          <w:tcPr>
            <w:tcW w:w="5760" w:type="dxa"/>
          </w:tcPr>
          <w:p>
            <w:pPr>
              <w:pStyle w:val="yTableNAm"/>
              <w:tabs>
                <w:tab w:val="clear" w:pos="567"/>
                <w:tab w:val="left" w:pos="598"/>
              </w:tabs>
              <w:ind w:left="612" w:hanging="612"/>
            </w:pPr>
            <w:r>
              <w:t>14.</w:t>
            </w:r>
            <w:r>
              <w:tab/>
              <w:t>Authority to take fish for scientific purposes (reg. 178)</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15.</w:t>
            </w:r>
            <w:r>
              <w:tab/>
              <w:t>Authority to bring in non</w:t>
            </w:r>
            <w:r>
              <w:noBreakHyphen/>
              <w:t xml:space="preserve">endemic fish (reg. 176) </w:t>
            </w:r>
          </w:p>
        </w:tc>
        <w:tc>
          <w:tcPr>
            <w:tcW w:w="1320" w:type="dxa"/>
          </w:tcPr>
          <w:p>
            <w:pPr>
              <w:pStyle w:val="yTableNAm"/>
              <w:ind w:right="238"/>
              <w:jc w:val="right"/>
            </w:pPr>
            <w:r>
              <w:rPr>
                <w:szCs w:val="22"/>
              </w:rPr>
              <w:t>153.00</w:t>
            </w:r>
          </w:p>
        </w:tc>
      </w:tr>
      <w:tr>
        <w:tc>
          <w:tcPr>
            <w:tcW w:w="5760" w:type="dxa"/>
          </w:tcPr>
          <w:p>
            <w:pPr>
              <w:pStyle w:val="yTableNAm"/>
              <w:tabs>
                <w:tab w:val="clear" w:pos="567"/>
                <w:tab w:val="left" w:pos="598"/>
              </w:tabs>
              <w:ind w:left="612" w:hanging="612"/>
            </w:pPr>
            <w:r>
              <w:t>16.</w:t>
            </w:r>
            <w:r>
              <w:tab/>
              <w:t xml:space="preserve">Temporary transfer of part entitlements under section 141 of the Act </w:t>
            </w:r>
          </w:p>
        </w:tc>
        <w:tc>
          <w:tcPr>
            <w:tcW w:w="1320" w:type="dxa"/>
          </w:tcPr>
          <w:p>
            <w:pPr>
              <w:pStyle w:val="yTableNAm"/>
              <w:ind w:right="238"/>
              <w:jc w:val="right"/>
            </w:pPr>
            <w:r>
              <w:br/>
            </w:r>
            <w:r>
              <w:rPr>
                <w:szCs w:val="22"/>
              </w:rPr>
              <w:t>153.00</w:t>
            </w:r>
          </w:p>
        </w:tc>
      </w:tr>
      <w:tr>
        <w:tc>
          <w:tcPr>
            <w:tcW w:w="5760" w:type="dxa"/>
          </w:tcPr>
          <w:p>
            <w:pPr>
              <w:pStyle w:val="yTableNAm"/>
              <w:keepNext/>
              <w:tabs>
                <w:tab w:val="clear" w:pos="567"/>
                <w:tab w:val="left" w:pos="598"/>
              </w:tabs>
              <w:ind w:left="612" w:hanging="612"/>
            </w:pPr>
            <w:r>
              <w:t>17.</w:t>
            </w:r>
            <w:r>
              <w:tab/>
              <w:t xml:space="preserve">Register — notation under section 127 of the Act </w:t>
            </w:r>
          </w:p>
        </w:tc>
        <w:tc>
          <w:tcPr>
            <w:tcW w:w="1320" w:type="dxa"/>
          </w:tcPr>
          <w:p>
            <w:pPr>
              <w:pStyle w:val="yTableNAm"/>
              <w:keepNext/>
              <w:ind w:right="238"/>
              <w:jc w:val="right"/>
            </w:pPr>
            <w:r>
              <w:rPr>
                <w:szCs w:val="22"/>
              </w:rPr>
              <w:t>153.00</w:t>
            </w:r>
          </w:p>
        </w:tc>
      </w:tr>
      <w:tr>
        <w:tc>
          <w:tcPr>
            <w:tcW w:w="5760" w:type="dxa"/>
          </w:tcPr>
          <w:p>
            <w:pPr>
              <w:pStyle w:val="yTableNAm"/>
              <w:keepNext/>
              <w:tabs>
                <w:tab w:val="clear" w:pos="567"/>
                <w:tab w:val="left" w:pos="598"/>
              </w:tabs>
              <w:ind w:left="612" w:hanging="612"/>
            </w:pPr>
            <w:r>
              <w:tab/>
              <w:t xml:space="preserve">Register — variation under section 131 of the Act </w:t>
            </w:r>
          </w:p>
        </w:tc>
        <w:tc>
          <w:tcPr>
            <w:tcW w:w="1320" w:type="dxa"/>
          </w:tcPr>
          <w:p>
            <w:pPr>
              <w:pStyle w:val="yTableNAm"/>
              <w:keepNext/>
              <w:ind w:right="238"/>
              <w:jc w:val="right"/>
            </w:pPr>
            <w:r>
              <w:rPr>
                <w:szCs w:val="22"/>
              </w:rPr>
              <w:t>153.00</w:t>
            </w:r>
          </w:p>
        </w:tc>
      </w:tr>
      <w:tr>
        <w:tc>
          <w:tcPr>
            <w:tcW w:w="5760" w:type="dxa"/>
          </w:tcPr>
          <w:p>
            <w:pPr>
              <w:pStyle w:val="yTableNAm"/>
              <w:tabs>
                <w:tab w:val="clear" w:pos="567"/>
                <w:tab w:val="left" w:pos="598"/>
              </w:tabs>
              <w:ind w:left="612" w:hanging="612"/>
            </w:pPr>
            <w:r>
              <w:tab/>
              <w:t xml:space="preserve">Register — removal of record under section 131 of the Act </w:t>
            </w:r>
          </w:p>
        </w:tc>
        <w:tc>
          <w:tcPr>
            <w:tcW w:w="1320" w:type="dxa"/>
          </w:tcPr>
          <w:p>
            <w:pPr>
              <w:pStyle w:val="yTableNAm"/>
              <w:ind w:right="238"/>
              <w:jc w:val="right"/>
            </w:pPr>
            <w:r>
              <w:br/>
            </w:r>
            <w:r>
              <w:rPr>
                <w:szCs w:val="22"/>
              </w:rPr>
              <w:t>153.00</w:t>
            </w:r>
          </w:p>
        </w:tc>
      </w:tr>
      <w:tr>
        <w:tc>
          <w:tcPr>
            <w:tcW w:w="5760" w:type="dxa"/>
          </w:tcPr>
          <w:p>
            <w:pPr>
              <w:pStyle w:val="yTableNAm"/>
              <w:tabs>
                <w:tab w:val="clear" w:pos="567"/>
                <w:tab w:val="left" w:pos="598"/>
              </w:tabs>
              <w:ind w:left="612" w:hanging="612"/>
            </w:pPr>
            <w:r>
              <w:t>18.</w:t>
            </w:r>
            <w:r>
              <w:tab/>
              <w:t xml:space="preserve">Authority to take or handle fish for genetic or chemical extraction or analysis (reg. 179) </w:t>
            </w:r>
          </w:p>
        </w:tc>
        <w:tc>
          <w:tcPr>
            <w:tcW w:w="1320" w:type="dxa"/>
          </w:tcPr>
          <w:p>
            <w:pPr>
              <w:pStyle w:val="yTableNAm"/>
              <w:ind w:right="238"/>
              <w:jc w:val="right"/>
            </w:pPr>
            <w:r>
              <w:br/>
            </w:r>
            <w:r>
              <w:rPr>
                <w:szCs w:val="22"/>
              </w:rPr>
              <w:t>771.00</w:t>
            </w:r>
          </w:p>
        </w:tc>
      </w:tr>
      <w:tr>
        <w:tc>
          <w:tcPr>
            <w:tcW w:w="5760" w:type="dxa"/>
          </w:tcPr>
          <w:p>
            <w:pPr>
              <w:pStyle w:val="yTableNAm"/>
              <w:tabs>
                <w:tab w:val="clear" w:pos="567"/>
                <w:tab w:val="left" w:pos="598"/>
              </w:tabs>
              <w:ind w:left="612" w:hanging="612"/>
            </w:pPr>
            <w:r>
              <w:t>19.</w:t>
            </w:r>
            <w:r>
              <w:tab/>
              <w:t>Aquatic eco</w:t>
            </w:r>
            <w:r>
              <w:noBreakHyphen/>
              <w:t xml:space="preserve">tourism operator’s licence (reg. 128B) or restricted fishing tour operator’s licence (reg. 128J) </w:t>
            </w:r>
          </w:p>
        </w:tc>
        <w:tc>
          <w:tcPr>
            <w:tcW w:w="1320" w:type="dxa"/>
          </w:tcPr>
          <w:p>
            <w:pPr>
              <w:pStyle w:val="yTableNAm"/>
              <w:ind w:right="238"/>
              <w:jc w:val="right"/>
            </w:pPr>
            <w:r>
              <w:br/>
            </w:r>
            <w:r>
              <w:rPr>
                <w:szCs w:val="22"/>
              </w:rPr>
              <w:t>69.00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74.00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414.00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414.00</w:t>
            </w:r>
          </w:p>
        </w:tc>
      </w:tr>
      <w:tr>
        <w:tc>
          <w:tcPr>
            <w:tcW w:w="5760" w:type="dxa"/>
          </w:tcPr>
          <w:p>
            <w:pPr>
              <w:pStyle w:val="yTableNAm"/>
              <w:keepNext/>
              <w:tabs>
                <w:tab w:val="clear" w:pos="567"/>
                <w:tab w:val="left" w:pos="598"/>
              </w:tabs>
              <w:ind w:left="612" w:hanging="612"/>
            </w:pPr>
            <w:r>
              <w:t>20.</w:t>
            </w:r>
            <w:r>
              <w:tab/>
              <w:t xml:space="preserve">Fishing tour operator’s licence (reg. 128J) </w:t>
            </w:r>
          </w:p>
        </w:tc>
        <w:tc>
          <w:tcPr>
            <w:tcW w:w="1320" w:type="dxa"/>
          </w:tcPr>
          <w:p>
            <w:pPr>
              <w:pStyle w:val="yTableNAm"/>
              <w:keepNext/>
              <w:ind w:right="238"/>
              <w:jc w:val="right"/>
            </w:pPr>
            <w:r>
              <w:rPr>
                <w:szCs w:val="22"/>
              </w:rPr>
              <w:t>69.00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74.00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414.00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414.00</w:t>
            </w:r>
          </w:p>
        </w:tc>
      </w:tr>
    </w:tbl>
    <w:p>
      <w:pPr>
        <w:pStyle w:val="yFootnotesection"/>
      </w:pPr>
      <w:r>
        <w:tab/>
        <w:t>[Part 2 inserted in Gazette 9 Jun 2009 p. 1913</w:t>
      </w:r>
      <w:r>
        <w:noBreakHyphen/>
        <w:t>14; amended in Gazette 12 Feb 2010 p. 586; 6 May 2011 p. 1610</w:t>
      </w:r>
      <w:r>
        <w:noBreakHyphen/>
        <w:t>11.]</w:t>
      </w:r>
    </w:p>
    <w:p>
      <w:pPr>
        <w:pStyle w:val="yHeading2"/>
        <w:keepLines/>
      </w:pPr>
      <w:bookmarkStart w:id="6065" w:name="_Toc233188988"/>
      <w:bookmarkStart w:id="6066" w:name="_Toc234382860"/>
      <w:bookmarkStart w:id="6067" w:name="_Toc234899570"/>
      <w:bookmarkStart w:id="6068" w:name="_Toc236632852"/>
      <w:bookmarkStart w:id="6069" w:name="_Toc236720465"/>
      <w:bookmarkStart w:id="6070" w:name="_Toc237764664"/>
      <w:bookmarkStart w:id="6071" w:name="_Toc238356288"/>
      <w:bookmarkStart w:id="6072" w:name="_Toc238368993"/>
      <w:bookmarkStart w:id="6073" w:name="_Toc238375946"/>
      <w:bookmarkStart w:id="6074" w:name="_Toc240339270"/>
      <w:bookmarkStart w:id="6075" w:name="_Toc241993776"/>
      <w:bookmarkStart w:id="6076" w:name="_Toc243192919"/>
      <w:bookmarkStart w:id="6077" w:name="_Toc243295621"/>
      <w:bookmarkStart w:id="6078" w:name="_Toc245113194"/>
      <w:bookmarkStart w:id="6079" w:name="_Toc245198356"/>
      <w:bookmarkStart w:id="6080" w:name="_Toc245198805"/>
      <w:bookmarkStart w:id="6081" w:name="_Toc245199254"/>
      <w:bookmarkStart w:id="6082" w:name="_Toc248122285"/>
      <w:bookmarkStart w:id="6083" w:name="_Toc248122736"/>
      <w:bookmarkStart w:id="6084" w:name="_Toc253670723"/>
      <w:bookmarkStart w:id="6085" w:name="_Toc253671173"/>
      <w:bookmarkStart w:id="6086" w:name="_Toc254942947"/>
      <w:bookmarkStart w:id="6087" w:name="_Toc254943400"/>
      <w:bookmarkStart w:id="6088" w:name="_Toc255475992"/>
      <w:bookmarkStart w:id="6089" w:name="_Toc256432313"/>
      <w:bookmarkStart w:id="6090" w:name="_Toc257720650"/>
      <w:bookmarkStart w:id="6091" w:name="_Toc257722332"/>
      <w:bookmarkStart w:id="6092" w:name="_Toc258336008"/>
      <w:bookmarkStart w:id="6093" w:name="_Toc260406450"/>
      <w:bookmarkStart w:id="6094" w:name="_Toc261271636"/>
      <w:bookmarkStart w:id="6095" w:name="_Toc262808318"/>
      <w:bookmarkStart w:id="6096" w:name="_Toc267572711"/>
      <w:bookmarkStart w:id="6097" w:name="_Toc270684460"/>
      <w:bookmarkStart w:id="6098" w:name="_Toc274214637"/>
      <w:bookmarkStart w:id="6099" w:name="_Toc274215086"/>
      <w:bookmarkStart w:id="6100" w:name="_Toc278976417"/>
      <w:bookmarkStart w:id="6101" w:name="_Toc286760738"/>
      <w:bookmarkStart w:id="6102" w:name="_Toc289081083"/>
      <w:bookmarkStart w:id="6103" w:name="_Toc290284277"/>
      <w:bookmarkStart w:id="6104" w:name="_Toc290643098"/>
      <w:bookmarkStart w:id="6105" w:name="_Toc290643547"/>
      <w:bookmarkStart w:id="6106" w:name="_Toc290644000"/>
      <w:bookmarkStart w:id="6107" w:name="_Toc294701817"/>
      <w:bookmarkStart w:id="6108" w:name="_Toc295200225"/>
      <w:bookmarkStart w:id="6109" w:name="_Toc296954666"/>
      <w:bookmarkStart w:id="6110" w:name="_Toc297276301"/>
      <w:bookmarkStart w:id="6111" w:name="_Toc297276753"/>
      <w:bookmarkStart w:id="6112" w:name="_Toc297277203"/>
      <w:bookmarkStart w:id="6113" w:name="_Toc297726572"/>
      <w:bookmarkStart w:id="6114" w:name="_Toc299980358"/>
      <w:bookmarkStart w:id="6115" w:name="_Toc300234984"/>
      <w:bookmarkStart w:id="6116" w:name="_Toc301961487"/>
      <w:bookmarkStart w:id="6117" w:name="_Toc301967057"/>
      <w:bookmarkStart w:id="6118" w:name="_Toc303253266"/>
      <w:bookmarkStart w:id="6119" w:name="_Toc303257430"/>
      <w:bookmarkStart w:id="6120" w:name="_Toc307993063"/>
      <w:bookmarkStart w:id="6121" w:name="_Toc309030096"/>
      <w:bookmarkStart w:id="6122" w:name="_Toc309304319"/>
      <w:bookmarkStart w:id="6123" w:name="_Toc309309596"/>
      <w:r>
        <w:rPr>
          <w:rStyle w:val="CharSDivNo"/>
          <w:sz w:val="28"/>
        </w:rPr>
        <w:t>Part 3</w:t>
      </w:r>
      <w:r>
        <w:t> — </w:t>
      </w:r>
      <w:r>
        <w:rPr>
          <w:rStyle w:val="CharSDivText"/>
          <w:sz w:val="28"/>
        </w:rPr>
        <w:t>Fees for the grant or renewal of authorisations</w:t>
      </w:r>
      <w:bookmarkEnd w:id="6065"/>
      <w:bookmarkEnd w:id="6066"/>
      <w:bookmarkEnd w:id="6067"/>
      <w:bookmarkEnd w:id="6068"/>
      <w:bookmarkEnd w:id="6069"/>
      <w:bookmarkEnd w:id="6070"/>
      <w:bookmarkEnd w:id="6071"/>
      <w:bookmarkEnd w:id="6072"/>
      <w:bookmarkEnd w:id="6073"/>
      <w:bookmarkEnd w:id="6074"/>
      <w:bookmarkEnd w:id="6075"/>
      <w:bookmarkEnd w:id="6076"/>
      <w:bookmarkEnd w:id="6077"/>
      <w:bookmarkEnd w:id="6078"/>
      <w:bookmarkEnd w:id="6079"/>
      <w:bookmarkEnd w:id="6080"/>
      <w:bookmarkEnd w:id="6081"/>
      <w:bookmarkEnd w:id="6082"/>
      <w:bookmarkEnd w:id="6083"/>
      <w:bookmarkEnd w:id="6084"/>
      <w:bookmarkEnd w:id="6085"/>
      <w:bookmarkEnd w:id="6086"/>
      <w:bookmarkEnd w:id="6087"/>
      <w:bookmarkEnd w:id="6088"/>
      <w:bookmarkEnd w:id="6089"/>
      <w:bookmarkEnd w:id="6090"/>
      <w:bookmarkEnd w:id="6091"/>
      <w:bookmarkEnd w:id="6092"/>
      <w:bookmarkEnd w:id="6093"/>
      <w:bookmarkEnd w:id="6094"/>
      <w:bookmarkEnd w:id="6095"/>
      <w:bookmarkEnd w:id="6096"/>
      <w:bookmarkEnd w:id="6097"/>
      <w:bookmarkEnd w:id="6098"/>
      <w:bookmarkEnd w:id="6099"/>
      <w:bookmarkEnd w:id="6100"/>
      <w:bookmarkEnd w:id="6101"/>
      <w:bookmarkEnd w:id="6102"/>
      <w:bookmarkEnd w:id="6103"/>
      <w:bookmarkEnd w:id="6104"/>
      <w:bookmarkEnd w:id="6105"/>
      <w:bookmarkEnd w:id="6106"/>
      <w:bookmarkEnd w:id="6107"/>
      <w:bookmarkEnd w:id="6108"/>
      <w:bookmarkEnd w:id="6109"/>
      <w:bookmarkEnd w:id="6110"/>
      <w:bookmarkEnd w:id="6111"/>
      <w:bookmarkEnd w:id="6112"/>
      <w:bookmarkEnd w:id="6113"/>
      <w:bookmarkEnd w:id="6114"/>
      <w:bookmarkEnd w:id="6115"/>
      <w:bookmarkEnd w:id="6116"/>
      <w:bookmarkEnd w:id="6117"/>
      <w:bookmarkEnd w:id="6118"/>
      <w:bookmarkEnd w:id="6119"/>
      <w:bookmarkEnd w:id="6120"/>
      <w:bookmarkEnd w:id="6121"/>
      <w:bookmarkEnd w:id="6122"/>
      <w:bookmarkEnd w:id="6123"/>
    </w:p>
    <w:p>
      <w:pPr>
        <w:pStyle w:val="yShoulderClause"/>
        <w:keepNext/>
        <w:keepLines/>
        <w:rPr>
          <w:snapToGrid w:val="0"/>
        </w:rPr>
      </w:pPr>
      <w:r>
        <w:rPr>
          <w:snapToGrid w:val="0"/>
        </w:rPr>
        <w:t>[reg. 137]</w:t>
      </w:r>
    </w:p>
    <w:p>
      <w:pPr>
        <w:pStyle w:val="yFootnoteheading"/>
        <w:keepNext/>
        <w:keepLines/>
        <w:spacing w:after="120"/>
      </w:pPr>
      <w:r>
        <w:tab/>
        <w:t>[Heading inserted in Gazette 9 Jun 2009 p. 1915.]</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5760"/>
        <w:gridCol w:w="1320"/>
      </w:tblGrid>
      <w:tr>
        <w:trPr>
          <w:tblHeader/>
        </w:trPr>
        <w:tc>
          <w:tcPr>
            <w:tcW w:w="5760" w:type="dxa"/>
          </w:tcPr>
          <w:p>
            <w:pPr>
              <w:pStyle w:val="yTableNAm"/>
              <w:keepNext/>
              <w:keepLines/>
              <w:rPr>
                <w:b/>
                <w:bCs/>
              </w:rPr>
            </w:pPr>
            <w:r>
              <w:rPr>
                <w:b/>
                <w:bCs/>
              </w:rPr>
              <w:t>Fee</w:t>
            </w:r>
          </w:p>
        </w:tc>
        <w:tc>
          <w:tcPr>
            <w:tcW w:w="1320" w:type="dxa"/>
          </w:tcPr>
          <w:p>
            <w:pPr>
              <w:pStyle w:val="yTableNAm"/>
              <w:keepNext/>
              <w:keepLines/>
              <w:ind w:right="118"/>
              <w:jc w:val="center"/>
              <w:rPr>
                <w:b/>
                <w:bCs/>
              </w:rPr>
            </w:pPr>
            <w:r>
              <w:rPr>
                <w:b/>
                <w:bCs/>
              </w:rPr>
              <w:t>$</w:t>
            </w:r>
          </w:p>
        </w:tc>
      </w:tr>
      <w:tr>
        <w:tc>
          <w:tcPr>
            <w:tcW w:w="5760" w:type="dxa"/>
          </w:tcPr>
          <w:p>
            <w:pPr>
              <w:pStyle w:val="yTableNAm"/>
              <w:keepNext/>
              <w:tabs>
                <w:tab w:val="clear" w:pos="567"/>
                <w:tab w:val="left" w:pos="598"/>
              </w:tabs>
              <w:ind w:left="612" w:hanging="612"/>
            </w:pPr>
            <w:r>
              <w:t>1.</w:t>
            </w:r>
            <w:r>
              <w:tab/>
              <w:t>Fish processor’s licence</w:t>
            </w:r>
          </w:p>
          <w:p>
            <w:pPr>
              <w:pStyle w:val="yTableNAm"/>
              <w:keepNext/>
              <w:tabs>
                <w:tab w:val="clear" w:pos="567"/>
                <w:tab w:val="left" w:pos="598"/>
              </w:tabs>
              <w:ind w:left="612" w:hanging="612"/>
            </w:pPr>
            <w:r>
              <w:tab/>
              <w:t>Types of processing establishments — </w:t>
            </w:r>
          </w:p>
        </w:tc>
        <w:tc>
          <w:tcPr>
            <w:tcW w:w="1320" w:type="dxa"/>
          </w:tcPr>
          <w:p>
            <w:pPr>
              <w:pStyle w:val="yTableNAm"/>
              <w:keepNext/>
              <w:ind w:right="118"/>
              <w:jc w:val="right"/>
            </w:pPr>
          </w:p>
        </w:tc>
      </w:tr>
      <w:tr>
        <w:trPr>
          <w:cantSplit/>
        </w:trPr>
        <w:tc>
          <w:tcPr>
            <w:tcW w:w="5760" w:type="dxa"/>
          </w:tcPr>
          <w:p>
            <w:pPr>
              <w:pStyle w:val="yTableNAm"/>
              <w:tabs>
                <w:tab w:val="left" w:pos="1092"/>
              </w:tabs>
              <w:ind w:left="1092" w:hanging="1092"/>
            </w:pPr>
            <w:r>
              <w:tab/>
              <w:t>(a)</w:t>
            </w:r>
            <w:r>
              <w:tab/>
              <w:t xml:space="preserve">processing establishment that is erected on land and that is used for processing either rock lobsters or prawns </w:t>
            </w:r>
          </w:p>
        </w:tc>
        <w:tc>
          <w:tcPr>
            <w:tcW w:w="1320" w:type="dxa"/>
          </w:tcPr>
          <w:p>
            <w:pPr>
              <w:pStyle w:val="yTableNAm"/>
              <w:ind w:right="118"/>
              <w:jc w:val="right"/>
            </w:pPr>
            <w:r>
              <w:br/>
            </w:r>
            <w:r>
              <w:br/>
            </w:r>
            <w:r>
              <w:rPr>
                <w:szCs w:val="22"/>
              </w:rPr>
              <w:t>862.00</w:t>
            </w:r>
          </w:p>
        </w:tc>
      </w:tr>
      <w:tr>
        <w:tc>
          <w:tcPr>
            <w:tcW w:w="5760" w:type="dxa"/>
          </w:tcPr>
          <w:p>
            <w:pPr>
              <w:pStyle w:val="yTableNAm"/>
              <w:tabs>
                <w:tab w:val="left" w:pos="1092"/>
              </w:tabs>
              <w:ind w:left="1092" w:hanging="1092"/>
            </w:pPr>
            <w:r>
              <w:tab/>
              <w:t>(b)</w:t>
            </w:r>
            <w:r>
              <w:tab/>
            </w:r>
            <w:r>
              <w:rPr>
                <w:rFonts w:ascii="Times" w:hAnsi="Times"/>
              </w:rPr>
              <w:t xml:space="preserve">processing establishment that is erected on land and that is used for processing both rock lobsters and prawns </w:t>
            </w:r>
          </w:p>
        </w:tc>
        <w:tc>
          <w:tcPr>
            <w:tcW w:w="1320" w:type="dxa"/>
          </w:tcPr>
          <w:p>
            <w:pPr>
              <w:pStyle w:val="yTableNAm"/>
              <w:ind w:right="118"/>
              <w:jc w:val="right"/>
            </w:pPr>
            <w:r>
              <w:br/>
            </w:r>
            <w:r>
              <w:br/>
            </w:r>
            <w:r>
              <w:rPr>
                <w:szCs w:val="22"/>
              </w:rPr>
              <w:t>1 581.00</w:t>
            </w:r>
          </w:p>
        </w:tc>
      </w:tr>
      <w:tr>
        <w:tc>
          <w:tcPr>
            <w:tcW w:w="5760" w:type="dxa"/>
          </w:tcPr>
          <w:p>
            <w:pPr>
              <w:pStyle w:val="yTableNAm"/>
              <w:tabs>
                <w:tab w:val="left" w:pos="1092"/>
              </w:tabs>
              <w:ind w:left="1092" w:hanging="1092"/>
            </w:pPr>
            <w:r>
              <w:tab/>
              <w:t>(c)</w:t>
            </w:r>
            <w:r>
              <w:tab/>
              <w:t xml:space="preserve">processing establishment that is erected on land and that is used for processing any fish including rock lobsters and prawns </w:t>
            </w:r>
          </w:p>
        </w:tc>
        <w:tc>
          <w:tcPr>
            <w:tcW w:w="1320" w:type="dxa"/>
          </w:tcPr>
          <w:p>
            <w:pPr>
              <w:pStyle w:val="yTableNAm"/>
              <w:ind w:right="118"/>
              <w:jc w:val="right"/>
            </w:pPr>
            <w:r>
              <w:br/>
            </w:r>
            <w:r>
              <w:br/>
            </w:r>
            <w:r>
              <w:rPr>
                <w:szCs w:val="22"/>
              </w:rPr>
              <w:t>2 125.00</w:t>
            </w:r>
          </w:p>
        </w:tc>
      </w:tr>
      <w:tr>
        <w:tc>
          <w:tcPr>
            <w:tcW w:w="5760" w:type="dxa"/>
          </w:tcPr>
          <w:p>
            <w:pPr>
              <w:pStyle w:val="yTableNAm"/>
              <w:tabs>
                <w:tab w:val="left" w:pos="1092"/>
              </w:tabs>
              <w:ind w:left="1092" w:hanging="1092"/>
            </w:pPr>
            <w:r>
              <w:tab/>
              <w:t>(d)</w:t>
            </w:r>
            <w:r>
              <w:tab/>
              <w:t xml:space="preserve">processing establishment that is erected on land and that is used for processing any fish including either rock lobsters or prawns </w:t>
            </w:r>
          </w:p>
        </w:tc>
        <w:tc>
          <w:tcPr>
            <w:tcW w:w="1320" w:type="dxa"/>
          </w:tcPr>
          <w:p>
            <w:pPr>
              <w:pStyle w:val="yTableNAm"/>
              <w:ind w:right="118"/>
              <w:jc w:val="right"/>
            </w:pPr>
            <w:r>
              <w:br/>
            </w:r>
            <w:r>
              <w:br/>
            </w:r>
            <w:r>
              <w:rPr>
                <w:szCs w:val="22"/>
              </w:rPr>
              <w:t>1 280.00</w:t>
            </w:r>
          </w:p>
        </w:tc>
      </w:tr>
      <w:tr>
        <w:tc>
          <w:tcPr>
            <w:tcW w:w="5760" w:type="dxa"/>
          </w:tcPr>
          <w:p>
            <w:pPr>
              <w:pStyle w:val="yTableNAm"/>
              <w:tabs>
                <w:tab w:val="left" w:pos="1092"/>
              </w:tabs>
              <w:ind w:left="1092" w:hanging="1092"/>
            </w:pPr>
            <w:r>
              <w:tab/>
              <w:t>(e)</w:t>
            </w:r>
            <w:r>
              <w:tab/>
              <w:t xml:space="preserve">processing establishment that is erected on land and that is used for processing any fish other than rock lobsters and prawns </w:t>
            </w:r>
          </w:p>
        </w:tc>
        <w:tc>
          <w:tcPr>
            <w:tcW w:w="1320" w:type="dxa"/>
          </w:tcPr>
          <w:p>
            <w:pPr>
              <w:pStyle w:val="yTableNAm"/>
              <w:ind w:right="118"/>
              <w:jc w:val="right"/>
            </w:pPr>
            <w:r>
              <w:br/>
            </w:r>
            <w:r>
              <w:br/>
            </w:r>
            <w:r>
              <w:rPr>
                <w:szCs w:val="22"/>
              </w:rPr>
              <w:t>420.00</w:t>
            </w:r>
          </w:p>
        </w:tc>
      </w:tr>
      <w:tr>
        <w:tc>
          <w:tcPr>
            <w:tcW w:w="5760" w:type="dxa"/>
          </w:tcPr>
          <w:p>
            <w:pPr>
              <w:pStyle w:val="yTableNAm"/>
              <w:tabs>
                <w:tab w:val="left" w:pos="1092"/>
              </w:tabs>
              <w:ind w:left="1092" w:hanging="1092"/>
            </w:pPr>
            <w:r>
              <w:tab/>
              <w:t>(f)</w:t>
            </w:r>
            <w:r>
              <w:tab/>
              <w:t xml:space="preserve">seagoing processing establishment that is used solely for processing fish including rock lobsters and prawns taken by it </w:t>
            </w:r>
          </w:p>
        </w:tc>
        <w:tc>
          <w:tcPr>
            <w:tcW w:w="1320" w:type="dxa"/>
          </w:tcPr>
          <w:p>
            <w:pPr>
              <w:pStyle w:val="yTableNAm"/>
              <w:ind w:right="118"/>
              <w:jc w:val="right"/>
            </w:pPr>
            <w:r>
              <w:br/>
            </w:r>
            <w:r>
              <w:br/>
            </w:r>
            <w:r>
              <w:rPr>
                <w:szCs w:val="22"/>
              </w:rPr>
              <w:t>420.00</w:t>
            </w:r>
          </w:p>
        </w:tc>
      </w:tr>
      <w:tr>
        <w:tc>
          <w:tcPr>
            <w:tcW w:w="5760" w:type="dxa"/>
          </w:tcPr>
          <w:p>
            <w:pPr>
              <w:pStyle w:val="yTableNAm"/>
              <w:tabs>
                <w:tab w:val="left" w:pos="1092"/>
              </w:tabs>
              <w:ind w:left="1092" w:hanging="1092"/>
            </w:pPr>
            <w:r>
              <w:tab/>
              <w:t>(g)</w:t>
            </w:r>
            <w:r>
              <w:tab/>
              <w:t xml:space="preserve">seagoing processing establishment that is used solely for processing fish including rock lobsters and prawns taken by other boats </w:t>
            </w:r>
          </w:p>
        </w:tc>
        <w:tc>
          <w:tcPr>
            <w:tcW w:w="1320" w:type="dxa"/>
          </w:tcPr>
          <w:p>
            <w:pPr>
              <w:pStyle w:val="yTableNAm"/>
              <w:ind w:right="118"/>
              <w:jc w:val="right"/>
            </w:pPr>
            <w:r>
              <w:br/>
            </w:r>
            <w:r>
              <w:br/>
            </w:r>
            <w:r>
              <w:rPr>
                <w:szCs w:val="22"/>
              </w:rPr>
              <w:t>420.00</w:t>
            </w:r>
          </w:p>
        </w:tc>
      </w:tr>
      <w:tr>
        <w:tc>
          <w:tcPr>
            <w:tcW w:w="5760" w:type="dxa"/>
          </w:tcPr>
          <w:p>
            <w:pPr>
              <w:pStyle w:val="yTableNAm"/>
              <w:tabs>
                <w:tab w:val="clear" w:pos="567"/>
                <w:tab w:val="left" w:pos="598"/>
              </w:tabs>
              <w:ind w:left="612" w:hanging="612"/>
            </w:pPr>
            <w:r>
              <w:t>2.</w:t>
            </w:r>
            <w:r>
              <w:tab/>
              <w:t>Aquaculture licence</w:t>
            </w:r>
          </w:p>
        </w:tc>
        <w:tc>
          <w:tcPr>
            <w:tcW w:w="1320" w:type="dxa"/>
          </w:tcPr>
          <w:p>
            <w:pPr>
              <w:pStyle w:val="yTableNAm"/>
              <w:ind w:right="118"/>
              <w:jc w:val="right"/>
            </w:pPr>
          </w:p>
        </w:tc>
      </w:tr>
      <w:tr>
        <w:tc>
          <w:tcPr>
            <w:tcW w:w="5760" w:type="dxa"/>
          </w:tcPr>
          <w:p>
            <w:pPr>
              <w:pStyle w:val="yTableNAm"/>
              <w:tabs>
                <w:tab w:val="left" w:pos="1092"/>
              </w:tabs>
              <w:ind w:left="1092" w:hanging="1092"/>
            </w:pPr>
            <w:r>
              <w:tab/>
              <w:t>(a)</w:t>
            </w:r>
            <w:r>
              <w:tab/>
              <w:t xml:space="preserve">any licence other than a licence referred to in paragraph (b) </w:t>
            </w:r>
          </w:p>
        </w:tc>
        <w:tc>
          <w:tcPr>
            <w:tcW w:w="1320" w:type="dxa"/>
          </w:tcPr>
          <w:p>
            <w:pPr>
              <w:pStyle w:val="yTableNAm"/>
              <w:ind w:right="118"/>
              <w:jc w:val="right"/>
            </w:pPr>
            <w:r>
              <w:br/>
            </w:r>
            <w:r>
              <w:rPr>
                <w:szCs w:val="22"/>
              </w:rPr>
              <w:t>363.00</w:t>
            </w:r>
          </w:p>
        </w:tc>
      </w:tr>
      <w:tr>
        <w:tc>
          <w:tcPr>
            <w:tcW w:w="5760" w:type="dxa"/>
          </w:tcPr>
          <w:p>
            <w:pPr>
              <w:pStyle w:val="yTableNAm"/>
              <w:tabs>
                <w:tab w:val="left" w:pos="1092"/>
              </w:tabs>
              <w:ind w:left="1092" w:hanging="1092"/>
            </w:pPr>
            <w:r>
              <w:tab/>
              <w:t>(b)</w:t>
            </w:r>
            <w:r>
              <w:tab/>
              <w:t>a licence that authorises the aquaculture of marron only and is subject to the condition that the sale of the marron is prohibited unless the marron —</w:t>
            </w:r>
          </w:p>
          <w:p>
            <w:pPr>
              <w:pStyle w:val="yTableNAm"/>
              <w:tabs>
                <w:tab w:val="clear" w:pos="567"/>
                <w:tab w:val="left" w:pos="1092"/>
                <w:tab w:val="left" w:pos="1666"/>
              </w:tabs>
              <w:ind w:left="1666" w:hanging="1666"/>
              <w:rPr>
                <w:rFonts w:ascii="Times" w:hAnsi="Times"/>
              </w:rPr>
            </w:pPr>
            <w:r>
              <w:tab/>
              <w:t>(i)</w:t>
            </w:r>
            <w:r>
              <w:tab/>
            </w:r>
            <w:r>
              <w:rPr>
                <w:rFonts w:ascii="Times" w:hAnsi="Times"/>
              </w:rPr>
              <w:t>are of a length not less than 76 mm; and</w:t>
            </w:r>
          </w:p>
          <w:p>
            <w:pPr>
              <w:pStyle w:val="yTableNAm"/>
              <w:tabs>
                <w:tab w:val="clear" w:pos="567"/>
                <w:tab w:val="left" w:pos="1092"/>
                <w:tab w:val="left" w:pos="1666"/>
              </w:tabs>
              <w:ind w:left="1666" w:hanging="1666"/>
            </w:pPr>
            <w:r>
              <w:rPr>
                <w:rFonts w:ascii="Times" w:hAnsi="Times"/>
              </w:rPr>
              <w:tab/>
              <w:t>(ii)</w:t>
            </w:r>
            <w:r>
              <w:rPr>
                <w:rFonts w:ascii="Times" w:hAnsi="Times"/>
              </w:rPr>
              <w:tab/>
              <w:t>are sold to a person who holds an aquaculture licence or fish processor’s</w:t>
            </w:r>
            <w:r>
              <w:t xml:space="preserve"> licence</w:t>
            </w:r>
          </w:p>
        </w:tc>
        <w:tc>
          <w:tcPr>
            <w:tcW w:w="1320" w:type="dxa"/>
          </w:tcPr>
          <w:p>
            <w:pPr>
              <w:pStyle w:val="yTableNAm"/>
              <w:ind w:right="118"/>
              <w:jc w:val="right"/>
            </w:pPr>
            <w:r>
              <w:br/>
            </w:r>
            <w:r>
              <w:br/>
            </w:r>
            <w:r>
              <w:br/>
            </w:r>
            <w:r>
              <w:br/>
            </w:r>
            <w:r>
              <w:br/>
            </w:r>
            <w:r>
              <w:br/>
            </w:r>
            <w:r>
              <w:br/>
              <w:t>No fee</w:t>
            </w:r>
          </w:p>
        </w:tc>
      </w:tr>
      <w:tr>
        <w:tc>
          <w:tcPr>
            <w:tcW w:w="5760" w:type="dxa"/>
          </w:tcPr>
          <w:p>
            <w:pPr>
              <w:pStyle w:val="yTableNAm"/>
              <w:tabs>
                <w:tab w:val="clear" w:pos="567"/>
                <w:tab w:val="left" w:pos="598"/>
              </w:tabs>
              <w:ind w:left="612" w:hanging="612"/>
            </w:pPr>
            <w:r>
              <w:t>3.</w:t>
            </w:r>
            <w:r>
              <w:tab/>
              <w:t>Managed fishery licence fees</w:t>
            </w:r>
          </w:p>
        </w:tc>
        <w:tc>
          <w:tcPr>
            <w:tcW w:w="1320" w:type="dxa"/>
          </w:tcPr>
          <w:p>
            <w:pPr>
              <w:pStyle w:val="zyTableNAm"/>
              <w:keepNext/>
              <w:jc w:val="right"/>
            </w:pPr>
          </w:p>
        </w:tc>
      </w:tr>
      <w:tr>
        <w:tc>
          <w:tcPr>
            <w:tcW w:w="5760" w:type="dxa"/>
          </w:tcPr>
          <w:p>
            <w:pPr>
              <w:pStyle w:val="yTableNAm"/>
              <w:tabs>
                <w:tab w:val="clear" w:pos="567"/>
                <w:tab w:val="left" w:pos="586"/>
                <w:tab w:val="left" w:pos="1066"/>
              </w:tabs>
              <w:ind w:left="1066" w:hanging="1066"/>
            </w:pPr>
            <w:r>
              <w:tab/>
              <w:t>(1)</w:t>
            </w:r>
            <w:r>
              <w:tab/>
              <w:t>Abalone Managed Fishery, the sum obtained by multiplying the total kg of entitlement conferred by the licence (but excluding any entitlement transferred to or from the licence under section 141 of the Act) by the fee for each kg, as follows —</w:t>
            </w:r>
          </w:p>
        </w:tc>
        <w:tc>
          <w:tcPr>
            <w:tcW w:w="1320" w:type="dxa"/>
          </w:tcPr>
          <w:p>
            <w:pPr>
              <w:pStyle w:val="zyTableNAm"/>
              <w:keepNext/>
              <w:jc w:val="right"/>
            </w:pPr>
          </w:p>
        </w:tc>
      </w:tr>
      <w:tr>
        <w:tc>
          <w:tcPr>
            <w:tcW w:w="5760" w:type="dxa"/>
          </w:tcPr>
          <w:p>
            <w:pPr>
              <w:pStyle w:val="zyTableNAm"/>
              <w:tabs>
                <w:tab w:val="clear" w:pos="567"/>
                <w:tab w:val="left" w:pos="1198"/>
                <w:tab w:val="left" w:pos="1666"/>
              </w:tabs>
              <w:ind w:left="1666" w:hanging="1666"/>
            </w:pPr>
            <w:r>
              <w:tab/>
              <w:t>(a)</w:t>
            </w:r>
            <w:r>
              <w:tab/>
              <w:t xml:space="preserve">for greenlip abalone, per kg </w:t>
            </w:r>
          </w:p>
        </w:tc>
        <w:tc>
          <w:tcPr>
            <w:tcW w:w="1320" w:type="dxa"/>
          </w:tcPr>
          <w:p>
            <w:pPr>
              <w:pStyle w:val="zyTableNAm"/>
              <w:jc w:val="right"/>
            </w:pPr>
            <w:r>
              <w:rPr>
                <w:szCs w:val="22"/>
              </w:rPr>
              <w:t>5.67</w:t>
            </w:r>
          </w:p>
        </w:tc>
      </w:tr>
      <w:tr>
        <w:tc>
          <w:tcPr>
            <w:tcW w:w="5760" w:type="dxa"/>
          </w:tcPr>
          <w:p>
            <w:pPr>
              <w:pStyle w:val="zyTableNAm"/>
              <w:tabs>
                <w:tab w:val="clear" w:pos="567"/>
                <w:tab w:val="left" w:pos="1198"/>
                <w:tab w:val="left" w:pos="1666"/>
              </w:tabs>
              <w:ind w:left="1666" w:hanging="1666"/>
            </w:pPr>
            <w:r>
              <w:tab/>
              <w:t>(b)</w:t>
            </w:r>
            <w:r>
              <w:tab/>
              <w:t xml:space="preserve">for brownlip abalone, per kg </w:t>
            </w:r>
          </w:p>
        </w:tc>
        <w:tc>
          <w:tcPr>
            <w:tcW w:w="1320" w:type="dxa"/>
          </w:tcPr>
          <w:p>
            <w:pPr>
              <w:pStyle w:val="zyTableNAm"/>
              <w:jc w:val="right"/>
            </w:pPr>
            <w:r>
              <w:rPr>
                <w:szCs w:val="22"/>
              </w:rPr>
              <w:t>5.67</w:t>
            </w:r>
          </w:p>
        </w:tc>
      </w:tr>
      <w:tr>
        <w:tc>
          <w:tcPr>
            <w:tcW w:w="5760" w:type="dxa"/>
          </w:tcPr>
          <w:p>
            <w:pPr>
              <w:pStyle w:val="zyTableNAm"/>
              <w:tabs>
                <w:tab w:val="clear" w:pos="567"/>
                <w:tab w:val="left" w:pos="1198"/>
                <w:tab w:val="left" w:pos="1666"/>
              </w:tabs>
              <w:ind w:left="1666" w:hanging="1666"/>
            </w:pPr>
            <w:r>
              <w:tab/>
              <w:t>(c)</w:t>
            </w:r>
            <w:r>
              <w:tab/>
              <w:t xml:space="preserve">for Roe’s abalone, per kg </w:t>
            </w:r>
          </w:p>
        </w:tc>
        <w:tc>
          <w:tcPr>
            <w:tcW w:w="1320" w:type="dxa"/>
          </w:tcPr>
          <w:p>
            <w:pPr>
              <w:pStyle w:val="zyTableNAm"/>
              <w:jc w:val="right"/>
            </w:pPr>
            <w:r>
              <w:rPr>
                <w:szCs w:val="22"/>
              </w:rPr>
              <w:t>1.20</w:t>
            </w:r>
          </w:p>
        </w:tc>
      </w:tr>
      <w:tr>
        <w:tc>
          <w:tcPr>
            <w:tcW w:w="5760" w:type="dxa"/>
          </w:tcPr>
          <w:p>
            <w:pPr>
              <w:pStyle w:val="yTableNAm"/>
              <w:tabs>
                <w:tab w:val="clear" w:pos="567"/>
                <w:tab w:val="left" w:pos="586"/>
                <w:tab w:val="left" w:pos="1066"/>
              </w:tabs>
              <w:ind w:left="1066" w:hanging="1066"/>
            </w:pPr>
            <w:r>
              <w:tab/>
              <w:t>(2)</w:t>
            </w:r>
            <w:r>
              <w:tab/>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and Mid West Trawl Managed Fishery, per licence </w:t>
            </w:r>
          </w:p>
        </w:tc>
        <w:tc>
          <w:tcPr>
            <w:tcW w:w="1320" w:type="dxa"/>
          </w:tcPr>
          <w:p>
            <w:pPr>
              <w:pStyle w:val="zyTableNAm"/>
              <w:jc w:val="right"/>
            </w:pPr>
            <w:r>
              <w:rPr>
                <w:szCs w:val="22"/>
              </w:rPr>
              <w:t>13 960.00</w:t>
            </w:r>
          </w:p>
        </w:tc>
      </w:tr>
      <w:tr>
        <w:tc>
          <w:tcPr>
            <w:tcW w:w="5760" w:type="dxa"/>
          </w:tcPr>
          <w:p>
            <w:pPr>
              <w:pStyle w:val="yTableNAm"/>
              <w:tabs>
                <w:tab w:val="clear" w:pos="567"/>
                <w:tab w:val="left" w:pos="586"/>
                <w:tab w:val="left" w:pos="1066"/>
              </w:tabs>
              <w:ind w:left="1066" w:hanging="1066"/>
            </w:pPr>
            <w:r>
              <w:tab/>
              <w:t>(3)</w:t>
            </w:r>
            <w:r>
              <w:tab/>
              <w:t xml:space="preserve">Broome Prawn Managed Fishery </w:t>
            </w:r>
          </w:p>
        </w:tc>
        <w:tc>
          <w:tcPr>
            <w:tcW w:w="1320" w:type="dxa"/>
          </w:tcPr>
          <w:p>
            <w:pPr>
              <w:pStyle w:val="zyTableNAm"/>
              <w:jc w:val="right"/>
            </w:pPr>
            <w:r>
              <w:rPr>
                <w:szCs w:val="22"/>
              </w:rPr>
              <w:t>954.00</w:t>
            </w:r>
          </w:p>
        </w:tc>
      </w:tr>
      <w:tr>
        <w:tc>
          <w:tcPr>
            <w:tcW w:w="5760" w:type="dxa"/>
          </w:tcPr>
          <w:p>
            <w:pPr>
              <w:pStyle w:val="yTableNAm"/>
              <w:tabs>
                <w:tab w:val="clear" w:pos="567"/>
                <w:tab w:val="left" w:pos="586"/>
                <w:tab w:val="left" w:pos="1066"/>
              </w:tabs>
              <w:ind w:left="1066" w:hanging="1066"/>
            </w:pPr>
            <w:r>
              <w:tab/>
              <w:t>(4)</w:t>
            </w:r>
            <w:r>
              <w:tab/>
              <w:t xml:space="preserve">Cockburn Sound (Crab) Managed Fishery, per pot </w:t>
            </w:r>
          </w:p>
        </w:tc>
        <w:tc>
          <w:tcPr>
            <w:tcW w:w="1320" w:type="dxa"/>
          </w:tcPr>
          <w:p>
            <w:pPr>
              <w:pStyle w:val="zyTableNAm"/>
              <w:jc w:val="right"/>
            </w:pPr>
            <w:r>
              <w:rPr>
                <w:szCs w:val="22"/>
              </w:rPr>
              <w:t>5.72</w:t>
            </w:r>
          </w:p>
        </w:tc>
      </w:tr>
      <w:tr>
        <w:tc>
          <w:tcPr>
            <w:tcW w:w="5760" w:type="dxa"/>
          </w:tcPr>
          <w:p>
            <w:pPr>
              <w:pStyle w:val="yTableNAm"/>
              <w:tabs>
                <w:tab w:val="clear" w:pos="567"/>
                <w:tab w:val="left" w:pos="586"/>
                <w:tab w:val="left" w:pos="1066"/>
              </w:tabs>
              <w:ind w:left="1066" w:hanging="1066"/>
            </w:pPr>
            <w:r>
              <w:tab/>
              <w:t>(5)</w:t>
            </w:r>
            <w:r>
              <w:tab/>
              <w:t xml:space="preserve">Cockburn Sound (Fish Net) Managed Fishery </w:t>
            </w:r>
          </w:p>
        </w:tc>
        <w:tc>
          <w:tcPr>
            <w:tcW w:w="1320" w:type="dxa"/>
          </w:tcPr>
          <w:p>
            <w:pPr>
              <w:pStyle w:val="zyTableNAm"/>
              <w:jc w:val="right"/>
            </w:pPr>
            <w:r>
              <w:rPr>
                <w:szCs w:val="22"/>
              </w:rPr>
              <w:t>3 260.00</w:t>
            </w:r>
          </w:p>
        </w:tc>
      </w:tr>
      <w:tr>
        <w:tc>
          <w:tcPr>
            <w:tcW w:w="5760" w:type="dxa"/>
          </w:tcPr>
          <w:p>
            <w:pPr>
              <w:pStyle w:val="yTableNAm"/>
              <w:tabs>
                <w:tab w:val="clear" w:pos="567"/>
                <w:tab w:val="left" w:pos="586"/>
                <w:tab w:val="left" w:pos="1066"/>
              </w:tabs>
              <w:ind w:left="1066" w:hanging="1066"/>
            </w:pPr>
            <w:r>
              <w:tab/>
              <w:t>(6)</w:t>
            </w:r>
            <w:r>
              <w:tab/>
              <w:t xml:space="preserve">Cockburn Sound (Line and Pot) Managed Fishery </w:t>
            </w:r>
          </w:p>
        </w:tc>
        <w:tc>
          <w:tcPr>
            <w:tcW w:w="1320" w:type="dxa"/>
          </w:tcPr>
          <w:p>
            <w:pPr>
              <w:pStyle w:val="zyTableNAm"/>
              <w:jc w:val="right"/>
            </w:pPr>
            <w:r>
              <w:rPr>
                <w:szCs w:val="22"/>
              </w:rPr>
              <w:t>282.00</w:t>
            </w:r>
          </w:p>
        </w:tc>
      </w:tr>
      <w:tr>
        <w:tc>
          <w:tcPr>
            <w:tcW w:w="5760" w:type="dxa"/>
          </w:tcPr>
          <w:p>
            <w:pPr>
              <w:pStyle w:val="yTableNAm"/>
              <w:tabs>
                <w:tab w:val="clear" w:pos="567"/>
                <w:tab w:val="left" w:pos="586"/>
                <w:tab w:val="left" w:pos="1066"/>
              </w:tabs>
              <w:ind w:left="1066" w:hanging="1066"/>
            </w:pPr>
            <w:r>
              <w:tab/>
              <w:t>(7)</w:t>
            </w:r>
            <w:r>
              <w:tab/>
              <w:t xml:space="preserve">Cockburn Sound (Mussel) Managed Fishery </w:t>
            </w:r>
          </w:p>
        </w:tc>
        <w:tc>
          <w:tcPr>
            <w:tcW w:w="1320" w:type="dxa"/>
          </w:tcPr>
          <w:p>
            <w:pPr>
              <w:pStyle w:val="zyTableNAm"/>
              <w:jc w:val="right"/>
            </w:pPr>
            <w:r>
              <w:t>122.00</w:t>
            </w:r>
          </w:p>
        </w:tc>
      </w:tr>
      <w:tr>
        <w:tc>
          <w:tcPr>
            <w:tcW w:w="5760" w:type="dxa"/>
          </w:tcPr>
          <w:p>
            <w:pPr>
              <w:pStyle w:val="yTableNAm"/>
              <w:tabs>
                <w:tab w:val="clear" w:pos="567"/>
                <w:tab w:val="left" w:pos="586"/>
                <w:tab w:val="left" w:pos="1066"/>
              </w:tabs>
              <w:ind w:left="1066" w:hanging="1066"/>
            </w:pPr>
            <w:r>
              <w:tab/>
              <w:t>(8)</w:t>
            </w:r>
            <w:r>
              <w:tab/>
              <w:t xml:space="preserve">Esperance Rock Lobster Managed Fishery, per pot </w:t>
            </w:r>
          </w:p>
        </w:tc>
        <w:tc>
          <w:tcPr>
            <w:tcW w:w="1320" w:type="dxa"/>
          </w:tcPr>
          <w:p>
            <w:pPr>
              <w:pStyle w:val="zyTableNAm"/>
              <w:jc w:val="right"/>
            </w:pPr>
            <w:r>
              <w:rPr>
                <w:szCs w:val="22"/>
              </w:rPr>
              <w:t>57.03</w:t>
            </w:r>
          </w:p>
        </w:tc>
      </w:tr>
      <w:tr>
        <w:tc>
          <w:tcPr>
            <w:tcW w:w="5760" w:type="dxa"/>
          </w:tcPr>
          <w:p>
            <w:pPr>
              <w:pStyle w:val="yTableNAm"/>
              <w:tabs>
                <w:tab w:val="clear" w:pos="567"/>
                <w:tab w:val="left" w:pos="586"/>
                <w:tab w:val="left" w:pos="1066"/>
              </w:tabs>
              <w:ind w:left="1066" w:hanging="1066"/>
            </w:pPr>
            <w:r>
              <w:tab/>
              <w:t>(9)</w:t>
            </w:r>
            <w:r>
              <w:tab/>
            </w:r>
            <w:smartTag w:uri="urn:schemas-microsoft-com:office:smarttags" w:element="place">
              <w:smartTag w:uri="urn:schemas-microsoft-com:office:smarttags" w:element="PlaceName">
                <w:r>
                  <w:t>Exmouth</w:t>
                </w:r>
              </w:smartTag>
              <w:r>
                <w:rPr>
                  <w:spacing w:val="-4"/>
                </w:rPr>
                <w:t xml:space="preserve"> </w:t>
              </w:r>
              <w:smartTag w:uri="urn:schemas-microsoft-com:office:smarttags" w:element="PlaceType">
                <w:r>
                  <w:rPr>
                    <w:spacing w:val="-4"/>
                  </w:rPr>
                  <w:t>Gulf</w:t>
                </w:r>
              </w:smartTag>
            </w:smartTag>
            <w:r>
              <w:rPr>
                <w:spacing w:val="-4"/>
              </w:rPr>
              <w:t xml:space="preserve"> Prawn Managed Fishery </w:t>
            </w:r>
          </w:p>
        </w:tc>
        <w:tc>
          <w:tcPr>
            <w:tcW w:w="1320" w:type="dxa"/>
          </w:tcPr>
          <w:p>
            <w:pPr>
              <w:pStyle w:val="zyTableNAm"/>
              <w:jc w:val="right"/>
            </w:pPr>
            <w:r>
              <w:rPr>
                <w:szCs w:val="22"/>
              </w:rPr>
              <w:t>36 841.00</w:t>
            </w:r>
          </w:p>
        </w:tc>
      </w:tr>
      <w:tr>
        <w:tc>
          <w:tcPr>
            <w:tcW w:w="5760" w:type="dxa"/>
          </w:tcPr>
          <w:p>
            <w:pPr>
              <w:pStyle w:val="yTableNAm"/>
              <w:keepNext/>
              <w:tabs>
                <w:tab w:val="clear" w:pos="567"/>
                <w:tab w:val="left" w:pos="462"/>
                <w:tab w:val="left" w:pos="1066"/>
              </w:tabs>
              <w:ind w:left="1066" w:hanging="1066"/>
            </w:pPr>
            <w:r>
              <w:tab/>
              <w:t>(10A)</w:t>
            </w:r>
            <w:r>
              <w:tab/>
              <w:t>Gascoyne Demersal Scalefish Managed Fishery, per unit</w:t>
            </w:r>
          </w:p>
        </w:tc>
        <w:tc>
          <w:tcPr>
            <w:tcW w:w="1320" w:type="dxa"/>
          </w:tcPr>
          <w:p>
            <w:pPr>
              <w:pStyle w:val="zyTableNAm"/>
              <w:keepNext/>
              <w:jc w:val="right"/>
            </w:pPr>
            <w:r>
              <w:br/>
              <w:t>14.95</w:t>
            </w:r>
          </w:p>
        </w:tc>
      </w:tr>
      <w:tr>
        <w:trPr>
          <w:cantSplit/>
        </w:trPr>
        <w:tc>
          <w:tcPr>
            <w:tcW w:w="5760" w:type="dxa"/>
          </w:tcPr>
          <w:p>
            <w:pPr>
              <w:pStyle w:val="yTableNAm"/>
              <w:tabs>
                <w:tab w:val="clear" w:pos="567"/>
                <w:tab w:val="left" w:pos="586"/>
                <w:tab w:val="left" w:pos="1066"/>
              </w:tabs>
              <w:ind w:left="1066" w:hanging="1066"/>
            </w:pPr>
            <w:r>
              <w:tab/>
              <w:t>(10)</w:t>
            </w:r>
            <w:r>
              <w:tab/>
              <w:t xml:space="preserve">Kimberley Gillnet and Barramundi Managed Fishery, per boat </w:t>
            </w:r>
          </w:p>
        </w:tc>
        <w:tc>
          <w:tcPr>
            <w:tcW w:w="1320" w:type="dxa"/>
          </w:tcPr>
          <w:p>
            <w:pPr>
              <w:pStyle w:val="zyTableNAm"/>
              <w:jc w:val="right"/>
            </w:pPr>
            <w:r>
              <w:rPr>
                <w:szCs w:val="22"/>
              </w:rPr>
              <w:br/>
              <w:t>7 811.00</w:t>
            </w:r>
          </w:p>
        </w:tc>
      </w:tr>
      <w:tr>
        <w:tc>
          <w:tcPr>
            <w:tcW w:w="5760" w:type="dxa"/>
          </w:tcPr>
          <w:p>
            <w:pPr>
              <w:pStyle w:val="yTableNAm"/>
              <w:tabs>
                <w:tab w:val="clear" w:pos="567"/>
                <w:tab w:val="left" w:pos="586"/>
                <w:tab w:val="left" w:pos="1066"/>
              </w:tabs>
              <w:ind w:left="1066" w:hanging="1066"/>
            </w:pPr>
            <w:r>
              <w:tab/>
              <w:t>(11)</w:t>
            </w:r>
            <w:r>
              <w:tab/>
            </w:r>
            <w:smartTag w:uri="urn:schemas-microsoft-com:office:smarttags" w:element="place">
              <w:smartTag w:uri="urn:schemas-microsoft-com:office:smarttags" w:element="City">
                <w:r>
                  <w:t>Kimberley</w:t>
                </w:r>
              </w:smartTag>
            </w:smartTag>
            <w:r>
              <w:t xml:space="preserve"> Prawn Managed Fishery — </w:t>
            </w:r>
          </w:p>
        </w:tc>
        <w:tc>
          <w:tcPr>
            <w:tcW w:w="1320" w:type="dxa"/>
          </w:tcPr>
          <w:p>
            <w:pPr>
              <w:pStyle w:val="zyTableNAm"/>
              <w:jc w:val="right"/>
            </w:pPr>
          </w:p>
        </w:tc>
      </w:tr>
      <w:tr>
        <w:tc>
          <w:tcPr>
            <w:tcW w:w="5760" w:type="dxa"/>
          </w:tcPr>
          <w:p>
            <w:pPr>
              <w:pStyle w:val="zyTableNAm"/>
              <w:tabs>
                <w:tab w:val="clear" w:pos="567"/>
                <w:tab w:val="left" w:pos="1198"/>
                <w:tab w:val="left" w:pos="1666"/>
              </w:tabs>
              <w:ind w:left="1666" w:hanging="1666"/>
            </w:pPr>
            <w:r>
              <w:tab/>
              <w:t>(a)</w:t>
            </w:r>
            <w:r>
              <w:tab/>
              <w:t xml:space="preserve">for a Class 1 licence </w:t>
            </w:r>
          </w:p>
        </w:tc>
        <w:tc>
          <w:tcPr>
            <w:tcW w:w="1320" w:type="dxa"/>
          </w:tcPr>
          <w:p>
            <w:pPr>
              <w:pStyle w:val="zyTableNAm"/>
              <w:jc w:val="right"/>
            </w:pPr>
            <w:r>
              <w:rPr>
                <w:szCs w:val="22"/>
              </w:rPr>
              <w:t>614.00</w:t>
            </w:r>
          </w:p>
        </w:tc>
      </w:tr>
      <w:tr>
        <w:tc>
          <w:tcPr>
            <w:tcW w:w="5760" w:type="dxa"/>
          </w:tcPr>
          <w:p>
            <w:pPr>
              <w:pStyle w:val="zyTableNAm"/>
              <w:tabs>
                <w:tab w:val="clear" w:pos="567"/>
                <w:tab w:val="left" w:pos="1198"/>
                <w:tab w:val="left" w:pos="1666"/>
              </w:tabs>
              <w:ind w:left="1666" w:hanging="1666"/>
            </w:pPr>
            <w:r>
              <w:tab/>
              <w:t>(b)</w:t>
            </w:r>
            <w:r>
              <w:tab/>
              <w:t xml:space="preserve">for a Class 2 licence </w:t>
            </w:r>
          </w:p>
        </w:tc>
        <w:tc>
          <w:tcPr>
            <w:tcW w:w="1320" w:type="dxa"/>
          </w:tcPr>
          <w:p>
            <w:pPr>
              <w:pStyle w:val="zyTableNAm"/>
              <w:jc w:val="right"/>
            </w:pPr>
            <w:r>
              <w:rPr>
                <w:szCs w:val="22"/>
              </w:rPr>
              <w:t>614.00</w:t>
            </w:r>
          </w:p>
        </w:tc>
      </w:tr>
      <w:tr>
        <w:tc>
          <w:tcPr>
            <w:tcW w:w="5760" w:type="dxa"/>
          </w:tcPr>
          <w:p>
            <w:pPr>
              <w:pStyle w:val="zyTableNAm"/>
              <w:tabs>
                <w:tab w:val="clear" w:pos="567"/>
                <w:tab w:val="left" w:pos="1198"/>
                <w:tab w:val="left" w:pos="1666"/>
              </w:tabs>
              <w:ind w:left="1666" w:hanging="1666"/>
            </w:pPr>
            <w:r>
              <w:tab/>
              <w:t>(c)</w:t>
            </w:r>
            <w:r>
              <w:tab/>
              <w:t xml:space="preserve">for a Class 3 licence </w:t>
            </w:r>
          </w:p>
        </w:tc>
        <w:tc>
          <w:tcPr>
            <w:tcW w:w="1320" w:type="dxa"/>
          </w:tcPr>
          <w:p>
            <w:pPr>
              <w:pStyle w:val="zyTableNAm"/>
              <w:jc w:val="right"/>
            </w:pPr>
            <w:r>
              <w:t>5 000.00</w:t>
            </w:r>
          </w:p>
        </w:tc>
      </w:tr>
      <w:tr>
        <w:tc>
          <w:tcPr>
            <w:tcW w:w="5760" w:type="dxa"/>
          </w:tcPr>
          <w:p>
            <w:pPr>
              <w:pStyle w:val="yTableNAm"/>
              <w:tabs>
                <w:tab w:val="clear" w:pos="567"/>
                <w:tab w:val="left" w:pos="586"/>
                <w:tab w:val="left" w:pos="1066"/>
              </w:tabs>
              <w:ind w:left="1066" w:hanging="1066"/>
            </w:pPr>
            <w:r>
              <w:tab/>
            </w:r>
            <w:r>
              <w:br w:type="page"/>
              <w:t>(12)</w:t>
            </w:r>
            <w:r>
              <w:tab/>
              <w:t>Marine Aquarium Fish Managed Fishery — </w:t>
            </w:r>
          </w:p>
        </w:tc>
        <w:tc>
          <w:tcPr>
            <w:tcW w:w="1320" w:type="dxa"/>
          </w:tcPr>
          <w:p>
            <w:pPr>
              <w:pStyle w:val="zyTableNAm"/>
              <w:jc w:val="right"/>
            </w:pPr>
          </w:p>
        </w:tc>
      </w:tr>
      <w:tr>
        <w:tc>
          <w:tcPr>
            <w:tcW w:w="5760" w:type="dxa"/>
          </w:tcPr>
          <w:p>
            <w:pPr>
              <w:pStyle w:val="zyTableNAm"/>
              <w:tabs>
                <w:tab w:val="clear" w:pos="567"/>
                <w:tab w:val="left" w:pos="1198"/>
                <w:tab w:val="left" w:pos="1666"/>
              </w:tabs>
              <w:ind w:left="1666" w:hanging="1666"/>
            </w:pPr>
            <w:r>
              <w:tab/>
              <w:t>(a)</w:t>
            </w:r>
            <w:r>
              <w:tab/>
              <w:t xml:space="preserve">for an individual </w:t>
            </w:r>
          </w:p>
        </w:tc>
        <w:tc>
          <w:tcPr>
            <w:tcW w:w="1320" w:type="dxa"/>
          </w:tcPr>
          <w:p>
            <w:pPr>
              <w:pStyle w:val="zyTableNAm"/>
              <w:jc w:val="right"/>
            </w:pPr>
            <w:r>
              <w:t>955.00</w:t>
            </w:r>
          </w:p>
        </w:tc>
      </w:tr>
      <w:tr>
        <w:tc>
          <w:tcPr>
            <w:tcW w:w="5760" w:type="dxa"/>
          </w:tcPr>
          <w:p>
            <w:pPr>
              <w:pStyle w:val="zyTableNAm"/>
              <w:tabs>
                <w:tab w:val="clear" w:pos="567"/>
                <w:tab w:val="left" w:pos="1198"/>
                <w:tab w:val="left" w:pos="1666"/>
              </w:tabs>
              <w:ind w:left="1666" w:hanging="1666"/>
            </w:pPr>
            <w:r>
              <w:tab/>
              <w:t>(b)</w:t>
            </w:r>
            <w:r>
              <w:tab/>
              <w:t xml:space="preserve">for a body corporate </w:t>
            </w:r>
          </w:p>
        </w:tc>
        <w:tc>
          <w:tcPr>
            <w:tcW w:w="1320" w:type="dxa"/>
          </w:tcPr>
          <w:p>
            <w:pPr>
              <w:pStyle w:val="zyTableNAm"/>
              <w:jc w:val="right"/>
            </w:pPr>
            <w:r>
              <w:t>955.00</w:t>
            </w:r>
          </w:p>
        </w:tc>
      </w:tr>
      <w:tr>
        <w:tc>
          <w:tcPr>
            <w:tcW w:w="5760" w:type="dxa"/>
          </w:tcPr>
          <w:p>
            <w:pPr>
              <w:pStyle w:val="yTableNAm"/>
              <w:tabs>
                <w:tab w:val="clear" w:pos="567"/>
                <w:tab w:val="left" w:pos="586"/>
                <w:tab w:val="left" w:pos="1066"/>
              </w:tabs>
              <w:ind w:left="1066" w:hanging="1066"/>
            </w:pPr>
            <w:r>
              <w:tab/>
              <w:t>(13)</w:t>
            </w:r>
            <w:r>
              <w:tab/>
            </w:r>
            <w:smartTag w:uri="urn:schemas-microsoft-com:office:smarttags" w:element="place">
              <w:smartTag w:uri="urn:schemas-microsoft-com:office:smarttags" w:element="PlaceName">
                <w:r>
                  <w:t>Nickol</w:t>
                </w:r>
              </w:smartTag>
              <w:r>
                <w:t xml:space="preserve"> </w:t>
              </w:r>
              <w:smartTag w:uri="urn:schemas-microsoft-com:office:smarttags" w:element="PlaceType">
                <w:r>
                  <w:t>Bay</w:t>
                </w:r>
              </w:smartTag>
            </w:smartTag>
            <w:r>
              <w:t xml:space="preserve"> Prawn Managed Fishery </w:t>
            </w:r>
          </w:p>
        </w:tc>
        <w:tc>
          <w:tcPr>
            <w:tcW w:w="1320" w:type="dxa"/>
          </w:tcPr>
          <w:p>
            <w:pPr>
              <w:pStyle w:val="zyTableNAm"/>
              <w:jc w:val="right"/>
            </w:pPr>
            <w:r>
              <w:rPr>
                <w:szCs w:val="22"/>
              </w:rPr>
              <w:t>2 722.00</w:t>
            </w:r>
          </w:p>
        </w:tc>
      </w:tr>
      <w:tr>
        <w:tc>
          <w:tcPr>
            <w:tcW w:w="5760" w:type="dxa"/>
          </w:tcPr>
          <w:p>
            <w:pPr>
              <w:pStyle w:val="yTableNAm"/>
              <w:tabs>
                <w:tab w:val="clear" w:pos="567"/>
                <w:tab w:val="left" w:pos="586"/>
                <w:tab w:val="left" w:pos="1066"/>
              </w:tabs>
              <w:ind w:left="1066" w:hanging="1066"/>
            </w:pPr>
            <w:r>
              <w:tab/>
              <w:t>(14)</w:t>
            </w:r>
            <w:r>
              <w:tab/>
              <w:t xml:space="preserve">Northern Demersal Scalefish Fishery — </w:t>
            </w:r>
          </w:p>
        </w:tc>
        <w:tc>
          <w:tcPr>
            <w:tcW w:w="1320" w:type="dxa"/>
          </w:tcPr>
          <w:p>
            <w:pPr>
              <w:pStyle w:val="zyTableNAm"/>
              <w:jc w:val="right"/>
            </w:pPr>
          </w:p>
        </w:tc>
      </w:tr>
      <w:tr>
        <w:tc>
          <w:tcPr>
            <w:tcW w:w="5760" w:type="dxa"/>
          </w:tcPr>
          <w:p>
            <w:pPr>
              <w:pStyle w:val="zyTableNAm"/>
              <w:tabs>
                <w:tab w:val="clear" w:pos="567"/>
                <w:tab w:val="left" w:pos="1198"/>
                <w:tab w:val="left" w:pos="1666"/>
              </w:tabs>
              <w:ind w:left="1666" w:hanging="1666"/>
            </w:pPr>
            <w:r>
              <w:tab/>
              <w:t>(a)</w:t>
            </w:r>
            <w:r>
              <w:tab/>
              <w:t xml:space="preserve">for an “A” class licence </w:t>
            </w:r>
          </w:p>
        </w:tc>
        <w:tc>
          <w:tcPr>
            <w:tcW w:w="1320" w:type="dxa"/>
          </w:tcPr>
          <w:p>
            <w:pPr>
              <w:pStyle w:val="zyTableNAm"/>
              <w:jc w:val="right"/>
            </w:pPr>
            <w:r>
              <w:rPr>
                <w:szCs w:val="22"/>
              </w:rPr>
              <w:t>68.00</w:t>
            </w:r>
          </w:p>
        </w:tc>
      </w:tr>
      <w:tr>
        <w:tc>
          <w:tcPr>
            <w:tcW w:w="5760" w:type="dxa"/>
          </w:tcPr>
          <w:p>
            <w:pPr>
              <w:pStyle w:val="zyTableNAm"/>
              <w:tabs>
                <w:tab w:val="clear" w:pos="567"/>
                <w:tab w:val="left" w:pos="1198"/>
                <w:tab w:val="left" w:pos="1666"/>
              </w:tabs>
              <w:ind w:left="1666" w:hanging="1666"/>
            </w:pPr>
            <w:r>
              <w:tab/>
              <w:t>(b)</w:t>
            </w:r>
            <w:r>
              <w:tab/>
              <w:t xml:space="preserve">for a “B” class licence, per unit of entitlement </w:t>
            </w:r>
          </w:p>
        </w:tc>
        <w:tc>
          <w:tcPr>
            <w:tcW w:w="1320" w:type="dxa"/>
          </w:tcPr>
          <w:p>
            <w:pPr>
              <w:pStyle w:val="zyTableNAm"/>
              <w:jc w:val="right"/>
            </w:pPr>
            <w:r>
              <w:rPr>
                <w:szCs w:val="22"/>
              </w:rPr>
              <w:br/>
              <w:t>182.22</w:t>
            </w:r>
          </w:p>
        </w:tc>
      </w:tr>
      <w:tr>
        <w:tc>
          <w:tcPr>
            <w:tcW w:w="5760" w:type="dxa"/>
          </w:tcPr>
          <w:p>
            <w:pPr>
              <w:pStyle w:val="yTableNAm"/>
              <w:tabs>
                <w:tab w:val="clear" w:pos="567"/>
                <w:tab w:val="left" w:pos="586"/>
                <w:tab w:val="left" w:pos="1066"/>
              </w:tabs>
              <w:ind w:left="1066" w:hanging="1066"/>
            </w:pPr>
            <w:r>
              <w:tab/>
              <w:t>(15)</w:t>
            </w:r>
            <w:r>
              <w:tab/>
              <w:t>Onslow Prawn Managed Fishery — </w:t>
            </w:r>
          </w:p>
        </w:tc>
        <w:tc>
          <w:tcPr>
            <w:tcW w:w="1320" w:type="dxa"/>
          </w:tcPr>
          <w:p>
            <w:pPr>
              <w:pStyle w:val="zyTableNAm"/>
              <w:jc w:val="right"/>
            </w:pPr>
          </w:p>
        </w:tc>
      </w:tr>
      <w:tr>
        <w:tc>
          <w:tcPr>
            <w:tcW w:w="5760" w:type="dxa"/>
          </w:tcPr>
          <w:p>
            <w:pPr>
              <w:pStyle w:val="zyTableNAm"/>
              <w:tabs>
                <w:tab w:val="clear" w:pos="567"/>
                <w:tab w:val="left" w:pos="1198"/>
                <w:tab w:val="left" w:pos="1666"/>
              </w:tabs>
              <w:ind w:left="1666" w:hanging="1666"/>
            </w:pPr>
            <w:r>
              <w:tab/>
              <w:t>(a)</w:t>
            </w:r>
            <w:r>
              <w:tab/>
              <w:t xml:space="preserve">for an “A” class licence </w:t>
            </w:r>
          </w:p>
        </w:tc>
        <w:tc>
          <w:tcPr>
            <w:tcW w:w="1320" w:type="dxa"/>
          </w:tcPr>
          <w:p>
            <w:pPr>
              <w:pStyle w:val="zyTableNAm"/>
              <w:jc w:val="right"/>
            </w:pPr>
            <w:r>
              <w:rPr>
                <w:szCs w:val="22"/>
              </w:rPr>
              <w:t>5 042.00</w:t>
            </w:r>
          </w:p>
        </w:tc>
      </w:tr>
      <w:tr>
        <w:tc>
          <w:tcPr>
            <w:tcW w:w="5760" w:type="dxa"/>
          </w:tcPr>
          <w:p>
            <w:pPr>
              <w:pStyle w:val="zyTableNAm"/>
              <w:tabs>
                <w:tab w:val="clear" w:pos="567"/>
                <w:tab w:val="left" w:pos="1198"/>
                <w:tab w:val="left" w:pos="1666"/>
              </w:tabs>
              <w:ind w:left="1666" w:hanging="1666"/>
            </w:pPr>
            <w:r>
              <w:tab/>
              <w:t>(b)</w:t>
            </w:r>
            <w:r>
              <w:tab/>
              <w:t xml:space="preserve">for a “B” class licence </w:t>
            </w:r>
          </w:p>
        </w:tc>
        <w:tc>
          <w:tcPr>
            <w:tcW w:w="1320" w:type="dxa"/>
          </w:tcPr>
          <w:p>
            <w:pPr>
              <w:pStyle w:val="zyTableNAm"/>
              <w:jc w:val="right"/>
            </w:pPr>
            <w:r>
              <w:rPr>
                <w:szCs w:val="22"/>
              </w:rPr>
              <w:t>86.00</w:t>
            </w:r>
          </w:p>
        </w:tc>
      </w:tr>
      <w:tr>
        <w:tc>
          <w:tcPr>
            <w:tcW w:w="5760" w:type="dxa"/>
          </w:tcPr>
          <w:p>
            <w:pPr>
              <w:pStyle w:val="zyTableNAm"/>
              <w:tabs>
                <w:tab w:val="clear" w:pos="567"/>
                <w:tab w:val="left" w:pos="1198"/>
                <w:tab w:val="left" w:pos="1666"/>
              </w:tabs>
              <w:ind w:left="1666" w:hanging="1666"/>
            </w:pPr>
            <w:r>
              <w:tab/>
              <w:t>(c)</w:t>
            </w:r>
            <w:r>
              <w:tab/>
              <w:t xml:space="preserve">for a “C” class licence </w:t>
            </w:r>
          </w:p>
        </w:tc>
        <w:tc>
          <w:tcPr>
            <w:tcW w:w="1320" w:type="dxa"/>
          </w:tcPr>
          <w:p>
            <w:pPr>
              <w:pStyle w:val="zyTableNAm"/>
              <w:jc w:val="right"/>
            </w:pPr>
            <w:r>
              <w:rPr>
                <w:szCs w:val="22"/>
              </w:rPr>
              <w:t>86.00</w:t>
            </w:r>
          </w:p>
        </w:tc>
      </w:tr>
      <w:tr>
        <w:tc>
          <w:tcPr>
            <w:tcW w:w="5760" w:type="dxa"/>
          </w:tcPr>
          <w:p>
            <w:pPr>
              <w:pStyle w:val="zyTableNAm"/>
              <w:tabs>
                <w:tab w:val="clear" w:pos="567"/>
                <w:tab w:val="left" w:pos="1198"/>
                <w:tab w:val="left" w:pos="1666"/>
              </w:tabs>
              <w:ind w:left="1666" w:hanging="1666"/>
            </w:pPr>
            <w:r>
              <w:tab/>
              <w:t>(d)</w:t>
            </w:r>
            <w:r>
              <w:tab/>
              <w:t xml:space="preserve">for a “D” class licence </w:t>
            </w:r>
          </w:p>
        </w:tc>
        <w:tc>
          <w:tcPr>
            <w:tcW w:w="1320" w:type="dxa"/>
          </w:tcPr>
          <w:p>
            <w:pPr>
              <w:pStyle w:val="zyTableNAm"/>
              <w:jc w:val="right"/>
            </w:pPr>
            <w:r>
              <w:rPr>
                <w:szCs w:val="22"/>
              </w:rPr>
              <w:t>86.00</w:t>
            </w:r>
          </w:p>
        </w:tc>
      </w:tr>
      <w:tr>
        <w:tc>
          <w:tcPr>
            <w:tcW w:w="5760" w:type="dxa"/>
          </w:tcPr>
          <w:p>
            <w:pPr>
              <w:pStyle w:val="yTableNAm"/>
              <w:tabs>
                <w:tab w:val="clear" w:pos="567"/>
                <w:tab w:val="left" w:pos="586"/>
                <w:tab w:val="left" w:pos="1066"/>
              </w:tabs>
              <w:ind w:left="1066" w:hanging="1066"/>
            </w:pPr>
            <w:r>
              <w:tab/>
              <w:t>(16)</w:t>
            </w:r>
            <w:r>
              <w:tab/>
              <w:t xml:space="preserve">Pilbara Fish Trawl Interim Managed Fishery, per fish trawl unit </w:t>
            </w:r>
          </w:p>
        </w:tc>
        <w:tc>
          <w:tcPr>
            <w:tcW w:w="1320" w:type="dxa"/>
          </w:tcPr>
          <w:p>
            <w:pPr>
              <w:pStyle w:val="zyTableNAm"/>
              <w:jc w:val="right"/>
            </w:pPr>
            <w:r>
              <w:rPr>
                <w:szCs w:val="22"/>
              </w:rPr>
              <w:br/>
              <w:t>7.91</w:t>
            </w:r>
          </w:p>
        </w:tc>
      </w:tr>
      <w:tr>
        <w:tc>
          <w:tcPr>
            <w:tcW w:w="5760" w:type="dxa"/>
          </w:tcPr>
          <w:p>
            <w:pPr>
              <w:pStyle w:val="yTableNAm"/>
              <w:tabs>
                <w:tab w:val="clear" w:pos="567"/>
                <w:tab w:val="left" w:pos="586"/>
                <w:tab w:val="left" w:pos="1066"/>
              </w:tabs>
              <w:ind w:left="1066" w:hanging="1066"/>
            </w:pPr>
            <w:r>
              <w:tab/>
              <w:t>(17)</w:t>
            </w:r>
            <w:r>
              <w:tab/>
              <w:t xml:space="preserve">Pilbara Trap Managed Fishery, per trap unit </w:t>
            </w:r>
          </w:p>
        </w:tc>
        <w:tc>
          <w:tcPr>
            <w:tcW w:w="1320" w:type="dxa"/>
          </w:tcPr>
          <w:p>
            <w:pPr>
              <w:pStyle w:val="zyTableNAm"/>
              <w:jc w:val="right"/>
            </w:pPr>
            <w:r>
              <w:rPr>
                <w:szCs w:val="22"/>
              </w:rPr>
              <w:t>20.98</w:t>
            </w:r>
          </w:p>
        </w:tc>
      </w:tr>
      <w:tr>
        <w:tc>
          <w:tcPr>
            <w:tcW w:w="5760" w:type="dxa"/>
          </w:tcPr>
          <w:p>
            <w:pPr>
              <w:pStyle w:val="yTableNAm"/>
              <w:tabs>
                <w:tab w:val="clear" w:pos="567"/>
                <w:tab w:val="left" w:pos="586"/>
                <w:tab w:val="left" w:pos="1066"/>
              </w:tabs>
              <w:ind w:left="1066" w:hanging="1066"/>
            </w:pPr>
            <w:r>
              <w:tab/>
              <w:t>(18)</w:t>
            </w:r>
            <w:r>
              <w:tab/>
            </w:r>
            <w:smartTag w:uri="urn:schemas-microsoft-com:office:smarttags" w:element="PlaceName">
              <w:r>
                <w:t>Shark</w:t>
              </w:r>
            </w:smartTag>
            <w:r>
              <w:t xml:space="preserve"> </w:t>
            </w:r>
            <w:smartTag w:uri="urn:schemas-microsoft-com:office:smarttags" w:element="PlaceType">
              <w:r>
                <w:t>Bay</w:t>
              </w:r>
            </w:smartTag>
            <w:r>
              <w:t xml:space="preserve"> </w:t>
            </w:r>
            <w:smartTag w:uri="urn:schemas-microsoft-com:office:smarttags" w:element="PlaceType">
              <w:r>
                <w:t>Beach</w:t>
              </w:r>
            </w:smartTag>
            <w:r>
              <w:t xml:space="preserve"> </w:t>
            </w:r>
            <w:smartTag w:uri="urn:schemas-microsoft-com:office:smarttags" w:element="place">
              <w:r>
                <w:t>Seine</w:t>
              </w:r>
            </w:smartTag>
            <w:r>
              <w:t xml:space="preserve"> and Mesh Net Managed Fishery, per fishing unit </w:t>
            </w:r>
          </w:p>
        </w:tc>
        <w:tc>
          <w:tcPr>
            <w:tcW w:w="1320" w:type="dxa"/>
          </w:tcPr>
          <w:p>
            <w:pPr>
              <w:pStyle w:val="zyTableNAm"/>
              <w:jc w:val="right"/>
            </w:pPr>
            <w:r>
              <w:rPr>
                <w:szCs w:val="22"/>
              </w:rPr>
              <w:br/>
              <w:t>5 043.00</w:t>
            </w:r>
          </w:p>
        </w:tc>
      </w:tr>
      <w:tr>
        <w:tc>
          <w:tcPr>
            <w:tcW w:w="5760" w:type="dxa"/>
          </w:tcPr>
          <w:p>
            <w:pPr>
              <w:pStyle w:val="yTableNAm"/>
              <w:tabs>
                <w:tab w:val="clear" w:pos="567"/>
                <w:tab w:val="left" w:pos="586"/>
                <w:tab w:val="left" w:pos="1066"/>
              </w:tabs>
              <w:ind w:left="1066" w:hanging="1066"/>
            </w:pPr>
            <w:r>
              <w:tab/>
              <w:t>(19)</w:t>
            </w:r>
            <w:r>
              <w:tab/>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Prawn Managed Fishery </w:t>
            </w:r>
          </w:p>
        </w:tc>
        <w:tc>
          <w:tcPr>
            <w:tcW w:w="1320" w:type="dxa"/>
          </w:tcPr>
          <w:p>
            <w:pPr>
              <w:pStyle w:val="zyTableNAm"/>
              <w:jc w:val="right"/>
            </w:pPr>
            <w:r>
              <w:rPr>
                <w:szCs w:val="22"/>
              </w:rPr>
              <w:t>50 548.00</w:t>
            </w:r>
          </w:p>
        </w:tc>
      </w:tr>
      <w:tr>
        <w:tc>
          <w:tcPr>
            <w:tcW w:w="5760" w:type="dxa"/>
          </w:tcPr>
          <w:p>
            <w:pPr>
              <w:pStyle w:val="yTableNAm"/>
              <w:tabs>
                <w:tab w:val="clear" w:pos="567"/>
                <w:tab w:val="left" w:pos="586"/>
                <w:tab w:val="left" w:pos="1066"/>
              </w:tabs>
              <w:ind w:left="1066" w:hanging="1066"/>
            </w:pPr>
            <w:r>
              <w:tab/>
              <w:t>(20)</w:t>
            </w:r>
            <w:r>
              <w:tab/>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Scallop Managed Fishery —</w:t>
            </w:r>
          </w:p>
        </w:tc>
        <w:tc>
          <w:tcPr>
            <w:tcW w:w="1320" w:type="dxa"/>
          </w:tcPr>
          <w:p>
            <w:pPr>
              <w:pStyle w:val="zyTableNAm"/>
              <w:jc w:val="right"/>
            </w:pPr>
          </w:p>
        </w:tc>
      </w:tr>
      <w:tr>
        <w:tc>
          <w:tcPr>
            <w:tcW w:w="5760" w:type="dxa"/>
          </w:tcPr>
          <w:p>
            <w:pPr>
              <w:pStyle w:val="zyTableNAm"/>
              <w:tabs>
                <w:tab w:val="clear" w:pos="567"/>
                <w:tab w:val="left" w:pos="1198"/>
                <w:tab w:val="left" w:pos="1666"/>
              </w:tabs>
              <w:ind w:left="1666" w:hanging="1666"/>
            </w:pPr>
            <w:r>
              <w:tab/>
              <w:t>(a)</w:t>
            </w:r>
            <w:r>
              <w:tab/>
              <w:t xml:space="preserve">for a class A boat, per boat </w:t>
            </w:r>
          </w:p>
        </w:tc>
        <w:tc>
          <w:tcPr>
            <w:tcW w:w="1320" w:type="dxa"/>
          </w:tcPr>
          <w:p>
            <w:pPr>
              <w:pStyle w:val="zyTableNAm"/>
              <w:jc w:val="right"/>
            </w:pPr>
            <w:r>
              <w:rPr>
                <w:szCs w:val="22"/>
              </w:rPr>
              <w:t>40 770.00</w:t>
            </w:r>
          </w:p>
        </w:tc>
      </w:tr>
      <w:tr>
        <w:tc>
          <w:tcPr>
            <w:tcW w:w="5760" w:type="dxa"/>
          </w:tcPr>
          <w:p>
            <w:pPr>
              <w:pStyle w:val="zyTableNAm"/>
              <w:tabs>
                <w:tab w:val="clear" w:pos="567"/>
                <w:tab w:val="left" w:pos="1198"/>
                <w:tab w:val="left" w:pos="1666"/>
              </w:tabs>
              <w:ind w:left="1666" w:hanging="1666"/>
            </w:pPr>
            <w:r>
              <w:tab/>
              <w:t>(b)</w:t>
            </w:r>
            <w:r>
              <w:tab/>
              <w:t xml:space="preserve">for a class B boat, per boat </w:t>
            </w:r>
          </w:p>
        </w:tc>
        <w:tc>
          <w:tcPr>
            <w:tcW w:w="1320" w:type="dxa"/>
          </w:tcPr>
          <w:p>
            <w:pPr>
              <w:pStyle w:val="zyTableNAm"/>
              <w:jc w:val="right"/>
            </w:pPr>
            <w:r>
              <w:rPr>
                <w:szCs w:val="22"/>
              </w:rPr>
              <w:t>9 689.00</w:t>
            </w:r>
          </w:p>
        </w:tc>
      </w:tr>
      <w:tr>
        <w:tc>
          <w:tcPr>
            <w:tcW w:w="5760" w:type="dxa"/>
          </w:tcPr>
          <w:p>
            <w:pPr>
              <w:pStyle w:val="yTableNAm"/>
              <w:tabs>
                <w:tab w:val="clear" w:pos="567"/>
                <w:tab w:val="left" w:pos="586"/>
                <w:tab w:val="left" w:pos="1066"/>
              </w:tabs>
              <w:ind w:left="1066" w:hanging="1066"/>
              <w:rPr>
                <w:i/>
              </w:rPr>
            </w:pPr>
            <w:r>
              <w:tab/>
            </w:r>
            <w:r>
              <w:rPr>
                <w:i/>
              </w:rPr>
              <w:t>[(21) deleted]</w:t>
            </w:r>
          </w:p>
        </w:tc>
        <w:tc>
          <w:tcPr>
            <w:tcW w:w="1320" w:type="dxa"/>
          </w:tcPr>
          <w:p>
            <w:pPr>
              <w:pStyle w:val="zyTableNAm"/>
              <w:jc w:val="right"/>
            </w:pPr>
          </w:p>
        </w:tc>
      </w:tr>
      <w:tr>
        <w:tc>
          <w:tcPr>
            <w:tcW w:w="5760" w:type="dxa"/>
          </w:tcPr>
          <w:p>
            <w:pPr>
              <w:pStyle w:val="yTableNAm"/>
              <w:tabs>
                <w:tab w:val="clear" w:pos="567"/>
                <w:tab w:val="left" w:pos="586"/>
                <w:tab w:val="left" w:pos="1066"/>
              </w:tabs>
              <w:ind w:left="1066" w:hanging="1066"/>
            </w:pPr>
            <w:r>
              <w:tab/>
              <w:t>(22)</w:t>
            </w:r>
            <w:r>
              <w:tab/>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Estuarine Managed Fishery </w:t>
            </w:r>
          </w:p>
        </w:tc>
        <w:tc>
          <w:tcPr>
            <w:tcW w:w="1320" w:type="dxa"/>
          </w:tcPr>
          <w:p>
            <w:pPr>
              <w:pStyle w:val="zyTableNAm"/>
              <w:jc w:val="right"/>
            </w:pPr>
            <w:r>
              <w:rPr>
                <w:szCs w:val="22"/>
              </w:rPr>
              <w:t>2 336.00</w:t>
            </w:r>
          </w:p>
        </w:tc>
      </w:tr>
      <w:tr>
        <w:tc>
          <w:tcPr>
            <w:tcW w:w="5760" w:type="dxa"/>
          </w:tcPr>
          <w:p>
            <w:pPr>
              <w:pStyle w:val="yTableNAm"/>
              <w:tabs>
                <w:tab w:val="clear" w:pos="567"/>
                <w:tab w:val="left" w:pos="586"/>
                <w:tab w:val="left" w:pos="1066"/>
              </w:tabs>
              <w:ind w:left="1066" w:hanging="1066"/>
            </w:pPr>
            <w:r>
              <w:tab/>
            </w:r>
            <w:r>
              <w:br w:type="page"/>
              <w:t>(23)</w:t>
            </w:r>
            <w:r>
              <w:tab/>
              <w:t>South Coast Purse Seine Managed Fishery, the sum obtained by multiplying the number of units of entitlement determined in accordance with that management plan, conferred by the licence by the fee for each unit as follows —</w:t>
            </w:r>
          </w:p>
        </w:tc>
        <w:tc>
          <w:tcPr>
            <w:tcW w:w="1320" w:type="dxa"/>
          </w:tcPr>
          <w:p>
            <w:pPr>
              <w:pStyle w:val="zyTableNAm"/>
              <w:jc w:val="right"/>
            </w:pPr>
          </w:p>
        </w:tc>
      </w:tr>
      <w:tr>
        <w:tc>
          <w:tcPr>
            <w:tcW w:w="5760" w:type="dxa"/>
          </w:tcPr>
          <w:p>
            <w:pPr>
              <w:pStyle w:val="zyTableNAm"/>
              <w:tabs>
                <w:tab w:val="clear" w:pos="567"/>
                <w:tab w:val="left" w:pos="1198"/>
                <w:tab w:val="left" w:pos="1666"/>
              </w:tabs>
              <w:ind w:left="1666" w:hanging="1666"/>
            </w:pPr>
            <w:r>
              <w:tab/>
              <w:t>(a)</w:t>
            </w:r>
            <w:r>
              <w:tab/>
              <w:t xml:space="preserve">for zone 1 </w:t>
            </w:r>
          </w:p>
        </w:tc>
        <w:tc>
          <w:tcPr>
            <w:tcW w:w="1320" w:type="dxa"/>
          </w:tcPr>
          <w:p>
            <w:pPr>
              <w:pStyle w:val="zyTableNAm"/>
              <w:jc w:val="right"/>
            </w:pPr>
            <w:r>
              <w:rPr>
                <w:szCs w:val="22"/>
              </w:rPr>
              <w:t>73.28</w:t>
            </w:r>
          </w:p>
        </w:tc>
      </w:tr>
      <w:tr>
        <w:tc>
          <w:tcPr>
            <w:tcW w:w="5760" w:type="dxa"/>
          </w:tcPr>
          <w:p>
            <w:pPr>
              <w:pStyle w:val="zyTableNAm"/>
              <w:tabs>
                <w:tab w:val="clear" w:pos="567"/>
                <w:tab w:val="left" w:pos="1198"/>
                <w:tab w:val="left" w:pos="1666"/>
              </w:tabs>
              <w:ind w:left="1666" w:hanging="1666"/>
            </w:pPr>
            <w:r>
              <w:tab/>
              <w:t>(b)</w:t>
            </w:r>
            <w:r>
              <w:tab/>
              <w:t xml:space="preserve">for zone 2 </w:t>
            </w:r>
          </w:p>
        </w:tc>
        <w:tc>
          <w:tcPr>
            <w:tcW w:w="1320" w:type="dxa"/>
          </w:tcPr>
          <w:p>
            <w:pPr>
              <w:pStyle w:val="zyTableNAm"/>
              <w:jc w:val="right"/>
            </w:pPr>
            <w:r>
              <w:rPr>
                <w:szCs w:val="22"/>
              </w:rPr>
              <w:t>102.24</w:t>
            </w:r>
          </w:p>
        </w:tc>
      </w:tr>
      <w:tr>
        <w:tc>
          <w:tcPr>
            <w:tcW w:w="5760" w:type="dxa"/>
          </w:tcPr>
          <w:p>
            <w:pPr>
              <w:pStyle w:val="zyTableNAm"/>
              <w:tabs>
                <w:tab w:val="clear" w:pos="567"/>
                <w:tab w:val="left" w:pos="1198"/>
                <w:tab w:val="left" w:pos="1666"/>
              </w:tabs>
              <w:ind w:left="1666" w:hanging="1666"/>
            </w:pPr>
            <w:r>
              <w:tab/>
              <w:t>(c)</w:t>
            </w:r>
            <w:r>
              <w:tab/>
              <w:t xml:space="preserve">for zone 3 </w:t>
            </w:r>
          </w:p>
        </w:tc>
        <w:tc>
          <w:tcPr>
            <w:tcW w:w="1320" w:type="dxa"/>
          </w:tcPr>
          <w:p>
            <w:pPr>
              <w:pStyle w:val="zyTableNAm"/>
              <w:jc w:val="right"/>
            </w:pPr>
            <w:r>
              <w:rPr>
                <w:szCs w:val="22"/>
              </w:rPr>
              <w:t>94.67</w:t>
            </w:r>
          </w:p>
        </w:tc>
      </w:tr>
      <w:tr>
        <w:tc>
          <w:tcPr>
            <w:tcW w:w="5760" w:type="dxa"/>
          </w:tcPr>
          <w:p>
            <w:pPr>
              <w:pStyle w:val="zyTableNAm"/>
              <w:tabs>
                <w:tab w:val="clear" w:pos="567"/>
                <w:tab w:val="left" w:pos="1198"/>
                <w:tab w:val="left" w:pos="1666"/>
              </w:tabs>
              <w:ind w:left="1666" w:hanging="1666"/>
            </w:pPr>
            <w:r>
              <w:tab/>
              <w:t>(d)</w:t>
            </w:r>
            <w:r>
              <w:tab/>
              <w:t xml:space="preserve">for zone 4 </w:t>
            </w:r>
          </w:p>
        </w:tc>
        <w:tc>
          <w:tcPr>
            <w:tcW w:w="1320" w:type="dxa"/>
          </w:tcPr>
          <w:p>
            <w:pPr>
              <w:pStyle w:val="zyTableNAm"/>
              <w:jc w:val="right"/>
            </w:pPr>
            <w:r>
              <w:rPr>
                <w:szCs w:val="22"/>
              </w:rPr>
              <w:t>60.30</w:t>
            </w:r>
          </w:p>
        </w:tc>
      </w:tr>
      <w:tr>
        <w:tc>
          <w:tcPr>
            <w:tcW w:w="5760" w:type="dxa"/>
          </w:tcPr>
          <w:p>
            <w:pPr>
              <w:pStyle w:val="yTableNAm"/>
              <w:tabs>
                <w:tab w:val="clear" w:pos="567"/>
                <w:tab w:val="left" w:pos="586"/>
                <w:tab w:val="left" w:pos="1066"/>
              </w:tabs>
              <w:ind w:left="1066" w:hanging="1066"/>
            </w:pPr>
            <w:r>
              <w:tab/>
              <w:t>(24)</w:t>
            </w:r>
            <w:r>
              <w:tab/>
              <w:t>South Coast Salmon Managed Fishery, per team</w:t>
            </w:r>
          </w:p>
        </w:tc>
        <w:tc>
          <w:tcPr>
            <w:tcW w:w="1320" w:type="dxa"/>
          </w:tcPr>
          <w:p>
            <w:pPr>
              <w:pStyle w:val="zyTableNAm"/>
              <w:jc w:val="right"/>
            </w:pPr>
            <w:r>
              <w:rPr>
                <w:szCs w:val="22"/>
              </w:rPr>
              <w:t>504.00</w:t>
            </w:r>
          </w:p>
        </w:tc>
      </w:tr>
      <w:tr>
        <w:tc>
          <w:tcPr>
            <w:tcW w:w="5760" w:type="dxa"/>
          </w:tcPr>
          <w:p>
            <w:pPr>
              <w:pStyle w:val="yTableNAm"/>
              <w:tabs>
                <w:tab w:val="clear" w:pos="567"/>
                <w:tab w:val="left" w:pos="586"/>
                <w:tab w:val="left" w:pos="1066"/>
              </w:tabs>
              <w:ind w:left="1066" w:hanging="1066"/>
            </w:pPr>
            <w:r>
              <w:tab/>
              <w:t>(25)</w:t>
            </w:r>
            <w:r>
              <w:tab/>
              <w:t xml:space="preserve">South West Coast Salmon Managed Fishery, per team </w:t>
            </w:r>
          </w:p>
        </w:tc>
        <w:tc>
          <w:tcPr>
            <w:tcW w:w="1320" w:type="dxa"/>
          </w:tcPr>
          <w:p>
            <w:pPr>
              <w:pStyle w:val="zyTableNAm"/>
              <w:jc w:val="right"/>
            </w:pPr>
            <w:r>
              <w:rPr>
                <w:szCs w:val="22"/>
              </w:rPr>
              <w:br/>
              <w:t>1 210.00</w:t>
            </w:r>
          </w:p>
        </w:tc>
      </w:tr>
      <w:tr>
        <w:tc>
          <w:tcPr>
            <w:tcW w:w="5760" w:type="dxa"/>
          </w:tcPr>
          <w:p>
            <w:pPr>
              <w:pStyle w:val="yTableNAm"/>
              <w:tabs>
                <w:tab w:val="clear" w:pos="567"/>
                <w:tab w:val="left" w:pos="586"/>
                <w:tab w:val="left" w:pos="1066"/>
              </w:tabs>
              <w:ind w:left="1066" w:hanging="1066"/>
            </w:pPr>
            <w:r>
              <w:tab/>
              <w:t>(26)</w:t>
            </w:r>
            <w:r>
              <w:tab/>
              <w:t>South West Trawl Managed Fishery — </w:t>
            </w:r>
          </w:p>
        </w:tc>
        <w:tc>
          <w:tcPr>
            <w:tcW w:w="1320" w:type="dxa"/>
          </w:tcPr>
          <w:p>
            <w:pPr>
              <w:pStyle w:val="zyTableNAm"/>
              <w:jc w:val="right"/>
            </w:pPr>
          </w:p>
        </w:tc>
      </w:tr>
      <w:tr>
        <w:tc>
          <w:tcPr>
            <w:tcW w:w="5760" w:type="dxa"/>
          </w:tcPr>
          <w:p>
            <w:pPr>
              <w:pStyle w:val="zyTableNAm"/>
              <w:tabs>
                <w:tab w:val="clear" w:pos="567"/>
                <w:tab w:val="left" w:pos="1198"/>
                <w:tab w:val="left" w:pos="1666"/>
              </w:tabs>
              <w:ind w:left="1666" w:hanging="1666"/>
            </w:pPr>
            <w:r>
              <w:tab/>
              <w:t>(a)</w:t>
            </w:r>
            <w:r>
              <w:tab/>
              <w:t xml:space="preserve">for zone A </w:t>
            </w:r>
          </w:p>
        </w:tc>
        <w:tc>
          <w:tcPr>
            <w:tcW w:w="1320" w:type="dxa"/>
          </w:tcPr>
          <w:p>
            <w:pPr>
              <w:pStyle w:val="zyTableNAm"/>
              <w:jc w:val="right"/>
            </w:pPr>
            <w:r>
              <w:rPr>
                <w:szCs w:val="22"/>
              </w:rPr>
              <w:t>884.00</w:t>
            </w:r>
          </w:p>
        </w:tc>
      </w:tr>
      <w:tr>
        <w:tc>
          <w:tcPr>
            <w:tcW w:w="5760" w:type="dxa"/>
          </w:tcPr>
          <w:p>
            <w:pPr>
              <w:pStyle w:val="zyTableNAm"/>
              <w:tabs>
                <w:tab w:val="clear" w:pos="567"/>
                <w:tab w:val="left" w:pos="1198"/>
                <w:tab w:val="left" w:pos="1666"/>
              </w:tabs>
              <w:ind w:left="1666" w:hanging="1666"/>
            </w:pPr>
            <w:r>
              <w:tab/>
              <w:t>(b)</w:t>
            </w:r>
            <w:r>
              <w:tab/>
              <w:t xml:space="preserve">for zone B </w:t>
            </w:r>
          </w:p>
        </w:tc>
        <w:tc>
          <w:tcPr>
            <w:tcW w:w="1320" w:type="dxa"/>
          </w:tcPr>
          <w:p>
            <w:pPr>
              <w:pStyle w:val="zyTableNAm"/>
              <w:jc w:val="right"/>
            </w:pPr>
            <w:r>
              <w:rPr>
                <w:szCs w:val="22"/>
              </w:rPr>
              <w:t>884.00</w:t>
            </w:r>
          </w:p>
        </w:tc>
      </w:tr>
      <w:tr>
        <w:tc>
          <w:tcPr>
            <w:tcW w:w="5760" w:type="dxa"/>
          </w:tcPr>
          <w:p>
            <w:pPr>
              <w:pStyle w:val="zyTableNAm"/>
              <w:tabs>
                <w:tab w:val="clear" w:pos="567"/>
                <w:tab w:val="left" w:pos="1198"/>
                <w:tab w:val="left" w:pos="1666"/>
              </w:tabs>
              <w:ind w:left="1666" w:hanging="1666"/>
            </w:pPr>
            <w:r>
              <w:tab/>
              <w:t>(c)</w:t>
            </w:r>
            <w:r>
              <w:tab/>
              <w:t xml:space="preserve">for zone A and B </w:t>
            </w:r>
          </w:p>
        </w:tc>
        <w:tc>
          <w:tcPr>
            <w:tcW w:w="1320" w:type="dxa"/>
          </w:tcPr>
          <w:p>
            <w:pPr>
              <w:pStyle w:val="zyTableNAm"/>
              <w:jc w:val="right"/>
            </w:pPr>
            <w:r>
              <w:rPr>
                <w:szCs w:val="22"/>
              </w:rPr>
              <w:t>884.00</w:t>
            </w:r>
          </w:p>
        </w:tc>
      </w:tr>
      <w:tr>
        <w:tc>
          <w:tcPr>
            <w:tcW w:w="5760" w:type="dxa"/>
          </w:tcPr>
          <w:p>
            <w:pPr>
              <w:pStyle w:val="zyTableNAm"/>
              <w:tabs>
                <w:tab w:val="clear" w:pos="567"/>
                <w:tab w:val="left" w:pos="1198"/>
                <w:tab w:val="left" w:pos="1666"/>
              </w:tabs>
              <w:ind w:left="1666" w:hanging="1666"/>
            </w:pPr>
            <w:r>
              <w:tab/>
              <w:t>(d)</w:t>
            </w:r>
            <w:r>
              <w:tab/>
              <w:t xml:space="preserve">for zone B and C </w:t>
            </w:r>
          </w:p>
        </w:tc>
        <w:tc>
          <w:tcPr>
            <w:tcW w:w="1320" w:type="dxa"/>
          </w:tcPr>
          <w:p>
            <w:pPr>
              <w:pStyle w:val="zyTableNAm"/>
              <w:jc w:val="right"/>
            </w:pPr>
            <w:r>
              <w:rPr>
                <w:szCs w:val="22"/>
              </w:rPr>
              <w:t>884.00</w:t>
            </w:r>
          </w:p>
        </w:tc>
      </w:tr>
      <w:tr>
        <w:tc>
          <w:tcPr>
            <w:tcW w:w="5760" w:type="dxa"/>
          </w:tcPr>
          <w:p>
            <w:pPr>
              <w:pStyle w:val="zyTableNAm"/>
              <w:tabs>
                <w:tab w:val="clear" w:pos="567"/>
                <w:tab w:val="left" w:pos="1198"/>
                <w:tab w:val="left" w:pos="1666"/>
              </w:tabs>
              <w:ind w:left="1666" w:hanging="1666"/>
            </w:pPr>
            <w:r>
              <w:tab/>
              <w:t>(e)</w:t>
            </w:r>
            <w:r>
              <w:tab/>
              <w:t xml:space="preserve">for zone B and D </w:t>
            </w:r>
          </w:p>
        </w:tc>
        <w:tc>
          <w:tcPr>
            <w:tcW w:w="1320" w:type="dxa"/>
          </w:tcPr>
          <w:p>
            <w:pPr>
              <w:pStyle w:val="zyTableNAm"/>
              <w:jc w:val="right"/>
            </w:pPr>
            <w:r>
              <w:rPr>
                <w:szCs w:val="22"/>
              </w:rPr>
              <w:t>884.00</w:t>
            </w:r>
          </w:p>
        </w:tc>
      </w:tr>
      <w:tr>
        <w:tc>
          <w:tcPr>
            <w:tcW w:w="5760" w:type="dxa"/>
          </w:tcPr>
          <w:p>
            <w:pPr>
              <w:pStyle w:val="yTableNAm"/>
              <w:tabs>
                <w:tab w:val="clear" w:pos="567"/>
                <w:tab w:val="left" w:pos="586"/>
                <w:tab w:val="left" w:pos="1066"/>
              </w:tabs>
              <w:ind w:left="1066" w:hanging="1066"/>
            </w:pPr>
            <w:r>
              <w:tab/>
              <w:t>(27)</w:t>
            </w:r>
            <w:r>
              <w:tab/>
              <w:t xml:space="preserve">Specimen Shell Managed Fishery </w:t>
            </w:r>
          </w:p>
        </w:tc>
        <w:tc>
          <w:tcPr>
            <w:tcW w:w="1320" w:type="dxa"/>
          </w:tcPr>
          <w:p>
            <w:pPr>
              <w:pStyle w:val="zyTableNAm"/>
              <w:jc w:val="right"/>
            </w:pPr>
            <w:r>
              <w:t>1 030.00</w:t>
            </w:r>
          </w:p>
        </w:tc>
      </w:tr>
      <w:tr>
        <w:tc>
          <w:tcPr>
            <w:tcW w:w="5760" w:type="dxa"/>
          </w:tcPr>
          <w:p>
            <w:pPr>
              <w:pStyle w:val="yTableNAm"/>
              <w:tabs>
                <w:tab w:val="clear" w:pos="567"/>
                <w:tab w:val="left" w:pos="586"/>
                <w:tab w:val="left" w:pos="1066"/>
              </w:tabs>
              <w:ind w:left="1066" w:hanging="1066"/>
            </w:pPr>
            <w:r>
              <w:tab/>
              <w:t>(28)</w:t>
            </w:r>
            <w:r>
              <w:tab/>
              <w:t xml:space="preserve">Warnbro Sound (Crab) Managed Fishery </w:t>
            </w:r>
          </w:p>
        </w:tc>
        <w:tc>
          <w:tcPr>
            <w:tcW w:w="1320" w:type="dxa"/>
          </w:tcPr>
          <w:p>
            <w:pPr>
              <w:pStyle w:val="zyTableNAm"/>
              <w:jc w:val="right"/>
            </w:pPr>
            <w:r>
              <w:t>1 083.00</w:t>
            </w:r>
          </w:p>
        </w:tc>
      </w:tr>
      <w:tr>
        <w:tc>
          <w:tcPr>
            <w:tcW w:w="5760" w:type="dxa"/>
          </w:tcPr>
          <w:p>
            <w:pPr>
              <w:pStyle w:val="yTableNAm"/>
              <w:tabs>
                <w:tab w:val="clear" w:pos="567"/>
                <w:tab w:val="left" w:pos="586"/>
                <w:tab w:val="left" w:pos="1066"/>
              </w:tabs>
              <w:ind w:left="1066" w:hanging="1066"/>
            </w:pPr>
            <w:r>
              <w:tab/>
              <w:t>(29)</w:t>
            </w:r>
            <w:r>
              <w:tab/>
              <w:t xml:space="preserve">West Coast (Beach Bait Fish Net) Managed Fishery </w:t>
            </w:r>
          </w:p>
        </w:tc>
        <w:tc>
          <w:tcPr>
            <w:tcW w:w="1320" w:type="dxa"/>
          </w:tcPr>
          <w:p>
            <w:pPr>
              <w:pStyle w:val="zyTableNAm"/>
              <w:jc w:val="right"/>
            </w:pPr>
            <w:r>
              <w:rPr>
                <w:szCs w:val="22"/>
              </w:rPr>
              <w:br/>
              <w:t>1 091.00</w:t>
            </w:r>
          </w:p>
        </w:tc>
      </w:tr>
      <w:tr>
        <w:tc>
          <w:tcPr>
            <w:tcW w:w="5760" w:type="dxa"/>
          </w:tcPr>
          <w:p>
            <w:pPr>
              <w:pStyle w:val="yTableNAm"/>
              <w:tabs>
                <w:tab w:val="clear" w:pos="567"/>
                <w:tab w:val="left" w:pos="586"/>
                <w:tab w:val="left" w:pos="1066"/>
              </w:tabs>
              <w:ind w:left="1066" w:hanging="1066"/>
            </w:pPr>
            <w:r>
              <w:tab/>
              <w:t>(30)</w:t>
            </w:r>
            <w:r>
              <w:tab/>
              <w:t>West Coast Demersal Gillnet and Demersal Longline Interim Managed Fishery, per unit</w:t>
            </w:r>
          </w:p>
        </w:tc>
        <w:tc>
          <w:tcPr>
            <w:tcW w:w="1320" w:type="dxa"/>
          </w:tcPr>
          <w:p>
            <w:pPr>
              <w:pStyle w:val="zyTableNAm"/>
              <w:jc w:val="right"/>
            </w:pPr>
            <w:r>
              <w:rPr>
                <w:szCs w:val="22"/>
              </w:rPr>
              <w:br/>
              <w:t>5.78</w:t>
            </w:r>
          </w:p>
        </w:tc>
      </w:tr>
      <w:tr>
        <w:tc>
          <w:tcPr>
            <w:tcW w:w="5760" w:type="dxa"/>
          </w:tcPr>
          <w:p>
            <w:pPr>
              <w:pStyle w:val="yTableNAm"/>
              <w:tabs>
                <w:tab w:val="clear" w:pos="567"/>
                <w:tab w:val="left" w:pos="586"/>
                <w:tab w:val="left" w:pos="1066"/>
              </w:tabs>
              <w:ind w:left="1066" w:hanging="1066"/>
            </w:pPr>
            <w:r>
              <w:tab/>
              <w:t>(31)</w:t>
            </w:r>
            <w:r>
              <w:tab/>
              <w:t xml:space="preserve">West Coast Purse </w:t>
            </w:r>
            <w:smartTag w:uri="urn:schemas-microsoft-com:office:smarttags" w:element="place">
              <w:r>
                <w:t>Seine</w:t>
              </w:r>
            </w:smartTag>
            <w:r>
              <w:t xml:space="preserve"> Managed Fishery</w:t>
            </w:r>
          </w:p>
        </w:tc>
        <w:tc>
          <w:tcPr>
            <w:tcW w:w="1320" w:type="dxa"/>
          </w:tcPr>
          <w:p>
            <w:pPr>
              <w:pStyle w:val="zyTableNAm"/>
              <w:jc w:val="right"/>
            </w:pPr>
            <w:r>
              <w:rPr>
                <w:szCs w:val="22"/>
              </w:rPr>
              <w:t>271.00</w:t>
            </w:r>
          </w:p>
        </w:tc>
      </w:tr>
      <w:tr>
        <w:tc>
          <w:tcPr>
            <w:tcW w:w="5760" w:type="dxa"/>
          </w:tcPr>
          <w:p>
            <w:pPr>
              <w:pStyle w:val="zyTableNAmLeft0cm"/>
            </w:pPr>
            <w:r>
              <w:tab/>
            </w:r>
            <w:r>
              <w:br w:type="page"/>
              <w:t>(32)</w:t>
            </w:r>
            <w:r>
              <w:tab/>
              <w:t xml:space="preserve">West Coast Rock Lobster Managed Fishery — </w:t>
            </w:r>
          </w:p>
        </w:tc>
        <w:tc>
          <w:tcPr>
            <w:tcW w:w="1320" w:type="dxa"/>
          </w:tcPr>
          <w:p>
            <w:pPr>
              <w:pStyle w:val="zyTableNAm"/>
              <w:jc w:val="right"/>
            </w:pPr>
          </w:p>
        </w:tc>
      </w:tr>
      <w:tr>
        <w:tc>
          <w:tcPr>
            <w:tcW w:w="5760" w:type="dxa"/>
          </w:tcPr>
          <w:p>
            <w:pPr>
              <w:pStyle w:val="zyTableNAm"/>
              <w:tabs>
                <w:tab w:val="clear" w:pos="567"/>
                <w:tab w:val="left" w:pos="1198"/>
                <w:tab w:val="left" w:pos="1666"/>
              </w:tabs>
              <w:ind w:left="1666" w:hanging="1666"/>
            </w:pPr>
            <w:r>
              <w:tab/>
              <w:t>(a)</w:t>
            </w:r>
            <w:r>
              <w:tab/>
              <w:t>for zone A units, per unit</w:t>
            </w:r>
          </w:p>
        </w:tc>
        <w:tc>
          <w:tcPr>
            <w:tcW w:w="1320" w:type="dxa"/>
            <w:vAlign w:val="center"/>
          </w:tcPr>
          <w:p>
            <w:pPr>
              <w:pStyle w:val="zyTableNAm"/>
              <w:ind w:left="1666" w:hanging="1666"/>
              <w:jc w:val="right"/>
            </w:pPr>
            <w:r>
              <w:t>162.00</w:t>
            </w:r>
          </w:p>
        </w:tc>
      </w:tr>
      <w:tr>
        <w:tc>
          <w:tcPr>
            <w:tcW w:w="5760" w:type="dxa"/>
          </w:tcPr>
          <w:p>
            <w:pPr>
              <w:pStyle w:val="zyTableNAm"/>
              <w:tabs>
                <w:tab w:val="clear" w:pos="567"/>
                <w:tab w:val="left" w:pos="1198"/>
                <w:tab w:val="left" w:pos="1666"/>
              </w:tabs>
              <w:ind w:left="1666" w:hanging="1666"/>
            </w:pPr>
            <w:r>
              <w:tab/>
              <w:t>(b)</w:t>
            </w:r>
            <w:r>
              <w:tab/>
              <w:t>for zone B units, per unit</w:t>
            </w:r>
          </w:p>
        </w:tc>
        <w:tc>
          <w:tcPr>
            <w:tcW w:w="1320" w:type="dxa"/>
            <w:vAlign w:val="center"/>
          </w:tcPr>
          <w:p>
            <w:pPr>
              <w:pStyle w:val="zyTableNAm"/>
              <w:ind w:left="1666" w:hanging="1666"/>
              <w:jc w:val="right"/>
            </w:pPr>
            <w:r>
              <w:t>156.00</w:t>
            </w:r>
          </w:p>
        </w:tc>
      </w:tr>
      <w:tr>
        <w:tc>
          <w:tcPr>
            <w:tcW w:w="5760" w:type="dxa"/>
          </w:tcPr>
          <w:p>
            <w:pPr>
              <w:pStyle w:val="zyTableNAm"/>
              <w:tabs>
                <w:tab w:val="clear" w:pos="567"/>
                <w:tab w:val="left" w:pos="1198"/>
                <w:tab w:val="left" w:pos="1666"/>
              </w:tabs>
              <w:ind w:left="1666" w:hanging="1666"/>
            </w:pPr>
            <w:r>
              <w:tab/>
              <w:t>(c)</w:t>
            </w:r>
            <w:r>
              <w:tab/>
              <w:t>for zone C units, per unit</w:t>
            </w:r>
          </w:p>
        </w:tc>
        <w:tc>
          <w:tcPr>
            <w:tcW w:w="1320" w:type="dxa"/>
            <w:vAlign w:val="center"/>
          </w:tcPr>
          <w:p>
            <w:pPr>
              <w:pStyle w:val="zyTableNAm"/>
              <w:ind w:left="1666" w:hanging="1666"/>
              <w:jc w:val="right"/>
            </w:pPr>
            <w:r>
              <w:t>165.00</w:t>
            </w:r>
          </w:p>
        </w:tc>
      </w:tr>
      <w:tr>
        <w:tc>
          <w:tcPr>
            <w:tcW w:w="5760" w:type="dxa"/>
          </w:tcPr>
          <w:p>
            <w:pPr>
              <w:pStyle w:val="yTableNAm"/>
              <w:tabs>
                <w:tab w:val="clear" w:pos="567"/>
                <w:tab w:val="left" w:pos="586"/>
                <w:tab w:val="left" w:pos="1066"/>
              </w:tabs>
              <w:ind w:left="1066" w:hanging="1066"/>
            </w:pPr>
            <w:r>
              <w:tab/>
              <w:t>(33)</w:t>
            </w:r>
            <w:r>
              <w:tab/>
              <w:t>Windy Harbour</w:t>
            </w:r>
            <w:r>
              <w:noBreakHyphen/>
              <w:t xml:space="preserve">Augusta Rock Lobster Managed Fishery, per pot </w:t>
            </w:r>
          </w:p>
        </w:tc>
        <w:tc>
          <w:tcPr>
            <w:tcW w:w="1320" w:type="dxa"/>
          </w:tcPr>
          <w:p>
            <w:pPr>
              <w:pStyle w:val="zyTableNAm"/>
              <w:jc w:val="right"/>
            </w:pPr>
            <w:r>
              <w:rPr>
                <w:szCs w:val="22"/>
              </w:rPr>
              <w:br/>
              <w:t>18.08</w:t>
            </w:r>
          </w:p>
        </w:tc>
      </w:tr>
      <w:tr>
        <w:tc>
          <w:tcPr>
            <w:tcW w:w="5760" w:type="dxa"/>
          </w:tcPr>
          <w:p>
            <w:pPr>
              <w:pStyle w:val="yTableNAm"/>
              <w:tabs>
                <w:tab w:val="clear" w:pos="567"/>
                <w:tab w:val="left" w:pos="598"/>
              </w:tabs>
              <w:ind w:left="612" w:hanging="612"/>
            </w:pPr>
            <w:r>
              <w:t>4.</w:t>
            </w:r>
            <w:r>
              <w:tab/>
              <w:t>Aquatic eco</w:t>
            </w:r>
            <w:r>
              <w:noBreakHyphen/>
              <w:t>tourism operator’s licence or restricted fishing tour operator’s licence</w:t>
            </w:r>
          </w:p>
          <w:p>
            <w:pPr>
              <w:pStyle w:val="yTableNAm"/>
              <w:tabs>
                <w:tab w:val="clear" w:pos="567"/>
                <w:tab w:val="left" w:pos="598"/>
              </w:tabs>
              <w:ind w:left="612" w:hanging="612"/>
            </w:pPr>
            <w:r>
              <w:tab/>
              <w:t>Types of operation —</w:t>
            </w:r>
          </w:p>
        </w:tc>
        <w:tc>
          <w:tcPr>
            <w:tcW w:w="1320" w:type="dxa"/>
          </w:tcPr>
          <w:p>
            <w:pPr>
              <w:pStyle w:val="yTableNAm"/>
              <w:ind w:right="118"/>
              <w:jc w:val="right"/>
            </w:pPr>
          </w:p>
        </w:tc>
      </w:tr>
      <w:tr>
        <w:tc>
          <w:tcPr>
            <w:tcW w:w="5760" w:type="dxa"/>
          </w:tcPr>
          <w:p>
            <w:pPr>
              <w:pStyle w:val="yTableNAm"/>
              <w:tabs>
                <w:tab w:val="clear" w:pos="567"/>
                <w:tab w:val="left" w:pos="598"/>
                <w:tab w:val="left" w:pos="1220"/>
              </w:tabs>
              <w:ind w:left="1220" w:hanging="1220"/>
            </w:pPr>
            <w:r>
              <w:tab/>
              <w:t>(1)(a)</w:t>
            </w:r>
            <w:r>
              <w:tab/>
              <w:t>Using —</w:t>
            </w:r>
          </w:p>
          <w:p>
            <w:pPr>
              <w:pStyle w:val="yTableNAm"/>
              <w:tabs>
                <w:tab w:val="clear" w:pos="567"/>
                <w:tab w:val="left" w:pos="1220"/>
                <w:tab w:val="left" w:pos="1700"/>
              </w:tabs>
              <w:ind w:left="1700" w:hanging="1700"/>
            </w:pPr>
            <w:r>
              <w:tab/>
              <w:t>(i)</w:t>
            </w:r>
            <w:r>
              <w:tab/>
              <w:t>one boat with a surveyed length of more than 7.5 m and an open water passenger capacity of 20 persons or less and an associated power boat with a length of 4.5 m or more but 7.5 m or less, in one zone; or</w:t>
            </w:r>
          </w:p>
          <w:p>
            <w:pPr>
              <w:pStyle w:val="yTableNAm"/>
              <w:tabs>
                <w:tab w:val="clear" w:pos="567"/>
                <w:tab w:val="left" w:pos="1220"/>
                <w:tab w:val="left" w:pos="1700"/>
              </w:tabs>
              <w:ind w:left="1700" w:hanging="1700"/>
            </w:pPr>
            <w:r>
              <w:tab/>
              <w:t>(ii)</w:t>
            </w:r>
            <w:r>
              <w:tab/>
              <w:t>one or more boats with a surveyed length of 7.5 m or less and a combined open water passenger carrying capacity of 20 persons or less, in one zone</w:t>
            </w:r>
          </w:p>
        </w:tc>
        <w:tc>
          <w:tcPr>
            <w:tcW w:w="1320" w:type="dxa"/>
          </w:tcPr>
          <w:p>
            <w:pPr>
              <w:pStyle w:val="yTableNAm"/>
              <w:keepNext/>
              <w:ind w:right="118"/>
              <w:jc w:val="right"/>
            </w:pPr>
            <w:r>
              <w:br/>
            </w:r>
            <w:r>
              <w:br/>
            </w:r>
            <w:r>
              <w:br/>
            </w:r>
            <w:r>
              <w:br/>
            </w:r>
            <w:r>
              <w:br/>
            </w:r>
            <w:r>
              <w:br/>
            </w:r>
            <w:r>
              <w:br/>
            </w:r>
            <w:r>
              <w:br/>
            </w:r>
            <w:r>
              <w:br/>
            </w:r>
            <w:r>
              <w:br/>
            </w:r>
            <w:r>
              <w:br/>
            </w:r>
            <w:r>
              <w:rPr>
                <w:szCs w:val="22"/>
              </w:rPr>
              <w:t>273.00</w:t>
            </w:r>
          </w:p>
        </w:tc>
      </w:tr>
      <w:tr>
        <w:tc>
          <w:tcPr>
            <w:tcW w:w="5760" w:type="dxa"/>
          </w:tcPr>
          <w:p>
            <w:pPr>
              <w:pStyle w:val="yTableNAm"/>
              <w:tabs>
                <w:tab w:val="clear" w:pos="567"/>
                <w:tab w:val="left" w:pos="844"/>
                <w:tab w:val="left" w:pos="1220"/>
              </w:tabs>
              <w:ind w:left="1220" w:hanging="1220"/>
            </w:pPr>
            <w:r>
              <w:tab/>
              <w:t>(b)</w:t>
            </w:r>
            <w:r>
              <w:tab/>
              <w:t xml:space="preserve">In addition to the fee specified in item 4(1)(a) — </w:t>
            </w:r>
          </w:p>
        </w:tc>
        <w:tc>
          <w:tcPr>
            <w:tcW w:w="1320" w:type="dxa"/>
          </w:tcPr>
          <w:p>
            <w:pPr>
              <w:pStyle w:val="yTableNAm"/>
              <w:keepNext/>
              <w:ind w:right="118"/>
              <w:jc w:val="right"/>
            </w:pPr>
          </w:p>
        </w:tc>
      </w:tr>
      <w:tr>
        <w:tc>
          <w:tcPr>
            <w:tcW w:w="5760" w:type="dxa"/>
          </w:tcPr>
          <w:p>
            <w:pPr>
              <w:pStyle w:val="yTableNAm"/>
              <w:tabs>
                <w:tab w:val="clear" w:pos="567"/>
                <w:tab w:val="left" w:pos="1220"/>
                <w:tab w:val="left" w:pos="1700"/>
              </w:tabs>
              <w:ind w:left="1700" w:hanging="1700"/>
            </w:pPr>
            <w:r>
              <w:tab/>
              <w:t>(i)</w:t>
            </w:r>
            <w:r>
              <w:tab/>
              <w:t>for each additional 10 passengers or part thereof</w:t>
            </w:r>
            <w:r>
              <w:rPr>
                <w:rFonts w:ascii="Times" w:hAnsi="Times"/>
                <w:spacing w:val="-4"/>
              </w:rPr>
              <w:t xml:space="preserve"> </w:t>
            </w:r>
          </w:p>
        </w:tc>
        <w:tc>
          <w:tcPr>
            <w:tcW w:w="1320" w:type="dxa"/>
          </w:tcPr>
          <w:p>
            <w:pPr>
              <w:pStyle w:val="yTableNAm"/>
              <w:ind w:right="118"/>
              <w:jc w:val="right"/>
            </w:pPr>
            <w:r>
              <w:br/>
            </w:r>
            <w:r>
              <w:rPr>
                <w:szCs w:val="22"/>
              </w:rPr>
              <w:t>136.00</w:t>
            </w:r>
          </w:p>
        </w:tc>
      </w:tr>
      <w:tr>
        <w:tc>
          <w:tcPr>
            <w:tcW w:w="5760" w:type="dxa"/>
          </w:tcPr>
          <w:p>
            <w:pPr>
              <w:pStyle w:val="yTableNAm"/>
              <w:tabs>
                <w:tab w:val="clear" w:pos="567"/>
                <w:tab w:val="left" w:pos="1220"/>
                <w:tab w:val="left" w:pos="1700"/>
              </w:tabs>
              <w:ind w:left="1700" w:hanging="1700"/>
            </w:pPr>
            <w:r>
              <w:tab/>
              <w:t>(ii)</w:t>
            </w:r>
            <w:r>
              <w:tab/>
              <w:t xml:space="preserve">for each additional associated power boat with a surveyed length of 4.5 m or more but 7.5 m or less </w:t>
            </w:r>
          </w:p>
        </w:tc>
        <w:tc>
          <w:tcPr>
            <w:tcW w:w="1320" w:type="dxa"/>
          </w:tcPr>
          <w:p>
            <w:pPr>
              <w:pStyle w:val="yTableNAm"/>
              <w:ind w:right="118"/>
              <w:jc w:val="right"/>
            </w:pPr>
            <w:r>
              <w:br/>
            </w:r>
            <w:r>
              <w:br/>
            </w:r>
            <w:r>
              <w:rPr>
                <w:szCs w:val="22"/>
              </w:rPr>
              <w:t>273.00</w:t>
            </w:r>
          </w:p>
        </w:tc>
      </w:tr>
      <w:tr>
        <w:tc>
          <w:tcPr>
            <w:tcW w:w="5760" w:type="dxa"/>
          </w:tcPr>
          <w:p>
            <w:pPr>
              <w:pStyle w:val="yTableNAm"/>
              <w:tabs>
                <w:tab w:val="clear" w:pos="567"/>
                <w:tab w:val="left" w:pos="1220"/>
                <w:tab w:val="left" w:pos="1700"/>
              </w:tabs>
              <w:ind w:left="1700" w:hanging="1700"/>
            </w:pPr>
            <w:r>
              <w:tab/>
              <w:t>(iii)</w:t>
            </w:r>
            <w:r>
              <w:tab/>
              <w:t>for a licence to operate the boat in more than one zone, for each additional zone</w:t>
            </w:r>
          </w:p>
        </w:tc>
        <w:tc>
          <w:tcPr>
            <w:tcW w:w="1320" w:type="dxa"/>
          </w:tcPr>
          <w:p>
            <w:pPr>
              <w:pStyle w:val="yTableNAm"/>
              <w:ind w:right="118"/>
              <w:jc w:val="right"/>
            </w:pPr>
            <w:r>
              <w:br/>
            </w:r>
            <w:r>
              <w:rPr>
                <w:szCs w:val="22"/>
              </w:rPr>
              <w:t>136.00</w:t>
            </w:r>
          </w:p>
        </w:tc>
      </w:tr>
      <w:tr>
        <w:tc>
          <w:tcPr>
            <w:tcW w:w="5760" w:type="dxa"/>
          </w:tcPr>
          <w:p>
            <w:pPr>
              <w:pStyle w:val="yTableNAm"/>
              <w:tabs>
                <w:tab w:val="clear" w:pos="567"/>
                <w:tab w:val="left" w:pos="1220"/>
                <w:tab w:val="left" w:pos="1700"/>
              </w:tabs>
              <w:ind w:left="1700" w:hanging="1700"/>
            </w:pPr>
            <w:r>
              <w:tab/>
              <w:t>(iv)</w:t>
            </w:r>
            <w:r>
              <w:tab/>
              <w:t xml:space="preserve">for each additional boat specified in the licence with a surveyed length of more than 7.5 m and an open water passenger capacity of 20 persons or less </w:t>
            </w:r>
          </w:p>
        </w:tc>
        <w:tc>
          <w:tcPr>
            <w:tcW w:w="1320" w:type="dxa"/>
          </w:tcPr>
          <w:p>
            <w:pPr>
              <w:pStyle w:val="yTableNAm"/>
              <w:ind w:right="118"/>
              <w:jc w:val="right"/>
            </w:pPr>
            <w:r>
              <w:br/>
            </w:r>
            <w:r>
              <w:br/>
            </w:r>
            <w:r>
              <w:br/>
            </w:r>
            <w:r>
              <w:rPr>
                <w:szCs w:val="22"/>
              </w:rPr>
              <w:t>273.00</w:t>
            </w:r>
          </w:p>
        </w:tc>
      </w:tr>
      <w:tr>
        <w:tc>
          <w:tcPr>
            <w:tcW w:w="5760" w:type="dxa"/>
          </w:tcPr>
          <w:p>
            <w:pPr>
              <w:pStyle w:val="yTableNAm"/>
              <w:tabs>
                <w:tab w:val="clear" w:pos="567"/>
                <w:tab w:val="left" w:pos="598"/>
                <w:tab w:val="left" w:pos="1220"/>
              </w:tabs>
              <w:ind w:left="1220" w:hanging="1220"/>
            </w:pPr>
            <w:r>
              <w:tab/>
              <w:t>(2)(a)</w:t>
            </w:r>
            <w:r>
              <w:tab/>
              <w:t xml:space="preserve">A land based operation authorised to operate in one zone with not more than 20 tourists taking part in the tour </w:t>
            </w:r>
          </w:p>
        </w:tc>
        <w:tc>
          <w:tcPr>
            <w:tcW w:w="1320" w:type="dxa"/>
          </w:tcPr>
          <w:p>
            <w:pPr>
              <w:pStyle w:val="yTableNAm"/>
              <w:ind w:right="118"/>
              <w:jc w:val="right"/>
            </w:pPr>
            <w:r>
              <w:br/>
            </w:r>
            <w:r>
              <w:br/>
            </w:r>
            <w:r>
              <w:rPr>
                <w:szCs w:val="22"/>
              </w:rPr>
              <w:t>273.00</w:t>
            </w:r>
          </w:p>
        </w:tc>
      </w:tr>
      <w:tr>
        <w:tc>
          <w:tcPr>
            <w:tcW w:w="5760" w:type="dxa"/>
          </w:tcPr>
          <w:p>
            <w:pPr>
              <w:pStyle w:val="yTableNAm"/>
              <w:keepNext/>
              <w:tabs>
                <w:tab w:val="clear" w:pos="567"/>
                <w:tab w:val="left" w:pos="844"/>
                <w:tab w:val="left" w:pos="1220"/>
              </w:tabs>
              <w:ind w:left="1220" w:hanging="1220"/>
            </w:pPr>
            <w:r>
              <w:tab/>
              <w:t>(b)</w:t>
            </w:r>
            <w:r>
              <w:tab/>
              <w:t xml:space="preserve">In addition to the fee specified in item 4(2)(a) — </w:t>
            </w:r>
          </w:p>
        </w:tc>
        <w:tc>
          <w:tcPr>
            <w:tcW w:w="1320" w:type="dxa"/>
          </w:tcPr>
          <w:p>
            <w:pPr>
              <w:pStyle w:val="yTableNAm"/>
              <w:ind w:right="118"/>
              <w:jc w:val="right"/>
            </w:pPr>
          </w:p>
        </w:tc>
      </w:tr>
      <w:tr>
        <w:tc>
          <w:tcPr>
            <w:tcW w:w="5760" w:type="dxa"/>
          </w:tcPr>
          <w:p>
            <w:pPr>
              <w:pStyle w:val="yTableNAm"/>
              <w:tabs>
                <w:tab w:val="clear" w:pos="567"/>
                <w:tab w:val="left" w:pos="1220"/>
                <w:tab w:val="left" w:pos="1700"/>
              </w:tabs>
              <w:ind w:left="1700" w:hanging="1700"/>
            </w:pPr>
            <w:r>
              <w:tab/>
              <w:t>(i)</w:t>
            </w:r>
            <w:r>
              <w:tab/>
              <w:t xml:space="preserve">for each additional capacity of 10 tourists </w:t>
            </w:r>
          </w:p>
        </w:tc>
        <w:tc>
          <w:tcPr>
            <w:tcW w:w="1320" w:type="dxa"/>
          </w:tcPr>
          <w:p>
            <w:pPr>
              <w:pStyle w:val="yTableNAm"/>
              <w:ind w:right="118"/>
              <w:jc w:val="right"/>
            </w:pPr>
            <w:r>
              <w:rPr>
                <w:szCs w:val="22"/>
              </w:rPr>
              <w:t>136.00</w:t>
            </w:r>
          </w:p>
        </w:tc>
      </w:tr>
      <w:tr>
        <w:tc>
          <w:tcPr>
            <w:tcW w:w="5760" w:type="dxa"/>
          </w:tcPr>
          <w:p>
            <w:pPr>
              <w:pStyle w:val="yTableNAm"/>
              <w:tabs>
                <w:tab w:val="clear" w:pos="567"/>
                <w:tab w:val="left" w:pos="1220"/>
                <w:tab w:val="left" w:pos="1700"/>
              </w:tabs>
              <w:ind w:left="1700" w:hanging="1700"/>
            </w:pPr>
            <w:r>
              <w:tab/>
              <w:t>(ii)</w:t>
            </w:r>
            <w:r>
              <w:tab/>
              <w:t xml:space="preserve">for a licence to operate in more than one zone, for each additional zone </w:t>
            </w:r>
          </w:p>
        </w:tc>
        <w:tc>
          <w:tcPr>
            <w:tcW w:w="1320" w:type="dxa"/>
          </w:tcPr>
          <w:p>
            <w:pPr>
              <w:pStyle w:val="yTableNAm"/>
              <w:ind w:right="118"/>
              <w:jc w:val="right"/>
            </w:pPr>
            <w:r>
              <w:br/>
            </w:r>
            <w:r>
              <w:rPr>
                <w:szCs w:val="22"/>
              </w:rPr>
              <w:t>136.00</w:t>
            </w:r>
          </w:p>
        </w:tc>
      </w:tr>
      <w:tr>
        <w:tc>
          <w:tcPr>
            <w:tcW w:w="5760" w:type="dxa"/>
          </w:tcPr>
          <w:p>
            <w:pPr>
              <w:pStyle w:val="yTableNAm"/>
              <w:tabs>
                <w:tab w:val="clear" w:pos="567"/>
                <w:tab w:val="left" w:pos="598"/>
                <w:tab w:val="left" w:pos="1220"/>
              </w:tabs>
              <w:ind w:left="1220" w:hanging="1220"/>
            </w:pPr>
            <w:r>
              <w:tab/>
              <w:t>(3)(a)</w:t>
            </w:r>
            <w:r>
              <w:tab/>
              <w:t xml:space="preserve">A combination of boat and land or boat and aircraft operations with a total passenger carrying capacity of 20 persons or less, authorised to operate in one zone and a maximum of 2 boats with a surveyed length of 4.5 m or more but 7.5 m or less </w:t>
            </w:r>
          </w:p>
        </w:tc>
        <w:tc>
          <w:tcPr>
            <w:tcW w:w="1320" w:type="dxa"/>
          </w:tcPr>
          <w:p>
            <w:pPr>
              <w:pStyle w:val="yTableNAm"/>
              <w:ind w:right="118"/>
              <w:jc w:val="right"/>
            </w:pPr>
            <w:r>
              <w:br/>
            </w:r>
            <w:r>
              <w:br/>
            </w:r>
            <w:r>
              <w:br/>
            </w:r>
            <w:r>
              <w:br/>
            </w:r>
            <w:r>
              <w:br/>
            </w:r>
            <w:r>
              <w:rPr>
                <w:szCs w:val="22"/>
              </w:rPr>
              <w:t>273.00</w:t>
            </w:r>
          </w:p>
        </w:tc>
      </w:tr>
      <w:tr>
        <w:tc>
          <w:tcPr>
            <w:tcW w:w="5760" w:type="dxa"/>
          </w:tcPr>
          <w:p>
            <w:pPr>
              <w:pStyle w:val="yTableNAm"/>
              <w:tabs>
                <w:tab w:val="clear" w:pos="567"/>
                <w:tab w:val="left" w:pos="844"/>
                <w:tab w:val="left" w:pos="1220"/>
              </w:tabs>
              <w:ind w:left="1220" w:hanging="1220"/>
            </w:pPr>
            <w:r>
              <w:tab/>
              <w:t>(b)</w:t>
            </w:r>
            <w:r>
              <w:tab/>
              <w:t xml:space="preserve">In addition to the fee specified in item 4(3)(a) — </w:t>
            </w:r>
          </w:p>
        </w:tc>
        <w:tc>
          <w:tcPr>
            <w:tcW w:w="1320" w:type="dxa"/>
          </w:tcPr>
          <w:p>
            <w:pPr>
              <w:pStyle w:val="yTableNAm"/>
              <w:ind w:right="118"/>
              <w:jc w:val="right"/>
            </w:pPr>
          </w:p>
        </w:tc>
      </w:tr>
      <w:tr>
        <w:tc>
          <w:tcPr>
            <w:tcW w:w="5760" w:type="dxa"/>
          </w:tcPr>
          <w:p>
            <w:pPr>
              <w:pStyle w:val="yTableNAm"/>
              <w:tabs>
                <w:tab w:val="clear" w:pos="567"/>
                <w:tab w:val="left" w:pos="1220"/>
                <w:tab w:val="left" w:pos="1700"/>
              </w:tabs>
              <w:ind w:left="1700" w:hanging="1700"/>
            </w:pPr>
            <w:r>
              <w:tab/>
              <w:t>(i)</w:t>
            </w:r>
            <w:r>
              <w:tab/>
              <w:t xml:space="preserve">for each additional capacity of 10 tourists or part thereof </w:t>
            </w:r>
          </w:p>
        </w:tc>
        <w:tc>
          <w:tcPr>
            <w:tcW w:w="1320" w:type="dxa"/>
          </w:tcPr>
          <w:p>
            <w:pPr>
              <w:pStyle w:val="yTableNAm"/>
              <w:ind w:right="118"/>
              <w:jc w:val="right"/>
            </w:pPr>
            <w:r>
              <w:br/>
            </w:r>
            <w:r>
              <w:rPr>
                <w:szCs w:val="22"/>
              </w:rPr>
              <w:t>136.00</w:t>
            </w:r>
          </w:p>
        </w:tc>
      </w:tr>
      <w:tr>
        <w:tc>
          <w:tcPr>
            <w:tcW w:w="5760" w:type="dxa"/>
          </w:tcPr>
          <w:p>
            <w:pPr>
              <w:pStyle w:val="yTableNAm"/>
              <w:tabs>
                <w:tab w:val="clear" w:pos="567"/>
                <w:tab w:val="left" w:pos="1220"/>
                <w:tab w:val="left" w:pos="1700"/>
              </w:tabs>
              <w:ind w:left="1700" w:hanging="1700"/>
            </w:pPr>
            <w:r>
              <w:tab/>
              <w:t>(ii)</w:t>
            </w:r>
            <w:r>
              <w:tab/>
              <w:t xml:space="preserve">for each additional associated power boat with a surveyed length of 4.5 m or more but 7.5 m or less </w:t>
            </w:r>
          </w:p>
        </w:tc>
        <w:tc>
          <w:tcPr>
            <w:tcW w:w="1320" w:type="dxa"/>
          </w:tcPr>
          <w:p>
            <w:pPr>
              <w:pStyle w:val="yTableNAm"/>
              <w:ind w:right="118"/>
              <w:jc w:val="right"/>
            </w:pPr>
            <w:r>
              <w:br/>
            </w:r>
            <w:r>
              <w:br/>
            </w:r>
            <w:r>
              <w:rPr>
                <w:szCs w:val="22"/>
              </w:rPr>
              <w:t>273.00</w:t>
            </w:r>
          </w:p>
        </w:tc>
      </w:tr>
      <w:tr>
        <w:trPr>
          <w:cantSplit/>
        </w:trPr>
        <w:tc>
          <w:tcPr>
            <w:tcW w:w="5760" w:type="dxa"/>
          </w:tcPr>
          <w:p>
            <w:pPr>
              <w:pStyle w:val="yTableNAm"/>
              <w:tabs>
                <w:tab w:val="clear" w:pos="567"/>
                <w:tab w:val="left" w:pos="1220"/>
                <w:tab w:val="left" w:pos="1700"/>
              </w:tabs>
              <w:ind w:left="1700" w:hanging="1700"/>
            </w:pPr>
            <w:r>
              <w:tab/>
              <w:t>(iii)</w:t>
            </w:r>
            <w:r>
              <w:tab/>
              <w:t xml:space="preserve">for a licence to operate a boat in more than one zone, for each additional zone </w:t>
            </w:r>
          </w:p>
        </w:tc>
        <w:tc>
          <w:tcPr>
            <w:tcW w:w="1320" w:type="dxa"/>
          </w:tcPr>
          <w:p>
            <w:pPr>
              <w:pStyle w:val="yTableNAm"/>
              <w:ind w:right="118"/>
              <w:jc w:val="right"/>
            </w:pPr>
            <w:r>
              <w:br/>
            </w:r>
            <w:r>
              <w:rPr>
                <w:szCs w:val="22"/>
              </w:rPr>
              <w:t>136.00</w:t>
            </w:r>
          </w:p>
        </w:tc>
      </w:tr>
      <w:tr>
        <w:tc>
          <w:tcPr>
            <w:tcW w:w="5760" w:type="dxa"/>
          </w:tcPr>
          <w:p>
            <w:pPr>
              <w:pStyle w:val="yTableNAm"/>
              <w:keepNext/>
              <w:keepLines/>
              <w:tabs>
                <w:tab w:val="clear" w:pos="567"/>
                <w:tab w:val="left" w:pos="598"/>
              </w:tabs>
              <w:ind w:left="612" w:hanging="612"/>
            </w:pPr>
            <w:r>
              <w:t>5.</w:t>
            </w:r>
            <w:r>
              <w:tab/>
              <w:t>Fishing tour operator’s licence</w:t>
            </w:r>
          </w:p>
          <w:p>
            <w:pPr>
              <w:pStyle w:val="yTableNAm"/>
              <w:keepNext/>
              <w:keepLines/>
              <w:tabs>
                <w:tab w:val="clear" w:pos="567"/>
                <w:tab w:val="left" w:pos="598"/>
              </w:tabs>
              <w:ind w:left="612" w:hanging="612"/>
            </w:pPr>
            <w:r>
              <w:tab/>
              <w:t>Types of operation —</w:t>
            </w:r>
          </w:p>
        </w:tc>
        <w:tc>
          <w:tcPr>
            <w:tcW w:w="1320" w:type="dxa"/>
          </w:tcPr>
          <w:p>
            <w:pPr>
              <w:pStyle w:val="yTableNAm"/>
              <w:keepNext/>
              <w:keepLines/>
              <w:ind w:right="118"/>
              <w:jc w:val="right"/>
            </w:pPr>
          </w:p>
        </w:tc>
      </w:tr>
      <w:tr>
        <w:tc>
          <w:tcPr>
            <w:tcW w:w="5760" w:type="dxa"/>
          </w:tcPr>
          <w:p>
            <w:pPr>
              <w:pStyle w:val="yTableNAm"/>
              <w:tabs>
                <w:tab w:val="clear" w:pos="567"/>
                <w:tab w:val="left" w:pos="598"/>
                <w:tab w:val="left" w:pos="1220"/>
              </w:tabs>
              <w:ind w:left="1220" w:hanging="1220"/>
            </w:pPr>
            <w:r>
              <w:tab/>
              <w:t>(1)(a)</w:t>
            </w:r>
            <w:r>
              <w:tab/>
              <w:t>Using a boat with a surveyed length of more than 7.5 m and an open water passenger capacity of 10 persons or less and an associated power boat with a length of 4.5 m or more but 7.5 m or less, in one zone</w:t>
            </w:r>
          </w:p>
        </w:tc>
        <w:tc>
          <w:tcPr>
            <w:tcW w:w="1320" w:type="dxa"/>
          </w:tcPr>
          <w:p>
            <w:pPr>
              <w:pStyle w:val="yTableNAm"/>
              <w:ind w:right="118"/>
              <w:jc w:val="right"/>
            </w:pPr>
            <w:r>
              <w:br/>
            </w:r>
            <w:r>
              <w:br/>
            </w:r>
            <w:r>
              <w:br/>
            </w:r>
            <w:r>
              <w:br/>
            </w:r>
            <w:r>
              <w:rPr>
                <w:szCs w:val="22"/>
              </w:rPr>
              <w:t>1 840.00</w:t>
            </w:r>
          </w:p>
        </w:tc>
      </w:tr>
      <w:tr>
        <w:tc>
          <w:tcPr>
            <w:tcW w:w="5760" w:type="dxa"/>
          </w:tcPr>
          <w:p>
            <w:pPr>
              <w:pStyle w:val="yTableNAm"/>
              <w:keepNext/>
              <w:tabs>
                <w:tab w:val="clear" w:pos="567"/>
                <w:tab w:val="left" w:pos="844"/>
                <w:tab w:val="left" w:pos="1220"/>
              </w:tabs>
              <w:ind w:left="1220" w:hanging="1220"/>
            </w:pPr>
            <w:r>
              <w:tab/>
              <w:t>(b)</w:t>
            </w:r>
            <w:r>
              <w:tab/>
              <w:t>In addition to the fee specified in item 5(1)(a) —</w:t>
            </w:r>
          </w:p>
        </w:tc>
        <w:tc>
          <w:tcPr>
            <w:tcW w:w="1320" w:type="dxa"/>
          </w:tcPr>
          <w:p>
            <w:pPr>
              <w:pStyle w:val="yTableNAm"/>
              <w:ind w:right="118"/>
              <w:jc w:val="right"/>
            </w:pPr>
          </w:p>
        </w:tc>
      </w:tr>
      <w:tr>
        <w:tc>
          <w:tcPr>
            <w:tcW w:w="5760" w:type="dxa"/>
          </w:tcPr>
          <w:p>
            <w:pPr>
              <w:pStyle w:val="yTableNAm"/>
              <w:tabs>
                <w:tab w:val="clear" w:pos="567"/>
                <w:tab w:val="left" w:pos="1220"/>
                <w:tab w:val="left" w:pos="1700"/>
              </w:tabs>
              <w:ind w:left="1700" w:hanging="1700"/>
            </w:pPr>
            <w:r>
              <w:tab/>
              <w:t>(i)</w:t>
            </w:r>
            <w:r>
              <w:tab/>
              <w:t>for each additional associated power boat with a surveyed length of more than 7.5 m and a maximum passenger carrying capacity of 10 passengers or less</w:t>
            </w:r>
          </w:p>
        </w:tc>
        <w:tc>
          <w:tcPr>
            <w:tcW w:w="1320" w:type="dxa"/>
          </w:tcPr>
          <w:p>
            <w:pPr>
              <w:pStyle w:val="yTableNAm"/>
              <w:ind w:right="118"/>
              <w:jc w:val="right"/>
            </w:pPr>
            <w:r>
              <w:br/>
            </w:r>
            <w:r>
              <w:br/>
            </w:r>
            <w:r>
              <w:br/>
            </w:r>
            <w:r>
              <w:rPr>
                <w:szCs w:val="22"/>
              </w:rPr>
              <w:t>1 840.00</w:t>
            </w:r>
          </w:p>
        </w:tc>
      </w:tr>
      <w:tr>
        <w:tc>
          <w:tcPr>
            <w:tcW w:w="5760" w:type="dxa"/>
          </w:tcPr>
          <w:p>
            <w:pPr>
              <w:pStyle w:val="yTableNAm"/>
              <w:tabs>
                <w:tab w:val="clear" w:pos="567"/>
                <w:tab w:val="left" w:pos="1220"/>
                <w:tab w:val="left" w:pos="1700"/>
              </w:tabs>
              <w:ind w:left="1700" w:hanging="1700"/>
            </w:pPr>
            <w:r>
              <w:tab/>
              <w:t>(ii)</w:t>
            </w:r>
            <w:r>
              <w:tab/>
              <w:t xml:space="preserve">for each additional associated power boat with a surveyed length of more than 4.5 m but less than 7.5 m </w:t>
            </w:r>
          </w:p>
        </w:tc>
        <w:tc>
          <w:tcPr>
            <w:tcW w:w="1320" w:type="dxa"/>
          </w:tcPr>
          <w:p>
            <w:pPr>
              <w:pStyle w:val="yTableNAm"/>
              <w:ind w:right="118"/>
              <w:jc w:val="right"/>
            </w:pPr>
            <w:r>
              <w:br/>
            </w:r>
            <w:r>
              <w:br/>
            </w:r>
            <w:r>
              <w:rPr>
                <w:szCs w:val="22"/>
              </w:rPr>
              <w:t>329.00</w:t>
            </w:r>
          </w:p>
        </w:tc>
      </w:tr>
      <w:tr>
        <w:tc>
          <w:tcPr>
            <w:tcW w:w="5760" w:type="dxa"/>
          </w:tcPr>
          <w:p>
            <w:pPr>
              <w:pStyle w:val="yTableNAm"/>
              <w:tabs>
                <w:tab w:val="clear" w:pos="567"/>
                <w:tab w:val="left" w:pos="1220"/>
                <w:tab w:val="left" w:pos="1700"/>
              </w:tabs>
              <w:ind w:left="1700" w:hanging="1700"/>
            </w:pPr>
            <w:r>
              <w:tab/>
              <w:t>(iii)</w:t>
            </w:r>
            <w:r>
              <w:tab/>
              <w:t>for a licence to operate with a passenger carrying capacity of more than 10 passengers</w:t>
            </w:r>
          </w:p>
        </w:tc>
        <w:tc>
          <w:tcPr>
            <w:tcW w:w="1320" w:type="dxa"/>
          </w:tcPr>
          <w:p>
            <w:pPr>
              <w:pStyle w:val="yTableNAm"/>
              <w:ind w:right="118"/>
              <w:jc w:val="right"/>
            </w:pPr>
            <w:r>
              <w:br/>
            </w:r>
            <w:r>
              <w:br/>
            </w:r>
            <w:r>
              <w:rPr>
                <w:szCs w:val="22"/>
              </w:rPr>
              <w:t>1 185.00</w:t>
            </w:r>
          </w:p>
        </w:tc>
      </w:tr>
      <w:tr>
        <w:tc>
          <w:tcPr>
            <w:tcW w:w="5760" w:type="dxa"/>
          </w:tcPr>
          <w:p>
            <w:pPr>
              <w:pStyle w:val="yTableNAm"/>
              <w:tabs>
                <w:tab w:val="clear" w:pos="567"/>
                <w:tab w:val="left" w:pos="1220"/>
                <w:tab w:val="left" w:pos="1700"/>
              </w:tabs>
              <w:ind w:left="1700" w:hanging="1700"/>
            </w:pPr>
            <w:r>
              <w:tab/>
              <w:t>(iv)</w:t>
            </w:r>
            <w:r>
              <w:tab/>
              <w:t xml:space="preserve">for a licence to operate in more than one zone, for each additional zone </w:t>
            </w:r>
          </w:p>
        </w:tc>
        <w:tc>
          <w:tcPr>
            <w:tcW w:w="1320" w:type="dxa"/>
          </w:tcPr>
          <w:p>
            <w:pPr>
              <w:pStyle w:val="yTableNAm"/>
              <w:ind w:right="118"/>
              <w:jc w:val="right"/>
            </w:pPr>
            <w:r>
              <w:br/>
            </w:r>
            <w:r>
              <w:rPr>
                <w:szCs w:val="22"/>
              </w:rPr>
              <w:t>669.00</w:t>
            </w:r>
          </w:p>
        </w:tc>
      </w:tr>
      <w:tr>
        <w:tc>
          <w:tcPr>
            <w:tcW w:w="5760" w:type="dxa"/>
          </w:tcPr>
          <w:p>
            <w:pPr>
              <w:pStyle w:val="yTableNAm"/>
              <w:tabs>
                <w:tab w:val="clear" w:pos="567"/>
                <w:tab w:val="left" w:pos="598"/>
                <w:tab w:val="left" w:pos="1220"/>
              </w:tabs>
              <w:ind w:left="1220" w:hanging="1220"/>
            </w:pPr>
            <w:r>
              <w:tab/>
              <w:t>(2)(a)</w:t>
            </w:r>
            <w:r>
              <w:tab/>
              <w:t xml:space="preserve">A land based operation, authorised to operate in one zone with a maximum capacity of 20 passengers </w:t>
            </w:r>
          </w:p>
        </w:tc>
        <w:tc>
          <w:tcPr>
            <w:tcW w:w="1320" w:type="dxa"/>
          </w:tcPr>
          <w:p>
            <w:pPr>
              <w:pStyle w:val="yTableNAm"/>
              <w:ind w:right="118"/>
              <w:jc w:val="right"/>
            </w:pPr>
            <w:r>
              <w:br/>
            </w:r>
            <w:r>
              <w:br/>
            </w:r>
            <w:r>
              <w:rPr>
                <w:szCs w:val="22"/>
              </w:rPr>
              <w:t>273.00</w:t>
            </w:r>
          </w:p>
        </w:tc>
      </w:tr>
      <w:tr>
        <w:tc>
          <w:tcPr>
            <w:tcW w:w="5760" w:type="dxa"/>
          </w:tcPr>
          <w:p>
            <w:pPr>
              <w:pStyle w:val="yTableNAm"/>
              <w:keepNext/>
              <w:tabs>
                <w:tab w:val="clear" w:pos="567"/>
                <w:tab w:val="left" w:pos="844"/>
                <w:tab w:val="left" w:pos="1220"/>
              </w:tabs>
              <w:ind w:left="1220" w:hanging="1220"/>
            </w:pPr>
            <w:r>
              <w:tab/>
              <w:t>(b)</w:t>
            </w:r>
            <w:r>
              <w:tab/>
              <w:t xml:space="preserve">In addition to the fee specified in item 5(2)(a) — </w:t>
            </w:r>
          </w:p>
        </w:tc>
        <w:tc>
          <w:tcPr>
            <w:tcW w:w="1320" w:type="dxa"/>
          </w:tcPr>
          <w:p>
            <w:pPr>
              <w:pStyle w:val="yTableNAm"/>
              <w:keepNext/>
              <w:ind w:right="118"/>
              <w:jc w:val="right"/>
            </w:pPr>
          </w:p>
        </w:tc>
      </w:tr>
      <w:tr>
        <w:tc>
          <w:tcPr>
            <w:tcW w:w="5760" w:type="dxa"/>
          </w:tcPr>
          <w:p>
            <w:pPr>
              <w:pStyle w:val="yTableNAm"/>
              <w:tabs>
                <w:tab w:val="clear" w:pos="567"/>
                <w:tab w:val="left" w:pos="1220"/>
                <w:tab w:val="left" w:pos="1700"/>
              </w:tabs>
              <w:ind w:left="1700" w:hanging="1700"/>
            </w:pPr>
            <w:r>
              <w:tab/>
              <w:t>(i)</w:t>
            </w:r>
            <w:r>
              <w:tab/>
              <w:t xml:space="preserve">for each additional 10 passengers carrying capacity or part thereof </w:t>
            </w:r>
          </w:p>
        </w:tc>
        <w:tc>
          <w:tcPr>
            <w:tcW w:w="1320" w:type="dxa"/>
          </w:tcPr>
          <w:p>
            <w:pPr>
              <w:pStyle w:val="yTableNAm"/>
              <w:ind w:right="118"/>
              <w:jc w:val="right"/>
            </w:pPr>
            <w:r>
              <w:br/>
            </w:r>
            <w:r>
              <w:rPr>
                <w:szCs w:val="22"/>
              </w:rPr>
              <w:t>136.00</w:t>
            </w:r>
          </w:p>
        </w:tc>
      </w:tr>
      <w:tr>
        <w:tc>
          <w:tcPr>
            <w:tcW w:w="5760" w:type="dxa"/>
          </w:tcPr>
          <w:p>
            <w:pPr>
              <w:pStyle w:val="yTableNAm"/>
              <w:tabs>
                <w:tab w:val="clear" w:pos="567"/>
                <w:tab w:val="left" w:pos="1220"/>
                <w:tab w:val="left" w:pos="1700"/>
              </w:tabs>
              <w:ind w:left="1700" w:hanging="1700"/>
            </w:pPr>
            <w:r>
              <w:tab/>
              <w:t>(ii)</w:t>
            </w:r>
            <w:r>
              <w:tab/>
              <w:t xml:space="preserve">for a licence to operate in more than one zone, for each additional zone </w:t>
            </w:r>
          </w:p>
        </w:tc>
        <w:tc>
          <w:tcPr>
            <w:tcW w:w="1320" w:type="dxa"/>
          </w:tcPr>
          <w:p>
            <w:pPr>
              <w:pStyle w:val="yTableNAm"/>
              <w:ind w:right="118"/>
              <w:jc w:val="right"/>
            </w:pPr>
            <w:r>
              <w:br/>
            </w:r>
            <w:r>
              <w:rPr>
                <w:szCs w:val="22"/>
              </w:rPr>
              <w:t>136.00</w:t>
            </w:r>
          </w:p>
        </w:tc>
      </w:tr>
      <w:tr>
        <w:trPr>
          <w:cantSplit/>
        </w:trPr>
        <w:tc>
          <w:tcPr>
            <w:tcW w:w="5760" w:type="dxa"/>
          </w:tcPr>
          <w:p>
            <w:pPr>
              <w:pStyle w:val="yTableNAm"/>
              <w:tabs>
                <w:tab w:val="clear" w:pos="567"/>
                <w:tab w:val="left" w:pos="598"/>
                <w:tab w:val="left" w:pos="1220"/>
              </w:tabs>
              <w:ind w:left="1220" w:hanging="1220"/>
            </w:pPr>
            <w:r>
              <w:tab/>
              <w:t>(3)(a)</w:t>
            </w:r>
            <w:r>
              <w:tab/>
              <w:t>A combination of boat and land or boat and aircraft operations with a total passenger carrying capacity of 10 persons or less, authorised to operate in one zone and a maximum of 2 boats with a surveyed length of 4.5 m or more but 7.5 m or less</w:t>
            </w:r>
          </w:p>
        </w:tc>
        <w:tc>
          <w:tcPr>
            <w:tcW w:w="1320" w:type="dxa"/>
          </w:tcPr>
          <w:p>
            <w:pPr>
              <w:pStyle w:val="yTableNAm"/>
              <w:ind w:right="118"/>
              <w:jc w:val="right"/>
            </w:pPr>
            <w:r>
              <w:br/>
            </w:r>
            <w:r>
              <w:br/>
            </w:r>
            <w:r>
              <w:br/>
            </w:r>
            <w:r>
              <w:br/>
            </w:r>
            <w:r>
              <w:br/>
            </w:r>
            <w:r>
              <w:rPr>
                <w:szCs w:val="22"/>
              </w:rPr>
              <w:t>1 840.00</w:t>
            </w:r>
          </w:p>
        </w:tc>
      </w:tr>
      <w:tr>
        <w:tc>
          <w:tcPr>
            <w:tcW w:w="5760" w:type="dxa"/>
          </w:tcPr>
          <w:p>
            <w:pPr>
              <w:pStyle w:val="yTableNAm"/>
              <w:keepNext/>
              <w:tabs>
                <w:tab w:val="clear" w:pos="567"/>
                <w:tab w:val="left" w:pos="844"/>
                <w:tab w:val="left" w:pos="1220"/>
              </w:tabs>
              <w:ind w:left="1220" w:hanging="1220"/>
            </w:pPr>
            <w:r>
              <w:tab/>
              <w:t>(b)</w:t>
            </w:r>
            <w:r>
              <w:tab/>
              <w:t>In addition to the fee specified in item 5(3)(a) —</w:t>
            </w:r>
          </w:p>
        </w:tc>
        <w:tc>
          <w:tcPr>
            <w:tcW w:w="1320" w:type="dxa"/>
          </w:tcPr>
          <w:p>
            <w:pPr>
              <w:pStyle w:val="yTableNAm"/>
              <w:ind w:right="118"/>
              <w:jc w:val="right"/>
            </w:pPr>
          </w:p>
        </w:tc>
      </w:tr>
      <w:tr>
        <w:tc>
          <w:tcPr>
            <w:tcW w:w="5760" w:type="dxa"/>
          </w:tcPr>
          <w:p>
            <w:pPr>
              <w:pStyle w:val="yTableNAm"/>
              <w:tabs>
                <w:tab w:val="clear" w:pos="567"/>
                <w:tab w:val="left" w:pos="1220"/>
                <w:tab w:val="left" w:pos="1700"/>
              </w:tabs>
              <w:ind w:left="1700" w:hanging="1700"/>
            </w:pPr>
            <w:r>
              <w:tab/>
              <w:t>(i)</w:t>
            </w:r>
            <w:r>
              <w:tab/>
              <w:t>for a licence to operate with a passenger carrying capacity of more than 10 passengers</w:t>
            </w:r>
          </w:p>
        </w:tc>
        <w:tc>
          <w:tcPr>
            <w:tcW w:w="1320" w:type="dxa"/>
          </w:tcPr>
          <w:p>
            <w:pPr>
              <w:pStyle w:val="yTableNAm"/>
              <w:ind w:right="118"/>
              <w:jc w:val="right"/>
            </w:pPr>
            <w:r>
              <w:br/>
            </w:r>
            <w:r>
              <w:br/>
            </w:r>
            <w:r>
              <w:rPr>
                <w:szCs w:val="22"/>
              </w:rPr>
              <w:t>1 185.00</w:t>
            </w:r>
          </w:p>
        </w:tc>
      </w:tr>
      <w:tr>
        <w:tc>
          <w:tcPr>
            <w:tcW w:w="5760" w:type="dxa"/>
          </w:tcPr>
          <w:p>
            <w:pPr>
              <w:pStyle w:val="yTableNAm"/>
              <w:tabs>
                <w:tab w:val="clear" w:pos="567"/>
                <w:tab w:val="left" w:pos="1220"/>
                <w:tab w:val="left" w:pos="1700"/>
              </w:tabs>
              <w:ind w:left="1700" w:hanging="1700"/>
            </w:pPr>
            <w:r>
              <w:tab/>
              <w:t>(ii)</w:t>
            </w:r>
            <w:r>
              <w:tab/>
              <w:t xml:space="preserve">for each additional associated power boat with a surveyed length of 4.5 m or more but 7.5 m or less </w:t>
            </w:r>
          </w:p>
        </w:tc>
        <w:tc>
          <w:tcPr>
            <w:tcW w:w="1320" w:type="dxa"/>
          </w:tcPr>
          <w:p>
            <w:pPr>
              <w:pStyle w:val="yTableNAm"/>
              <w:ind w:right="118"/>
              <w:jc w:val="right"/>
            </w:pPr>
            <w:r>
              <w:br/>
            </w:r>
            <w:r>
              <w:br/>
            </w:r>
            <w:r>
              <w:rPr>
                <w:szCs w:val="22"/>
              </w:rPr>
              <w:t>329.00</w:t>
            </w:r>
          </w:p>
        </w:tc>
      </w:tr>
      <w:tr>
        <w:tc>
          <w:tcPr>
            <w:tcW w:w="5760" w:type="dxa"/>
          </w:tcPr>
          <w:p>
            <w:pPr>
              <w:pStyle w:val="yTableNAm"/>
              <w:tabs>
                <w:tab w:val="clear" w:pos="567"/>
                <w:tab w:val="left" w:pos="1220"/>
                <w:tab w:val="left" w:pos="1700"/>
              </w:tabs>
              <w:ind w:left="1700" w:hanging="1700"/>
            </w:pPr>
            <w:r>
              <w:tab/>
              <w:t>(iii)</w:t>
            </w:r>
            <w:r>
              <w:tab/>
              <w:t xml:space="preserve">for a licence to operate a boat in more than one zone, for each additional zone </w:t>
            </w:r>
          </w:p>
        </w:tc>
        <w:tc>
          <w:tcPr>
            <w:tcW w:w="1320" w:type="dxa"/>
          </w:tcPr>
          <w:p>
            <w:pPr>
              <w:pStyle w:val="yTableNAm"/>
              <w:ind w:right="118"/>
              <w:jc w:val="right"/>
            </w:pPr>
            <w:r>
              <w:br/>
            </w:r>
            <w:r>
              <w:rPr>
                <w:szCs w:val="22"/>
              </w:rPr>
              <w:t>669.00</w:t>
            </w:r>
          </w:p>
        </w:tc>
      </w:tr>
      <w:tr>
        <w:tc>
          <w:tcPr>
            <w:tcW w:w="5760" w:type="dxa"/>
          </w:tcPr>
          <w:p>
            <w:pPr>
              <w:pStyle w:val="yTableNAm"/>
              <w:tabs>
                <w:tab w:val="clear" w:pos="567"/>
                <w:tab w:val="left" w:pos="598"/>
              </w:tabs>
              <w:ind w:left="612" w:hanging="612"/>
            </w:pPr>
            <w:r>
              <w:t>6.</w:t>
            </w:r>
            <w:r>
              <w:tab/>
              <w:t>Fishing boat licence</w:t>
            </w:r>
          </w:p>
          <w:p>
            <w:pPr>
              <w:pStyle w:val="yTableNAm"/>
              <w:tabs>
                <w:tab w:val="clear" w:pos="567"/>
                <w:tab w:val="left" w:pos="598"/>
              </w:tabs>
              <w:ind w:left="612" w:hanging="612"/>
            </w:pPr>
            <w:r>
              <w:tab/>
              <w:t xml:space="preserve">Types of boat — </w:t>
            </w:r>
          </w:p>
        </w:tc>
        <w:tc>
          <w:tcPr>
            <w:tcW w:w="1320" w:type="dxa"/>
          </w:tcPr>
          <w:p>
            <w:pPr>
              <w:pStyle w:val="yTableNAm"/>
              <w:ind w:right="118"/>
              <w:jc w:val="right"/>
            </w:pPr>
          </w:p>
        </w:tc>
      </w:tr>
      <w:tr>
        <w:tc>
          <w:tcPr>
            <w:tcW w:w="5760" w:type="dxa"/>
          </w:tcPr>
          <w:p>
            <w:pPr>
              <w:pStyle w:val="yTableNAm"/>
              <w:tabs>
                <w:tab w:val="clear" w:pos="567"/>
                <w:tab w:val="left" w:pos="598"/>
                <w:tab w:val="left" w:pos="1220"/>
              </w:tabs>
              <w:ind w:left="1219" w:hanging="1219"/>
            </w:pPr>
            <w:r>
              <w:tab/>
              <w:t>(1)</w:t>
            </w:r>
            <w:r>
              <w:tab/>
              <w:t xml:space="preserve">a boat 6.5 m or longer </w:t>
            </w:r>
          </w:p>
        </w:tc>
        <w:tc>
          <w:tcPr>
            <w:tcW w:w="1320" w:type="dxa"/>
          </w:tcPr>
          <w:p>
            <w:pPr>
              <w:pStyle w:val="yTableNAm"/>
              <w:ind w:right="118"/>
              <w:jc w:val="right"/>
            </w:pPr>
            <w:r>
              <w:t>315.00</w:t>
            </w:r>
          </w:p>
        </w:tc>
      </w:tr>
      <w:tr>
        <w:tc>
          <w:tcPr>
            <w:tcW w:w="5760" w:type="dxa"/>
          </w:tcPr>
          <w:p>
            <w:pPr>
              <w:pStyle w:val="yTableNAm"/>
              <w:tabs>
                <w:tab w:val="clear" w:pos="567"/>
                <w:tab w:val="left" w:pos="598"/>
                <w:tab w:val="left" w:pos="1220"/>
              </w:tabs>
              <w:ind w:left="1220" w:hanging="1220"/>
            </w:pPr>
            <w:r>
              <w:tab/>
              <w:t>(2)</w:t>
            </w:r>
            <w:r>
              <w:tab/>
              <w:t xml:space="preserve">a boat shorter than 6.5 m </w:t>
            </w:r>
          </w:p>
        </w:tc>
        <w:tc>
          <w:tcPr>
            <w:tcW w:w="1320" w:type="dxa"/>
          </w:tcPr>
          <w:p>
            <w:pPr>
              <w:pStyle w:val="yTableNAm"/>
              <w:ind w:right="118"/>
              <w:jc w:val="right"/>
            </w:pPr>
            <w:r>
              <w:t>85.00</w:t>
            </w:r>
          </w:p>
        </w:tc>
      </w:tr>
      <w:tr>
        <w:tc>
          <w:tcPr>
            <w:tcW w:w="5760" w:type="dxa"/>
            <w:vAlign w:val="bottom"/>
          </w:tcPr>
          <w:p>
            <w:pPr>
              <w:pStyle w:val="yTableNAm"/>
              <w:tabs>
                <w:tab w:val="clear" w:pos="567"/>
                <w:tab w:val="left" w:pos="598"/>
              </w:tabs>
              <w:ind w:left="612" w:hanging="612"/>
            </w:pPr>
            <w:r>
              <w:t>7.</w:t>
            </w:r>
            <w:r>
              <w:tab/>
              <w:t xml:space="preserve">Tag authorising the possession of one pink snapper in the Freycinet Estuary </w:t>
            </w:r>
          </w:p>
        </w:tc>
        <w:tc>
          <w:tcPr>
            <w:tcW w:w="1320" w:type="dxa"/>
          </w:tcPr>
          <w:p>
            <w:pPr>
              <w:pStyle w:val="yTableNAm"/>
              <w:ind w:right="118"/>
              <w:jc w:val="right"/>
            </w:pPr>
            <w:r>
              <w:br/>
              <w:t>10.00</w:t>
            </w:r>
          </w:p>
        </w:tc>
      </w:tr>
      <w:tr>
        <w:tc>
          <w:tcPr>
            <w:tcW w:w="5760" w:type="dxa"/>
            <w:vAlign w:val="bottom"/>
          </w:tcPr>
          <w:p>
            <w:pPr>
              <w:pStyle w:val="yTableNAm"/>
              <w:tabs>
                <w:tab w:val="clear" w:pos="567"/>
                <w:tab w:val="left" w:pos="598"/>
              </w:tabs>
              <w:ind w:left="612" w:hanging="612"/>
            </w:pPr>
            <w:r>
              <w:t>8.</w:t>
            </w:r>
            <w:r>
              <w:tab/>
              <w:t>Recreational fishing licence (r. 124) —</w:t>
            </w:r>
          </w:p>
        </w:tc>
        <w:tc>
          <w:tcPr>
            <w:tcW w:w="1320" w:type="dxa"/>
            <w:vAlign w:val="bottom"/>
          </w:tcPr>
          <w:p>
            <w:pPr>
              <w:pStyle w:val="yTableNAm"/>
              <w:ind w:right="118"/>
              <w:jc w:val="right"/>
            </w:pPr>
          </w:p>
        </w:tc>
      </w:tr>
      <w:tr>
        <w:tc>
          <w:tcPr>
            <w:tcW w:w="5760" w:type="dxa"/>
            <w:vAlign w:val="bottom"/>
          </w:tcPr>
          <w:p>
            <w:pPr>
              <w:pStyle w:val="zyTableNAm"/>
              <w:tabs>
                <w:tab w:val="left" w:pos="1168"/>
              </w:tabs>
              <w:ind w:left="1168" w:hanging="1168"/>
            </w:pPr>
            <w:r>
              <w:tab/>
              <w:t>(a)</w:t>
            </w:r>
            <w:r>
              <w:tab/>
              <w:t>fishing for rock lobster</w:t>
            </w:r>
          </w:p>
        </w:tc>
        <w:tc>
          <w:tcPr>
            <w:tcW w:w="1320" w:type="dxa"/>
            <w:vAlign w:val="bottom"/>
          </w:tcPr>
          <w:p>
            <w:pPr>
              <w:pStyle w:val="yTableNAm"/>
              <w:ind w:right="118"/>
              <w:jc w:val="right"/>
            </w:pPr>
            <w:r>
              <w:t>40.00</w:t>
            </w:r>
          </w:p>
        </w:tc>
      </w:tr>
      <w:tr>
        <w:tc>
          <w:tcPr>
            <w:tcW w:w="5760" w:type="dxa"/>
            <w:vAlign w:val="bottom"/>
          </w:tcPr>
          <w:p>
            <w:pPr>
              <w:pStyle w:val="zyTableNAm"/>
              <w:tabs>
                <w:tab w:val="left" w:pos="1168"/>
              </w:tabs>
              <w:ind w:left="1168" w:hanging="1168"/>
            </w:pPr>
            <w:r>
              <w:tab/>
              <w:t>(b)</w:t>
            </w:r>
            <w:r>
              <w:tab/>
              <w:t>fishing for marron</w:t>
            </w:r>
          </w:p>
        </w:tc>
        <w:tc>
          <w:tcPr>
            <w:tcW w:w="1320" w:type="dxa"/>
            <w:vAlign w:val="bottom"/>
          </w:tcPr>
          <w:p>
            <w:pPr>
              <w:pStyle w:val="yTableNAm"/>
              <w:ind w:right="118"/>
              <w:jc w:val="right"/>
            </w:pPr>
            <w:r>
              <w:t>40.00</w:t>
            </w:r>
          </w:p>
        </w:tc>
      </w:tr>
      <w:tr>
        <w:tc>
          <w:tcPr>
            <w:tcW w:w="5760" w:type="dxa"/>
            <w:vAlign w:val="bottom"/>
          </w:tcPr>
          <w:p>
            <w:pPr>
              <w:pStyle w:val="zyTableNAm"/>
              <w:tabs>
                <w:tab w:val="left" w:pos="1168"/>
              </w:tabs>
              <w:ind w:left="1168" w:hanging="1168"/>
            </w:pPr>
            <w:r>
              <w:tab/>
              <w:t>(c)</w:t>
            </w:r>
            <w:r>
              <w:tab/>
              <w:t xml:space="preserve">fishing for abalone </w:t>
            </w:r>
          </w:p>
        </w:tc>
        <w:tc>
          <w:tcPr>
            <w:tcW w:w="1320" w:type="dxa"/>
            <w:vAlign w:val="bottom"/>
          </w:tcPr>
          <w:p>
            <w:pPr>
              <w:pStyle w:val="yTableNAm"/>
              <w:ind w:right="118"/>
              <w:jc w:val="right"/>
            </w:pPr>
            <w:r>
              <w:t>40.00</w:t>
            </w:r>
          </w:p>
        </w:tc>
      </w:tr>
      <w:tr>
        <w:trPr>
          <w:cantSplit/>
        </w:trPr>
        <w:tc>
          <w:tcPr>
            <w:tcW w:w="5760" w:type="dxa"/>
            <w:vAlign w:val="bottom"/>
          </w:tcPr>
          <w:p>
            <w:pPr>
              <w:pStyle w:val="zyTableNAm"/>
              <w:tabs>
                <w:tab w:val="left" w:pos="1168"/>
              </w:tabs>
              <w:ind w:left="1168" w:hanging="1168"/>
            </w:pPr>
            <w:r>
              <w:tab/>
              <w:t>(d)</w:t>
            </w:r>
            <w:r>
              <w:tab/>
              <w:t>fishing for all freshwater fish (other than crustaceans) in waters south of 29 degrees south latitude above the tidal influence including all lakes, dams, rivers and their tributaries</w:t>
            </w:r>
          </w:p>
        </w:tc>
        <w:tc>
          <w:tcPr>
            <w:tcW w:w="1320" w:type="dxa"/>
            <w:vAlign w:val="bottom"/>
          </w:tcPr>
          <w:p>
            <w:pPr>
              <w:pStyle w:val="yTableNAm"/>
              <w:ind w:right="119"/>
              <w:jc w:val="right"/>
            </w:pPr>
            <w:r>
              <w:br/>
            </w:r>
            <w:r>
              <w:br/>
            </w:r>
            <w:r>
              <w:br/>
              <w:t>40.00</w:t>
            </w:r>
          </w:p>
        </w:tc>
      </w:tr>
      <w:tr>
        <w:tc>
          <w:tcPr>
            <w:tcW w:w="5760" w:type="dxa"/>
            <w:vAlign w:val="bottom"/>
          </w:tcPr>
          <w:p>
            <w:pPr>
              <w:pStyle w:val="zyTableNAm"/>
              <w:tabs>
                <w:tab w:val="left" w:pos="1168"/>
              </w:tabs>
              <w:ind w:left="1168" w:hanging="1168"/>
            </w:pPr>
            <w:r>
              <w:tab/>
              <w:t>(e)</w:t>
            </w:r>
            <w:r>
              <w:tab/>
              <w:t xml:space="preserve">fishing by means of a fishing net </w:t>
            </w:r>
          </w:p>
        </w:tc>
        <w:tc>
          <w:tcPr>
            <w:tcW w:w="1320" w:type="dxa"/>
            <w:vAlign w:val="bottom"/>
          </w:tcPr>
          <w:p>
            <w:pPr>
              <w:pStyle w:val="yTableNAm"/>
              <w:ind w:right="118"/>
              <w:jc w:val="right"/>
            </w:pPr>
            <w:r>
              <w:t>40.00</w:t>
            </w:r>
          </w:p>
        </w:tc>
      </w:tr>
      <w:tr>
        <w:tc>
          <w:tcPr>
            <w:tcW w:w="5760" w:type="dxa"/>
            <w:vAlign w:val="bottom"/>
          </w:tcPr>
          <w:p>
            <w:pPr>
              <w:pStyle w:val="zyTableNAm"/>
              <w:tabs>
                <w:tab w:val="left" w:pos="1168"/>
              </w:tabs>
              <w:ind w:left="1168" w:hanging="1168"/>
            </w:pPr>
            <w:r>
              <w:t>9.</w:t>
            </w:r>
            <w:r>
              <w:tab/>
              <w:t>Recreational (boat) fishing licence (r. 124C)</w:t>
            </w:r>
          </w:p>
        </w:tc>
        <w:tc>
          <w:tcPr>
            <w:tcW w:w="1320" w:type="dxa"/>
            <w:vAlign w:val="bottom"/>
          </w:tcPr>
          <w:p>
            <w:pPr>
              <w:pStyle w:val="yTableNAm"/>
              <w:ind w:right="118"/>
              <w:jc w:val="right"/>
            </w:pPr>
            <w:r>
              <w:t>30.00</w:t>
            </w:r>
          </w:p>
        </w:tc>
      </w:tr>
    </w:tbl>
    <w:p>
      <w:pPr>
        <w:pStyle w:val="yFootnotesection"/>
      </w:pPr>
      <w:r>
        <w:tab/>
        <w:t>[Part 3 inserted in Gazette 9 Jun 2009 p. 1915</w:t>
      </w:r>
      <w:r>
        <w:noBreakHyphen/>
        <w:t>20; amended in Gazette 10 Sep 2009 p. 3539; 12 Feb 2010 p. 586</w:t>
      </w:r>
      <w:r>
        <w:noBreakHyphen/>
        <w:t>7; 28 May 2010 p. 2384-5; 27 Aug 2010 p. 4106; 10 Sep 2010 p. 4347; 2 Dec 2010 p. 6031-4; 6 May 2011 p. 1611</w:t>
      </w:r>
      <w:r>
        <w:noBreakHyphen/>
        <w:t>12; 24 Aug 2011 p. 3406-8; 9 Sep 2011 p. 3683.]</w:t>
      </w:r>
    </w:p>
    <w:p>
      <w:pPr>
        <w:pStyle w:val="yScheduleHeading"/>
      </w:pPr>
      <w:bookmarkStart w:id="6124" w:name="_Toc189988159"/>
      <w:bookmarkStart w:id="6125" w:name="_Toc192041742"/>
      <w:bookmarkStart w:id="6126" w:name="_Toc199570976"/>
      <w:bookmarkStart w:id="6127" w:name="_Toc199738974"/>
      <w:bookmarkStart w:id="6128" w:name="_Toc199815075"/>
      <w:bookmarkStart w:id="6129" w:name="_Toc215040882"/>
      <w:bookmarkStart w:id="6130" w:name="_Toc215041327"/>
      <w:bookmarkStart w:id="6131" w:name="_Toc222129535"/>
      <w:bookmarkStart w:id="6132" w:name="_Toc222223240"/>
      <w:bookmarkStart w:id="6133" w:name="_Toc225914492"/>
      <w:bookmarkStart w:id="6134" w:name="_Toc231282537"/>
      <w:bookmarkStart w:id="6135" w:name="_Toc231282981"/>
      <w:bookmarkStart w:id="6136" w:name="_Toc234899571"/>
      <w:bookmarkStart w:id="6137" w:name="_Toc236632853"/>
      <w:bookmarkStart w:id="6138" w:name="_Toc236720466"/>
      <w:bookmarkStart w:id="6139" w:name="_Toc237764665"/>
      <w:bookmarkStart w:id="6140" w:name="_Toc238356289"/>
      <w:bookmarkStart w:id="6141" w:name="_Toc238368994"/>
      <w:bookmarkStart w:id="6142" w:name="_Toc238375947"/>
      <w:bookmarkStart w:id="6143" w:name="_Toc240339271"/>
      <w:bookmarkStart w:id="6144" w:name="_Toc241993777"/>
      <w:bookmarkStart w:id="6145" w:name="_Toc243192920"/>
      <w:bookmarkStart w:id="6146" w:name="_Toc243295622"/>
      <w:bookmarkStart w:id="6147" w:name="_Toc245113195"/>
      <w:bookmarkStart w:id="6148" w:name="_Toc245198357"/>
      <w:bookmarkStart w:id="6149" w:name="_Toc245198806"/>
      <w:bookmarkStart w:id="6150" w:name="_Toc245199255"/>
      <w:bookmarkStart w:id="6151" w:name="_Toc248122286"/>
      <w:bookmarkStart w:id="6152" w:name="_Toc248122737"/>
      <w:bookmarkStart w:id="6153" w:name="_Toc253670724"/>
      <w:bookmarkStart w:id="6154" w:name="_Toc253671174"/>
      <w:bookmarkStart w:id="6155" w:name="_Toc254942948"/>
      <w:bookmarkStart w:id="6156" w:name="_Toc254943401"/>
      <w:bookmarkStart w:id="6157" w:name="_Toc255475993"/>
      <w:bookmarkStart w:id="6158" w:name="_Toc256432314"/>
      <w:bookmarkStart w:id="6159" w:name="_Toc257720651"/>
      <w:bookmarkStart w:id="6160" w:name="_Toc257722333"/>
      <w:bookmarkStart w:id="6161" w:name="_Toc258336009"/>
      <w:bookmarkStart w:id="6162" w:name="_Toc260406451"/>
      <w:bookmarkStart w:id="6163" w:name="_Toc261271637"/>
      <w:bookmarkStart w:id="6164" w:name="_Toc262808319"/>
      <w:bookmarkStart w:id="6165" w:name="_Toc267572712"/>
      <w:bookmarkStart w:id="6166" w:name="_Toc270684461"/>
      <w:bookmarkStart w:id="6167" w:name="_Toc274214638"/>
      <w:bookmarkStart w:id="6168" w:name="_Toc274215087"/>
      <w:bookmarkStart w:id="6169" w:name="_Toc278976418"/>
      <w:bookmarkStart w:id="6170" w:name="_Toc286760739"/>
      <w:bookmarkStart w:id="6171" w:name="_Toc289081084"/>
      <w:bookmarkStart w:id="6172" w:name="_Toc290284278"/>
      <w:bookmarkStart w:id="6173" w:name="_Toc290643099"/>
      <w:bookmarkStart w:id="6174" w:name="_Toc290643548"/>
      <w:bookmarkStart w:id="6175" w:name="_Toc290644001"/>
      <w:bookmarkStart w:id="6176" w:name="_Toc294701818"/>
      <w:bookmarkStart w:id="6177" w:name="_Toc295200226"/>
      <w:bookmarkStart w:id="6178" w:name="_Toc296954667"/>
      <w:bookmarkStart w:id="6179" w:name="_Toc297276302"/>
      <w:bookmarkStart w:id="6180" w:name="_Toc297276754"/>
      <w:bookmarkStart w:id="6181" w:name="_Toc297277204"/>
      <w:bookmarkStart w:id="6182" w:name="_Toc297726573"/>
      <w:bookmarkStart w:id="6183" w:name="_Toc299980359"/>
      <w:bookmarkStart w:id="6184" w:name="_Toc300234985"/>
      <w:bookmarkStart w:id="6185" w:name="_Toc301961488"/>
      <w:bookmarkStart w:id="6186" w:name="_Toc301967058"/>
      <w:bookmarkStart w:id="6187" w:name="_Toc303253267"/>
      <w:bookmarkStart w:id="6188" w:name="_Toc303257431"/>
      <w:bookmarkStart w:id="6189" w:name="_Toc307993064"/>
      <w:bookmarkStart w:id="6190" w:name="_Toc309030097"/>
      <w:bookmarkStart w:id="6191" w:name="_Toc309304320"/>
      <w:bookmarkStart w:id="6192" w:name="_Toc309309597"/>
      <w:r>
        <w:rPr>
          <w:rStyle w:val="CharSchNo"/>
        </w:rPr>
        <w:t>Schedule 2</w:t>
      </w:r>
      <w:bookmarkEnd w:id="6124"/>
      <w:bookmarkEnd w:id="6125"/>
      <w:bookmarkEnd w:id="6126"/>
      <w:bookmarkEnd w:id="6127"/>
      <w:bookmarkEnd w:id="6128"/>
      <w:bookmarkEnd w:id="6129"/>
      <w:bookmarkEnd w:id="6130"/>
      <w:bookmarkEnd w:id="6131"/>
      <w:bookmarkEnd w:id="6132"/>
      <w:bookmarkEnd w:id="6133"/>
      <w:bookmarkEnd w:id="6134"/>
      <w:bookmarkEnd w:id="6135"/>
      <w:bookmarkEnd w:id="6136"/>
      <w:bookmarkEnd w:id="6137"/>
      <w:bookmarkEnd w:id="6138"/>
      <w:bookmarkEnd w:id="6139"/>
      <w:bookmarkEnd w:id="6140"/>
      <w:bookmarkEnd w:id="6141"/>
      <w:bookmarkEnd w:id="6142"/>
      <w:bookmarkEnd w:id="6143"/>
      <w:bookmarkEnd w:id="6144"/>
      <w:bookmarkEnd w:id="6145"/>
      <w:bookmarkEnd w:id="6146"/>
      <w:bookmarkEnd w:id="6147"/>
      <w:bookmarkEnd w:id="6148"/>
      <w:bookmarkEnd w:id="6149"/>
      <w:bookmarkEnd w:id="6150"/>
      <w:bookmarkEnd w:id="6151"/>
      <w:bookmarkEnd w:id="6152"/>
      <w:bookmarkEnd w:id="6153"/>
      <w:bookmarkEnd w:id="6154"/>
      <w:bookmarkEnd w:id="6155"/>
      <w:bookmarkEnd w:id="6156"/>
      <w:bookmarkEnd w:id="6157"/>
      <w:bookmarkEnd w:id="6158"/>
      <w:bookmarkEnd w:id="6159"/>
      <w:bookmarkEnd w:id="6160"/>
      <w:bookmarkEnd w:id="6161"/>
      <w:bookmarkEnd w:id="6162"/>
      <w:bookmarkEnd w:id="6163"/>
      <w:bookmarkEnd w:id="6164"/>
      <w:bookmarkEnd w:id="6165"/>
      <w:bookmarkEnd w:id="6166"/>
      <w:bookmarkEnd w:id="6167"/>
      <w:bookmarkEnd w:id="6168"/>
      <w:bookmarkEnd w:id="6169"/>
      <w:bookmarkEnd w:id="6170"/>
      <w:bookmarkEnd w:id="6171"/>
      <w:bookmarkEnd w:id="6172"/>
      <w:bookmarkEnd w:id="6173"/>
      <w:bookmarkEnd w:id="6174"/>
      <w:bookmarkEnd w:id="6175"/>
      <w:bookmarkEnd w:id="6176"/>
      <w:bookmarkEnd w:id="6177"/>
      <w:bookmarkEnd w:id="6178"/>
      <w:bookmarkEnd w:id="6179"/>
      <w:bookmarkEnd w:id="6180"/>
      <w:bookmarkEnd w:id="6181"/>
      <w:bookmarkEnd w:id="6182"/>
      <w:bookmarkEnd w:id="6183"/>
      <w:bookmarkEnd w:id="6184"/>
      <w:bookmarkEnd w:id="6185"/>
      <w:bookmarkEnd w:id="6186"/>
      <w:bookmarkEnd w:id="6187"/>
      <w:bookmarkEnd w:id="6188"/>
      <w:bookmarkEnd w:id="6189"/>
      <w:bookmarkEnd w:id="6190"/>
      <w:bookmarkEnd w:id="6191"/>
      <w:bookmarkEnd w:id="6192"/>
    </w:p>
    <w:p>
      <w:pPr>
        <w:pStyle w:val="yHeading2"/>
        <w:outlineLvl w:val="9"/>
      </w:pPr>
      <w:bookmarkStart w:id="6193" w:name="_Toc189988160"/>
      <w:bookmarkStart w:id="6194" w:name="_Toc192041743"/>
      <w:bookmarkStart w:id="6195" w:name="_Toc199570977"/>
      <w:bookmarkStart w:id="6196" w:name="_Toc199738975"/>
      <w:bookmarkStart w:id="6197" w:name="_Toc199815076"/>
      <w:bookmarkStart w:id="6198" w:name="_Toc215040883"/>
      <w:bookmarkStart w:id="6199" w:name="_Toc215041328"/>
      <w:bookmarkStart w:id="6200" w:name="_Toc222129536"/>
      <w:bookmarkStart w:id="6201" w:name="_Toc222223241"/>
      <w:bookmarkStart w:id="6202" w:name="_Toc225914493"/>
      <w:bookmarkStart w:id="6203" w:name="_Toc231282538"/>
      <w:bookmarkStart w:id="6204" w:name="_Toc231282982"/>
      <w:bookmarkStart w:id="6205" w:name="_Toc234899572"/>
      <w:bookmarkStart w:id="6206" w:name="_Toc236632854"/>
      <w:bookmarkStart w:id="6207" w:name="_Toc236720467"/>
      <w:bookmarkStart w:id="6208" w:name="_Toc237764666"/>
      <w:bookmarkStart w:id="6209" w:name="_Toc238356290"/>
      <w:bookmarkStart w:id="6210" w:name="_Toc238368995"/>
      <w:bookmarkStart w:id="6211" w:name="_Toc238375948"/>
      <w:bookmarkStart w:id="6212" w:name="_Toc240339272"/>
      <w:bookmarkStart w:id="6213" w:name="_Toc241993778"/>
      <w:bookmarkStart w:id="6214" w:name="_Toc243192921"/>
      <w:bookmarkStart w:id="6215" w:name="_Toc243295623"/>
      <w:bookmarkStart w:id="6216" w:name="_Toc245113196"/>
      <w:bookmarkStart w:id="6217" w:name="_Toc245198358"/>
      <w:bookmarkStart w:id="6218" w:name="_Toc245198807"/>
      <w:bookmarkStart w:id="6219" w:name="_Toc245199256"/>
      <w:bookmarkStart w:id="6220" w:name="_Toc248122287"/>
      <w:bookmarkStart w:id="6221" w:name="_Toc248122738"/>
      <w:bookmarkStart w:id="6222" w:name="_Toc253670725"/>
      <w:bookmarkStart w:id="6223" w:name="_Toc253671175"/>
      <w:bookmarkStart w:id="6224" w:name="_Toc254942949"/>
      <w:bookmarkStart w:id="6225" w:name="_Toc254943402"/>
      <w:bookmarkStart w:id="6226" w:name="_Toc255475994"/>
      <w:bookmarkStart w:id="6227" w:name="_Toc256432315"/>
      <w:bookmarkStart w:id="6228" w:name="_Toc257720652"/>
      <w:bookmarkStart w:id="6229" w:name="_Toc257722334"/>
      <w:bookmarkStart w:id="6230" w:name="_Toc258336010"/>
      <w:bookmarkStart w:id="6231" w:name="_Toc260406452"/>
      <w:bookmarkStart w:id="6232" w:name="_Toc261271638"/>
      <w:bookmarkStart w:id="6233" w:name="_Toc262808320"/>
      <w:bookmarkStart w:id="6234" w:name="_Toc267572713"/>
      <w:bookmarkStart w:id="6235" w:name="_Toc270684462"/>
      <w:bookmarkStart w:id="6236" w:name="_Toc274214639"/>
      <w:bookmarkStart w:id="6237" w:name="_Toc274215088"/>
      <w:bookmarkStart w:id="6238" w:name="_Toc278976419"/>
      <w:bookmarkStart w:id="6239" w:name="_Toc286760740"/>
      <w:bookmarkStart w:id="6240" w:name="_Toc289081085"/>
      <w:bookmarkStart w:id="6241" w:name="_Toc290284279"/>
      <w:bookmarkStart w:id="6242" w:name="_Toc290643100"/>
      <w:bookmarkStart w:id="6243" w:name="_Toc290643549"/>
      <w:bookmarkStart w:id="6244" w:name="_Toc290644002"/>
      <w:bookmarkStart w:id="6245" w:name="_Toc294701819"/>
      <w:bookmarkStart w:id="6246" w:name="_Toc295200227"/>
      <w:bookmarkStart w:id="6247" w:name="_Toc296954668"/>
      <w:bookmarkStart w:id="6248" w:name="_Toc297276303"/>
      <w:bookmarkStart w:id="6249" w:name="_Toc297276755"/>
      <w:bookmarkStart w:id="6250" w:name="_Toc297277205"/>
      <w:bookmarkStart w:id="6251" w:name="_Toc297726574"/>
      <w:bookmarkStart w:id="6252" w:name="_Toc299980360"/>
      <w:bookmarkStart w:id="6253" w:name="_Toc300234986"/>
      <w:bookmarkStart w:id="6254" w:name="_Toc301961489"/>
      <w:bookmarkStart w:id="6255" w:name="_Toc301967059"/>
      <w:bookmarkStart w:id="6256" w:name="_Toc303253268"/>
      <w:bookmarkStart w:id="6257" w:name="_Toc303257432"/>
      <w:bookmarkStart w:id="6258" w:name="_Toc307993065"/>
      <w:bookmarkStart w:id="6259" w:name="_Toc309030098"/>
      <w:bookmarkStart w:id="6260" w:name="_Toc309304321"/>
      <w:bookmarkStart w:id="6261" w:name="_Toc309309598"/>
      <w:r>
        <w:rPr>
          <w:rStyle w:val="CharSchText"/>
        </w:rPr>
        <w:t>Protected fish</w:t>
      </w:r>
      <w:bookmarkEnd w:id="6193"/>
      <w:bookmarkEnd w:id="6194"/>
      <w:bookmarkEnd w:id="6195"/>
      <w:bookmarkEnd w:id="6196"/>
      <w:bookmarkEnd w:id="6197"/>
      <w:bookmarkEnd w:id="6198"/>
      <w:bookmarkEnd w:id="6199"/>
      <w:bookmarkEnd w:id="6200"/>
      <w:bookmarkEnd w:id="6201"/>
      <w:bookmarkEnd w:id="6202"/>
      <w:bookmarkEnd w:id="6203"/>
      <w:bookmarkEnd w:id="6204"/>
      <w:bookmarkEnd w:id="6205"/>
      <w:bookmarkEnd w:id="6206"/>
      <w:bookmarkEnd w:id="6207"/>
      <w:bookmarkEnd w:id="6208"/>
      <w:bookmarkEnd w:id="6209"/>
      <w:bookmarkEnd w:id="6210"/>
      <w:bookmarkEnd w:id="6211"/>
      <w:bookmarkEnd w:id="6212"/>
      <w:bookmarkEnd w:id="6213"/>
      <w:bookmarkEnd w:id="6214"/>
      <w:bookmarkEnd w:id="6215"/>
      <w:bookmarkEnd w:id="6216"/>
      <w:bookmarkEnd w:id="6217"/>
      <w:bookmarkEnd w:id="6218"/>
      <w:bookmarkEnd w:id="6219"/>
      <w:bookmarkEnd w:id="6220"/>
      <w:bookmarkEnd w:id="6221"/>
      <w:bookmarkEnd w:id="6222"/>
      <w:bookmarkEnd w:id="6223"/>
      <w:bookmarkEnd w:id="6224"/>
      <w:bookmarkEnd w:id="6225"/>
      <w:bookmarkEnd w:id="6226"/>
      <w:bookmarkEnd w:id="6227"/>
      <w:bookmarkEnd w:id="6228"/>
      <w:bookmarkEnd w:id="6229"/>
      <w:bookmarkEnd w:id="6230"/>
      <w:bookmarkEnd w:id="6231"/>
      <w:bookmarkEnd w:id="6232"/>
      <w:bookmarkEnd w:id="6233"/>
      <w:bookmarkEnd w:id="6234"/>
      <w:bookmarkEnd w:id="6235"/>
      <w:bookmarkEnd w:id="6236"/>
      <w:bookmarkEnd w:id="6237"/>
      <w:bookmarkEnd w:id="6238"/>
      <w:bookmarkEnd w:id="6239"/>
      <w:bookmarkEnd w:id="6240"/>
      <w:bookmarkEnd w:id="6241"/>
      <w:bookmarkEnd w:id="6242"/>
      <w:bookmarkEnd w:id="6243"/>
      <w:bookmarkEnd w:id="6244"/>
      <w:bookmarkEnd w:id="6245"/>
      <w:bookmarkEnd w:id="6246"/>
      <w:bookmarkEnd w:id="6247"/>
      <w:bookmarkEnd w:id="6248"/>
      <w:bookmarkEnd w:id="6249"/>
      <w:bookmarkEnd w:id="6250"/>
      <w:bookmarkEnd w:id="6251"/>
      <w:bookmarkEnd w:id="6252"/>
      <w:bookmarkEnd w:id="6253"/>
      <w:bookmarkEnd w:id="6254"/>
      <w:bookmarkEnd w:id="6255"/>
      <w:bookmarkEnd w:id="6256"/>
      <w:bookmarkEnd w:id="6257"/>
      <w:bookmarkEnd w:id="6258"/>
      <w:bookmarkEnd w:id="6259"/>
      <w:bookmarkEnd w:id="6260"/>
      <w:bookmarkEnd w:id="6261"/>
    </w:p>
    <w:p>
      <w:pPr>
        <w:pStyle w:val="yShoulderClause"/>
        <w:rPr>
          <w:snapToGrid w:val="0"/>
        </w:rPr>
      </w:pPr>
      <w:r>
        <w:rPr>
          <w:snapToGrid w:val="0"/>
        </w:rPr>
        <w:t>[s. 46 &amp; 47 and reg. 10]</w:t>
      </w:r>
    </w:p>
    <w:p>
      <w:pPr>
        <w:pStyle w:val="yHeading2"/>
      </w:pPr>
      <w:bookmarkStart w:id="6262" w:name="_Toc189988161"/>
      <w:bookmarkStart w:id="6263" w:name="_Toc192041744"/>
      <w:bookmarkStart w:id="6264" w:name="_Toc199570978"/>
      <w:bookmarkStart w:id="6265" w:name="_Toc199738976"/>
      <w:bookmarkStart w:id="6266" w:name="_Toc199815077"/>
      <w:bookmarkStart w:id="6267" w:name="_Toc215040884"/>
      <w:bookmarkStart w:id="6268" w:name="_Toc215041329"/>
      <w:bookmarkStart w:id="6269" w:name="_Toc222129537"/>
      <w:bookmarkStart w:id="6270" w:name="_Toc222223242"/>
      <w:bookmarkStart w:id="6271" w:name="_Toc225914494"/>
      <w:bookmarkStart w:id="6272" w:name="_Toc231282539"/>
      <w:bookmarkStart w:id="6273" w:name="_Toc231282983"/>
      <w:bookmarkStart w:id="6274" w:name="_Toc234899573"/>
      <w:bookmarkStart w:id="6275" w:name="_Toc236632855"/>
      <w:bookmarkStart w:id="6276" w:name="_Toc236720468"/>
      <w:bookmarkStart w:id="6277" w:name="_Toc237764667"/>
      <w:bookmarkStart w:id="6278" w:name="_Toc238356291"/>
      <w:bookmarkStart w:id="6279" w:name="_Toc238368996"/>
      <w:bookmarkStart w:id="6280" w:name="_Toc238375949"/>
      <w:bookmarkStart w:id="6281" w:name="_Toc240339273"/>
      <w:bookmarkStart w:id="6282" w:name="_Toc241993779"/>
      <w:bookmarkStart w:id="6283" w:name="_Toc243192922"/>
      <w:bookmarkStart w:id="6284" w:name="_Toc243295624"/>
      <w:bookmarkStart w:id="6285" w:name="_Toc245113197"/>
      <w:bookmarkStart w:id="6286" w:name="_Toc245198359"/>
      <w:bookmarkStart w:id="6287" w:name="_Toc245198808"/>
      <w:bookmarkStart w:id="6288" w:name="_Toc245199257"/>
      <w:bookmarkStart w:id="6289" w:name="_Toc248122288"/>
      <w:bookmarkStart w:id="6290" w:name="_Toc248122739"/>
      <w:bookmarkStart w:id="6291" w:name="_Toc253670726"/>
      <w:bookmarkStart w:id="6292" w:name="_Toc253671176"/>
      <w:bookmarkStart w:id="6293" w:name="_Toc254942950"/>
      <w:bookmarkStart w:id="6294" w:name="_Toc254943403"/>
      <w:bookmarkStart w:id="6295" w:name="_Toc255475995"/>
      <w:bookmarkStart w:id="6296" w:name="_Toc256432316"/>
      <w:bookmarkStart w:id="6297" w:name="_Toc257720653"/>
      <w:bookmarkStart w:id="6298" w:name="_Toc257722335"/>
      <w:bookmarkStart w:id="6299" w:name="_Toc258336011"/>
      <w:bookmarkStart w:id="6300" w:name="_Toc260406453"/>
      <w:bookmarkStart w:id="6301" w:name="_Toc261271639"/>
      <w:bookmarkStart w:id="6302" w:name="_Toc262808321"/>
      <w:bookmarkStart w:id="6303" w:name="_Toc267572714"/>
      <w:bookmarkStart w:id="6304" w:name="_Toc270684463"/>
      <w:bookmarkStart w:id="6305" w:name="_Toc274214640"/>
      <w:bookmarkStart w:id="6306" w:name="_Toc274215089"/>
      <w:bookmarkStart w:id="6307" w:name="_Toc278976420"/>
      <w:bookmarkStart w:id="6308" w:name="_Toc286760741"/>
      <w:bookmarkStart w:id="6309" w:name="_Toc289081086"/>
      <w:bookmarkStart w:id="6310" w:name="_Toc290284280"/>
      <w:bookmarkStart w:id="6311" w:name="_Toc290643101"/>
      <w:bookmarkStart w:id="6312" w:name="_Toc290643550"/>
      <w:bookmarkStart w:id="6313" w:name="_Toc290644003"/>
      <w:bookmarkStart w:id="6314" w:name="_Toc294701820"/>
      <w:bookmarkStart w:id="6315" w:name="_Toc295200228"/>
      <w:bookmarkStart w:id="6316" w:name="_Toc296954669"/>
      <w:bookmarkStart w:id="6317" w:name="_Toc297276304"/>
      <w:bookmarkStart w:id="6318" w:name="_Toc297276756"/>
      <w:bookmarkStart w:id="6319" w:name="_Toc297277206"/>
      <w:bookmarkStart w:id="6320" w:name="_Toc297726575"/>
      <w:bookmarkStart w:id="6321" w:name="_Toc299980361"/>
      <w:bookmarkStart w:id="6322" w:name="_Toc300234987"/>
      <w:bookmarkStart w:id="6323" w:name="_Toc301961490"/>
      <w:bookmarkStart w:id="6324" w:name="_Toc301967060"/>
      <w:bookmarkStart w:id="6325" w:name="_Toc303253269"/>
      <w:bookmarkStart w:id="6326" w:name="_Toc303257433"/>
      <w:bookmarkStart w:id="6327" w:name="_Toc307993066"/>
      <w:bookmarkStart w:id="6328" w:name="_Toc309030099"/>
      <w:bookmarkStart w:id="6329" w:name="_Toc309304322"/>
      <w:bookmarkStart w:id="6330" w:name="_Toc309309599"/>
      <w:r>
        <w:rPr>
          <w:rStyle w:val="CharSDivNo"/>
          <w:sz w:val="28"/>
        </w:rPr>
        <w:t>Part 1</w:t>
      </w:r>
      <w:r>
        <w:t> — </w:t>
      </w:r>
      <w:r>
        <w:rPr>
          <w:rStyle w:val="CharSDivText"/>
          <w:sz w:val="28"/>
        </w:rPr>
        <w:t>Commercially protected fish</w:t>
      </w:r>
      <w:bookmarkEnd w:id="6262"/>
      <w:bookmarkEnd w:id="6263"/>
      <w:bookmarkEnd w:id="6264"/>
      <w:bookmarkEnd w:id="6265"/>
      <w:bookmarkEnd w:id="6266"/>
      <w:bookmarkEnd w:id="6267"/>
      <w:bookmarkEnd w:id="6268"/>
      <w:bookmarkEnd w:id="6269"/>
      <w:bookmarkEnd w:id="6270"/>
      <w:bookmarkEnd w:id="6271"/>
      <w:bookmarkEnd w:id="6272"/>
      <w:bookmarkEnd w:id="6273"/>
      <w:bookmarkEnd w:id="6274"/>
      <w:bookmarkEnd w:id="6275"/>
      <w:bookmarkEnd w:id="6276"/>
      <w:bookmarkEnd w:id="6277"/>
      <w:bookmarkEnd w:id="6278"/>
      <w:bookmarkEnd w:id="6279"/>
      <w:bookmarkEnd w:id="6280"/>
      <w:bookmarkEnd w:id="6281"/>
      <w:bookmarkEnd w:id="6282"/>
      <w:bookmarkEnd w:id="6283"/>
      <w:bookmarkEnd w:id="6284"/>
      <w:bookmarkEnd w:id="6285"/>
      <w:bookmarkEnd w:id="6286"/>
      <w:bookmarkEnd w:id="6287"/>
      <w:bookmarkEnd w:id="6288"/>
      <w:bookmarkEnd w:id="6289"/>
      <w:bookmarkEnd w:id="6290"/>
      <w:bookmarkEnd w:id="6291"/>
      <w:bookmarkEnd w:id="6292"/>
      <w:bookmarkEnd w:id="6293"/>
      <w:bookmarkEnd w:id="6294"/>
      <w:bookmarkEnd w:id="6295"/>
      <w:bookmarkEnd w:id="6296"/>
      <w:bookmarkEnd w:id="6297"/>
      <w:bookmarkEnd w:id="6298"/>
      <w:bookmarkEnd w:id="6299"/>
      <w:bookmarkEnd w:id="6300"/>
      <w:bookmarkEnd w:id="6301"/>
      <w:bookmarkEnd w:id="6302"/>
      <w:bookmarkEnd w:id="6303"/>
      <w:bookmarkEnd w:id="6304"/>
      <w:bookmarkEnd w:id="6305"/>
      <w:bookmarkEnd w:id="6306"/>
      <w:bookmarkEnd w:id="6307"/>
      <w:bookmarkEnd w:id="6308"/>
      <w:bookmarkEnd w:id="6309"/>
      <w:bookmarkEnd w:id="6310"/>
      <w:bookmarkEnd w:id="6311"/>
      <w:bookmarkEnd w:id="6312"/>
      <w:bookmarkEnd w:id="6313"/>
      <w:bookmarkEnd w:id="6314"/>
      <w:bookmarkEnd w:id="6315"/>
      <w:bookmarkEnd w:id="6316"/>
      <w:bookmarkEnd w:id="6317"/>
      <w:bookmarkEnd w:id="6318"/>
      <w:bookmarkEnd w:id="6319"/>
      <w:bookmarkEnd w:id="6320"/>
      <w:bookmarkEnd w:id="6321"/>
      <w:bookmarkEnd w:id="6322"/>
      <w:bookmarkEnd w:id="6323"/>
      <w:bookmarkEnd w:id="6324"/>
      <w:bookmarkEnd w:id="6325"/>
      <w:bookmarkEnd w:id="6326"/>
      <w:bookmarkEnd w:id="6327"/>
      <w:bookmarkEnd w:id="6328"/>
      <w:bookmarkEnd w:id="6329"/>
      <w:bookmarkEnd w:id="6330"/>
    </w:p>
    <w:p>
      <w:pPr>
        <w:pStyle w:val="yNumberedItem"/>
        <w:rPr>
          <w:snapToGrid w:val="0"/>
        </w:rPr>
      </w:pPr>
      <w:r>
        <w:rPr>
          <w:snapToGrid w:val="0"/>
        </w:rPr>
        <w:tab/>
        <w:t xml:space="preserve">All freshwater aquatic organisms other than sooty grunter and catfish of the </w:t>
      </w:r>
      <w:r>
        <w:rPr>
          <w:snapToGrid w:val="0"/>
          <w:u w:val="single"/>
        </w:rPr>
        <w:t>Family</w:t>
      </w:r>
      <w:r>
        <w:rPr>
          <w:snapToGrid w:val="0"/>
        </w:rPr>
        <w:t xml:space="preserve"> Ariidae.</w:t>
      </w:r>
    </w:p>
    <w:p>
      <w:pPr>
        <w:pStyle w:val="yNumberedItem"/>
        <w:rPr>
          <w:snapToGrid w:val="0"/>
        </w:rPr>
      </w:pPr>
      <w:r>
        <w:rPr>
          <w:snapToGrid w:val="0"/>
        </w:rPr>
        <w:tab/>
        <w:t>Billfish (marlins, sailfish and spearfish).</w:t>
      </w:r>
    </w:p>
    <w:p>
      <w:pPr>
        <w:pStyle w:val="yNumberedItem"/>
        <w:rPr>
          <w:snapToGrid w:val="0"/>
        </w:rPr>
      </w:pPr>
      <w:r>
        <w:rPr>
          <w:snapToGrid w:val="0"/>
        </w:rPr>
        <w:tab/>
        <w:t xml:space="preserve">Oyster of the </w:t>
      </w:r>
      <w:r>
        <w:rPr>
          <w:snapToGrid w:val="0"/>
          <w:u w:val="single"/>
        </w:rPr>
        <w:t>Families</w:t>
      </w:r>
      <w:r>
        <w:rPr>
          <w:snapToGrid w:val="0"/>
        </w:rPr>
        <w:t xml:space="preserve"> Ostreidae and Pteriidae.</w:t>
      </w:r>
    </w:p>
    <w:p>
      <w:pPr>
        <w:pStyle w:val="yNumberedItem"/>
        <w:rPr>
          <w:snapToGrid w:val="0"/>
        </w:rPr>
      </w:pPr>
      <w:r>
        <w:rPr>
          <w:snapToGrid w:val="0"/>
        </w:rPr>
        <w:tab/>
        <w:t>Sharks and Rays, other than sharks or rays that are totally protected fish.</w:t>
      </w:r>
    </w:p>
    <w:p>
      <w:pPr>
        <w:pStyle w:val="Subsection"/>
        <w:rPr>
          <w:sz w:val="22"/>
          <w:szCs w:val="22"/>
        </w:rPr>
      </w:pPr>
      <w:r>
        <w:tab/>
      </w:r>
      <w:r>
        <w:tab/>
      </w:r>
      <w:r>
        <w:rPr>
          <w:sz w:val="22"/>
          <w:szCs w:val="22"/>
        </w:rPr>
        <w:t>Western rock lobster less than 77 mm in length.</w:t>
      </w:r>
    </w:p>
    <w:p>
      <w:pPr>
        <w:pStyle w:val="yFootnotesection"/>
      </w:pPr>
      <w:r>
        <w:tab/>
        <w:t>[Part 1 amended in Gazette 12 Sep 1997 p. 5154; 5 Dec 1997 p. 7123; 1 Oct 2003 p. 4344; 10 Nov 2006 p. 4709; 4 Sep 2007 p. 4520; 18 Nov 2011 p. 4810.]</w:t>
      </w:r>
    </w:p>
    <w:p>
      <w:pPr>
        <w:pStyle w:val="yHeading2"/>
      </w:pPr>
      <w:bookmarkStart w:id="6331" w:name="_Toc189988162"/>
      <w:bookmarkStart w:id="6332" w:name="_Toc192041745"/>
      <w:bookmarkStart w:id="6333" w:name="_Toc199570979"/>
      <w:bookmarkStart w:id="6334" w:name="_Toc199738977"/>
      <w:bookmarkStart w:id="6335" w:name="_Toc199815078"/>
      <w:bookmarkStart w:id="6336" w:name="_Toc215040885"/>
      <w:bookmarkStart w:id="6337" w:name="_Toc215041330"/>
      <w:bookmarkStart w:id="6338" w:name="_Toc222129538"/>
      <w:bookmarkStart w:id="6339" w:name="_Toc222223243"/>
      <w:bookmarkStart w:id="6340" w:name="_Toc225914495"/>
      <w:bookmarkStart w:id="6341" w:name="_Toc231282540"/>
      <w:bookmarkStart w:id="6342" w:name="_Toc231282984"/>
      <w:bookmarkStart w:id="6343" w:name="_Toc234899574"/>
      <w:bookmarkStart w:id="6344" w:name="_Toc236632856"/>
      <w:bookmarkStart w:id="6345" w:name="_Toc236720469"/>
      <w:bookmarkStart w:id="6346" w:name="_Toc237764668"/>
      <w:bookmarkStart w:id="6347" w:name="_Toc238356292"/>
      <w:bookmarkStart w:id="6348" w:name="_Toc238368997"/>
      <w:bookmarkStart w:id="6349" w:name="_Toc238375950"/>
      <w:bookmarkStart w:id="6350" w:name="_Toc240339274"/>
      <w:bookmarkStart w:id="6351" w:name="_Toc241993780"/>
      <w:bookmarkStart w:id="6352" w:name="_Toc243192923"/>
      <w:bookmarkStart w:id="6353" w:name="_Toc243295625"/>
      <w:bookmarkStart w:id="6354" w:name="_Toc245113198"/>
      <w:bookmarkStart w:id="6355" w:name="_Toc245198360"/>
      <w:bookmarkStart w:id="6356" w:name="_Toc245198809"/>
      <w:bookmarkStart w:id="6357" w:name="_Toc245199258"/>
      <w:bookmarkStart w:id="6358" w:name="_Toc248122289"/>
      <w:bookmarkStart w:id="6359" w:name="_Toc248122740"/>
      <w:bookmarkStart w:id="6360" w:name="_Toc253670727"/>
      <w:bookmarkStart w:id="6361" w:name="_Toc253671177"/>
      <w:bookmarkStart w:id="6362" w:name="_Toc254942951"/>
      <w:bookmarkStart w:id="6363" w:name="_Toc254943404"/>
      <w:bookmarkStart w:id="6364" w:name="_Toc255475996"/>
      <w:bookmarkStart w:id="6365" w:name="_Toc256432317"/>
      <w:bookmarkStart w:id="6366" w:name="_Toc257720654"/>
      <w:bookmarkStart w:id="6367" w:name="_Toc257722336"/>
      <w:bookmarkStart w:id="6368" w:name="_Toc258336012"/>
      <w:bookmarkStart w:id="6369" w:name="_Toc260406454"/>
      <w:bookmarkStart w:id="6370" w:name="_Toc261271640"/>
      <w:bookmarkStart w:id="6371" w:name="_Toc262808322"/>
      <w:bookmarkStart w:id="6372" w:name="_Toc267572715"/>
      <w:bookmarkStart w:id="6373" w:name="_Toc270684464"/>
      <w:bookmarkStart w:id="6374" w:name="_Toc274214641"/>
      <w:bookmarkStart w:id="6375" w:name="_Toc274215090"/>
      <w:bookmarkStart w:id="6376" w:name="_Toc278976421"/>
      <w:bookmarkStart w:id="6377" w:name="_Toc286760742"/>
      <w:bookmarkStart w:id="6378" w:name="_Toc289081087"/>
      <w:bookmarkStart w:id="6379" w:name="_Toc290284281"/>
      <w:bookmarkStart w:id="6380" w:name="_Toc290643102"/>
      <w:bookmarkStart w:id="6381" w:name="_Toc290643551"/>
      <w:bookmarkStart w:id="6382" w:name="_Toc290644004"/>
      <w:bookmarkStart w:id="6383" w:name="_Toc294701821"/>
      <w:bookmarkStart w:id="6384" w:name="_Toc295200229"/>
      <w:bookmarkStart w:id="6385" w:name="_Toc296954670"/>
      <w:bookmarkStart w:id="6386" w:name="_Toc297276305"/>
      <w:bookmarkStart w:id="6387" w:name="_Toc297276757"/>
      <w:bookmarkStart w:id="6388" w:name="_Toc297277207"/>
      <w:bookmarkStart w:id="6389" w:name="_Toc297726576"/>
      <w:bookmarkStart w:id="6390" w:name="_Toc299980362"/>
      <w:bookmarkStart w:id="6391" w:name="_Toc300234988"/>
      <w:bookmarkStart w:id="6392" w:name="_Toc301961491"/>
      <w:bookmarkStart w:id="6393" w:name="_Toc301967061"/>
      <w:bookmarkStart w:id="6394" w:name="_Toc303253270"/>
      <w:bookmarkStart w:id="6395" w:name="_Toc303257434"/>
      <w:bookmarkStart w:id="6396" w:name="_Toc307993067"/>
      <w:bookmarkStart w:id="6397" w:name="_Toc309030100"/>
      <w:bookmarkStart w:id="6398" w:name="_Toc309304323"/>
      <w:bookmarkStart w:id="6399" w:name="_Toc309309600"/>
      <w:r>
        <w:rPr>
          <w:rStyle w:val="CharSDivNo"/>
          <w:sz w:val="28"/>
        </w:rPr>
        <w:t>Part 2</w:t>
      </w:r>
      <w:r>
        <w:t> — </w:t>
      </w:r>
      <w:r>
        <w:rPr>
          <w:rStyle w:val="CharSDivText"/>
          <w:sz w:val="28"/>
        </w:rPr>
        <w:t>Totally protected fish</w:t>
      </w:r>
      <w:bookmarkEnd w:id="6331"/>
      <w:bookmarkEnd w:id="6332"/>
      <w:bookmarkEnd w:id="6333"/>
      <w:bookmarkEnd w:id="6334"/>
      <w:bookmarkEnd w:id="6335"/>
      <w:bookmarkEnd w:id="6336"/>
      <w:bookmarkEnd w:id="6337"/>
      <w:bookmarkEnd w:id="6338"/>
      <w:bookmarkEnd w:id="6339"/>
      <w:bookmarkEnd w:id="6340"/>
      <w:bookmarkEnd w:id="6341"/>
      <w:bookmarkEnd w:id="6342"/>
      <w:bookmarkEnd w:id="6343"/>
      <w:bookmarkEnd w:id="6344"/>
      <w:bookmarkEnd w:id="6345"/>
      <w:bookmarkEnd w:id="6346"/>
      <w:bookmarkEnd w:id="6347"/>
      <w:bookmarkEnd w:id="6348"/>
      <w:bookmarkEnd w:id="6349"/>
      <w:bookmarkEnd w:id="6350"/>
      <w:bookmarkEnd w:id="6351"/>
      <w:bookmarkEnd w:id="6352"/>
      <w:bookmarkEnd w:id="6353"/>
      <w:bookmarkEnd w:id="6354"/>
      <w:bookmarkEnd w:id="6355"/>
      <w:bookmarkEnd w:id="6356"/>
      <w:bookmarkEnd w:id="6357"/>
      <w:bookmarkEnd w:id="6358"/>
      <w:bookmarkEnd w:id="6359"/>
      <w:bookmarkEnd w:id="6360"/>
      <w:bookmarkEnd w:id="6361"/>
      <w:bookmarkEnd w:id="6362"/>
      <w:bookmarkEnd w:id="6363"/>
      <w:bookmarkEnd w:id="6364"/>
      <w:bookmarkEnd w:id="6365"/>
      <w:bookmarkEnd w:id="6366"/>
      <w:bookmarkEnd w:id="6367"/>
      <w:bookmarkEnd w:id="6368"/>
      <w:bookmarkEnd w:id="6369"/>
      <w:bookmarkEnd w:id="6370"/>
      <w:bookmarkEnd w:id="6371"/>
      <w:bookmarkEnd w:id="6372"/>
      <w:bookmarkEnd w:id="6373"/>
      <w:bookmarkEnd w:id="6374"/>
      <w:bookmarkEnd w:id="6375"/>
      <w:bookmarkEnd w:id="6376"/>
      <w:bookmarkEnd w:id="6377"/>
      <w:bookmarkEnd w:id="6378"/>
      <w:bookmarkEnd w:id="6379"/>
      <w:bookmarkEnd w:id="6380"/>
      <w:bookmarkEnd w:id="6381"/>
      <w:bookmarkEnd w:id="6382"/>
      <w:bookmarkEnd w:id="6383"/>
      <w:bookmarkEnd w:id="6384"/>
      <w:bookmarkEnd w:id="6385"/>
      <w:bookmarkEnd w:id="6386"/>
      <w:bookmarkEnd w:id="6387"/>
      <w:bookmarkEnd w:id="6388"/>
      <w:bookmarkEnd w:id="6389"/>
      <w:bookmarkEnd w:id="6390"/>
      <w:bookmarkEnd w:id="6391"/>
      <w:bookmarkEnd w:id="6392"/>
      <w:bookmarkEnd w:id="6393"/>
      <w:bookmarkEnd w:id="6394"/>
      <w:bookmarkEnd w:id="6395"/>
      <w:bookmarkEnd w:id="6396"/>
      <w:bookmarkEnd w:id="6397"/>
      <w:bookmarkEnd w:id="6398"/>
      <w:bookmarkEnd w:id="6399"/>
    </w:p>
    <w:p>
      <w:pPr>
        <w:pStyle w:val="yHeading3"/>
      </w:pPr>
      <w:bookmarkStart w:id="6400" w:name="_Toc189988163"/>
      <w:bookmarkStart w:id="6401" w:name="_Toc192041746"/>
      <w:bookmarkStart w:id="6402" w:name="_Toc199570980"/>
      <w:bookmarkStart w:id="6403" w:name="_Toc199738978"/>
      <w:bookmarkStart w:id="6404" w:name="_Toc199815079"/>
      <w:bookmarkStart w:id="6405" w:name="_Toc215040886"/>
      <w:bookmarkStart w:id="6406" w:name="_Toc215041331"/>
      <w:bookmarkStart w:id="6407" w:name="_Toc222129539"/>
      <w:bookmarkStart w:id="6408" w:name="_Toc222223244"/>
      <w:bookmarkStart w:id="6409" w:name="_Toc225914496"/>
      <w:bookmarkStart w:id="6410" w:name="_Toc231282541"/>
      <w:bookmarkStart w:id="6411" w:name="_Toc231282985"/>
      <w:bookmarkStart w:id="6412" w:name="_Toc234899575"/>
      <w:bookmarkStart w:id="6413" w:name="_Toc236632857"/>
      <w:bookmarkStart w:id="6414" w:name="_Toc236720470"/>
      <w:bookmarkStart w:id="6415" w:name="_Toc237764669"/>
      <w:bookmarkStart w:id="6416" w:name="_Toc238356293"/>
      <w:bookmarkStart w:id="6417" w:name="_Toc238368998"/>
      <w:bookmarkStart w:id="6418" w:name="_Toc238375951"/>
      <w:bookmarkStart w:id="6419" w:name="_Toc240339275"/>
      <w:bookmarkStart w:id="6420" w:name="_Toc241993781"/>
      <w:bookmarkStart w:id="6421" w:name="_Toc243192924"/>
      <w:bookmarkStart w:id="6422" w:name="_Toc243295626"/>
      <w:bookmarkStart w:id="6423" w:name="_Toc245113199"/>
      <w:bookmarkStart w:id="6424" w:name="_Toc245198361"/>
      <w:bookmarkStart w:id="6425" w:name="_Toc245198810"/>
      <w:bookmarkStart w:id="6426" w:name="_Toc245199259"/>
      <w:bookmarkStart w:id="6427" w:name="_Toc248122290"/>
      <w:bookmarkStart w:id="6428" w:name="_Toc248122741"/>
      <w:bookmarkStart w:id="6429" w:name="_Toc253670728"/>
      <w:bookmarkStart w:id="6430" w:name="_Toc253671178"/>
      <w:bookmarkStart w:id="6431" w:name="_Toc254942952"/>
      <w:bookmarkStart w:id="6432" w:name="_Toc254943405"/>
      <w:bookmarkStart w:id="6433" w:name="_Toc255475997"/>
      <w:bookmarkStart w:id="6434" w:name="_Toc256432318"/>
      <w:bookmarkStart w:id="6435" w:name="_Toc257720655"/>
      <w:bookmarkStart w:id="6436" w:name="_Toc257722337"/>
      <w:bookmarkStart w:id="6437" w:name="_Toc258336013"/>
      <w:bookmarkStart w:id="6438" w:name="_Toc260406455"/>
      <w:bookmarkStart w:id="6439" w:name="_Toc261271641"/>
      <w:bookmarkStart w:id="6440" w:name="_Toc262808323"/>
      <w:bookmarkStart w:id="6441" w:name="_Toc267572716"/>
      <w:bookmarkStart w:id="6442" w:name="_Toc270684465"/>
      <w:bookmarkStart w:id="6443" w:name="_Toc274214642"/>
      <w:bookmarkStart w:id="6444" w:name="_Toc274215091"/>
      <w:bookmarkStart w:id="6445" w:name="_Toc278976422"/>
      <w:bookmarkStart w:id="6446" w:name="_Toc286760743"/>
      <w:bookmarkStart w:id="6447" w:name="_Toc289081088"/>
      <w:bookmarkStart w:id="6448" w:name="_Toc290284282"/>
      <w:bookmarkStart w:id="6449" w:name="_Toc290643103"/>
      <w:bookmarkStart w:id="6450" w:name="_Toc290643552"/>
      <w:bookmarkStart w:id="6451" w:name="_Toc290644005"/>
      <w:bookmarkStart w:id="6452" w:name="_Toc294701822"/>
      <w:bookmarkStart w:id="6453" w:name="_Toc295200230"/>
      <w:bookmarkStart w:id="6454" w:name="_Toc296954671"/>
      <w:bookmarkStart w:id="6455" w:name="_Toc297276306"/>
      <w:bookmarkStart w:id="6456" w:name="_Toc297276758"/>
      <w:bookmarkStart w:id="6457" w:name="_Toc297277208"/>
      <w:bookmarkStart w:id="6458" w:name="_Toc297726577"/>
      <w:bookmarkStart w:id="6459" w:name="_Toc299980363"/>
      <w:bookmarkStart w:id="6460" w:name="_Toc300234989"/>
      <w:bookmarkStart w:id="6461" w:name="_Toc301961492"/>
      <w:bookmarkStart w:id="6462" w:name="_Toc301967062"/>
      <w:bookmarkStart w:id="6463" w:name="_Toc303253271"/>
      <w:bookmarkStart w:id="6464" w:name="_Toc303257435"/>
      <w:bookmarkStart w:id="6465" w:name="_Toc307993068"/>
      <w:bookmarkStart w:id="6466" w:name="_Toc309030101"/>
      <w:bookmarkStart w:id="6467" w:name="_Toc309304324"/>
      <w:bookmarkStart w:id="6468" w:name="_Toc309309601"/>
      <w:r>
        <w:t>Division 1 — Certain reproducing crustaceans</w:t>
      </w:r>
      <w:bookmarkEnd w:id="6400"/>
      <w:bookmarkEnd w:id="6401"/>
      <w:bookmarkEnd w:id="6402"/>
      <w:bookmarkEnd w:id="6403"/>
      <w:bookmarkEnd w:id="6404"/>
      <w:bookmarkEnd w:id="6405"/>
      <w:bookmarkEnd w:id="6406"/>
      <w:bookmarkEnd w:id="6407"/>
      <w:bookmarkEnd w:id="6408"/>
      <w:bookmarkEnd w:id="6409"/>
      <w:bookmarkEnd w:id="6410"/>
      <w:bookmarkEnd w:id="6411"/>
      <w:bookmarkEnd w:id="6412"/>
      <w:bookmarkEnd w:id="6413"/>
      <w:bookmarkEnd w:id="6414"/>
      <w:bookmarkEnd w:id="6415"/>
      <w:bookmarkEnd w:id="6416"/>
      <w:bookmarkEnd w:id="6417"/>
      <w:bookmarkEnd w:id="6418"/>
      <w:bookmarkEnd w:id="6419"/>
      <w:bookmarkEnd w:id="6420"/>
      <w:bookmarkEnd w:id="6421"/>
      <w:bookmarkEnd w:id="6422"/>
      <w:bookmarkEnd w:id="6423"/>
      <w:bookmarkEnd w:id="6424"/>
      <w:bookmarkEnd w:id="6425"/>
      <w:bookmarkEnd w:id="6426"/>
      <w:bookmarkEnd w:id="6427"/>
      <w:bookmarkEnd w:id="6428"/>
      <w:bookmarkEnd w:id="6429"/>
      <w:bookmarkEnd w:id="6430"/>
      <w:bookmarkEnd w:id="6431"/>
      <w:bookmarkEnd w:id="6432"/>
      <w:bookmarkEnd w:id="6433"/>
      <w:bookmarkEnd w:id="6434"/>
      <w:bookmarkEnd w:id="6435"/>
      <w:bookmarkEnd w:id="6436"/>
      <w:bookmarkEnd w:id="6437"/>
      <w:bookmarkEnd w:id="6438"/>
      <w:bookmarkEnd w:id="6439"/>
      <w:bookmarkEnd w:id="6440"/>
      <w:bookmarkEnd w:id="6441"/>
      <w:bookmarkEnd w:id="6442"/>
      <w:bookmarkEnd w:id="6443"/>
      <w:bookmarkEnd w:id="6444"/>
      <w:bookmarkEnd w:id="6445"/>
      <w:bookmarkEnd w:id="6446"/>
      <w:bookmarkEnd w:id="6447"/>
      <w:bookmarkEnd w:id="6448"/>
      <w:bookmarkEnd w:id="6449"/>
      <w:bookmarkEnd w:id="6450"/>
      <w:bookmarkEnd w:id="6451"/>
      <w:bookmarkEnd w:id="6452"/>
      <w:bookmarkEnd w:id="6453"/>
      <w:bookmarkEnd w:id="6454"/>
      <w:bookmarkEnd w:id="6455"/>
      <w:bookmarkEnd w:id="6456"/>
      <w:bookmarkEnd w:id="6457"/>
      <w:bookmarkEnd w:id="6458"/>
      <w:bookmarkEnd w:id="6459"/>
      <w:bookmarkEnd w:id="6460"/>
      <w:bookmarkEnd w:id="6461"/>
      <w:bookmarkEnd w:id="6462"/>
      <w:bookmarkEnd w:id="6463"/>
      <w:bookmarkEnd w:id="6464"/>
      <w:bookmarkEnd w:id="6465"/>
      <w:bookmarkEnd w:id="6466"/>
      <w:bookmarkEnd w:id="6467"/>
      <w:bookmarkEnd w:id="6468"/>
    </w:p>
    <w:p>
      <w:pPr>
        <w:pStyle w:val="yNumberedItem"/>
        <w:rPr>
          <w:snapToGrid w:val="0"/>
        </w:rPr>
      </w:pPr>
      <w:r>
        <w:rPr>
          <w:snapToGrid w:val="0"/>
        </w:rPr>
        <w:tab/>
        <w:t>Female crab with eggs or spawn attached beneath its body.</w:t>
      </w:r>
    </w:p>
    <w:p>
      <w:pPr>
        <w:pStyle w:val="yNumberedItem"/>
        <w:rPr>
          <w:snapToGrid w:val="0"/>
        </w:rPr>
      </w:pPr>
      <w:r>
        <w:rPr>
          <w:snapToGrid w:val="0"/>
        </w:rPr>
        <w:tab/>
        <w:t>Female marron with eggs, spawn, larvae or young marron attached beneath its body.</w:t>
      </w:r>
    </w:p>
    <w:p>
      <w:pPr>
        <w:pStyle w:val="yNumberedItem"/>
        <w:rPr>
          <w:snapToGrid w:val="0"/>
        </w:rPr>
      </w:pPr>
      <w:r>
        <w:rPr>
          <w:snapToGrid w:val="0"/>
        </w:rPr>
        <w:tab/>
        <w:t>Female rock lobster with eggs or spawn attached beneath its body.</w:t>
      </w:r>
    </w:p>
    <w:p>
      <w:pPr>
        <w:pStyle w:val="yNumberedItem"/>
        <w:rPr>
          <w:snapToGrid w:val="0"/>
        </w:rPr>
      </w:pPr>
      <w:r>
        <w:rPr>
          <w:snapToGrid w:val="0"/>
        </w:rPr>
        <w:tab/>
        <w:t>Setose or tarspot western rock lobster —</w:t>
      </w:r>
    </w:p>
    <w:p>
      <w:pPr>
        <w:pStyle w:val="yIndenta"/>
        <w:rPr>
          <w:snapToGrid w:val="0"/>
        </w:rPr>
      </w:pPr>
      <w:r>
        <w:rPr>
          <w:snapToGrid w:val="0"/>
        </w:rPr>
        <w:tab/>
        <w:t>(a)</w:t>
      </w:r>
      <w:r>
        <w:rPr>
          <w:snapToGrid w:val="0"/>
        </w:rPr>
        <w:tab/>
        <w:t>taken from; or</w:t>
      </w:r>
    </w:p>
    <w:p>
      <w:pPr>
        <w:pStyle w:val="yIndenta"/>
        <w:rPr>
          <w:snapToGrid w:val="0"/>
        </w:rPr>
      </w:pPr>
      <w:r>
        <w:rPr>
          <w:snapToGrid w:val="0"/>
        </w:rPr>
        <w:tab/>
        <w:t>(b)</w:t>
      </w:r>
      <w:r>
        <w:rPr>
          <w:snapToGrid w:val="0"/>
        </w:rPr>
        <w:tab/>
        <w:t>in the possession of, or consigned by, a person on a boat on; or</w:t>
      </w:r>
    </w:p>
    <w:p>
      <w:pPr>
        <w:pStyle w:val="yIndenta"/>
        <w:rPr>
          <w:snapToGrid w:val="0"/>
        </w:rPr>
      </w:pPr>
      <w:r>
        <w:rPr>
          <w:snapToGrid w:val="0"/>
        </w:rPr>
        <w:tab/>
        <w:t>(c)</w:t>
      </w:r>
      <w:r>
        <w:rPr>
          <w:snapToGrid w:val="0"/>
        </w:rPr>
        <w:tab/>
        <w:t>brought onto land from,</w:t>
      </w:r>
    </w:p>
    <w:p>
      <w:pPr>
        <w:pStyle w:val="yNumberedItem"/>
        <w:rPr>
          <w:snapToGrid w:val="0"/>
        </w:rPr>
      </w:pPr>
      <w:r>
        <w:rPr>
          <w:snapToGrid w:val="0"/>
        </w:rPr>
        <w:tab/>
        <w:t>waters south of 21° 44′ south latitude and west of 116° east longitude.</w:t>
      </w:r>
    </w:p>
    <w:p>
      <w:pPr>
        <w:pStyle w:val="yNumberedItem"/>
        <w:keepNext/>
        <w:keepLines/>
        <w:rPr>
          <w:snapToGrid w:val="0"/>
        </w:rPr>
      </w:pPr>
      <w:r>
        <w:rPr>
          <w:snapToGrid w:val="0"/>
        </w:rPr>
        <w:tab/>
        <w:t>In this Division —</w:t>
      </w:r>
    </w:p>
    <w:p>
      <w:pPr>
        <w:pStyle w:val="yDefstart"/>
        <w:keepNext/>
        <w:keepLines/>
      </w:pPr>
      <w:r>
        <w:tab/>
      </w:r>
      <w:r>
        <w:rPr>
          <w:rStyle w:val="CharDefText"/>
          <w:bCs/>
          <w:iCs/>
        </w:rPr>
        <w:t>setose</w:t>
      </w:r>
      <w:r>
        <w:t xml:space="preserve"> means a female rock lobster that has fine hair</w:t>
      </w:r>
      <w:r>
        <w:noBreakHyphen/>
        <w:t>like filaments (</w:t>
      </w:r>
      <w:r>
        <w:rPr>
          <w:i/>
          <w:iCs/>
        </w:rPr>
        <w:t>ovigerous setae</w:t>
      </w:r>
      <w:r>
        <w:t>) —</w:t>
      </w:r>
    </w:p>
    <w:p>
      <w:pPr>
        <w:pStyle w:val="yDefpara"/>
      </w:pPr>
      <w:r>
        <w:tab/>
        <w:t>(a)</w:t>
      </w:r>
      <w:r>
        <w:tab/>
        <w:t>for the attachment of eggs on the branched structures (</w:t>
      </w:r>
      <w:r>
        <w:rPr>
          <w:i/>
          <w:iCs/>
        </w:rPr>
        <w:t>biramous endopodites</w:t>
      </w:r>
      <w:r>
        <w:t>) forming part of the swimmerets (</w:t>
      </w:r>
      <w:r>
        <w:rPr>
          <w:i/>
          <w:iCs/>
        </w:rPr>
        <w:t>pleopods</w:t>
      </w:r>
      <w:r>
        <w:t>) underneath its tail; or</w:t>
      </w:r>
    </w:p>
    <w:p>
      <w:pPr>
        <w:pStyle w:val="yDefpara"/>
      </w:pPr>
      <w:r>
        <w:tab/>
        <w:t>(b)</w:t>
      </w:r>
      <w:r>
        <w:tab/>
        <w:t>that, although not capable of the attachment of eggs as described in paragraph (a), are in the process of lengthening as part of the development of the rock lobster to sexual maturity;</w:t>
      </w:r>
    </w:p>
    <w:p>
      <w:pPr>
        <w:pStyle w:val="yDefstart"/>
      </w:pPr>
      <w:r>
        <w:tab/>
      </w:r>
      <w:r>
        <w:rPr>
          <w:rStyle w:val="CharDefText"/>
          <w:bCs/>
          <w:iCs/>
        </w:rPr>
        <w:t>tarspot</w:t>
      </w:r>
      <w:r>
        <w:t xml:space="preserve"> means a female rock lobster that has a black putty</w:t>
      </w:r>
      <w:r>
        <w:noBreakHyphen/>
        <w:t>like mass (spermatophoric mass) attached to the underside of the carapace (ventral sternal plate) between its hindmost (5th) pair of walking legs.</w:t>
      </w:r>
    </w:p>
    <w:p>
      <w:pPr>
        <w:pStyle w:val="yFootnotesection"/>
      </w:pPr>
      <w:r>
        <w:tab/>
        <w:t>[Division 1 amended in Gazette 22 Dec 1995 p. 6169; 30 Sep 1997 p. 5418; 7 Jul 1998 p. 3614; 8 Sep 2000 p. 5187</w:t>
      </w:r>
      <w:r>
        <w:noBreakHyphen/>
        <w:t>8; 4 Nov 2005 p. 5313.]</w:t>
      </w:r>
    </w:p>
    <w:p>
      <w:pPr>
        <w:pStyle w:val="yHeading3"/>
      </w:pPr>
      <w:bookmarkStart w:id="6469" w:name="_Toc189988164"/>
      <w:bookmarkStart w:id="6470" w:name="_Toc192041747"/>
      <w:bookmarkStart w:id="6471" w:name="_Toc199570981"/>
      <w:bookmarkStart w:id="6472" w:name="_Toc199738979"/>
      <w:bookmarkStart w:id="6473" w:name="_Toc199815080"/>
      <w:bookmarkStart w:id="6474" w:name="_Toc215040887"/>
      <w:bookmarkStart w:id="6475" w:name="_Toc215041332"/>
      <w:bookmarkStart w:id="6476" w:name="_Toc222129540"/>
      <w:bookmarkStart w:id="6477" w:name="_Toc222223245"/>
      <w:bookmarkStart w:id="6478" w:name="_Toc225914497"/>
      <w:bookmarkStart w:id="6479" w:name="_Toc231282542"/>
      <w:bookmarkStart w:id="6480" w:name="_Toc231282986"/>
      <w:bookmarkStart w:id="6481" w:name="_Toc234899576"/>
      <w:bookmarkStart w:id="6482" w:name="_Toc236632858"/>
      <w:bookmarkStart w:id="6483" w:name="_Toc236720471"/>
      <w:bookmarkStart w:id="6484" w:name="_Toc237764670"/>
      <w:bookmarkStart w:id="6485" w:name="_Toc238356294"/>
      <w:bookmarkStart w:id="6486" w:name="_Toc238368999"/>
      <w:bookmarkStart w:id="6487" w:name="_Toc238375952"/>
      <w:bookmarkStart w:id="6488" w:name="_Toc240339276"/>
      <w:bookmarkStart w:id="6489" w:name="_Toc241993782"/>
      <w:bookmarkStart w:id="6490" w:name="_Toc243192925"/>
      <w:bookmarkStart w:id="6491" w:name="_Toc243295627"/>
      <w:bookmarkStart w:id="6492" w:name="_Toc245113200"/>
      <w:bookmarkStart w:id="6493" w:name="_Toc245198362"/>
      <w:bookmarkStart w:id="6494" w:name="_Toc245198811"/>
      <w:bookmarkStart w:id="6495" w:name="_Toc245199260"/>
      <w:bookmarkStart w:id="6496" w:name="_Toc248122291"/>
      <w:bookmarkStart w:id="6497" w:name="_Toc248122742"/>
      <w:bookmarkStart w:id="6498" w:name="_Toc253670729"/>
      <w:bookmarkStart w:id="6499" w:name="_Toc253671179"/>
      <w:bookmarkStart w:id="6500" w:name="_Toc254942953"/>
      <w:bookmarkStart w:id="6501" w:name="_Toc254943406"/>
      <w:bookmarkStart w:id="6502" w:name="_Toc255475998"/>
      <w:bookmarkStart w:id="6503" w:name="_Toc256432319"/>
      <w:bookmarkStart w:id="6504" w:name="_Toc257720656"/>
      <w:bookmarkStart w:id="6505" w:name="_Toc257722338"/>
      <w:bookmarkStart w:id="6506" w:name="_Toc258336014"/>
      <w:bookmarkStart w:id="6507" w:name="_Toc260406456"/>
      <w:bookmarkStart w:id="6508" w:name="_Toc261271642"/>
      <w:bookmarkStart w:id="6509" w:name="_Toc262808324"/>
      <w:bookmarkStart w:id="6510" w:name="_Toc267572717"/>
      <w:bookmarkStart w:id="6511" w:name="_Toc270684466"/>
      <w:bookmarkStart w:id="6512" w:name="_Toc274214643"/>
      <w:bookmarkStart w:id="6513" w:name="_Toc274215092"/>
      <w:bookmarkStart w:id="6514" w:name="_Toc278976423"/>
      <w:bookmarkStart w:id="6515" w:name="_Toc286760744"/>
      <w:bookmarkStart w:id="6516" w:name="_Toc289081089"/>
      <w:bookmarkStart w:id="6517" w:name="_Toc290284283"/>
      <w:bookmarkStart w:id="6518" w:name="_Toc290643104"/>
      <w:bookmarkStart w:id="6519" w:name="_Toc290643553"/>
      <w:bookmarkStart w:id="6520" w:name="_Toc290644006"/>
      <w:bookmarkStart w:id="6521" w:name="_Toc294701823"/>
      <w:bookmarkStart w:id="6522" w:name="_Toc295200231"/>
      <w:bookmarkStart w:id="6523" w:name="_Toc296954672"/>
      <w:bookmarkStart w:id="6524" w:name="_Toc297276307"/>
      <w:bookmarkStart w:id="6525" w:name="_Toc297276759"/>
      <w:bookmarkStart w:id="6526" w:name="_Toc297277209"/>
      <w:bookmarkStart w:id="6527" w:name="_Toc297726578"/>
      <w:bookmarkStart w:id="6528" w:name="_Toc299980364"/>
      <w:bookmarkStart w:id="6529" w:name="_Toc300234990"/>
      <w:bookmarkStart w:id="6530" w:name="_Toc301961493"/>
      <w:bookmarkStart w:id="6531" w:name="_Toc301967063"/>
      <w:bookmarkStart w:id="6532" w:name="_Toc303253272"/>
      <w:bookmarkStart w:id="6533" w:name="_Toc303257436"/>
      <w:bookmarkStart w:id="6534" w:name="_Toc307993069"/>
      <w:bookmarkStart w:id="6535" w:name="_Toc309030102"/>
      <w:bookmarkStart w:id="6536" w:name="_Toc309304325"/>
      <w:bookmarkStart w:id="6537" w:name="_Toc309309602"/>
      <w:r>
        <w:t>Division 2 — Miscellaneous</w:t>
      </w:r>
      <w:bookmarkEnd w:id="6469"/>
      <w:bookmarkEnd w:id="6470"/>
      <w:bookmarkEnd w:id="6471"/>
      <w:bookmarkEnd w:id="6472"/>
      <w:bookmarkEnd w:id="6473"/>
      <w:bookmarkEnd w:id="6474"/>
      <w:bookmarkEnd w:id="6475"/>
      <w:bookmarkEnd w:id="6476"/>
      <w:bookmarkEnd w:id="6477"/>
      <w:bookmarkEnd w:id="6478"/>
      <w:bookmarkEnd w:id="6479"/>
      <w:bookmarkEnd w:id="6480"/>
      <w:bookmarkEnd w:id="6481"/>
      <w:bookmarkEnd w:id="6482"/>
      <w:bookmarkEnd w:id="6483"/>
      <w:bookmarkEnd w:id="6484"/>
      <w:bookmarkEnd w:id="6485"/>
      <w:bookmarkEnd w:id="6486"/>
      <w:bookmarkEnd w:id="6487"/>
      <w:bookmarkEnd w:id="6488"/>
      <w:bookmarkEnd w:id="6489"/>
      <w:bookmarkEnd w:id="6490"/>
      <w:bookmarkEnd w:id="6491"/>
      <w:bookmarkEnd w:id="6492"/>
      <w:bookmarkEnd w:id="6493"/>
      <w:bookmarkEnd w:id="6494"/>
      <w:bookmarkEnd w:id="6495"/>
      <w:bookmarkEnd w:id="6496"/>
      <w:bookmarkEnd w:id="6497"/>
      <w:bookmarkEnd w:id="6498"/>
      <w:bookmarkEnd w:id="6499"/>
      <w:bookmarkEnd w:id="6500"/>
      <w:bookmarkEnd w:id="6501"/>
      <w:bookmarkEnd w:id="6502"/>
      <w:bookmarkEnd w:id="6503"/>
      <w:bookmarkEnd w:id="6504"/>
      <w:bookmarkEnd w:id="6505"/>
      <w:bookmarkEnd w:id="6506"/>
      <w:bookmarkEnd w:id="6507"/>
      <w:bookmarkEnd w:id="6508"/>
      <w:bookmarkEnd w:id="6509"/>
      <w:bookmarkEnd w:id="6510"/>
      <w:bookmarkEnd w:id="6511"/>
      <w:bookmarkEnd w:id="6512"/>
      <w:bookmarkEnd w:id="6513"/>
      <w:bookmarkEnd w:id="6514"/>
      <w:bookmarkEnd w:id="6515"/>
      <w:bookmarkEnd w:id="6516"/>
      <w:bookmarkEnd w:id="6517"/>
      <w:bookmarkEnd w:id="6518"/>
      <w:bookmarkEnd w:id="6519"/>
      <w:bookmarkEnd w:id="6520"/>
      <w:bookmarkEnd w:id="6521"/>
      <w:bookmarkEnd w:id="6522"/>
      <w:bookmarkEnd w:id="6523"/>
      <w:bookmarkEnd w:id="6524"/>
      <w:bookmarkEnd w:id="6525"/>
      <w:bookmarkEnd w:id="6526"/>
      <w:bookmarkEnd w:id="6527"/>
      <w:bookmarkEnd w:id="6528"/>
      <w:bookmarkEnd w:id="6529"/>
      <w:bookmarkEnd w:id="6530"/>
      <w:bookmarkEnd w:id="6531"/>
      <w:bookmarkEnd w:id="6532"/>
      <w:bookmarkEnd w:id="6533"/>
      <w:bookmarkEnd w:id="6534"/>
      <w:bookmarkEnd w:id="6535"/>
      <w:bookmarkEnd w:id="6536"/>
      <w:bookmarkEnd w:id="6537"/>
    </w:p>
    <w:p>
      <w:pPr>
        <w:pStyle w:val="yNumberedItem"/>
        <w:keepNext/>
        <w:keepLines/>
        <w:rPr>
          <w:snapToGrid w:val="0"/>
        </w:rPr>
      </w:pPr>
      <w:r>
        <w:rPr>
          <w:snapToGrid w:val="0"/>
        </w:rPr>
        <w:tab/>
        <w:t>Abalone in the waters or land between 31° 59.48′ south latitude (the main Cottesloe Groyne) and 32° 03.15′ south latitude (Rous Head) and —</w:t>
      </w:r>
    </w:p>
    <w:p>
      <w:pPr>
        <w:pStyle w:val="yIndenta"/>
      </w:pPr>
      <w:r>
        <w:tab/>
        <w:t>(a)</w:t>
      </w:r>
      <w:r>
        <w:tab/>
        <w:t>within 800 m of, and on the seaward side of, the high water mark; or</w:t>
      </w:r>
    </w:p>
    <w:p>
      <w:pPr>
        <w:pStyle w:val="yIndenta"/>
      </w:pPr>
      <w:r>
        <w:tab/>
        <w:t>(b)</w:t>
      </w:r>
      <w:r>
        <w:tab/>
        <w:t>within 200 m of, and on the landward side of, the high water mark.</w:t>
      </w:r>
    </w:p>
    <w:p>
      <w:pPr>
        <w:pStyle w:val="yNumberedItem"/>
        <w:rPr>
          <w:snapToGrid w:val="0"/>
        </w:rPr>
      </w:pPr>
      <w:r>
        <w:rPr>
          <w:snapToGrid w:val="0"/>
        </w:rPr>
        <w:tab/>
        <w:t xml:space="preserve">Cod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rPr>
          <w:snapToGrid w:val="0"/>
        </w:rPr>
      </w:pPr>
      <w:r>
        <w:rPr>
          <w:snapToGrid w:val="0"/>
        </w:rPr>
        <w:tab/>
        <w:t xml:space="preserve">Coral of the </w:t>
      </w:r>
      <w:r>
        <w:rPr>
          <w:snapToGrid w:val="0"/>
          <w:u w:val="single"/>
        </w:rPr>
        <w:t>Order</w:t>
      </w:r>
      <w:r>
        <w:rPr>
          <w:snapToGrid w:val="0"/>
        </w:rPr>
        <w:t xml:space="preserve"> Scleractinia in any waters within 3 000 m in any direction of the service jetty near the end of </w:t>
      </w:r>
      <w:smartTag w:uri="urn:schemas-microsoft-com:office:smarttags" w:element="Street">
        <w:smartTag w:uri="urn:schemas-microsoft-com:office:smarttags" w:element="address">
          <w:r>
            <w:rPr>
              <w:snapToGrid w:val="0"/>
            </w:rPr>
            <w:t>Port Street</w:t>
          </w:r>
        </w:smartTag>
      </w:smartTag>
      <w:r>
        <w:rPr>
          <w:snapToGrid w:val="0"/>
        </w:rPr>
        <w:t xml:space="preserve"> in Port Gregory.</w:t>
      </w:r>
    </w:p>
    <w:p>
      <w:pPr>
        <w:pStyle w:val="yNumberedItem"/>
        <w:rPr>
          <w:snapToGrid w:val="0"/>
        </w:rPr>
      </w:pPr>
      <w:r>
        <w:rPr>
          <w:snapToGrid w:val="0"/>
        </w:rPr>
        <w:tab/>
        <w:t xml:space="preserve">Fish of </w:t>
      </w:r>
      <w:r>
        <w:rPr>
          <w:snapToGrid w:val="0"/>
          <w:u w:val="single"/>
        </w:rPr>
        <w:t>Class</w:t>
      </w:r>
      <w:r>
        <w:rPr>
          <w:snapToGrid w:val="0"/>
        </w:rPr>
        <w:t xml:space="preserve"> Anthozoa and </w:t>
      </w:r>
      <w:r>
        <w:rPr>
          <w:snapToGrid w:val="0"/>
          <w:u w:val="single"/>
        </w:rPr>
        <w:t>Class</w:t>
      </w:r>
      <w:r>
        <w:rPr>
          <w:snapToGrid w:val="0"/>
        </w:rPr>
        <w:t xml:space="preserve"> Hydrozoa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rPr>
          <w:snapToGrid w:val="0"/>
        </w:rPr>
      </w:pPr>
      <w:r>
        <w:rPr>
          <w:snapToGrid w:val="0"/>
        </w:rPr>
        <w:tab/>
        <w:t>Great White Shark.</w:t>
      </w:r>
    </w:p>
    <w:p>
      <w:pPr>
        <w:pStyle w:val="yNumberedItem"/>
        <w:rPr>
          <w:snapToGrid w:val="0"/>
        </w:rPr>
      </w:pPr>
      <w:r>
        <w:rPr>
          <w:snapToGrid w:val="0"/>
        </w:rPr>
        <w:tab/>
        <w:t xml:space="preserve">Groper, </w:t>
      </w:r>
      <w:smartTag w:uri="urn:schemas-microsoft-com:office:smarttags" w:element="place">
        <w:smartTag w:uri="urn:schemas-microsoft-com:office:smarttags" w:element="State">
          <w:r>
            <w:rPr>
              <w:snapToGrid w:val="0"/>
            </w:rPr>
            <w:t>Queensland</w:t>
          </w:r>
        </w:smartTag>
      </w:smartTag>
      <w:r>
        <w:rPr>
          <w:snapToGrid w:val="0"/>
        </w:rPr>
        <w:t>.</w:t>
      </w:r>
    </w:p>
    <w:p>
      <w:pPr>
        <w:pStyle w:val="yNumberedItem"/>
        <w:rPr>
          <w:snapToGrid w:val="0"/>
        </w:rPr>
      </w:pPr>
      <w:r>
        <w:rPr>
          <w:snapToGrid w:val="0"/>
        </w:rPr>
        <w:tab/>
        <w:t>Humphead Maori Wrasse.</w:t>
      </w:r>
    </w:p>
    <w:p>
      <w:pPr>
        <w:pStyle w:val="yNumberedItem"/>
        <w:keepNext/>
        <w:keepLines/>
        <w:rPr>
          <w:snapToGrid w:val="0"/>
        </w:rPr>
      </w:pPr>
      <w:r>
        <w:rPr>
          <w:snapToGrid w:val="0"/>
        </w:rPr>
        <w:tab/>
        <w:t xml:space="preserve">Live coral of the </w:t>
      </w:r>
      <w:r>
        <w:rPr>
          <w:snapToGrid w:val="0"/>
          <w:u w:val="single"/>
        </w:rPr>
        <w:t>Order</w:t>
      </w:r>
      <w:r>
        <w:rPr>
          <w:snapToGrid w:val="0"/>
        </w:rPr>
        <w:t xml:space="preserve"> Scleractinia in the waters bounded by a line commencing from the intersection of 27° 30′ south latitude and 112° 50′ east longitude and extending in an easterly direction to the intersection of 27° 30′ south latitude and 113° 37′ east longitude; thence southeasterly to the intersection of 28° 45′ south latitude and 114° 09′ 52.18″ east longitude; thence southeasterly to the intersection of 29° 30′ south latitude and 114° 30′ east longitude; thence west to 112° 50′ east longitude; thence north to the starting point.</w:t>
      </w:r>
    </w:p>
    <w:p>
      <w:pPr>
        <w:pStyle w:val="yNumberedItem"/>
        <w:keepNext/>
        <w:keepLines/>
        <w:rPr>
          <w:snapToGrid w:val="0"/>
        </w:rPr>
      </w:pPr>
      <w:r>
        <w:rPr>
          <w:snapToGrid w:val="0"/>
        </w:rPr>
        <w:tab/>
        <w:t>Leafy Seadragon.</w:t>
      </w:r>
    </w:p>
    <w:p>
      <w:pPr>
        <w:pStyle w:val="yNumberedItem"/>
        <w:keepNext/>
        <w:keepLines/>
        <w:rPr>
          <w:snapToGrid w:val="0"/>
        </w:rPr>
      </w:pPr>
      <w:r>
        <w:rPr>
          <w:snapToGrid w:val="0"/>
        </w:rPr>
        <w:tab/>
        <w:t xml:space="preserve">Molluscs, other than cuttlefish, squid and octopus,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keepNext/>
        <w:keepLines/>
        <w:rPr>
          <w:snapToGrid w:val="0"/>
        </w:rPr>
      </w:pPr>
      <w:r>
        <w:rPr>
          <w:snapToGrid w:val="0"/>
        </w:rPr>
        <w:tab/>
        <w:t>Potato Cod.</w:t>
      </w:r>
    </w:p>
    <w:p>
      <w:pPr>
        <w:pStyle w:val="yNumberedItem"/>
        <w:keepNext/>
        <w:keepLines/>
        <w:rPr>
          <w:snapToGrid w:val="0"/>
        </w:rPr>
      </w:pPr>
      <w:r>
        <w:rPr>
          <w:snapToGrid w:val="0"/>
        </w:rPr>
        <w:tab/>
        <w:t>Rock Lobster tail weighing less than 140 g.</w:t>
      </w:r>
    </w:p>
    <w:p>
      <w:pPr>
        <w:pStyle w:val="yNumberedItem"/>
        <w:keepNext/>
        <w:keepLines/>
        <w:rPr>
          <w:snapToGrid w:val="0"/>
        </w:rPr>
      </w:pPr>
      <w:r>
        <w:rPr>
          <w:snapToGrid w:val="0"/>
        </w:rPr>
        <w:tab/>
        <w:t>Sawfish.</w:t>
      </w:r>
    </w:p>
    <w:p>
      <w:pPr>
        <w:pStyle w:val="yNumberedItem"/>
        <w:keepNext/>
        <w:keepLines/>
        <w:rPr>
          <w:snapToGrid w:val="0"/>
        </w:rPr>
      </w:pPr>
      <w:r>
        <w:rPr>
          <w:snapToGrid w:val="0"/>
        </w:rPr>
        <w:tab/>
        <w:t>Shark, Speartooth.</w:t>
      </w:r>
    </w:p>
    <w:p>
      <w:pPr>
        <w:pStyle w:val="yNumberedItem"/>
        <w:keepNext/>
        <w:keepLines/>
        <w:rPr>
          <w:snapToGrid w:val="0"/>
        </w:rPr>
      </w:pPr>
      <w:r>
        <w:rPr>
          <w:snapToGrid w:val="0"/>
        </w:rPr>
        <w:tab/>
        <w:t>Shark, Whaler —</w:t>
      </w:r>
    </w:p>
    <w:p>
      <w:pPr>
        <w:pStyle w:val="yIndenta"/>
        <w:rPr>
          <w:snapToGrid w:val="0"/>
        </w:rPr>
      </w:pPr>
      <w:r>
        <w:tab/>
        <w:t>(a)</w:t>
      </w:r>
      <w:r>
        <w:tab/>
      </w:r>
      <w:r>
        <w:rPr>
          <w:snapToGrid w:val="0"/>
        </w:rPr>
        <w:t>taken from the waters of —</w:t>
      </w:r>
    </w:p>
    <w:p>
      <w:pPr>
        <w:pStyle w:val="yIndenti0"/>
      </w:pPr>
      <w:r>
        <w:tab/>
        <w:t>(i)</w:t>
      </w:r>
      <w:r>
        <w:tab/>
        <w:t xml:space="preserve">the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 or</w:t>
      </w:r>
    </w:p>
    <w:p>
      <w:pPr>
        <w:pStyle w:val="yIndenti0"/>
      </w:pPr>
      <w:r>
        <w:tab/>
        <w:t>(ii)</w:t>
      </w:r>
      <w:r>
        <w:tab/>
        <w:t>the West Coast Region;</w:t>
      </w:r>
    </w:p>
    <w:p>
      <w:pPr>
        <w:pStyle w:val="yIndenta"/>
      </w:pPr>
      <w:r>
        <w:tab/>
      </w:r>
      <w:r>
        <w:tab/>
        <w:t>and</w:t>
      </w:r>
    </w:p>
    <w:p>
      <w:pPr>
        <w:pStyle w:val="yIndenta"/>
      </w:pPr>
      <w:r>
        <w:tab/>
        <w:t>(b)</w:t>
      </w:r>
      <w:r>
        <w:tab/>
        <w:t>with an interdorsal fin length of 70 cm or greater.</w:t>
      </w:r>
    </w:p>
    <w:p>
      <w:pPr>
        <w:pStyle w:val="yNumberedItem"/>
        <w:keepNext/>
        <w:keepLines/>
        <w:rPr>
          <w:szCs w:val="22"/>
        </w:rPr>
      </w:pPr>
      <w:r>
        <w:rPr>
          <w:snapToGrid w:val="0"/>
        </w:rPr>
        <w:tab/>
      </w:r>
      <w:r>
        <w:rPr>
          <w:szCs w:val="22"/>
        </w:rPr>
        <w:t>Weedy Seadragon.</w:t>
      </w:r>
    </w:p>
    <w:p>
      <w:pPr>
        <w:pStyle w:val="yNumberedItem"/>
        <w:keepNext/>
        <w:keepLines/>
        <w:rPr>
          <w:snapToGrid w:val="0"/>
        </w:rPr>
      </w:pPr>
      <w:r>
        <w:rPr>
          <w:szCs w:val="22"/>
        </w:rPr>
        <w:tab/>
      </w:r>
      <w:r>
        <w:rPr>
          <w:snapToGrid w:val="0"/>
        </w:rPr>
        <w:t>Whale Shark.</w:t>
      </w:r>
    </w:p>
    <w:p>
      <w:pPr>
        <w:pStyle w:val="yNumberedItem"/>
        <w:keepNext/>
        <w:keepLines/>
        <w:rPr>
          <w:snapToGrid w:val="0"/>
        </w:rPr>
      </w:pPr>
      <w:r>
        <w:rPr>
          <w:snapToGrid w:val="0"/>
        </w:rPr>
        <w:tab/>
        <w:t xml:space="preserve">Wrasse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keepNext/>
        <w:keepLines/>
        <w:rPr>
          <w:snapToGrid w:val="0"/>
        </w:rPr>
      </w:pPr>
      <w:r>
        <w:rPr>
          <w:snapToGrid w:val="0"/>
        </w:rPr>
        <w:tab/>
        <w:t>In this Division —</w:t>
      </w:r>
    </w:p>
    <w:p>
      <w:pPr>
        <w:pStyle w:val="yDefstart"/>
      </w:pPr>
      <w:r>
        <w:tab/>
      </w:r>
      <w:r>
        <w:rPr>
          <w:rStyle w:val="CharDefText"/>
        </w:rPr>
        <w:t>interdorsal fin length</w:t>
      </w:r>
      <w:r>
        <w:t xml:space="preserve"> means the distance between the first and second dorsal fins measured —</w:t>
      </w:r>
    </w:p>
    <w:p>
      <w:pPr>
        <w:pStyle w:val="yDefpara"/>
      </w:pPr>
      <w:r>
        <w:tab/>
        <w:t>(a)</w:t>
      </w:r>
      <w:r>
        <w:tab/>
        <w:t>from —</w:t>
      </w:r>
    </w:p>
    <w:p>
      <w:pPr>
        <w:pStyle w:val="yDefsubpara"/>
      </w:pPr>
      <w:r>
        <w:tab/>
        <w:t>(i)</w:t>
      </w:r>
      <w:r>
        <w:tab/>
        <w:t>the first dorsal fin origin; or</w:t>
      </w:r>
    </w:p>
    <w:p>
      <w:pPr>
        <w:pStyle w:val="yDefsubpara"/>
      </w:pPr>
      <w:r>
        <w:tab/>
        <w:t>(ii)</w:t>
      </w:r>
      <w:r>
        <w:tab/>
        <w:t>if all or part of that fin has been removed so that point of origin cannot be ascertained, the anterior end of the cut made to remove the fin or that part of the fin;</w:t>
      </w:r>
    </w:p>
    <w:p>
      <w:pPr>
        <w:pStyle w:val="yDefpara"/>
        <w:keepNext/>
      </w:pPr>
      <w:r>
        <w:tab/>
        <w:t>(b)</w:t>
      </w:r>
      <w:r>
        <w:tab/>
        <w:t>to —</w:t>
      </w:r>
    </w:p>
    <w:p>
      <w:pPr>
        <w:pStyle w:val="yDefsubpara"/>
      </w:pPr>
      <w:r>
        <w:tab/>
        <w:t>(i)</w:t>
      </w:r>
      <w:r>
        <w:tab/>
        <w:t>the second dorsal fin insertion; or</w:t>
      </w:r>
    </w:p>
    <w:p>
      <w:pPr>
        <w:pStyle w:val="yDefsubpara"/>
      </w:pPr>
      <w:r>
        <w:tab/>
        <w:t>(ii)</w:t>
      </w:r>
      <w:r>
        <w:tab/>
        <w:t>if all or part of that fin has been removed so that point of insertion cannot be ascertained, the posterior end of the cut made to remove the fin or that part of the fin;</w:t>
      </w:r>
    </w:p>
    <w:p>
      <w:pPr>
        <w:pStyle w:val="yDefstart"/>
      </w:pPr>
      <w:r>
        <w:tab/>
      </w:r>
      <w:r>
        <w:rPr>
          <w:rStyle w:val="CharDefText"/>
        </w:rPr>
        <w:t>Rowley Shoals Marine Park</w:t>
      </w:r>
      <w:r>
        <w:t xml:space="preserve"> means all waters reserved under the </w:t>
      </w:r>
      <w:r>
        <w:rPr>
          <w:i/>
        </w:rPr>
        <w:t>Conservation and Land Management Act </w:t>
      </w:r>
      <w:r>
        <w:rPr>
          <w:i/>
          <w:iCs/>
        </w:rPr>
        <w:t>1984</w:t>
      </w:r>
      <w:r>
        <w:t xml:space="preserve"> section 13 as Class “A” Marine Reserve No. 3, </w:t>
      </w:r>
      <w:smartTag w:uri="urn:schemas-microsoft-com:office:smarttags" w:element="place">
        <w:smartTag w:uri="urn:schemas-microsoft-com:office:smarttags" w:element="PlaceName">
          <w:r>
            <w:t>Rowley</w:t>
          </w:r>
        </w:smartTag>
        <w:r>
          <w:t xml:space="preserve"> </w:t>
        </w:r>
        <w:smartTag w:uri="urn:schemas-microsoft-com:office:smarttags" w:element="PlaceName">
          <w:r>
            <w:t>Shoals</w:t>
          </w:r>
        </w:smartTag>
        <w:r>
          <w:t xml:space="preserve"> </w:t>
        </w:r>
        <w:smartTag w:uri="urn:schemas-microsoft-com:office:smarttags" w:element="PlaceName">
          <w:r>
            <w:t>Marine</w:t>
          </w:r>
        </w:smartTag>
        <w:r>
          <w:t xml:space="preserve"> </w:t>
        </w:r>
        <w:smartTag w:uri="urn:schemas-microsoft-com:office:smarttags" w:element="PlaceType">
          <w:r>
            <w:t>Park</w:t>
          </w:r>
        </w:smartTag>
      </w:smartTag>
      <w:r>
        <w:t>.</w:t>
      </w:r>
    </w:p>
    <w:p>
      <w:pPr>
        <w:pStyle w:val="yFootnotesection"/>
      </w:pPr>
      <w:r>
        <w:tab/>
        <w:t>[Division 2 amended in Gazette 5 Dec 1997 p. 7123; 19 Jun 1998 p. 3264; 13 Aug 1999 p. 3827; 28 Nov 2003 p. 4776; 22 Dec 2005 p. 6228; 13 Feb 2009 p. 299; 24 Aug 2011 p. 3408.]</w:t>
      </w:r>
    </w:p>
    <w:p>
      <w:pPr>
        <w:pStyle w:val="yHeading3"/>
      </w:pPr>
      <w:bookmarkStart w:id="6538" w:name="_Toc189988165"/>
      <w:bookmarkStart w:id="6539" w:name="_Toc192041748"/>
      <w:bookmarkStart w:id="6540" w:name="_Toc199570982"/>
      <w:bookmarkStart w:id="6541" w:name="_Toc199738980"/>
      <w:bookmarkStart w:id="6542" w:name="_Toc199815081"/>
      <w:bookmarkStart w:id="6543" w:name="_Toc215040888"/>
      <w:bookmarkStart w:id="6544" w:name="_Toc215041333"/>
      <w:bookmarkStart w:id="6545" w:name="_Toc222129541"/>
      <w:bookmarkStart w:id="6546" w:name="_Toc222223246"/>
      <w:bookmarkStart w:id="6547" w:name="_Toc225914498"/>
      <w:bookmarkStart w:id="6548" w:name="_Toc231282543"/>
      <w:bookmarkStart w:id="6549" w:name="_Toc231282987"/>
      <w:bookmarkStart w:id="6550" w:name="_Toc234899577"/>
      <w:bookmarkStart w:id="6551" w:name="_Toc236632859"/>
      <w:bookmarkStart w:id="6552" w:name="_Toc236720472"/>
      <w:bookmarkStart w:id="6553" w:name="_Toc237764671"/>
      <w:bookmarkStart w:id="6554" w:name="_Toc238356295"/>
      <w:bookmarkStart w:id="6555" w:name="_Toc238369000"/>
      <w:bookmarkStart w:id="6556" w:name="_Toc238375953"/>
      <w:bookmarkStart w:id="6557" w:name="_Toc240339277"/>
      <w:bookmarkStart w:id="6558" w:name="_Toc241993783"/>
      <w:bookmarkStart w:id="6559" w:name="_Toc243192926"/>
      <w:bookmarkStart w:id="6560" w:name="_Toc243295628"/>
      <w:bookmarkStart w:id="6561" w:name="_Toc245113201"/>
      <w:bookmarkStart w:id="6562" w:name="_Toc245198363"/>
      <w:bookmarkStart w:id="6563" w:name="_Toc245198812"/>
      <w:bookmarkStart w:id="6564" w:name="_Toc245199261"/>
      <w:bookmarkStart w:id="6565" w:name="_Toc248122292"/>
      <w:bookmarkStart w:id="6566" w:name="_Toc248122743"/>
      <w:bookmarkStart w:id="6567" w:name="_Toc253670730"/>
      <w:bookmarkStart w:id="6568" w:name="_Toc253671180"/>
      <w:bookmarkStart w:id="6569" w:name="_Toc254942954"/>
      <w:bookmarkStart w:id="6570" w:name="_Toc254943407"/>
      <w:bookmarkStart w:id="6571" w:name="_Toc255475999"/>
      <w:bookmarkStart w:id="6572" w:name="_Toc256432320"/>
      <w:bookmarkStart w:id="6573" w:name="_Toc257720657"/>
      <w:bookmarkStart w:id="6574" w:name="_Toc257722339"/>
      <w:bookmarkStart w:id="6575" w:name="_Toc258336015"/>
      <w:bookmarkStart w:id="6576" w:name="_Toc260406457"/>
      <w:bookmarkStart w:id="6577" w:name="_Toc261271643"/>
      <w:bookmarkStart w:id="6578" w:name="_Toc262808325"/>
      <w:bookmarkStart w:id="6579" w:name="_Toc267572718"/>
      <w:bookmarkStart w:id="6580" w:name="_Toc270684467"/>
      <w:bookmarkStart w:id="6581" w:name="_Toc274214644"/>
      <w:bookmarkStart w:id="6582" w:name="_Toc274215093"/>
      <w:bookmarkStart w:id="6583" w:name="_Toc278976424"/>
      <w:bookmarkStart w:id="6584" w:name="_Toc286760745"/>
      <w:bookmarkStart w:id="6585" w:name="_Toc289081090"/>
      <w:bookmarkStart w:id="6586" w:name="_Toc290284284"/>
      <w:bookmarkStart w:id="6587" w:name="_Toc290643105"/>
      <w:bookmarkStart w:id="6588" w:name="_Toc290643554"/>
      <w:bookmarkStart w:id="6589" w:name="_Toc290644007"/>
      <w:bookmarkStart w:id="6590" w:name="_Toc294701824"/>
      <w:bookmarkStart w:id="6591" w:name="_Toc295200232"/>
      <w:bookmarkStart w:id="6592" w:name="_Toc296954673"/>
      <w:bookmarkStart w:id="6593" w:name="_Toc297276308"/>
      <w:bookmarkStart w:id="6594" w:name="_Toc297276760"/>
      <w:bookmarkStart w:id="6595" w:name="_Toc297277210"/>
      <w:bookmarkStart w:id="6596" w:name="_Toc297726579"/>
      <w:bookmarkStart w:id="6597" w:name="_Toc299980365"/>
      <w:bookmarkStart w:id="6598" w:name="_Toc300234991"/>
      <w:bookmarkStart w:id="6599" w:name="_Toc301961494"/>
      <w:bookmarkStart w:id="6600" w:name="_Toc301967064"/>
      <w:bookmarkStart w:id="6601" w:name="_Toc303253273"/>
      <w:bookmarkStart w:id="6602" w:name="_Toc303257437"/>
      <w:bookmarkStart w:id="6603" w:name="_Toc307993070"/>
      <w:bookmarkStart w:id="6604" w:name="_Toc309030103"/>
      <w:bookmarkStart w:id="6605" w:name="_Toc309304326"/>
      <w:bookmarkStart w:id="6606" w:name="_Toc309309603"/>
      <w:r>
        <w:t>Division 3 — Marine or fluvio</w:t>
      </w:r>
      <w:r>
        <w:noBreakHyphen/>
        <w:t>marine fish</w:t>
      </w:r>
      <w:bookmarkEnd w:id="6538"/>
      <w:bookmarkEnd w:id="6539"/>
      <w:bookmarkEnd w:id="6540"/>
      <w:bookmarkEnd w:id="6541"/>
      <w:bookmarkEnd w:id="6542"/>
      <w:bookmarkEnd w:id="6543"/>
      <w:bookmarkEnd w:id="6544"/>
      <w:bookmarkEnd w:id="6545"/>
      <w:bookmarkEnd w:id="6546"/>
      <w:bookmarkEnd w:id="6547"/>
      <w:bookmarkEnd w:id="6548"/>
      <w:bookmarkEnd w:id="6549"/>
      <w:bookmarkEnd w:id="6550"/>
      <w:bookmarkEnd w:id="6551"/>
      <w:bookmarkEnd w:id="6552"/>
      <w:bookmarkEnd w:id="6553"/>
      <w:bookmarkEnd w:id="6554"/>
      <w:bookmarkEnd w:id="6555"/>
      <w:bookmarkEnd w:id="6556"/>
      <w:bookmarkEnd w:id="6557"/>
      <w:bookmarkEnd w:id="6558"/>
      <w:bookmarkEnd w:id="6559"/>
      <w:bookmarkEnd w:id="6560"/>
      <w:bookmarkEnd w:id="6561"/>
      <w:bookmarkEnd w:id="6562"/>
      <w:bookmarkEnd w:id="6563"/>
      <w:bookmarkEnd w:id="6564"/>
      <w:bookmarkEnd w:id="6565"/>
      <w:bookmarkEnd w:id="6566"/>
      <w:bookmarkEnd w:id="6567"/>
      <w:bookmarkEnd w:id="6568"/>
      <w:bookmarkEnd w:id="6569"/>
      <w:bookmarkEnd w:id="6570"/>
      <w:bookmarkEnd w:id="6571"/>
      <w:bookmarkEnd w:id="6572"/>
      <w:bookmarkEnd w:id="6573"/>
      <w:bookmarkEnd w:id="6574"/>
      <w:bookmarkEnd w:id="6575"/>
      <w:bookmarkEnd w:id="6576"/>
      <w:bookmarkEnd w:id="6577"/>
      <w:bookmarkEnd w:id="6578"/>
      <w:bookmarkEnd w:id="6579"/>
      <w:bookmarkEnd w:id="6580"/>
      <w:bookmarkEnd w:id="6581"/>
      <w:bookmarkEnd w:id="6582"/>
      <w:bookmarkEnd w:id="6583"/>
      <w:bookmarkEnd w:id="6584"/>
      <w:bookmarkEnd w:id="6585"/>
      <w:bookmarkEnd w:id="6586"/>
      <w:bookmarkEnd w:id="6587"/>
      <w:bookmarkEnd w:id="6588"/>
      <w:bookmarkEnd w:id="6589"/>
      <w:bookmarkEnd w:id="6590"/>
      <w:bookmarkEnd w:id="6591"/>
      <w:bookmarkEnd w:id="6592"/>
      <w:bookmarkEnd w:id="6593"/>
      <w:bookmarkEnd w:id="6594"/>
      <w:bookmarkEnd w:id="6595"/>
      <w:bookmarkEnd w:id="6596"/>
      <w:bookmarkEnd w:id="6597"/>
      <w:bookmarkEnd w:id="6598"/>
      <w:bookmarkEnd w:id="6599"/>
      <w:bookmarkEnd w:id="6600"/>
      <w:bookmarkEnd w:id="6601"/>
      <w:bookmarkEnd w:id="6602"/>
      <w:bookmarkEnd w:id="6603"/>
      <w:bookmarkEnd w:id="6604"/>
      <w:bookmarkEnd w:id="6605"/>
      <w:bookmarkEnd w:id="6606"/>
    </w:p>
    <w:p>
      <w:pPr>
        <w:pStyle w:val="yHeading4"/>
      </w:pPr>
      <w:bookmarkStart w:id="6607" w:name="_Toc189988166"/>
      <w:bookmarkStart w:id="6608" w:name="_Toc192041749"/>
      <w:bookmarkStart w:id="6609" w:name="_Toc199570983"/>
      <w:bookmarkStart w:id="6610" w:name="_Toc199738981"/>
      <w:bookmarkStart w:id="6611" w:name="_Toc199815082"/>
      <w:bookmarkStart w:id="6612" w:name="_Toc215040889"/>
      <w:bookmarkStart w:id="6613" w:name="_Toc215041334"/>
      <w:bookmarkStart w:id="6614" w:name="_Toc222129542"/>
      <w:bookmarkStart w:id="6615" w:name="_Toc222223247"/>
      <w:bookmarkStart w:id="6616" w:name="_Toc225914499"/>
      <w:bookmarkStart w:id="6617" w:name="_Toc231282544"/>
      <w:bookmarkStart w:id="6618" w:name="_Toc231282988"/>
      <w:bookmarkStart w:id="6619" w:name="_Toc234899578"/>
      <w:bookmarkStart w:id="6620" w:name="_Toc236632860"/>
      <w:bookmarkStart w:id="6621" w:name="_Toc236720473"/>
      <w:bookmarkStart w:id="6622" w:name="_Toc237764672"/>
      <w:bookmarkStart w:id="6623" w:name="_Toc238356296"/>
      <w:bookmarkStart w:id="6624" w:name="_Toc238369001"/>
      <w:bookmarkStart w:id="6625" w:name="_Toc238375954"/>
      <w:bookmarkStart w:id="6626" w:name="_Toc240339278"/>
      <w:bookmarkStart w:id="6627" w:name="_Toc241993784"/>
      <w:bookmarkStart w:id="6628" w:name="_Toc243192927"/>
      <w:bookmarkStart w:id="6629" w:name="_Toc243295629"/>
      <w:bookmarkStart w:id="6630" w:name="_Toc245113202"/>
      <w:bookmarkStart w:id="6631" w:name="_Toc245198364"/>
      <w:bookmarkStart w:id="6632" w:name="_Toc245198813"/>
      <w:bookmarkStart w:id="6633" w:name="_Toc245199262"/>
      <w:bookmarkStart w:id="6634" w:name="_Toc248122293"/>
      <w:bookmarkStart w:id="6635" w:name="_Toc248122744"/>
      <w:bookmarkStart w:id="6636" w:name="_Toc253670731"/>
      <w:bookmarkStart w:id="6637" w:name="_Toc253671181"/>
      <w:bookmarkStart w:id="6638" w:name="_Toc254942955"/>
      <w:bookmarkStart w:id="6639" w:name="_Toc254943408"/>
      <w:bookmarkStart w:id="6640" w:name="_Toc255476000"/>
      <w:bookmarkStart w:id="6641" w:name="_Toc256432321"/>
      <w:bookmarkStart w:id="6642" w:name="_Toc257720658"/>
      <w:bookmarkStart w:id="6643" w:name="_Toc257722340"/>
      <w:bookmarkStart w:id="6644" w:name="_Toc258336016"/>
      <w:bookmarkStart w:id="6645" w:name="_Toc260406458"/>
      <w:bookmarkStart w:id="6646" w:name="_Toc261271644"/>
      <w:bookmarkStart w:id="6647" w:name="_Toc262808326"/>
      <w:bookmarkStart w:id="6648" w:name="_Toc267572719"/>
      <w:bookmarkStart w:id="6649" w:name="_Toc270684468"/>
      <w:bookmarkStart w:id="6650" w:name="_Toc274214645"/>
      <w:bookmarkStart w:id="6651" w:name="_Toc274215094"/>
      <w:bookmarkStart w:id="6652" w:name="_Toc278976425"/>
      <w:bookmarkStart w:id="6653" w:name="_Toc286760746"/>
      <w:bookmarkStart w:id="6654" w:name="_Toc289081091"/>
      <w:bookmarkStart w:id="6655" w:name="_Toc290284285"/>
      <w:bookmarkStart w:id="6656" w:name="_Toc290643106"/>
      <w:bookmarkStart w:id="6657" w:name="_Toc290643555"/>
      <w:bookmarkStart w:id="6658" w:name="_Toc290644008"/>
      <w:bookmarkStart w:id="6659" w:name="_Toc294701825"/>
      <w:bookmarkStart w:id="6660" w:name="_Toc295200233"/>
      <w:bookmarkStart w:id="6661" w:name="_Toc296954674"/>
      <w:bookmarkStart w:id="6662" w:name="_Toc297276309"/>
      <w:bookmarkStart w:id="6663" w:name="_Toc297276761"/>
      <w:bookmarkStart w:id="6664" w:name="_Toc297277211"/>
      <w:bookmarkStart w:id="6665" w:name="_Toc297726580"/>
      <w:bookmarkStart w:id="6666" w:name="_Toc299980366"/>
      <w:bookmarkStart w:id="6667" w:name="_Toc300234992"/>
      <w:bookmarkStart w:id="6668" w:name="_Toc301961495"/>
      <w:bookmarkStart w:id="6669" w:name="_Toc301967065"/>
      <w:bookmarkStart w:id="6670" w:name="_Toc303253274"/>
      <w:bookmarkStart w:id="6671" w:name="_Toc303257438"/>
      <w:bookmarkStart w:id="6672" w:name="_Toc307993071"/>
      <w:bookmarkStart w:id="6673" w:name="_Toc309030104"/>
      <w:bookmarkStart w:id="6674" w:name="_Toc309304327"/>
      <w:bookmarkStart w:id="6675" w:name="_Toc309309604"/>
      <w:r>
        <w:t>Subdivision 1 — Protected by reference to species, area and period</w:t>
      </w:r>
      <w:bookmarkEnd w:id="6607"/>
      <w:bookmarkEnd w:id="6608"/>
      <w:bookmarkEnd w:id="6609"/>
      <w:bookmarkEnd w:id="6610"/>
      <w:bookmarkEnd w:id="6611"/>
      <w:bookmarkEnd w:id="6612"/>
      <w:bookmarkEnd w:id="6613"/>
      <w:bookmarkEnd w:id="6614"/>
      <w:bookmarkEnd w:id="6615"/>
      <w:bookmarkEnd w:id="6616"/>
      <w:bookmarkEnd w:id="6617"/>
      <w:bookmarkEnd w:id="6618"/>
      <w:bookmarkEnd w:id="6619"/>
      <w:bookmarkEnd w:id="6620"/>
      <w:bookmarkEnd w:id="6621"/>
      <w:bookmarkEnd w:id="6622"/>
      <w:bookmarkEnd w:id="6623"/>
      <w:bookmarkEnd w:id="6624"/>
      <w:bookmarkEnd w:id="6625"/>
      <w:bookmarkEnd w:id="6626"/>
      <w:bookmarkEnd w:id="6627"/>
      <w:bookmarkEnd w:id="6628"/>
      <w:bookmarkEnd w:id="6629"/>
      <w:bookmarkEnd w:id="6630"/>
      <w:bookmarkEnd w:id="6631"/>
      <w:bookmarkEnd w:id="6632"/>
      <w:bookmarkEnd w:id="6633"/>
      <w:bookmarkEnd w:id="6634"/>
      <w:bookmarkEnd w:id="6635"/>
      <w:bookmarkEnd w:id="6636"/>
      <w:bookmarkEnd w:id="6637"/>
      <w:bookmarkEnd w:id="6638"/>
      <w:bookmarkEnd w:id="6639"/>
      <w:bookmarkEnd w:id="6640"/>
      <w:bookmarkEnd w:id="6641"/>
      <w:bookmarkEnd w:id="6642"/>
      <w:bookmarkEnd w:id="6643"/>
      <w:bookmarkEnd w:id="6644"/>
      <w:bookmarkEnd w:id="6645"/>
      <w:bookmarkEnd w:id="6646"/>
      <w:bookmarkEnd w:id="6647"/>
      <w:bookmarkEnd w:id="6648"/>
      <w:bookmarkEnd w:id="6649"/>
      <w:bookmarkEnd w:id="6650"/>
      <w:bookmarkEnd w:id="6651"/>
      <w:bookmarkEnd w:id="6652"/>
      <w:bookmarkEnd w:id="6653"/>
      <w:bookmarkEnd w:id="6654"/>
      <w:bookmarkEnd w:id="6655"/>
      <w:bookmarkEnd w:id="6656"/>
      <w:bookmarkEnd w:id="6657"/>
      <w:bookmarkEnd w:id="6658"/>
      <w:bookmarkEnd w:id="6659"/>
      <w:bookmarkEnd w:id="6660"/>
      <w:bookmarkEnd w:id="6661"/>
      <w:bookmarkEnd w:id="6662"/>
      <w:bookmarkEnd w:id="6663"/>
      <w:bookmarkEnd w:id="6664"/>
      <w:bookmarkEnd w:id="6665"/>
      <w:bookmarkEnd w:id="6666"/>
      <w:bookmarkEnd w:id="6667"/>
      <w:bookmarkEnd w:id="6668"/>
      <w:bookmarkEnd w:id="6669"/>
      <w:bookmarkEnd w:id="6670"/>
      <w:bookmarkEnd w:id="6671"/>
      <w:bookmarkEnd w:id="6672"/>
      <w:bookmarkEnd w:id="6673"/>
      <w:bookmarkEnd w:id="6674"/>
      <w:bookmarkEnd w:id="6675"/>
    </w:p>
    <w:p>
      <w:pPr>
        <w:pStyle w:val="yFootnoteheading"/>
      </w:pPr>
      <w:r>
        <w:tab/>
        <w:t>[Heading inserted in Gazette 28 Feb 2003 p. 662.]</w:t>
      </w:r>
    </w:p>
    <w:p>
      <w:pPr>
        <w:pStyle w:val="yHeading5"/>
        <w:outlineLvl w:val="9"/>
      </w:pPr>
      <w:bookmarkStart w:id="6676" w:name="_Toc309309605"/>
      <w:r>
        <w:t>1.</w:t>
      </w:r>
      <w:r>
        <w:tab/>
        <w:t>Pink Snapper</w:t>
      </w:r>
      <w:bookmarkEnd w:id="6676"/>
    </w:p>
    <w:p>
      <w:pPr>
        <w:pStyle w:val="ySubsection"/>
      </w:pPr>
      <w:r>
        <w:tab/>
      </w:r>
      <w:r>
        <w:tab/>
        <w:t>Pink Snapper —</w:t>
      </w:r>
    </w:p>
    <w:p>
      <w:pPr>
        <w:pStyle w:val="yIndenta"/>
      </w:pPr>
      <w:r>
        <w:tab/>
        <w:t>(a)</w:t>
      </w:r>
      <w:r>
        <w:tab/>
        <w:t>taken or brought onto land from the waters of the Shark Bay eastern gulf during the period beginning on 1 May in a year and ending on 31 July in that year; or</w:t>
      </w:r>
    </w:p>
    <w:p>
      <w:pPr>
        <w:pStyle w:val="yIndenta"/>
      </w:pPr>
      <w:r>
        <w:tab/>
        <w:t>(b)</w:t>
      </w:r>
      <w:r>
        <w:tab/>
        <w:t>taken or brought onto land from the waters of the Freycinet Estuary during the period beginning on 15 August in a year and ending on 30 September in that year.</w:t>
      </w:r>
    </w:p>
    <w:p>
      <w:pPr>
        <w:pStyle w:val="yFootnotesection"/>
      </w:pPr>
      <w:r>
        <w:tab/>
        <w:t>[Clause 1 inserted in Gazette 15 Sep 2005 p. 4309</w:t>
      </w:r>
      <w:r>
        <w:noBreakHyphen/>
        <w:t>10; amended in Gazette 4 Nov 2005 p. 5313; 7 Mar 2006 p. 975.]</w:t>
      </w:r>
    </w:p>
    <w:p>
      <w:pPr>
        <w:pStyle w:val="yHeading5"/>
        <w:outlineLvl w:val="9"/>
      </w:pPr>
      <w:bookmarkStart w:id="6677" w:name="_Toc309309606"/>
      <w:r>
        <w:rPr>
          <w:rStyle w:val="CharSClsNo"/>
        </w:rPr>
        <w:t>2</w:t>
      </w:r>
      <w:r>
        <w:t>.</w:t>
      </w:r>
      <w:r>
        <w:tab/>
        <w:t>Baldchin Groper</w:t>
      </w:r>
      <w:bookmarkEnd w:id="6677"/>
    </w:p>
    <w:p>
      <w:pPr>
        <w:pStyle w:val="ySubsection"/>
        <w:spacing w:before="120"/>
      </w:pPr>
      <w:r>
        <w:tab/>
        <w:t>(1)</w:t>
      </w:r>
      <w:r>
        <w:tab/>
        <w:t>Baldchin Groper taken or brought onto land from, or in the possession of a person on, the Abrolhos Islands Fish Habitat Protection Area during the period beginning on 1 November in a year and ending on 31 January in the following year.</w:t>
      </w:r>
    </w:p>
    <w:p>
      <w:pPr>
        <w:pStyle w:val="ySubsection"/>
        <w:keepNext/>
        <w:spacing w:before="120"/>
      </w:pPr>
      <w:r>
        <w:tab/>
        <w:t>(2)</w:t>
      </w:r>
      <w:r>
        <w:tab/>
        <w:t>In subclause (1) —</w:t>
      </w:r>
    </w:p>
    <w:p>
      <w:pPr>
        <w:pStyle w:val="yDefstart"/>
        <w:keepNext/>
      </w:pPr>
      <w:r>
        <w:rPr>
          <w:b/>
        </w:rPr>
        <w:tab/>
      </w:r>
      <w:r>
        <w:rPr>
          <w:rStyle w:val="CharDefText"/>
        </w:rPr>
        <w:t>Abrolhos Islands Fish Habitat Protection Area</w:t>
      </w:r>
      <w:r>
        <w:t xml:space="preserve"> means the area of WA waters adjacent to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from the high water mark to the seaward limits of the coastal waters of the State.</w:t>
      </w:r>
    </w:p>
    <w:p>
      <w:pPr>
        <w:pStyle w:val="yFootnotesection"/>
      </w:pPr>
      <w:r>
        <w:tab/>
        <w:t>[Clause 2 inserted in Gazette 1 Oct 2003 p. 4329; amended in Gazette 4 Nov 2005 p. 5313; 29 May 2008 p. 2058; 19 Dec 2008 p. 5363.]</w:t>
      </w:r>
    </w:p>
    <w:p>
      <w:pPr>
        <w:pStyle w:val="yHeading5"/>
        <w:outlineLvl w:val="9"/>
      </w:pPr>
      <w:bookmarkStart w:id="6678" w:name="_Toc309309607"/>
      <w:r>
        <w:t>3.</w:t>
      </w:r>
      <w:r>
        <w:tab/>
        <w:t>Cobbler</w:t>
      </w:r>
      <w:bookmarkEnd w:id="6678"/>
    </w:p>
    <w:p>
      <w:pPr>
        <w:pStyle w:val="ySubsection"/>
      </w:pPr>
      <w:r>
        <w:tab/>
      </w:r>
      <w:r>
        <w:tab/>
        <w:t xml:space="preserve">Cobbler taken or brought onto land from the waters of the Swan or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 xml:space="preserve"> on or before 30 June 2017.</w:t>
      </w:r>
    </w:p>
    <w:p>
      <w:pPr>
        <w:pStyle w:val="yFootnotesection"/>
      </w:pPr>
      <w:r>
        <w:tab/>
        <w:t>[Clause 3 inserted in Gazette 6 Jul 2007 p. 3388.]</w:t>
      </w:r>
    </w:p>
    <w:p>
      <w:pPr>
        <w:pStyle w:val="yHeading5"/>
        <w:outlineLvl w:val="9"/>
      </w:pPr>
      <w:bookmarkStart w:id="6679" w:name="_Toc309309608"/>
      <w:bookmarkStart w:id="6680" w:name="_Toc189988170"/>
      <w:bookmarkStart w:id="6681" w:name="_Toc192041753"/>
      <w:bookmarkStart w:id="6682" w:name="_Toc199570987"/>
      <w:r>
        <w:t>4.</w:t>
      </w:r>
      <w:r>
        <w:tab/>
        <w:t>Blue Groper</w:t>
      </w:r>
      <w:bookmarkEnd w:id="6679"/>
    </w:p>
    <w:p>
      <w:pPr>
        <w:pStyle w:val="ySubsection"/>
      </w:pPr>
      <w:r>
        <w:tab/>
        <w:t>(1)</w:t>
      </w:r>
      <w:r>
        <w:tab/>
        <w:t>Blue Groper —</w:t>
      </w:r>
    </w:p>
    <w:p>
      <w:pPr>
        <w:pStyle w:val="yIndenta"/>
      </w:pPr>
      <w:r>
        <w:tab/>
        <w:t>(a)</w:t>
      </w:r>
      <w:r>
        <w:tab/>
        <w:t>taken or brought onto land from the waters of the Rottnest Island Reserve; or</w:t>
      </w:r>
    </w:p>
    <w:p>
      <w:pPr>
        <w:pStyle w:val="yIndenta"/>
      </w:pPr>
      <w:r>
        <w:tab/>
        <w:t>(b)</w:t>
      </w:r>
      <w:r>
        <w:tab/>
        <w:t>in the possession of a person on the Rottnest Island Reserve.</w:t>
      </w:r>
    </w:p>
    <w:p>
      <w:pPr>
        <w:pStyle w:val="ySubsection"/>
      </w:pPr>
      <w:r>
        <w:tab/>
        <w:t>(2)</w:t>
      </w:r>
      <w:r>
        <w:tab/>
        <w:t>In subclause (1) —</w:t>
      </w:r>
    </w:p>
    <w:p>
      <w:pPr>
        <w:pStyle w:val="yDefstart"/>
      </w:pPr>
      <w:r>
        <w:rPr>
          <w:b/>
        </w:rPr>
        <w:tab/>
      </w:r>
      <w:r>
        <w:rPr>
          <w:rStyle w:val="CharDefText"/>
        </w:rPr>
        <w:t>Rottnest Island Reserve</w:t>
      </w:r>
      <w:r>
        <w:t xml:space="preserve"> has the meaning given in the </w:t>
      </w:r>
      <w:smartTag w:uri="urn:schemas-microsoft-com:office:smarttags" w:element="place">
        <w:smartTag w:uri="urn:schemas-microsoft-com:office:smarttags" w:element="PlaceName">
          <w:r>
            <w:rPr>
              <w:i/>
              <w:iCs/>
            </w:rPr>
            <w:t>Rottnest</w:t>
          </w:r>
        </w:smartTag>
        <w:r>
          <w:rPr>
            <w:i/>
            <w:iCs/>
          </w:rPr>
          <w:t xml:space="preserve"> </w:t>
        </w:r>
        <w:smartTag w:uri="urn:schemas-microsoft-com:office:smarttags" w:element="PlaceType">
          <w:r>
            <w:rPr>
              <w:i/>
              <w:iCs/>
            </w:rPr>
            <w:t>Island</w:t>
          </w:r>
        </w:smartTag>
      </w:smartTag>
      <w:r>
        <w:rPr>
          <w:i/>
          <w:iCs/>
        </w:rPr>
        <w:t xml:space="preserve"> Authority Act 1987 </w:t>
      </w:r>
      <w:r>
        <w:t>section 4.</w:t>
      </w:r>
    </w:p>
    <w:p>
      <w:pPr>
        <w:pStyle w:val="yFootnotesection"/>
      </w:pPr>
      <w:r>
        <w:tab/>
        <w:t>[Clause 4 inserted in Gazette 29 May 2008 p. 2058</w:t>
      </w:r>
      <w:r>
        <w:noBreakHyphen/>
        <w:t>9.]</w:t>
      </w:r>
    </w:p>
    <w:p>
      <w:pPr>
        <w:pStyle w:val="yHeading4"/>
      </w:pPr>
      <w:bookmarkStart w:id="6683" w:name="_Toc199738986"/>
      <w:bookmarkStart w:id="6684" w:name="_Toc199815087"/>
      <w:bookmarkStart w:id="6685" w:name="_Toc215040894"/>
      <w:bookmarkStart w:id="6686" w:name="_Toc215041339"/>
      <w:bookmarkStart w:id="6687" w:name="_Toc222129547"/>
      <w:bookmarkStart w:id="6688" w:name="_Toc222223252"/>
      <w:bookmarkStart w:id="6689" w:name="_Toc225914504"/>
      <w:bookmarkStart w:id="6690" w:name="_Toc231282549"/>
      <w:bookmarkStart w:id="6691" w:name="_Toc231282993"/>
      <w:bookmarkStart w:id="6692" w:name="_Toc234899583"/>
      <w:bookmarkStart w:id="6693" w:name="_Toc236632865"/>
      <w:bookmarkStart w:id="6694" w:name="_Toc236720478"/>
      <w:bookmarkStart w:id="6695" w:name="_Toc237764677"/>
      <w:bookmarkStart w:id="6696" w:name="_Toc238356301"/>
      <w:bookmarkStart w:id="6697" w:name="_Toc238369006"/>
      <w:bookmarkStart w:id="6698" w:name="_Toc238375959"/>
      <w:bookmarkStart w:id="6699" w:name="_Toc240339283"/>
      <w:bookmarkStart w:id="6700" w:name="_Toc241993789"/>
      <w:bookmarkStart w:id="6701" w:name="_Toc243192932"/>
      <w:bookmarkStart w:id="6702" w:name="_Toc243295634"/>
      <w:bookmarkStart w:id="6703" w:name="_Toc245113207"/>
      <w:bookmarkStart w:id="6704" w:name="_Toc245198369"/>
      <w:bookmarkStart w:id="6705" w:name="_Toc245198818"/>
      <w:bookmarkStart w:id="6706" w:name="_Toc245199267"/>
      <w:bookmarkStart w:id="6707" w:name="_Toc248122298"/>
      <w:bookmarkStart w:id="6708" w:name="_Toc248122749"/>
      <w:bookmarkStart w:id="6709" w:name="_Toc253670736"/>
      <w:bookmarkStart w:id="6710" w:name="_Toc253671186"/>
      <w:bookmarkStart w:id="6711" w:name="_Toc254942960"/>
      <w:bookmarkStart w:id="6712" w:name="_Toc254943413"/>
      <w:bookmarkStart w:id="6713" w:name="_Toc255476005"/>
      <w:bookmarkStart w:id="6714" w:name="_Toc256432326"/>
      <w:bookmarkStart w:id="6715" w:name="_Toc257720663"/>
      <w:bookmarkStart w:id="6716" w:name="_Toc257722345"/>
      <w:bookmarkStart w:id="6717" w:name="_Toc258336021"/>
      <w:bookmarkStart w:id="6718" w:name="_Toc260406463"/>
      <w:bookmarkStart w:id="6719" w:name="_Toc261271649"/>
      <w:bookmarkStart w:id="6720" w:name="_Toc262808331"/>
      <w:bookmarkStart w:id="6721" w:name="_Toc267572724"/>
      <w:bookmarkStart w:id="6722" w:name="_Toc270684473"/>
      <w:bookmarkStart w:id="6723" w:name="_Toc274214650"/>
      <w:bookmarkStart w:id="6724" w:name="_Toc274215099"/>
      <w:bookmarkStart w:id="6725" w:name="_Toc278976430"/>
      <w:bookmarkStart w:id="6726" w:name="_Toc286760751"/>
      <w:bookmarkStart w:id="6727" w:name="_Toc289081096"/>
      <w:bookmarkStart w:id="6728" w:name="_Toc290284290"/>
      <w:bookmarkStart w:id="6729" w:name="_Toc290643111"/>
      <w:bookmarkStart w:id="6730" w:name="_Toc290643560"/>
      <w:bookmarkStart w:id="6731" w:name="_Toc290644013"/>
      <w:bookmarkStart w:id="6732" w:name="_Toc294701830"/>
      <w:bookmarkStart w:id="6733" w:name="_Toc295200238"/>
      <w:bookmarkStart w:id="6734" w:name="_Toc296954679"/>
      <w:bookmarkStart w:id="6735" w:name="_Toc297276314"/>
      <w:bookmarkStart w:id="6736" w:name="_Toc297276766"/>
      <w:bookmarkStart w:id="6737" w:name="_Toc297277216"/>
      <w:bookmarkStart w:id="6738" w:name="_Toc297726585"/>
      <w:bookmarkStart w:id="6739" w:name="_Toc299980371"/>
      <w:bookmarkStart w:id="6740" w:name="_Toc300234997"/>
      <w:bookmarkStart w:id="6741" w:name="_Toc301961500"/>
      <w:bookmarkStart w:id="6742" w:name="_Toc301967070"/>
      <w:bookmarkStart w:id="6743" w:name="_Toc303253279"/>
      <w:bookmarkStart w:id="6744" w:name="_Toc303257443"/>
      <w:bookmarkStart w:id="6745" w:name="_Toc307993076"/>
      <w:bookmarkStart w:id="6746" w:name="_Toc309030109"/>
      <w:bookmarkStart w:id="6747" w:name="_Toc309304332"/>
      <w:bookmarkStart w:id="6748" w:name="_Toc309309609"/>
      <w:r>
        <w:t>Subdivision 2 — Protected by reference to species length or other factors</w:t>
      </w:r>
      <w:bookmarkEnd w:id="6680"/>
      <w:bookmarkEnd w:id="6681"/>
      <w:bookmarkEnd w:id="6682"/>
      <w:bookmarkEnd w:id="6683"/>
      <w:bookmarkEnd w:id="6684"/>
      <w:bookmarkEnd w:id="6685"/>
      <w:bookmarkEnd w:id="6686"/>
      <w:bookmarkEnd w:id="6687"/>
      <w:bookmarkEnd w:id="6688"/>
      <w:bookmarkEnd w:id="6689"/>
      <w:bookmarkEnd w:id="6690"/>
      <w:bookmarkEnd w:id="6691"/>
      <w:bookmarkEnd w:id="6692"/>
      <w:bookmarkEnd w:id="6693"/>
      <w:bookmarkEnd w:id="6694"/>
      <w:bookmarkEnd w:id="6695"/>
      <w:bookmarkEnd w:id="6696"/>
      <w:bookmarkEnd w:id="6697"/>
      <w:bookmarkEnd w:id="6698"/>
      <w:bookmarkEnd w:id="6699"/>
      <w:bookmarkEnd w:id="6700"/>
      <w:bookmarkEnd w:id="6701"/>
      <w:bookmarkEnd w:id="6702"/>
      <w:bookmarkEnd w:id="6703"/>
      <w:bookmarkEnd w:id="6704"/>
      <w:bookmarkEnd w:id="6705"/>
      <w:bookmarkEnd w:id="6706"/>
      <w:bookmarkEnd w:id="6707"/>
      <w:bookmarkEnd w:id="6708"/>
      <w:bookmarkEnd w:id="6709"/>
      <w:bookmarkEnd w:id="6710"/>
      <w:bookmarkEnd w:id="6711"/>
      <w:bookmarkEnd w:id="6712"/>
      <w:bookmarkEnd w:id="6713"/>
      <w:bookmarkEnd w:id="6714"/>
      <w:bookmarkEnd w:id="6715"/>
      <w:bookmarkEnd w:id="6716"/>
      <w:bookmarkEnd w:id="6717"/>
      <w:bookmarkEnd w:id="6718"/>
      <w:bookmarkEnd w:id="6719"/>
      <w:bookmarkEnd w:id="6720"/>
      <w:bookmarkEnd w:id="6721"/>
      <w:bookmarkEnd w:id="6722"/>
      <w:bookmarkEnd w:id="6723"/>
      <w:bookmarkEnd w:id="6724"/>
      <w:bookmarkEnd w:id="6725"/>
      <w:bookmarkEnd w:id="6726"/>
      <w:bookmarkEnd w:id="6727"/>
      <w:bookmarkEnd w:id="6728"/>
      <w:bookmarkEnd w:id="6729"/>
      <w:bookmarkEnd w:id="6730"/>
      <w:bookmarkEnd w:id="6731"/>
      <w:bookmarkEnd w:id="6732"/>
      <w:bookmarkEnd w:id="6733"/>
      <w:bookmarkEnd w:id="6734"/>
      <w:bookmarkEnd w:id="6735"/>
      <w:bookmarkEnd w:id="6736"/>
      <w:bookmarkEnd w:id="6737"/>
      <w:bookmarkEnd w:id="6738"/>
      <w:bookmarkEnd w:id="6739"/>
      <w:bookmarkEnd w:id="6740"/>
      <w:bookmarkEnd w:id="6741"/>
      <w:bookmarkEnd w:id="6742"/>
      <w:bookmarkEnd w:id="6743"/>
      <w:bookmarkEnd w:id="6744"/>
      <w:bookmarkEnd w:id="6745"/>
      <w:bookmarkEnd w:id="6746"/>
      <w:bookmarkEnd w:id="6747"/>
      <w:bookmarkEnd w:id="6748"/>
    </w:p>
    <w:p>
      <w:pPr>
        <w:pStyle w:val="yFootnoteheading"/>
        <w:keepNext/>
        <w:keepLines/>
        <w:spacing w:after="120"/>
        <w:rPr>
          <w:snapToGrid w:val="0"/>
        </w:rPr>
      </w:pPr>
      <w:r>
        <w:rPr>
          <w:snapToGrid w:val="0"/>
        </w:rPr>
        <w:tab/>
        <w:t xml:space="preserve">[Heading </w:t>
      </w:r>
      <w:r>
        <w:t>inserted in Gazette 28 Feb 2003 p. 662;</w:t>
      </w:r>
      <w:r>
        <w:rPr>
          <w:snapToGrid w:val="0"/>
        </w:rPr>
        <w:t xml:space="preserve"> amended in Gazette 1 Oct 2003 p. 4329.]</w:t>
      </w:r>
    </w:p>
    <w:tbl>
      <w:tblPr>
        <w:tblW w:w="7052" w:type="dxa"/>
        <w:tblInd w:w="113" w:type="dxa"/>
        <w:tblLayout w:type="fixed"/>
        <w:tblCellMar>
          <w:left w:w="113" w:type="dxa"/>
          <w:right w:w="113" w:type="dxa"/>
        </w:tblCellMar>
        <w:tblLook w:val="0000" w:firstRow="0" w:lastRow="0" w:firstColumn="0" w:lastColumn="0" w:noHBand="0" w:noVBand="0"/>
      </w:tblPr>
      <w:tblGrid>
        <w:gridCol w:w="5192"/>
        <w:gridCol w:w="1860"/>
      </w:tblGrid>
      <w:tr>
        <w:trPr>
          <w:tblHeader/>
        </w:trPr>
        <w:tc>
          <w:tcPr>
            <w:tcW w:w="5396" w:type="dxa"/>
            <w:tcBorders>
              <w:top w:val="single" w:sz="8" w:space="0" w:color="auto"/>
              <w:bottom w:val="single" w:sz="8" w:space="0" w:color="auto"/>
            </w:tcBorders>
            <w:tcMar>
              <w:left w:w="85" w:type="dxa"/>
              <w:right w:w="113" w:type="dxa"/>
            </w:tcMar>
            <w:vAlign w:val="center"/>
          </w:tcPr>
          <w:p>
            <w:pPr>
              <w:pStyle w:val="yTableNAm"/>
              <w:keepNext/>
              <w:spacing w:before="0"/>
              <w:rPr>
                <w:b/>
                <w:bCs/>
                <w:lang w:val="en-US"/>
              </w:rPr>
            </w:pPr>
            <w:r>
              <w:rPr>
                <w:b/>
                <w:bCs/>
              </w:rPr>
              <w:t>Class of fish</w:t>
            </w:r>
          </w:p>
        </w:tc>
        <w:tc>
          <w:tcPr>
            <w:tcW w:w="1928" w:type="dxa"/>
            <w:tcBorders>
              <w:top w:val="single" w:sz="8" w:space="0" w:color="auto"/>
              <w:bottom w:val="single" w:sz="8" w:space="0" w:color="auto"/>
            </w:tcBorders>
            <w:tcMar>
              <w:left w:w="85" w:type="dxa"/>
              <w:right w:w="113" w:type="dxa"/>
            </w:tcMar>
            <w:vAlign w:val="center"/>
          </w:tcPr>
          <w:p>
            <w:pPr>
              <w:pStyle w:val="yTableNAm"/>
              <w:keepNext/>
              <w:spacing w:before="0"/>
              <w:rPr>
                <w:b/>
                <w:bCs/>
              </w:rPr>
            </w:pPr>
            <w:r>
              <w:rPr>
                <w:b/>
                <w:bCs/>
              </w:rPr>
              <w:t>If of a length less than the length specified in respect of each class of fish (mm)</w:t>
            </w:r>
          </w:p>
        </w:tc>
      </w:tr>
      <w:tr>
        <w:tc>
          <w:tcPr>
            <w:tcW w:w="5396" w:type="dxa"/>
            <w:tcMar>
              <w:left w:w="85" w:type="dxa"/>
              <w:right w:w="113" w:type="dxa"/>
            </w:tcMar>
          </w:tcPr>
          <w:p>
            <w:pPr>
              <w:pStyle w:val="yTableNAm"/>
              <w:keepNext/>
              <w:tabs>
                <w:tab w:val="clear" w:pos="567"/>
                <w:tab w:val="left" w:pos="227"/>
                <w:tab w:val="right" w:leader="dot" w:pos="5047"/>
              </w:tabs>
              <w:spacing w:before="0"/>
              <w:ind w:left="236" w:hanging="236"/>
            </w:pPr>
            <w:r>
              <w:t xml:space="preserve">Amberjack </w:t>
            </w:r>
            <w:r>
              <w:tab/>
            </w:r>
          </w:p>
        </w:tc>
        <w:tc>
          <w:tcPr>
            <w:tcW w:w="1928" w:type="dxa"/>
            <w:tcMar>
              <w:left w:w="85" w:type="dxa"/>
              <w:right w:w="113" w:type="dxa"/>
            </w:tcMar>
          </w:tcPr>
          <w:p>
            <w:pPr>
              <w:pStyle w:val="yTableNAm"/>
              <w:keepNext/>
              <w:spacing w:before="0"/>
            </w:pPr>
            <w:r>
              <w:t>600</w:t>
            </w:r>
          </w:p>
        </w:tc>
      </w:tr>
      <w:tr>
        <w:tc>
          <w:tcPr>
            <w:tcW w:w="5396" w:type="dxa"/>
            <w:tcMar>
              <w:left w:w="85" w:type="dxa"/>
              <w:right w:w="113" w:type="dxa"/>
            </w:tcMar>
          </w:tcPr>
          <w:p>
            <w:pPr>
              <w:pStyle w:val="yTableNAm"/>
              <w:keepNext/>
              <w:tabs>
                <w:tab w:val="clear" w:pos="567"/>
                <w:tab w:val="left" w:pos="227"/>
                <w:tab w:val="right" w:leader="dot" w:pos="5047"/>
              </w:tabs>
              <w:spacing w:before="0"/>
              <w:ind w:left="236" w:hanging="236"/>
            </w:pPr>
            <w:r>
              <w:t xml:space="preserve">Barramundi </w:t>
            </w:r>
            <w:r>
              <w:tab/>
            </w:r>
          </w:p>
        </w:tc>
        <w:tc>
          <w:tcPr>
            <w:tcW w:w="1928" w:type="dxa"/>
            <w:tcMar>
              <w:left w:w="85" w:type="dxa"/>
              <w:right w:w="113" w:type="dxa"/>
            </w:tcMar>
          </w:tcPr>
          <w:p>
            <w:pPr>
              <w:pStyle w:val="yTableNAm"/>
              <w:keepNext/>
              <w:spacing w:before="0"/>
            </w:pPr>
            <w:r>
              <w:t>550</w:t>
            </w:r>
          </w:p>
        </w:tc>
      </w:tr>
      <w:tr>
        <w:tc>
          <w:tcPr>
            <w:tcW w:w="5396" w:type="dxa"/>
            <w:tcMar>
              <w:left w:w="85" w:type="dxa"/>
              <w:right w:w="113" w:type="dxa"/>
            </w:tcMar>
          </w:tcPr>
          <w:p>
            <w:pPr>
              <w:pStyle w:val="yTableNAm"/>
              <w:keepNext/>
              <w:tabs>
                <w:tab w:val="clear" w:pos="567"/>
                <w:tab w:val="left" w:pos="227"/>
                <w:tab w:val="right" w:leader="dot" w:pos="5047"/>
              </w:tabs>
              <w:spacing w:before="0"/>
              <w:ind w:left="236" w:hanging="236"/>
            </w:pPr>
            <w:r>
              <w:t xml:space="preserve">Bream, Black </w:t>
            </w:r>
            <w:r>
              <w:tab/>
            </w:r>
          </w:p>
        </w:tc>
        <w:tc>
          <w:tcPr>
            <w:tcW w:w="1928" w:type="dxa"/>
            <w:tcMar>
              <w:left w:w="85" w:type="dxa"/>
              <w:right w:w="113" w:type="dxa"/>
            </w:tcMar>
          </w:tcPr>
          <w:p>
            <w:pPr>
              <w:pStyle w:val="yTableNAm"/>
              <w:keepNext/>
              <w:spacing w:before="0"/>
            </w:pPr>
            <w:r>
              <w:t>250</w:t>
            </w:r>
          </w:p>
        </w:tc>
      </w:tr>
      <w:tr>
        <w:tc>
          <w:tcPr>
            <w:tcW w:w="5396" w:type="dxa"/>
            <w:tcMar>
              <w:left w:w="85" w:type="dxa"/>
              <w:right w:w="113" w:type="dxa"/>
            </w:tcMar>
          </w:tcPr>
          <w:p>
            <w:pPr>
              <w:pStyle w:val="yTableNAm"/>
              <w:keepNext/>
              <w:tabs>
                <w:tab w:val="left" w:pos="227"/>
                <w:tab w:val="right" w:leader="dot" w:pos="5047"/>
              </w:tabs>
              <w:spacing w:before="0"/>
            </w:pPr>
            <w:r>
              <w:t xml:space="preserve">Bream, Fingermark </w:t>
            </w:r>
            <w:r>
              <w:tab/>
            </w:r>
          </w:p>
        </w:tc>
        <w:tc>
          <w:tcPr>
            <w:tcW w:w="1928" w:type="dxa"/>
            <w:tcMar>
              <w:left w:w="85" w:type="dxa"/>
              <w:right w:w="113" w:type="dxa"/>
            </w:tcMar>
          </w:tcPr>
          <w:p>
            <w:pPr>
              <w:pStyle w:val="yTableNAm"/>
              <w:keepNext/>
              <w:spacing w:before="0"/>
            </w:pPr>
            <w:r>
              <w:t>300</w:t>
            </w:r>
          </w:p>
        </w:tc>
      </w:tr>
      <w:tr>
        <w:tc>
          <w:tcPr>
            <w:tcW w:w="5396" w:type="dxa"/>
            <w:tcMar>
              <w:left w:w="85" w:type="dxa"/>
              <w:right w:w="113" w:type="dxa"/>
            </w:tcMar>
          </w:tcPr>
          <w:p>
            <w:pPr>
              <w:pStyle w:val="yTableNAm"/>
              <w:keepNext/>
              <w:tabs>
                <w:tab w:val="clear" w:pos="567"/>
                <w:tab w:val="left" w:pos="227"/>
                <w:tab w:val="right" w:leader="dot" w:pos="5047"/>
              </w:tabs>
              <w:spacing w:before="0"/>
              <w:ind w:left="236" w:hanging="236"/>
            </w:pPr>
            <w:r>
              <w:t xml:space="preserve">Bream, Northwest Black </w:t>
            </w:r>
            <w:r>
              <w:tab/>
            </w:r>
          </w:p>
        </w:tc>
        <w:tc>
          <w:tcPr>
            <w:tcW w:w="1928" w:type="dxa"/>
            <w:tcMar>
              <w:left w:w="85" w:type="dxa"/>
              <w:right w:w="113" w:type="dxa"/>
            </w:tcMar>
          </w:tcPr>
          <w:p>
            <w:pPr>
              <w:pStyle w:val="yTableNAm"/>
              <w:keepNext/>
              <w:spacing w:before="0"/>
            </w:pPr>
            <w:r>
              <w:t>250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Bream, Yellowfin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116"/>
              </w:tabs>
              <w:spacing w:before="0"/>
              <w:ind w:left="236" w:hanging="236"/>
            </w:pPr>
            <w:r>
              <w:t>Cobbler (Estuary Catfish) when taken or brought onto land other than from waters, and before the date, referred to in Subdivision 1 item 3 — </w:t>
            </w:r>
          </w:p>
        </w:tc>
        <w:tc>
          <w:tcPr>
            <w:tcW w:w="1928" w:type="dxa"/>
            <w:tcMar>
              <w:left w:w="85" w:type="dxa"/>
              <w:right w:w="113" w:type="dxa"/>
            </w:tcMar>
          </w:tcPr>
          <w:p>
            <w:pPr>
              <w:pStyle w:val="yTableNAm"/>
              <w:spacing w:before="0"/>
            </w:pPr>
          </w:p>
        </w:tc>
      </w:tr>
      <w:tr>
        <w:tc>
          <w:tcPr>
            <w:tcW w:w="5396" w:type="dxa"/>
            <w:tcMar>
              <w:left w:w="85" w:type="dxa"/>
              <w:right w:w="113" w:type="dxa"/>
            </w:tcMar>
          </w:tcPr>
          <w:p>
            <w:pPr>
              <w:pStyle w:val="yTableNAm"/>
              <w:tabs>
                <w:tab w:val="clear" w:pos="567"/>
                <w:tab w:val="left" w:pos="227"/>
                <w:tab w:val="left" w:pos="578"/>
                <w:tab w:val="right" w:leader="dot" w:pos="5047"/>
              </w:tabs>
              <w:spacing w:before="0"/>
              <w:ind w:left="578" w:hanging="578"/>
            </w:pPr>
            <w:r>
              <w:tab/>
              <w:t>(a)</w:t>
            </w:r>
            <w:r>
              <w:tab/>
              <w:t xml:space="preserve">when taken by the holder of a commercial fishing licence (partial length) </w:t>
            </w:r>
            <w:r>
              <w:tab/>
            </w:r>
          </w:p>
        </w:tc>
        <w:tc>
          <w:tcPr>
            <w:tcW w:w="1928" w:type="dxa"/>
            <w:tcMar>
              <w:left w:w="85" w:type="dxa"/>
              <w:right w:w="113" w:type="dxa"/>
            </w:tcMar>
          </w:tcPr>
          <w:p>
            <w:pPr>
              <w:pStyle w:val="yTableNAm"/>
              <w:spacing w:before="0"/>
            </w:pPr>
          </w:p>
          <w:p>
            <w:pPr>
              <w:pStyle w:val="yTableNAm"/>
              <w:spacing w:before="0"/>
            </w:pPr>
            <w:r>
              <w:t>320</w:t>
            </w:r>
          </w:p>
        </w:tc>
      </w:tr>
      <w:tr>
        <w:tc>
          <w:tcPr>
            <w:tcW w:w="5396" w:type="dxa"/>
            <w:tcMar>
              <w:left w:w="85" w:type="dxa"/>
              <w:right w:w="113" w:type="dxa"/>
            </w:tcMar>
          </w:tcPr>
          <w:p>
            <w:pPr>
              <w:pStyle w:val="yTableNAm"/>
              <w:tabs>
                <w:tab w:val="clear" w:pos="567"/>
                <w:tab w:val="left" w:pos="227"/>
                <w:tab w:val="left" w:pos="578"/>
                <w:tab w:val="right" w:leader="dot" w:pos="5047"/>
              </w:tabs>
              <w:spacing w:before="0"/>
              <w:ind w:left="578" w:hanging="578"/>
            </w:pPr>
            <w:r>
              <w:tab/>
              <w:t>(b)</w:t>
            </w:r>
            <w:r>
              <w:tab/>
              <w:t xml:space="preserve">in any other case (total length) </w:t>
            </w:r>
            <w:r>
              <w:tab/>
            </w:r>
          </w:p>
        </w:tc>
        <w:tc>
          <w:tcPr>
            <w:tcW w:w="1928" w:type="dxa"/>
            <w:tcMar>
              <w:left w:w="85" w:type="dxa"/>
              <w:right w:w="113" w:type="dxa"/>
            </w:tcMar>
          </w:tcPr>
          <w:p>
            <w:pPr>
              <w:pStyle w:val="yTableNAm"/>
              <w:spacing w:before="0"/>
            </w:pPr>
            <w:r>
              <w:t>430</w:t>
            </w:r>
          </w:p>
        </w:tc>
      </w:tr>
      <w:tr>
        <w:tc>
          <w:tcPr>
            <w:tcW w:w="5396" w:type="dxa"/>
            <w:tcMar>
              <w:left w:w="85" w:type="dxa"/>
              <w:right w:w="113" w:type="dxa"/>
            </w:tcMar>
          </w:tcPr>
          <w:p>
            <w:pPr>
              <w:pStyle w:val="yTableNAm"/>
              <w:tabs>
                <w:tab w:val="clear" w:pos="567"/>
                <w:tab w:val="left" w:pos="227"/>
                <w:tab w:val="right" w:leader="dot" w:pos="5047"/>
              </w:tabs>
              <w:spacing w:before="0"/>
            </w:pPr>
            <w:r>
              <w:t xml:space="preserve">Cobia </w:t>
            </w:r>
            <w:r>
              <w:tab/>
            </w:r>
          </w:p>
        </w:tc>
        <w:tc>
          <w:tcPr>
            <w:tcW w:w="1928" w:type="dxa"/>
            <w:tcMar>
              <w:left w:w="85" w:type="dxa"/>
              <w:right w:w="113" w:type="dxa"/>
            </w:tcMar>
          </w:tcPr>
          <w:p>
            <w:pPr>
              <w:pStyle w:val="yTableNAm"/>
              <w:spacing w:before="0"/>
            </w:pPr>
            <w:r>
              <w:t>750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Cod, Breaksea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Cod, Estuary </w:t>
            </w:r>
            <w:r>
              <w:tab/>
            </w:r>
          </w:p>
        </w:tc>
        <w:tc>
          <w:tcPr>
            <w:tcW w:w="1928" w:type="dxa"/>
            <w:tcMar>
              <w:left w:w="85" w:type="dxa"/>
              <w:right w:w="113" w:type="dxa"/>
            </w:tcMar>
          </w:tcPr>
          <w:p>
            <w:pPr>
              <w:pStyle w:val="yTableNAm"/>
              <w:spacing w:before="0"/>
            </w:pPr>
            <w:r>
              <w:t>400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Coral Trout </w:t>
            </w:r>
            <w:r>
              <w:tab/>
            </w:r>
          </w:p>
        </w:tc>
        <w:tc>
          <w:tcPr>
            <w:tcW w:w="1928" w:type="dxa"/>
            <w:tcMar>
              <w:left w:w="85" w:type="dxa"/>
              <w:right w:w="113" w:type="dxa"/>
            </w:tcMar>
          </w:tcPr>
          <w:p>
            <w:pPr>
              <w:pStyle w:val="yTableNAm"/>
              <w:spacing w:before="0"/>
            </w:pPr>
            <w:r>
              <w:t>450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Dhufish, West Australian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Dolphinfish (Mahi Mahi)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Emperor, Blue</w:t>
            </w:r>
            <w:r>
              <w:noBreakHyphen/>
              <w:t xml:space="preserve">lined </w:t>
            </w:r>
            <w:r>
              <w:tab/>
            </w:r>
          </w:p>
        </w:tc>
        <w:tc>
          <w:tcPr>
            <w:tcW w:w="1928" w:type="dxa"/>
            <w:tcMar>
              <w:left w:w="85" w:type="dxa"/>
              <w:right w:w="113" w:type="dxa"/>
            </w:tcMar>
          </w:tcPr>
          <w:p>
            <w:pPr>
              <w:pStyle w:val="yTableNAm"/>
              <w:spacing w:before="0"/>
            </w:pPr>
            <w:r>
              <w:t>320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Emperor, Red (Government Bream) </w:t>
            </w:r>
            <w:r>
              <w:tab/>
            </w:r>
          </w:p>
        </w:tc>
        <w:tc>
          <w:tcPr>
            <w:tcW w:w="1928" w:type="dxa"/>
            <w:tcMar>
              <w:left w:w="85" w:type="dxa"/>
              <w:right w:w="113" w:type="dxa"/>
            </w:tcMar>
          </w:tcPr>
          <w:p>
            <w:pPr>
              <w:pStyle w:val="yTableNAm"/>
              <w:spacing w:before="0"/>
            </w:pPr>
            <w:r>
              <w:t>410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Emperor, Spangled </w:t>
            </w:r>
            <w:r>
              <w:tab/>
            </w:r>
          </w:p>
        </w:tc>
        <w:tc>
          <w:tcPr>
            <w:tcW w:w="1928" w:type="dxa"/>
            <w:tcMar>
              <w:left w:w="85" w:type="dxa"/>
              <w:right w:w="113" w:type="dxa"/>
            </w:tcMar>
          </w:tcPr>
          <w:p>
            <w:pPr>
              <w:pStyle w:val="yTableNAm"/>
              <w:spacing w:before="0"/>
            </w:pPr>
            <w:r>
              <w:t>410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Flathead, Bar</w:t>
            </w:r>
            <w:r>
              <w:noBreakHyphen/>
              <w:t xml:space="preserve">tailed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Flathead, Blue</w:t>
            </w:r>
            <w:r>
              <w:noBreakHyphen/>
              <w:t xml:space="preserve">spotted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Flathead, Long</w:t>
            </w:r>
            <w:r>
              <w:noBreakHyphen/>
              <w:t xml:space="preserve">spined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Flathead, Marbled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Flounder </w:t>
            </w:r>
            <w:r>
              <w:tab/>
            </w:r>
          </w:p>
        </w:tc>
        <w:tc>
          <w:tcPr>
            <w:tcW w:w="1928" w:type="dxa"/>
            <w:tcMar>
              <w:left w:w="85" w:type="dxa"/>
              <w:right w:w="113" w:type="dxa"/>
            </w:tcMar>
          </w:tcPr>
          <w:p>
            <w:pPr>
              <w:pStyle w:val="yTableNAm"/>
              <w:spacing w:before="0"/>
            </w:pPr>
            <w:r>
              <w:t>250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Groper, Baldchin </w:t>
            </w:r>
            <w:r>
              <w:tab/>
            </w:r>
          </w:p>
        </w:tc>
        <w:tc>
          <w:tcPr>
            <w:tcW w:w="1928" w:type="dxa"/>
            <w:tcMar>
              <w:left w:w="85" w:type="dxa"/>
              <w:right w:w="113" w:type="dxa"/>
            </w:tcMar>
          </w:tcPr>
          <w:p>
            <w:pPr>
              <w:pStyle w:val="yTableNAm"/>
              <w:spacing w:before="0"/>
            </w:pPr>
            <w:r>
              <w:t>400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Groper, Blue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left" w:pos="227"/>
                <w:tab w:val="right" w:leader="dot" w:pos="5047"/>
              </w:tabs>
              <w:spacing w:before="0"/>
              <w:ind w:left="578" w:hanging="578"/>
            </w:pPr>
            <w:r>
              <w:t xml:space="preserve">Javelinfish and Sweetlips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Kingfish (Yellowtail) </w:t>
            </w:r>
            <w:r>
              <w:tab/>
            </w:r>
          </w:p>
        </w:tc>
        <w:tc>
          <w:tcPr>
            <w:tcW w:w="1928" w:type="dxa"/>
            <w:tcMar>
              <w:left w:w="85" w:type="dxa"/>
              <w:right w:w="113" w:type="dxa"/>
            </w:tcMar>
          </w:tcPr>
          <w:p>
            <w:pPr>
              <w:pStyle w:val="yTableNAm"/>
              <w:spacing w:before="0"/>
            </w:pPr>
            <w:r>
              <w:t>600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Leatherjacket </w:t>
            </w:r>
            <w:r>
              <w:tab/>
            </w:r>
          </w:p>
        </w:tc>
        <w:tc>
          <w:tcPr>
            <w:tcW w:w="1928" w:type="dxa"/>
            <w:tcMar>
              <w:left w:w="85" w:type="dxa"/>
              <w:right w:w="113" w:type="dxa"/>
            </w:tcMar>
          </w:tcPr>
          <w:p>
            <w:pPr>
              <w:pStyle w:val="yTableNAm"/>
              <w:spacing w:before="0"/>
            </w:pPr>
            <w:r>
              <w:t>250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Mackerel, Australian Spotted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Mackerel, Broad</w:t>
            </w:r>
            <w:r>
              <w:noBreakHyphen/>
              <w:t xml:space="preserve">barred Spanish </w:t>
            </w:r>
            <w:r>
              <w:tab/>
            </w:r>
          </w:p>
        </w:tc>
        <w:tc>
          <w:tcPr>
            <w:tcW w:w="1928" w:type="dxa"/>
            <w:tcMar>
              <w:left w:w="85" w:type="dxa"/>
              <w:right w:w="113" w:type="dxa"/>
            </w:tcMar>
          </w:tcPr>
          <w:p>
            <w:pPr>
              <w:pStyle w:val="yTableNAm"/>
              <w:spacing w:before="0"/>
            </w:pPr>
            <w:r>
              <w:t>750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Mackerel, Narrow</w:t>
            </w:r>
            <w:r>
              <w:noBreakHyphen/>
              <w:t xml:space="preserve">barred Spanish </w:t>
            </w:r>
            <w:r>
              <w:tab/>
            </w:r>
          </w:p>
        </w:tc>
        <w:tc>
          <w:tcPr>
            <w:tcW w:w="1928" w:type="dxa"/>
            <w:tcMar>
              <w:left w:w="85" w:type="dxa"/>
              <w:right w:w="113" w:type="dxa"/>
            </w:tcMar>
          </w:tcPr>
          <w:p>
            <w:pPr>
              <w:pStyle w:val="yTableNAm"/>
              <w:spacing w:before="0"/>
            </w:pPr>
            <w:r>
              <w:t>900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Mackerel,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Mackerel, Shark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Mackerel, Wahoo </w:t>
            </w:r>
            <w:r>
              <w:tab/>
            </w:r>
          </w:p>
        </w:tc>
        <w:tc>
          <w:tcPr>
            <w:tcW w:w="1928" w:type="dxa"/>
            <w:tcMar>
              <w:left w:w="85" w:type="dxa"/>
              <w:right w:w="113" w:type="dxa"/>
            </w:tcMar>
          </w:tcPr>
          <w:p>
            <w:pPr>
              <w:pStyle w:val="yTableNAm"/>
              <w:spacing w:before="0"/>
            </w:pPr>
            <w:r>
              <w:t>900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Mangrove Jack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Mulloway, Northern </w:t>
            </w:r>
            <w:r>
              <w:tab/>
            </w:r>
          </w:p>
        </w:tc>
        <w:tc>
          <w:tcPr>
            <w:tcW w:w="1928" w:type="dxa"/>
            <w:tcMar>
              <w:left w:w="85" w:type="dxa"/>
              <w:right w:w="113" w:type="dxa"/>
            </w:tcMar>
          </w:tcPr>
          <w:p>
            <w:pPr>
              <w:pStyle w:val="yTableNAm"/>
              <w:spacing w:before="0"/>
            </w:pPr>
            <w:r>
              <w:t>700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Mulloway (River Kingfish)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Pike, Long</w:t>
            </w:r>
            <w:r>
              <w:noBreakHyphen/>
              <w:t xml:space="preserve">finned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Salmon, Australian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Samson Fish (Sea Kingfish) </w:t>
            </w:r>
            <w:r>
              <w:tab/>
            </w:r>
          </w:p>
        </w:tc>
        <w:tc>
          <w:tcPr>
            <w:tcW w:w="1928" w:type="dxa"/>
            <w:tcMar>
              <w:left w:w="85" w:type="dxa"/>
              <w:right w:w="113" w:type="dxa"/>
            </w:tcMar>
          </w:tcPr>
          <w:p>
            <w:pPr>
              <w:pStyle w:val="yTableNAm"/>
              <w:spacing w:before="0"/>
            </w:pPr>
            <w:r>
              <w:t>600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Sea Perch, Stripey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Snapper, Northwest </w:t>
            </w:r>
            <w:r>
              <w:tab/>
            </w:r>
          </w:p>
        </w:tc>
        <w:tc>
          <w:tcPr>
            <w:tcW w:w="1928" w:type="dxa"/>
            <w:tcMar>
              <w:left w:w="85" w:type="dxa"/>
              <w:right w:w="113" w:type="dxa"/>
            </w:tcMar>
          </w:tcPr>
          <w:p>
            <w:pPr>
              <w:pStyle w:val="yTableNAm"/>
              <w:spacing w:before="0"/>
            </w:pPr>
            <w:r>
              <w:t>280</w:t>
            </w:r>
          </w:p>
        </w:tc>
      </w:tr>
      <w:tr>
        <w:tc>
          <w:tcPr>
            <w:tcW w:w="5396" w:type="dxa"/>
            <w:tcMar>
              <w:left w:w="85" w:type="dxa"/>
              <w:right w:w="113" w:type="dxa"/>
            </w:tcMar>
          </w:tcPr>
          <w:p>
            <w:pPr>
              <w:pStyle w:val="yTableNAm"/>
              <w:tabs>
                <w:tab w:val="clear" w:pos="567"/>
                <w:tab w:val="left" w:pos="227"/>
                <w:tab w:val="right" w:leader="dot" w:pos="6237"/>
              </w:tabs>
              <w:spacing w:before="0"/>
              <w:ind w:left="236" w:hanging="236"/>
            </w:pPr>
            <w:r>
              <w:t>Snapper, Pink — </w:t>
            </w:r>
          </w:p>
        </w:tc>
        <w:tc>
          <w:tcPr>
            <w:tcW w:w="1928" w:type="dxa"/>
            <w:tcMar>
              <w:left w:w="85" w:type="dxa"/>
              <w:right w:w="113" w:type="dxa"/>
            </w:tcMar>
          </w:tcPr>
          <w:p>
            <w:pPr>
              <w:pStyle w:val="yTableNAm"/>
              <w:keepNext/>
              <w:spacing w:before="0"/>
            </w:pPr>
          </w:p>
        </w:tc>
      </w:tr>
      <w:tr>
        <w:tc>
          <w:tcPr>
            <w:tcW w:w="5396" w:type="dxa"/>
            <w:tcMar>
              <w:left w:w="85" w:type="dxa"/>
              <w:right w:w="113" w:type="dxa"/>
            </w:tcMar>
          </w:tcPr>
          <w:p>
            <w:pPr>
              <w:pStyle w:val="yTableNAm"/>
              <w:tabs>
                <w:tab w:val="left" w:pos="227"/>
                <w:tab w:val="right" w:leader="dot" w:pos="5047"/>
              </w:tabs>
              <w:spacing w:before="0"/>
              <w:ind w:left="578" w:hanging="578"/>
            </w:pPr>
            <w:r>
              <w:tab/>
              <w:t>(a)</w:t>
            </w:r>
            <w:r>
              <w:tab/>
              <w:t>when taken or brought onto land from the waters of the West Coast Region that are south of 31° 00′ south latitude</w:t>
            </w:r>
            <w:r>
              <w:tab/>
            </w:r>
          </w:p>
        </w:tc>
        <w:tc>
          <w:tcPr>
            <w:tcW w:w="1928" w:type="dxa"/>
            <w:tcMar>
              <w:left w:w="85" w:type="dxa"/>
              <w:right w:w="113" w:type="dxa"/>
            </w:tcMar>
          </w:tcPr>
          <w:p>
            <w:pPr>
              <w:pStyle w:val="yTableNAm"/>
              <w:keepNext/>
              <w:spacing w:before="0"/>
            </w:pPr>
          </w:p>
          <w:p>
            <w:pPr>
              <w:pStyle w:val="yTableNAm"/>
              <w:keepNext/>
              <w:spacing w:before="0"/>
            </w:pPr>
          </w:p>
          <w:p>
            <w:pPr>
              <w:pStyle w:val="yTableNAm"/>
              <w:spacing w:before="0"/>
            </w:pPr>
            <w:r>
              <w:t>500</w:t>
            </w:r>
          </w:p>
        </w:tc>
      </w:tr>
      <w:tr>
        <w:tc>
          <w:tcPr>
            <w:tcW w:w="5396" w:type="dxa"/>
            <w:tcMar>
              <w:left w:w="85" w:type="dxa"/>
              <w:right w:w="113" w:type="dxa"/>
            </w:tcMar>
          </w:tcPr>
          <w:p>
            <w:pPr>
              <w:pStyle w:val="yTableNAm"/>
              <w:tabs>
                <w:tab w:val="clear" w:pos="567"/>
                <w:tab w:val="left" w:pos="227"/>
                <w:tab w:val="left" w:pos="578"/>
                <w:tab w:val="right" w:leader="dot" w:pos="5047"/>
              </w:tabs>
              <w:spacing w:before="0"/>
              <w:ind w:left="578" w:hanging="578"/>
            </w:pPr>
            <w:r>
              <w:tab/>
              <w:t>(b)</w:t>
            </w:r>
            <w:r>
              <w:tab/>
              <w:t xml:space="preserve">when taken or brought onto land from the waters of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other than in an area and during a period referred to in Subdivision 1 item 1(a) or in the waters of the Freycinet Estuary </w:t>
            </w:r>
            <w:r>
              <w:tab/>
            </w:r>
          </w:p>
        </w:tc>
        <w:tc>
          <w:tcPr>
            <w:tcW w:w="1928" w:type="dxa"/>
            <w:tcMar>
              <w:left w:w="85" w:type="dxa"/>
              <w:right w:w="113" w:type="dxa"/>
            </w:tcMar>
          </w:tcPr>
          <w:p>
            <w:pPr>
              <w:pStyle w:val="yTableNAm"/>
              <w:keepNext/>
              <w:keepLines/>
              <w:spacing w:before="0"/>
            </w:pPr>
          </w:p>
          <w:p>
            <w:pPr>
              <w:pStyle w:val="yTableNAm"/>
              <w:keepNext/>
              <w:keepLines/>
              <w:spacing w:before="0"/>
            </w:pPr>
          </w:p>
          <w:p>
            <w:pPr>
              <w:pStyle w:val="yTableNAm"/>
              <w:keepNext/>
              <w:keepLines/>
              <w:spacing w:before="0"/>
            </w:pPr>
          </w:p>
          <w:p>
            <w:pPr>
              <w:pStyle w:val="yTableNAm"/>
              <w:keepNext/>
              <w:keepLines/>
              <w:spacing w:before="0"/>
            </w:pPr>
            <w:r>
              <w:t>500</w:t>
            </w:r>
          </w:p>
        </w:tc>
      </w:tr>
      <w:tr>
        <w:tc>
          <w:tcPr>
            <w:tcW w:w="5396" w:type="dxa"/>
            <w:tcMar>
              <w:left w:w="85" w:type="dxa"/>
              <w:right w:w="113" w:type="dxa"/>
            </w:tcMar>
          </w:tcPr>
          <w:p>
            <w:pPr>
              <w:pStyle w:val="yTableNAm"/>
              <w:tabs>
                <w:tab w:val="clear" w:pos="567"/>
                <w:tab w:val="left" w:pos="227"/>
                <w:tab w:val="left" w:pos="578"/>
                <w:tab w:val="right" w:leader="dot" w:pos="5047"/>
              </w:tabs>
              <w:spacing w:before="0"/>
              <w:ind w:left="578" w:hanging="578"/>
            </w:pPr>
            <w:r>
              <w:tab/>
              <w:t>(c)</w:t>
            </w:r>
            <w:r>
              <w:tab/>
              <w:t xml:space="preserve">in any other case </w:t>
            </w:r>
            <w:r>
              <w:tab/>
            </w:r>
          </w:p>
        </w:tc>
        <w:tc>
          <w:tcPr>
            <w:tcW w:w="1928" w:type="dxa"/>
            <w:tcMar>
              <w:left w:w="85" w:type="dxa"/>
              <w:right w:w="113" w:type="dxa"/>
            </w:tcMar>
          </w:tcPr>
          <w:p>
            <w:pPr>
              <w:pStyle w:val="yTableNAm"/>
              <w:spacing w:before="0"/>
            </w:pPr>
            <w:r>
              <w:t>410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Snapper, Queen (Blue Morwong) </w:t>
            </w:r>
            <w:r>
              <w:tab/>
            </w:r>
          </w:p>
        </w:tc>
        <w:tc>
          <w:tcPr>
            <w:tcW w:w="1928" w:type="dxa"/>
            <w:tcMar>
              <w:left w:w="85" w:type="dxa"/>
              <w:right w:w="113" w:type="dxa"/>
            </w:tcMar>
          </w:tcPr>
          <w:p>
            <w:pPr>
              <w:pStyle w:val="yTableNAm"/>
              <w:spacing w:before="0"/>
            </w:pPr>
            <w:r>
              <w:t>410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Snapper, Red (Redfish)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Snook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Swallowtail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Tailor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Tarwhine (Silver Bream) </w:t>
            </w:r>
            <w:r>
              <w:tab/>
            </w:r>
          </w:p>
        </w:tc>
        <w:tc>
          <w:tcPr>
            <w:tcW w:w="1928" w:type="dxa"/>
            <w:tcMar>
              <w:left w:w="85" w:type="dxa"/>
              <w:right w:w="113" w:type="dxa"/>
            </w:tcMar>
          </w:tcPr>
          <w:p>
            <w:pPr>
              <w:pStyle w:val="yTableNAm"/>
              <w:spacing w:before="0"/>
            </w:pPr>
            <w:r>
              <w:t>250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Threadfin, Giant </w:t>
            </w:r>
            <w:r>
              <w:tab/>
            </w:r>
          </w:p>
        </w:tc>
        <w:tc>
          <w:tcPr>
            <w:tcW w:w="1928" w:type="dxa"/>
            <w:tcMar>
              <w:left w:w="85" w:type="dxa"/>
              <w:right w:w="113" w:type="dxa"/>
            </w:tcMar>
          </w:tcPr>
          <w:p>
            <w:pPr>
              <w:pStyle w:val="yTableNAm"/>
              <w:spacing w:before="0"/>
            </w:pPr>
            <w:r>
              <w:t>450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Trevally, Silver (Skipjack) </w:t>
            </w:r>
            <w:r>
              <w:tab/>
            </w:r>
          </w:p>
        </w:tc>
        <w:tc>
          <w:tcPr>
            <w:tcW w:w="1928" w:type="dxa"/>
            <w:tcMar>
              <w:left w:w="85" w:type="dxa"/>
              <w:right w:w="113" w:type="dxa"/>
            </w:tcMar>
          </w:tcPr>
          <w:p>
            <w:pPr>
              <w:pStyle w:val="yTableNAm"/>
              <w:spacing w:before="0"/>
            </w:pPr>
            <w:r>
              <w:t>250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Tripletail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Tuskfish, Blackspot </w:t>
            </w:r>
            <w:r>
              <w:tab/>
            </w:r>
          </w:p>
        </w:tc>
        <w:tc>
          <w:tcPr>
            <w:tcW w:w="1928" w:type="dxa"/>
            <w:tcMar>
              <w:left w:w="85" w:type="dxa"/>
              <w:right w:w="113" w:type="dxa"/>
            </w:tcMar>
          </w:tcPr>
          <w:p>
            <w:pPr>
              <w:pStyle w:val="yTableNAm"/>
              <w:spacing w:before="0"/>
            </w:pPr>
            <w:r>
              <w:t>400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Tuskfish, Blue </w:t>
            </w:r>
            <w:r>
              <w:tab/>
            </w:r>
          </w:p>
        </w:tc>
        <w:tc>
          <w:tcPr>
            <w:tcW w:w="1928" w:type="dxa"/>
            <w:tcMar>
              <w:left w:w="85" w:type="dxa"/>
              <w:right w:w="113" w:type="dxa"/>
            </w:tcMar>
          </w:tcPr>
          <w:p>
            <w:pPr>
              <w:pStyle w:val="yTableNAm"/>
              <w:spacing w:before="0"/>
            </w:pPr>
            <w:r>
              <w:t>400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Whiting, King George (Spotted) </w:t>
            </w:r>
            <w:r>
              <w:tab/>
            </w:r>
          </w:p>
        </w:tc>
        <w:tc>
          <w:tcPr>
            <w:tcW w:w="1928" w:type="dxa"/>
            <w:tcMar>
              <w:left w:w="85" w:type="dxa"/>
              <w:right w:w="113" w:type="dxa"/>
            </w:tcMar>
          </w:tcPr>
          <w:p>
            <w:pPr>
              <w:pStyle w:val="yTableNAm"/>
              <w:spacing w:before="0"/>
            </w:pPr>
            <w:r>
              <w:t>280</w:t>
            </w:r>
          </w:p>
        </w:tc>
      </w:tr>
    </w:tbl>
    <w:p>
      <w:pPr>
        <w:spacing w:before="120"/>
        <w:rPr>
          <w:snapToGrid w:val="0"/>
        </w:rPr>
      </w:pPr>
    </w:p>
    <w:tbl>
      <w:tblPr>
        <w:tblW w:w="7080" w:type="dxa"/>
        <w:tblInd w:w="85" w:type="dxa"/>
        <w:tblLayout w:type="fixed"/>
        <w:tblCellMar>
          <w:left w:w="113" w:type="dxa"/>
          <w:right w:w="113" w:type="dxa"/>
        </w:tblCellMar>
        <w:tblLook w:val="0000" w:firstRow="0" w:lastRow="0" w:firstColumn="0" w:lastColumn="0" w:noHBand="0" w:noVBand="0"/>
      </w:tblPr>
      <w:tblGrid>
        <w:gridCol w:w="5180"/>
        <w:gridCol w:w="1900"/>
      </w:tblGrid>
      <w:tr>
        <w:trPr>
          <w:tblHeader/>
        </w:trPr>
        <w:tc>
          <w:tcPr>
            <w:tcW w:w="5264" w:type="dxa"/>
            <w:tcBorders>
              <w:top w:val="single" w:sz="8" w:space="0" w:color="auto"/>
              <w:bottom w:val="single" w:sz="8" w:space="0" w:color="auto"/>
            </w:tcBorders>
            <w:tcMar>
              <w:left w:w="85" w:type="dxa"/>
              <w:right w:w="113" w:type="dxa"/>
            </w:tcMar>
            <w:vAlign w:val="center"/>
          </w:tcPr>
          <w:p>
            <w:pPr>
              <w:pStyle w:val="yTableNAm"/>
              <w:keepLines/>
              <w:spacing w:before="0"/>
              <w:rPr>
                <w:b/>
                <w:bCs/>
              </w:rPr>
            </w:pPr>
            <w:r>
              <w:rPr>
                <w:b/>
                <w:bCs/>
              </w:rPr>
              <w:t>Class of fish</w:t>
            </w:r>
          </w:p>
        </w:tc>
        <w:tc>
          <w:tcPr>
            <w:tcW w:w="1928" w:type="dxa"/>
            <w:tcBorders>
              <w:top w:val="single" w:sz="8" w:space="0" w:color="auto"/>
              <w:bottom w:val="single" w:sz="8" w:space="0" w:color="auto"/>
            </w:tcBorders>
            <w:tcMar>
              <w:left w:w="85" w:type="dxa"/>
              <w:right w:w="113" w:type="dxa"/>
            </w:tcMar>
            <w:vAlign w:val="center"/>
          </w:tcPr>
          <w:p>
            <w:pPr>
              <w:pStyle w:val="yTableNAm"/>
              <w:keepLines/>
              <w:spacing w:before="0"/>
              <w:rPr>
                <w:b/>
                <w:bCs/>
              </w:rPr>
            </w:pPr>
            <w:r>
              <w:rPr>
                <w:b/>
                <w:bCs/>
              </w:rPr>
              <w:t>If of a length greater than the length specified in respect of each class of fish (mm)</w:t>
            </w:r>
          </w:p>
        </w:tc>
      </w:tr>
      <w:tr>
        <w:tc>
          <w:tcPr>
            <w:tcW w:w="5264" w:type="dxa"/>
            <w:tcMar>
              <w:left w:w="85" w:type="dxa"/>
              <w:right w:w="113" w:type="dxa"/>
            </w:tcMar>
          </w:tcPr>
          <w:p>
            <w:pPr>
              <w:pStyle w:val="yTableNAm"/>
              <w:keepLines/>
              <w:tabs>
                <w:tab w:val="clear" w:pos="567"/>
                <w:tab w:val="left" w:pos="227"/>
                <w:tab w:val="right" w:leader="dot" w:pos="4982"/>
              </w:tabs>
              <w:spacing w:before="0"/>
              <w:ind w:left="238" w:hanging="238"/>
            </w:pPr>
            <w:r>
              <w:t xml:space="preserve">Barramundi, when taken from the </w:t>
            </w:r>
            <w:smartTag w:uri="urn:schemas-microsoft-com:office:smarttags" w:element="place">
              <w:smartTag w:uri="urn:schemas-microsoft-com:office:smarttags" w:element="PlaceName">
                <w:r>
                  <w:t>Ord</w:t>
                </w:r>
              </w:smartTag>
              <w:r>
                <w:t xml:space="preserve"> </w:t>
              </w:r>
              <w:smartTag w:uri="urn:schemas-microsoft-com:office:smarttags" w:element="PlaceType">
                <w:r>
                  <w:t>River</w:t>
                </w:r>
              </w:smartTag>
            </w:smartTag>
            <w:r>
              <w:t xml:space="preserve"> area waters (as defined in regulation 64ZF)</w:t>
            </w:r>
            <w:r>
              <w:tab/>
            </w:r>
          </w:p>
        </w:tc>
        <w:tc>
          <w:tcPr>
            <w:tcW w:w="1928" w:type="dxa"/>
            <w:tcMar>
              <w:left w:w="85" w:type="dxa"/>
              <w:right w:w="113" w:type="dxa"/>
            </w:tcMar>
          </w:tcPr>
          <w:p>
            <w:pPr>
              <w:pStyle w:val="yTableNAm"/>
              <w:keepLines/>
              <w:spacing w:before="0"/>
            </w:pPr>
          </w:p>
          <w:p>
            <w:pPr>
              <w:pStyle w:val="yTableNAm"/>
              <w:keepLines/>
              <w:spacing w:before="0"/>
            </w:pPr>
            <w:r>
              <w:t>800</w:t>
            </w:r>
          </w:p>
        </w:tc>
      </w:tr>
      <w:tr>
        <w:tc>
          <w:tcPr>
            <w:tcW w:w="5264" w:type="dxa"/>
            <w:tcMar>
              <w:left w:w="85" w:type="dxa"/>
              <w:right w:w="113" w:type="dxa"/>
            </w:tcMar>
          </w:tcPr>
          <w:p>
            <w:pPr>
              <w:pStyle w:val="yTableNAm"/>
              <w:tabs>
                <w:tab w:val="clear" w:pos="567"/>
                <w:tab w:val="left" w:pos="227"/>
                <w:tab w:val="right" w:leader="dot" w:pos="4982"/>
              </w:tabs>
              <w:spacing w:before="0"/>
              <w:ind w:left="238" w:hanging="238"/>
            </w:pPr>
            <w:r>
              <w:t xml:space="preserve">Barramundi, when taken or brought onto land from, or in the possession of a person within the area bounded by a line commencing at the intersection of 17° 27′ south latitude and 123° 08. 23′ east longitude; thence extending due south to 19° 00′ south latitude; thence due east to 125° 50′ east longitude; thence due north to 17° 50′ south latitude; thence due west along 17° 50′ south latitude to the intersection of 17° 50′ south latitude and the northern side of the Great Northern Highway; thence along the northern side of the highway to the eastern side of the Derby Broome Highway; thence along the eastern side of the Derby Broome Highway to the intersection of the eastern side of the highway and 17° 27′ south latitude; thence due west along 17° 27′ south latitude to the starting point (Fitzroy River area) </w:t>
            </w:r>
            <w:r>
              <w:tab/>
            </w:r>
          </w:p>
        </w:tc>
        <w:tc>
          <w:tcPr>
            <w:tcW w:w="1928" w:type="dxa"/>
            <w:tcMar>
              <w:left w:w="85" w:type="dxa"/>
              <w:right w:w="113" w:type="dxa"/>
            </w:tcMar>
            <w:vAlign w:val="bottom"/>
          </w:tcPr>
          <w:p>
            <w:pPr>
              <w:pStyle w:val="yTableNAm"/>
              <w:spacing w:before="0"/>
            </w:pPr>
          </w:p>
          <w:p>
            <w:pPr>
              <w:pStyle w:val="yTableNAm"/>
              <w:spacing w:before="0"/>
            </w:pPr>
            <w:r>
              <w:t>800</w:t>
            </w:r>
          </w:p>
        </w:tc>
      </w:tr>
      <w:tr>
        <w:tc>
          <w:tcPr>
            <w:tcW w:w="5264" w:type="dxa"/>
            <w:tcBorders>
              <w:bottom w:val="single" w:sz="8" w:space="0" w:color="auto"/>
            </w:tcBorders>
            <w:tcMar>
              <w:left w:w="85" w:type="dxa"/>
              <w:right w:w="113" w:type="dxa"/>
            </w:tcMar>
          </w:tcPr>
          <w:p>
            <w:pPr>
              <w:pStyle w:val="yTableNAm"/>
              <w:keepNext/>
              <w:keepLines/>
              <w:tabs>
                <w:tab w:val="clear" w:pos="567"/>
                <w:tab w:val="left" w:pos="227"/>
                <w:tab w:val="right" w:leader="dot" w:pos="4982"/>
              </w:tabs>
              <w:spacing w:before="0"/>
              <w:ind w:left="238" w:hanging="238"/>
            </w:pPr>
            <w:r>
              <w:t xml:space="preserve">Snapper, Pink, when taken or brought onto land from the waters of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other than in an area and during a period referred to in Subdivision 1 paragraph (a) or in the waters of the Freycinet Estuary </w:t>
            </w:r>
            <w:r>
              <w:tab/>
            </w:r>
          </w:p>
        </w:tc>
        <w:tc>
          <w:tcPr>
            <w:tcW w:w="1928" w:type="dxa"/>
            <w:tcBorders>
              <w:bottom w:val="single" w:sz="8" w:space="0" w:color="auto"/>
            </w:tcBorders>
            <w:tcMar>
              <w:left w:w="85" w:type="dxa"/>
              <w:right w:w="113" w:type="dxa"/>
            </w:tcMar>
          </w:tcPr>
          <w:p>
            <w:pPr>
              <w:pStyle w:val="yTableNAm"/>
              <w:keepNext/>
              <w:keepLines/>
              <w:spacing w:before="0"/>
            </w:pPr>
          </w:p>
          <w:p>
            <w:pPr>
              <w:pStyle w:val="yTableNAm"/>
              <w:keepNext/>
              <w:keepLines/>
              <w:spacing w:before="0"/>
            </w:pPr>
          </w:p>
          <w:p>
            <w:pPr>
              <w:pStyle w:val="yTableNAm"/>
              <w:keepNext/>
              <w:keepLines/>
              <w:spacing w:before="0"/>
            </w:pPr>
          </w:p>
          <w:p>
            <w:pPr>
              <w:pStyle w:val="yTableNAm"/>
              <w:keepNext/>
              <w:keepLines/>
              <w:spacing w:before="0"/>
            </w:pPr>
          </w:p>
          <w:p>
            <w:pPr>
              <w:pStyle w:val="yTableNAm"/>
              <w:keepNext/>
              <w:keepLines/>
              <w:spacing w:before="0"/>
            </w:pPr>
            <w:r>
              <w:t>700</w:t>
            </w:r>
          </w:p>
        </w:tc>
      </w:tr>
    </w:tbl>
    <w:p>
      <w:pPr>
        <w:pStyle w:val="yFootnotesection"/>
      </w:pPr>
      <w:r>
        <w:tab/>
        <w:t>[Subdivision 2 amended in Gazette 30 Aug 1996 p. 4320; 4 Jul 1997 p. 3476</w:t>
      </w:r>
      <w:r>
        <w:noBreakHyphen/>
        <w:t>7; 12 Sep 1997 p. 5154; 5 Dec 1997 p. 7123; 7 Jul 1998 p. 3614; 21 Dec 1999 p. 6410; 25 Aug 2000 p. 4905; 26 Feb 2002 p. 786; 28 Feb 2003 p. 662; 7 Mar 2003 p. 747; 1 Oct 2003 p. 6330</w:t>
      </w:r>
      <w:r>
        <w:noBreakHyphen/>
        <w:t>1; 29 Jun 2004 p. 2523; 4 Nov 2005 p. 5314; 22 Dec 2005 p. 6228</w:t>
      </w:r>
      <w:r>
        <w:noBreakHyphen/>
        <w:t>9; 6 Jul 2007 p. 3388; 4 Sep 2007 p. 4520; 19 Dec 2008 p. 5363; 27 Mar 2009 p. 922; 8 Dec 2009 p. 4996; 29 Mar 2011 p. 1151</w:t>
      </w:r>
      <w:r>
        <w:noBreakHyphen/>
        <w:t>3.]</w:t>
      </w:r>
    </w:p>
    <w:p>
      <w:pPr>
        <w:pStyle w:val="yHeading3"/>
        <w:spacing w:after="120"/>
      </w:pPr>
      <w:bookmarkStart w:id="6749" w:name="_Toc189988171"/>
      <w:bookmarkStart w:id="6750" w:name="_Toc192041754"/>
      <w:bookmarkStart w:id="6751" w:name="_Toc199570988"/>
      <w:bookmarkStart w:id="6752" w:name="_Toc199738987"/>
      <w:bookmarkStart w:id="6753" w:name="_Toc199815088"/>
      <w:bookmarkStart w:id="6754" w:name="_Toc215040895"/>
      <w:bookmarkStart w:id="6755" w:name="_Toc215041340"/>
      <w:bookmarkStart w:id="6756" w:name="_Toc222129548"/>
      <w:bookmarkStart w:id="6757" w:name="_Toc222223253"/>
      <w:bookmarkStart w:id="6758" w:name="_Toc225914505"/>
      <w:bookmarkStart w:id="6759" w:name="_Toc231282550"/>
      <w:bookmarkStart w:id="6760" w:name="_Toc231282994"/>
      <w:bookmarkStart w:id="6761" w:name="_Toc234899584"/>
      <w:bookmarkStart w:id="6762" w:name="_Toc236632866"/>
      <w:bookmarkStart w:id="6763" w:name="_Toc236720479"/>
      <w:bookmarkStart w:id="6764" w:name="_Toc237764678"/>
      <w:bookmarkStart w:id="6765" w:name="_Toc238356302"/>
      <w:bookmarkStart w:id="6766" w:name="_Toc238369007"/>
      <w:bookmarkStart w:id="6767" w:name="_Toc238375960"/>
      <w:bookmarkStart w:id="6768" w:name="_Toc240339284"/>
      <w:bookmarkStart w:id="6769" w:name="_Toc241993790"/>
      <w:bookmarkStart w:id="6770" w:name="_Toc243192933"/>
      <w:bookmarkStart w:id="6771" w:name="_Toc243295635"/>
      <w:bookmarkStart w:id="6772" w:name="_Toc245113208"/>
      <w:bookmarkStart w:id="6773" w:name="_Toc245198370"/>
      <w:bookmarkStart w:id="6774" w:name="_Toc245198819"/>
      <w:bookmarkStart w:id="6775" w:name="_Toc245199268"/>
      <w:bookmarkStart w:id="6776" w:name="_Toc248122299"/>
      <w:bookmarkStart w:id="6777" w:name="_Toc248122750"/>
      <w:bookmarkStart w:id="6778" w:name="_Toc253670737"/>
      <w:bookmarkStart w:id="6779" w:name="_Toc253671187"/>
      <w:bookmarkStart w:id="6780" w:name="_Toc254942961"/>
      <w:bookmarkStart w:id="6781" w:name="_Toc254943414"/>
      <w:bookmarkStart w:id="6782" w:name="_Toc255476006"/>
      <w:bookmarkStart w:id="6783" w:name="_Toc256432327"/>
      <w:bookmarkStart w:id="6784" w:name="_Toc257720664"/>
      <w:bookmarkStart w:id="6785" w:name="_Toc257722346"/>
      <w:bookmarkStart w:id="6786" w:name="_Toc258336022"/>
      <w:bookmarkStart w:id="6787" w:name="_Toc260406464"/>
      <w:bookmarkStart w:id="6788" w:name="_Toc261271650"/>
      <w:bookmarkStart w:id="6789" w:name="_Toc262808332"/>
      <w:bookmarkStart w:id="6790" w:name="_Toc267572725"/>
      <w:bookmarkStart w:id="6791" w:name="_Toc270684474"/>
      <w:bookmarkStart w:id="6792" w:name="_Toc274214651"/>
      <w:bookmarkStart w:id="6793" w:name="_Toc274215100"/>
      <w:bookmarkStart w:id="6794" w:name="_Toc278976431"/>
      <w:bookmarkStart w:id="6795" w:name="_Toc286760752"/>
      <w:bookmarkStart w:id="6796" w:name="_Toc289081097"/>
      <w:bookmarkStart w:id="6797" w:name="_Toc290284291"/>
      <w:bookmarkStart w:id="6798" w:name="_Toc290643112"/>
      <w:bookmarkStart w:id="6799" w:name="_Toc290643561"/>
      <w:bookmarkStart w:id="6800" w:name="_Toc290644014"/>
      <w:bookmarkStart w:id="6801" w:name="_Toc294701831"/>
      <w:bookmarkStart w:id="6802" w:name="_Toc295200239"/>
      <w:bookmarkStart w:id="6803" w:name="_Toc296954680"/>
      <w:bookmarkStart w:id="6804" w:name="_Toc297276315"/>
      <w:bookmarkStart w:id="6805" w:name="_Toc297276767"/>
      <w:bookmarkStart w:id="6806" w:name="_Toc297277217"/>
      <w:bookmarkStart w:id="6807" w:name="_Toc297726586"/>
      <w:bookmarkStart w:id="6808" w:name="_Toc299980372"/>
      <w:bookmarkStart w:id="6809" w:name="_Toc300234998"/>
      <w:bookmarkStart w:id="6810" w:name="_Toc301961501"/>
      <w:bookmarkStart w:id="6811" w:name="_Toc301967071"/>
      <w:bookmarkStart w:id="6812" w:name="_Toc303253280"/>
      <w:bookmarkStart w:id="6813" w:name="_Toc303257444"/>
      <w:bookmarkStart w:id="6814" w:name="_Toc307993077"/>
      <w:bookmarkStart w:id="6815" w:name="_Toc309030110"/>
      <w:bookmarkStart w:id="6816" w:name="_Toc309304333"/>
      <w:bookmarkStart w:id="6817" w:name="_Toc309309610"/>
      <w:r>
        <w:t>Division 4 — Freshwater fish</w:t>
      </w:r>
      <w:bookmarkEnd w:id="6749"/>
      <w:bookmarkEnd w:id="6750"/>
      <w:bookmarkEnd w:id="6751"/>
      <w:bookmarkEnd w:id="6752"/>
      <w:bookmarkEnd w:id="6753"/>
      <w:bookmarkEnd w:id="6754"/>
      <w:bookmarkEnd w:id="6755"/>
      <w:bookmarkEnd w:id="6756"/>
      <w:bookmarkEnd w:id="6757"/>
      <w:bookmarkEnd w:id="6758"/>
      <w:bookmarkEnd w:id="6759"/>
      <w:bookmarkEnd w:id="6760"/>
      <w:bookmarkEnd w:id="6761"/>
      <w:bookmarkEnd w:id="6762"/>
      <w:bookmarkEnd w:id="6763"/>
      <w:bookmarkEnd w:id="6764"/>
      <w:bookmarkEnd w:id="6765"/>
      <w:bookmarkEnd w:id="6766"/>
      <w:bookmarkEnd w:id="6767"/>
      <w:bookmarkEnd w:id="6768"/>
      <w:bookmarkEnd w:id="6769"/>
      <w:bookmarkEnd w:id="6770"/>
      <w:bookmarkEnd w:id="6771"/>
      <w:bookmarkEnd w:id="6772"/>
      <w:bookmarkEnd w:id="6773"/>
      <w:bookmarkEnd w:id="6774"/>
      <w:bookmarkEnd w:id="6775"/>
      <w:bookmarkEnd w:id="6776"/>
      <w:bookmarkEnd w:id="6777"/>
      <w:bookmarkEnd w:id="6778"/>
      <w:bookmarkEnd w:id="6779"/>
      <w:bookmarkEnd w:id="6780"/>
      <w:bookmarkEnd w:id="6781"/>
      <w:bookmarkEnd w:id="6782"/>
      <w:bookmarkEnd w:id="6783"/>
      <w:bookmarkEnd w:id="6784"/>
      <w:bookmarkEnd w:id="6785"/>
      <w:bookmarkEnd w:id="6786"/>
      <w:bookmarkEnd w:id="6787"/>
      <w:bookmarkEnd w:id="6788"/>
      <w:bookmarkEnd w:id="6789"/>
      <w:bookmarkEnd w:id="6790"/>
      <w:bookmarkEnd w:id="6791"/>
      <w:bookmarkEnd w:id="6792"/>
      <w:bookmarkEnd w:id="6793"/>
      <w:bookmarkEnd w:id="6794"/>
      <w:bookmarkEnd w:id="6795"/>
      <w:bookmarkEnd w:id="6796"/>
      <w:bookmarkEnd w:id="6797"/>
      <w:bookmarkEnd w:id="6798"/>
      <w:bookmarkEnd w:id="6799"/>
      <w:bookmarkEnd w:id="6800"/>
      <w:bookmarkEnd w:id="6801"/>
      <w:bookmarkEnd w:id="6802"/>
      <w:bookmarkEnd w:id="6803"/>
      <w:bookmarkEnd w:id="6804"/>
      <w:bookmarkEnd w:id="6805"/>
      <w:bookmarkEnd w:id="6806"/>
      <w:bookmarkEnd w:id="6807"/>
      <w:bookmarkEnd w:id="6808"/>
      <w:bookmarkEnd w:id="6809"/>
      <w:bookmarkEnd w:id="6810"/>
      <w:bookmarkEnd w:id="6811"/>
      <w:bookmarkEnd w:id="6812"/>
      <w:bookmarkEnd w:id="6813"/>
      <w:bookmarkEnd w:id="6814"/>
      <w:bookmarkEnd w:id="6815"/>
      <w:bookmarkEnd w:id="6816"/>
      <w:bookmarkEnd w:id="6817"/>
      <w:r>
        <w:t xml:space="preserve"> </w:t>
      </w:r>
    </w:p>
    <w:tbl>
      <w:tblPr>
        <w:tblW w:w="7080" w:type="dxa"/>
        <w:tblInd w:w="85" w:type="dxa"/>
        <w:tblLayout w:type="fixed"/>
        <w:tblCellMar>
          <w:left w:w="113" w:type="dxa"/>
          <w:right w:w="113" w:type="dxa"/>
        </w:tblCellMar>
        <w:tblLook w:val="0000" w:firstRow="0" w:lastRow="0" w:firstColumn="0" w:lastColumn="0" w:noHBand="0" w:noVBand="0"/>
      </w:tblPr>
      <w:tblGrid>
        <w:gridCol w:w="5177"/>
        <w:gridCol w:w="1903"/>
      </w:tblGrid>
      <w:tr>
        <w:trPr>
          <w:tblHeader/>
        </w:trPr>
        <w:tc>
          <w:tcPr>
            <w:tcW w:w="5250" w:type="dxa"/>
            <w:tcBorders>
              <w:top w:val="single" w:sz="8" w:space="0" w:color="auto"/>
              <w:bottom w:val="single" w:sz="8" w:space="0" w:color="auto"/>
            </w:tcBorders>
            <w:tcMar>
              <w:left w:w="85" w:type="dxa"/>
              <w:right w:w="113" w:type="dxa"/>
            </w:tcMar>
            <w:vAlign w:val="center"/>
          </w:tcPr>
          <w:p>
            <w:pPr>
              <w:pStyle w:val="yTableNAm"/>
              <w:keepNext/>
              <w:keepLines/>
              <w:spacing w:before="0"/>
              <w:rPr>
                <w:b/>
                <w:bCs/>
              </w:rPr>
            </w:pPr>
            <w:r>
              <w:rPr>
                <w:b/>
                <w:bCs/>
              </w:rPr>
              <w:t>Class of fish</w:t>
            </w:r>
          </w:p>
        </w:tc>
        <w:tc>
          <w:tcPr>
            <w:tcW w:w="1928" w:type="dxa"/>
            <w:tcBorders>
              <w:top w:val="single" w:sz="8" w:space="0" w:color="auto"/>
              <w:bottom w:val="single" w:sz="8" w:space="0" w:color="auto"/>
            </w:tcBorders>
            <w:tcMar>
              <w:left w:w="85" w:type="dxa"/>
              <w:right w:w="113" w:type="dxa"/>
            </w:tcMar>
            <w:vAlign w:val="center"/>
          </w:tcPr>
          <w:p>
            <w:pPr>
              <w:pStyle w:val="yTableNAm"/>
              <w:keepNext/>
              <w:keepLines/>
              <w:spacing w:before="0"/>
              <w:rPr>
                <w:b/>
                <w:bCs/>
              </w:rPr>
            </w:pPr>
            <w:r>
              <w:rPr>
                <w:b/>
                <w:bCs/>
              </w:rPr>
              <w:t>If of a length less than the length specified in respect of each class of fish (mm)</w:t>
            </w:r>
          </w:p>
        </w:tc>
      </w:tr>
      <w:tr>
        <w:trPr>
          <w:tblHeader/>
        </w:trPr>
        <w:tc>
          <w:tcPr>
            <w:tcW w:w="5250" w:type="dxa"/>
            <w:tcBorders>
              <w:top w:val="single" w:sz="8" w:space="0" w:color="auto"/>
            </w:tcBorders>
            <w:tcMar>
              <w:left w:w="85" w:type="dxa"/>
              <w:right w:w="113" w:type="dxa"/>
            </w:tcMar>
          </w:tcPr>
          <w:p>
            <w:pPr>
              <w:pStyle w:val="yTableNAm"/>
              <w:keepNext/>
              <w:tabs>
                <w:tab w:val="clear" w:pos="567"/>
                <w:tab w:val="left" w:pos="227"/>
                <w:tab w:val="right" w:leader="dot" w:pos="4955"/>
              </w:tabs>
              <w:spacing w:before="0"/>
              <w:ind w:left="236" w:right="24" w:hanging="236"/>
            </w:pPr>
            <w:r>
              <w:t>Grunter, Sooty</w:t>
            </w:r>
            <w:r>
              <w:tab/>
            </w:r>
          </w:p>
        </w:tc>
        <w:tc>
          <w:tcPr>
            <w:tcW w:w="1928" w:type="dxa"/>
            <w:tcBorders>
              <w:top w:val="single" w:sz="8" w:space="0" w:color="auto"/>
            </w:tcBorders>
            <w:tcMar>
              <w:left w:w="85" w:type="dxa"/>
              <w:right w:w="113" w:type="dxa"/>
            </w:tcMar>
          </w:tcPr>
          <w:p>
            <w:pPr>
              <w:pStyle w:val="yTableNAm"/>
              <w:keepNext/>
              <w:keepLines/>
              <w:spacing w:before="0"/>
            </w:pPr>
            <w:r>
              <w:t>250</w:t>
            </w:r>
          </w:p>
        </w:tc>
      </w:tr>
      <w:tr>
        <w:tc>
          <w:tcPr>
            <w:tcW w:w="5250" w:type="dxa"/>
            <w:tcMar>
              <w:left w:w="85" w:type="dxa"/>
              <w:right w:w="113" w:type="dxa"/>
            </w:tcMar>
          </w:tcPr>
          <w:p>
            <w:pPr>
              <w:pStyle w:val="yTableNAm"/>
              <w:keepNext/>
              <w:tabs>
                <w:tab w:val="clear" w:pos="567"/>
                <w:tab w:val="left" w:pos="227"/>
                <w:tab w:val="right" w:leader="dot" w:pos="4955"/>
              </w:tabs>
              <w:spacing w:before="0"/>
              <w:ind w:left="236" w:right="24" w:hanging="236"/>
            </w:pPr>
            <w:r>
              <w:t>Trout, Brown</w:t>
            </w:r>
            <w:r>
              <w:tab/>
            </w:r>
          </w:p>
        </w:tc>
        <w:tc>
          <w:tcPr>
            <w:tcW w:w="1928" w:type="dxa"/>
            <w:tcMar>
              <w:left w:w="85" w:type="dxa"/>
              <w:right w:w="113" w:type="dxa"/>
            </w:tcMar>
          </w:tcPr>
          <w:p>
            <w:pPr>
              <w:pStyle w:val="yTableNAm"/>
              <w:keepNext/>
              <w:spacing w:before="0"/>
            </w:pPr>
            <w:r>
              <w:t>300</w:t>
            </w:r>
          </w:p>
        </w:tc>
      </w:tr>
      <w:tr>
        <w:tc>
          <w:tcPr>
            <w:tcW w:w="5250" w:type="dxa"/>
            <w:tcBorders>
              <w:bottom w:val="single" w:sz="8" w:space="0" w:color="auto"/>
            </w:tcBorders>
            <w:tcMar>
              <w:left w:w="85" w:type="dxa"/>
              <w:right w:w="113" w:type="dxa"/>
            </w:tcMar>
          </w:tcPr>
          <w:p>
            <w:pPr>
              <w:pStyle w:val="yTableNAm"/>
              <w:tabs>
                <w:tab w:val="clear" w:pos="567"/>
                <w:tab w:val="left" w:pos="227"/>
                <w:tab w:val="right" w:leader="dot" w:pos="4955"/>
              </w:tabs>
              <w:spacing w:before="0"/>
              <w:ind w:left="236" w:right="24" w:hanging="236"/>
            </w:pPr>
            <w:r>
              <w:t>Trout, Rainbow</w:t>
            </w:r>
            <w:r>
              <w:tab/>
            </w:r>
          </w:p>
        </w:tc>
        <w:tc>
          <w:tcPr>
            <w:tcW w:w="1928" w:type="dxa"/>
            <w:tcBorders>
              <w:bottom w:val="single" w:sz="8" w:space="0" w:color="auto"/>
            </w:tcBorders>
            <w:tcMar>
              <w:left w:w="85" w:type="dxa"/>
              <w:right w:w="113" w:type="dxa"/>
            </w:tcMar>
          </w:tcPr>
          <w:p>
            <w:pPr>
              <w:pStyle w:val="yTableNAm"/>
              <w:spacing w:before="0"/>
            </w:pPr>
            <w:r>
              <w:t>300</w:t>
            </w:r>
          </w:p>
        </w:tc>
      </w:tr>
    </w:tbl>
    <w:p>
      <w:pPr>
        <w:pStyle w:val="yFootnotesection"/>
        <w:keepLines w:val="0"/>
      </w:pPr>
      <w:r>
        <w:tab/>
        <w:t>[Division 4 amended in Gazette 22 Dec 2005 p. 6229.]</w:t>
      </w:r>
    </w:p>
    <w:p>
      <w:pPr>
        <w:pStyle w:val="yHeading3"/>
        <w:spacing w:after="120"/>
      </w:pPr>
      <w:bookmarkStart w:id="6818" w:name="_Toc189988172"/>
      <w:bookmarkStart w:id="6819" w:name="_Toc192041755"/>
      <w:bookmarkStart w:id="6820" w:name="_Toc199570989"/>
      <w:bookmarkStart w:id="6821" w:name="_Toc199738988"/>
      <w:bookmarkStart w:id="6822" w:name="_Toc199815089"/>
      <w:bookmarkStart w:id="6823" w:name="_Toc215040896"/>
      <w:bookmarkStart w:id="6824" w:name="_Toc215041341"/>
      <w:bookmarkStart w:id="6825" w:name="_Toc222129549"/>
      <w:bookmarkStart w:id="6826" w:name="_Toc222223254"/>
      <w:bookmarkStart w:id="6827" w:name="_Toc225914506"/>
      <w:bookmarkStart w:id="6828" w:name="_Toc231282551"/>
      <w:bookmarkStart w:id="6829" w:name="_Toc231282995"/>
      <w:bookmarkStart w:id="6830" w:name="_Toc234899585"/>
      <w:bookmarkStart w:id="6831" w:name="_Toc236632867"/>
      <w:bookmarkStart w:id="6832" w:name="_Toc236720480"/>
      <w:bookmarkStart w:id="6833" w:name="_Toc237764679"/>
      <w:bookmarkStart w:id="6834" w:name="_Toc238356303"/>
      <w:bookmarkStart w:id="6835" w:name="_Toc238369008"/>
      <w:bookmarkStart w:id="6836" w:name="_Toc238375961"/>
      <w:bookmarkStart w:id="6837" w:name="_Toc240339285"/>
      <w:bookmarkStart w:id="6838" w:name="_Toc241993791"/>
      <w:bookmarkStart w:id="6839" w:name="_Toc243192934"/>
      <w:bookmarkStart w:id="6840" w:name="_Toc243295636"/>
      <w:bookmarkStart w:id="6841" w:name="_Toc245113209"/>
      <w:bookmarkStart w:id="6842" w:name="_Toc245198371"/>
      <w:bookmarkStart w:id="6843" w:name="_Toc245198820"/>
      <w:bookmarkStart w:id="6844" w:name="_Toc245199269"/>
      <w:bookmarkStart w:id="6845" w:name="_Toc248122300"/>
      <w:bookmarkStart w:id="6846" w:name="_Toc248122751"/>
      <w:bookmarkStart w:id="6847" w:name="_Toc253670738"/>
      <w:bookmarkStart w:id="6848" w:name="_Toc253671188"/>
      <w:bookmarkStart w:id="6849" w:name="_Toc254942962"/>
      <w:bookmarkStart w:id="6850" w:name="_Toc254943415"/>
      <w:bookmarkStart w:id="6851" w:name="_Toc255476007"/>
      <w:bookmarkStart w:id="6852" w:name="_Toc256432328"/>
      <w:bookmarkStart w:id="6853" w:name="_Toc257720665"/>
      <w:bookmarkStart w:id="6854" w:name="_Toc257722347"/>
      <w:bookmarkStart w:id="6855" w:name="_Toc258336023"/>
      <w:bookmarkStart w:id="6856" w:name="_Toc260406465"/>
      <w:bookmarkStart w:id="6857" w:name="_Toc261271651"/>
      <w:bookmarkStart w:id="6858" w:name="_Toc262808333"/>
      <w:bookmarkStart w:id="6859" w:name="_Toc267572726"/>
      <w:bookmarkStart w:id="6860" w:name="_Toc270684475"/>
      <w:bookmarkStart w:id="6861" w:name="_Toc274214652"/>
      <w:bookmarkStart w:id="6862" w:name="_Toc274215101"/>
      <w:bookmarkStart w:id="6863" w:name="_Toc278976432"/>
      <w:bookmarkStart w:id="6864" w:name="_Toc286760753"/>
      <w:bookmarkStart w:id="6865" w:name="_Toc289081098"/>
      <w:bookmarkStart w:id="6866" w:name="_Toc290284292"/>
      <w:bookmarkStart w:id="6867" w:name="_Toc290643113"/>
      <w:bookmarkStart w:id="6868" w:name="_Toc290643562"/>
      <w:bookmarkStart w:id="6869" w:name="_Toc290644015"/>
      <w:bookmarkStart w:id="6870" w:name="_Toc294701832"/>
      <w:bookmarkStart w:id="6871" w:name="_Toc295200240"/>
      <w:bookmarkStart w:id="6872" w:name="_Toc296954681"/>
      <w:bookmarkStart w:id="6873" w:name="_Toc297276316"/>
      <w:bookmarkStart w:id="6874" w:name="_Toc297276768"/>
      <w:bookmarkStart w:id="6875" w:name="_Toc297277218"/>
      <w:bookmarkStart w:id="6876" w:name="_Toc297726587"/>
      <w:bookmarkStart w:id="6877" w:name="_Toc299980373"/>
      <w:bookmarkStart w:id="6878" w:name="_Toc300234999"/>
      <w:bookmarkStart w:id="6879" w:name="_Toc301961502"/>
      <w:bookmarkStart w:id="6880" w:name="_Toc301967072"/>
      <w:bookmarkStart w:id="6881" w:name="_Toc303253281"/>
      <w:bookmarkStart w:id="6882" w:name="_Toc303257445"/>
      <w:bookmarkStart w:id="6883" w:name="_Toc307993078"/>
      <w:bookmarkStart w:id="6884" w:name="_Toc309030111"/>
      <w:bookmarkStart w:id="6885" w:name="_Toc309304334"/>
      <w:bookmarkStart w:id="6886" w:name="_Toc309309611"/>
      <w:r>
        <w:t>Division 5 — Crustaceans, other than those listed in Division 1</w:t>
      </w:r>
      <w:bookmarkEnd w:id="6818"/>
      <w:bookmarkEnd w:id="6819"/>
      <w:bookmarkEnd w:id="6820"/>
      <w:bookmarkEnd w:id="6821"/>
      <w:bookmarkEnd w:id="6822"/>
      <w:bookmarkEnd w:id="6823"/>
      <w:bookmarkEnd w:id="6824"/>
      <w:bookmarkEnd w:id="6825"/>
      <w:bookmarkEnd w:id="6826"/>
      <w:bookmarkEnd w:id="6827"/>
      <w:bookmarkEnd w:id="6828"/>
      <w:bookmarkEnd w:id="6829"/>
      <w:bookmarkEnd w:id="6830"/>
      <w:bookmarkEnd w:id="6831"/>
      <w:bookmarkEnd w:id="6832"/>
      <w:bookmarkEnd w:id="6833"/>
      <w:bookmarkEnd w:id="6834"/>
      <w:bookmarkEnd w:id="6835"/>
      <w:bookmarkEnd w:id="6836"/>
      <w:bookmarkEnd w:id="6837"/>
      <w:bookmarkEnd w:id="6838"/>
      <w:bookmarkEnd w:id="6839"/>
      <w:bookmarkEnd w:id="6840"/>
      <w:bookmarkEnd w:id="6841"/>
      <w:bookmarkEnd w:id="6842"/>
      <w:bookmarkEnd w:id="6843"/>
      <w:bookmarkEnd w:id="6844"/>
      <w:bookmarkEnd w:id="6845"/>
      <w:bookmarkEnd w:id="6846"/>
      <w:bookmarkEnd w:id="6847"/>
      <w:bookmarkEnd w:id="6848"/>
      <w:bookmarkEnd w:id="6849"/>
      <w:bookmarkEnd w:id="6850"/>
      <w:bookmarkEnd w:id="6851"/>
      <w:bookmarkEnd w:id="6852"/>
      <w:bookmarkEnd w:id="6853"/>
      <w:bookmarkEnd w:id="6854"/>
      <w:bookmarkEnd w:id="6855"/>
      <w:bookmarkEnd w:id="6856"/>
      <w:bookmarkEnd w:id="6857"/>
      <w:bookmarkEnd w:id="6858"/>
      <w:bookmarkEnd w:id="6859"/>
      <w:bookmarkEnd w:id="6860"/>
      <w:bookmarkEnd w:id="6861"/>
      <w:bookmarkEnd w:id="6862"/>
      <w:bookmarkEnd w:id="6863"/>
      <w:bookmarkEnd w:id="6864"/>
      <w:bookmarkEnd w:id="6865"/>
      <w:bookmarkEnd w:id="6866"/>
      <w:bookmarkEnd w:id="6867"/>
      <w:bookmarkEnd w:id="6868"/>
      <w:bookmarkEnd w:id="6869"/>
      <w:bookmarkEnd w:id="6870"/>
      <w:bookmarkEnd w:id="6871"/>
      <w:bookmarkEnd w:id="6872"/>
      <w:bookmarkEnd w:id="6873"/>
      <w:bookmarkEnd w:id="6874"/>
      <w:bookmarkEnd w:id="6875"/>
      <w:bookmarkEnd w:id="6876"/>
      <w:bookmarkEnd w:id="6877"/>
      <w:bookmarkEnd w:id="6878"/>
      <w:bookmarkEnd w:id="6879"/>
      <w:bookmarkEnd w:id="6880"/>
      <w:bookmarkEnd w:id="6881"/>
      <w:bookmarkEnd w:id="6882"/>
      <w:bookmarkEnd w:id="6883"/>
      <w:bookmarkEnd w:id="6884"/>
      <w:bookmarkEnd w:id="6885"/>
      <w:bookmarkEnd w:id="6886"/>
      <w:r>
        <w:t xml:space="preserve"> </w:t>
      </w:r>
    </w:p>
    <w:tbl>
      <w:tblPr>
        <w:tblW w:w="7052" w:type="dxa"/>
        <w:tblInd w:w="113" w:type="dxa"/>
        <w:tblLayout w:type="fixed"/>
        <w:tblCellMar>
          <w:left w:w="113" w:type="dxa"/>
          <w:right w:w="113" w:type="dxa"/>
        </w:tblCellMar>
        <w:tblLook w:val="0000" w:firstRow="0" w:lastRow="0" w:firstColumn="0" w:lastColumn="0" w:noHBand="0" w:noVBand="0"/>
      </w:tblPr>
      <w:tblGrid>
        <w:gridCol w:w="5161"/>
        <w:gridCol w:w="1891"/>
      </w:tblGrid>
      <w:tr>
        <w:trPr>
          <w:tblHeader/>
        </w:trPr>
        <w:tc>
          <w:tcPr>
            <w:tcW w:w="5161"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Class of fish</w:t>
            </w:r>
          </w:p>
        </w:tc>
        <w:tc>
          <w:tcPr>
            <w:tcW w:w="1890"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If of a length less than the length specified in respect of each class of fish (mm)</w:t>
            </w:r>
          </w:p>
        </w:tc>
      </w:tr>
      <w:tr>
        <w:tc>
          <w:tcPr>
            <w:tcW w:w="5161" w:type="dxa"/>
            <w:tcMar>
              <w:left w:w="85" w:type="dxa"/>
              <w:right w:w="113" w:type="dxa"/>
            </w:tcMar>
          </w:tcPr>
          <w:p>
            <w:pPr>
              <w:pStyle w:val="yTableNAm"/>
              <w:tabs>
                <w:tab w:val="clear" w:pos="567"/>
                <w:tab w:val="left" w:pos="227"/>
                <w:tab w:val="right" w:leader="dot" w:pos="6237"/>
              </w:tabs>
              <w:spacing w:before="0"/>
              <w:ind w:left="236" w:right="237" w:hanging="236"/>
            </w:pPr>
            <w:r>
              <w:t>Crab, Blue Manna —</w:t>
            </w:r>
          </w:p>
        </w:tc>
        <w:tc>
          <w:tcPr>
            <w:tcW w:w="1890" w:type="dxa"/>
            <w:tcMar>
              <w:left w:w="85" w:type="dxa"/>
              <w:right w:w="113" w:type="dxa"/>
            </w:tcMar>
          </w:tcPr>
          <w:p>
            <w:pPr>
              <w:pStyle w:val="yTableNAm"/>
              <w:spacing w:before="0"/>
            </w:pPr>
          </w:p>
        </w:tc>
      </w:tr>
      <w:tr>
        <w:tc>
          <w:tcPr>
            <w:tcW w:w="5161" w:type="dxa"/>
            <w:tcMar>
              <w:left w:w="85" w:type="dxa"/>
              <w:right w:w="113" w:type="dxa"/>
            </w:tcMar>
          </w:tcPr>
          <w:p>
            <w:pPr>
              <w:pStyle w:val="yTableNAm"/>
              <w:tabs>
                <w:tab w:val="left" w:pos="227"/>
                <w:tab w:val="right" w:leader="dot" w:pos="4963"/>
              </w:tabs>
              <w:spacing w:before="0"/>
              <w:ind w:left="578" w:right="237" w:hanging="578"/>
            </w:pPr>
            <w:r>
              <w:tab/>
              <w:t>(a)</w:t>
            </w:r>
            <w:r>
              <w:tab/>
              <w:t>when taken by the holder of a commercial fishing licence from the waters of Geographe Bay south of a line drawn from the intersection of 33</w:t>
            </w:r>
            <w:r>
              <w:rPr>
                <w:snapToGrid w:val="0"/>
              </w:rPr>
              <w:t>° 31.8′</w:t>
            </w:r>
            <w:r>
              <w:t xml:space="preserve"> south latitude and 115</w:t>
            </w:r>
            <w:r>
              <w:rPr>
                <w:snapToGrid w:val="0"/>
              </w:rPr>
              <w:t>° 0.26′</w:t>
            </w:r>
            <w:r>
              <w:t xml:space="preserve"> east longitude (north west tip of Cape Naturaliste) to the intersection of 33</w:t>
            </w:r>
            <w:r>
              <w:rPr>
                <w:snapToGrid w:val="0"/>
              </w:rPr>
              <w:t>° 18.074′</w:t>
            </w:r>
            <w:r>
              <w:t xml:space="preserve"> south latitude and 115</w:t>
            </w:r>
            <w:r>
              <w:rPr>
                <w:snapToGrid w:val="0"/>
              </w:rPr>
              <w:t>° 38.765′</w:t>
            </w:r>
            <w:r>
              <w:t xml:space="preserve"> east longitude (McKenna Point Lighthouse) </w:t>
            </w:r>
            <w:r>
              <w:tab/>
            </w:r>
          </w:p>
        </w:tc>
        <w:tc>
          <w:tcPr>
            <w:tcW w:w="1890" w:type="dxa"/>
            <w:tcMar>
              <w:left w:w="85" w:type="dxa"/>
              <w:right w:w="113" w:type="dxa"/>
            </w:tcMar>
          </w:tcPr>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r>
              <w:t>128</w:t>
            </w:r>
          </w:p>
        </w:tc>
      </w:tr>
      <w:tr>
        <w:tc>
          <w:tcPr>
            <w:tcW w:w="5161" w:type="dxa"/>
            <w:tcMar>
              <w:left w:w="85" w:type="dxa"/>
              <w:right w:w="113" w:type="dxa"/>
            </w:tcMar>
          </w:tcPr>
          <w:p>
            <w:pPr>
              <w:pStyle w:val="yTableNAm"/>
              <w:tabs>
                <w:tab w:val="left" w:pos="227"/>
                <w:tab w:val="right" w:leader="dot" w:pos="4963"/>
              </w:tabs>
              <w:spacing w:before="0"/>
              <w:ind w:left="578" w:right="237" w:hanging="578"/>
            </w:pPr>
            <w:r>
              <w:tab/>
              <w:t>(b)</w:t>
            </w:r>
            <w:r>
              <w:tab/>
              <w:t xml:space="preserve">in any other case </w:t>
            </w:r>
            <w:r>
              <w:tab/>
            </w:r>
          </w:p>
        </w:tc>
        <w:tc>
          <w:tcPr>
            <w:tcW w:w="1890" w:type="dxa"/>
            <w:tcMar>
              <w:left w:w="85" w:type="dxa"/>
              <w:right w:w="113" w:type="dxa"/>
            </w:tcMar>
          </w:tcPr>
          <w:p>
            <w:pPr>
              <w:pStyle w:val="yTableNAm"/>
              <w:keepNext/>
              <w:keepLines/>
              <w:spacing w:before="0"/>
            </w:pPr>
            <w:r>
              <w:t>127</w:t>
            </w:r>
          </w:p>
        </w:tc>
      </w:tr>
      <w:tr>
        <w:tc>
          <w:tcPr>
            <w:tcW w:w="5161" w:type="dxa"/>
            <w:tcMar>
              <w:left w:w="85" w:type="dxa"/>
              <w:right w:w="113" w:type="dxa"/>
            </w:tcMar>
          </w:tcPr>
          <w:p>
            <w:pPr>
              <w:pStyle w:val="yTableNAm"/>
              <w:tabs>
                <w:tab w:val="left" w:pos="227"/>
                <w:tab w:val="right" w:leader="dot" w:pos="4963"/>
              </w:tabs>
              <w:spacing w:before="0"/>
              <w:ind w:left="578" w:right="237" w:hanging="578"/>
            </w:pPr>
            <w:r>
              <w:t xml:space="preserve">Crab, Brown Mud </w:t>
            </w:r>
            <w:r>
              <w:tab/>
            </w:r>
          </w:p>
        </w:tc>
        <w:tc>
          <w:tcPr>
            <w:tcW w:w="1890" w:type="dxa"/>
            <w:tcMar>
              <w:left w:w="85" w:type="dxa"/>
              <w:right w:w="113" w:type="dxa"/>
            </w:tcMar>
          </w:tcPr>
          <w:p>
            <w:pPr>
              <w:pStyle w:val="yTableNAm"/>
              <w:keepNext/>
              <w:keepLines/>
              <w:spacing w:before="0"/>
            </w:pPr>
            <w:r>
              <w:t>120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w:t>
            </w:r>
            <w:smartTag w:uri="urn:schemas-microsoft-com:office:smarttags" w:element="place">
              <w:smartTag w:uri="urn:schemas-microsoft-com:office:smarttags" w:element="State">
                <w:r>
                  <w:t>Champagne</w:t>
                </w:r>
              </w:smartTag>
            </w:smartTag>
            <w:r>
              <w:t xml:space="preserve"> </w:t>
            </w:r>
            <w:r>
              <w:tab/>
            </w:r>
          </w:p>
        </w:tc>
        <w:tc>
          <w:tcPr>
            <w:tcW w:w="1890" w:type="dxa"/>
            <w:tcMar>
              <w:left w:w="85" w:type="dxa"/>
              <w:right w:w="113" w:type="dxa"/>
            </w:tcMar>
          </w:tcPr>
          <w:p>
            <w:pPr>
              <w:pStyle w:val="yTableNAm"/>
              <w:keepNext/>
              <w:keepLines/>
              <w:spacing w:before="0"/>
            </w:pPr>
            <w:r>
              <w:t>92</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Crystal </w:t>
            </w:r>
            <w:r>
              <w:tab/>
            </w:r>
          </w:p>
        </w:tc>
        <w:tc>
          <w:tcPr>
            <w:tcW w:w="1890" w:type="dxa"/>
            <w:tcMar>
              <w:left w:w="85" w:type="dxa"/>
              <w:right w:w="113" w:type="dxa"/>
            </w:tcMar>
          </w:tcPr>
          <w:p>
            <w:pPr>
              <w:pStyle w:val="yTableNAm"/>
              <w:keepNext/>
              <w:keepLines/>
              <w:spacing w:before="0"/>
            </w:pPr>
            <w:r>
              <w:t>120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Giant </w:t>
            </w:r>
            <w:r>
              <w:tab/>
            </w:r>
          </w:p>
        </w:tc>
        <w:tc>
          <w:tcPr>
            <w:tcW w:w="1890" w:type="dxa"/>
            <w:tcMar>
              <w:left w:w="85" w:type="dxa"/>
              <w:right w:w="113" w:type="dxa"/>
            </w:tcMar>
          </w:tcPr>
          <w:p>
            <w:pPr>
              <w:pStyle w:val="yTableNAm"/>
              <w:keepNext/>
              <w:keepLines/>
              <w:spacing w:before="0"/>
            </w:pPr>
            <w:r>
              <w:t>140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Green Mud </w:t>
            </w:r>
            <w:r>
              <w:tab/>
            </w:r>
          </w:p>
        </w:tc>
        <w:tc>
          <w:tcPr>
            <w:tcW w:w="1890" w:type="dxa"/>
            <w:tcMar>
              <w:left w:w="85" w:type="dxa"/>
              <w:right w:w="113" w:type="dxa"/>
            </w:tcMar>
          </w:tcPr>
          <w:p>
            <w:pPr>
              <w:pStyle w:val="yTableNAm"/>
              <w:spacing w:before="0"/>
            </w:pPr>
            <w:r>
              <w:t>150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Marron — </w:t>
            </w:r>
          </w:p>
        </w:tc>
        <w:tc>
          <w:tcPr>
            <w:tcW w:w="1890" w:type="dxa"/>
            <w:tcMar>
              <w:left w:w="85" w:type="dxa"/>
              <w:right w:w="113" w:type="dxa"/>
            </w:tcMar>
          </w:tcPr>
          <w:p>
            <w:pPr>
              <w:pStyle w:val="yTableNAm"/>
              <w:spacing w:before="0"/>
            </w:pPr>
          </w:p>
        </w:tc>
      </w:tr>
      <w:tr>
        <w:tc>
          <w:tcPr>
            <w:tcW w:w="5161" w:type="dxa"/>
            <w:tcMar>
              <w:left w:w="85" w:type="dxa"/>
              <w:right w:w="113" w:type="dxa"/>
            </w:tcMar>
          </w:tcPr>
          <w:p>
            <w:pPr>
              <w:pStyle w:val="yTableNAm"/>
              <w:tabs>
                <w:tab w:val="left" w:pos="227"/>
                <w:tab w:val="right" w:leader="dot" w:pos="4963"/>
              </w:tabs>
              <w:spacing w:before="0"/>
              <w:ind w:left="578" w:right="237" w:hanging="578"/>
            </w:pPr>
            <w:r>
              <w:tab/>
              <w:t>(a)</w:t>
            </w:r>
            <w:r>
              <w:tab/>
              <w:t xml:space="preserve">when taken from marron trophy waters </w:t>
            </w:r>
            <w:r>
              <w:tab/>
            </w:r>
          </w:p>
        </w:tc>
        <w:tc>
          <w:tcPr>
            <w:tcW w:w="1890" w:type="dxa"/>
            <w:tcMar>
              <w:left w:w="85" w:type="dxa"/>
              <w:right w:w="113" w:type="dxa"/>
            </w:tcMar>
          </w:tcPr>
          <w:p>
            <w:pPr>
              <w:pStyle w:val="yTableNAm"/>
              <w:spacing w:before="0"/>
            </w:pPr>
            <w:r>
              <w:t>90</w:t>
            </w:r>
          </w:p>
        </w:tc>
      </w:tr>
      <w:tr>
        <w:tc>
          <w:tcPr>
            <w:tcW w:w="5161" w:type="dxa"/>
            <w:tcMar>
              <w:left w:w="85" w:type="dxa"/>
              <w:right w:w="113" w:type="dxa"/>
            </w:tcMar>
          </w:tcPr>
          <w:p>
            <w:pPr>
              <w:pStyle w:val="yTableNAm"/>
              <w:tabs>
                <w:tab w:val="left" w:pos="227"/>
                <w:tab w:val="right" w:leader="dot" w:pos="4963"/>
              </w:tabs>
              <w:spacing w:before="0"/>
              <w:ind w:left="578" w:right="237" w:hanging="578"/>
            </w:pPr>
            <w:r>
              <w:tab/>
              <w:t>(b)</w:t>
            </w:r>
            <w:r>
              <w:tab/>
              <w:t xml:space="preserve">in any other case </w:t>
            </w:r>
            <w:r>
              <w:tab/>
            </w:r>
          </w:p>
        </w:tc>
        <w:tc>
          <w:tcPr>
            <w:tcW w:w="1890" w:type="dxa"/>
            <w:tcMar>
              <w:left w:w="85" w:type="dxa"/>
              <w:right w:w="113" w:type="dxa"/>
            </w:tcMar>
          </w:tcPr>
          <w:p>
            <w:pPr>
              <w:pStyle w:val="yTableNAm"/>
              <w:spacing w:before="0"/>
            </w:pPr>
            <w:r>
              <w:t>80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Rock Lobster, Southern </w:t>
            </w:r>
            <w:r>
              <w:tab/>
            </w:r>
          </w:p>
        </w:tc>
        <w:tc>
          <w:tcPr>
            <w:tcW w:w="1890" w:type="dxa"/>
            <w:tcMar>
              <w:left w:w="85" w:type="dxa"/>
              <w:right w:w="113" w:type="dxa"/>
            </w:tcMar>
          </w:tcPr>
          <w:p>
            <w:pPr>
              <w:pStyle w:val="yTableNAm"/>
              <w:spacing w:before="0"/>
            </w:pPr>
            <w:r>
              <w:t>98.5</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Rock Lobster, Tropical </w:t>
            </w:r>
            <w:r>
              <w:tab/>
            </w:r>
          </w:p>
        </w:tc>
        <w:tc>
          <w:tcPr>
            <w:tcW w:w="1890" w:type="dxa"/>
            <w:tcMar>
              <w:left w:w="85" w:type="dxa"/>
              <w:right w:w="113" w:type="dxa"/>
            </w:tcMar>
          </w:tcPr>
          <w:p>
            <w:pPr>
              <w:pStyle w:val="yTableNAm"/>
              <w:spacing w:before="0"/>
            </w:pPr>
            <w:r>
              <w:t>76</w:t>
            </w:r>
          </w:p>
        </w:tc>
      </w:tr>
      <w:tr>
        <w:tc>
          <w:tcPr>
            <w:tcW w:w="5161" w:type="dxa"/>
            <w:tcMar>
              <w:left w:w="85" w:type="dxa"/>
              <w:right w:w="113" w:type="dxa"/>
            </w:tcMar>
          </w:tcPr>
          <w:p>
            <w:pPr>
              <w:pStyle w:val="yTableNAm"/>
              <w:tabs>
                <w:tab w:val="left" w:pos="938"/>
                <w:tab w:val="right" w:leader="dot" w:pos="4963"/>
              </w:tabs>
              <w:spacing w:before="0"/>
              <w:ind w:left="938" w:right="237" w:hanging="938"/>
            </w:pPr>
            <w:r>
              <w:t xml:space="preserve">Rock Lobster, Western </w:t>
            </w:r>
            <w:r>
              <w:tab/>
            </w:r>
          </w:p>
        </w:tc>
        <w:tc>
          <w:tcPr>
            <w:tcW w:w="1891" w:type="dxa"/>
            <w:tcMar>
              <w:left w:w="85" w:type="dxa"/>
              <w:right w:w="113" w:type="dxa"/>
            </w:tcMar>
          </w:tcPr>
          <w:p>
            <w:pPr>
              <w:pStyle w:val="yTableNAm"/>
              <w:keepNext/>
              <w:spacing w:before="0"/>
            </w:pPr>
            <w:r>
              <w:rPr>
                <w:szCs w:val="22"/>
              </w:rPr>
              <w:t>76</w:t>
            </w:r>
          </w:p>
        </w:tc>
      </w:tr>
    </w:tbl>
    <w:p/>
    <w:tbl>
      <w:tblPr>
        <w:tblW w:w="7080" w:type="dxa"/>
        <w:tblInd w:w="113" w:type="dxa"/>
        <w:tblLayout w:type="fixed"/>
        <w:tblCellMar>
          <w:left w:w="113" w:type="dxa"/>
          <w:right w:w="113" w:type="dxa"/>
        </w:tblCellMar>
        <w:tblLook w:val="0000" w:firstRow="0" w:lastRow="0" w:firstColumn="0" w:lastColumn="0" w:noHBand="0" w:noVBand="0"/>
      </w:tblPr>
      <w:tblGrid>
        <w:gridCol w:w="5400"/>
        <w:gridCol w:w="1652"/>
        <w:gridCol w:w="28"/>
      </w:tblGrid>
      <w:tr>
        <w:trPr>
          <w:tblHeader/>
        </w:trPr>
        <w:tc>
          <w:tcPr>
            <w:tcW w:w="5400" w:type="dxa"/>
            <w:tcBorders>
              <w:top w:val="single" w:sz="8" w:space="0" w:color="auto"/>
              <w:bottom w:val="single" w:sz="8" w:space="0" w:color="auto"/>
            </w:tcBorders>
            <w:tcMar>
              <w:left w:w="85" w:type="dxa"/>
              <w:right w:w="113" w:type="dxa"/>
            </w:tcMar>
            <w:vAlign w:val="center"/>
          </w:tcPr>
          <w:p>
            <w:pPr>
              <w:pStyle w:val="yTableNAm"/>
              <w:tabs>
                <w:tab w:val="left" w:pos="1058"/>
                <w:tab w:val="left" w:pos="1418"/>
              </w:tabs>
              <w:spacing w:before="0"/>
              <w:ind w:left="1058" w:hanging="1058"/>
              <w:rPr>
                <w:b/>
                <w:bCs/>
              </w:rPr>
            </w:pPr>
            <w:r>
              <w:rPr>
                <w:b/>
                <w:bCs/>
              </w:rPr>
              <w:t>Class of fish</w:t>
            </w:r>
          </w:p>
        </w:tc>
        <w:tc>
          <w:tcPr>
            <w:tcW w:w="1680" w:type="dxa"/>
            <w:gridSpan w:val="2"/>
            <w:tcBorders>
              <w:top w:val="single" w:sz="8" w:space="0" w:color="auto"/>
              <w:bottom w:val="single" w:sz="8" w:space="0" w:color="auto"/>
            </w:tcBorders>
            <w:tcMar>
              <w:left w:w="85" w:type="dxa"/>
              <w:right w:w="57" w:type="dxa"/>
            </w:tcMar>
            <w:vAlign w:val="center"/>
          </w:tcPr>
          <w:p>
            <w:pPr>
              <w:pStyle w:val="yTableNAm"/>
              <w:tabs>
                <w:tab w:val="clear" w:pos="567"/>
              </w:tabs>
              <w:spacing w:before="0"/>
              <w:rPr>
                <w:b/>
                <w:bCs/>
              </w:rPr>
            </w:pPr>
            <w:r>
              <w:rPr>
                <w:b/>
                <w:bCs/>
              </w:rPr>
              <w:t>If of a length greater than the length specified in respect of each class of fish (mm)</w:t>
            </w:r>
          </w:p>
        </w:tc>
      </w:tr>
      <w:tr>
        <w:tc>
          <w:tcPr>
            <w:tcW w:w="5400" w:type="dxa"/>
            <w:tcMar>
              <w:left w:w="85" w:type="dxa"/>
              <w:right w:w="113" w:type="dxa"/>
            </w:tcMar>
          </w:tcPr>
          <w:p>
            <w:pPr>
              <w:pStyle w:val="yTableNAm"/>
              <w:tabs>
                <w:tab w:val="left" w:pos="1058"/>
                <w:tab w:val="left" w:pos="1418"/>
              </w:tabs>
              <w:spacing w:before="0"/>
              <w:ind w:left="1058" w:hanging="1058"/>
            </w:pPr>
            <w:r>
              <w:t>Rock Lobster, Western, female — </w:t>
            </w:r>
          </w:p>
        </w:tc>
        <w:tc>
          <w:tcPr>
            <w:tcW w:w="1680" w:type="dxa"/>
            <w:gridSpan w:val="2"/>
            <w:tcMar>
              <w:left w:w="85" w:type="dxa"/>
              <w:right w:w="113" w:type="dxa"/>
            </w:tcMar>
          </w:tcPr>
          <w:p>
            <w:pPr>
              <w:pStyle w:val="yTableNAm"/>
              <w:tabs>
                <w:tab w:val="left" w:pos="1058"/>
                <w:tab w:val="left" w:pos="1418"/>
              </w:tabs>
              <w:spacing w:before="0"/>
              <w:ind w:left="1058" w:hanging="1058"/>
            </w:pPr>
          </w:p>
        </w:tc>
      </w:tr>
      <w:tr>
        <w:tc>
          <w:tcPr>
            <w:tcW w:w="5400" w:type="dxa"/>
            <w:tcMar>
              <w:left w:w="85" w:type="dxa"/>
              <w:right w:w="113" w:type="dxa"/>
            </w:tcMar>
          </w:tcPr>
          <w:p>
            <w:pPr>
              <w:pStyle w:val="yTableNAm"/>
              <w:tabs>
                <w:tab w:val="left" w:pos="227"/>
                <w:tab w:val="right" w:leader="dot" w:pos="6237"/>
              </w:tabs>
              <w:spacing w:before="0"/>
              <w:ind w:left="578" w:right="237" w:hanging="578"/>
            </w:pPr>
            <w:r>
              <w:tab/>
              <w:t>(a)</w:t>
            </w:r>
            <w:r>
              <w:tab/>
              <w:t>taken from; or</w:t>
            </w:r>
          </w:p>
        </w:tc>
        <w:tc>
          <w:tcPr>
            <w:tcW w:w="1680" w:type="dxa"/>
            <w:gridSpan w:val="2"/>
            <w:tcMar>
              <w:left w:w="85" w:type="dxa"/>
              <w:right w:w="113" w:type="dxa"/>
            </w:tcMar>
          </w:tcPr>
          <w:p>
            <w:pPr>
              <w:pStyle w:val="yTableNAm"/>
              <w:tabs>
                <w:tab w:val="left" w:pos="1058"/>
                <w:tab w:val="left" w:pos="1418"/>
              </w:tabs>
              <w:spacing w:before="0"/>
              <w:ind w:left="1058" w:hanging="1058"/>
            </w:pPr>
          </w:p>
        </w:tc>
      </w:tr>
      <w:tr>
        <w:tc>
          <w:tcPr>
            <w:tcW w:w="5400" w:type="dxa"/>
            <w:tcMar>
              <w:left w:w="85" w:type="dxa"/>
              <w:right w:w="113" w:type="dxa"/>
            </w:tcMar>
          </w:tcPr>
          <w:p>
            <w:pPr>
              <w:pStyle w:val="yTableNAm"/>
              <w:tabs>
                <w:tab w:val="left" w:pos="227"/>
                <w:tab w:val="right" w:leader="dot" w:pos="6237"/>
              </w:tabs>
              <w:spacing w:before="0"/>
              <w:ind w:left="578" w:right="237" w:hanging="578"/>
            </w:pPr>
            <w:r>
              <w:tab/>
              <w:t>(b)</w:t>
            </w:r>
            <w:r>
              <w:tab/>
              <w:t>in the possession of, or consigned by, a person on a boat on; or</w:t>
            </w:r>
          </w:p>
        </w:tc>
        <w:tc>
          <w:tcPr>
            <w:tcW w:w="1680" w:type="dxa"/>
            <w:gridSpan w:val="2"/>
            <w:tcMar>
              <w:left w:w="85" w:type="dxa"/>
              <w:right w:w="113" w:type="dxa"/>
            </w:tcMar>
          </w:tcPr>
          <w:p>
            <w:pPr>
              <w:pStyle w:val="yTableNAm"/>
              <w:tabs>
                <w:tab w:val="left" w:pos="1058"/>
                <w:tab w:val="left" w:pos="1418"/>
              </w:tabs>
              <w:spacing w:before="0"/>
              <w:ind w:left="1058" w:hanging="1058"/>
            </w:pPr>
          </w:p>
        </w:tc>
      </w:tr>
      <w:tr>
        <w:tc>
          <w:tcPr>
            <w:tcW w:w="5400" w:type="dxa"/>
            <w:tcMar>
              <w:left w:w="85" w:type="dxa"/>
              <w:right w:w="113" w:type="dxa"/>
            </w:tcMar>
          </w:tcPr>
          <w:p>
            <w:pPr>
              <w:pStyle w:val="yTableNAm"/>
              <w:tabs>
                <w:tab w:val="left" w:pos="227"/>
                <w:tab w:val="right" w:leader="dot" w:pos="6237"/>
              </w:tabs>
              <w:spacing w:before="0"/>
              <w:ind w:left="578" w:right="237" w:hanging="578"/>
            </w:pPr>
            <w:r>
              <w:tab/>
              <w:t>(c)</w:t>
            </w:r>
            <w:r>
              <w:tab/>
              <w:t>brought ashore from,</w:t>
            </w:r>
          </w:p>
        </w:tc>
        <w:tc>
          <w:tcPr>
            <w:tcW w:w="1680" w:type="dxa"/>
            <w:gridSpan w:val="2"/>
            <w:tcMar>
              <w:left w:w="85" w:type="dxa"/>
              <w:right w:w="113" w:type="dxa"/>
            </w:tcMar>
          </w:tcPr>
          <w:p>
            <w:pPr>
              <w:pStyle w:val="yTableNAm"/>
              <w:tabs>
                <w:tab w:val="left" w:pos="1058"/>
                <w:tab w:val="left" w:pos="1418"/>
              </w:tabs>
              <w:spacing w:before="0"/>
              <w:ind w:left="1058" w:hanging="1058"/>
            </w:pPr>
          </w:p>
        </w:tc>
      </w:tr>
      <w:tr>
        <w:tc>
          <w:tcPr>
            <w:tcW w:w="5400" w:type="dxa"/>
            <w:tcMar>
              <w:left w:w="85" w:type="dxa"/>
              <w:right w:w="113" w:type="dxa"/>
            </w:tcMar>
          </w:tcPr>
          <w:p>
            <w:pPr>
              <w:pStyle w:val="yTableNAm"/>
              <w:tabs>
                <w:tab w:val="clear" w:pos="567"/>
                <w:tab w:val="left" w:pos="227"/>
                <w:tab w:val="right" w:leader="dot" w:pos="5167"/>
              </w:tabs>
              <w:spacing w:before="0"/>
              <w:ind w:left="236" w:right="237" w:hanging="236"/>
            </w:pPr>
            <w:r>
              <w:tab/>
              <w:t xml:space="preserve">the waters between 30° and 34° 24′ south latitude but excluding all waters on the south coast which are east of 115° 08.091′ east longitude </w:t>
            </w:r>
            <w:r>
              <w:tab/>
            </w:r>
          </w:p>
        </w:tc>
        <w:tc>
          <w:tcPr>
            <w:tcW w:w="1680" w:type="dxa"/>
            <w:gridSpan w:val="2"/>
            <w:tcMar>
              <w:left w:w="85" w:type="dxa"/>
              <w:right w:w="113" w:type="dxa"/>
            </w:tcMar>
          </w:tcPr>
          <w:p>
            <w:pPr>
              <w:pStyle w:val="yTableNAm"/>
              <w:tabs>
                <w:tab w:val="left" w:pos="1058"/>
                <w:tab w:val="left" w:pos="1418"/>
              </w:tabs>
              <w:spacing w:before="0"/>
              <w:ind w:left="1058" w:hanging="1058"/>
              <w:jc w:val="both"/>
            </w:pPr>
            <w:r>
              <w:br/>
            </w:r>
          </w:p>
          <w:p>
            <w:pPr>
              <w:pStyle w:val="yTableNAm"/>
              <w:tabs>
                <w:tab w:val="left" w:pos="1058"/>
                <w:tab w:val="left" w:pos="1418"/>
              </w:tabs>
              <w:spacing w:before="0"/>
              <w:ind w:left="1058" w:hanging="1058"/>
            </w:pPr>
            <w:r>
              <w:t>105</w:t>
            </w:r>
          </w:p>
        </w:tc>
      </w:tr>
      <w:tr>
        <w:trPr>
          <w:gridAfter w:val="1"/>
          <w:wAfter w:w="28" w:type="dxa"/>
        </w:trPr>
        <w:tc>
          <w:tcPr>
            <w:tcW w:w="5400" w:type="dxa"/>
            <w:tcMar>
              <w:left w:w="85" w:type="dxa"/>
              <w:right w:w="113" w:type="dxa"/>
            </w:tcMar>
          </w:tcPr>
          <w:p>
            <w:pPr>
              <w:pStyle w:val="yTableNAm"/>
              <w:tabs>
                <w:tab w:val="clear" w:pos="567"/>
                <w:tab w:val="left" w:pos="227"/>
                <w:tab w:val="right" w:leader="dot" w:pos="6237"/>
              </w:tabs>
              <w:spacing w:before="0"/>
              <w:ind w:left="236" w:right="237" w:hanging="236"/>
            </w:pPr>
            <w:r>
              <w:t xml:space="preserve">Rock Lobster, Western, female — </w:t>
            </w:r>
          </w:p>
        </w:tc>
        <w:tc>
          <w:tcPr>
            <w:tcW w:w="1652" w:type="dxa"/>
            <w:tcMar>
              <w:left w:w="85" w:type="dxa"/>
              <w:right w:w="113" w:type="dxa"/>
            </w:tcMar>
          </w:tcPr>
          <w:p>
            <w:pPr>
              <w:pStyle w:val="yTableNAm"/>
              <w:tabs>
                <w:tab w:val="left" w:pos="1058"/>
                <w:tab w:val="left" w:pos="1418"/>
              </w:tabs>
              <w:spacing w:before="0"/>
              <w:ind w:left="1058" w:hanging="1058"/>
            </w:pPr>
          </w:p>
        </w:tc>
      </w:tr>
      <w:tr>
        <w:trPr>
          <w:gridAfter w:val="1"/>
          <w:wAfter w:w="28" w:type="dxa"/>
        </w:trPr>
        <w:tc>
          <w:tcPr>
            <w:tcW w:w="5400" w:type="dxa"/>
            <w:tcMar>
              <w:left w:w="85" w:type="dxa"/>
              <w:right w:w="113" w:type="dxa"/>
            </w:tcMar>
          </w:tcPr>
          <w:p>
            <w:pPr>
              <w:pStyle w:val="yTableNAm"/>
              <w:tabs>
                <w:tab w:val="left" w:pos="227"/>
                <w:tab w:val="right" w:leader="dot" w:pos="6237"/>
              </w:tabs>
              <w:spacing w:before="0"/>
              <w:ind w:left="578" w:right="237" w:hanging="578"/>
            </w:pPr>
            <w:r>
              <w:tab/>
              <w:t>(a)</w:t>
            </w:r>
            <w:r>
              <w:tab/>
              <w:t>taken from; or</w:t>
            </w:r>
          </w:p>
          <w:p>
            <w:pPr>
              <w:pStyle w:val="yTableNAm"/>
              <w:keepNext/>
              <w:tabs>
                <w:tab w:val="left" w:pos="227"/>
                <w:tab w:val="right" w:leader="dot" w:pos="6237"/>
              </w:tabs>
              <w:spacing w:before="0"/>
              <w:ind w:left="578" w:right="237" w:hanging="578"/>
            </w:pPr>
            <w:r>
              <w:tab/>
              <w:t>(b)</w:t>
            </w:r>
            <w:r>
              <w:tab/>
              <w:t xml:space="preserve">in the possession of a person on a boat moored or anchored in; or </w:t>
            </w:r>
          </w:p>
        </w:tc>
        <w:tc>
          <w:tcPr>
            <w:tcW w:w="1652" w:type="dxa"/>
            <w:tcMar>
              <w:left w:w="85" w:type="dxa"/>
              <w:right w:w="113" w:type="dxa"/>
            </w:tcMar>
          </w:tcPr>
          <w:p>
            <w:pPr>
              <w:pStyle w:val="yTableNAm"/>
              <w:tabs>
                <w:tab w:val="left" w:pos="1058"/>
                <w:tab w:val="left" w:pos="1418"/>
              </w:tabs>
              <w:spacing w:before="0"/>
              <w:ind w:left="1058" w:hanging="1058"/>
            </w:pPr>
            <w:r>
              <w:br/>
            </w:r>
          </w:p>
          <w:p>
            <w:pPr>
              <w:pStyle w:val="yTableNAm"/>
              <w:tabs>
                <w:tab w:val="left" w:pos="1058"/>
                <w:tab w:val="left" w:pos="1418"/>
              </w:tabs>
              <w:spacing w:before="0"/>
              <w:ind w:left="1058" w:hanging="1058"/>
            </w:pPr>
          </w:p>
        </w:tc>
      </w:tr>
      <w:tr>
        <w:trPr>
          <w:gridAfter w:val="1"/>
          <w:wAfter w:w="28" w:type="dxa"/>
        </w:trPr>
        <w:tc>
          <w:tcPr>
            <w:tcW w:w="5400" w:type="dxa"/>
            <w:tcMar>
              <w:left w:w="85" w:type="dxa"/>
              <w:right w:w="113" w:type="dxa"/>
            </w:tcMar>
          </w:tcPr>
          <w:p>
            <w:pPr>
              <w:pStyle w:val="yTableNAm"/>
              <w:tabs>
                <w:tab w:val="left" w:pos="227"/>
                <w:tab w:val="right" w:leader="dot" w:pos="6237"/>
              </w:tabs>
              <w:spacing w:before="0"/>
              <w:ind w:left="578" w:right="237" w:hanging="578"/>
            </w:pPr>
            <w:r>
              <w:tab/>
              <w:t>(c)</w:t>
            </w:r>
            <w:r>
              <w:tab/>
              <w:t>brought ashore from,</w:t>
            </w:r>
          </w:p>
          <w:p>
            <w:pPr>
              <w:pStyle w:val="yTableNAm"/>
              <w:tabs>
                <w:tab w:val="left" w:pos="227"/>
                <w:tab w:val="right" w:leader="dot" w:pos="5202"/>
              </w:tabs>
              <w:spacing w:before="0"/>
              <w:ind w:left="578" w:right="237" w:hanging="578"/>
            </w:pPr>
            <w:r>
              <w:tab/>
              <w:t xml:space="preserve">the waters between 21° 44′ and 30° south latitude </w:t>
            </w:r>
            <w:r>
              <w:tab/>
            </w:r>
          </w:p>
        </w:tc>
        <w:tc>
          <w:tcPr>
            <w:tcW w:w="1652" w:type="dxa"/>
            <w:tcMar>
              <w:left w:w="85" w:type="dxa"/>
              <w:right w:w="113" w:type="dxa"/>
            </w:tcMar>
          </w:tcPr>
          <w:p>
            <w:pPr>
              <w:pStyle w:val="yTableNAm"/>
              <w:tabs>
                <w:tab w:val="clear" w:pos="567"/>
              </w:tabs>
              <w:spacing w:before="0"/>
              <w:ind w:left="12" w:firstLine="22"/>
            </w:pPr>
            <w:r>
              <w:br/>
              <w:t>95</w:t>
            </w:r>
          </w:p>
        </w:tc>
      </w:tr>
      <w:tr>
        <w:trPr>
          <w:gridAfter w:val="1"/>
          <w:wAfter w:w="28" w:type="dxa"/>
        </w:trPr>
        <w:tc>
          <w:tcPr>
            <w:tcW w:w="5400" w:type="dxa"/>
            <w:tcMar>
              <w:left w:w="85" w:type="dxa"/>
              <w:right w:w="113" w:type="dxa"/>
            </w:tcMar>
          </w:tcPr>
          <w:p>
            <w:pPr>
              <w:pStyle w:val="yTableNAm"/>
              <w:keepNext/>
              <w:keepLines/>
              <w:tabs>
                <w:tab w:val="clear" w:pos="567"/>
                <w:tab w:val="left" w:pos="227"/>
                <w:tab w:val="right" w:leader="dot" w:pos="6237"/>
              </w:tabs>
              <w:spacing w:before="0"/>
              <w:ind w:left="236" w:right="237" w:hanging="236"/>
            </w:pPr>
            <w:r>
              <w:t>Rock Lobster, Western, female —</w:t>
            </w:r>
          </w:p>
        </w:tc>
        <w:tc>
          <w:tcPr>
            <w:tcW w:w="1652" w:type="dxa"/>
            <w:tcMar>
              <w:left w:w="85" w:type="dxa"/>
              <w:right w:w="113" w:type="dxa"/>
            </w:tcMar>
          </w:tcPr>
          <w:p>
            <w:pPr>
              <w:pStyle w:val="yTableNAm"/>
              <w:keepNext/>
              <w:keepLines/>
              <w:tabs>
                <w:tab w:val="left" w:pos="1058"/>
                <w:tab w:val="left" w:pos="1418"/>
              </w:tabs>
              <w:spacing w:before="0"/>
              <w:ind w:left="1058" w:hanging="1058"/>
            </w:pPr>
          </w:p>
        </w:tc>
      </w:tr>
      <w:tr>
        <w:trPr>
          <w:gridAfter w:val="1"/>
          <w:wAfter w:w="28" w:type="dxa"/>
        </w:trPr>
        <w:tc>
          <w:tcPr>
            <w:tcW w:w="5400" w:type="dxa"/>
            <w:tcMar>
              <w:left w:w="85" w:type="dxa"/>
              <w:right w:w="113" w:type="dxa"/>
            </w:tcMar>
          </w:tcPr>
          <w:p>
            <w:pPr>
              <w:pStyle w:val="yTableNAm"/>
              <w:keepNext/>
              <w:keepLines/>
              <w:tabs>
                <w:tab w:val="left" w:pos="227"/>
                <w:tab w:val="right" w:leader="dot" w:pos="6237"/>
              </w:tabs>
              <w:spacing w:before="0"/>
              <w:ind w:left="578" w:right="237" w:hanging="578"/>
            </w:pPr>
            <w:r>
              <w:tab/>
              <w:t>(a)</w:t>
            </w:r>
            <w:r>
              <w:tab/>
              <w:t>taken; or</w:t>
            </w:r>
          </w:p>
        </w:tc>
        <w:tc>
          <w:tcPr>
            <w:tcW w:w="1652" w:type="dxa"/>
            <w:tcMar>
              <w:left w:w="85" w:type="dxa"/>
              <w:right w:w="113" w:type="dxa"/>
            </w:tcMar>
          </w:tcPr>
          <w:p>
            <w:pPr>
              <w:pStyle w:val="yTableNAm"/>
              <w:keepNext/>
              <w:keepLines/>
              <w:tabs>
                <w:tab w:val="left" w:pos="1058"/>
                <w:tab w:val="left" w:pos="1418"/>
              </w:tabs>
              <w:spacing w:before="0"/>
              <w:ind w:left="1058" w:hanging="1058"/>
            </w:pPr>
          </w:p>
        </w:tc>
      </w:tr>
      <w:tr>
        <w:trPr>
          <w:gridAfter w:val="1"/>
          <w:wAfter w:w="28" w:type="dxa"/>
        </w:trPr>
        <w:tc>
          <w:tcPr>
            <w:tcW w:w="5400" w:type="dxa"/>
            <w:tcMar>
              <w:left w:w="85" w:type="dxa"/>
              <w:right w:w="113" w:type="dxa"/>
            </w:tcMar>
          </w:tcPr>
          <w:p>
            <w:pPr>
              <w:pStyle w:val="yTableNAm"/>
              <w:keepNext/>
              <w:keepLines/>
              <w:tabs>
                <w:tab w:val="left" w:pos="227"/>
                <w:tab w:val="right" w:leader="dot" w:pos="6237"/>
              </w:tabs>
              <w:spacing w:before="0"/>
              <w:ind w:left="578" w:right="237" w:hanging="578"/>
            </w:pPr>
            <w:r>
              <w:tab/>
              <w:t>(b)</w:t>
            </w:r>
            <w:r>
              <w:tab/>
              <w:t>brought ashore,</w:t>
            </w:r>
          </w:p>
        </w:tc>
        <w:tc>
          <w:tcPr>
            <w:tcW w:w="1652" w:type="dxa"/>
            <w:tcMar>
              <w:left w:w="85" w:type="dxa"/>
              <w:right w:w="113" w:type="dxa"/>
            </w:tcMar>
          </w:tcPr>
          <w:p>
            <w:pPr>
              <w:pStyle w:val="yTableNAm"/>
              <w:keepNext/>
              <w:keepLines/>
              <w:tabs>
                <w:tab w:val="left" w:pos="1058"/>
                <w:tab w:val="left" w:pos="1418"/>
              </w:tabs>
              <w:spacing w:before="0"/>
              <w:ind w:left="1058" w:hanging="1058"/>
            </w:pPr>
          </w:p>
        </w:tc>
      </w:tr>
      <w:tr>
        <w:trPr>
          <w:gridAfter w:val="1"/>
          <w:wAfter w:w="28" w:type="dxa"/>
        </w:trPr>
        <w:tc>
          <w:tcPr>
            <w:tcW w:w="5400" w:type="dxa"/>
            <w:tcBorders>
              <w:bottom w:val="single" w:sz="4" w:space="0" w:color="auto"/>
            </w:tcBorders>
            <w:tcMar>
              <w:left w:w="85" w:type="dxa"/>
              <w:right w:w="113" w:type="dxa"/>
            </w:tcMar>
          </w:tcPr>
          <w:p>
            <w:pPr>
              <w:pStyle w:val="yTableNAm"/>
              <w:keepNext/>
              <w:keepLines/>
              <w:tabs>
                <w:tab w:val="clear" w:pos="567"/>
                <w:tab w:val="left" w:pos="227"/>
                <w:tab w:val="right" w:leader="dot" w:pos="5167"/>
              </w:tabs>
              <w:spacing w:before="0"/>
              <w:ind w:left="236" w:right="237" w:hanging="236"/>
            </w:pPr>
            <w:r>
              <w:tab/>
              <w:t>from the waters of the Windy Harbour</w:t>
            </w:r>
            <w:r>
              <w:noBreakHyphen/>
              <w:t xml:space="preserve">Augusta Rock Lobster Managed Fishery (as defined in the </w:t>
            </w:r>
            <w:r>
              <w:rPr>
                <w:i/>
                <w:iCs/>
              </w:rPr>
              <w:t>Windy Harbour</w:t>
            </w:r>
            <w:r>
              <w:rPr>
                <w:i/>
                <w:iCs/>
              </w:rPr>
              <w:noBreakHyphen/>
              <w:t>Augusta Rock Lobster Management Plan 1987</w:t>
            </w:r>
            <w:r>
              <w:t xml:space="preserve">) otherwise than in accordance with the appropriate managed fishery licence </w:t>
            </w:r>
            <w:r>
              <w:tab/>
            </w:r>
          </w:p>
        </w:tc>
        <w:tc>
          <w:tcPr>
            <w:tcW w:w="1652" w:type="dxa"/>
            <w:tcBorders>
              <w:bottom w:val="single" w:sz="4" w:space="0" w:color="auto"/>
            </w:tcBorders>
            <w:tcMar>
              <w:left w:w="85" w:type="dxa"/>
              <w:right w:w="113" w:type="dxa"/>
            </w:tcMar>
          </w:tcPr>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r>
              <w:t>115</w:t>
            </w:r>
          </w:p>
        </w:tc>
      </w:tr>
    </w:tbl>
    <w:p>
      <w:pPr>
        <w:pStyle w:val="yFootnotesection"/>
      </w:pPr>
      <w:r>
        <w:tab/>
        <w:t>[</w:t>
      </w:r>
      <w:r>
        <w:rPr>
          <w:spacing w:val="-2"/>
        </w:rPr>
        <w:t>Division 5 amended in Gazette 12 Sep 1997 p. 5154; 30 Sep 1997 p. 5418; 15 Jan 1999 p. 112; 4 Jun 1999 p. 2271; 24 Oct 2000 p. 5965; 13 Dec 2002 p. 5798; 31 Oct 2003 p. 4563; 22 Dec 2005 p. 6229 (correction in Gazette 9 Jun 2006 p. 2030); 29 Dec 2006 p. 5891; 13 Nov 2007 p. 5692; 13 Mar 2009 p. 760</w:t>
      </w:r>
      <w:r>
        <w:rPr>
          <w:spacing w:val="-2"/>
        </w:rPr>
        <w:noBreakHyphen/>
        <w:t>1; 5 Nov 2009 p. 4413; 18 Nov 2011 p. 4810.]</w:t>
      </w:r>
    </w:p>
    <w:p>
      <w:pPr>
        <w:pStyle w:val="yHeading3"/>
        <w:spacing w:before="160" w:after="120"/>
      </w:pPr>
      <w:bookmarkStart w:id="6887" w:name="_Toc189988173"/>
      <w:bookmarkStart w:id="6888" w:name="_Toc192041756"/>
      <w:bookmarkStart w:id="6889" w:name="_Toc199570990"/>
      <w:bookmarkStart w:id="6890" w:name="_Toc199738989"/>
      <w:bookmarkStart w:id="6891" w:name="_Toc199815090"/>
      <w:bookmarkStart w:id="6892" w:name="_Toc215040897"/>
      <w:bookmarkStart w:id="6893" w:name="_Toc215041342"/>
      <w:bookmarkStart w:id="6894" w:name="_Toc222129550"/>
      <w:bookmarkStart w:id="6895" w:name="_Toc222223255"/>
      <w:bookmarkStart w:id="6896" w:name="_Toc225914507"/>
      <w:bookmarkStart w:id="6897" w:name="_Toc231282552"/>
      <w:bookmarkStart w:id="6898" w:name="_Toc231282996"/>
      <w:bookmarkStart w:id="6899" w:name="_Toc234899586"/>
      <w:bookmarkStart w:id="6900" w:name="_Toc236632868"/>
      <w:bookmarkStart w:id="6901" w:name="_Toc236720481"/>
      <w:bookmarkStart w:id="6902" w:name="_Toc237764680"/>
      <w:bookmarkStart w:id="6903" w:name="_Toc238356304"/>
      <w:bookmarkStart w:id="6904" w:name="_Toc238369009"/>
      <w:bookmarkStart w:id="6905" w:name="_Toc238375962"/>
      <w:bookmarkStart w:id="6906" w:name="_Toc240339286"/>
      <w:bookmarkStart w:id="6907" w:name="_Toc241993792"/>
      <w:bookmarkStart w:id="6908" w:name="_Toc243192935"/>
      <w:bookmarkStart w:id="6909" w:name="_Toc243295637"/>
      <w:bookmarkStart w:id="6910" w:name="_Toc245113210"/>
      <w:bookmarkStart w:id="6911" w:name="_Toc245198372"/>
      <w:bookmarkStart w:id="6912" w:name="_Toc245198821"/>
      <w:bookmarkStart w:id="6913" w:name="_Toc245199270"/>
      <w:bookmarkStart w:id="6914" w:name="_Toc248122301"/>
      <w:bookmarkStart w:id="6915" w:name="_Toc248122752"/>
      <w:bookmarkStart w:id="6916" w:name="_Toc253670739"/>
      <w:bookmarkStart w:id="6917" w:name="_Toc253671189"/>
      <w:bookmarkStart w:id="6918" w:name="_Toc254942963"/>
      <w:bookmarkStart w:id="6919" w:name="_Toc254943416"/>
      <w:bookmarkStart w:id="6920" w:name="_Toc255476008"/>
      <w:bookmarkStart w:id="6921" w:name="_Toc256432329"/>
      <w:bookmarkStart w:id="6922" w:name="_Toc257720666"/>
      <w:bookmarkStart w:id="6923" w:name="_Toc257722348"/>
      <w:bookmarkStart w:id="6924" w:name="_Toc258336024"/>
      <w:bookmarkStart w:id="6925" w:name="_Toc260406466"/>
      <w:bookmarkStart w:id="6926" w:name="_Toc261271652"/>
      <w:bookmarkStart w:id="6927" w:name="_Toc262808334"/>
      <w:bookmarkStart w:id="6928" w:name="_Toc267572727"/>
      <w:bookmarkStart w:id="6929" w:name="_Toc270684476"/>
      <w:bookmarkStart w:id="6930" w:name="_Toc274214653"/>
      <w:bookmarkStart w:id="6931" w:name="_Toc274215102"/>
      <w:bookmarkStart w:id="6932" w:name="_Toc278976433"/>
      <w:bookmarkStart w:id="6933" w:name="_Toc286760754"/>
      <w:bookmarkStart w:id="6934" w:name="_Toc289081099"/>
      <w:bookmarkStart w:id="6935" w:name="_Toc290284293"/>
      <w:bookmarkStart w:id="6936" w:name="_Toc290643114"/>
      <w:bookmarkStart w:id="6937" w:name="_Toc290643563"/>
      <w:bookmarkStart w:id="6938" w:name="_Toc290644016"/>
      <w:bookmarkStart w:id="6939" w:name="_Toc294701833"/>
      <w:bookmarkStart w:id="6940" w:name="_Toc295200241"/>
      <w:bookmarkStart w:id="6941" w:name="_Toc296954682"/>
      <w:bookmarkStart w:id="6942" w:name="_Toc297276317"/>
      <w:bookmarkStart w:id="6943" w:name="_Toc297276769"/>
      <w:bookmarkStart w:id="6944" w:name="_Toc297277219"/>
      <w:bookmarkStart w:id="6945" w:name="_Toc297726588"/>
      <w:bookmarkStart w:id="6946" w:name="_Toc299980374"/>
      <w:bookmarkStart w:id="6947" w:name="_Toc300235000"/>
      <w:bookmarkStart w:id="6948" w:name="_Toc301961503"/>
      <w:bookmarkStart w:id="6949" w:name="_Toc301967073"/>
      <w:bookmarkStart w:id="6950" w:name="_Toc303253282"/>
      <w:bookmarkStart w:id="6951" w:name="_Toc303257446"/>
      <w:bookmarkStart w:id="6952" w:name="_Toc307993079"/>
      <w:bookmarkStart w:id="6953" w:name="_Toc309030112"/>
      <w:bookmarkStart w:id="6954" w:name="_Toc309304335"/>
      <w:bookmarkStart w:id="6955" w:name="_Toc309309612"/>
      <w:r>
        <w:t>Division 6 — Molluscs</w:t>
      </w:r>
      <w:bookmarkEnd w:id="6887"/>
      <w:bookmarkEnd w:id="6888"/>
      <w:bookmarkEnd w:id="6889"/>
      <w:bookmarkEnd w:id="6890"/>
      <w:bookmarkEnd w:id="6891"/>
      <w:bookmarkEnd w:id="6892"/>
      <w:bookmarkEnd w:id="6893"/>
      <w:bookmarkEnd w:id="6894"/>
      <w:bookmarkEnd w:id="6895"/>
      <w:bookmarkEnd w:id="6896"/>
      <w:bookmarkEnd w:id="6897"/>
      <w:bookmarkEnd w:id="6898"/>
      <w:bookmarkEnd w:id="6899"/>
      <w:bookmarkEnd w:id="6900"/>
      <w:bookmarkEnd w:id="6901"/>
      <w:bookmarkEnd w:id="6902"/>
      <w:bookmarkEnd w:id="6903"/>
      <w:bookmarkEnd w:id="6904"/>
      <w:bookmarkEnd w:id="6905"/>
      <w:bookmarkEnd w:id="6906"/>
      <w:bookmarkEnd w:id="6907"/>
      <w:bookmarkEnd w:id="6908"/>
      <w:bookmarkEnd w:id="6909"/>
      <w:bookmarkEnd w:id="6910"/>
      <w:bookmarkEnd w:id="6911"/>
      <w:bookmarkEnd w:id="6912"/>
      <w:bookmarkEnd w:id="6913"/>
      <w:bookmarkEnd w:id="6914"/>
      <w:bookmarkEnd w:id="6915"/>
      <w:bookmarkEnd w:id="6916"/>
      <w:bookmarkEnd w:id="6917"/>
      <w:bookmarkEnd w:id="6918"/>
      <w:bookmarkEnd w:id="6919"/>
      <w:bookmarkEnd w:id="6920"/>
      <w:bookmarkEnd w:id="6921"/>
      <w:bookmarkEnd w:id="6922"/>
      <w:bookmarkEnd w:id="6923"/>
      <w:bookmarkEnd w:id="6924"/>
      <w:bookmarkEnd w:id="6925"/>
      <w:bookmarkEnd w:id="6926"/>
      <w:bookmarkEnd w:id="6927"/>
      <w:bookmarkEnd w:id="6928"/>
      <w:bookmarkEnd w:id="6929"/>
      <w:bookmarkEnd w:id="6930"/>
      <w:bookmarkEnd w:id="6931"/>
      <w:bookmarkEnd w:id="6932"/>
      <w:bookmarkEnd w:id="6933"/>
      <w:bookmarkEnd w:id="6934"/>
      <w:bookmarkEnd w:id="6935"/>
      <w:bookmarkEnd w:id="6936"/>
      <w:bookmarkEnd w:id="6937"/>
      <w:bookmarkEnd w:id="6938"/>
      <w:bookmarkEnd w:id="6939"/>
      <w:bookmarkEnd w:id="6940"/>
      <w:bookmarkEnd w:id="6941"/>
      <w:bookmarkEnd w:id="6942"/>
      <w:bookmarkEnd w:id="6943"/>
      <w:bookmarkEnd w:id="6944"/>
      <w:bookmarkEnd w:id="6945"/>
      <w:bookmarkEnd w:id="6946"/>
      <w:bookmarkEnd w:id="6947"/>
      <w:bookmarkEnd w:id="6948"/>
      <w:bookmarkEnd w:id="6949"/>
      <w:bookmarkEnd w:id="6950"/>
      <w:bookmarkEnd w:id="6951"/>
      <w:bookmarkEnd w:id="6952"/>
      <w:bookmarkEnd w:id="6953"/>
      <w:bookmarkEnd w:id="6954"/>
      <w:bookmarkEnd w:id="6955"/>
      <w:r>
        <w:t xml:space="preserve"> </w:t>
      </w:r>
    </w:p>
    <w:tbl>
      <w:tblPr>
        <w:tblW w:w="7080" w:type="dxa"/>
        <w:tblInd w:w="113" w:type="dxa"/>
        <w:tblLayout w:type="fixed"/>
        <w:tblCellMar>
          <w:left w:w="113" w:type="dxa"/>
          <w:right w:w="113" w:type="dxa"/>
        </w:tblCellMar>
        <w:tblLook w:val="0000" w:firstRow="0" w:lastRow="0" w:firstColumn="0" w:lastColumn="0" w:noHBand="0" w:noVBand="0"/>
      </w:tblPr>
      <w:tblGrid>
        <w:gridCol w:w="5214"/>
        <w:gridCol w:w="1866"/>
      </w:tblGrid>
      <w:tr>
        <w:trPr>
          <w:tblHeader/>
        </w:trPr>
        <w:tc>
          <w:tcPr>
            <w:tcW w:w="5400" w:type="dxa"/>
            <w:tcBorders>
              <w:top w:val="single" w:sz="8" w:space="0" w:color="auto"/>
              <w:bottom w:val="single" w:sz="8" w:space="0" w:color="auto"/>
            </w:tcBorders>
            <w:tcMar>
              <w:left w:w="85" w:type="dxa"/>
              <w:right w:w="113" w:type="dxa"/>
            </w:tcMar>
            <w:vAlign w:val="center"/>
          </w:tcPr>
          <w:p>
            <w:pPr>
              <w:pStyle w:val="yTableNAm"/>
              <w:keepNext/>
              <w:spacing w:before="0"/>
              <w:rPr>
                <w:b/>
                <w:bCs/>
              </w:rPr>
            </w:pPr>
            <w:r>
              <w:rPr>
                <w:b/>
                <w:bCs/>
              </w:rPr>
              <w:t>Class of fish</w:t>
            </w:r>
          </w:p>
        </w:tc>
        <w:tc>
          <w:tcPr>
            <w:tcW w:w="1928" w:type="dxa"/>
            <w:tcBorders>
              <w:top w:val="single" w:sz="8" w:space="0" w:color="auto"/>
              <w:bottom w:val="single" w:sz="8" w:space="0" w:color="auto"/>
            </w:tcBorders>
            <w:tcMar>
              <w:left w:w="85" w:type="dxa"/>
              <w:right w:w="113" w:type="dxa"/>
            </w:tcMar>
            <w:vAlign w:val="center"/>
          </w:tcPr>
          <w:p>
            <w:pPr>
              <w:pStyle w:val="yTableNAm"/>
              <w:keepNext/>
              <w:spacing w:before="0"/>
              <w:rPr>
                <w:b/>
                <w:bCs/>
              </w:rPr>
            </w:pPr>
            <w:r>
              <w:rPr>
                <w:b/>
                <w:bCs/>
              </w:rPr>
              <w:t>If of a length less than the length specified in respect of each class of fish (mm)</w:t>
            </w:r>
          </w:p>
        </w:tc>
      </w:tr>
      <w:tr>
        <w:tc>
          <w:tcPr>
            <w:tcW w:w="5400" w:type="dxa"/>
            <w:tcMar>
              <w:left w:w="85" w:type="dxa"/>
              <w:right w:w="113" w:type="dxa"/>
            </w:tcMar>
          </w:tcPr>
          <w:p>
            <w:pPr>
              <w:pStyle w:val="yTableNAm"/>
              <w:keepNext/>
              <w:tabs>
                <w:tab w:val="clear" w:pos="567"/>
                <w:tab w:val="left" w:pos="227"/>
                <w:tab w:val="right" w:leader="dot" w:pos="5016"/>
              </w:tabs>
              <w:spacing w:before="0"/>
              <w:ind w:left="236" w:right="237" w:hanging="236"/>
            </w:pPr>
            <w:r>
              <w:t>Abalone, Brownlip</w:t>
            </w:r>
            <w:r>
              <w:tab/>
            </w:r>
          </w:p>
        </w:tc>
        <w:tc>
          <w:tcPr>
            <w:tcW w:w="1928" w:type="dxa"/>
            <w:tcMar>
              <w:left w:w="85" w:type="dxa"/>
              <w:right w:w="113" w:type="dxa"/>
            </w:tcMar>
          </w:tcPr>
          <w:p>
            <w:pPr>
              <w:pStyle w:val="yTableNAm"/>
              <w:keepNext/>
              <w:spacing w:before="0"/>
            </w:pPr>
            <w:r>
              <w:t>140</w:t>
            </w:r>
          </w:p>
        </w:tc>
      </w:tr>
      <w:tr>
        <w:tc>
          <w:tcPr>
            <w:tcW w:w="5400" w:type="dxa"/>
            <w:tcMar>
              <w:left w:w="85" w:type="dxa"/>
              <w:right w:w="113" w:type="dxa"/>
            </w:tcMar>
          </w:tcPr>
          <w:p>
            <w:pPr>
              <w:pStyle w:val="yTableNAm"/>
              <w:keepNext/>
              <w:tabs>
                <w:tab w:val="clear" w:pos="567"/>
                <w:tab w:val="left" w:pos="227"/>
                <w:tab w:val="right" w:leader="dot" w:pos="5016"/>
              </w:tabs>
              <w:spacing w:before="0"/>
              <w:ind w:left="236" w:right="237" w:hanging="236"/>
            </w:pPr>
            <w:r>
              <w:t>Abalone, Greenlip</w:t>
            </w:r>
            <w:r>
              <w:tab/>
            </w:r>
          </w:p>
        </w:tc>
        <w:tc>
          <w:tcPr>
            <w:tcW w:w="1928" w:type="dxa"/>
            <w:tcMar>
              <w:left w:w="85" w:type="dxa"/>
              <w:right w:w="113" w:type="dxa"/>
            </w:tcMar>
          </w:tcPr>
          <w:p>
            <w:pPr>
              <w:pStyle w:val="yTableNAm"/>
              <w:keepNext/>
              <w:spacing w:before="0"/>
            </w:pPr>
            <w:r>
              <w:t>140</w:t>
            </w:r>
          </w:p>
        </w:tc>
      </w:tr>
      <w:tr>
        <w:tc>
          <w:tcPr>
            <w:tcW w:w="5400" w:type="dxa"/>
            <w:tcMar>
              <w:left w:w="85" w:type="dxa"/>
              <w:right w:w="113" w:type="dxa"/>
            </w:tcMar>
          </w:tcPr>
          <w:p>
            <w:pPr>
              <w:pStyle w:val="yTableNAm"/>
              <w:tabs>
                <w:tab w:val="clear" w:pos="567"/>
                <w:tab w:val="left" w:pos="227"/>
                <w:tab w:val="right" w:leader="dot" w:pos="5016"/>
              </w:tabs>
              <w:spacing w:before="0"/>
              <w:ind w:left="236" w:right="237" w:hanging="236"/>
            </w:pPr>
            <w:r>
              <w:t>Abalone, Roe’s</w:t>
            </w:r>
            <w:r>
              <w:tab/>
            </w:r>
          </w:p>
        </w:tc>
        <w:tc>
          <w:tcPr>
            <w:tcW w:w="1928" w:type="dxa"/>
            <w:tcMar>
              <w:left w:w="85" w:type="dxa"/>
              <w:right w:w="113" w:type="dxa"/>
            </w:tcMar>
          </w:tcPr>
          <w:p>
            <w:pPr>
              <w:pStyle w:val="yTableNAm"/>
              <w:spacing w:before="0"/>
            </w:pPr>
            <w:r>
              <w:t>60</w:t>
            </w:r>
          </w:p>
        </w:tc>
      </w:tr>
      <w:tr>
        <w:tc>
          <w:tcPr>
            <w:tcW w:w="5400" w:type="dxa"/>
            <w:tcBorders>
              <w:bottom w:val="single" w:sz="8" w:space="0" w:color="auto"/>
            </w:tcBorders>
            <w:tcMar>
              <w:left w:w="85" w:type="dxa"/>
              <w:right w:w="113" w:type="dxa"/>
            </w:tcMar>
          </w:tcPr>
          <w:p>
            <w:pPr>
              <w:pStyle w:val="yTableNAm"/>
              <w:tabs>
                <w:tab w:val="clear" w:pos="567"/>
                <w:tab w:val="left" w:pos="227"/>
                <w:tab w:val="right" w:leader="dot" w:pos="5016"/>
              </w:tabs>
              <w:spacing w:before="0"/>
              <w:ind w:left="236" w:right="237" w:hanging="236"/>
            </w:pPr>
            <w:r>
              <w:t>Trochus</w:t>
            </w:r>
            <w:r>
              <w:tab/>
            </w:r>
          </w:p>
        </w:tc>
        <w:tc>
          <w:tcPr>
            <w:tcW w:w="1928" w:type="dxa"/>
            <w:tcBorders>
              <w:bottom w:val="single" w:sz="8" w:space="0" w:color="auto"/>
            </w:tcBorders>
            <w:tcMar>
              <w:left w:w="85" w:type="dxa"/>
              <w:right w:w="113" w:type="dxa"/>
            </w:tcMar>
          </w:tcPr>
          <w:p>
            <w:pPr>
              <w:pStyle w:val="yTableNAm"/>
              <w:spacing w:before="0"/>
            </w:pPr>
            <w:r>
              <w:t>65</w:t>
            </w:r>
          </w:p>
        </w:tc>
      </w:tr>
    </w:tbl>
    <w:p>
      <w:pPr>
        <w:pStyle w:val="yScheduleHeading"/>
      </w:pPr>
      <w:bookmarkStart w:id="6956" w:name="_Toc189988174"/>
      <w:bookmarkStart w:id="6957" w:name="_Toc192041757"/>
      <w:bookmarkStart w:id="6958" w:name="_Toc199570991"/>
      <w:bookmarkStart w:id="6959" w:name="_Toc199738990"/>
      <w:bookmarkStart w:id="6960" w:name="_Toc199815091"/>
      <w:bookmarkStart w:id="6961" w:name="_Toc215040898"/>
      <w:bookmarkStart w:id="6962" w:name="_Toc215041343"/>
      <w:bookmarkStart w:id="6963" w:name="_Toc222129551"/>
      <w:bookmarkStart w:id="6964" w:name="_Toc222223256"/>
      <w:bookmarkStart w:id="6965" w:name="_Toc225914508"/>
      <w:bookmarkStart w:id="6966" w:name="_Toc231282553"/>
      <w:bookmarkStart w:id="6967" w:name="_Toc231282997"/>
      <w:bookmarkStart w:id="6968" w:name="_Toc234899587"/>
      <w:bookmarkStart w:id="6969" w:name="_Toc236632869"/>
      <w:bookmarkStart w:id="6970" w:name="_Toc236720482"/>
      <w:bookmarkStart w:id="6971" w:name="_Toc237764681"/>
      <w:bookmarkStart w:id="6972" w:name="_Toc238356305"/>
      <w:bookmarkStart w:id="6973" w:name="_Toc238369010"/>
      <w:bookmarkStart w:id="6974" w:name="_Toc238375963"/>
      <w:bookmarkStart w:id="6975" w:name="_Toc240339287"/>
      <w:bookmarkStart w:id="6976" w:name="_Toc241993793"/>
      <w:bookmarkStart w:id="6977" w:name="_Toc243192936"/>
      <w:bookmarkStart w:id="6978" w:name="_Toc243295638"/>
      <w:bookmarkStart w:id="6979" w:name="_Toc245113211"/>
      <w:bookmarkStart w:id="6980" w:name="_Toc245198373"/>
      <w:bookmarkStart w:id="6981" w:name="_Toc245198822"/>
      <w:bookmarkStart w:id="6982" w:name="_Toc245199271"/>
      <w:bookmarkStart w:id="6983" w:name="_Toc248122302"/>
      <w:bookmarkStart w:id="6984" w:name="_Toc248122753"/>
      <w:bookmarkStart w:id="6985" w:name="_Toc253670740"/>
      <w:bookmarkStart w:id="6986" w:name="_Toc253671190"/>
      <w:bookmarkStart w:id="6987" w:name="_Toc254942964"/>
      <w:bookmarkStart w:id="6988" w:name="_Toc254943417"/>
      <w:bookmarkStart w:id="6989" w:name="_Toc255476009"/>
      <w:bookmarkStart w:id="6990" w:name="_Toc256432330"/>
      <w:bookmarkStart w:id="6991" w:name="_Toc257720667"/>
      <w:bookmarkStart w:id="6992" w:name="_Toc257722349"/>
      <w:bookmarkStart w:id="6993" w:name="_Toc258336025"/>
      <w:bookmarkStart w:id="6994" w:name="_Toc260406467"/>
      <w:bookmarkStart w:id="6995" w:name="_Toc261271653"/>
      <w:bookmarkStart w:id="6996" w:name="_Toc262808335"/>
      <w:bookmarkStart w:id="6997" w:name="_Toc267572728"/>
      <w:bookmarkStart w:id="6998" w:name="_Toc270684477"/>
      <w:bookmarkStart w:id="6999" w:name="_Toc274214654"/>
      <w:bookmarkStart w:id="7000" w:name="_Toc274215103"/>
      <w:bookmarkStart w:id="7001" w:name="_Toc278976434"/>
      <w:bookmarkStart w:id="7002" w:name="_Toc286760755"/>
      <w:bookmarkStart w:id="7003" w:name="_Toc289081100"/>
      <w:bookmarkStart w:id="7004" w:name="_Toc290284294"/>
      <w:bookmarkStart w:id="7005" w:name="_Toc290643115"/>
      <w:bookmarkStart w:id="7006" w:name="_Toc290643564"/>
      <w:bookmarkStart w:id="7007" w:name="_Toc290644017"/>
      <w:bookmarkStart w:id="7008" w:name="_Toc294701834"/>
      <w:bookmarkStart w:id="7009" w:name="_Toc295200242"/>
      <w:bookmarkStart w:id="7010" w:name="_Toc296954683"/>
      <w:bookmarkStart w:id="7011" w:name="_Toc297276318"/>
      <w:bookmarkStart w:id="7012" w:name="_Toc297276770"/>
      <w:bookmarkStart w:id="7013" w:name="_Toc297277220"/>
      <w:bookmarkStart w:id="7014" w:name="_Toc297726589"/>
      <w:bookmarkStart w:id="7015" w:name="_Toc299980375"/>
      <w:bookmarkStart w:id="7016" w:name="_Toc300235001"/>
      <w:bookmarkStart w:id="7017" w:name="_Toc301961504"/>
      <w:bookmarkStart w:id="7018" w:name="_Toc301967074"/>
      <w:bookmarkStart w:id="7019" w:name="_Toc303253283"/>
      <w:bookmarkStart w:id="7020" w:name="_Toc303257447"/>
      <w:bookmarkStart w:id="7021" w:name="_Toc307993080"/>
      <w:bookmarkStart w:id="7022" w:name="_Toc309030113"/>
      <w:bookmarkStart w:id="7023" w:name="_Toc309304336"/>
      <w:bookmarkStart w:id="7024" w:name="_Toc309309613"/>
      <w:r>
        <w:rPr>
          <w:rStyle w:val="CharSchNo"/>
        </w:rPr>
        <w:t>Schedule 3</w:t>
      </w:r>
      <w:bookmarkEnd w:id="6956"/>
      <w:bookmarkEnd w:id="6957"/>
      <w:bookmarkEnd w:id="6958"/>
      <w:bookmarkEnd w:id="6959"/>
      <w:bookmarkEnd w:id="6960"/>
      <w:bookmarkEnd w:id="6961"/>
      <w:bookmarkEnd w:id="6962"/>
      <w:bookmarkEnd w:id="6963"/>
      <w:bookmarkEnd w:id="6964"/>
      <w:bookmarkEnd w:id="6965"/>
      <w:bookmarkEnd w:id="6966"/>
      <w:bookmarkEnd w:id="6967"/>
      <w:bookmarkEnd w:id="6968"/>
      <w:bookmarkEnd w:id="6969"/>
      <w:bookmarkEnd w:id="6970"/>
      <w:bookmarkEnd w:id="6971"/>
      <w:bookmarkEnd w:id="6972"/>
      <w:bookmarkEnd w:id="6973"/>
      <w:bookmarkEnd w:id="6974"/>
      <w:bookmarkEnd w:id="6975"/>
      <w:bookmarkEnd w:id="6976"/>
      <w:bookmarkEnd w:id="6977"/>
      <w:bookmarkEnd w:id="6978"/>
      <w:bookmarkEnd w:id="6979"/>
      <w:bookmarkEnd w:id="6980"/>
      <w:bookmarkEnd w:id="6981"/>
      <w:bookmarkEnd w:id="6982"/>
      <w:bookmarkEnd w:id="6983"/>
      <w:bookmarkEnd w:id="6984"/>
      <w:bookmarkEnd w:id="6985"/>
      <w:bookmarkEnd w:id="6986"/>
      <w:bookmarkEnd w:id="6987"/>
      <w:bookmarkEnd w:id="6988"/>
      <w:bookmarkEnd w:id="6989"/>
      <w:bookmarkEnd w:id="6990"/>
      <w:bookmarkEnd w:id="6991"/>
      <w:bookmarkEnd w:id="6992"/>
      <w:bookmarkEnd w:id="6993"/>
      <w:bookmarkEnd w:id="6994"/>
      <w:bookmarkEnd w:id="6995"/>
      <w:bookmarkEnd w:id="6996"/>
      <w:bookmarkEnd w:id="6997"/>
      <w:bookmarkEnd w:id="6998"/>
      <w:bookmarkEnd w:id="6999"/>
      <w:bookmarkEnd w:id="7000"/>
      <w:bookmarkEnd w:id="7001"/>
      <w:bookmarkEnd w:id="7002"/>
      <w:bookmarkEnd w:id="7003"/>
      <w:bookmarkEnd w:id="7004"/>
      <w:bookmarkEnd w:id="7005"/>
      <w:bookmarkEnd w:id="7006"/>
      <w:bookmarkEnd w:id="7007"/>
      <w:bookmarkEnd w:id="7008"/>
      <w:bookmarkEnd w:id="7009"/>
      <w:bookmarkEnd w:id="7010"/>
      <w:bookmarkEnd w:id="7011"/>
      <w:bookmarkEnd w:id="7012"/>
      <w:bookmarkEnd w:id="7013"/>
      <w:bookmarkEnd w:id="7014"/>
      <w:bookmarkEnd w:id="7015"/>
      <w:bookmarkEnd w:id="7016"/>
      <w:bookmarkEnd w:id="7017"/>
      <w:bookmarkEnd w:id="7018"/>
      <w:bookmarkEnd w:id="7019"/>
      <w:bookmarkEnd w:id="7020"/>
      <w:bookmarkEnd w:id="7021"/>
      <w:bookmarkEnd w:id="7022"/>
      <w:bookmarkEnd w:id="7023"/>
      <w:bookmarkEnd w:id="7024"/>
    </w:p>
    <w:p>
      <w:pPr>
        <w:pStyle w:val="yShoulderClause"/>
        <w:spacing w:before="60"/>
      </w:pPr>
      <w:r>
        <w:t>[Part 4B]</w:t>
      </w:r>
    </w:p>
    <w:p>
      <w:pPr>
        <w:pStyle w:val="yHeading2"/>
      </w:pPr>
      <w:bookmarkStart w:id="7025" w:name="_Toc189988175"/>
      <w:bookmarkStart w:id="7026" w:name="_Toc192041758"/>
      <w:bookmarkStart w:id="7027" w:name="_Toc199570992"/>
      <w:bookmarkStart w:id="7028" w:name="_Toc199738991"/>
      <w:bookmarkStart w:id="7029" w:name="_Toc199815092"/>
      <w:bookmarkStart w:id="7030" w:name="_Toc215040899"/>
      <w:bookmarkStart w:id="7031" w:name="_Toc215041344"/>
      <w:bookmarkStart w:id="7032" w:name="_Toc222129552"/>
      <w:bookmarkStart w:id="7033" w:name="_Toc222223257"/>
      <w:bookmarkStart w:id="7034" w:name="_Toc225914509"/>
      <w:bookmarkStart w:id="7035" w:name="_Toc231282554"/>
      <w:bookmarkStart w:id="7036" w:name="_Toc231282998"/>
      <w:bookmarkStart w:id="7037" w:name="_Toc234899588"/>
      <w:bookmarkStart w:id="7038" w:name="_Toc236632870"/>
      <w:bookmarkStart w:id="7039" w:name="_Toc236720483"/>
      <w:bookmarkStart w:id="7040" w:name="_Toc237764682"/>
      <w:bookmarkStart w:id="7041" w:name="_Toc238356306"/>
      <w:bookmarkStart w:id="7042" w:name="_Toc238369011"/>
      <w:bookmarkStart w:id="7043" w:name="_Toc238375964"/>
      <w:bookmarkStart w:id="7044" w:name="_Toc240339288"/>
      <w:bookmarkStart w:id="7045" w:name="_Toc241993794"/>
      <w:bookmarkStart w:id="7046" w:name="_Toc243192937"/>
      <w:bookmarkStart w:id="7047" w:name="_Toc243295639"/>
      <w:bookmarkStart w:id="7048" w:name="_Toc245113212"/>
      <w:bookmarkStart w:id="7049" w:name="_Toc245198374"/>
      <w:bookmarkStart w:id="7050" w:name="_Toc245198823"/>
      <w:bookmarkStart w:id="7051" w:name="_Toc245199272"/>
      <w:bookmarkStart w:id="7052" w:name="_Toc248122303"/>
      <w:bookmarkStart w:id="7053" w:name="_Toc248122754"/>
      <w:bookmarkStart w:id="7054" w:name="_Toc253670741"/>
      <w:bookmarkStart w:id="7055" w:name="_Toc253671191"/>
      <w:bookmarkStart w:id="7056" w:name="_Toc254942965"/>
      <w:bookmarkStart w:id="7057" w:name="_Toc254943418"/>
      <w:bookmarkStart w:id="7058" w:name="_Toc255476010"/>
      <w:bookmarkStart w:id="7059" w:name="_Toc256432331"/>
      <w:bookmarkStart w:id="7060" w:name="_Toc257720668"/>
      <w:bookmarkStart w:id="7061" w:name="_Toc257722350"/>
      <w:bookmarkStart w:id="7062" w:name="_Toc258336026"/>
      <w:bookmarkStart w:id="7063" w:name="_Toc260406468"/>
      <w:bookmarkStart w:id="7064" w:name="_Toc261271654"/>
      <w:bookmarkStart w:id="7065" w:name="_Toc262808336"/>
      <w:bookmarkStart w:id="7066" w:name="_Toc267572729"/>
      <w:bookmarkStart w:id="7067" w:name="_Toc270684478"/>
      <w:bookmarkStart w:id="7068" w:name="_Toc274214655"/>
      <w:bookmarkStart w:id="7069" w:name="_Toc274215104"/>
      <w:bookmarkStart w:id="7070" w:name="_Toc278976435"/>
      <w:bookmarkStart w:id="7071" w:name="_Toc286760756"/>
      <w:bookmarkStart w:id="7072" w:name="_Toc289081101"/>
      <w:bookmarkStart w:id="7073" w:name="_Toc290284295"/>
      <w:bookmarkStart w:id="7074" w:name="_Toc290643116"/>
      <w:bookmarkStart w:id="7075" w:name="_Toc290643565"/>
      <w:bookmarkStart w:id="7076" w:name="_Toc290644018"/>
      <w:bookmarkStart w:id="7077" w:name="_Toc294701835"/>
      <w:bookmarkStart w:id="7078" w:name="_Toc295200243"/>
      <w:bookmarkStart w:id="7079" w:name="_Toc296954684"/>
      <w:bookmarkStart w:id="7080" w:name="_Toc297276319"/>
      <w:bookmarkStart w:id="7081" w:name="_Toc297276771"/>
      <w:bookmarkStart w:id="7082" w:name="_Toc297277221"/>
      <w:bookmarkStart w:id="7083" w:name="_Toc297726590"/>
      <w:bookmarkStart w:id="7084" w:name="_Toc299980376"/>
      <w:bookmarkStart w:id="7085" w:name="_Toc300235002"/>
      <w:bookmarkStart w:id="7086" w:name="_Toc301961505"/>
      <w:bookmarkStart w:id="7087" w:name="_Toc301967075"/>
      <w:bookmarkStart w:id="7088" w:name="_Toc303253284"/>
      <w:bookmarkStart w:id="7089" w:name="_Toc303257448"/>
      <w:bookmarkStart w:id="7090" w:name="_Toc307993081"/>
      <w:bookmarkStart w:id="7091" w:name="_Toc309030114"/>
      <w:bookmarkStart w:id="7092" w:name="_Toc309304337"/>
      <w:bookmarkStart w:id="7093" w:name="_Toc309309614"/>
      <w:r>
        <w:rPr>
          <w:rStyle w:val="CharSchText"/>
        </w:rPr>
        <w:t>Bag limits</w:t>
      </w:r>
      <w:bookmarkEnd w:id="7025"/>
      <w:bookmarkEnd w:id="7026"/>
      <w:bookmarkEnd w:id="7027"/>
      <w:bookmarkEnd w:id="7028"/>
      <w:bookmarkEnd w:id="7029"/>
      <w:bookmarkEnd w:id="7030"/>
      <w:bookmarkEnd w:id="7031"/>
      <w:bookmarkEnd w:id="7032"/>
      <w:bookmarkEnd w:id="7033"/>
      <w:bookmarkEnd w:id="7034"/>
      <w:bookmarkEnd w:id="7035"/>
      <w:bookmarkEnd w:id="7036"/>
      <w:bookmarkEnd w:id="7037"/>
      <w:bookmarkEnd w:id="7038"/>
      <w:bookmarkEnd w:id="7039"/>
      <w:bookmarkEnd w:id="7040"/>
      <w:bookmarkEnd w:id="7041"/>
      <w:bookmarkEnd w:id="7042"/>
      <w:bookmarkEnd w:id="7043"/>
      <w:bookmarkEnd w:id="7044"/>
      <w:bookmarkEnd w:id="7045"/>
      <w:bookmarkEnd w:id="7046"/>
      <w:bookmarkEnd w:id="7047"/>
      <w:bookmarkEnd w:id="7048"/>
      <w:bookmarkEnd w:id="7049"/>
      <w:bookmarkEnd w:id="7050"/>
      <w:bookmarkEnd w:id="7051"/>
      <w:bookmarkEnd w:id="7052"/>
      <w:bookmarkEnd w:id="7053"/>
      <w:bookmarkEnd w:id="7054"/>
      <w:bookmarkEnd w:id="7055"/>
      <w:bookmarkEnd w:id="7056"/>
      <w:bookmarkEnd w:id="7057"/>
      <w:bookmarkEnd w:id="7058"/>
      <w:bookmarkEnd w:id="7059"/>
      <w:bookmarkEnd w:id="7060"/>
      <w:bookmarkEnd w:id="7061"/>
      <w:bookmarkEnd w:id="7062"/>
      <w:bookmarkEnd w:id="7063"/>
      <w:bookmarkEnd w:id="7064"/>
      <w:bookmarkEnd w:id="7065"/>
      <w:bookmarkEnd w:id="7066"/>
      <w:bookmarkEnd w:id="7067"/>
      <w:bookmarkEnd w:id="7068"/>
      <w:bookmarkEnd w:id="7069"/>
      <w:bookmarkEnd w:id="7070"/>
      <w:bookmarkEnd w:id="7071"/>
      <w:bookmarkEnd w:id="7072"/>
      <w:bookmarkEnd w:id="7073"/>
      <w:bookmarkEnd w:id="7074"/>
      <w:bookmarkEnd w:id="7075"/>
      <w:bookmarkEnd w:id="7076"/>
      <w:bookmarkEnd w:id="7077"/>
      <w:bookmarkEnd w:id="7078"/>
      <w:bookmarkEnd w:id="7079"/>
      <w:bookmarkEnd w:id="7080"/>
      <w:bookmarkEnd w:id="7081"/>
      <w:bookmarkEnd w:id="7082"/>
      <w:bookmarkEnd w:id="7083"/>
      <w:bookmarkEnd w:id="7084"/>
      <w:bookmarkEnd w:id="7085"/>
      <w:bookmarkEnd w:id="7086"/>
      <w:bookmarkEnd w:id="7087"/>
      <w:bookmarkEnd w:id="7088"/>
      <w:bookmarkEnd w:id="7089"/>
      <w:bookmarkEnd w:id="7090"/>
      <w:bookmarkEnd w:id="7091"/>
      <w:bookmarkEnd w:id="7092"/>
      <w:bookmarkEnd w:id="7093"/>
    </w:p>
    <w:p>
      <w:pPr>
        <w:pStyle w:val="yFootnoteheading"/>
      </w:pPr>
      <w:r>
        <w:tab/>
        <w:t>[Heading inserted in Gazette 1 Oct 2003 p. 4332.]</w:t>
      </w:r>
    </w:p>
    <w:p>
      <w:pPr>
        <w:pStyle w:val="yHeading2"/>
      </w:pPr>
      <w:bookmarkStart w:id="7094" w:name="_Toc189988176"/>
      <w:bookmarkStart w:id="7095" w:name="_Toc192041759"/>
      <w:bookmarkStart w:id="7096" w:name="_Toc199570993"/>
      <w:bookmarkStart w:id="7097" w:name="_Toc199738992"/>
      <w:bookmarkStart w:id="7098" w:name="_Toc199815093"/>
      <w:bookmarkStart w:id="7099" w:name="_Toc215040900"/>
      <w:bookmarkStart w:id="7100" w:name="_Toc215041345"/>
      <w:bookmarkStart w:id="7101" w:name="_Toc222129553"/>
      <w:bookmarkStart w:id="7102" w:name="_Toc222223258"/>
      <w:bookmarkStart w:id="7103" w:name="_Toc225914510"/>
      <w:bookmarkStart w:id="7104" w:name="_Toc231282555"/>
      <w:bookmarkStart w:id="7105" w:name="_Toc231282999"/>
      <w:bookmarkStart w:id="7106" w:name="_Toc234899589"/>
      <w:bookmarkStart w:id="7107" w:name="_Toc236632871"/>
      <w:bookmarkStart w:id="7108" w:name="_Toc236720484"/>
      <w:bookmarkStart w:id="7109" w:name="_Toc237764683"/>
      <w:bookmarkStart w:id="7110" w:name="_Toc238356307"/>
      <w:bookmarkStart w:id="7111" w:name="_Toc238369012"/>
      <w:bookmarkStart w:id="7112" w:name="_Toc238375965"/>
      <w:bookmarkStart w:id="7113" w:name="_Toc240339289"/>
      <w:bookmarkStart w:id="7114" w:name="_Toc241993795"/>
      <w:bookmarkStart w:id="7115" w:name="_Toc243192938"/>
      <w:bookmarkStart w:id="7116" w:name="_Toc243295640"/>
      <w:bookmarkStart w:id="7117" w:name="_Toc245113213"/>
      <w:bookmarkStart w:id="7118" w:name="_Toc245198375"/>
      <w:bookmarkStart w:id="7119" w:name="_Toc245198824"/>
      <w:bookmarkStart w:id="7120" w:name="_Toc245199273"/>
      <w:bookmarkStart w:id="7121" w:name="_Toc248122304"/>
      <w:bookmarkStart w:id="7122" w:name="_Toc248122755"/>
      <w:bookmarkStart w:id="7123" w:name="_Toc253670742"/>
      <w:bookmarkStart w:id="7124" w:name="_Toc253671192"/>
      <w:bookmarkStart w:id="7125" w:name="_Toc254942966"/>
      <w:bookmarkStart w:id="7126" w:name="_Toc254943419"/>
      <w:bookmarkStart w:id="7127" w:name="_Toc255476011"/>
      <w:bookmarkStart w:id="7128" w:name="_Toc256432332"/>
      <w:bookmarkStart w:id="7129" w:name="_Toc257720669"/>
      <w:bookmarkStart w:id="7130" w:name="_Toc257722351"/>
      <w:bookmarkStart w:id="7131" w:name="_Toc258336027"/>
      <w:bookmarkStart w:id="7132" w:name="_Toc260406469"/>
      <w:bookmarkStart w:id="7133" w:name="_Toc261271655"/>
      <w:bookmarkStart w:id="7134" w:name="_Toc262808337"/>
      <w:bookmarkStart w:id="7135" w:name="_Toc267572730"/>
      <w:bookmarkStart w:id="7136" w:name="_Toc270684479"/>
      <w:bookmarkStart w:id="7137" w:name="_Toc274214656"/>
      <w:bookmarkStart w:id="7138" w:name="_Toc274215105"/>
      <w:bookmarkStart w:id="7139" w:name="_Toc278976436"/>
      <w:bookmarkStart w:id="7140" w:name="_Toc286760757"/>
      <w:bookmarkStart w:id="7141" w:name="_Toc289081102"/>
      <w:bookmarkStart w:id="7142" w:name="_Toc290284296"/>
      <w:bookmarkStart w:id="7143" w:name="_Toc290643117"/>
      <w:bookmarkStart w:id="7144" w:name="_Toc290643566"/>
      <w:bookmarkStart w:id="7145" w:name="_Toc290644019"/>
      <w:bookmarkStart w:id="7146" w:name="_Toc294701836"/>
      <w:bookmarkStart w:id="7147" w:name="_Toc295200244"/>
      <w:bookmarkStart w:id="7148" w:name="_Toc296954685"/>
      <w:bookmarkStart w:id="7149" w:name="_Toc297276320"/>
      <w:bookmarkStart w:id="7150" w:name="_Toc297276772"/>
      <w:bookmarkStart w:id="7151" w:name="_Toc297277222"/>
      <w:bookmarkStart w:id="7152" w:name="_Toc297726591"/>
      <w:bookmarkStart w:id="7153" w:name="_Toc299980377"/>
      <w:bookmarkStart w:id="7154" w:name="_Toc300235003"/>
      <w:bookmarkStart w:id="7155" w:name="_Toc301961506"/>
      <w:bookmarkStart w:id="7156" w:name="_Toc301967076"/>
      <w:bookmarkStart w:id="7157" w:name="_Toc303253285"/>
      <w:bookmarkStart w:id="7158" w:name="_Toc303257449"/>
      <w:bookmarkStart w:id="7159" w:name="_Toc307993082"/>
      <w:bookmarkStart w:id="7160" w:name="_Toc309030115"/>
      <w:bookmarkStart w:id="7161" w:name="_Toc309304338"/>
      <w:bookmarkStart w:id="7162" w:name="_Toc309309615"/>
      <w:r>
        <w:rPr>
          <w:rStyle w:val="CharSDivNo"/>
          <w:sz w:val="28"/>
        </w:rPr>
        <w:t>Part 1</w:t>
      </w:r>
      <w:r>
        <w:t> — </w:t>
      </w:r>
      <w:r>
        <w:rPr>
          <w:rStyle w:val="CharSDivText"/>
          <w:sz w:val="28"/>
        </w:rPr>
        <w:t>Bag limits in the Gascoyne Region</w:t>
      </w:r>
      <w:bookmarkEnd w:id="7094"/>
      <w:bookmarkEnd w:id="7095"/>
      <w:bookmarkEnd w:id="7096"/>
      <w:bookmarkEnd w:id="7097"/>
      <w:bookmarkEnd w:id="7098"/>
      <w:bookmarkEnd w:id="7099"/>
      <w:bookmarkEnd w:id="7100"/>
      <w:bookmarkEnd w:id="7101"/>
      <w:bookmarkEnd w:id="7102"/>
      <w:bookmarkEnd w:id="7103"/>
      <w:bookmarkEnd w:id="7104"/>
      <w:bookmarkEnd w:id="7105"/>
      <w:bookmarkEnd w:id="7106"/>
      <w:bookmarkEnd w:id="7107"/>
      <w:bookmarkEnd w:id="7108"/>
      <w:bookmarkEnd w:id="7109"/>
      <w:bookmarkEnd w:id="7110"/>
      <w:bookmarkEnd w:id="7111"/>
      <w:bookmarkEnd w:id="7112"/>
      <w:bookmarkEnd w:id="7113"/>
      <w:bookmarkEnd w:id="7114"/>
      <w:bookmarkEnd w:id="7115"/>
      <w:bookmarkEnd w:id="7116"/>
      <w:bookmarkEnd w:id="7117"/>
      <w:bookmarkEnd w:id="7118"/>
      <w:bookmarkEnd w:id="7119"/>
      <w:bookmarkEnd w:id="7120"/>
      <w:bookmarkEnd w:id="7121"/>
      <w:bookmarkEnd w:id="7122"/>
      <w:bookmarkEnd w:id="7123"/>
      <w:bookmarkEnd w:id="7124"/>
      <w:bookmarkEnd w:id="7125"/>
      <w:bookmarkEnd w:id="7126"/>
      <w:bookmarkEnd w:id="7127"/>
      <w:bookmarkEnd w:id="7128"/>
      <w:bookmarkEnd w:id="7129"/>
      <w:bookmarkEnd w:id="7130"/>
      <w:bookmarkEnd w:id="7131"/>
      <w:bookmarkEnd w:id="7132"/>
      <w:bookmarkEnd w:id="7133"/>
      <w:bookmarkEnd w:id="7134"/>
      <w:bookmarkEnd w:id="7135"/>
      <w:bookmarkEnd w:id="7136"/>
      <w:bookmarkEnd w:id="7137"/>
      <w:bookmarkEnd w:id="7138"/>
      <w:bookmarkEnd w:id="7139"/>
      <w:bookmarkEnd w:id="7140"/>
      <w:bookmarkEnd w:id="7141"/>
      <w:bookmarkEnd w:id="7142"/>
      <w:bookmarkEnd w:id="7143"/>
      <w:bookmarkEnd w:id="7144"/>
      <w:bookmarkEnd w:id="7145"/>
      <w:bookmarkEnd w:id="7146"/>
      <w:bookmarkEnd w:id="7147"/>
      <w:bookmarkEnd w:id="7148"/>
      <w:bookmarkEnd w:id="7149"/>
      <w:bookmarkEnd w:id="7150"/>
      <w:bookmarkEnd w:id="7151"/>
      <w:bookmarkEnd w:id="7152"/>
      <w:bookmarkEnd w:id="7153"/>
      <w:bookmarkEnd w:id="7154"/>
      <w:bookmarkEnd w:id="7155"/>
      <w:bookmarkEnd w:id="7156"/>
      <w:bookmarkEnd w:id="7157"/>
      <w:bookmarkEnd w:id="7158"/>
      <w:bookmarkEnd w:id="7159"/>
      <w:bookmarkEnd w:id="7160"/>
      <w:bookmarkEnd w:id="7161"/>
      <w:bookmarkEnd w:id="7162"/>
    </w:p>
    <w:p>
      <w:pPr>
        <w:pStyle w:val="yShoulderClause"/>
        <w:spacing w:before="60"/>
      </w:pPr>
      <w:r>
        <w:t>[Reg. 64Y]</w:t>
      </w:r>
    </w:p>
    <w:p>
      <w:pPr>
        <w:pStyle w:val="yFootnoteheading"/>
        <w:spacing w:before="0"/>
      </w:pPr>
      <w:r>
        <w:tab/>
        <w:t>[Heading inserted in Gazette 1 Oct 2003 p. 4332.]</w:t>
      </w:r>
    </w:p>
    <w:p>
      <w:pPr>
        <w:pStyle w:val="yHeading3"/>
      </w:pPr>
      <w:bookmarkStart w:id="7163" w:name="_Toc189988177"/>
      <w:bookmarkStart w:id="7164" w:name="_Toc192041760"/>
      <w:bookmarkStart w:id="7165" w:name="_Toc199570994"/>
      <w:bookmarkStart w:id="7166" w:name="_Toc199738993"/>
      <w:bookmarkStart w:id="7167" w:name="_Toc199815094"/>
      <w:bookmarkStart w:id="7168" w:name="_Toc215040901"/>
      <w:bookmarkStart w:id="7169" w:name="_Toc215041346"/>
      <w:bookmarkStart w:id="7170" w:name="_Toc222129554"/>
      <w:bookmarkStart w:id="7171" w:name="_Toc222223259"/>
      <w:bookmarkStart w:id="7172" w:name="_Toc225914511"/>
      <w:bookmarkStart w:id="7173" w:name="_Toc231282556"/>
      <w:bookmarkStart w:id="7174" w:name="_Toc231283000"/>
      <w:bookmarkStart w:id="7175" w:name="_Toc234899590"/>
      <w:bookmarkStart w:id="7176" w:name="_Toc236632872"/>
      <w:bookmarkStart w:id="7177" w:name="_Toc236720485"/>
      <w:bookmarkStart w:id="7178" w:name="_Toc237764684"/>
      <w:bookmarkStart w:id="7179" w:name="_Toc238356308"/>
      <w:bookmarkStart w:id="7180" w:name="_Toc238369013"/>
      <w:bookmarkStart w:id="7181" w:name="_Toc238375966"/>
      <w:bookmarkStart w:id="7182" w:name="_Toc240339290"/>
      <w:bookmarkStart w:id="7183" w:name="_Toc241993796"/>
      <w:bookmarkStart w:id="7184" w:name="_Toc243192939"/>
      <w:bookmarkStart w:id="7185" w:name="_Toc243295641"/>
      <w:bookmarkStart w:id="7186" w:name="_Toc245113214"/>
      <w:bookmarkStart w:id="7187" w:name="_Toc245198376"/>
      <w:bookmarkStart w:id="7188" w:name="_Toc245198825"/>
      <w:bookmarkStart w:id="7189" w:name="_Toc245199274"/>
      <w:bookmarkStart w:id="7190" w:name="_Toc248122305"/>
      <w:bookmarkStart w:id="7191" w:name="_Toc248122756"/>
      <w:bookmarkStart w:id="7192" w:name="_Toc253670743"/>
      <w:bookmarkStart w:id="7193" w:name="_Toc253671193"/>
      <w:bookmarkStart w:id="7194" w:name="_Toc254942967"/>
      <w:bookmarkStart w:id="7195" w:name="_Toc254943420"/>
      <w:bookmarkStart w:id="7196" w:name="_Toc255476012"/>
      <w:bookmarkStart w:id="7197" w:name="_Toc256432333"/>
      <w:bookmarkStart w:id="7198" w:name="_Toc257720670"/>
      <w:bookmarkStart w:id="7199" w:name="_Toc257722352"/>
      <w:bookmarkStart w:id="7200" w:name="_Toc258336028"/>
      <w:bookmarkStart w:id="7201" w:name="_Toc260406470"/>
      <w:bookmarkStart w:id="7202" w:name="_Toc261271656"/>
      <w:bookmarkStart w:id="7203" w:name="_Toc262808338"/>
      <w:bookmarkStart w:id="7204" w:name="_Toc267572731"/>
      <w:bookmarkStart w:id="7205" w:name="_Toc270684480"/>
      <w:bookmarkStart w:id="7206" w:name="_Toc274214657"/>
      <w:bookmarkStart w:id="7207" w:name="_Toc274215106"/>
      <w:bookmarkStart w:id="7208" w:name="_Toc278976437"/>
      <w:bookmarkStart w:id="7209" w:name="_Toc286760758"/>
      <w:bookmarkStart w:id="7210" w:name="_Toc289081103"/>
      <w:bookmarkStart w:id="7211" w:name="_Toc290284297"/>
      <w:bookmarkStart w:id="7212" w:name="_Toc290643118"/>
      <w:bookmarkStart w:id="7213" w:name="_Toc290643567"/>
      <w:bookmarkStart w:id="7214" w:name="_Toc290644020"/>
      <w:bookmarkStart w:id="7215" w:name="_Toc294701837"/>
      <w:bookmarkStart w:id="7216" w:name="_Toc295200245"/>
      <w:bookmarkStart w:id="7217" w:name="_Toc296954686"/>
      <w:bookmarkStart w:id="7218" w:name="_Toc297276321"/>
      <w:bookmarkStart w:id="7219" w:name="_Toc297276773"/>
      <w:bookmarkStart w:id="7220" w:name="_Toc297277223"/>
      <w:bookmarkStart w:id="7221" w:name="_Toc297726592"/>
      <w:bookmarkStart w:id="7222" w:name="_Toc299980378"/>
      <w:bookmarkStart w:id="7223" w:name="_Toc300235004"/>
      <w:bookmarkStart w:id="7224" w:name="_Toc301961507"/>
      <w:bookmarkStart w:id="7225" w:name="_Toc301967077"/>
      <w:bookmarkStart w:id="7226" w:name="_Toc303253286"/>
      <w:bookmarkStart w:id="7227" w:name="_Toc303257450"/>
      <w:bookmarkStart w:id="7228" w:name="_Toc307993083"/>
      <w:bookmarkStart w:id="7229" w:name="_Toc309030116"/>
      <w:bookmarkStart w:id="7230" w:name="_Toc309304339"/>
      <w:bookmarkStart w:id="7231" w:name="_Toc309309616"/>
      <w:r>
        <w:t>Division 1 — Grouped bag limit of 7 fish</w:t>
      </w:r>
      <w:bookmarkEnd w:id="7163"/>
      <w:bookmarkEnd w:id="7164"/>
      <w:bookmarkEnd w:id="7165"/>
      <w:bookmarkEnd w:id="7166"/>
      <w:bookmarkEnd w:id="7167"/>
      <w:bookmarkEnd w:id="7168"/>
      <w:bookmarkEnd w:id="7169"/>
      <w:bookmarkEnd w:id="7170"/>
      <w:bookmarkEnd w:id="7171"/>
      <w:bookmarkEnd w:id="7172"/>
      <w:bookmarkEnd w:id="7173"/>
      <w:bookmarkEnd w:id="7174"/>
      <w:bookmarkEnd w:id="7175"/>
      <w:bookmarkEnd w:id="7176"/>
      <w:bookmarkEnd w:id="7177"/>
      <w:bookmarkEnd w:id="7178"/>
      <w:bookmarkEnd w:id="7179"/>
      <w:bookmarkEnd w:id="7180"/>
      <w:bookmarkEnd w:id="7181"/>
      <w:bookmarkEnd w:id="7182"/>
      <w:bookmarkEnd w:id="7183"/>
      <w:bookmarkEnd w:id="7184"/>
      <w:bookmarkEnd w:id="7185"/>
      <w:bookmarkEnd w:id="7186"/>
      <w:bookmarkEnd w:id="7187"/>
      <w:bookmarkEnd w:id="7188"/>
      <w:bookmarkEnd w:id="7189"/>
      <w:bookmarkEnd w:id="7190"/>
      <w:bookmarkEnd w:id="7191"/>
      <w:bookmarkEnd w:id="7192"/>
      <w:bookmarkEnd w:id="7193"/>
      <w:bookmarkEnd w:id="7194"/>
      <w:bookmarkEnd w:id="7195"/>
      <w:bookmarkEnd w:id="7196"/>
      <w:bookmarkEnd w:id="7197"/>
      <w:bookmarkEnd w:id="7198"/>
      <w:bookmarkEnd w:id="7199"/>
      <w:bookmarkEnd w:id="7200"/>
      <w:bookmarkEnd w:id="7201"/>
      <w:bookmarkEnd w:id="7202"/>
      <w:bookmarkEnd w:id="7203"/>
      <w:bookmarkEnd w:id="7204"/>
      <w:bookmarkEnd w:id="7205"/>
      <w:bookmarkEnd w:id="7206"/>
      <w:bookmarkEnd w:id="7207"/>
      <w:bookmarkEnd w:id="7208"/>
      <w:bookmarkEnd w:id="7209"/>
      <w:bookmarkEnd w:id="7210"/>
      <w:bookmarkEnd w:id="7211"/>
      <w:bookmarkEnd w:id="7212"/>
      <w:bookmarkEnd w:id="7213"/>
      <w:bookmarkEnd w:id="7214"/>
      <w:bookmarkEnd w:id="7215"/>
      <w:bookmarkEnd w:id="7216"/>
      <w:bookmarkEnd w:id="7217"/>
      <w:bookmarkEnd w:id="7218"/>
      <w:bookmarkEnd w:id="7219"/>
      <w:bookmarkEnd w:id="7220"/>
      <w:bookmarkEnd w:id="7221"/>
      <w:bookmarkEnd w:id="7222"/>
      <w:bookmarkEnd w:id="7223"/>
      <w:bookmarkEnd w:id="7224"/>
      <w:bookmarkEnd w:id="7225"/>
      <w:bookmarkEnd w:id="7226"/>
      <w:bookmarkEnd w:id="7227"/>
      <w:bookmarkEnd w:id="7228"/>
      <w:bookmarkEnd w:id="7229"/>
      <w:bookmarkEnd w:id="7230"/>
      <w:bookmarkEnd w:id="7231"/>
    </w:p>
    <w:p>
      <w:pPr>
        <w:pStyle w:val="yFootnoteheading"/>
        <w:spacing w:after="120"/>
      </w:pPr>
      <w:r>
        <w:tab/>
        <w:t>[Heading inserted in Gazette 1 Oct 2003 p. 4332.]</w:t>
      </w:r>
    </w:p>
    <w:tbl>
      <w:tblPr>
        <w:tblW w:w="7080" w:type="dxa"/>
        <w:tblInd w:w="113" w:type="dxa"/>
        <w:tblLayout w:type="fixed"/>
        <w:tblCellMar>
          <w:left w:w="113" w:type="dxa"/>
          <w:right w:w="113" w:type="dxa"/>
        </w:tblCellMar>
        <w:tblLook w:val="0000" w:firstRow="0" w:lastRow="0" w:firstColumn="0" w:lastColumn="0" w:noHBand="0" w:noVBand="0"/>
      </w:tblPr>
      <w:tblGrid>
        <w:gridCol w:w="4292"/>
        <w:gridCol w:w="840"/>
        <w:gridCol w:w="480"/>
        <w:gridCol w:w="1468"/>
      </w:tblGrid>
      <w:tr>
        <w:trPr>
          <w:cantSplit/>
          <w:tblHeader/>
        </w:trPr>
        <w:tc>
          <w:tcPr>
            <w:tcW w:w="4292" w:type="dxa"/>
            <w:tcBorders>
              <w:top w:val="single" w:sz="8" w:space="0" w:color="auto"/>
              <w:bottom w:val="single" w:sz="8" w:space="0" w:color="auto"/>
            </w:tcBorders>
            <w:tcMar>
              <w:left w:w="85" w:type="dxa"/>
              <w:right w:w="113" w:type="dxa"/>
            </w:tcMar>
            <w:vAlign w:val="center"/>
          </w:tcPr>
          <w:p>
            <w:pPr>
              <w:pStyle w:val="yTableNAm"/>
              <w:tabs>
                <w:tab w:val="clear" w:pos="567"/>
                <w:tab w:val="right" w:pos="0"/>
                <w:tab w:val="left" w:pos="284"/>
              </w:tabs>
              <w:spacing w:before="0"/>
              <w:rPr>
                <w:b/>
                <w:bCs/>
              </w:rPr>
            </w:pPr>
            <w:r>
              <w:rPr>
                <w:b/>
                <w:bCs/>
              </w:rPr>
              <w:t>Fish</w:t>
            </w:r>
          </w:p>
        </w:tc>
        <w:tc>
          <w:tcPr>
            <w:tcW w:w="1320" w:type="dxa"/>
            <w:gridSpan w:val="2"/>
            <w:tcBorders>
              <w:top w:val="single" w:sz="8" w:space="0" w:color="auto"/>
              <w:bottom w:val="single" w:sz="8" w:space="0" w:color="auto"/>
            </w:tcBorders>
            <w:tcMar>
              <w:left w:w="85" w:type="dxa"/>
              <w:right w:w="113" w:type="dxa"/>
            </w:tcMar>
            <w:vAlign w:val="center"/>
          </w:tcPr>
          <w:p>
            <w:pPr>
              <w:pStyle w:val="yTableNAm"/>
              <w:tabs>
                <w:tab w:val="clear" w:pos="567"/>
                <w:tab w:val="right" w:pos="0"/>
                <w:tab w:val="left" w:pos="284"/>
              </w:tabs>
              <w:spacing w:before="0"/>
              <w:rPr>
                <w:b/>
                <w:bCs/>
              </w:rPr>
            </w:pPr>
            <w:r>
              <w:rPr>
                <w:b/>
                <w:bCs/>
              </w:rPr>
              <w:t>Species, or group of species, bag limit for one day</w:t>
            </w:r>
          </w:p>
        </w:tc>
        <w:tc>
          <w:tcPr>
            <w:tcW w:w="1468" w:type="dxa"/>
            <w:tcBorders>
              <w:top w:val="single" w:sz="8" w:space="0" w:color="auto"/>
              <w:bottom w:val="single" w:sz="8" w:space="0" w:color="auto"/>
            </w:tcBorders>
            <w:tcMar>
              <w:left w:w="85" w:type="dxa"/>
              <w:right w:w="113" w:type="dxa"/>
            </w:tcMar>
            <w:vAlign w:val="center"/>
          </w:tcPr>
          <w:p>
            <w:pPr>
              <w:pStyle w:val="yTableNAm"/>
              <w:tabs>
                <w:tab w:val="clear" w:pos="567"/>
                <w:tab w:val="right" w:pos="0"/>
                <w:tab w:val="left" w:pos="284"/>
              </w:tabs>
              <w:spacing w:before="0"/>
              <w:rPr>
                <w:b/>
                <w:bCs/>
              </w:rPr>
            </w:pPr>
            <w:r>
              <w:rPr>
                <w:b/>
                <w:bCs/>
              </w:rPr>
              <w:t>Grouped bag limit of all species in the Division for one day</w:t>
            </w: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Barracuda </w:t>
            </w:r>
            <w:r>
              <w:tab/>
            </w:r>
          </w:p>
        </w:tc>
        <w:tc>
          <w:tcPr>
            <w:tcW w:w="840" w:type="dxa"/>
            <w:tcMar>
              <w:left w:w="85" w:type="dxa"/>
              <w:right w:w="113" w:type="dxa"/>
            </w:tcMar>
          </w:tcPr>
          <w:p>
            <w:pPr>
              <w:pStyle w:val="yTableNAm"/>
              <w:spacing w:before="0"/>
            </w:pPr>
            <w:r>
              <w:t>4</w:t>
            </w:r>
          </w:p>
        </w:tc>
        <w:tc>
          <w:tcPr>
            <w:tcW w:w="480" w:type="dxa"/>
            <w:vMerge w:val="restart"/>
            <w:tcMar>
              <w:left w:w="85" w:type="dxa"/>
              <w:right w:w="113" w:type="dxa"/>
            </w:tcMar>
          </w:tcPr>
          <w:p>
            <w:pPr>
              <w:pStyle w:val="yTableNAm"/>
              <w:spacing w:before="0"/>
            </w:pPr>
            <w:r>
              <w:rPr>
                <w:noProof/>
                <w:lang w:eastAsia="en-AU"/>
              </w:rPr>
              <w:drawing>
                <wp:inline distT="0" distB="0" distL="0" distR="0">
                  <wp:extent cx="123825" cy="33528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3825" cy="3352800"/>
                          </a:xfrm>
                          <a:prstGeom prst="rect">
                            <a:avLst/>
                          </a:prstGeom>
                          <a:noFill/>
                          <a:ln>
                            <a:noFill/>
                          </a:ln>
                        </pic:spPr>
                      </pic:pic>
                    </a:graphicData>
                  </a:graphic>
                </wp:inline>
              </w:drawing>
            </w:r>
          </w:p>
        </w:tc>
        <w:tc>
          <w:tcPr>
            <w:tcW w:w="1468" w:type="dxa"/>
            <w:vMerge w:val="restart"/>
            <w:tcMar>
              <w:left w:w="85" w:type="dxa"/>
              <w:right w:w="113" w:type="dxa"/>
            </w:tcMar>
          </w:tcPr>
          <w:p>
            <w:pPr>
              <w:pStyle w:val="yTableNAm"/>
              <w:spacing w:before="0"/>
            </w:pPr>
            <w:r>
              <w:br/>
            </w:r>
            <w:r>
              <w:br/>
            </w:r>
            <w:r>
              <w:br/>
            </w:r>
            <w:r>
              <w:br/>
            </w:r>
            <w:r>
              <w:br/>
            </w:r>
            <w:r>
              <w:br/>
            </w:r>
            <w:r>
              <w:br/>
            </w:r>
            <w:r>
              <w:br/>
            </w:r>
            <w:r>
              <w:br/>
            </w:r>
            <w:r>
              <w:br/>
              <w:t>7</w:t>
            </w:r>
            <w:r>
              <w:br/>
            </w:r>
            <w:r>
              <w:br/>
            </w:r>
            <w:r>
              <w:br/>
            </w:r>
            <w:r>
              <w:br/>
            </w:r>
            <w:r>
              <w:br/>
            </w:r>
            <w:r>
              <w:br/>
            </w:r>
            <w:r>
              <w:br/>
            </w:r>
            <w:r>
              <w:br/>
            </w:r>
            <w:r>
              <w:br/>
            </w:r>
            <w:r>
              <w:br/>
            </w: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Barramundi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Billfish (Marlins, Sailfish and Spearfish) and Swordfish (combined) </w:t>
            </w:r>
            <w:r>
              <w:tab/>
            </w:r>
          </w:p>
        </w:tc>
        <w:tc>
          <w:tcPr>
            <w:tcW w:w="840" w:type="dxa"/>
            <w:tcMar>
              <w:left w:w="85" w:type="dxa"/>
              <w:right w:w="113" w:type="dxa"/>
            </w:tcMar>
          </w:tcPr>
          <w:p>
            <w:pPr>
              <w:pStyle w:val="yTableNAm"/>
              <w:spacing w:before="0"/>
            </w:pPr>
            <w:r>
              <w:br/>
              <w:t>1</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Bonefish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Cobia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Cod (combined, except Coral Trout and Coronation Trout) </w:t>
            </w:r>
            <w:r>
              <w:tab/>
            </w:r>
          </w:p>
        </w:tc>
        <w:tc>
          <w:tcPr>
            <w:tcW w:w="840" w:type="dxa"/>
            <w:tcMar>
              <w:left w:w="85" w:type="dxa"/>
              <w:right w:w="113" w:type="dxa"/>
            </w:tcMar>
          </w:tcPr>
          <w:p>
            <w:pPr>
              <w:pStyle w:val="yTableNAm"/>
              <w:spacing w:before="0"/>
            </w:pPr>
            <w:r>
              <w:b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Cod classified as Epinephelus spp., in excess of 30 kg weight or 1000 mm in length </w:t>
            </w:r>
            <w:r>
              <w:tab/>
            </w:r>
          </w:p>
        </w:tc>
        <w:tc>
          <w:tcPr>
            <w:tcW w:w="840" w:type="dxa"/>
            <w:tcMar>
              <w:left w:w="85" w:type="dxa"/>
              <w:right w:w="113" w:type="dxa"/>
            </w:tcMar>
          </w:tcPr>
          <w:p>
            <w:pPr>
              <w:pStyle w:val="yTableNAm"/>
              <w:spacing w:before="0"/>
            </w:pPr>
            <w:r>
              <w:br/>
              <w:t>0</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Height w:val="118"/>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Cod, Estuary and Rankin (combined, except Estuary Cod in the waters of the </w:t>
            </w:r>
            <w:smartTag w:uri="urn:schemas-microsoft-com:office:smarttags" w:element="PlaceName">
              <w:r>
                <w:t>Shark</w:t>
              </w:r>
            </w:smartTag>
            <w:r>
              <w:t xml:space="preserve"> </w:t>
            </w:r>
            <w:smartTag w:uri="urn:schemas-microsoft-com:office:smarttags" w:element="PlaceType">
              <w:r>
                <w:t>Bay</w:t>
              </w:r>
            </w:smartTag>
            <w:r>
              <w:t xml:space="preserve"> western gulf and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eastern gulf) </w:t>
            </w:r>
            <w:r>
              <w:tab/>
            </w:r>
          </w:p>
        </w:tc>
        <w:tc>
          <w:tcPr>
            <w:tcW w:w="840" w:type="dxa"/>
            <w:tcMar>
              <w:left w:w="85" w:type="dxa"/>
              <w:right w:w="113" w:type="dxa"/>
            </w:tcMar>
          </w:tcPr>
          <w:p>
            <w:pPr>
              <w:pStyle w:val="yTableNAm"/>
              <w:spacing w:before="0"/>
            </w:pPr>
            <w:r>
              <w:br/>
            </w:r>
          </w:p>
          <w:p>
            <w:pPr>
              <w:pStyle w:val="yTableNAm"/>
              <w:spacing w:before="0"/>
            </w:pPr>
            <w:r>
              <w:b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Height w:val="118"/>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Cod, Estuary, in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western gulf and the Shark Bay eastern </w:t>
            </w:r>
            <w:r>
              <w:tab/>
            </w:r>
          </w:p>
        </w:tc>
        <w:tc>
          <w:tcPr>
            <w:tcW w:w="840" w:type="dxa"/>
            <w:tcMar>
              <w:left w:w="85" w:type="dxa"/>
              <w:right w:w="113" w:type="dxa"/>
            </w:tcMar>
          </w:tcPr>
          <w:p>
            <w:pPr>
              <w:pStyle w:val="yTableNAm"/>
              <w:spacing w:before="0"/>
            </w:pPr>
            <w:r>
              <w:br/>
              <w:t>1</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Coral Trout and Coronation Trout (combined) </w:t>
            </w:r>
          </w:p>
        </w:tc>
        <w:tc>
          <w:tcPr>
            <w:tcW w:w="840" w:type="dxa"/>
            <w:tcMar>
              <w:left w:w="85" w:type="dxa"/>
              <w:right w:w="113" w:type="dxa"/>
            </w:tcMar>
          </w:tcPr>
          <w:p>
            <w:pPr>
              <w:pStyle w:val="yTableNAm"/>
              <w:spacing w:before="0"/>
            </w:pPr>
            <w:r>
              <w:t>1</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Dhufish, West Australian and Pearl Perch (combined) </w:t>
            </w:r>
            <w:r>
              <w:tab/>
            </w:r>
          </w:p>
        </w:tc>
        <w:tc>
          <w:tcPr>
            <w:tcW w:w="840" w:type="dxa"/>
            <w:tcMar>
              <w:left w:w="85" w:type="dxa"/>
              <w:right w:w="113" w:type="dxa"/>
            </w:tcMar>
          </w:tcPr>
          <w:p>
            <w:pPr>
              <w:pStyle w:val="yTableNAm"/>
              <w:spacing w:before="0"/>
            </w:pPr>
            <w:r>
              <w:b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Dolphinfish (Mahi Mahi) </w:t>
            </w:r>
            <w:r>
              <w:tab/>
            </w:r>
          </w:p>
        </w:tc>
        <w:tc>
          <w:tcPr>
            <w:tcW w:w="840" w:type="dxa"/>
            <w:tcMar>
              <w:left w:w="85" w:type="dxa"/>
              <w:right w:w="113" w:type="dxa"/>
            </w:tcMar>
          </w:tcPr>
          <w:p>
            <w:pPr>
              <w:pStyle w:val="yTableNAm"/>
              <w:spacing w:before="0"/>
            </w:pPr>
            <w: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Emperor and Seabream (combined) </w:t>
            </w:r>
            <w:r>
              <w:tab/>
            </w:r>
          </w:p>
        </w:tc>
        <w:tc>
          <w:tcPr>
            <w:tcW w:w="840" w:type="dxa"/>
            <w:tcMar>
              <w:left w:w="85" w:type="dxa"/>
              <w:right w:w="113" w:type="dxa"/>
            </w:tcMar>
          </w:tcPr>
          <w:p>
            <w:pPr>
              <w:pStyle w:val="yTableNAm"/>
              <w:spacing w:before="0"/>
            </w:pPr>
            <w: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Emperor, Red </w:t>
            </w:r>
            <w:r>
              <w:tab/>
            </w:r>
          </w:p>
        </w:tc>
        <w:tc>
          <w:tcPr>
            <w:tcW w:w="840" w:type="dxa"/>
            <w:tcMar>
              <w:left w:w="85" w:type="dxa"/>
              <w:right w:w="113" w:type="dxa"/>
            </w:tcMar>
          </w:tcPr>
          <w:p>
            <w:pPr>
              <w:pStyle w:val="yTableNAm"/>
              <w:spacing w:before="0"/>
            </w:pPr>
            <w:r>
              <w:t>2</w:t>
            </w:r>
          </w:p>
        </w:tc>
        <w:tc>
          <w:tcPr>
            <w:tcW w:w="480" w:type="dxa"/>
            <w:vMerge w:val="restart"/>
            <w:tcMar>
              <w:left w:w="85" w:type="dxa"/>
              <w:right w:w="113" w:type="dxa"/>
            </w:tcMar>
          </w:tcPr>
          <w:p>
            <w:pPr>
              <w:pStyle w:val="yTableNAm"/>
              <w:keepNext/>
            </w:pPr>
            <w:r>
              <w:rPr>
                <w:noProof/>
                <w:lang w:eastAsia="en-AU"/>
              </w:rPr>
              <w:drawing>
                <wp:inline distT="0" distB="0" distL="0" distR="0">
                  <wp:extent cx="123825" cy="458152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3825" cy="4581525"/>
                          </a:xfrm>
                          <a:prstGeom prst="rect">
                            <a:avLst/>
                          </a:prstGeom>
                          <a:noFill/>
                          <a:ln>
                            <a:noFill/>
                          </a:ln>
                        </pic:spPr>
                      </pic:pic>
                    </a:graphicData>
                  </a:graphic>
                </wp:inline>
              </w:drawing>
            </w:r>
          </w:p>
        </w:tc>
        <w:tc>
          <w:tcPr>
            <w:tcW w:w="1468" w:type="dxa"/>
            <w:vMerge w:val="restart"/>
            <w:tcMar>
              <w:left w:w="85" w:type="dxa"/>
              <w:right w:w="113" w:type="dxa"/>
            </w:tcMar>
          </w:tcPr>
          <w:p>
            <w:pPr>
              <w:pStyle w:val="yTableNAm"/>
              <w:keepNext/>
              <w:spacing w:before="40"/>
            </w:pPr>
            <w:r>
              <w:br/>
            </w:r>
            <w:r>
              <w:br/>
            </w:r>
            <w:r>
              <w:br/>
            </w:r>
            <w:r>
              <w:br/>
            </w:r>
            <w:r>
              <w:br/>
            </w:r>
            <w:r>
              <w:br/>
            </w:r>
            <w:r>
              <w:br/>
            </w:r>
            <w:r>
              <w:br/>
            </w:r>
            <w:r>
              <w:br/>
            </w:r>
            <w:r>
              <w:br/>
            </w:r>
            <w:r>
              <w:br/>
            </w:r>
            <w:r>
              <w:br/>
            </w:r>
            <w:r>
              <w:br/>
            </w:r>
            <w:r>
              <w:br/>
              <w:t>7</w:t>
            </w:r>
          </w:p>
        </w:tc>
      </w:tr>
      <w:tr>
        <w:trPr>
          <w:cantSplit/>
        </w:trPr>
        <w:tc>
          <w:tcPr>
            <w:tcW w:w="4292" w:type="dxa"/>
            <w:tcMar>
              <w:left w:w="85" w:type="dxa"/>
              <w:right w:w="113" w:type="dxa"/>
            </w:tcMar>
          </w:tcPr>
          <w:p>
            <w:pPr>
              <w:pStyle w:val="yTableNAm"/>
              <w:keepNext/>
              <w:tabs>
                <w:tab w:val="clear" w:pos="567"/>
                <w:tab w:val="left" w:leader="dot" w:pos="196"/>
                <w:tab w:val="right" w:leader="dot" w:pos="4087"/>
              </w:tabs>
              <w:spacing w:before="0"/>
              <w:ind w:left="196" w:hanging="196"/>
            </w:pPr>
            <w:r>
              <w:t xml:space="preserve">Mackerel, Shark </w:t>
            </w:r>
            <w:r>
              <w:tab/>
            </w:r>
          </w:p>
        </w:tc>
        <w:tc>
          <w:tcPr>
            <w:tcW w:w="840" w:type="dxa"/>
            <w:tcMar>
              <w:left w:w="85" w:type="dxa"/>
              <w:right w:w="113" w:type="dxa"/>
            </w:tcMar>
          </w:tcPr>
          <w:p>
            <w:pPr>
              <w:pStyle w:val="yTableNAm"/>
              <w:keepNext/>
              <w:spacing w:before="0"/>
            </w:pPr>
            <w:r>
              <w:t>4</w:t>
            </w:r>
          </w:p>
        </w:tc>
        <w:tc>
          <w:tcPr>
            <w:tcW w:w="480" w:type="dxa"/>
            <w:vMerge/>
            <w:tcMar>
              <w:left w:w="85" w:type="dxa"/>
              <w:right w:w="113" w:type="dxa"/>
            </w:tcMar>
          </w:tcPr>
          <w:p>
            <w:pPr>
              <w:pStyle w:val="yTableNAm"/>
              <w:keepNext/>
            </w:pPr>
          </w:p>
        </w:tc>
        <w:tc>
          <w:tcPr>
            <w:tcW w:w="1468" w:type="dxa"/>
            <w:vMerge/>
            <w:tcMar>
              <w:left w:w="85" w:type="dxa"/>
              <w:right w:w="113" w:type="dxa"/>
            </w:tcMar>
          </w:tcPr>
          <w:p>
            <w:pPr>
              <w:pStyle w:val="yTableNAm"/>
              <w:keepNext/>
              <w:spacing w:before="6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Mackerel, Broad</w:t>
            </w:r>
            <w:r>
              <w:noBreakHyphen/>
              <w:t>barred Spanish and Narrow</w:t>
            </w:r>
            <w:r>
              <w:noBreakHyphen/>
              <w:t xml:space="preserve">barred Spanish (combined) </w:t>
            </w:r>
            <w:r>
              <w:tab/>
            </w:r>
          </w:p>
        </w:tc>
        <w:tc>
          <w:tcPr>
            <w:tcW w:w="840" w:type="dxa"/>
            <w:tcMar>
              <w:left w:w="85" w:type="dxa"/>
              <w:right w:w="113" w:type="dxa"/>
            </w:tcMar>
          </w:tcPr>
          <w:p>
            <w:pPr>
              <w:pStyle w:val="yTableNAm"/>
              <w:spacing w:before="0"/>
            </w:pPr>
            <w:r>
              <w:b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Mackerel, Wahoo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Mulloway and </w:t>
            </w:r>
            <w:smartTag w:uri="urn:schemas-microsoft-com:office:smarttags" w:element="place">
              <w:r>
                <w:t>Northern Mulloway</w:t>
              </w:r>
            </w:smartTag>
            <w:r>
              <w:t xml:space="preserve"> (combined) </w:t>
            </w:r>
            <w:r>
              <w:tab/>
            </w:r>
          </w:p>
        </w:tc>
        <w:tc>
          <w:tcPr>
            <w:tcW w:w="840" w:type="dxa"/>
            <w:tcMar>
              <w:left w:w="85" w:type="dxa"/>
              <w:right w:w="113" w:type="dxa"/>
            </w:tcMar>
          </w:tcPr>
          <w:p>
            <w:pPr>
              <w:pStyle w:val="yTableNAm"/>
              <w:spacing w:before="0"/>
            </w:pPr>
            <w:r>
              <w:b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Parrot Fish (combined) .</w:t>
            </w:r>
            <w:r>
              <w:tab/>
            </w:r>
          </w:p>
        </w:tc>
        <w:tc>
          <w:tcPr>
            <w:tcW w:w="840" w:type="dxa"/>
            <w:tcMar>
              <w:left w:w="85" w:type="dxa"/>
              <w:right w:w="113" w:type="dxa"/>
            </w:tcMar>
          </w:tcPr>
          <w:p>
            <w:pPr>
              <w:pStyle w:val="yTableNAm"/>
              <w:spacing w:before="0"/>
            </w:pPr>
            <w: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Sea Perch, Tropical, except Red Emperor (combined) </w:t>
            </w:r>
            <w:r>
              <w:tab/>
            </w:r>
          </w:p>
        </w:tc>
        <w:tc>
          <w:tcPr>
            <w:tcW w:w="840" w:type="dxa"/>
            <w:tcMar>
              <w:left w:w="85" w:type="dxa"/>
              <w:right w:w="113" w:type="dxa"/>
            </w:tcMar>
          </w:tcPr>
          <w:p>
            <w:pPr>
              <w:pStyle w:val="yTableNAm"/>
              <w:spacing w:before="0"/>
            </w:pPr>
            <w:r>
              <w:b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pos="196"/>
                <w:tab w:val="right" w:leader="dot" w:pos="4087"/>
                <w:tab w:val="left" w:leader="dot" w:pos="4494"/>
              </w:tabs>
              <w:spacing w:before="0"/>
              <w:ind w:left="196" w:hanging="196"/>
            </w:pPr>
            <w:r>
              <w:t xml:space="preserve">Snapper, Pink, except in the waters of </w:t>
            </w:r>
            <w:smartTag w:uri="urn:schemas-microsoft-com:office:smarttags" w:element="place">
              <w:smartTag w:uri="urn:schemas-microsoft-com:office:smarttags" w:element="PlaceName">
                <w:r>
                  <w:t>Shark</w:t>
                </w:r>
              </w:smartTag>
              <w:r>
                <w:t> </w:t>
              </w:r>
              <w:smartTag w:uri="urn:schemas-microsoft-com:office:smarttags" w:element="PlaceType">
                <w:r>
                  <w:t>Bay</w:t>
                </w:r>
              </w:smartTag>
            </w:smartTag>
            <w:r>
              <w:t xml:space="preserve"> </w:t>
            </w:r>
            <w:r>
              <w:tab/>
            </w:r>
          </w:p>
        </w:tc>
        <w:tc>
          <w:tcPr>
            <w:tcW w:w="840" w:type="dxa"/>
            <w:tcMar>
              <w:left w:w="85" w:type="dxa"/>
              <w:right w:w="113" w:type="dxa"/>
            </w:tcMar>
          </w:tcPr>
          <w:p>
            <w:pPr>
              <w:pStyle w:val="yTableNAm"/>
              <w:spacing w:before="0"/>
            </w:pPr>
            <w:r>
              <w:b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Snapper, Pink, in the waters of the </w:t>
            </w:r>
            <w:smartTag w:uri="urn:schemas-microsoft-com:office:smarttags" w:element="PlaceName">
              <w:r>
                <w:t>Shark</w:t>
              </w:r>
            </w:smartTag>
            <w:r>
              <w:t xml:space="preserve"> </w:t>
            </w:r>
            <w:smartTag w:uri="urn:schemas-microsoft-com:office:smarttags" w:element="PlaceType">
              <w:r>
                <w:t>Bay</w:t>
              </w:r>
            </w:smartTag>
            <w:r>
              <w:t xml:space="preserve"> western gulf and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eastern gulf </w:t>
            </w:r>
            <w:r>
              <w:tab/>
            </w:r>
          </w:p>
        </w:tc>
        <w:tc>
          <w:tcPr>
            <w:tcW w:w="840" w:type="dxa"/>
            <w:tcMar>
              <w:left w:w="85" w:type="dxa"/>
              <w:right w:w="113" w:type="dxa"/>
            </w:tcMar>
          </w:tcPr>
          <w:p>
            <w:pPr>
              <w:pStyle w:val="yTableNAm"/>
              <w:spacing w:before="0"/>
            </w:pPr>
            <w:r>
              <w:br/>
            </w:r>
            <w:r>
              <w:br/>
              <w:t>1</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Queenfish </w:t>
            </w:r>
            <w:r>
              <w:tab/>
            </w:r>
          </w:p>
        </w:tc>
        <w:tc>
          <w:tcPr>
            <w:tcW w:w="840" w:type="dxa"/>
            <w:tcMar>
              <w:left w:w="85" w:type="dxa"/>
              <w:right w:w="113" w:type="dxa"/>
            </w:tcMar>
          </w:tcPr>
          <w:p>
            <w:pPr>
              <w:pStyle w:val="yTableNAm"/>
              <w:spacing w:before="0"/>
            </w:pPr>
            <w: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Samson Fish, Amberjack and Yellowtail Kingfish (combined) </w:t>
            </w:r>
            <w:r>
              <w:tab/>
            </w:r>
          </w:p>
        </w:tc>
        <w:tc>
          <w:tcPr>
            <w:tcW w:w="840" w:type="dxa"/>
            <w:tcMar>
              <w:left w:w="85" w:type="dxa"/>
              <w:right w:w="113" w:type="dxa"/>
            </w:tcMar>
          </w:tcPr>
          <w:p>
            <w:pPr>
              <w:pStyle w:val="yTableNAm"/>
              <w:spacing w:before="0"/>
            </w:pPr>
            <w:r>
              <w:b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Sharks and Rays (combined)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Height w:val="118"/>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Tuskfish and Baldchin Groper (combined), except in the waters of the </w:t>
            </w:r>
            <w:smartTag w:uri="urn:schemas-microsoft-com:office:smarttags" w:element="PlaceName">
              <w:r>
                <w:t>Shark</w:t>
              </w:r>
            </w:smartTag>
            <w:r>
              <w:t xml:space="preserve"> </w:t>
            </w:r>
            <w:smartTag w:uri="urn:schemas-microsoft-com:office:smarttags" w:element="PlaceType">
              <w:r>
                <w:t>Bay</w:t>
              </w:r>
            </w:smartTag>
            <w:r>
              <w:t xml:space="preserve"> western gulf and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eastern gulf </w:t>
            </w:r>
            <w:r>
              <w:tab/>
            </w:r>
          </w:p>
        </w:tc>
        <w:tc>
          <w:tcPr>
            <w:tcW w:w="840" w:type="dxa"/>
            <w:tcMar>
              <w:left w:w="85" w:type="dxa"/>
              <w:right w:w="113" w:type="dxa"/>
            </w:tcMar>
          </w:tcPr>
          <w:p>
            <w:pPr>
              <w:pStyle w:val="yTableNAm"/>
              <w:spacing w:before="0"/>
            </w:pPr>
            <w:r>
              <w:br/>
            </w:r>
            <w:r>
              <w:br/>
            </w:r>
            <w:r>
              <w:b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Height w:val="118"/>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Tuskfish and Baldchin Groper (combined), in the waters of the </w:t>
            </w:r>
            <w:smartTag w:uri="urn:schemas-microsoft-com:office:smarttags" w:element="PlaceName">
              <w:r>
                <w:t>Shark</w:t>
              </w:r>
            </w:smartTag>
            <w:r>
              <w:t xml:space="preserve"> </w:t>
            </w:r>
            <w:smartTag w:uri="urn:schemas-microsoft-com:office:smarttags" w:element="PlaceType">
              <w:r>
                <w:t>Bay</w:t>
              </w:r>
            </w:smartTag>
            <w:r>
              <w:t xml:space="preserve"> western gulf and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eastern gulf </w:t>
            </w:r>
            <w:r>
              <w:tab/>
            </w:r>
          </w:p>
        </w:tc>
        <w:tc>
          <w:tcPr>
            <w:tcW w:w="840" w:type="dxa"/>
            <w:tcMar>
              <w:left w:w="85" w:type="dxa"/>
              <w:right w:w="113" w:type="dxa"/>
            </w:tcMar>
          </w:tcPr>
          <w:p>
            <w:pPr>
              <w:pStyle w:val="yTableNAm"/>
              <w:spacing w:before="0"/>
            </w:pPr>
            <w:r>
              <w:br/>
            </w:r>
            <w:r>
              <w:b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Trevally, Giant and Golden (combined)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Borders>
              <w:bottom w:val="single" w:sz="4" w:space="0" w:color="auto"/>
            </w:tcBorders>
            <w:tcMar>
              <w:left w:w="85" w:type="dxa"/>
              <w:right w:w="113" w:type="dxa"/>
            </w:tcMar>
          </w:tcPr>
          <w:p>
            <w:pPr>
              <w:pStyle w:val="yTableNAm"/>
              <w:tabs>
                <w:tab w:val="clear" w:pos="567"/>
                <w:tab w:val="left" w:leader="dot" w:pos="196"/>
                <w:tab w:val="right" w:leader="dot" w:pos="4087"/>
              </w:tabs>
              <w:spacing w:before="0"/>
              <w:ind w:left="196" w:hanging="196"/>
            </w:pPr>
            <w:r>
              <w:t xml:space="preserve">Tuna, </w:t>
            </w:r>
            <w:smartTag w:uri="urn:schemas-microsoft-com:office:smarttags" w:element="place">
              <w:r>
                <w:t>Southern Bluefin</w:t>
              </w:r>
            </w:smartTag>
            <w:r>
              <w:t xml:space="preserve">, Yellowfin and Bigeye (combined) </w:t>
            </w:r>
            <w:r>
              <w:tab/>
            </w:r>
          </w:p>
        </w:tc>
        <w:tc>
          <w:tcPr>
            <w:tcW w:w="840" w:type="dxa"/>
            <w:tcBorders>
              <w:bottom w:val="single" w:sz="4" w:space="0" w:color="auto"/>
            </w:tcBorders>
            <w:tcMar>
              <w:left w:w="85" w:type="dxa"/>
              <w:right w:w="113" w:type="dxa"/>
            </w:tcMar>
          </w:tcPr>
          <w:p>
            <w:pPr>
              <w:pStyle w:val="yTableNAm"/>
              <w:spacing w:before="0"/>
            </w:pPr>
            <w:r>
              <w:br/>
              <w:t>2</w:t>
            </w:r>
          </w:p>
        </w:tc>
        <w:tc>
          <w:tcPr>
            <w:tcW w:w="480" w:type="dxa"/>
            <w:vMerge/>
            <w:tcBorders>
              <w:bottom w:val="single" w:sz="4" w:space="0" w:color="auto"/>
            </w:tcBorders>
            <w:tcMar>
              <w:left w:w="85" w:type="dxa"/>
              <w:right w:w="113" w:type="dxa"/>
            </w:tcMar>
          </w:tcPr>
          <w:p>
            <w:pPr>
              <w:pStyle w:val="yTableNAm"/>
              <w:spacing w:before="0"/>
            </w:pPr>
          </w:p>
        </w:tc>
        <w:tc>
          <w:tcPr>
            <w:tcW w:w="1468" w:type="dxa"/>
            <w:vMerge/>
            <w:tcBorders>
              <w:bottom w:val="single" w:sz="4" w:space="0" w:color="auto"/>
            </w:tcBorders>
            <w:tcMar>
              <w:left w:w="85" w:type="dxa"/>
              <w:right w:w="113" w:type="dxa"/>
            </w:tcMar>
          </w:tcPr>
          <w:p>
            <w:pPr>
              <w:pStyle w:val="yTableNAm"/>
              <w:spacing w:before="0"/>
            </w:pPr>
          </w:p>
        </w:tc>
      </w:tr>
    </w:tbl>
    <w:p>
      <w:pPr>
        <w:pStyle w:val="yFootnotesection"/>
        <w:keepLines w:val="0"/>
        <w:spacing w:before="80"/>
      </w:pPr>
      <w:r>
        <w:tab/>
        <w:t>[Division 1 inserted in Gazette 1 Oct 2003 p. 4332</w:t>
      </w:r>
      <w:r>
        <w:noBreakHyphen/>
        <w:t>3; amended in Gazette 6 Apr 2004 p. 1134; 4 Nov 2005 p. 5314; 22 Dec 2005 p. 6229</w:t>
      </w:r>
      <w:r>
        <w:noBreakHyphen/>
        <w:t>30.]</w:t>
      </w:r>
    </w:p>
    <w:p>
      <w:pPr>
        <w:pStyle w:val="yHeading3"/>
        <w:pageBreakBefore/>
      </w:pPr>
      <w:bookmarkStart w:id="7232" w:name="_Toc189988178"/>
      <w:bookmarkStart w:id="7233" w:name="_Toc192041761"/>
      <w:bookmarkStart w:id="7234" w:name="_Toc199570995"/>
      <w:bookmarkStart w:id="7235" w:name="_Toc199738994"/>
      <w:bookmarkStart w:id="7236" w:name="_Toc199815095"/>
      <w:bookmarkStart w:id="7237" w:name="_Toc215040902"/>
      <w:bookmarkStart w:id="7238" w:name="_Toc215041347"/>
      <w:bookmarkStart w:id="7239" w:name="_Toc222129555"/>
      <w:bookmarkStart w:id="7240" w:name="_Toc222223260"/>
      <w:bookmarkStart w:id="7241" w:name="_Toc225914512"/>
      <w:bookmarkStart w:id="7242" w:name="_Toc231282557"/>
      <w:bookmarkStart w:id="7243" w:name="_Toc231283001"/>
      <w:bookmarkStart w:id="7244" w:name="_Toc234899591"/>
      <w:bookmarkStart w:id="7245" w:name="_Toc236632873"/>
      <w:bookmarkStart w:id="7246" w:name="_Toc236720486"/>
      <w:bookmarkStart w:id="7247" w:name="_Toc237764685"/>
      <w:bookmarkStart w:id="7248" w:name="_Toc238356309"/>
      <w:bookmarkStart w:id="7249" w:name="_Toc238369014"/>
      <w:bookmarkStart w:id="7250" w:name="_Toc238375967"/>
      <w:bookmarkStart w:id="7251" w:name="_Toc240339291"/>
      <w:bookmarkStart w:id="7252" w:name="_Toc241993797"/>
      <w:bookmarkStart w:id="7253" w:name="_Toc243192940"/>
      <w:bookmarkStart w:id="7254" w:name="_Toc243295642"/>
      <w:bookmarkStart w:id="7255" w:name="_Toc245113215"/>
      <w:bookmarkStart w:id="7256" w:name="_Toc245198377"/>
      <w:bookmarkStart w:id="7257" w:name="_Toc245198826"/>
      <w:bookmarkStart w:id="7258" w:name="_Toc245199275"/>
      <w:bookmarkStart w:id="7259" w:name="_Toc248122306"/>
      <w:bookmarkStart w:id="7260" w:name="_Toc248122757"/>
      <w:bookmarkStart w:id="7261" w:name="_Toc253670744"/>
      <w:bookmarkStart w:id="7262" w:name="_Toc253671194"/>
      <w:bookmarkStart w:id="7263" w:name="_Toc254942968"/>
      <w:bookmarkStart w:id="7264" w:name="_Toc254943421"/>
      <w:bookmarkStart w:id="7265" w:name="_Toc255476013"/>
      <w:bookmarkStart w:id="7266" w:name="_Toc256432334"/>
      <w:bookmarkStart w:id="7267" w:name="_Toc257720671"/>
      <w:bookmarkStart w:id="7268" w:name="_Toc257722353"/>
      <w:bookmarkStart w:id="7269" w:name="_Toc258336029"/>
      <w:bookmarkStart w:id="7270" w:name="_Toc260406471"/>
      <w:bookmarkStart w:id="7271" w:name="_Toc261271657"/>
      <w:bookmarkStart w:id="7272" w:name="_Toc262808339"/>
      <w:bookmarkStart w:id="7273" w:name="_Toc267572732"/>
      <w:bookmarkStart w:id="7274" w:name="_Toc270684481"/>
      <w:bookmarkStart w:id="7275" w:name="_Toc274214658"/>
      <w:bookmarkStart w:id="7276" w:name="_Toc274215107"/>
      <w:bookmarkStart w:id="7277" w:name="_Toc278976438"/>
      <w:bookmarkStart w:id="7278" w:name="_Toc286760759"/>
      <w:bookmarkStart w:id="7279" w:name="_Toc289081104"/>
      <w:bookmarkStart w:id="7280" w:name="_Toc290284298"/>
      <w:bookmarkStart w:id="7281" w:name="_Toc290643119"/>
      <w:bookmarkStart w:id="7282" w:name="_Toc290643568"/>
      <w:bookmarkStart w:id="7283" w:name="_Toc290644021"/>
      <w:bookmarkStart w:id="7284" w:name="_Toc294701838"/>
      <w:bookmarkStart w:id="7285" w:name="_Toc295200246"/>
      <w:bookmarkStart w:id="7286" w:name="_Toc296954687"/>
      <w:bookmarkStart w:id="7287" w:name="_Toc297276322"/>
      <w:bookmarkStart w:id="7288" w:name="_Toc297276774"/>
      <w:bookmarkStart w:id="7289" w:name="_Toc297277224"/>
      <w:bookmarkStart w:id="7290" w:name="_Toc297726593"/>
      <w:bookmarkStart w:id="7291" w:name="_Toc299980379"/>
      <w:bookmarkStart w:id="7292" w:name="_Toc300235005"/>
      <w:bookmarkStart w:id="7293" w:name="_Toc301961508"/>
      <w:bookmarkStart w:id="7294" w:name="_Toc301967078"/>
      <w:bookmarkStart w:id="7295" w:name="_Toc303253287"/>
      <w:bookmarkStart w:id="7296" w:name="_Toc303257451"/>
      <w:bookmarkStart w:id="7297" w:name="_Toc307993084"/>
      <w:bookmarkStart w:id="7298" w:name="_Toc309030117"/>
      <w:bookmarkStart w:id="7299" w:name="_Toc309304340"/>
      <w:bookmarkStart w:id="7300" w:name="_Toc309309617"/>
      <w:r>
        <w:t>Division 2 — Grouped bag limit of 16 fish</w:t>
      </w:r>
      <w:bookmarkEnd w:id="7232"/>
      <w:bookmarkEnd w:id="7233"/>
      <w:bookmarkEnd w:id="7234"/>
      <w:bookmarkEnd w:id="7235"/>
      <w:bookmarkEnd w:id="7236"/>
      <w:bookmarkEnd w:id="7237"/>
      <w:bookmarkEnd w:id="7238"/>
      <w:bookmarkEnd w:id="7239"/>
      <w:bookmarkEnd w:id="7240"/>
      <w:bookmarkEnd w:id="7241"/>
      <w:bookmarkEnd w:id="7242"/>
      <w:bookmarkEnd w:id="7243"/>
      <w:bookmarkEnd w:id="7244"/>
      <w:bookmarkEnd w:id="7245"/>
      <w:bookmarkEnd w:id="7246"/>
      <w:bookmarkEnd w:id="7247"/>
      <w:bookmarkEnd w:id="7248"/>
      <w:bookmarkEnd w:id="7249"/>
      <w:bookmarkEnd w:id="7250"/>
      <w:bookmarkEnd w:id="7251"/>
      <w:bookmarkEnd w:id="7252"/>
      <w:bookmarkEnd w:id="7253"/>
      <w:bookmarkEnd w:id="7254"/>
      <w:bookmarkEnd w:id="7255"/>
      <w:bookmarkEnd w:id="7256"/>
      <w:bookmarkEnd w:id="7257"/>
      <w:bookmarkEnd w:id="7258"/>
      <w:bookmarkEnd w:id="7259"/>
      <w:bookmarkEnd w:id="7260"/>
      <w:bookmarkEnd w:id="7261"/>
      <w:bookmarkEnd w:id="7262"/>
      <w:bookmarkEnd w:id="7263"/>
      <w:bookmarkEnd w:id="7264"/>
      <w:bookmarkEnd w:id="7265"/>
      <w:bookmarkEnd w:id="7266"/>
      <w:bookmarkEnd w:id="7267"/>
      <w:bookmarkEnd w:id="7268"/>
      <w:bookmarkEnd w:id="7269"/>
      <w:bookmarkEnd w:id="7270"/>
      <w:bookmarkEnd w:id="7271"/>
      <w:bookmarkEnd w:id="7272"/>
      <w:bookmarkEnd w:id="7273"/>
      <w:bookmarkEnd w:id="7274"/>
      <w:bookmarkEnd w:id="7275"/>
      <w:bookmarkEnd w:id="7276"/>
      <w:bookmarkEnd w:id="7277"/>
      <w:bookmarkEnd w:id="7278"/>
      <w:bookmarkEnd w:id="7279"/>
      <w:bookmarkEnd w:id="7280"/>
      <w:bookmarkEnd w:id="7281"/>
      <w:bookmarkEnd w:id="7282"/>
      <w:bookmarkEnd w:id="7283"/>
      <w:bookmarkEnd w:id="7284"/>
      <w:bookmarkEnd w:id="7285"/>
      <w:bookmarkEnd w:id="7286"/>
      <w:bookmarkEnd w:id="7287"/>
      <w:bookmarkEnd w:id="7288"/>
      <w:bookmarkEnd w:id="7289"/>
      <w:bookmarkEnd w:id="7290"/>
      <w:bookmarkEnd w:id="7291"/>
      <w:bookmarkEnd w:id="7292"/>
      <w:bookmarkEnd w:id="7293"/>
      <w:bookmarkEnd w:id="7294"/>
      <w:bookmarkEnd w:id="7295"/>
      <w:bookmarkEnd w:id="7296"/>
      <w:bookmarkEnd w:id="7297"/>
      <w:bookmarkEnd w:id="7298"/>
      <w:bookmarkEnd w:id="7299"/>
      <w:bookmarkEnd w:id="7300"/>
    </w:p>
    <w:p>
      <w:pPr>
        <w:pStyle w:val="yFootnoteheading"/>
        <w:keepNext/>
        <w:spacing w:after="120"/>
      </w:pPr>
      <w:r>
        <w:tab/>
        <w:t>[Heading inserted in Gazette 1 Oct 2003 p. 4334.]</w:t>
      </w:r>
    </w:p>
    <w:tbl>
      <w:tblPr>
        <w:tblW w:w="0" w:type="auto"/>
        <w:tblInd w:w="113" w:type="dxa"/>
        <w:tblLayout w:type="fixed"/>
        <w:tblCellMar>
          <w:left w:w="113" w:type="dxa"/>
          <w:right w:w="113" w:type="dxa"/>
        </w:tblCellMar>
        <w:tblLook w:val="0000" w:firstRow="0" w:lastRow="0" w:firstColumn="0" w:lastColumn="0" w:noHBand="0" w:noVBand="0"/>
      </w:tblPr>
      <w:tblGrid>
        <w:gridCol w:w="4292"/>
        <w:gridCol w:w="840"/>
        <w:gridCol w:w="480"/>
        <w:gridCol w:w="1468"/>
      </w:tblGrid>
      <w:tr>
        <w:trPr>
          <w:cantSplit/>
          <w:tblHeader/>
        </w:trPr>
        <w:tc>
          <w:tcPr>
            <w:tcW w:w="4292" w:type="dxa"/>
            <w:tcBorders>
              <w:top w:val="single" w:sz="8" w:space="0" w:color="auto"/>
              <w:bottom w:val="single" w:sz="8" w:space="0" w:color="auto"/>
            </w:tcBorders>
            <w:tcMar>
              <w:left w:w="85" w:type="dxa"/>
            </w:tcMar>
            <w:vAlign w:val="center"/>
          </w:tcPr>
          <w:p>
            <w:pPr>
              <w:pStyle w:val="yTableNAm"/>
              <w:keepNext/>
              <w:spacing w:before="0"/>
              <w:rPr>
                <w:b/>
                <w:bCs/>
              </w:rPr>
            </w:pPr>
            <w:r>
              <w:rPr>
                <w:b/>
                <w:bCs/>
              </w:rPr>
              <w:t>Fish</w:t>
            </w:r>
          </w:p>
        </w:tc>
        <w:tc>
          <w:tcPr>
            <w:tcW w:w="1320" w:type="dxa"/>
            <w:gridSpan w:val="2"/>
            <w:tcBorders>
              <w:top w:val="single" w:sz="8" w:space="0" w:color="auto"/>
              <w:bottom w:val="single" w:sz="8" w:space="0" w:color="auto"/>
            </w:tcBorders>
            <w:tcMar>
              <w:left w:w="85" w:type="dxa"/>
            </w:tcMar>
            <w:vAlign w:val="center"/>
          </w:tcPr>
          <w:p>
            <w:pPr>
              <w:pStyle w:val="yTableNAm"/>
              <w:keepNext/>
              <w:spacing w:before="0"/>
              <w:rPr>
                <w:b/>
                <w:bCs/>
              </w:rPr>
            </w:pPr>
            <w:r>
              <w:rPr>
                <w:b/>
                <w:bCs/>
              </w:rPr>
              <w:t>Species, or group of species, bag limit for one day</w:t>
            </w:r>
          </w:p>
        </w:tc>
        <w:tc>
          <w:tcPr>
            <w:tcW w:w="1468" w:type="dxa"/>
            <w:tcBorders>
              <w:top w:val="single" w:sz="8" w:space="0" w:color="auto"/>
              <w:bottom w:val="single" w:sz="8" w:space="0" w:color="auto"/>
            </w:tcBorders>
            <w:tcMar>
              <w:left w:w="85" w:type="dxa"/>
            </w:tcMar>
            <w:vAlign w:val="center"/>
          </w:tcPr>
          <w:p>
            <w:pPr>
              <w:pStyle w:val="yTableNAm"/>
              <w:keepNext/>
              <w:spacing w:before="0"/>
              <w:rPr>
                <w:b/>
                <w:bCs/>
              </w:rPr>
            </w:pPr>
            <w:r>
              <w:rPr>
                <w:b/>
                <w:bCs/>
              </w:rPr>
              <w:t>Grouped bag limit of all species in the Division for one day</w:t>
            </w: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Bonito, Leaping and Oriental and any Tuna (combined) </w:t>
            </w:r>
            <w:r>
              <w:tab/>
            </w:r>
          </w:p>
        </w:tc>
        <w:tc>
          <w:tcPr>
            <w:tcW w:w="840" w:type="dxa"/>
            <w:tcMar>
              <w:left w:w="85" w:type="dxa"/>
            </w:tcMar>
          </w:tcPr>
          <w:p>
            <w:pPr>
              <w:pStyle w:val="yTableNAm"/>
              <w:spacing w:before="0"/>
            </w:pPr>
            <w:r>
              <w:br/>
              <w:t>8</w:t>
            </w:r>
          </w:p>
        </w:tc>
        <w:tc>
          <w:tcPr>
            <w:tcW w:w="480" w:type="dxa"/>
            <w:vMerge w:val="restart"/>
            <w:tcMar>
              <w:left w:w="85" w:type="dxa"/>
            </w:tcMar>
          </w:tcPr>
          <w:p>
            <w:pPr>
              <w:pStyle w:val="yTableNAm"/>
              <w:keepNext/>
              <w:spacing w:before="0"/>
            </w:pPr>
            <w:r>
              <w:rPr>
                <w:noProof/>
                <w:lang w:eastAsia="en-AU"/>
              </w:rPr>
              <w:drawing>
                <wp:inline distT="0" distB="0" distL="0" distR="0">
                  <wp:extent cx="142875" cy="270510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42875" cy="2705100"/>
                          </a:xfrm>
                          <a:prstGeom prst="rect">
                            <a:avLst/>
                          </a:prstGeom>
                          <a:noFill/>
                          <a:ln>
                            <a:noFill/>
                          </a:ln>
                        </pic:spPr>
                      </pic:pic>
                    </a:graphicData>
                  </a:graphic>
                </wp:inline>
              </w:drawing>
            </w:r>
          </w:p>
        </w:tc>
        <w:tc>
          <w:tcPr>
            <w:tcW w:w="1468" w:type="dxa"/>
            <w:vMerge w:val="restart"/>
            <w:tcMar>
              <w:left w:w="85" w:type="dxa"/>
            </w:tcMar>
          </w:tcPr>
          <w:p>
            <w:pPr>
              <w:pStyle w:val="yTableNAm"/>
              <w:spacing w:before="0"/>
            </w:pPr>
            <w:r>
              <w:br/>
            </w:r>
            <w:r>
              <w:br/>
            </w:r>
            <w:r>
              <w:br/>
            </w:r>
            <w:r>
              <w:br/>
            </w:r>
            <w:r>
              <w:br/>
            </w:r>
            <w:r>
              <w:br/>
            </w:r>
            <w:r>
              <w:br/>
            </w:r>
            <w:r>
              <w:br/>
              <w:t>16</w:t>
            </w: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Bream, Black, Northwest</w:t>
            </w:r>
            <w:r>
              <w:noBreakHyphen/>
              <w:t xml:space="preserve">Black and Yellowfin (combined) </w:t>
            </w:r>
            <w:r>
              <w:tab/>
            </w:r>
          </w:p>
        </w:tc>
        <w:tc>
          <w:tcPr>
            <w:tcW w:w="840" w:type="dxa"/>
            <w:tcMar>
              <w:left w:w="85" w:type="dxa"/>
            </w:tcMar>
          </w:tcPr>
          <w:p>
            <w:pPr>
              <w:pStyle w:val="yTableNAm"/>
              <w:spacing w:before="0"/>
            </w:pPr>
            <w:r>
              <w:br/>
              <w:t>8</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Flathead and Flounder (combined) </w:t>
            </w:r>
            <w:r>
              <w:tab/>
            </w:r>
          </w:p>
        </w:tc>
        <w:tc>
          <w:tcPr>
            <w:tcW w:w="840" w:type="dxa"/>
            <w:tcMar>
              <w:left w:w="85" w:type="dxa"/>
            </w:tcMar>
          </w:tcPr>
          <w:p>
            <w:pPr>
              <w:pStyle w:val="yTableNAm"/>
              <w:spacing w:before="0"/>
            </w:pPr>
            <w:r>
              <w:t>8</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Goatfish </w:t>
            </w:r>
            <w:r>
              <w:tab/>
            </w:r>
          </w:p>
        </w:tc>
        <w:tc>
          <w:tcPr>
            <w:tcW w:w="840" w:type="dxa"/>
            <w:tcMar>
              <w:left w:w="85" w:type="dxa"/>
            </w:tcMar>
          </w:tcPr>
          <w:p>
            <w:pPr>
              <w:pStyle w:val="yTableNAm"/>
              <w:spacing w:before="0"/>
            </w:pPr>
            <w:r>
              <w:t>8</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Leatherjacket </w:t>
            </w:r>
            <w:r>
              <w:tab/>
            </w:r>
          </w:p>
        </w:tc>
        <w:tc>
          <w:tcPr>
            <w:tcW w:w="840" w:type="dxa"/>
            <w:tcMar>
              <w:left w:w="85" w:type="dxa"/>
            </w:tcMar>
          </w:tcPr>
          <w:p>
            <w:pPr>
              <w:pStyle w:val="yTableNAm"/>
              <w:spacing w:before="0"/>
            </w:pPr>
            <w:r>
              <w:t>8</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Mackerel, Australian Spotted and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(combined) </w:t>
            </w:r>
            <w:r>
              <w:tab/>
            </w:r>
          </w:p>
        </w:tc>
        <w:tc>
          <w:tcPr>
            <w:tcW w:w="840" w:type="dxa"/>
            <w:tcMar>
              <w:left w:w="85" w:type="dxa"/>
            </w:tcMar>
          </w:tcPr>
          <w:p>
            <w:pPr>
              <w:pStyle w:val="yTableNAm"/>
              <w:spacing w:before="0"/>
            </w:pPr>
            <w:r>
              <w:br/>
              <w:t>4</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Snook and Pike, Long</w:t>
            </w:r>
            <w:r>
              <w:noBreakHyphen/>
              <w:t xml:space="preserve">finned and </w:t>
            </w:r>
            <w:smartTag w:uri="urn:schemas-microsoft-com:office:smarttags" w:element="place">
              <w:smartTag w:uri="urn:schemas-microsoft-com:office:smarttags" w:element="PlaceName">
                <w:r>
                  <w:t>Striped</w:t>
                </w:r>
              </w:smartTag>
              <w:r>
                <w:t xml:space="preserve"> </w:t>
              </w:r>
              <w:smartTag w:uri="urn:schemas-microsoft-com:office:smarttags" w:element="PlaceType">
                <w:r>
                  <w:t>Sea</w:t>
                </w:r>
              </w:smartTag>
            </w:smartTag>
            <w:r>
              <w:t xml:space="preserve"> (combined) </w:t>
            </w:r>
            <w:r>
              <w:tab/>
            </w:r>
          </w:p>
        </w:tc>
        <w:tc>
          <w:tcPr>
            <w:tcW w:w="840" w:type="dxa"/>
            <w:tcMar>
              <w:left w:w="85" w:type="dxa"/>
            </w:tcMar>
          </w:tcPr>
          <w:p>
            <w:pPr>
              <w:pStyle w:val="yTableNAm"/>
              <w:spacing w:before="0"/>
            </w:pPr>
            <w:r>
              <w:br/>
              <w:t>8</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Tailor </w:t>
            </w:r>
            <w:r>
              <w:tab/>
            </w:r>
          </w:p>
        </w:tc>
        <w:tc>
          <w:tcPr>
            <w:tcW w:w="840" w:type="dxa"/>
            <w:tcMar>
              <w:left w:w="85" w:type="dxa"/>
            </w:tcMar>
          </w:tcPr>
          <w:p>
            <w:pPr>
              <w:pStyle w:val="yTableNAm"/>
              <w:spacing w:before="0"/>
            </w:pPr>
            <w:r>
              <w:t>8</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Tarwhine </w:t>
            </w:r>
            <w:r>
              <w:tab/>
            </w:r>
          </w:p>
        </w:tc>
        <w:tc>
          <w:tcPr>
            <w:tcW w:w="840" w:type="dxa"/>
            <w:tcMar>
              <w:left w:w="85" w:type="dxa"/>
            </w:tcMar>
          </w:tcPr>
          <w:p>
            <w:pPr>
              <w:pStyle w:val="yTableNAm"/>
              <w:spacing w:before="0"/>
            </w:pPr>
            <w:r>
              <w:t>16</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Threadfin, Giant, Northern and Gunter’s (combined) </w:t>
            </w:r>
            <w:r>
              <w:tab/>
            </w:r>
          </w:p>
        </w:tc>
        <w:tc>
          <w:tcPr>
            <w:tcW w:w="840" w:type="dxa"/>
            <w:tcMar>
              <w:left w:w="85" w:type="dxa"/>
            </w:tcMar>
          </w:tcPr>
          <w:p>
            <w:pPr>
              <w:pStyle w:val="yTableNAm"/>
              <w:spacing w:before="0"/>
            </w:pPr>
            <w:r>
              <w:br/>
              <w:t>8</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Trevally, except Giant and Golden </w:t>
            </w:r>
            <w:r>
              <w:tab/>
            </w:r>
          </w:p>
        </w:tc>
        <w:tc>
          <w:tcPr>
            <w:tcW w:w="840" w:type="dxa"/>
            <w:tcMar>
              <w:left w:w="85" w:type="dxa"/>
            </w:tcMar>
          </w:tcPr>
          <w:p>
            <w:pPr>
              <w:pStyle w:val="yTableNAm"/>
              <w:spacing w:before="0"/>
            </w:pPr>
            <w:r>
              <w:t>8</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Borders>
              <w:bottom w:val="single" w:sz="4" w:space="0" w:color="auto"/>
            </w:tcBorders>
            <w:tcMar>
              <w:left w:w="85" w:type="dxa"/>
            </w:tcMar>
          </w:tcPr>
          <w:p>
            <w:pPr>
              <w:pStyle w:val="yTableNAm"/>
              <w:tabs>
                <w:tab w:val="clear" w:pos="567"/>
                <w:tab w:val="left" w:pos="196"/>
                <w:tab w:val="left" w:leader="dot" w:pos="4087"/>
              </w:tabs>
              <w:spacing w:before="0"/>
              <w:ind w:left="196" w:hanging="196"/>
            </w:pPr>
            <w:r>
              <w:t xml:space="preserve">Whiting, Yellowfinned </w:t>
            </w:r>
            <w:r>
              <w:tab/>
            </w:r>
          </w:p>
        </w:tc>
        <w:tc>
          <w:tcPr>
            <w:tcW w:w="840" w:type="dxa"/>
            <w:tcBorders>
              <w:bottom w:val="single" w:sz="4" w:space="0" w:color="auto"/>
            </w:tcBorders>
            <w:tcMar>
              <w:left w:w="85" w:type="dxa"/>
            </w:tcMar>
          </w:tcPr>
          <w:p>
            <w:pPr>
              <w:pStyle w:val="yTableNAm"/>
              <w:spacing w:before="0"/>
            </w:pPr>
            <w:r>
              <w:t>16</w:t>
            </w:r>
          </w:p>
        </w:tc>
        <w:tc>
          <w:tcPr>
            <w:tcW w:w="480" w:type="dxa"/>
            <w:vMerge/>
            <w:tcBorders>
              <w:bottom w:val="single" w:sz="4" w:space="0" w:color="auto"/>
            </w:tcBorders>
            <w:tcMar>
              <w:left w:w="85" w:type="dxa"/>
            </w:tcMar>
          </w:tcPr>
          <w:p>
            <w:pPr>
              <w:pStyle w:val="yTableNAm"/>
              <w:spacing w:before="0"/>
            </w:pPr>
          </w:p>
        </w:tc>
        <w:tc>
          <w:tcPr>
            <w:tcW w:w="1468" w:type="dxa"/>
            <w:vMerge/>
            <w:tcBorders>
              <w:bottom w:val="single" w:sz="4" w:space="0" w:color="auto"/>
            </w:tcBorders>
            <w:tcMar>
              <w:left w:w="85" w:type="dxa"/>
            </w:tcMar>
          </w:tcPr>
          <w:p>
            <w:pPr>
              <w:pStyle w:val="yTableNAm"/>
              <w:spacing w:before="0"/>
            </w:pPr>
          </w:p>
        </w:tc>
      </w:tr>
    </w:tbl>
    <w:p>
      <w:pPr>
        <w:pStyle w:val="yFootnotesection"/>
        <w:spacing w:before="60"/>
      </w:pPr>
      <w:r>
        <w:tab/>
        <w:t>[Division 2 inserted in Gazette 1 Oct 2003 p. 4334; amended in Gazette 4 Nov 2005 p. 5314.]</w:t>
      </w:r>
    </w:p>
    <w:p>
      <w:pPr>
        <w:pStyle w:val="yHeading3"/>
        <w:pageBreakBefore/>
      </w:pPr>
      <w:bookmarkStart w:id="7301" w:name="_Toc189988179"/>
      <w:bookmarkStart w:id="7302" w:name="_Toc192041762"/>
      <w:bookmarkStart w:id="7303" w:name="_Toc199570996"/>
      <w:bookmarkStart w:id="7304" w:name="_Toc199738995"/>
      <w:bookmarkStart w:id="7305" w:name="_Toc199815096"/>
      <w:bookmarkStart w:id="7306" w:name="_Toc215040903"/>
      <w:bookmarkStart w:id="7307" w:name="_Toc215041348"/>
      <w:bookmarkStart w:id="7308" w:name="_Toc222129556"/>
      <w:bookmarkStart w:id="7309" w:name="_Toc222223261"/>
      <w:bookmarkStart w:id="7310" w:name="_Toc225914513"/>
      <w:bookmarkStart w:id="7311" w:name="_Toc231282558"/>
      <w:bookmarkStart w:id="7312" w:name="_Toc231283002"/>
      <w:bookmarkStart w:id="7313" w:name="_Toc234899592"/>
      <w:bookmarkStart w:id="7314" w:name="_Toc236632874"/>
      <w:bookmarkStart w:id="7315" w:name="_Toc236720487"/>
      <w:bookmarkStart w:id="7316" w:name="_Toc237764686"/>
      <w:bookmarkStart w:id="7317" w:name="_Toc238356310"/>
      <w:bookmarkStart w:id="7318" w:name="_Toc238369015"/>
      <w:bookmarkStart w:id="7319" w:name="_Toc238375968"/>
      <w:bookmarkStart w:id="7320" w:name="_Toc240339292"/>
      <w:bookmarkStart w:id="7321" w:name="_Toc241993798"/>
      <w:bookmarkStart w:id="7322" w:name="_Toc243192941"/>
      <w:bookmarkStart w:id="7323" w:name="_Toc243295643"/>
      <w:bookmarkStart w:id="7324" w:name="_Toc245113216"/>
      <w:bookmarkStart w:id="7325" w:name="_Toc245198378"/>
      <w:bookmarkStart w:id="7326" w:name="_Toc245198827"/>
      <w:bookmarkStart w:id="7327" w:name="_Toc245199276"/>
      <w:bookmarkStart w:id="7328" w:name="_Toc248122307"/>
      <w:bookmarkStart w:id="7329" w:name="_Toc248122758"/>
      <w:bookmarkStart w:id="7330" w:name="_Toc253670745"/>
      <w:bookmarkStart w:id="7331" w:name="_Toc253671195"/>
      <w:bookmarkStart w:id="7332" w:name="_Toc254942969"/>
      <w:bookmarkStart w:id="7333" w:name="_Toc254943422"/>
      <w:bookmarkStart w:id="7334" w:name="_Toc255476014"/>
      <w:bookmarkStart w:id="7335" w:name="_Toc256432335"/>
      <w:bookmarkStart w:id="7336" w:name="_Toc257720672"/>
      <w:bookmarkStart w:id="7337" w:name="_Toc257722354"/>
      <w:bookmarkStart w:id="7338" w:name="_Toc258336030"/>
      <w:bookmarkStart w:id="7339" w:name="_Toc260406472"/>
      <w:bookmarkStart w:id="7340" w:name="_Toc261271658"/>
      <w:bookmarkStart w:id="7341" w:name="_Toc262808340"/>
      <w:bookmarkStart w:id="7342" w:name="_Toc267572733"/>
      <w:bookmarkStart w:id="7343" w:name="_Toc270684482"/>
      <w:bookmarkStart w:id="7344" w:name="_Toc274214659"/>
      <w:bookmarkStart w:id="7345" w:name="_Toc274215108"/>
      <w:bookmarkStart w:id="7346" w:name="_Toc278976439"/>
      <w:bookmarkStart w:id="7347" w:name="_Toc286760760"/>
      <w:bookmarkStart w:id="7348" w:name="_Toc289081105"/>
      <w:bookmarkStart w:id="7349" w:name="_Toc290284299"/>
      <w:bookmarkStart w:id="7350" w:name="_Toc290643120"/>
      <w:bookmarkStart w:id="7351" w:name="_Toc290643569"/>
      <w:bookmarkStart w:id="7352" w:name="_Toc290644022"/>
      <w:bookmarkStart w:id="7353" w:name="_Toc294701839"/>
      <w:bookmarkStart w:id="7354" w:name="_Toc295200247"/>
      <w:bookmarkStart w:id="7355" w:name="_Toc296954688"/>
      <w:bookmarkStart w:id="7356" w:name="_Toc297276323"/>
      <w:bookmarkStart w:id="7357" w:name="_Toc297276775"/>
      <w:bookmarkStart w:id="7358" w:name="_Toc297277225"/>
      <w:bookmarkStart w:id="7359" w:name="_Toc297726594"/>
      <w:bookmarkStart w:id="7360" w:name="_Toc299980380"/>
      <w:bookmarkStart w:id="7361" w:name="_Toc300235006"/>
      <w:bookmarkStart w:id="7362" w:name="_Toc301961509"/>
      <w:bookmarkStart w:id="7363" w:name="_Toc301967079"/>
      <w:bookmarkStart w:id="7364" w:name="_Toc303253288"/>
      <w:bookmarkStart w:id="7365" w:name="_Toc303257452"/>
      <w:bookmarkStart w:id="7366" w:name="_Toc307993085"/>
      <w:bookmarkStart w:id="7367" w:name="_Toc309030118"/>
      <w:bookmarkStart w:id="7368" w:name="_Toc309304341"/>
      <w:bookmarkStart w:id="7369" w:name="_Toc309309618"/>
      <w:r>
        <w:t>Division 3 — Low risk finfish — grouped bag limit of 40 fish</w:t>
      </w:r>
      <w:bookmarkEnd w:id="7301"/>
      <w:bookmarkEnd w:id="7302"/>
      <w:bookmarkEnd w:id="7303"/>
      <w:bookmarkEnd w:id="7304"/>
      <w:bookmarkEnd w:id="7305"/>
      <w:bookmarkEnd w:id="7306"/>
      <w:bookmarkEnd w:id="7307"/>
      <w:bookmarkEnd w:id="7308"/>
      <w:bookmarkEnd w:id="7309"/>
      <w:bookmarkEnd w:id="7310"/>
      <w:bookmarkEnd w:id="7311"/>
      <w:bookmarkEnd w:id="7312"/>
      <w:bookmarkEnd w:id="7313"/>
      <w:bookmarkEnd w:id="7314"/>
      <w:bookmarkEnd w:id="7315"/>
      <w:bookmarkEnd w:id="7316"/>
      <w:bookmarkEnd w:id="7317"/>
      <w:bookmarkEnd w:id="7318"/>
      <w:bookmarkEnd w:id="7319"/>
      <w:bookmarkEnd w:id="7320"/>
      <w:bookmarkEnd w:id="7321"/>
      <w:bookmarkEnd w:id="7322"/>
      <w:bookmarkEnd w:id="7323"/>
      <w:bookmarkEnd w:id="7324"/>
      <w:bookmarkEnd w:id="7325"/>
      <w:bookmarkEnd w:id="7326"/>
      <w:bookmarkEnd w:id="7327"/>
      <w:bookmarkEnd w:id="7328"/>
      <w:bookmarkEnd w:id="7329"/>
      <w:bookmarkEnd w:id="7330"/>
      <w:bookmarkEnd w:id="7331"/>
      <w:bookmarkEnd w:id="7332"/>
      <w:bookmarkEnd w:id="7333"/>
      <w:bookmarkEnd w:id="7334"/>
      <w:bookmarkEnd w:id="7335"/>
      <w:bookmarkEnd w:id="7336"/>
      <w:bookmarkEnd w:id="7337"/>
      <w:bookmarkEnd w:id="7338"/>
      <w:bookmarkEnd w:id="7339"/>
      <w:bookmarkEnd w:id="7340"/>
      <w:bookmarkEnd w:id="7341"/>
      <w:bookmarkEnd w:id="7342"/>
      <w:bookmarkEnd w:id="7343"/>
      <w:bookmarkEnd w:id="7344"/>
      <w:bookmarkEnd w:id="7345"/>
      <w:bookmarkEnd w:id="7346"/>
      <w:bookmarkEnd w:id="7347"/>
      <w:bookmarkEnd w:id="7348"/>
      <w:bookmarkEnd w:id="7349"/>
      <w:bookmarkEnd w:id="7350"/>
      <w:bookmarkEnd w:id="7351"/>
      <w:bookmarkEnd w:id="7352"/>
      <w:bookmarkEnd w:id="7353"/>
      <w:bookmarkEnd w:id="7354"/>
      <w:bookmarkEnd w:id="7355"/>
      <w:bookmarkEnd w:id="7356"/>
      <w:bookmarkEnd w:id="7357"/>
      <w:bookmarkEnd w:id="7358"/>
      <w:bookmarkEnd w:id="7359"/>
      <w:bookmarkEnd w:id="7360"/>
      <w:bookmarkEnd w:id="7361"/>
      <w:bookmarkEnd w:id="7362"/>
      <w:bookmarkEnd w:id="7363"/>
      <w:bookmarkEnd w:id="7364"/>
      <w:bookmarkEnd w:id="7365"/>
      <w:bookmarkEnd w:id="7366"/>
      <w:bookmarkEnd w:id="7367"/>
      <w:bookmarkEnd w:id="7368"/>
      <w:bookmarkEnd w:id="7369"/>
    </w:p>
    <w:p>
      <w:pPr>
        <w:pStyle w:val="yFootnoteheading"/>
        <w:keepNext/>
        <w:keepLines/>
        <w:spacing w:after="120"/>
      </w:pPr>
      <w:r>
        <w:tab/>
        <w:t>[Heading inserted in Gazette 1 Oct 2003 p. 4335; amended in Gazette 4 Nov 2005 p. 5314.]</w:t>
      </w:r>
    </w:p>
    <w:tbl>
      <w:tblPr>
        <w:tblW w:w="0" w:type="auto"/>
        <w:tblInd w:w="113" w:type="dxa"/>
        <w:tblLayout w:type="fixed"/>
        <w:tblCellMar>
          <w:left w:w="113" w:type="dxa"/>
          <w:right w:w="113" w:type="dxa"/>
        </w:tblCellMar>
        <w:tblLook w:val="0000" w:firstRow="0" w:lastRow="0" w:firstColumn="0" w:lastColumn="0" w:noHBand="0" w:noVBand="0"/>
      </w:tblPr>
      <w:tblGrid>
        <w:gridCol w:w="5252"/>
        <w:gridCol w:w="360"/>
        <w:gridCol w:w="1468"/>
      </w:tblGrid>
      <w:tr>
        <w:trPr>
          <w:cantSplit/>
          <w:tblHeader/>
        </w:trPr>
        <w:tc>
          <w:tcPr>
            <w:tcW w:w="5612" w:type="dxa"/>
            <w:gridSpan w:val="2"/>
            <w:tcBorders>
              <w:top w:val="single" w:sz="8" w:space="0" w:color="auto"/>
              <w:bottom w:val="single" w:sz="8" w:space="0" w:color="auto"/>
            </w:tcBorders>
            <w:tcMar>
              <w:left w:w="85" w:type="dxa"/>
            </w:tcMar>
            <w:vAlign w:val="center"/>
          </w:tcPr>
          <w:p>
            <w:pPr>
              <w:pStyle w:val="yTableNAm"/>
              <w:keepNext/>
              <w:tabs>
                <w:tab w:val="clear" w:pos="567"/>
                <w:tab w:val="left" w:leader="dot" w:pos="3971"/>
              </w:tabs>
              <w:spacing w:before="0"/>
              <w:rPr>
                <w:b/>
                <w:bCs/>
              </w:rPr>
            </w:pPr>
            <w:r>
              <w:rPr>
                <w:b/>
                <w:bCs/>
              </w:rPr>
              <w:t>Fish</w:t>
            </w:r>
          </w:p>
        </w:tc>
        <w:tc>
          <w:tcPr>
            <w:tcW w:w="1468" w:type="dxa"/>
            <w:tcBorders>
              <w:top w:val="single" w:sz="8" w:space="0" w:color="auto"/>
              <w:bottom w:val="single" w:sz="8" w:space="0" w:color="auto"/>
            </w:tcBorders>
            <w:tcMar>
              <w:left w:w="85" w:type="dxa"/>
            </w:tcMar>
            <w:vAlign w:val="center"/>
          </w:tcPr>
          <w:p>
            <w:pPr>
              <w:pStyle w:val="yTableNAm"/>
              <w:keepNext/>
              <w:tabs>
                <w:tab w:val="clear" w:pos="567"/>
                <w:tab w:val="left" w:leader="dot" w:pos="3971"/>
              </w:tabs>
              <w:spacing w:before="0"/>
              <w:rPr>
                <w:b/>
                <w:bCs/>
              </w:rPr>
            </w:pPr>
            <w:r>
              <w:rPr>
                <w:b/>
                <w:bCs/>
              </w:rPr>
              <w:t>Grouped bag limit of all species in the Division for one day</w:t>
            </w:r>
          </w:p>
        </w:tc>
      </w:tr>
      <w:tr>
        <w:trPr>
          <w:cantSplit/>
        </w:trPr>
        <w:tc>
          <w:tcPr>
            <w:tcW w:w="5252" w:type="dxa"/>
            <w:tcMar>
              <w:left w:w="85" w:type="dxa"/>
            </w:tcMar>
          </w:tcPr>
          <w:p>
            <w:pPr>
              <w:pStyle w:val="yTableNAm"/>
              <w:tabs>
                <w:tab w:val="clear" w:pos="567"/>
                <w:tab w:val="left" w:leader="dot" w:pos="5103"/>
              </w:tabs>
              <w:spacing w:before="0"/>
              <w:ind w:left="196" w:hanging="196"/>
            </w:pPr>
            <w:r>
              <w:t xml:space="preserve">Herring, Australian </w:t>
            </w:r>
            <w:r>
              <w:tab/>
            </w:r>
          </w:p>
        </w:tc>
        <w:tc>
          <w:tcPr>
            <w:tcW w:w="360" w:type="dxa"/>
            <w:vMerge w:val="restart"/>
            <w:tcMar>
              <w:left w:w="85" w:type="dxa"/>
            </w:tcMar>
          </w:tcPr>
          <w:p>
            <w:pPr>
              <w:pStyle w:val="yTableNAm"/>
              <w:tabs>
                <w:tab w:val="clear" w:pos="567"/>
                <w:tab w:val="left" w:leader="dot" w:pos="3971"/>
                <w:tab w:val="left" w:leader="dot" w:pos="4997"/>
              </w:tabs>
              <w:spacing w:before="0"/>
            </w:pPr>
            <w:r>
              <w:rPr>
                <w:noProof/>
                <w:lang w:eastAsia="en-AU"/>
              </w:rPr>
              <w:drawing>
                <wp:inline distT="0" distB="0" distL="0" distR="0">
                  <wp:extent cx="123825" cy="232410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2324100"/>
                          </a:xfrm>
                          <a:prstGeom prst="rect">
                            <a:avLst/>
                          </a:prstGeom>
                          <a:noFill/>
                          <a:ln>
                            <a:noFill/>
                          </a:ln>
                        </pic:spPr>
                      </pic:pic>
                    </a:graphicData>
                  </a:graphic>
                </wp:inline>
              </w:drawing>
            </w:r>
          </w:p>
        </w:tc>
        <w:tc>
          <w:tcPr>
            <w:tcW w:w="1468" w:type="dxa"/>
            <w:vMerge w:val="restart"/>
            <w:tcMar>
              <w:left w:w="85" w:type="dxa"/>
            </w:tcMar>
          </w:tcPr>
          <w:p>
            <w:pPr>
              <w:pStyle w:val="yTableNAm"/>
              <w:tabs>
                <w:tab w:val="clear" w:pos="567"/>
                <w:tab w:val="left" w:leader="dot" w:pos="3971"/>
              </w:tabs>
              <w:spacing w:before="180"/>
            </w:pPr>
            <w:r>
              <w:br/>
            </w:r>
            <w:r>
              <w:br/>
            </w:r>
            <w:r>
              <w:br/>
            </w:r>
            <w:r>
              <w:br/>
            </w:r>
            <w:r>
              <w:br/>
            </w:r>
            <w:r>
              <w:br/>
              <w:t>40</w:t>
            </w:r>
          </w:p>
        </w:tc>
      </w:tr>
      <w:tr>
        <w:trPr>
          <w:cantSplit/>
        </w:trPr>
        <w:tc>
          <w:tcPr>
            <w:tcW w:w="5252" w:type="dxa"/>
            <w:tcMar>
              <w:left w:w="85" w:type="dxa"/>
            </w:tcMar>
          </w:tcPr>
          <w:p>
            <w:pPr>
              <w:pStyle w:val="yTableNAm"/>
              <w:tabs>
                <w:tab w:val="clear" w:pos="567"/>
                <w:tab w:val="left" w:leader="dot" w:pos="5103"/>
              </w:tabs>
              <w:spacing w:before="0"/>
              <w:ind w:left="196" w:hanging="196"/>
            </w:pPr>
            <w:r>
              <w:t xml:space="preserve">Dart </w:t>
            </w:r>
            <w:r>
              <w:tab/>
            </w:r>
          </w:p>
        </w:tc>
        <w:tc>
          <w:tcPr>
            <w:tcW w:w="360" w:type="dxa"/>
            <w:vMerge/>
            <w:tcMar>
              <w:left w:w="85" w:type="dxa"/>
            </w:tcMar>
          </w:tcPr>
          <w:p>
            <w:pPr>
              <w:pStyle w:val="yTableNAm"/>
              <w:keepNext/>
              <w:tabs>
                <w:tab w:val="clear" w:pos="567"/>
                <w:tab w:val="left" w:leader="dot" w:pos="3971"/>
              </w:tabs>
              <w:spacing w:before="0"/>
            </w:pPr>
          </w:p>
        </w:tc>
        <w:tc>
          <w:tcPr>
            <w:tcW w:w="1468" w:type="dxa"/>
            <w:vMerge/>
            <w:tcMar>
              <w:left w:w="85" w:type="dxa"/>
            </w:tcMar>
          </w:tcPr>
          <w:p>
            <w:pPr>
              <w:pStyle w:val="yTableNAm"/>
              <w:keepNext/>
              <w:tabs>
                <w:tab w:val="clear" w:pos="567"/>
                <w:tab w:val="left" w:leader="dot" w:pos="3971"/>
              </w:tabs>
              <w:spacing w:before="0"/>
            </w:pPr>
          </w:p>
        </w:tc>
      </w:tr>
      <w:tr>
        <w:trPr>
          <w:cantSplit/>
        </w:trPr>
        <w:tc>
          <w:tcPr>
            <w:tcW w:w="5252" w:type="dxa"/>
            <w:tcMar>
              <w:left w:w="85" w:type="dxa"/>
            </w:tcMar>
          </w:tcPr>
          <w:p>
            <w:pPr>
              <w:pStyle w:val="yTableNAm"/>
              <w:tabs>
                <w:tab w:val="clear" w:pos="567"/>
                <w:tab w:val="left" w:leader="dot" w:pos="5103"/>
              </w:tabs>
              <w:spacing w:before="0"/>
              <w:ind w:left="196" w:hanging="196"/>
            </w:pPr>
            <w:r>
              <w:t xml:space="preserve">Garfish </w:t>
            </w:r>
            <w:r>
              <w:tab/>
            </w:r>
          </w:p>
        </w:tc>
        <w:tc>
          <w:tcPr>
            <w:tcW w:w="360" w:type="dxa"/>
            <w:vMerge/>
            <w:tcMar>
              <w:left w:w="85" w:type="dxa"/>
            </w:tcMar>
          </w:tcPr>
          <w:p>
            <w:pPr>
              <w:pStyle w:val="yTableNAm"/>
              <w:keepNext/>
              <w:tabs>
                <w:tab w:val="clear" w:pos="567"/>
                <w:tab w:val="left" w:leader="dot" w:pos="3971"/>
              </w:tabs>
              <w:spacing w:before="0"/>
            </w:pPr>
          </w:p>
        </w:tc>
        <w:tc>
          <w:tcPr>
            <w:tcW w:w="1468" w:type="dxa"/>
            <w:vMerge/>
            <w:tcMar>
              <w:left w:w="85" w:type="dxa"/>
            </w:tcMar>
          </w:tcPr>
          <w:p>
            <w:pPr>
              <w:pStyle w:val="yTableNAm"/>
              <w:keepNext/>
              <w:tabs>
                <w:tab w:val="clear" w:pos="567"/>
                <w:tab w:val="left" w:leader="dot" w:pos="3971"/>
              </w:tabs>
              <w:spacing w:before="0"/>
            </w:pPr>
          </w:p>
        </w:tc>
      </w:tr>
      <w:tr>
        <w:trPr>
          <w:cantSplit/>
        </w:trPr>
        <w:tc>
          <w:tcPr>
            <w:tcW w:w="5252" w:type="dxa"/>
            <w:tcMar>
              <w:left w:w="85" w:type="dxa"/>
            </w:tcMar>
          </w:tcPr>
          <w:p>
            <w:pPr>
              <w:pStyle w:val="yTableNAm"/>
              <w:tabs>
                <w:tab w:val="clear" w:pos="567"/>
                <w:tab w:val="left" w:leader="dot" w:pos="5103"/>
              </w:tabs>
              <w:spacing w:before="0"/>
              <w:ind w:left="196" w:hanging="196"/>
            </w:pPr>
            <w:r>
              <w:t xml:space="preserve">Longtom </w:t>
            </w:r>
            <w:r>
              <w:tab/>
            </w:r>
          </w:p>
        </w:tc>
        <w:tc>
          <w:tcPr>
            <w:tcW w:w="360" w:type="dxa"/>
            <w:vMerge/>
            <w:tcMar>
              <w:left w:w="85" w:type="dxa"/>
            </w:tcMar>
          </w:tcPr>
          <w:p>
            <w:pPr>
              <w:pStyle w:val="yTableNAm"/>
              <w:keepNext/>
              <w:tabs>
                <w:tab w:val="clear" w:pos="567"/>
                <w:tab w:val="left" w:leader="dot" w:pos="3971"/>
              </w:tabs>
              <w:spacing w:before="0"/>
            </w:pPr>
          </w:p>
        </w:tc>
        <w:tc>
          <w:tcPr>
            <w:tcW w:w="1468" w:type="dxa"/>
            <w:vMerge/>
            <w:tcMar>
              <w:left w:w="85" w:type="dxa"/>
            </w:tcMar>
          </w:tcPr>
          <w:p>
            <w:pPr>
              <w:pStyle w:val="yTableNAm"/>
              <w:keepNext/>
              <w:tabs>
                <w:tab w:val="clear" w:pos="567"/>
                <w:tab w:val="left" w:leader="dot" w:pos="3971"/>
              </w:tabs>
              <w:spacing w:before="0"/>
            </w:pPr>
          </w:p>
        </w:tc>
      </w:tr>
      <w:tr>
        <w:trPr>
          <w:cantSplit/>
        </w:trPr>
        <w:tc>
          <w:tcPr>
            <w:tcW w:w="5252" w:type="dxa"/>
            <w:tcMar>
              <w:left w:w="85" w:type="dxa"/>
            </w:tcMar>
          </w:tcPr>
          <w:p>
            <w:pPr>
              <w:pStyle w:val="yTableNAm"/>
              <w:tabs>
                <w:tab w:val="clear" w:pos="567"/>
                <w:tab w:val="left" w:leader="dot" w:pos="5103"/>
              </w:tabs>
              <w:spacing w:before="0"/>
              <w:ind w:left="196" w:hanging="196"/>
            </w:pPr>
            <w:r>
              <w:t xml:space="preserve">Mackerel, Blue (Common) </w:t>
            </w:r>
            <w:r>
              <w:tab/>
            </w:r>
          </w:p>
        </w:tc>
        <w:tc>
          <w:tcPr>
            <w:tcW w:w="360" w:type="dxa"/>
            <w:vMerge/>
            <w:tcMar>
              <w:left w:w="85" w:type="dxa"/>
            </w:tcMar>
          </w:tcPr>
          <w:p>
            <w:pPr>
              <w:pStyle w:val="yTableNAm"/>
              <w:keepNext/>
              <w:tabs>
                <w:tab w:val="clear" w:pos="567"/>
                <w:tab w:val="left" w:leader="dot" w:pos="3971"/>
              </w:tabs>
              <w:spacing w:before="0"/>
            </w:pPr>
          </w:p>
        </w:tc>
        <w:tc>
          <w:tcPr>
            <w:tcW w:w="1468" w:type="dxa"/>
            <w:vMerge/>
            <w:tcMar>
              <w:left w:w="85" w:type="dxa"/>
            </w:tcMar>
          </w:tcPr>
          <w:p>
            <w:pPr>
              <w:pStyle w:val="yTableNAm"/>
              <w:keepNext/>
              <w:tabs>
                <w:tab w:val="clear" w:pos="567"/>
                <w:tab w:val="left" w:leader="dot" w:pos="3971"/>
              </w:tabs>
              <w:spacing w:before="0"/>
            </w:pPr>
          </w:p>
        </w:tc>
      </w:tr>
      <w:tr>
        <w:trPr>
          <w:cantSplit/>
        </w:trPr>
        <w:tc>
          <w:tcPr>
            <w:tcW w:w="5252" w:type="dxa"/>
            <w:tcMar>
              <w:left w:w="85" w:type="dxa"/>
            </w:tcMar>
          </w:tcPr>
          <w:p>
            <w:pPr>
              <w:pStyle w:val="yTableNAm"/>
              <w:tabs>
                <w:tab w:val="clear" w:pos="567"/>
                <w:tab w:val="left" w:leader="dot" w:pos="5103"/>
              </w:tabs>
              <w:spacing w:before="0"/>
              <w:ind w:left="196" w:hanging="196"/>
            </w:pPr>
            <w:r>
              <w:t xml:space="preserve">Milkfish </w:t>
            </w:r>
            <w:r>
              <w:tab/>
            </w:r>
          </w:p>
        </w:tc>
        <w:tc>
          <w:tcPr>
            <w:tcW w:w="360" w:type="dxa"/>
            <w:vMerge/>
            <w:tcMar>
              <w:left w:w="85" w:type="dxa"/>
            </w:tcMar>
          </w:tcPr>
          <w:p>
            <w:pPr>
              <w:pStyle w:val="yTableNAm"/>
              <w:tabs>
                <w:tab w:val="clear" w:pos="567"/>
                <w:tab w:val="left" w:leader="dot" w:pos="3971"/>
              </w:tabs>
              <w:spacing w:before="0"/>
            </w:pPr>
          </w:p>
        </w:tc>
        <w:tc>
          <w:tcPr>
            <w:tcW w:w="1468" w:type="dxa"/>
            <w:vMerge/>
            <w:tcMar>
              <w:left w:w="85" w:type="dxa"/>
            </w:tcMar>
          </w:tcPr>
          <w:p>
            <w:pPr>
              <w:pStyle w:val="yTableNAm"/>
              <w:tabs>
                <w:tab w:val="clear" w:pos="567"/>
                <w:tab w:val="left" w:leader="dot" w:pos="3971"/>
              </w:tabs>
              <w:spacing w:before="0"/>
            </w:pPr>
          </w:p>
        </w:tc>
      </w:tr>
      <w:tr>
        <w:trPr>
          <w:cantSplit/>
        </w:trPr>
        <w:tc>
          <w:tcPr>
            <w:tcW w:w="5252" w:type="dxa"/>
            <w:tcMar>
              <w:left w:w="85" w:type="dxa"/>
            </w:tcMar>
          </w:tcPr>
          <w:p>
            <w:pPr>
              <w:pStyle w:val="yTableNAm"/>
              <w:tabs>
                <w:tab w:val="clear" w:pos="567"/>
                <w:tab w:val="left" w:leader="dot" w:pos="5103"/>
              </w:tabs>
              <w:spacing w:before="0"/>
              <w:ind w:left="196" w:hanging="196"/>
            </w:pPr>
            <w:r>
              <w:t>Mullet, Sea and Yellow</w:t>
            </w:r>
            <w:r>
              <w:noBreakHyphen/>
              <w:t xml:space="preserve">eye </w:t>
            </w:r>
            <w:r>
              <w:tab/>
            </w:r>
          </w:p>
        </w:tc>
        <w:tc>
          <w:tcPr>
            <w:tcW w:w="360" w:type="dxa"/>
            <w:vMerge/>
            <w:tcMar>
              <w:left w:w="85" w:type="dxa"/>
            </w:tcMar>
          </w:tcPr>
          <w:p>
            <w:pPr>
              <w:pStyle w:val="yTableNAm"/>
              <w:tabs>
                <w:tab w:val="clear" w:pos="567"/>
                <w:tab w:val="left" w:leader="dot" w:pos="3971"/>
              </w:tabs>
              <w:spacing w:before="0"/>
            </w:pPr>
          </w:p>
        </w:tc>
        <w:tc>
          <w:tcPr>
            <w:tcW w:w="1468" w:type="dxa"/>
            <w:vMerge/>
            <w:tcMar>
              <w:left w:w="85" w:type="dxa"/>
            </w:tcMar>
          </w:tcPr>
          <w:p>
            <w:pPr>
              <w:pStyle w:val="yTableNAm"/>
              <w:tabs>
                <w:tab w:val="clear" w:pos="567"/>
                <w:tab w:val="left" w:leader="dot" w:pos="3971"/>
              </w:tabs>
              <w:spacing w:before="0"/>
            </w:pPr>
          </w:p>
        </w:tc>
      </w:tr>
      <w:tr>
        <w:trPr>
          <w:cantSplit/>
        </w:trPr>
        <w:tc>
          <w:tcPr>
            <w:tcW w:w="5252" w:type="dxa"/>
            <w:tcBorders>
              <w:bottom w:val="single" w:sz="4" w:space="0" w:color="auto"/>
            </w:tcBorders>
            <w:tcMar>
              <w:left w:w="85" w:type="dxa"/>
            </w:tcMar>
          </w:tcPr>
          <w:p>
            <w:pPr>
              <w:pStyle w:val="yTableNAm"/>
              <w:tabs>
                <w:tab w:val="clear" w:pos="567"/>
                <w:tab w:val="left" w:leader="dot" w:pos="5103"/>
              </w:tabs>
              <w:spacing w:before="0"/>
              <w:ind w:left="196" w:hanging="196"/>
            </w:pPr>
            <w:r>
              <w:t>Whiting, Southern School</w:t>
            </w:r>
          </w:p>
          <w:p>
            <w:pPr>
              <w:pStyle w:val="yTableNAm"/>
              <w:tabs>
                <w:tab w:val="clear" w:pos="567"/>
                <w:tab w:val="left" w:pos="196"/>
                <w:tab w:val="left" w:leader="dot" w:pos="4494"/>
                <w:tab w:val="left" w:leader="dot" w:pos="4820"/>
                <w:tab w:val="left" w:leader="dot" w:pos="4990"/>
                <w:tab w:val="left" w:leader="dot" w:pos="5103"/>
              </w:tabs>
              <w:spacing w:before="0"/>
              <w:ind w:left="196" w:hanging="196"/>
            </w:pPr>
            <w:r>
              <w:t>All other Gascoyne species of fish not specifically covered in this Part except for —</w:t>
            </w:r>
          </w:p>
          <w:p>
            <w:pPr>
              <w:pStyle w:val="yTableNAm"/>
              <w:tabs>
                <w:tab w:val="left" w:pos="227"/>
                <w:tab w:val="left" w:leader="dot" w:pos="4820"/>
                <w:tab w:val="left" w:leader="dot" w:pos="4990"/>
                <w:tab w:val="left" w:leader="dot" w:pos="5103"/>
                <w:tab w:val="right" w:leader="dot" w:pos="6237"/>
              </w:tabs>
              <w:spacing w:before="0"/>
              <w:ind w:left="578" w:right="237" w:hanging="578"/>
            </w:pPr>
            <w:r>
              <w:tab/>
              <w:t>(a)</w:t>
            </w:r>
            <w:r>
              <w:tab/>
              <w:t xml:space="preserve">bait fish of the </w:t>
            </w:r>
            <w:r>
              <w:rPr>
                <w:u w:val="single"/>
              </w:rPr>
              <w:t>Families</w:t>
            </w:r>
            <w:r>
              <w:t xml:space="preserve"> Clupeidae (Pilchards and Whitebait), Atherinidae (Hardyheads) and Engraulidae (Anchovy); and</w:t>
            </w:r>
          </w:p>
          <w:p>
            <w:pPr>
              <w:pStyle w:val="yTableNAm"/>
              <w:tabs>
                <w:tab w:val="left" w:leader="dot" w:pos="5103"/>
              </w:tabs>
              <w:spacing w:before="0"/>
              <w:ind w:left="196" w:hanging="196"/>
              <w:rPr>
                <w:spacing w:val="-4"/>
              </w:rPr>
            </w:pPr>
            <w:r>
              <w:rPr>
                <w:spacing w:val="-4"/>
              </w:rPr>
              <w:tab/>
              <w:t>(b)</w:t>
            </w:r>
            <w:r>
              <w:rPr>
                <w:spacing w:val="-4"/>
              </w:rPr>
              <w:tab/>
              <w:t xml:space="preserve">Redfin Perch, Goldfish and European Carp </w:t>
            </w:r>
            <w:r>
              <w:rPr>
                <w:spacing w:val="-4"/>
              </w:rPr>
              <w:tab/>
            </w:r>
          </w:p>
        </w:tc>
        <w:tc>
          <w:tcPr>
            <w:tcW w:w="360" w:type="dxa"/>
            <w:vMerge/>
            <w:tcBorders>
              <w:bottom w:val="single" w:sz="4" w:space="0" w:color="auto"/>
            </w:tcBorders>
            <w:tcMar>
              <w:left w:w="85" w:type="dxa"/>
            </w:tcMar>
          </w:tcPr>
          <w:p>
            <w:pPr>
              <w:pStyle w:val="yTableNAm"/>
              <w:tabs>
                <w:tab w:val="clear" w:pos="567"/>
                <w:tab w:val="left" w:leader="dot" w:pos="3971"/>
              </w:tabs>
              <w:spacing w:before="0"/>
            </w:pPr>
          </w:p>
        </w:tc>
        <w:tc>
          <w:tcPr>
            <w:tcW w:w="1468" w:type="dxa"/>
            <w:vMerge/>
            <w:tcBorders>
              <w:bottom w:val="single" w:sz="4" w:space="0" w:color="auto"/>
            </w:tcBorders>
            <w:tcMar>
              <w:left w:w="85" w:type="dxa"/>
            </w:tcMar>
          </w:tcPr>
          <w:p>
            <w:pPr>
              <w:pStyle w:val="yTableNAm"/>
              <w:tabs>
                <w:tab w:val="clear" w:pos="567"/>
                <w:tab w:val="left" w:leader="dot" w:pos="3971"/>
              </w:tabs>
              <w:spacing w:before="0"/>
            </w:pPr>
          </w:p>
        </w:tc>
      </w:tr>
    </w:tbl>
    <w:p>
      <w:pPr>
        <w:pStyle w:val="yFootnotesection"/>
        <w:spacing w:before="80"/>
      </w:pPr>
      <w:r>
        <w:tab/>
        <w:t>[Division 3 inserted in Gazette 1 Oct 2003 p. 4335; amended in Gazette 4 Nov 2005 p. 5314</w:t>
      </w:r>
      <w:r>
        <w:noBreakHyphen/>
        <w:t>15; 23 Jul 2010 p. 3402.]</w:t>
      </w:r>
    </w:p>
    <w:p>
      <w:pPr>
        <w:pStyle w:val="yHeading3"/>
      </w:pPr>
      <w:bookmarkStart w:id="7370" w:name="_Toc189988180"/>
      <w:bookmarkStart w:id="7371" w:name="_Toc192041763"/>
      <w:bookmarkStart w:id="7372" w:name="_Toc199570997"/>
      <w:bookmarkStart w:id="7373" w:name="_Toc199738996"/>
      <w:bookmarkStart w:id="7374" w:name="_Toc199815097"/>
      <w:bookmarkStart w:id="7375" w:name="_Toc215040904"/>
      <w:bookmarkStart w:id="7376" w:name="_Toc215041349"/>
      <w:bookmarkStart w:id="7377" w:name="_Toc222129557"/>
      <w:bookmarkStart w:id="7378" w:name="_Toc222223262"/>
      <w:bookmarkStart w:id="7379" w:name="_Toc225914514"/>
      <w:bookmarkStart w:id="7380" w:name="_Toc231282559"/>
      <w:bookmarkStart w:id="7381" w:name="_Toc231283003"/>
      <w:bookmarkStart w:id="7382" w:name="_Toc234899593"/>
      <w:bookmarkStart w:id="7383" w:name="_Toc236632875"/>
      <w:bookmarkStart w:id="7384" w:name="_Toc236720488"/>
      <w:bookmarkStart w:id="7385" w:name="_Toc237764687"/>
      <w:bookmarkStart w:id="7386" w:name="_Toc238356311"/>
      <w:bookmarkStart w:id="7387" w:name="_Toc238369016"/>
      <w:bookmarkStart w:id="7388" w:name="_Toc238375969"/>
      <w:bookmarkStart w:id="7389" w:name="_Toc240339293"/>
      <w:bookmarkStart w:id="7390" w:name="_Toc241993799"/>
      <w:bookmarkStart w:id="7391" w:name="_Toc243192942"/>
      <w:bookmarkStart w:id="7392" w:name="_Toc243295644"/>
      <w:bookmarkStart w:id="7393" w:name="_Toc245113217"/>
      <w:bookmarkStart w:id="7394" w:name="_Toc245198379"/>
      <w:bookmarkStart w:id="7395" w:name="_Toc245198828"/>
      <w:bookmarkStart w:id="7396" w:name="_Toc245199277"/>
      <w:bookmarkStart w:id="7397" w:name="_Toc248122308"/>
      <w:bookmarkStart w:id="7398" w:name="_Toc248122759"/>
      <w:bookmarkStart w:id="7399" w:name="_Toc253670746"/>
      <w:bookmarkStart w:id="7400" w:name="_Toc253671196"/>
      <w:bookmarkStart w:id="7401" w:name="_Toc254942970"/>
      <w:bookmarkStart w:id="7402" w:name="_Toc254943423"/>
      <w:bookmarkStart w:id="7403" w:name="_Toc255476015"/>
      <w:bookmarkStart w:id="7404" w:name="_Toc256432336"/>
      <w:bookmarkStart w:id="7405" w:name="_Toc257720673"/>
      <w:bookmarkStart w:id="7406" w:name="_Toc257722355"/>
      <w:bookmarkStart w:id="7407" w:name="_Toc258336031"/>
      <w:bookmarkStart w:id="7408" w:name="_Toc260406473"/>
      <w:bookmarkStart w:id="7409" w:name="_Toc261271659"/>
      <w:bookmarkStart w:id="7410" w:name="_Toc262808341"/>
      <w:bookmarkStart w:id="7411" w:name="_Toc267572734"/>
      <w:bookmarkStart w:id="7412" w:name="_Toc270684483"/>
      <w:bookmarkStart w:id="7413" w:name="_Toc274214660"/>
      <w:bookmarkStart w:id="7414" w:name="_Toc274215109"/>
      <w:bookmarkStart w:id="7415" w:name="_Toc278976440"/>
      <w:bookmarkStart w:id="7416" w:name="_Toc286760761"/>
      <w:bookmarkStart w:id="7417" w:name="_Toc289081106"/>
      <w:bookmarkStart w:id="7418" w:name="_Toc290284300"/>
      <w:bookmarkStart w:id="7419" w:name="_Toc290643121"/>
      <w:bookmarkStart w:id="7420" w:name="_Toc290643570"/>
      <w:bookmarkStart w:id="7421" w:name="_Toc290644023"/>
      <w:bookmarkStart w:id="7422" w:name="_Toc294701840"/>
      <w:bookmarkStart w:id="7423" w:name="_Toc295200248"/>
      <w:bookmarkStart w:id="7424" w:name="_Toc296954689"/>
      <w:bookmarkStart w:id="7425" w:name="_Toc297276324"/>
      <w:bookmarkStart w:id="7426" w:name="_Toc297276776"/>
      <w:bookmarkStart w:id="7427" w:name="_Toc297277226"/>
      <w:bookmarkStart w:id="7428" w:name="_Toc297726595"/>
      <w:bookmarkStart w:id="7429" w:name="_Toc299980381"/>
      <w:bookmarkStart w:id="7430" w:name="_Toc300235007"/>
      <w:bookmarkStart w:id="7431" w:name="_Toc301961510"/>
      <w:bookmarkStart w:id="7432" w:name="_Toc301967080"/>
      <w:bookmarkStart w:id="7433" w:name="_Toc303253289"/>
      <w:bookmarkStart w:id="7434" w:name="_Toc303257453"/>
      <w:bookmarkStart w:id="7435" w:name="_Toc307993086"/>
      <w:bookmarkStart w:id="7436" w:name="_Toc309030119"/>
      <w:bookmarkStart w:id="7437" w:name="_Toc309304342"/>
      <w:bookmarkStart w:id="7438" w:name="_Toc309309619"/>
      <w:r>
        <w:t>Division 4 — Crustaceans</w:t>
      </w:r>
      <w:bookmarkEnd w:id="7370"/>
      <w:bookmarkEnd w:id="7371"/>
      <w:bookmarkEnd w:id="7372"/>
      <w:bookmarkEnd w:id="7373"/>
      <w:bookmarkEnd w:id="7374"/>
      <w:bookmarkEnd w:id="7375"/>
      <w:bookmarkEnd w:id="7376"/>
      <w:bookmarkEnd w:id="7377"/>
      <w:bookmarkEnd w:id="7378"/>
      <w:bookmarkEnd w:id="7379"/>
      <w:bookmarkEnd w:id="7380"/>
      <w:bookmarkEnd w:id="7381"/>
      <w:bookmarkEnd w:id="7382"/>
      <w:bookmarkEnd w:id="7383"/>
      <w:bookmarkEnd w:id="7384"/>
      <w:bookmarkEnd w:id="7385"/>
      <w:bookmarkEnd w:id="7386"/>
      <w:bookmarkEnd w:id="7387"/>
      <w:bookmarkEnd w:id="7388"/>
      <w:bookmarkEnd w:id="7389"/>
      <w:bookmarkEnd w:id="7390"/>
      <w:bookmarkEnd w:id="7391"/>
      <w:bookmarkEnd w:id="7392"/>
      <w:bookmarkEnd w:id="7393"/>
      <w:bookmarkEnd w:id="7394"/>
      <w:bookmarkEnd w:id="7395"/>
      <w:bookmarkEnd w:id="7396"/>
      <w:bookmarkEnd w:id="7397"/>
      <w:bookmarkEnd w:id="7398"/>
      <w:bookmarkEnd w:id="7399"/>
      <w:bookmarkEnd w:id="7400"/>
      <w:bookmarkEnd w:id="7401"/>
      <w:bookmarkEnd w:id="7402"/>
      <w:bookmarkEnd w:id="7403"/>
      <w:bookmarkEnd w:id="7404"/>
      <w:bookmarkEnd w:id="7405"/>
      <w:bookmarkEnd w:id="7406"/>
      <w:bookmarkEnd w:id="7407"/>
      <w:bookmarkEnd w:id="7408"/>
      <w:bookmarkEnd w:id="7409"/>
      <w:bookmarkEnd w:id="7410"/>
      <w:bookmarkEnd w:id="7411"/>
      <w:bookmarkEnd w:id="7412"/>
      <w:bookmarkEnd w:id="7413"/>
      <w:bookmarkEnd w:id="7414"/>
      <w:bookmarkEnd w:id="7415"/>
      <w:bookmarkEnd w:id="7416"/>
      <w:bookmarkEnd w:id="7417"/>
      <w:bookmarkEnd w:id="7418"/>
      <w:bookmarkEnd w:id="7419"/>
      <w:bookmarkEnd w:id="7420"/>
      <w:bookmarkEnd w:id="7421"/>
      <w:bookmarkEnd w:id="7422"/>
      <w:bookmarkEnd w:id="7423"/>
      <w:bookmarkEnd w:id="7424"/>
      <w:bookmarkEnd w:id="7425"/>
      <w:bookmarkEnd w:id="7426"/>
      <w:bookmarkEnd w:id="7427"/>
      <w:bookmarkEnd w:id="7428"/>
      <w:bookmarkEnd w:id="7429"/>
      <w:bookmarkEnd w:id="7430"/>
      <w:bookmarkEnd w:id="7431"/>
      <w:bookmarkEnd w:id="7432"/>
      <w:bookmarkEnd w:id="7433"/>
      <w:bookmarkEnd w:id="7434"/>
      <w:bookmarkEnd w:id="7435"/>
      <w:bookmarkEnd w:id="7436"/>
      <w:bookmarkEnd w:id="7437"/>
      <w:bookmarkEnd w:id="7438"/>
    </w:p>
    <w:p>
      <w:pPr>
        <w:pStyle w:val="yFootnoteheading"/>
        <w:keepNext/>
        <w:spacing w:after="120"/>
      </w:pPr>
      <w:r>
        <w:tab/>
        <w:t>[Heading inserted in Gazette 1 Oct 2003 p. 4335.]</w:t>
      </w:r>
    </w:p>
    <w:tbl>
      <w:tblPr>
        <w:tblW w:w="0" w:type="auto"/>
        <w:tblInd w:w="113" w:type="dxa"/>
        <w:tblLayout w:type="fixed"/>
        <w:tblCellMar>
          <w:left w:w="113" w:type="dxa"/>
          <w:right w:w="113" w:type="dxa"/>
        </w:tblCellMar>
        <w:tblLook w:val="0000" w:firstRow="0" w:lastRow="0" w:firstColumn="0" w:lastColumn="0" w:noHBand="0" w:noVBand="0"/>
      </w:tblPr>
      <w:tblGrid>
        <w:gridCol w:w="5252"/>
        <w:gridCol w:w="1828"/>
      </w:tblGrid>
      <w:tr>
        <w:trPr>
          <w:tblHeader/>
        </w:trPr>
        <w:tc>
          <w:tcPr>
            <w:tcW w:w="5252" w:type="dxa"/>
            <w:tcBorders>
              <w:top w:val="single" w:sz="8" w:space="0" w:color="auto"/>
              <w:bottom w:val="single" w:sz="8" w:space="0" w:color="auto"/>
            </w:tcBorders>
            <w:tcMar>
              <w:left w:w="85" w:type="dxa"/>
            </w:tcMar>
            <w:vAlign w:val="center"/>
          </w:tcPr>
          <w:p>
            <w:pPr>
              <w:pStyle w:val="yTableNAm"/>
              <w:keepNext/>
              <w:tabs>
                <w:tab w:val="clear" w:pos="567"/>
                <w:tab w:val="left" w:leader="dot" w:pos="4112"/>
              </w:tabs>
              <w:spacing w:before="0"/>
              <w:rPr>
                <w:b/>
                <w:bCs/>
              </w:rPr>
            </w:pPr>
            <w:r>
              <w:rPr>
                <w:b/>
                <w:bCs/>
              </w:rPr>
              <w:t>Fish</w:t>
            </w:r>
          </w:p>
        </w:tc>
        <w:tc>
          <w:tcPr>
            <w:tcW w:w="1828" w:type="dxa"/>
            <w:tcBorders>
              <w:top w:val="single" w:sz="8" w:space="0" w:color="auto"/>
              <w:bottom w:val="single" w:sz="8" w:space="0" w:color="auto"/>
            </w:tcBorders>
            <w:tcMar>
              <w:left w:w="85" w:type="dxa"/>
            </w:tcMar>
            <w:vAlign w:val="center"/>
          </w:tcPr>
          <w:p>
            <w:pPr>
              <w:pStyle w:val="yTableNAm"/>
              <w:keepNext/>
              <w:tabs>
                <w:tab w:val="clear" w:pos="567"/>
                <w:tab w:val="left" w:leader="dot" w:pos="4112"/>
              </w:tabs>
              <w:spacing w:before="0"/>
              <w:rPr>
                <w:b/>
                <w:bCs/>
              </w:rPr>
            </w:pPr>
            <w:r>
              <w:rPr>
                <w:b/>
                <w:bCs/>
              </w:rPr>
              <w:t>Species, or group of species, bag limit for one day</w:t>
            </w:r>
          </w:p>
        </w:tc>
      </w:tr>
      <w:tr>
        <w:tc>
          <w:tcPr>
            <w:tcW w:w="5252" w:type="dxa"/>
            <w:tcMar>
              <w:left w:w="85" w:type="dxa"/>
            </w:tcMar>
          </w:tcPr>
          <w:p>
            <w:pPr>
              <w:pStyle w:val="yTableNAm"/>
              <w:keepNext/>
              <w:tabs>
                <w:tab w:val="clear" w:pos="567"/>
                <w:tab w:val="right" w:leader="dot" w:pos="5047"/>
              </w:tabs>
              <w:spacing w:before="0"/>
            </w:pPr>
            <w:r>
              <w:t xml:space="preserve">Crab, Blue Manna </w:t>
            </w:r>
            <w:r>
              <w:tab/>
            </w:r>
          </w:p>
        </w:tc>
        <w:tc>
          <w:tcPr>
            <w:tcW w:w="1828" w:type="dxa"/>
            <w:tcMar>
              <w:left w:w="85" w:type="dxa"/>
            </w:tcMar>
          </w:tcPr>
          <w:p>
            <w:pPr>
              <w:pStyle w:val="yTableNAm"/>
              <w:keepNext/>
              <w:tabs>
                <w:tab w:val="clear" w:pos="567"/>
                <w:tab w:val="left" w:leader="dot" w:pos="4112"/>
              </w:tabs>
              <w:spacing w:before="0"/>
            </w:pPr>
            <w:r>
              <w:t>20</w:t>
            </w:r>
          </w:p>
        </w:tc>
      </w:tr>
      <w:tr>
        <w:tc>
          <w:tcPr>
            <w:tcW w:w="5252" w:type="dxa"/>
            <w:tcMar>
              <w:left w:w="85" w:type="dxa"/>
            </w:tcMar>
          </w:tcPr>
          <w:p>
            <w:pPr>
              <w:pStyle w:val="yTableNAm"/>
              <w:keepNext/>
              <w:tabs>
                <w:tab w:val="clear" w:pos="567"/>
                <w:tab w:val="right" w:leader="dot" w:pos="5047"/>
              </w:tabs>
              <w:spacing w:before="0"/>
              <w:rPr>
                <w:spacing w:val="-4"/>
              </w:rPr>
            </w:pPr>
            <w:r>
              <w:rPr>
                <w:spacing w:val="-4"/>
              </w:rPr>
              <w:t xml:space="preserve">Crab, </w:t>
            </w:r>
            <w:r>
              <w:rPr>
                <w:szCs w:val="22"/>
              </w:rPr>
              <w:t>Brown Mud and Green Mud (combined)</w:t>
            </w:r>
            <w:r>
              <w:rPr>
                <w:spacing w:val="-4"/>
              </w:rPr>
              <w:tab/>
            </w:r>
          </w:p>
        </w:tc>
        <w:tc>
          <w:tcPr>
            <w:tcW w:w="1828" w:type="dxa"/>
            <w:tcMar>
              <w:left w:w="85" w:type="dxa"/>
            </w:tcMar>
          </w:tcPr>
          <w:p>
            <w:pPr>
              <w:pStyle w:val="yTableNAm"/>
              <w:keepNext/>
              <w:tabs>
                <w:tab w:val="clear" w:pos="567"/>
                <w:tab w:val="left" w:leader="dot" w:pos="4112"/>
              </w:tabs>
              <w:spacing w:before="0"/>
            </w:pPr>
            <w:r>
              <w:t>5</w:t>
            </w:r>
          </w:p>
        </w:tc>
      </w:tr>
      <w:tr>
        <w:tc>
          <w:tcPr>
            <w:tcW w:w="5252" w:type="dxa"/>
            <w:tcMar>
              <w:left w:w="85" w:type="dxa"/>
            </w:tcMar>
          </w:tcPr>
          <w:p>
            <w:pPr>
              <w:pStyle w:val="yTableNAm"/>
              <w:keepNext/>
              <w:tabs>
                <w:tab w:val="clear" w:pos="567"/>
                <w:tab w:val="right" w:leader="dot" w:pos="5047"/>
              </w:tabs>
              <w:spacing w:before="0"/>
            </w:pPr>
            <w:r>
              <w:t xml:space="preserve">Prawn </w:t>
            </w:r>
            <w:r>
              <w:tab/>
            </w:r>
          </w:p>
        </w:tc>
        <w:tc>
          <w:tcPr>
            <w:tcW w:w="1828" w:type="dxa"/>
            <w:tcMar>
              <w:left w:w="85" w:type="dxa"/>
            </w:tcMar>
          </w:tcPr>
          <w:p>
            <w:pPr>
              <w:pStyle w:val="yTableNAm"/>
              <w:keepNext/>
              <w:tabs>
                <w:tab w:val="clear" w:pos="567"/>
                <w:tab w:val="left" w:leader="dot" w:pos="4112"/>
              </w:tabs>
              <w:spacing w:before="0"/>
            </w:pPr>
            <w:r>
              <w:t>9 L</w:t>
            </w:r>
          </w:p>
        </w:tc>
      </w:tr>
      <w:tr>
        <w:tc>
          <w:tcPr>
            <w:tcW w:w="5252" w:type="dxa"/>
            <w:tcMar>
              <w:left w:w="85" w:type="dxa"/>
            </w:tcMar>
          </w:tcPr>
          <w:p>
            <w:pPr>
              <w:pStyle w:val="yTableNAm"/>
              <w:keepNext/>
              <w:tabs>
                <w:tab w:val="clear" w:pos="567"/>
                <w:tab w:val="right" w:leader="dot" w:pos="5047"/>
              </w:tabs>
              <w:spacing w:before="0"/>
              <w:ind w:left="198" w:hanging="198"/>
            </w:pPr>
            <w:r>
              <w:t xml:space="preserve">Rock Lobster, except when taken from the waters of the </w:t>
            </w:r>
            <w:smartTag w:uri="urn:schemas-microsoft-com:office:smarttags" w:element="place">
              <w:smartTag w:uri="urn:schemas-microsoft-com:office:smarttags" w:element="PlaceName">
                <w:r>
                  <w:t>Ningaloo</w:t>
                </w:r>
              </w:smartTag>
              <w:r>
                <w:t xml:space="preserve"> </w:t>
              </w:r>
              <w:smartTag w:uri="urn:schemas-microsoft-com:office:smarttags" w:element="PlaceName">
                <w:r>
                  <w:t>Marine</w:t>
                </w:r>
              </w:smartTag>
              <w:r>
                <w:t xml:space="preserve"> </w:t>
              </w:r>
              <w:smartTag w:uri="urn:schemas-microsoft-com:office:smarttags" w:element="PlaceType">
                <w:r>
                  <w:t>Park</w:t>
                </w:r>
              </w:smartTag>
            </w:smartTag>
            <w:r>
              <w:t xml:space="preserve"> </w:t>
            </w:r>
            <w:r>
              <w:tab/>
            </w:r>
          </w:p>
        </w:tc>
        <w:tc>
          <w:tcPr>
            <w:tcW w:w="1828" w:type="dxa"/>
            <w:tcMar>
              <w:left w:w="85" w:type="dxa"/>
            </w:tcMar>
          </w:tcPr>
          <w:p>
            <w:pPr>
              <w:pStyle w:val="yTableNAm"/>
              <w:keepNext/>
              <w:tabs>
                <w:tab w:val="clear" w:pos="567"/>
                <w:tab w:val="left" w:leader="dot" w:pos="4112"/>
              </w:tabs>
              <w:spacing w:before="0"/>
            </w:pPr>
            <w:r>
              <w:br/>
              <w:t>8</w:t>
            </w:r>
          </w:p>
        </w:tc>
      </w:tr>
      <w:tr>
        <w:tc>
          <w:tcPr>
            <w:tcW w:w="5252" w:type="dxa"/>
            <w:tcBorders>
              <w:bottom w:val="single" w:sz="4" w:space="0" w:color="auto"/>
            </w:tcBorders>
            <w:tcMar>
              <w:left w:w="85" w:type="dxa"/>
            </w:tcMar>
          </w:tcPr>
          <w:p>
            <w:pPr>
              <w:pStyle w:val="yTableNAm"/>
              <w:keepNext/>
              <w:tabs>
                <w:tab w:val="clear" w:pos="567"/>
                <w:tab w:val="right" w:leader="dot" w:pos="5047"/>
              </w:tabs>
              <w:spacing w:before="0"/>
              <w:ind w:left="198" w:hanging="198"/>
            </w:pPr>
            <w:r>
              <w:t xml:space="preserve">Rock Lobster, taken from the waters of the </w:t>
            </w:r>
            <w:smartTag w:uri="urn:schemas-microsoft-com:office:smarttags" w:element="place">
              <w:smartTag w:uri="urn:schemas-microsoft-com:office:smarttags" w:element="PlaceName">
                <w:r>
                  <w:t>Ningaloo</w:t>
                </w:r>
              </w:smartTag>
              <w:r>
                <w:t xml:space="preserve"> </w:t>
              </w:r>
              <w:smartTag w:uri="urn:schemas-microsoft-com:office:smarttags" w:element="PlaceName">
                <w:r>
                  <w:t>Marine</w:t>
                </w:r>
              </w:smartTag>
              <w:r>
                <w:t> </w:t>
              </w:r>
              <w:smartTag w:uri="urn:schemas-microsoft-com:office:smarttags" w:element="PlaceType">
                <w:r>
                  <w:t>Park</w:t>
                </w:r>
              </w:smartTag>
            </w:smartTag>
            <w:r>
              <w:t xml:space="preserve"> </w:t>
            </w:r>
            <w:r>
              <w:tab/>
            </w:r>
          </w:p>
        </w:tc>
        <w:tc>
          <w:tcPr>
            <w:tcW w:w="1828" w:type="dxa"/>
            <w:tcBorders>
              <w:bottom w:val="single" w:sz="4" w:space="0" w:color="auto"/>
            </w:tcBorders>
            <w:tcMar>
              <w:left w:w="85" w:type="dxa"/>
            </w:tcMar>
          </w:tcPr>
          <w:p>
            <w:pPr>
              <w:pStyle w:val="yTableNAm"/>
              <w:keepNext/>
              <w:tabs>
                <w:tab w:val="clear" w:pos="567"/>
                <w:tab w:val="left" w:leader="dot" w:pos="4112"/>
              </w:tabs>
              <w:spacing w:before="0"/>
            </w:pPr>
            <w:r>
              <w:br/>
              <w:t>4</w:t>
            </w:r>
          </w:p>
        </w:tc>
      </w:tr>
    </w:tbl>
    <w:p>
      <w:pPr>
        <w:pStyle w:val="yFootnotesection"/>
      </w:pPr>
      <w:r>
        <w:tab/>
        <w:t>[Division 4 inserted in Gazette 1 Oct 2003 p. 4335; amended in Gazette 1 Mar 2011 p. 672.]</w:t>
      </w:r>
    </w:p>
    <w:p>
      <w:pPr>
        <w:pStyle w:val="yHeading3"/>
      </w:pPr>
      <w:bookmarkStart w:id="7439" w:name="_Toc189988181"/>
      <w:bookmarkStart w:id="7440" w:name="_Toc192041764"/>
      <w:bookmarkStart w:id="7441" w:name="_Toc199570998"/>
      <w:bookmarkStart w:id="7442" w:name="_Toc199738997"/>
      <w:bookmarkStart w:id="7443" w:name="_Toc199815098"/>
      <w:bookmarkStart w:id="7444" w:name="_Toc215040905"/>
      <w:bookmarkStart w:id="7445" w:name="_Toc215041350"/>
      <w:bookmarkStart w:id="7446" w:name="_Toc222129558"/>
      <w:bookmarkStart w:id="7447" w:name="_Toc222223263"/>
      <w:bookmarkStart w:id="7448" w:name="_Toc225914515"/>
      <w:bookmarkStart w:id="7449" w:name="_Toc231282560"/>
      <w:bookmarkStart w:id="7450" w:name="_Toc231283004"/>
      <w:bookmarkStart w:id="7451" w:name="_Toc234899594"/>
      <w:bookmarkStart w:id="7452" w:name="_Toc236632876"/>
      <w:bookmarkStart w:id="7453" w:name="_Toc236720489"/>
      <w:bookmarkStart w:id="7454" w:name="_Toc237764688"/>
      <w:bookmarkStart w:id="7455" w:name="_Toc238356312"/>
      <w:bookmarkStart w:id="7456" w:name="_Toc238369017"/>
      <w:bookmarkStart w:id="7457" w:name="_Toc238375970"/>
      <w:bookmarkStart w:id="7458" w:name="_Toc240339294"/>
      <w:bookmarkStart w:id="7459" w:name="_Toc241993800"/>
      <w:bookmarkStart w:id="7460" w:name="_Toc243192943"/>
      <w:bookmarkStart w:id="7461" w:name="_Toc243295645"/>
      <w:bookmarkStart w:id="7462" w:name="_Toc245113218"/>
      <w:bookmarkStart w:id="7463" w:name="_Toc245198380"/>
      <w:bookmarkStart w:id="7464" w:name="_Toc245198829"/>
      <w:bookmarkStart w:id="7465" w:name="_Toc245199278"/>
      <w:bookmarkStart w:id="7466" w:name="_Toc248122309"/>
      <w:bookmarkStart w:id="7467" w:name="_Toc248122760"/>
      <w:bookmarkStart w:id="7468" w:name="_Toc253670747"/>
      <w:bookmarkStart w:id="7469" w:name="_Toc253671197"/>
      <w:bookmarkStart w:id="7470" w:name="_Toc254942971"/>
      <w:bookmarkStart w:id="7471" w:name="_Toc254943424"/>
      <w:bookmarkStart w:id="7472" w:name="_Toc255476016"/>
      <w:bookmarkStart w:id="7473" w:name="_Toc256432337"/>
      <w:bookmarkStart w:id="7474" w:name="_Toc257720674"/>
      <w:bookmarkStart w:id="7475" w:name="_Toc257722356"/>
      <w:bookmarkStart w:id="7476" w:name="_Toc258336032"/>
      <w:bookmarkStart w:id="7477" w:name="_Toc260406474"/>
      <w:bookmarkStart w:id="7478" w:name="_Toc261271660"/>
      <w:bookmarkStart w:id="7479" w:name="_Toc262808342"/>
      <w:bookmarkStart w:id="7480" w:name="_Toc267572735"/>
      <w:bookmarkStart w:id="7481" w:name="_Toc270684484"/>
      <w:bookmarkStart w:id="7482" w:name="_Toc274214661"/>
      <w:bookmarkStart w:id="7483" w:name="_Toc274215110"/>
      <w:bookmarkStart w:id="7484" w:name="_Toc278976441"/>
      <w:bookmarkStart w:id="7485" w:name="_Toc286760762"/>
      <w:bookmarkStart w:id="7486" w:name="_Toc289081107"/>
      <w:bookmarkStart w:id="7487" w:name="_Toc290284301"/>
      <w:bookmarkStart w:id="7488" w:name="_Toc290643122"/>
      <w:bookmarkStart w:id="7489" w:name="_Toc290643571"/>
      <w:bookmarkStart w:id="7490" w:name="_Toc290644024"/>
      <w:bookmarkStart w:id="7491" w:name="_Toc294701841"/>
      <w:bookmarkStart w:id="7492" w:name="_Toc295200249"/>
      <w:bookmarkStart w:id="7493" w:name="_Toc296954690"/>
      <w:bookmarkStart w:id="7494" w:name="_Toc297276325"/>
      <w:bookmarkStart w:id="7495" w:name="_Toc297276777"/>
      <w:bookmarkStart w:id="7496" w:name="_Toc297277227"/>
      <w:bookmarkStart w:id="7497" w:name="_Toc297726596"/>
      <w:bookmarkStart w:id="7498" w:name="_Toc299980382"/>
      <w:bookmarkStart w:id="7499" w:name="_Toc300235008"/>
      <w:bookmarkStart w:id="7500" w:name="_Toc301961511"/>
      <w:bookmarkStart w:id="7501" w:name="_Toc301967081"/>
      <w:bookmarkStart w:id="7502" w:name="_Toc303253290"/>
      <w:bookmarkStart w:id="7503" w:name="_Toc303257454"/>
      <w:bookmarkStart w:id="7504" w:name="_Toc307993087"/>
      <w:bookmarkStart w:id="7505" w:name="_Toc309030120"/>
      <w:bookmarkStart w:id="7506" w:name="_Toc309304343"/>
      <w:bookmarkStart w:id="7507" w:name="_Toc309309620"/>
      <w:r>
        <w:t>Division 5 — Molluscs</w:t>
      </w:r>
      <w:bookmarkEnd w:id="7439"/>
      <w:bookmarkEnd w:id="7440"/>
      <w:bookmarkEnd w:id="7441"/>
      <w:bookmarkEnd w:id="7442"/>
      <w:bookmarkEnd w:id="7443"/>
      <w:bookmarkEnd w:id="7444"/>
      <w:bookmarkEnd w:id="7445"/>
      <w:bookmarkEnd w:id="7446"/>
      <w:bookmarkEnd w:id="7447"/>
      <w:bookmarkEnd w:id="7448"/>
      <w:bookmarkEnd w:id="7449"/>
      <w:bookmarkEnd w:id="7450"/>
      <w:bookmarkEnd w:id="7451"/>
      <w:bookmarkEnd w:id="7452"/>
      <w:bookmarkEnd w:id="7453"/>
      <w:bookmarkEnd w:id="7454"/>
      <w:bookmarkEnd w:id="7455"/>
      <w:bookmarkEnd w:id="7456"/>
      <w:bookmarkEnd w:id="7457"/>
      <w:bookmarkEnd w:id="7458"/>
      <w:bookmarkEnd w:id="7459"/>
      <w:bookmarkEnd w:id="7460"/>
      <w:bookmarkEnd w:id="7461"/>
      <w:bookmarkEnd w:id="7462"/>
      <w:bookmarkEnd w:id="7463"/>
      <w:bookmarkEnd w:id="7464"/>
      <w:bookmarkEnd w:id="7465"/>
      <w:bookmarkEnd w:id="7466"/>
      <w:bookmarkEnd w:id="7467"/>
      <w:bookmarkEnd w:id="7468"/>
      <w:bookmarkEnd w:id="7469"/>
      <w:bookmarkEnd w:id="7470"/>
      <w:bookmarkEnd w:id="7471"/>
      <w:bookmarkEnd w:id="7472"/>
      <w:bookmarkEnd w:id="7473"/>
      <w:bookmarkEnd w:id="7474"/>
      <w:bookmarkEnd w:id="7475"/>
      <w:bookmarkEnd w:id="7476"/>
      <w:bookmarkEnd w:id="7477"/>
      <w:bookmarkEnd w:id="7478"/>
      <w:bookmarkEnd w:id="7479"/>
      <w:bookmarkEnd w:id="7480"/>
      <w:bookmarkEnd w:id="7481"/>
      <w:bookmarkEnd w:id="7482"/>
      <w:bookmarkEnd w:id="7483"/>
      <w:bookmarkEnd w:id="7484"/>
      <w:bookmarkEnd w:id="7485"/>
      <w:bookmarkEnd w:id="7486"/>
      <w:bookmarkEnd w:id="7487"/>
      <w:bookmarkEnd w:id="7488"/>
      <w:bookmarkEnd w:id="7489"/>
      <w:bookmarkEnd w:id="7490"/>
      <w:bookmarkEnd w:id="7491"/>
      <w:bookmarkEnd w:id="7492"/>
      <w:bookmarkEnd w:id="7493"/>
      <w:bookmarkEnd w:id="7494"/>
      <w:bookmarkEnd w:id="7495"/>
      <w:bookmarkEnd w:id="7496"/>
      <w:bookmarkEnd w:id="7497"/>
      <w:bookmarkEnd w:id="7498"/>
      <w:bookmarkEnd w:id="7499"/>
      <w:bookmarkEnd w:id="7500"/>
      <w:bookmarkEnd w:id="7501"/>
      <w:bookmarkEnd w:id="7502"/>
      <w:bookmarkEnd w:id="7503"/>
      <w:bookmarkEnd w:id="7504"/>
      <w:bookmarkEnd w:id="7505"/>
      <w:bookmarkEnd w:id="7506"/>
      <w:bookmarkEnd w:id="7507"/>
    </w:p>
    <w:p>
      <w:pPr>
        <w:pStyle w:val="yFootnoteheading"/>
        <w:spacing w:after="120"/>
      </w:pPr>
      <w:r>
        <w:tab/>
        <w:t>[Heading inserted in Gazette 1 Oct 2003 p. 4335.]</w:t>
      </w:r>
    </w:p>
    <w:tbl>
      <w:tblPr>
        <w:tblW w:w="0" w:type="auto"/>
        <w:tblInd w:w="113" w:type="dxa"/>
        <w:tblLayout w:type="fixed"/>
        <w:tblCellMar>
          <w:left w:w="113" w:type="dxa"/>
          <w:right w:w="113" w:type="dxa"/>
        </w:tblCellMar>
        <w:tblLook w:val="0000" w:firstRow="0" w:lastRow="0" w:firstColumn="0" w:lastColumn="0" w:noHBand="0" w:noVBand="0"/>
      </w:tblPr>
      <w:tblGrid>
        <w:gridCol w:w="5252"/>
        <w:gridCol w:w="1828"/>
      </w:tblGrid>
      <w:tr>
        <w:trPr>
          <w:tblHeader/>
        </w:trPr>
        <w:tc>
          <w:tcPr>
            <w:tcW w:w="5252" w:type="dxa"/>
            <w:tcBorders>
              <w:top w:val="single" w:sz="8" w:space="0" w:color="auto"/>
              <w:bottom w:val="single" w:sz="8" w:space="0" w:color="auto"/>
            </w:tcBorders>
            <w:tcMar>
              <w:left w:w="85" w:type="dxa"/>
            </w:tcMar>
            <w:vAlign w:val="center"/>
          </w:tcPr>
          <w:p>
            <w:pPr>
              <w:pStyle w:val="yTableNAm"/>
              <w:tabs>
                <w:tab w:val="clear" w:pos="567"/>
                <w:tab w:val="left" w:leader="dot" w:pos="3797"/>
              </w:tabs>
              <w:spacing w:before="0"/>
              <w:rPr>
                <w:b/>
                <w:bCs/>
              </w:rPr>
            </w:pPr>
            <w:r>
              <w:rPr>
                <w:b/>
                <w:bCs/>
              </w:rPr>
              <w:t>Fish</w:t>
            </w:r>
          </w:p>
        </w:tc>
        <w:tc>
          <w:tcPr>
            <w:tcW w:w="1828" w:type="dxa"/>
            <w:tcBorders>
              <w:top w:val="single" w:sz="8" w:space="0" w:color="auto"/>
              <w:bottom w:val="single" w:sz="8" w:space="0" w:color="auto"/>
            </w:tcBorders>
            <w:tcMar>
              <w:left w:w="85" w:type="dxa"/>
            </w:tcMar>
            <w:vAlign w:val="center"/>
          </w:tcPr>
          <w:p>
            <w:pPr>
              <w:pStyle w:val="yTableNAm"/>
              <w:tabs>
                <w:tab w:val="clear" w:pos="567"/>
                <w:tab w:val="left" w:leader="dot" w:pos="3797"/>
              </w:tabs>
              <w:spacing w:before="0"/>
              <w:rPr>
                <w:rFonts w:ascii="Times" w:hAnsi="Times"/>
                <w:b/>
                <w:bCs/>
              </w:rPr>
            </w:pPr>
            <w:r>
              <w:rPr>
                <w:rFonts w:ascii="Times" w:hAnsi="Times"/>
                <w:b/>
                <w:bCs/>
              </w:rPr>
              <w:t>Species, or group of species, bag limit for one day</w:t>
            </w:r>
          </w:p>
        </w:tc>
      </w:tr>
      <w:tr>
        <w:tc>
          <w:tcPr>
            <w:tcW w:w="5252" w:type="dxa"/>
            <w:tcMar>
              <w:left w:w="85" w:type="dxa"/>
            </w:tcMar>
          </w:tcPr>
          <w:p>
            <w:pPr>
              <w:pStyle w:val="yTableNAm"/>
              <w:tabs>
                <w:tab w:val="clear" w:pos="567"/>
                <w:tab w:val="right" w:leader="dot" w:pos="5047"/>
              </w:tabs>
              <w:spacing w:before="0"/>
            </w:pPr>
            <w:r>
              <w:t xml:space="preserve">Abalone </w:t>
            </w:r>
            <w:r>
              <w:tab/>
            </w:r>
          </w:p>
        </w:tc>
        <w:tc>
          <w:tcPr>
            <w:tcW w:w="1828" w:type="dxa"/>
            <w:tcMar>
              <w:left w:w="85" w:type="dxa"/>
            </w:tcMar>
          </w:tcPr>
          <w:p>
            <w:pPr>
              <w:pStyle w:val="yTableNAm"/>
              <w:tabs>
                <w:tab w:val="clear" w:pos="567"/>
                <w:tab w:val="left" w:leader="dot" w:pos="3797"/>
              </w:tabs>
              <w:spacing w:before="0"/>
              <w:ind w:left="-6"/>
            </w:pPr>
            <w:r>
              <w:t>20</w:t>
            </w:r>
          </w:p>
        </w:tc>
      </w:tr>
      <w:tr>
        <w:tc>
          <w:tcPr>
            <w:tcW w:w="5252" w:type="dxa"/>
            <w:tcMar>
              <w:left w:w="85" w:type="dxa"/>
            </w:tcMar>
          </w:tcPr>
          <w:p>
            <w:pPr>
              <w:pStyle w:val="yTableNAm"/>
              <w:tabs>
                <w:tab w:val="clear" w:pos="567"/>
                <w:tab w:val="right" w:leader="dot" w:pos="5047"/>
              </w:tabs>
              <w:spacing w:before="0"/>
            </w:pPr>
            <w:r>
              <w:t xml:space="preserve">Cuttlefish, Octopus and Squid (combined) </w:t>
            </w:r>
            <w:r>
              <w:tab/>
            </w:r>
          </w:p>
        </w:tc>
        <w:tc>
          <w:tcPr>
            <w:tcW w:w="1828" w:type="dxa"/>
            <w:tcMar>
              <w:left w:w="85" w:type="dxa"/>
            </w:tcMar>
          </w:tcPr>
          <w:p>
            <w:pPr>
              <w:pStyle w:val="yTableNAm"/>
              <w:tabs>
                <w:tab w:val="clear" w:pos="567"/>
                <w:tab w:val="left" w:leader="dot" w:pos="3797"/>
              </w:tabs>
              <w:spacing w:before="0"/>
            </w:pPr>
            <w:r>
              <w:t>15</w:t>
            </w:r>
          </w:p>
        </w:tc>
      </w:tr>
      <w:tr>
        <w:tc>
          <w:tcPr>
            <w:tcW w:w="5252" w:type="dxa"/>
            <w:tcMar>
              <w:left w:w="85" w:type="dxa"/>
            </w:tcMar>
          </w:tcPr>
          <w:p>
            <w:pPr>
              <w:pStyle w:val="yTableNAm"/>
              <w:tabs>
                <w:tab w:val="clear" w:pos="567"/>
                <w:tab w:val="right" w:leader="dot" w:pos="5047"/>
              </w:tabs>
              <w:spacing w:before="0"/>
            </w:pPr>
            <w:r>
              <w:t xml:space="preserve">Mussel </w:t>
            </w:r>
            <w:r>
              <w:tab/>
            </w:r>
          </w:p>
        </w:tc>
        <w:tc>
          <w:tcPr>
            <w:tcW w:w="1828" w:type="dxa"/>
            <w:tcMar>
              <w:left w:w="85" w:type="dxa"/>
            </w:tcMar>
          </w:tcPr>
          <w:p>
            <w:pPr>
              <w:pStyle w:val="yTableNAm"/>
              <w:tabs>
                <w:tab w:val="clear" w:pos="567"/>
                <w:tab w:val="left" w:leader="dot" w:pos="3797"/>
              </w:tabs>
              <w:spacing w:before="0"/>
            </w:pPr>
            <w:r>
              <w:t>9 L</w:t>
            </w:r>
          </w:p>
        </w:tc>
      </w:tr>
      <w:tr>
        <w:tc>
          <w:tcPr>
            <w:tcW w:w="5252" w:type="dxa"/>
            <w:tcMar>
              <w:left w:w="85" w:type="dxa"/>
            </w:tcMar>
          </w:tcPr>
          <w:p>
            <w:pPr>
              <w:pStyle w:val="yTableNAm"/>
              <w:tabs>
                <w:tab w:val="clear" w:pos="567"/>
                <w:tab w:val="right" w:leader="dot" w:pos="5047"/>
              </w:tabs>
              <w:spacing w:before="0"/>
            </w:pPr>
            <w:r>
              <w:t xml:space="preserve">Oyster  </w:t>
            </w:r>
            <w:r>
              <w:tab/>
            </w:r>
          </w:p>
        </w:tc>
        <w:tc>
          <w:tcPr>
            <w:tcW w:w="1828" w:type="dxa"/>
            <w:tcMar>
              <w:left w:w="85" w:type="dxa"/>
            </w:tcMar>
          </w:tcPr>
          <w:p>
            <w:pPr>
              <w:pStyle w:val="yTableNAm"/>
              <w:tabs>
                <w:tab w:val="clear" w:pos="567"/>
                <w:tab w:val="left" w:leader="dot" w:pos="3797"/>
              </w:tabs>
              <w:spacing w:before="0"/>
            </w:pPr>
            <w:r>
              <w:t>20</w:t>
            </w:r>
          </w:p>
        </w:tc>
      </w:tr>
      <w:tr>
        <w:tc>
          <w:tcPr>
            <w:tcW w:w="5252" w:type="dxa"/>
            <w:tcMar>
              <w:left w:w="85" w:type="dxa"/>
            </w:tcMar>
          </w:tcPr>
          <w:p>
            <w:pPr>
              <w:pStyle w:val="yTableNAm"/>
              <w:tabs>
                <w:tab w:val="clear" w:pos="567"/>
                <w:tab w:val="right" w:leader="dot" w:pos="5047"/>
              </w:tabs>
              <w:spacing w:before="0"/>
            </w:pPr>
            <w:r>
              <w:t xml:space="preserve">Razorfish </w:t>
            </w:r>
            <w:r>
              <w:tab/>
            </w:r>
          </w:p>
        </w:tc>
        <w:tc>
          <w:tcPr>
            <w:tcW w:w="1828" w:type="dxa"/>
            <w:tcMar>
              <w:left w:w="85" w:type="dxa"/>
            </w:tcMar>
          </w:tcPr>
          <w:p>
            <w:pPr>
              <w:pStyle w:val="yTableNAm"/>
              <w:tabs>
                <w:tab w:val="clear" w:pos="567"/>
                <w:tab w:val="left" w:leader="dot" w:pos="3797"/>
              </w:tabs>
              <w:spacing w:before="0"/>
            </w:pPr>
            <w:r>
              <w:t>20</w:t>
            </w:r>
          </w:p>
        </w:tc>
      </w:tr>
      <w:tr>
        <w:tc>
          <w:tcPr>
            <w:tcW w:w="5252" w:type="dxa"/>
            <w:tcMar>
              <w:left w:w="85" w:type="dxa"/>
            </w:tcMar>
          </w:tcPr>
          <w:p>
            <w:pPr>
              <w:pStyle w:val="yTableNAm"/>
              <w:tabs>
                <w:tab w:val="clear" w:pos="567"/>
                <w:tab w:val="right" w:leader="dot" w:pos="5047"/>
              </w:tabs>
              <w:spacing w:before="0"/>
            </w:pPr>
            <w:r>
              <w:t xml:space="preserve">Scallop </w:t>
            </w:r>
            <w:r>
              <w:tab/>
            </w:r>
          </w:p>
        </w:tc>
        <w:tc>
          <w:tcPr>
            <w:tcW w:w="1828" w:type="dxa"/>
            <w:tcMar>
              <w:left w:w="85" w:type="dxa"/>
            </w:tcMar>
          </w:tcPr>
          <w:p>
            <w:pPr>
              <w:pStyle w:val="yTableNAm"/>
              <w:tabs>
                <w:tab w:val="clear" w:pos="567"/>
                <w:tab w:val="left" w:leader="dot" w:pos="3797"/>
              </w:tabs>
              <w:spacing w:before="0"/>
            </w:pPr>
            <w:r>
              <w:t>20</w:t>
            </w:r>
          </w:p>
        </w:tc>
      </w:tr>
      <w:tr>
        <w:tc>
          <w:tcPr>
            <w:tcW w:w="5252" w:type="dxa"/>
            <w:tcBorders>
              <w:bottom w:val="single" w:sz="4" w:space="0" w:color="auto"/>
            </w:tcBorders>
            <w:tcMar>
              <w:left w:w="85" w:type="dxa"/>
            </w:tcMar>
          </w:tcPr>
          <w:p>
            <w:pPr>
              <w:pStyle w:val="yTableNAm"/>
              <w:tabs>
                <w:tab w:val="clear" w:pos="567"/>
                <w:tab w:val="right" w:leader="dot" w:pos="5047"/>
              </w:tabs>
              <w:spacing w:before="0"/>
              <w:ind w:left="198" w:hanging="198"/>
            </w:pPr>
            <w:r>
              <w:t xml:space="preserve">Ark Shell, Cockle, Pipis, Venus Clams and all other species of edible molluscs not specifically mentioned in this Division </w:t>
            </w:r>
            <w:r>
              <w:tab/>
            </w:r>
          </w:p>
        </w:tc>
        <w:tc>
          <w:tcPr>
            <w:tcW w:w="1828" w:type="dxa"/>
            <w:tcBorders>
              <w:bottom w:val="single" w:sz="4" w:space="0" w:color="auto"/>
            </w:tcBorders>
            <w:tcMar>
              <w:left w:w="85" w:type="dxa"/>
            </w:tcMar>
          </w:tcPr>
          <w:p>
            <w:pPr>
              <w:pStyle w:val="yTableNAm"/>
              <w:tabs>
                <w:tab w:val="clear" w:pos="567"/>
                <w:tab w:val="left" w:leader="dot" w:pos="3797"/>
              </w:tabs>
              <w:spacing w:before="0"/>
            </w:pPr>
            <w:r>
              <w:br/>
            </w:r>
            <w:r>
              <w:br/>
              <w:t>2 L</w:t>
            </w:r>
          </w:p>
        </w:tc>
      </w:tr>
    </w:tbl>
    <w:p>
      <w:pPr>
        <w:pStyle w:val="yFootnotesection"/>
      </w:pPr>
      <w:r>
        <w:tab/>
        <w:t>[Division 5 inserted in Gazette 1 Oct 2003 p. 4335.]</w:t>
      </w:r>
    </w:p>
    <w:p>
      <w:pPr>
        <w:pStyle w:val="yHeading2"/>
        <w:pageBreakBefore/>
      </w:pPr>
      <w:bookmarkStart w:id="7508" w:name="_Toc189988182"/>
      <w:bookmarkStart w:id="7509" w:name="_Toc192041765"/>
      <w:bookmarkStart w:id="7510" w:name="_Toc199570999"/>
      <w:bookmarkStart w:id="7511" w:name="_Toc199738998"/>
      <w:bookmarkStart w:id="7512" w:name="_Toc199815099"/>
      <w:bookmarkStart w:id="7513" w:name="_Toc215040906"/>
      <w:bookmarkStart w:id="7514" w:name="_Toc215041351"/>
      <w:bookmarkStart w:id="7515" w:name="_Toc222129559"/>
      <w:bookmarkStart w:id="7516" w:name="_Toc222223264"/>
      <w:bookmarkStart w:id="7517" w:name="_Toc225914516"/>
      <w:bookmarkStart w:id="7518" w:name="_Toc231282561"/>
      <w:bookmarkStart w:id="7519" w:name="_Toc231283005"/>
      <w:bookmarkStart w:id="7520" w:name="_Toc234899595"/>
      <w:bookmarkStart w:id="7521" w:name="_Toc236632877"/>
      <w:bookmarkStart w:id="7522" w:name="_Toc236720490"/>
      <w:bookmarkStart w:id="7523" w:name="_Toc237764689"/>
      <w:bookmarkStart w:id="7524" w:name="_Toc238356313"/>
      <w:bookmarkStart w:id="7525" w:name="_Toc238369018"/>
      <w:bookmarkStart w:id="7526" w:name="_Toc238375971"/>
      <w:bookmarkStart w:id="7527" w:name="_Toc240339295"/>
      <w:bookmarkStart w:id="7528" w:name="_Toc241993801"/>
      <w:bookmarkStart w:id="7529" w:name="_Toc243192944"/>
      <w:bookmarkStart w:id="7530" w:name="_Toc243295646"/>
      <w:bookmarkStart w:id="7531" w:name="_Toc245113219"/>
      <w:bookmarkStart w:id="7532" w:name="_Toc245198381"/>
      <w:bookmarkStart w:id="7533" w:name="_Toc245198830"/>
      <w:bookmarkStart w:id="7534" w:name="_Toc245199279"/>
      <w:bookmarkStart w:id="7535" w:name="_Toc248122310"/>
      <w:bookmarkStart w:id="7536" w:name="_Toc248122761"/>
      <w:bookmarkStart w:id="7537" w:name="_Toc253670748"/>
      <w:bookmarkStart w:id="7538" w:name="_Toc253671198"/>
      <w:bookmarkStart w:id="7539" w:name="_Toc254942972"/>
      <w:bookmarkStart w:id="7540" w:name="_Toc254943425"/>
      <w:bookmarkStart w:id="7541" w:name="_Toc255476017"/>
      <w:bookmarkStart w:id="7542" w:name="_Toc256432338"/>
      <w:bookmarkStart w:id="7543" w:name="_Toc257720675"/>
      <w:bookmarkStart w:id="7544" w:name="_Toc257722357"/>
      <w:bookmarkStart w:id="7545" w:name="_Toc258336033"/>
      <w:bookmarkStart w:id="7546" w:name="_Toc260406475"/>
      <w:bookmarkStart w:id="7547" w:name="_Toc261271661"/>
      <w:bookmarkStart w:id="7548" w:name="_Toc262808343"/>
      <w:bookmarkStart w:id="7549" w:name="_Toc267572736"/>
      <w:bookmarkStart w:id="7550" w:name="_Toc270684485"/>
      <w:bookmarkStart w:id="7551" w:name="_Toc274214662"/>
      <w:bookmarkStart w:id="7552" w:name="_Toc274215111"/>
      <w:bookmarkStart w:id="7553" w:name="_Toc278976442"/>
      <w:bookmarkStart w:id="7554" w:name="_Toc286760763"/>
      <w:bookmarkStart w:id="7555" w:name="_Toc289081108"/>
      <w:bookmarkStart w:id="7556" w:name="_Toc290284302"/>
      <w:bookmarkStart w:id="7557" w:name="_Toc290643123"/>
      <w:bookmarkStart w:id="7558" w:name="_Toc290643572"/>
      <w:bookmarkStart w:id="7559" w:name="_Toc290644025"/>
      <w:bookmarkStart w:id="7560" w:name="_Toc294701842"/>
      <w:bookmarkStart w:id="7561" w:name="_Toc295200250"/>
      <w:bookmarkStart w:id="7562" w:name="_Toc296954691"/>
      <w:bookmarkStart w:id="7563" w:name="_Toc297276326"/>
      <w:bookmarkStart w:id="7564" w:name="_Toc297276778"/>
      <w:bookmarkStart w:id="7565" w:name="_Toc297277228"/>
      <w:bookmarkStart w:id="7566" w:name="_Toc297726597"/>
      <w:bookmarkStart w:id="7567" w:name="_Toc299980383"/>
      <w:bookmarkStart w:id="7568" w:name="_Toc300235009"/>
      <w:bookmarkStart w:id="7569" w:name="_Toc301961512"/>
      <w:bookmarkStart w:id="7570" w:name="_Toc301967082"/>
      <w:bookmarkStart w:id="7571" w:name="_Toc303253291"/>
      <w:bookmarkStart w:id="7572" w:name="_Toc303257455"/>
      <w:bookmarkStart w:id="7573" w:name="_Toc307993088"/>
      <w:bookmarkStart w:id="7574" w:name="_Toc309030121"/>
      <w:bookmarkStart w:id="7575" w:name="_Toc309304344"/>
      <w:bookmarkStart w:id="7576" w:name="_Toc309309621"/>
      <w:r>
        <w:rPr>
          <w:rStyle w:val="CharSDivNo"/>
          <w:sz w:val="28"/>
        </w:rPr>
        <w:t>Part 2</w:t>
      </w:r>
      <w:r>
        <w:t> — </w:t>
      </w:r>
      <w:r>
        <w:rPr>
          <w:rStyle w:val="CharSDivText"/>
          <w:sz w:val="28"/>
        </w:rPr>
        <w:t>Bag limits in the Pilbara and Kimberley Region</w:t>
      </w:r>
      <w:bookmarkEnd w:id="7508"/>
      <w:bookmarkEnd w:id="7509"/>
      <w:bookmarkEnd w:id="7510"/>
      <w:bookmarkEnd w:id="7511"/>
      <w:bookmarkEnd w:id="7512"/>
      <w:bookmarkEnd w:id="7513"/>
      <w:bookmarkEnd w:id="7514"/>
      <w:bookmarkEnd w:id="7515"/>
      <w:bookmarkEnd w:id="7516"/>
      <w:bookmarkEnd w:id="7517"/>
      <w:bookmarkEnd w:id="7518"/>
      <w:bookmarkEnd w:id="7519"/>
      <w:bookmarkEnd w:id="7520"/>
      <w:bookmarkEnd w:id="7521"/>
      <w:bookmarkEnd w:id="7522"/>
      <w:bookmarkEnd w:id="7523"/>
      <w:bookmarkEnd w:id="7524"/>
      <w:bookmarkEnd w:id="7525"/>
      <w:bookmarkEnd w:id="7526"/>
      <w:bookmarkEnd w:id="7527"/>
      <w:bookmarkEnd w:id="7528"/>
      <w:bookmarkEnd w:id="7529"/>
      <w:bookmarkEnd w:id="7530"/>
      <w:bookmarkEnd w:id="7531"/>
      <w:bookmarkEnd w:id="7532"/>
      <w:bookmarkEnd w:id="7533"/>
      <w:bookmarkEnd w:id="7534"/>
      <w:bookmarkEnd w:id="7535"/>
      <w:bookmarkEnd w:id="7536"/>
      <w:bookmarkEnd w:id="7537"/>
      <w:bookmarkEnd w:id="7538"/>
      <w:bookmarkEnd w:id="7539"/>
      <w:bookmarkEnd w:id="7540"/>
      <w:bookmarkEnd w:id="7541"/>
      <w:bookmarkEnd w:id="7542"/>
      <w:bookmarkEnd w:id="7543"/>
      <w:bookmarkEnd w:id="7544"/>
      <w:bookmarkEnd w:id="7545"/>
      <w:bookmarkEnd w:id="7546"/>
      <w:bookmarkEnd w:id="7547"/>
      <w:bookmarkEnd w:id="7548"/>
      <w:bookmarkEnd w:id="7549"/>
      <w:bookmarkEnd w:id="7550"/>
      <w:bookmarkEnd w:id="7551"/>
      <w:bookmarkEnd w:id="7552"/>
      <w:bookmarkEnd w:id="7553"/>
      <w:bookmarkEnd w:id="7554"/>
      <w:bookmarkEnd w:id="7555"/>
      <w:bookmarkEnd w:id="7556"/>
      <w:bookmarkEnd w:id="7557"/>
      <w:bookmarkEnd w:id="7558"/>
      <w:bookmarkEnd w:id="7559"/>
      <w:bookmarkEnd w:id="7560"/>
      <w:bookmarkEnd w:id="7561"/>
      <w:bookmarkEnd w:id="7562"/>
      <w:bookmarkEnd w:id="7563"/>
      <w:bookmarkEnd w:id="7564"/>
      <w:bookmarkEnd w:id="7565"/>
      <w:bookmarkEnd w:id="7566"/>
      <w:bookmarkEnd w:id="7567"/>
      <w:bookmarkEnd w:id="7568"/>
      <w:bookmarkEnd w:id="7569"/>
      <w:bookmarkEnd w:id="7570"/>
      <w:bookmarkEnd w:id="7571"/>
      <w:bookmarkEnd w:id="7572"/>
      <w:bookmarkEnd w:id="7573"/>
      <w:bookmarkEnd w:id="7574"/>
      <w:bookmarkEnd w:id="7575"/>
      <w:bookmarkEnd w:id="7576"/>
    </w:p>
    <w:p>
      <w:pPr>
        <w:pStyle w:val="yShoulderClause"/>
        <w:keepNext/>
        <w:spacing w:before="60"/>
      </w:pPr>
      <w:r>
        <w:t>[Reg. 64Z]</w:t>
      </w:r>
    </w:p>
    <w:p>
      <w:pPr>
        <w:pStyle w:val="yFootnoteheading"/>
        <w:keepNext/>
        <w:spacing w:before="0"/>
      </w:pPr>
      <w:r>
        <w:tab/>
        <w:t>[Heading inserted in Gazette 22 Dec 2005 p. 6230.]</w:t>
      </w:r>
    </w:p>
    <w:p>
      <w:pPr>
        <w:pStyle w:val="yHeading3"/>
      </w:pPr>
      <w:bookmarkStart w:id="7577" w:name="_Toc189988183"/>
      <w:bookmarkStart w:id="7578" w:name="_Toc192041766"/>
      <w:bookmarkStart w:id="7579" w:name="_Toc199571000"/>
      <w:bookmarkStart w:id="7580" w:name="_Toc199738999"/>
      <w:bookmarkStart w:id="7581" w:name="_Toc199815100"/>
      <w:bookmarkStart w:id="7582" w:name="_Toc215040907"/>
      <w:bookmarkStart w:id="7583" w:name="_Toc215041352"/>
      <w:bookmarkStart w:id="7584" w:name="_Toc222129560"/>
      <w:bookmarkStart w:id="7585" w:name="_Toc222223265"/>
      <w:bookmarkStart w:id="7586" w:name="_Toc225914517"/>
      <w:bookmarkStart w:id="7587" w:name="_Toc231282562"/>
      <w:bookmarkStart w:id="7588" w:name="_Toc231283006"/>
      <w:bookmarkStart w:id="7589" w:name="_Toc234899596"/>
      <w:bookmarkStart w:id="7590" w:name="_Toc236632878"/>
      <w:bookmarkStart w:id="7591" w:name="_Toc236720491"/>
      <w:bookmarkStart w:id="7592" w:name="_Toc237764690"/>
      <w:bookmarkStart w:id="7593" w:name="_Toc238356314"/>
      <w:bookmarkStart w:id="7594" w:name="_Toc238369019"/>
      <w:bookmarkStart w:id="7595" w:name="_Toc238375972"/>
      <w:bookmarkStart w:id="7596" w:name="_Toc240339296"/>
      <w:bookmarkStart w:id="7597" w:name="_Toc241993802"/>
      <w:bookmarkStart w:id="7598" w:name="_Toc243192945"/>
      <w:bookmarkStart w:id="7599" w:name="_Toc243295647"/>
      <w:bookmarkStart w:id="7600" w:name="_Toc245113220"/>
      <w:bookmarkStart w:id="7601" w:name="_Toc245198382"/>
      <w:bookmarkStart w:id="7602" w:name="_Toc245198831"/>
      <w:bookmarkStart w:id="7603" w:name="_Toc245199280"/>
      <w:bookmarkStart w:id="7604" w:name="_Toc248122311"/>
      <w:bookmarkStart w:id="7605" w:name="_Toc248122762"/>
      <w:bookmarkStart w:id="7606" w:name="_Toc253670749"/>
      <w:bookmarkStart w:id="7607" w:name="_Toc253671199"/>
      <w:bookmarkStart w:id="7608" w:name="_Toc254942973"/>
      <w:bookmarkStart w:id="7609" w:name="_Toc254943426"/>
      <w:bookmarkStart w:id="7610" w:name="_Toc255476018"/>
      <w:bookmarkStart w:id="7611" w:name="_Toc256432339"/>
      <w:bookmarkStart w:id="7612" w:name="_Toc257720676"/>
      <w:bookmarkStart w:id="7613" w:name="_Toc257722358"/>
      <w:bookmarkStart w:id="7614" w:name="_Toc258336034"/>
      <w:bookmarkStart w:id="7615" w:name="_Toc260406476"/>
      <w:bookmarkStart w:id="7616" w:name="_Toc261271662"/>
      <w:bookmarkStart w:id="7617" w:name="_Toc262808344"/>
      <w:bookmarkStart w:id="7618" w:name="_Toc267572737"/>
      <w:bookmarkStart w:id="7619" w:name="_Toc270684486"/>
      <w:bookmarkStart w:id="7620" w:name="_Toc274214663"/>
      <w:bookmarkStart w:id="7621" w:name="_Toc274215112"/>
      <w:bookmarkStart w:id="7622" w:name="_Toc278976443"/>
      <w:bookmarkStart w:id="7623" w:name="_Toc286760764"/>
      <w:bookmarkStart w:id="7624" w:name="_Toc289081109"/>
      <w:bookmarkStart w:id="7625" w:name="_Toc290284303"/>
      <w:bookmarkStart w:id="7626" w:name="_Toc290643124"/>
      <w:bookmarkStart w:id="7627" w:name="_Toc290643573"/>
      <w:bookmarkStart w:id="7628" w:name="_Toc290644026"/>
      <w:bookmarkStart w:id="7629" w:name="_Toc294701843"/>
      <w:bookmarkStart w:id="7630" w:name="_Toc295200251"/>
      <w:bookmarkStart w:id="7631" w:name="_Toc296954692"/>
      <w:bookmarkStart w:id="7632" w:name="_Toc297276327"/>
      <w:bookmarkStart w:id="7633" w:name="_Toc297276779"/>
      <w:bookmarkStart w:id="7634" w:name="_Toc297277229"/>
      <w:bookmarkStart w:id="7635" w:name="_Toc297726598"/>
      <w:bookmarkStart w:id="7636" w:name="_Toc299980384"/>
      <w:bookmarkStart w:id="7637" w:name="_Toc300235010"/>
      <w:bookmarkStart w:id="7638" w:name="_Toc301961513"/>
      <w:bookmarkStart w:id="7639" w:name="_Toc301967083"/>
      <w:bookmarkStart w:id="7640" w:name="_Toc303253292"/>
      <w:bookmarkStart w:id="7641" w:name="_Toc303257456"/>
      <w:bookmarkStart w:id="7642" w:name="_Toc307993089"/>
      <w:bookmarkStart w:id="7643" w:name="_Toc309030122"/>
      <w:bookmarkStart w:id="7644" w:name="_Toc309304345"/>
      <w:bookmarkStart w:id="7645" w:name="_Toc309309622"/>
      <w:r>
        <w:t>Division 1 — Grouped bag limit of 7 fish</w:t>
      </w:r>
      <w:bookmarkEnd w:id="7577"/>
      <w:bookmarkEnd w:id="7578"/>
      <w:bookmarkEnd w:id="7579"/>
      <w:bookmarkEnd w:id="7580"/>
      <w:bookmarkEnd w:id="7581"/>
      <w:bookmarkEnd w:id="7582"/>
      <w:bookmarkEnd w:id="7583"/>
      <w:bookmarkEnd w:id="7584"/>
      <w:bookmarkEnd w:id="7585"/>
      <w:bookmarkEnd w:id="7586"/>
      <w:bookmarkEnd w:id="7587"/>
      <w:bookmarkEnd w:id="7588"/>
      <w:bookmarkEnd w:id="7589"/>
      <w:bookmarkEnd w:id="7590"/>
      <w:bookmarkEnd w:id="7591"/>
      <w:bookmarkEnd w:id="7592"/>
      <w:bookmarkEnd w:id="7593"/>
      <w:bookmarkEnd w:id="7594"/>
      <w:bookmarkEnd w:id="7595"/>
      <w:bookmarkEnd w:id="7596"/>
      <w:bookmarkEnd w:id="7597"/>
      <w:bookmarkEnd w:id="7598"/>
      <w:bookmarkEnd w:id="7599"/>
      <w:bookmarkEnd w:id="7600"/>
      <w:bookmarkEnd w:id="7601"/>
      <w:bookmarkEnd w:id="7602"/>
      <w:bookmarkEnd w:id="7603"/>
      <w:bookmarkEnd w:id="7604"/>
      <w:bookmarkEnd w:id="7605"/>
      <w:bookmarkEnd w:id="7606"/>
      <w:bookmarkEnd w:id="7607"/>
      <w:bookmarkEnd w:id="7608"/>
      <w:bookmarkEnd w:id="7609"/>
      <w:bookmarkEnd w:id="7610"/>
      <w:bookmarkEnd w:id="7611"/>
      <w:bookmarkEnd w:id="7612"/>
      <w:bookmarkEnd w:id="7613"/>
      <w:bookmarkEnd w:id="7614"/>
      <w:bookmarkEnd w:id="7615"/>
      <w:bookmarkEnd w:id="7616"/>
      <w:bookmarkEnd w:id="7617"/>
      <w:bookmarkEnd w:id="7618"/>
      <w:bookmarkEnd w:id="7619"/>
      <w:bookmarkEnd w:id="7620"/>
      <w:bookmarkEnd w:id="7621"/>
      <w:bookmarkEnd w:id="7622"/>
      <w:bookmarkEnd w:id="7623"/>
      <w:bookmarkEnd w:id="7624"/>
      <w:bookmarkEnd w:id="7625"/>
      <w:bookmarkEnd w:id="7626"/>
      <w:bookmarkEnd w:id="7627"/>
      <w:bookmarkEnd w:id="7628"/>
      <w:bookmarkEnd w:id="7629"/>
      <w:bookmarkEnd w:id="7630"/>
      <w:bookmarkEnd w:id="7631"/>
      <w:bookmarkEnd w:id="7632"/>
      <w:bookmarkEnd w:id="7633"/>
      <w:bookmarkEnd w:id="7634"/>
      <w:bookmarkEnd w:id="7635"/>
      <w:bookmarkEnd w:id="7636"/>
      <w:bookmarkEnd w:id="7637"/>
      <w:bookmarkEnd w:id="7638"/>
      <w:bookmarkEnd w:id="7639"/>
      <w:bookmarkEnd w:id="7640"/>
      <w:bookmarkEnd w:id="7641"/>
      <w:bookmarkEnd w:id="7642"/>
      <w:bookmarkEnd w:id="7643"/>
      <w:bookmarkEnd w:id="7644"/>
      <w:bookmarkEnd w:id="7645"/>
    </w:p>
    <w:p>
      <w:pPr>
        <w:pStyle w:val="yFootnoteheading"/>
        <w:keepNext/>
        <w:spacing w:after="120"/>
      </w:pPr>
      <w:r>
        <w:tab/>
        <w:t>[Heading inserted in Gazette 22 Dec 2005 p. 6230.]</w:t>
      </w:r>
    </w:p>
    <w:tbl>
      <w:tblPr>
        <w:tblW w:w="7052" w:type="dxa"/>
        <w:tblInd w:w="113" w:type="dxa"/>
        <w:tblLayout w:type="fixed"/>
        <w:tblCellMar>
          <w:left w:w="113" w:type="dxa"/>
          <w:right w:w="113" w:type="dxa"/>
        </w:tblCellMar>
        <w:tblLook w:val="0000" w:firstRow="0" w:lastRow="0" w:firstColumn="0" w:lastColumn="0" w:noHBand="0" w:noVBand="0"/>
      </w:tblPr>
      <w:tblGrid>
        <w:gridCol w:w="4292"/>
        <w:gridCol w:w="840"/>
        <w:gridCol w:w="480"/>
        <w:gridCol w:w="1440"/>
      </w:tblGrid>
      <w:tr>
        <w:trPr>
          <w:cantSplit/>
        </w:trPr>
        <w:tc>
          <w:tcPr>
            <w:tcW w:w="429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Fish</w:t>
            </w:r>
          </w:p>
        </w:tc>
        <w:tc>
          <w:tcPr>
            <w:tcW w:w="1320" w:type="dxa"/>
            <w:gridSpan w:val="2"/>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 or group of species, bag limit for one day</w:t>
            </w:r>
          </w:p>
        </w:tc>
        <w:tc>
          <w:tcPr>
            <w:tcW w:w="1440"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Grouped bag limit of all species in the Division for one day</w:t>
            </w: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Barramundi, except when taken from Broome area waters (as defined in r. 64ZJ) or </w:t>
            </w:r>
            <w:smartTag w:uri="urn:schemas-microsoft-com:office:smarttags" w:element="place">
              <w:smartTag w:uri="urn:schemas-microsoft-com:office:smarttags" w:element="PlaceName">
                <w:r>
                  <w:t>Ord</w:t>
                </w:r>
              </w:smartTag>
              <w:r>
                <w:t xml:space="preserve"> </w:t>
              </w:r>
              <w:smartTag w:uri="urn:schemas-microsoft-com:office:smarttags" w:element="PlaceType">
                <w:r>
                  <w:t>River</w:t>
                </w:r>
              </w:smartTag>
            </w:smartTag>
            <w:r>
              <w:t xml:space="preserve"> area waters (as defined in r. 64ZF) </w:t>
            </w:r>
            <w:r>
              <w:tab/>
            </w:r>
          </w:p>
        </w:tc>
        <w:tc>
          <w:tcPr>
            <w:tcW w:w="840" w:type="dxa"/>
            <w:tcMar>
              <w:left w:w="85" w:type="dxa"/>
              <w:right w:w="113" w:type="dxa"/>
            </w:tcMar>
          </w:tcPr>
          <w:p>
            <w:pPr>
              <w:pStyle w:val="yTableNAm"/>
              <w:tabs>
                <w:tab w:val="clear" w:pos="567"/>
                <w:tab w:val="left" w:pos="676"/>
              </w:tabs>
              <w:spacing w:before="0"/>
            </w:pPr>
            <w:r>
              <w:br/>
            </w:r>
            <w:r>
              <w:br/>
              <w:t>2</w:t>
            </w:r>
          </w:p>
        </w:tc>
        <w:tc>
          <w:tcPr>
            <w:tcW w:w="480" w:type="dxa"/>
            <w:vMerge w:val="restart"/>
            <w:tcBorders>
              <w:top w:val="single" w:sz="8" w:space="0" w:color="auto"/>
            </w:tcBorders>
            <w:tcMar>
              <w:left w:w="85" w:type="dxa"/>
              <w:right w:w="113" w:type="dxa"/>
            </w:tcMar>
          </w:tcPr>
          <w:p>
            <w:pPr>
              <w:pStyle w:val="yTableNAm"/>
              <w:spacing w:before="0"/>
            </w:pPr>
            <w:r>
              <w:rPr>
                <w:noProof/>
                <w:lang w:eastAsia="en-AU"/>
              </w:rPr>
              <w:drawing>
                <wp:inline distT="0" distB="0" distL="0" distR="0">
                  <wp:extent cx="114300" cy="41338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14300" cy="4133850"/>
                          </a:xfrm>
                          <a:prstGeom prst="rect">
                            <a:avLst/>
                          </a:prstGeom>
                          <a:noFill/>
                          <a:ln>
                            <a:noFill/>
                          </a:ln>
                        </pic:spPr>
                      </pic:pic>
                    </a:graphicData>
                  </a:graphic>
                </wp:inline>
              </w:drawing>
            </w:r>
          </w:p>
        </w:tc>
        <w:tc>
          <w:tcPr>
            <w:tcW w:w="1440" w:type="dxa"/>
            <w:vMerge w:val="restart"/>
            <w:tcBorders>
              <w:top w:val="single" w:sz="8" w:space="0" w:color="auto"/>
            </w:tcBorders>
            <w:tcMar>
              <w:left w:w="85" w:type="dxa"/>
              <w:right w:w="113" w:type="dxa"/>
            </w:tcMar>
          </w:tcPr>
          <w:p>
            <w:pPr>
              <w:pStyle w:val="yTableNAm"/>
              <w:spacing w:before="100"/>
            </w:pPr>
            <w:r>
              <w:br/>
            </w:r>
            <w:r>
              <w:br/>
            </w:r>
            <w:r>
              <w:br/>
            </w:r>
            <w:r>
              <w:br/>
            </w:r>
            <w:r>
              <w:br/>
            </w:r>
            <w:r>
              <w:br/>
            </w:r>
            <w:r>
              <w:br/>
            </w:r>
            <w:r>
              <w:br/>
            </w:r>
            <w:r>
              <w:br/>
            </w:r>
            <w:r>
              <w:br/>
            </w:r>
            <w:r>
              <w:br/>
            </w:r>
            <w:r>
              <w:br/>
              <w:t>7</w:t>
            </w: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Barramundi, when taken from Broome area waters (as defined in r. 64ZJ) or </w:t>
            </w:r>
            <w:smartTag w:uri="urn:schemas-microsoft-com:office:smarttags" w:element="place">
              <w:smartTag w:uri="urn:schemas-microsoft-com:office:smarttags" w:element="PlaceName">
                <w:r>
                  <w:t>Ord</w:t>
                </w:r>
              </w:smartTag>
              <w:r>
                <w:t xml:space="preserve"> </w:t>
              </w:r>
              <w:smartTag w:uri="urn:schemas-microsoft-com:office:smarttags" w:element="PlaceType">
                <w:r>
                  <w:t>River</w:t>
                </w:r>
              </w:smartTag>
            </w:smartTag>
            <w:r>
              <w:t xml:space="preserve"> area waters (as defined in r. 64ZF) </w:t>
            </w:r>
            <w:r>
              <w:tab/>
            </w:r>
          </w:p>
        </w:tc>
        <w:tc>
          <w:tcPr>
            <w:tcW w:w="840" w:type="dxa"/>
            <w:tcMar>
              <w:left w:w="85" w:type="dxa"/>
              <w:right w:w="113" w:type="dxa"/>
            </w:tcMar>
          </w:tcPr>
          <w:p>
            <w:pPr>
              <w:pStyle w:val="yTableNAm"/>
              <w:tabs>
                <w:tab w:val="clear" w:pos="567"/>
                <w:tab w:val="left" w:pos="676"/>
              </w:tabs>
              <w:spacing w:before="0"/>
            </w:pPr>
            <w:r>
              <w:br/>
            </w:r>
            <w:r>
              <w:br/>
              <w:t>1</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Billfish (Marlins, Sailfish and Spearfish) and Swordfish (combined) </w:t>
            </w:r>
            <w:r>
              <w:tab/>
            </w:r>
          </w:p>
        </w:tc>
        <w:tc>
          <w:tcPr>
            <w:tcW w:w="840" w:type="dxa"/>
            <w:tcMar>
              <w:left w:w="85" w:type="dxa"/>
              <w:right w:w="113" w:type="dxa"/>
            </w:tcMar>
          </w:tcPr>
          <w:p>
            <w:pPr>
              <w:pStyle w:val="yTableNAm"/>
              <w:tabs>
                <w:tab w:val="clear" w:pos="567"/>
                <w:tab w:val="left" w:pos="676"/>
              </w:tabs>
              <w:spacing w:before="0"/>
            </w:pPr>
            <w:r>
              <w:br/>
              <w:t>1</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Cobia </w:t>
            </w:r>
            <w:r>
              <w:tab/>
            </w:r>
          </w:p>
        </w:tc>
        <w:tc>
          <w:tcPr>
            <w:tcW w:w="840" w:type="dxa"/>
            <w:tcMar>
              <w:left w:w="85" w:type="dxa"/>
              <w:right w:w="113" w:type="dxa"/>
            </w:tcMar>
          </w:tcPr>
          <w:p>
            <w:pPr>
              <w:pStyle w:val="yTableNAm"/>
              <w:tabs>
                <w:tab w:val="clear" w:pos="567"/>
                <w:tab w:val="left" w:pos="676"/>
              </w:tabs>
              <w:spacing w:before="0"/>
            </w:pPr>
            <w:r>
              <w:t>2</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Cod (combined, except Coral Trout and Coronation Trout) </w:t>
            </w:r>
            <w:r>
              <w:tab/>
            </w:r>
          </w:p>
        </w:tc>
        <w:tc>
          <w:tcPr>
            <w:tcW w:w="840" w:type="dxa"/>
            <w:tcMar>
              <w:left w:w="85" w:type="dxa"/>
              <w:right w:w="113" w:type="dxa"/>
            </w:tcMar>
          </w:tcPr>
          <w:p>
            <w:pPr>
              <w:pStyle w:val="yTableNAm"/>
              <w:tabs>
                <w:tab w:val="clear" w:pos="567"/>
                <w:tab w:val="left" w:pos="676"/>
              </w:tabs>
              <w:spacing w:before="0"/>
            </w:pPr>
            <w:r>
              <w:br/>
              <w:t>4</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Cod classified as </w:t>
            </w:r>
            <w:r>
              <w:rPr>
                <w:i/>
                <w:iCs/>
              </w:rPr>
              <w:t>Epinephelus</w:t>
            </w:r>
            <w:r>
              <w:t xml:space="preserve"> spp., in excess of 30 kg in weight or 1000 mm in length </w:t>
            </w:r>
            <w:r>
              <w:tab/>
            </w:r>
          </w:p>
        </w:tc>
        <w:tc>
          <w:tcPr>
            <w:tcW w:w="840" w:type="dxa"/>
            <w:tcMar>
              <w:left w:w="85" w:type="dxa"/>
              <w:right w:w="113" w:type="dxa"/>
            </w:tcMar>
          </w:tcPr>
          <w:p>
            <w:pPr>
              <w:pStyle w:val="yTableNAm"/>
              <w:tabs>
                <w:tab w:val="clear" w:pos="567"/>
                <w:tab w:val="left" w:pos="676"/>
              </w:tabs>
              <w:spacing w:before="0"/>
            </w:pPr>
            <w:r>
              <w:br/>
              <w:t>0</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Cod, Estuary, Malabar and Rankin (combined) </w:t>
            </w:r>
            <w:r>
              <w:tab/>
            </w:r>
          </w:p>
        </w:tc>
        <w:tc>
          <w:tcPr>
            <w:tcW w:w="840" w:type="dxa"/>
            <w:tcMar>
              <w:left w:w="85" w:type="dxa"/>
              <w:right w:w="113" w:type="dxa"/>
            </w:tcMar>
          </w:tcPr>
          <w:p>
            <w:pPr>
              <w:pStyle w:val="yTableNAm"/>
              <w:tabs>
                <w:tab w:val="clear" w:pos="567"/>
                <w:tab w:val="left" w:pos="676"/>
              </w:tabs>
              <w:spacing w:before="0"/>
            </w:pPr>
            <w:r>
              <w:br/>
              <w:t>2</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Coral Trout and Coronation Trout when taken from waters east of Poissonnier Point (combined) </w:t>
            </w:r>
            <w:r>
              <w:tab/>
            </w:r>
          </w:p>
        </w:tc>
        <w:tc>
          <w:tcPr>
            <w:tcW w:w="840" w:type="dxa"/>
            <w:tcMar>
              <w:left w:w="85" w:type="dxa"/>
              <w:right w:w="113" w:type="dxa"/>
            </w:tcMar>
          </w:tcPr>
          <w:p>
            <w:pPr>
              <w:pStyle w:val="yTableNAm"/>
              <w:tabs>
                <w:tab w:val="clear" w:pos="567"/>
                <w:tab w:val="left" w:pos="676"/>
              </w:tabs>
              <w:spacing w:before="0"/>
            </w:pPr>
            <w:r>
              <w:br/>
            </w:r>
            <w:r>
              <w:br/>
              <w:t>1</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Coral Trout and Coronation Trout when taken from waters west of Poissonnier Point (combined) </w:t>
            </w:r>
            <w:r>
              <w:tab/>
            </w:r>
          </w:p>
        </w:tc>
        <w:tc>
          <w:tcPr>
            <w:tcW w:w="840" w:type="dxa"/>
            <w:tcMar>
              <w:left w:w="85" w:type="dxa"/>
              <w:right w:w="113" w:type="dxa"/>
            </w:tcMar>
          </w:tcPr>
          <w:p>
            <w:pPr>
              <w:pStyle w:val="yTableNAm"/>
              <w:tabs>
                <w:tab w:val="clear" w:pos="567"/>
                <w:tab w:val="left" w:pos="676"/>
              </w:tabs>
              <w:spacing w:before="0"/>
            </w:pPr>
            <w:r>
              <w:br/>
            </w:r>
            <w:r>
              <w:br/>
              <w:t>2</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Dolphinfish (Mahi Mahi) </w:t>
            </w:r>
            <w:r>
              <w:tab/>
            </w:r>
          </w:p>
        </w:tc>
        <w:tc>
          <w:tcPr>
            <w:tcW w:w="840" w:type="dxa"/>
            <w:tcMar>
              <w:left w:w="85" w:type="dxa"/>
              <w:right w:w="113" w:type="dxa"/>
            </w:tcMar>
          </w:tcPr>
          <w:p>
            <w:pPr>
              <w:pStyle w:val="yTableNAm"/>
              <w:tabs>
                <w:tab w:val="clear" w:pos="567"/>
                <w:tab w:val="left" w:pos="676"/>
              </w:tabs>
              <w:spacing w:before="0"/>
            </w:pPr>
            <w:r>
              <w:t>4</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Emperor and Seabream (combined) </w:t>
            </w:r>
            <w:r>
              <w:tab/>
            </w:r>
          </w:p>
        </w:tc>
        <w:tc>
          <w:tcPr>
            <w:tcW w:w="840" w:type="dxa"/>
            <w:tcMar>
              <w:left w:w="85" w:type="dxa"/>
              <w:right w:w="113" w:type="dxa"/>
            </w:tcMar>
          </w:tcPr>
          <w:p>
            <w:pPr>
              <w:pStyle w:val="yTableNAm"/>
              <w:tabs>
                <w:tab w:val="clear" w:pos="567"/>
                <w:tab w:val="left" w:pos="676"/>
              </w:tabs>
              <w:spacing w:before="0"/>
            </w:pPr>
            <w:r>
              <w:t>4</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Emperor, Red </w:t>
            </w:r>
            <w:r>
              <w:tab/>
            </w:r>
          </w:p>
        </w:tc>
        <w:tc>
          <w:tcPr>
            <w:tcW w:w="840" w:type="dxa"/>
            <w:tcMar>
              <w:left w:w="85" w:type="dxa"/>
              <w:right w:w="113" w:type="dxa"/>
            </w:tcMar>
          </w:tcPr>
          <w:p>
            <w:pPr>
              <w:pStyle w:val="yTableNAm"/>
              <w:tabs>
                <w:tab w:val="clear" w:pos="567"/>
                <w:tab w:val="left" w:pos="676"/>
              </w:tabs>
              <w:spacing w:before="0"/>
            </w:pPr>
            <w:r>
              <w:t>2</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Mackerel, Shark </w:t>
            </w:r>
            <w:r>
              <w:tab/>
            </w:r>
          </w:p>
        </w:tc>
        <w:tc>
          <w:tcPr>
            <w:tcW w:w="840" w:type="dxa"/>
            <w:tcMar>
              <w:left w:w="85" w:type="dxa"/>
              <w:right w:w="113" w:type="dxa"/>
            </w:tcMar>
          </w:tcPr>
          <w:p>
            <w:pPr>
              <w:pStyle w:val="yTableNAm"/>
              <w:tabs>
                <w:tab w:val="clear" w:pos="567"/>
                <w:tab w:val="left" w:pos="676"/>
              </w:tabs>
              <w:spacing w:before="0"/>
            </w:pPr>
            <w:r>
              <w:t>4</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Mackerel, Broad</w:t>
            </w:r>
            <w:r>
              <w:noBreakHyphen/>
              <w:t xml:space="preserve">barred Spanish </w:t>
            </w:r>
            <w:r>
              <w:tab/>
            </w:r>
          </w:p>
        </w:tc>
        <w:tc>
          <w:tcPr>
            <w:tcW w:w="840" w:type="dxa"/>
            <w:tcMar>
              <w:left w:w="85" w:type="dxa"/>
              <w:right w:w="113" w:type="dxa"/>
            </w:tcMar>
          </w:tcPr>
          <w:p>
            <w:pPr>
              <w:pStyle w:val="yTableNAm"/>
              <w:tabs>
                <w:tab w:val="clear" w:pos="567"/>
                <w:tab w:val="left" w:pos="676"/>
              </w:tabs>
              <w:spacing w:before="0"/>
            </w:pPr>
            <w:r>
              <w:t>2</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bl>
    <w:p/>
    <w:tbl>
      <w:tblPr>
        <w:tblW w:w="7080" w:type="dxa"/>
        <w:tblInd w:w="113" w:type="dxa"/>
        <w:tblLayout w:type="fixed"/>
        <w:tblCellMar>
          <w:left w:w="113" w:type="dxa"/>
          <w:right w:w="113" w:type="dxa"/>
        </w:tblCellMar>
        <w:tblLook w:val="0000" w:firstRow="0" w:lastRow="0" w:firstColumn="0" w:lastColumn="0" w:noHBand="0" w:noVBand="0"/>
      </w:tblPr>
      <w:tblGrid>
        <w:gridCol w:w="4292"/>
        <w:gridCol w:w="840"/>
        <w:gridCol w:w="480"/>
        <w:gridCol w:w="1468"/>
      </w:tblGrid>
      <w:tr>
        <w:trPr>
          <w:cantSplit/>
        </w:trPr>
        <w:tc>
          <w:tcPr>
            <w:tcW w:w="429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Fish</w:t>
            </w:r>
          </w:p>
        </w:tc>
        <w:tc>
          <w:tcPr>
            <w:tcW w:w="1320" w:type="dxa"/>
            <w:gridSpan w:val="2"/>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 or group of species, bag limit for one day</w:t>
            </w:r>
          </w:p>
        </w:tc>
        <w:tc>
          <w:tcPr>
            <w:tcW w:w="1468"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Grouped bag limit of all species in the Division for one day</w:t>
            </w:r>
          </w:p>
        </w:tc>
      </w:tr>
      <w:tr>
        <w:trPr>
          <w:cantSplit/>
        </w:trPr>
        <w:tc>
          <w:tcPr>
            <w:tcW w:w="4292" w:type="dxa"/>
            <w:tcMar>
              <w:left w:w="85" w:type="dxa"/>
              <w:right w:w="113" w:type="dxa"/>
            </w:tcMar>
          </w:tcPr>
          <w:p>
            <w:pPr>
              <w:pStyle w:val="yTableNAm"/>
              <w:keepNext/>
              <w:tabs>
                <w:tab w:val="clear" w:pos="567"/>
                <w:tab w:val="left" w:leader="dot" w:pos="4087"/>
              </w:tabs>
              <w:spacing w:before="0"/>
              <w:ind w:left="198" w:hanging="198"/>
            </w:pPr>
            <w:r>
              <w:t>Mackerel, Narrow</w:t>
            </w:r>
            <w:r>
              <w:noBreakHyphen/>
              <w:t xml:space="preserve">barred Spanish </w:t>
            </w:r>
            <w:r>
              <w:tab/>
            </w:r>
          </w:p>
        </w:tc>
        <w:tc>
          <w:tcPr>
            <w:tcW w:w="840" w:type="dxa"/>
            <w:tcMar>
              <w:left w:w="85" w:type="dxa"/>
              <w:right w:w="113" w:type="dxa"/>
            </w:tcMar>
          </w:tcPr>
          <w:p>
            <w:pPr>
              <w:pStyle w:val="yTableNAm"/>
              <w:keepNext/>
              <w:pageBreakBefore/>
              <w:tabs>
                <w:tab w:val="clear" w:pos="567"/>
                <w:tab w:val="left" w:pos="676"/>
              </w:tabs>
              <w:spacing w:before="0"/>
            </w:pPr>
            <w:r>
              <w:t>2</w:t>
            </w:r>
          </w:p>
        </w:tc>
        <w:tc>
          <w:tcPr>
            <w:tcW w:w="480" w:type="dxa"/>
            <w:vMerge w:val="restart"/>
            <w:tcMar>
              <w:left w:w="85" w:type="dxa"/>
              <w:right w:w="113" w:type="dxa"/>
            </w:tcMar>
          </w:tcPr>
          <w:p>
            <w:pPr>
              <w:pStyle w:val="yTableNAm"/>
              <w:keepNext/>
              <w:pageBreakBefore/>
              <w:spacing w:before="0"/>
            </w:pPr>
            <w:r>
              <w:rPr>
                <w:noProof/>
                <w:lang w:eastAsia="en-AU"/>
              </w:rPr>
              <w:drawing>
                <wp:inline distT="0" distB="0" distL="0" distR="0">
                  <wp:extent cx="114300" cy="3400425"/>
                  <wp:effectExtent l="0" t="0" r="0"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14300" cy="3400425"/>
                          </a:xfrm>
                          <a:prstGeom prst="rect">
                            <a:avLst/>
                          </a:prstGeom>
                          <a:noFill/>
                          <a:ln>
                            <a:noFill/>
                          </a:ln>
                        </pic:spPr>
                      </pic:pic>
                    </a:graphicData>
                  </a:graphic>
                </wp:inline>
              </w:drawing>
            </w:r>
          </w:p>
        </w:tc>
        <w:tc>
          <w:tcPr>
            <w:tcW w:w="1468" w:type="dxa"/>
            <w:vMerge w:val="restart"/>
            <w:tcMar>
              <w:left w:w="85" w:type="dxa"/>
              <w:right w:w="113" w:type="dxa"/>
            </w:tcMar>
          </w:tcPr>
          <w:p>
            <w:pPr>
              <w:pStyle w:val="yTableNAm"/>
              <w:keepNext/>
              <w:pageBreakBefore/>
              <w:spacing w:before="0"/>
            </w:pPr>
            <w:r>
              <w:br/>
            </w:r>
            <w:r>
              <w:br/>
            </w:r>
            <w:r>
              <w:br/>
            </w:r>
            <w:r>
              <w:br/>
            </w:r>
            <w:r>
              <w:br/>
            </w:r>
            <w:r>
              <w:br/>
            </w:r>
            <w:r>
              <w:br/>
            </w:r>
            <w:r>
              <w:br/>
            </w:r>
            <w:r>
              <w:br/>
            </w:r>
            <w:r>
              <w:br/>
              <w:t>7</w:t>
            </w:r>
          </w:p>
        </w:tc>
      </w:tr>
      <w:tr>
        <w:trPr>
          <w:cantSplit/>
        </w:trPr>
        <w:tc>
          <w:tcPr>
            <w:tcW w:w="4292" w:type="dxa"/>
            <w:tcMar>
              <w:left w:w="85" w:type="dxa"/>
              <w:right w:w="113" w:type="dxa"/>
            </w:tcMar>
          </w:tcPr>
          <w:p>
            <w:pPr>
              <w:pStyle w:val="yTableNAm"/>
              <w:keepNext/>
              <w:tabs>
                <w:tab w:val="clear" w:pos="567"/>
                <w:tab w:val="left" w:leader="dot" w:pos="4087"/>
              </w:tabs>
              <w:spacing w:before="0"/>
              <w:ind w:left="197" w:hanging="197"/>
            </w:pPr>
            <w:r>
              <w:t xml:space="preserve">Mackerel, Wahoo </w:t>
            </w:r>
            <w:r>
              <w:tab/>
            </w:r>
          </w:p>
        </w:tc>
        <w:tc>
          <w:tcPr>
            <w:tcW w:w="840" w:type="dxa"/>
            <w:tcMar>
              <w:left w:w="85" w:type="dxa"/>
              <w:right w:w="113" w:type="dxa"/>
            </w:tcMar>
          </w:tcPr>
          <w:p>
            <w:pPr>
              <w:pStyle w:val="yTableNAm"/>
              <w:keepNext/>
              <w:tabs>
                <w:tab w:val="clear" w:pos="567"/>
                <w:tab w:val="left" w:pos="676"/>
              </w:tabs>
              <w:spacing w:before="0"/>
            </w:pPr>
            <w:r>
              <w:t>2</w:t>
            </w:r>
          </w:p>
        </w:tc>
        <w:tc>
          <w:tcPr>
            <w:tcW w:w="480" w:type="dxa"/>
            <w:vMerge/>
            <w:tcMar>
              <w:left w:w="85" w:type="dxa"/>
              <w:right w:w="113" w:type="dxa"/>
            </w:tcMar>
          </w:tcPr>
          <w:p>
            <w:pPr>
              <w:pStyle w:val="yTableNAm"/>
              <w:keepNext/>
              <w:spacing w:before="0"/>
            </w:pPr>
          </w:p>
        </w:tc>
        <w:tc>
          <w:tcPr>
            <w:tcW w:w="1468" w:type="dxa"/>
            <w:vMerge/>
            <w:tcMar>
              <w:left w:w="85" w:type="dxa"/>
              <w:right w:w="113" w:type="dxa"/>
            </w:tcMar>
          </w:tcPr>
          <w:p>
            <w:pPr>
              <w:pStyle w:val="yTableNAm"/>
              <w:keepNext/>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Mangrove Jack, except when taken from Dampier Archipelago waters (as defined in r. 64OB) </w:t>
            </w:r>
            <w:r>
              <w:tab/>
            </w:r>
          </w:p>
        </w:tc>
        <w:tc>
          <w:tcPr>
            <w:tcW w:w="840" w:type="dxa"/>
            <w:tcMar>
              <w:left w:w="85" w:type="dxa"/>
              <w:right w:w="113" w:type="dxa"/>
            </w:tcMar>
          </w:tcPr>
          <w:p>
            <w:pPr>
              <w:pStyle w:val="yTableNAm"/>
              <w:tabs>
                <w:tab w:val="clear" w:pos="567"/>
                <w:tab w:val="left" w:pos="676"/>
              </w:tabs>
              <w:spacing w:before="0"/>
            </w:pPr>
            <w:r>
              <w:br/>
            </w:r>
            <w:r>
              <w:b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Mangrove Jack, when taken from Dampier Archipelago waters (as defined in r. 64OB) </w:t>
            </w:r>
            <w:r>
              <w:tab/>
            </w:r>
          </w:p>
        </w:tc>
        <w:tc>
          <w:tcPr>
            <w:tcW w:w="840" w:type="dxa"/>
            <w:tcMar>
              <w:left w:w="85" w:type="dxa"/>
              <w:right w:w="113" w:type="dxa"/>
            </w:tcMar>
          </w:tcPr>
          <w:p>
            <w:pPr>
              <w:pStyle w:val="yTableNAm"/>
              <w:tabs>
                <w:tab w:val="clear" w:pos="567"/>
                <w:tab w:val="left" w:pos="676"/>
              </w:tabs>
              <w:spacing w:before="0"/>
            </w:pPr>
            <w:r>
              <w:b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Mulloway, Northern </w:t>
            </w:r>
            <w:r>
              <w:tab/>
            </w:r>
          </w:p>
        </w:tc>
        <w:tc>
          <w:tcPr>
            <w:tcW w:w="840" w:type="dxa"/>
            <w:tcMar>
              <w:left w:w="85" w:type="dxa"/>
              <w:right w:w="113" w:type="dxa"/>
            </w:tcMar>
          </w:tcPr>
          <w:p>
            <w:pPr>
              <w:pStyle w:val="yTableNAm"/>
              <w:tabs>
                <w:tab w:val="clear" w:pos="567"/>
                <w:tab w:val="left" w:pos="676"/>
              </w:tabs>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Parrot Fish (combined) </w:t>
            </w:r>
            <w:r>
              <w:tab/>
            </w:r>
          </w:p>
        </w:tc>
        <w:tc>
          <w:tcPr>
            <w:tcW w:w="840" w:type="dxa"/>
            <w:tcMar>
              <w:left w:w="85" w:type="dxa"/>
              <w:right w:w="113" w:type="dxa"/>
            </w:tcMar>
          </w:tcPr>
          <w:p>
            <w:pPr>
              <w:pStyle w:val="yTableNAm"/>
              <w:tabs>
                <w:tab w:val="clear" w:pos="567"/>
                <w:tab w:val="left" w:pos="676"/>
              </w:tabs>
              <w:spacing w:before="0"/>
            </w:pPr>
            <w: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Pearl Perch .</w:t>
            </w:r>
            <w:r>
              <w:tab/>
            </w:r>
          </w:p>
        </w:tc>
        <w:tc>
          <w:tcPr>
            <w:tcW w:w="840" w:type="dxa"/>
            <w:tcMar>
              <w:left w:w="85" w:type="dxa"/>
              <w:right w:w="113" w:type="dxa"/>
            </w:tcMar>
          </w:tcPr>
          <w:p>
            <w:pPr>
              <w:pStyle w:val="yTableNAm"/>
              <w:tabs>
                <w:tab w:val="clear" w:pos="567"/>
                <w:tab w:val="left" w:pos="676"/>
              </w:tabs>
              <w:spacing w:before="0"/>
            </w:pPr>
            <w: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Samson Fish, Amberjack and Yellowtail Kingfish (combined) </w:t>
            </w:r>
            <w:r>
              <w:tab/>
            </w:r>
          </w:p>
        </w:tc>
        <w:tc>
          <w:tcPr>
            <w:tcW w:w="840" w:type="dxa"/>
            <w:tcMar>
              <w:left w:w="85" w:type="dxa"/>
              <w:right w:w="113" w:type="dxa"/>
            </w:tcMar>
          </w:tcPr>
          <w:p>
            <w:pPr>
              <w:pStyle w:val="yTableNAm"/>
              <w:tabs>
                <w:tab w:val="clear" w:pos="567"/>
                <w:tab w:val="left" w:pos="676"/>
              </w:tabs>
              <w:spacing w:before="0"/>
            </w:pPr>
            <w:r>
              <w:b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Sea Perch, Crimson and Scarlet (combined) </w:t>
            </w:r>
            <w:r>
              <w:tab/>
            </w:r>
          </w:p>
        </w:tc>
        <w:tc>
          <w:tcPr>
            <w:tcW w:w="840" w:type="dxa"/>
            <w:tcMar>
              <w:left w:w="85" w:type="dxa"/>
              <w:right w:w="113" w:type="dxa"/>
            </w:tcMar>
          </w:tcPr>
          <w:p>
            <w:pPr>
              <w:pStyle w:val="yTableNAm"/>
              <w:tabs>
                <w:tab w:val="clear" w:pos="567"/>
                <w:tab w:val="left" w:pos="676"/>
              </w:tabs>
              <w:spacing w:before="0"/>
            </w:pPr>
            <w: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Snapper, Pink </w:t>
            </w:r>
            <w:r>
              <w:tab/>
            </w:r>
          </w:p>
        </w:tc>
        <w:tc>
          <w:tcPr>
            <w:tcW w:w="840" w:type="dxa"/>
            <w:tcMar>
              <w:left w:w="85" w:type="dxa"/>
              <w:right w:w="113" w:type="dxa"/>
            </w:tcMar>
          </w:tcPr>
          <w:p>
            <w:pPr>
              <w:pStyle w:val="yTableNAm"/>
              <w:tabs>
                <w:tab w:val="clear" w:pos="567"/>
                <w:tab w:val="left" w:pos="676"/>
              </w:tabs>
              <w:spacing w:before="0"/>
            </w:pPr>
            <w: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Sharks and Rays (combined) </w:t>
            </w:r>
            <w:r>
              <w:tab/>
            </w:r>
          </w:p>
        </w:tc>
        <w:tc>
          <w:tcPr>
            <w:tcW w:w="840" w:type="dxa"/>
            <w:tcMar>
              <w:left w:w="85" w:type="dxa"/>
              <w:right w:w="113" w:type="dxa"/>
            </w:tcMar>
          </w:tcPr>
          <w:p>
            <w:pPr>
              <w:pStyle w:val="yTableNAm"/>
              <w:tabs>
                <w:tab w:val="clear" w:pos="567"/>
                <w:tab w:val="left" w:pos="676"/>
              </w:tabs>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Threadfin, Giant </w:t>
            </w:r>
            <w:r>
              <w:tab/>
            </w:r>
          </w:p>
        </w:tc>
        <w:tc>
          <w:tcPr>
            <w:tcW w:w="840" w:type="dxa"/>
            <w:tcMar>
              <w:left w:w="85" w:type="dxa"/>
              <w:right w:w="113" w:type="dxa"/>
            </w:tcMar>
          </w:tcPr>
          <w:p>
            <w:pPr>
              <w:pStyle w:val="yTableNAm"/>
              <w:tabs>
                <w:tab w:val="clear" w:pos="567"/>
                <w:tab w:val="left" w:pos="676"/>
              </w:tabs>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Tripletail </w:t>
            </w:r>
            <w:r>
              <w:tab/>
            </w:r>
          </w:p>
        </w:tc>
        <w:tc>
          <w:tcPr>
            <w:tcW w:w="840" w:type="dxa"/>
            <w:tcMar>
              <w:left w:w="85" w:type="dxa"/>
              <w:right w:w="113" w:type="dxa"/>
            </w:tcMar>
          </w:tcPr>
          <w:p>
            <w:pPr>
              <w:pStyle w:val="yTableNAm"/>
              <w:tabs>
                <w:tab w:val="clear" w:pos="567"/>
                <w:tab w:val="left" w:pos="676"/>
              </w:tabs>
              <w:spacing w:before="0"/>
            </w:pPr>
            <w:r>
              <w:t>1</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Tuna, Southern Bluefin, </w:t>
            </w:r>
            <w:smartTag w:uri="urn:schemas-microsoft-com:office:smarttags" w:element="place">
              <w:r>
                <w:t>Northern Bluefin</w:t>
              </w:r>
            </w:smartTag>
            <w:r>
              <w:t xml:space="preserve">, Yellowfin, Bigeye and Dogtooth (combined) </w:t>
            </w:r>
            <w:r>
              <w:tab/>
            </w:r>
          </w:p>
        </w:tc>
        <w:tc>
          <w:tcPr>
            <w:tcW w:w="840" w:type="dxa"/>
            <w:tcMar>
              <w:left w:w="85" w:type="dxa"/>
              <w:right w:w="113" w:type="dxa"/>
            </w:tcMar>
          </w:tcPr>
          <w:p>
            <w:pPr>
              <w:pStyle w:val="yTableNAm"/>
              <w:tabs>
                <w:tab w:val="clear" w:pos="567"/>
                <w:tab w:val="left" w:pos="676"/>
              </w:tabs>
              <w:spacing w:before="0"/>
            </w:pPr>
            <w:r>
              <w:br/>
            </w:r>
            <w:r>
              <w:b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Borders>
              <w:bottom w:val="single" w:sz="8" w:space="0" w:color="auto"/>
            </w:tcBorders>
            <w:tcMar>
              <w:left w:w="85" w:type="dxa"/>
              <w:right w:w="113" w:type="dxa"/>
            </w:tcMar>
          </w:tcPr>
          <w:p>
            <w:pPr>
              <w:pStyle w:val="yTableNAm"/>
              <w:tabs>
                <w:tab w:val="clear" w:pos="567"/>
                <w:tab w:val="left" w:leader="dot" w:pos="4087"/>
              </w:tabs>
              <w:spacing w:before="0"/>
              <w:ind w:left="197" w:hanging="197"/>
            </w:pPr>
            <w:r>
              <w:t xml:space="preserve">Wrasse (combined) </w:t>
            </w:r>
            <w:r>
              <w:tab/>
            </w:r>
          </w:p>
        </w:tc>
        <w:tc>
          <w:tcPr>
            <w:tcW w:w="840" w:type="dxa"/>
            <w:tcBorders>
              <w:bottom w:val="single" w:sz="8" w:space="0" w:color="auto"/>
            </w:tcBorders>
            <w:tcMar>
              <w:left w:w="85" w:type="dxa"/>
              <w:right w:w="113" w:type="dxa"/>
            </w:tcMar>
          </w:tcPr>
          <w:p>
            <w:pPr>
              <w:pStyle w:val="yTableNAm"/>
              <w:tabs>
                <w:tab w:val="clear" w:pos="567"/>
                <w:tab w:val="left" w:pos="676"/>
              </w:tabs>
              <w:spacing w:before="0"/>
            </w:pPr>
            <w:r>
              <w:t>2</w:t>
            </w:r>
          </w:p>
        </w:tc>
        <w:tc>
          <w:tcPr>
            <w:tcW w:w="480" w:type="dxa"/>
            <w:vMerge/>
            <w:tcBorders>
              <w:bottom w:val="single" w:sz="8" w:space="0" w:color="auto"/>
            </w:tcBorders>
            <w:tcMar>
              <w:left w:w="85" w:type="dxa"/>
              <w:right w:w="113" w:type="dxa"/>
            </w:tcMar>
          </w:tcPr>
          <w:p>
            <w:pPr>
              <w:pStyle w:val="yTableNAm"/>
              <w:spacing w:before="0"/>
            </w:pPr>
          </w:p>
        </w:tc>
        <w:tc>
          <w:tcPr>
            <w:tcW w:w="1468" w:type="dxa"/>
            <w:vMerge/>
            <w:tcBorders>
              <w:bottom w:val="single" w:sz="8" w:space="0" w:color="auto"/>
            </w:tcBorders>
            <w:tcMar>
              <w:left w:w="85" w:type="dxa"/>
              <w:right w:w="113" w:type="dxa"/>
            </w:tcMar>
          </w:tcPr>
          <w:p>
            <w:pPr>
              <w:pStyle w:val="yTableNAm"/>
              <w:spacing w:before="0"/>
            </w:pPr>
          </w:p>
        </w:tc>
      </w:tr>
    </w:tbl>
    <w:p>
      <w:pPr>
        <w:pStyle w:val="yFootnotesection"/>
      </w:pPr>
      <w:r>
        <w:tab/>
        <w:t>[Division 1 inserted in Gazette 22 Dec 2005 p. 6231</w:t>
      </w:r>
      <w:r>
        <w:noBreakHyphen/>
        <w:t>2.]</w:t>
      </w:r>
    </w:p>
    <w:p>
      <w:pPr>
        <w:pStyle w:val="yHeading3"/>
        <w:pageBreakBefore/>
      </w:pPr>
      <w:bookmarkStart w:id="7646" w:name="_Toc189988184"/>
      <w:bookmarkStart w:id="7647" w:name="_Toc192041767"/>
      <w:bookmarkStart w:id="7648" w:name="_Toc199571001"/>
      <w:bookmarkStart w:id="7649" w:name="_Toc199739000"/>
      <w:bookmarkStart w:id="7650" w:name="_Toc199815101"/>
      <w:bookmarkStart w:id="7651" w:name="_Toc215040908"/>
      <w:bookmarkStart w:id="7652" w:name="_Toc215041353"/>
      <w:bookmarkStart w:id="7653" w:name="_Toc222129561"/>
      <w:bookmarkStart w:id="7654" w:name="_Toc222223266"/>
      <w:bookmarkStart w:id="7655" w:name="_Toc225914518"/>
      <w:bookmarkStart w:id="7656" w:name="_Toc231282563"/>
      <w:bookmarkStart w:id="7657" w:name="_Toc231283007"/>
      <w:bookmarkStart w:id="7658" w:name="_Toc234899597"/>
      <w:bookmarkStart w:id="7659" w:name="_Toc236632879"/>
      <w:bookmarkStart w:id="7660" w:name="_Toc236720492"/>
      <w:bookmarkStart w:id="7661" w:name="_Toc237764691"/>
      <w:bookmarkStart w:id="7662" w:name="_Toc238356315"/>
      <w:bookmarkStart w:id="7663" w:name="_Toc238369020"/>
      <w:bookmarkStart w:id="7664" w:name="_Toc238375973"/>
      <w:bookmarkStart w:id="7665" w:name="_Toc240339297"/>
      <w:bookmarkStart w:id="7666" w:name="_Toc241993803"/>
      <w:bookmarkStart w:id="7667" w:name="_Toc243192946"/>
      <w:bookmarkStart w:id="7668" w:name="_Toc243295648"/>
      <w:bookmarkStart w:id="7669" w:name="_Toc245113221"/>
      <w:bookmarkStart w:id="7670" w:name="_Toc245198383"/>
      <w:bookmarkStart w:id="7671" w:name="_Toc245198832"/>
      <w:bookmarkStart w:id="7672" w:name="_Toc245199281"/>
      <w:bookmarkStart w:id="7673" w:name="_Toc248122312"/>
      <w:bookmarkStart w:id="7674" w:name="_Toc248122763"/>
      <w:bookmarkStart w:id="7675" w:name="_Toc253670750"/>
      <w:bookmarkStart w:id="7676" w:name="_Toc253671200"/>
      <w:bookmarkStart w:id="7677" w:name="_Toc254942974"/>
      <w:bookmarkStart w:id="7678" w:name="_Toc254943427"/>
      <w:bookmarkStart w:id="7679" w:name="_Toc255476019"/>
      <w:bookmarkStart w:id="7680" w:name="_Toc256432340"/>
      <w:bookmarkStart w:id="7681" w:name="_Toc257720677"/>
      <w:bookmarkStart w:id="7682" w:name="_Toc257722359"/>
      <w:bookmarkStart w:id="7683" w:name="_Toc258336035"/>
      <w:bookmarkStart w:id="7684" w:name="_Toc260406477"/>
      <w:bookmarkStart w:id="7685" w:name="_Toc261271663"/>
      <w:bookmarkStart w:id="7686" w:name="_Toc262808345"/>
      <w:bookmarkStart w:id="7687" w:name="_Toc267572738"/>
      <w:bookmarkStart w:id="7688" w:name="_Toc270684487"/>
      <w:bookmarkStart w:id="7689" w:name="_Toc274214664"/>
      <w:bookmarkStart w:id="7690" w:name="_Toc274215113"/>
      <w:bookmarkStart w:id="7691" w:name="_Toc278976444"/>
      <w:bookmarkStart w:id="7692" w:name="_Toc286760765"/>
      <w:bookmarkStart w:id="7693" w:name="_Toc289081110"/>
      <w:bookmarkStart w:id="7694" w:name="_Toc290284304"/>
      <w:bookmarkStart w:id="7695" w:name="_Toc290643125"/>
      <w:bookmarkStart w:id="7696" w:name="_Toc290643574"/>
      <w:bookmarkStart w:id="7697" w:name="_Toc290644027"/>
      <w:bookmarkStart w:id="7698" w:name="_Toc294701844"/>
      <w:bookmarkStart w:id="7699" w:name="_Toc295200252"/>
      <w:bookmarkStart w:id="7700" w:name="_Toc296954693"/>
      <w:bookmarkStart w:id="7701" w:name="_Toc297276328"/>
      <w:bookmarkStart w:id="7702" w:name="_Toc297276780"/>
      <w:bookmarkStart w:id="7703" w:name="_Toc297277230"/>
      <w:bookmarkStart w:id="7704" w:name="_Toc297726599"/>
      <w:bookmarkStart w:id="7705" w:name="_Toc299980385"/>
      <w:bookmarkStart w:id="7706" w:name="_Toc300235011"/>
      <w:bookmarkStart w:id="7707" w:name="_Toc301961514"/>
      <w:bookmarkStart w:id="7708" w:name="_Toc301967084"/>
      <w:bookmarkStart w:id="7709" w:name="_Toc303253293"/>
      <w:bookmarkStart w:id="7710" w:name="_Toc303257457"/>
      <w:bookmarkStart w:id="7711" w:name="_Toc307993090"/>
      <w:bookmarkStart w:id="7712" w:name="_Toc309030123"/>
      <w:bookmarkStart w:id="7713" w:name="_Toc309304346"/>
      <w:bookmarkStart w:id="7714" w:name="_Toc309309623"/>
      <w:r>
        <w:t>Division 2 — Grouped bag limit of 16 fish</w:t>
      </w:r>
      <w:bookmarkEnd w:id="7646"/>
      <w:bookmarkEnd w:id="7647"/>
      <w:bookmarkEnd w:id="7648"/>
      <w:bookmarkEnd w:id="7649"/>
      <w:bookmarkEnd w:id="7650"/>
      <w:bookmarkEnd w:id="7651"/>
      <w:bookmarkEnd w:id="7652"/>
      <w:bookmarkEnd w:id="7653"/>
      <w:bookmarkEnd w:id="7654"/>
      <w:bookmarkEnd w:id="7655"/>
      <w:bookmarkEnd w:id="7656"/>
      <w:bookmarkEnd w:id="7657"/>
      <w:bookmarkEnd w:id="7658"/>
      <w:bookmarkEnd w:id="7659"/>
      <w:bookmarkEnd w:id="7660"/>
      <w:bookmarkEnd w:id="7661"/>
      <w:bookmarkEnd w:id="7662"/>
      <w:bookmarkEnd w:id="7663"/>
      <w:bookmarkEnd w:id="7664"/>
      <w:bookmarkEnd w:id="7665"/>
      <w:bookmarkEnd w:id="7666"/>
      <w:bookmarkEnd w:id="7667"/>
      <w:bookmarkEnd w:id="7668"/>
      <w:bookmarkEnd w:id="7669"/>
      <w:bookmarkEnd w:id="7670"/>
      <w:bookmarkEnd w:id="7671"/>
      <w:bookmarkEnd w:id="7672"/>
      <w:bookmarkEnd w:id="7673"/>
      <w:bookmarkEnd w:id="7674"/>
      <w:bookmarkEnd w:id="7675"/>
      <w:bookmarkEnd w:id="7676"/>
      <w:bookmarkEnd w:id="7677"/>
      <w:bookmarkEnd w:id="7678"/>
      <w:bookmarkEnd w:id="7679"/>
      <w:bookmarkEnd w:id="7680"/>
      <w:bookmarkEnd w:id="7681"/>
      <w:bookmarkEnd w:id="7682"/>
      <w:bookmarkEnd w:id="7683"/>
      <w:bookmarkEnd w:id="7684"/>
      <w:bookmarkEnd w:id="7685"/>
      <w:bookmarkEnd w:id="7686"/>
      <w:bookmarkEnd w:id="7687"/>
      <w:bookmarkEnd w:id="7688"/>
      <w:bookmarkEnd w:id="7689"/>
      <w:bookmarkEnd w:id="7690"/>
      <w:bookmarkEnd w:id="7691"/>
      <w:bookmarkEnd w:id="7692"/>
      <w:bookmarkEnd w:id="7693"/>
      <w:bookmarkEnd w:id="7694"/>
      <w:bookmarkEnd w:id="7695"/>
      <w:bookmarkEnd w:id="7696"/>
      <w:bookmarkEnd w:id="7697"/>
      <w:bookmarkEnd w:id="7698"/>
      <w:bookmarkEnd w:id="7699"/>
      <w:bookmarkEnd w:id="7700"/>
      <w:bookmarkEnd w:id="7701"/>
      <w:bookmarkEnd w:id="7702"/>
      <w:bookmarkEnd w:id="7703"/>
      <w:bookmarkEnd w:id="7704"/>
      <w:bookmarkEnd w:id="7705"/>
      <w:bookmarkEnd w:id="7706"/>
      <w:bookmarkEnd w:id="7707"/>
      <w:bookmarkEnd w:id="7708"/>
      <w:bookmarkEnd w:id="7709"/>
      <w:bookmarkEnd w:id="7710"/>
      <w:bookmarkEnd w:id="7711"/>
      <w:bookmarkEnd w:id="7712"/>
      <w:bookmarkEnd w:id="7713"/>
      <w:bookmarkEnd w:id="7714"/>
    </w:p>
    <w:p>
      <w:pPr>
        <w:pStyle w:val="yFootnoteheading"/>
        <w:keepNext/>
        <w:spacing w:after="120"/>
      </w:pPr>
      <w:r>
        <w:tab/>
        <w:t>[Heading inserted in Gazette 22 Dec 2005 p. 6232.]</w:t>
      </w:r>
    </w:p>
    <w:tbl>
      <w:tblPr>
        <w:tblW w:w="7052" w:type="dxa"/>
        <w:tblInd w:w="113" w:type="dxa"/>
        <w:tblLayout w:type="fixed"/>
        <w:tblCellMar>
          <w:left w:w="113" w:type="dxa"/>
          <w:right w:w="113" w:type="dxa"/>
        </w:tblCellMar>
        <w:tblLook w:val="0000" w:firstRow="0" w:lastRow="0" w:firstColumn="0" w:lastColumn="0" w:noHBand="0" w:noVBand="0"/>
      </w:tblPr>
      <w:tblGrid>
        <w:gridCol w:w="4292"/>
        <w:gridCol w:w="840"/>
        <w:gridCol w:w="480"/>
        <w:gridCol w:w="1440"/>
      </w:tblGrid>
      <w:tr>
        <w:trPr>
          <w:cantSplit/>
          <w:tblHeader/>
        </w:trPr>
        <w:tc>
          <w:tcPr>
            <w:tcW w:w="4292"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rPr>
                <w:b/>
                <w:bCs/>
              </w:rPr>
            </w:pPr>
            <w:r>
              <w:rPr>
                <w:b/>
                <w:bCs/>
              </w:rPr>
              <w:t>Fish</w:t>
            </w:r>
          </w:p>
        </w:tc>
        <w:tc>
          <w:tcPr>
            <w:tcW w:w="1320" w:type="dxa"/>
            <w:gridSpan w:val="2"/>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rPr>
                <w:b/>
                <w:bCs/>
              </w:rPr>
            </w:pPr>
            <w:r>
              <w:rPr>
                <w:b/>
                <w:bCs/>
              </w:rPr>
              <w:t>Species, or group of species, bag limit for one day</w:t>
            </w:r>
          </w:p>
        </w:tc>
        <w:tc>
          <w:tcPr>
            <w:tcW w:w="1440"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rPr>
                <w:b/>
                <w:bCs/>
              </w:rPr>
            </w:pPr>
            <w:r>
              <w:rPr>
                <w:b/>
                <w:bCs/>
              </w:rPr>
              <w:t>Grouped bag limit of all species in the Division for one day</w:t>
            </w:r>
          </w:p>
        </w:tc>
      </w:tr>
      <w:tr>
        <w:trPr>
          <w:cantSplit/>
        </w:trPr>
        <w:tc>
          <w:tcPr>
            <w:tcW w:w="4292" w:type="dxa"/>
            <w:tcBorders>
              <w:top w:val="single" w:sz="8" w:space="0" w:color="auto"/>
            </w:tcBorders>
            <w:tcMar>
              <w:left w:w="85" w:type="dxa"/>
              <w:right w:w="113" w:type="dxa"/>
            </w:tcMar>
          </w:tcPr>
          <w:p>
            <w:pPr>
              <w:pStyle w:val="yTableNAm"/>
              <w:tabs>
                <w:tab w:val="clear" w:pos="567"/>
                <w:tab w:val="right" w:leader="dot" w:pos="4087"/>
              </w:tabs>
              <w:spacing w:before="0"/>
              <w:ind w:left="196" w:hanging="196"/>
            </w:pPr>
            <w:r>
              <w:t xml:space="preserve">Barracuda </w:t>
            </w:r>
            <w:r>
              <w:tab/>
            </w:r>
          </w:p>
        </w:tc>
        <w:tc>
          <w:tcPr>
            <w:tcW w:w="840" w:type="dxa"/>
            <w:tcBorders>
              <w:top w:val="single" w:sz="8" w:space="0" w:color="auto"/>
            </w:tcBorders>
            <w:tcMar>
              <w:left w:w="85" w:type="dxa"/>
              <w:right w:w="113" w:type="dxa"/>
            </w:tcMar>
          </w:tcPr>
          <w:p>
            <w:pPr>
              <w:pStyle w:val="yTableNAm"/>
              <w:tabs>
                <w:tab w:val="clear" w:pos="567"/>
                <w:tab w:val="left" w:leader="dot" w:pos="3796"/>
              </w:tabs>
              <w:spacing w:before="0"/>
            </w:pPr>
            <w:r>
              <w:t>4</w:t>
            </w:r>
          </w:p>
        </w:tc>
        <w:tc>
          <w:tcPr>
            <w:tcW w:w="480" w:type="dxa"/>
            <w:vMerge w:val="restart"/>
            <w:tcBorders>
              <w:top w:val="single" w:sz="8" w:space="0" w:color="auto"/>
            </w:tcBorders>
            <w:tcMar>
              <w:left w:w="85" w:type="dxa"/>
              <w:right w:w="113" w:type="dxa"/>
            </w:tcMar>
          </w:tcPr>
          <w:p>
            <w:pPr>
              <w:pStyle w:val="yTableNAm"/>
              <w:tabs>
                <w:tab w:val="clear" w:pos="567"/>
                <w:tab w:val="left" w:leader="dot" w:pos="3796"/>
              </w:tabs>
              <w:spacing w:before="0"/>
            </w:pPr>
            <w:r>
              <w:rPr>
                <w:noProof/>
                <w:lang w:eastAsia="en-AU"/>
              </w:rPr>
              <w:drawing>
                <wp:inline distT="0" distB="0" distL="0" distR="0">
                  <wp:extent cx="123825" cy="3905250"/>
                  <wp:effectExtent l="0" t="0" r="952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3825" cy="3905250"/>
                          </a:xfrm>
                          <a:prstGeom prst="rect">
                            <a:avLst/>
                          </a:prstGeom>
                          <a:noFill/>
                          <a:ln>
                            <a:noFill/>
                          </a:ln>
                        </pic:spPr>
                      </pic:pic>
                    </a:graphicData>
                  </a:graphic>
                </wp:inline>
              </w:drawing>
            </w:r>
          </w:p>
        </w:tc>
        <w:tc>
          <w:tcPr>
            <w:tcW w:w="1440" w:type="dxa"/>
            <w:vMerge w:val="restart"/>
            <w:tcBorders>
              <w:top w:val="single" w:sz="8" w:space="0" w:color="auto"/>
            </w:tcBorders>
            <w:tcMar>
              <w:left w:w="85" w:type="dxa"/>
              <w:right w:w="113" w:type="dxa"/>
            </w:tcMar>
          </w:tcPr>
          <w:p>
            <w:pPr>
              <w:pStyle w:val="yTableNAm"/>
              <w:tabs>
                <w:tab w:val="clear" w:pos="567"/>
                <w:tab w:val="left" w:leader="dot" w:pos="3796"/>
              </w:tabs>
              <w:spacing w:before="160"/>
            </w:pPr>
            <w:r>
              <w:br/>
            </w:r>
            <w:r>
              <w:br/>
            </w:r>
            <w:r>
              <w:br/>
            </w:r>
            <w:r>
              <w:br/>
            </w:r>
            <w:r>
              <w:br/>
            </w:r>
            <w:r>
              <w:br/>
            </w:r>
            <w:r>
              <w:br/>
            </w:r>
            <w:r>
              <w:br/>
            </w:r>
            <w:r>
              <w:br/>
            </w:r>
            <w:r>
              <w:br/>
            </w:r>
            <w:r>
              <w:br/>
              <w:t>16</w:t>
            </w: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Bonefish and Herring, Giant (combined) </w:t>
            </w:r>
            <w:r>
              <w:tab/>
            </w:r>
          </w:p>
        </w:tc>
        <w:tc>
          <w:tcPr>
            <w:tcW w:w="840" w:type="dxa"/>
            <w:tcMar>
              <w:left w:w="85" w:type="dxa"/>
              <w:right w:w="113" w:type="dxa"/>
            </w:tcMar>
          </w:tcPr>
          <w:p>
            <w:pPr>
              <w:pStyle w:val="yTableNAm"/>
              <w:tabs>
                <w:tab w:val="clear" w:pos="567"/>
                <w:tab w:val="left" w:leader="dot" w:pos="3796"/>
              </w:tabs>
              <w:spacing w:before="0"/>
            </w:pPr>
            <w:r>
              <w:t>4</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Bonito, Leaping and Oriental and any Tuna (combined) </w:t>
            </w:r>
            <w:r>
              <w:tab/>
            </w:r>
          </w:p>
        </w:tc>
        <w:tc>
          <w:tcPr>
            <w:tcW w:w="840" w:type="dxa"/>
            <w:tcMar>
              <w:left w:w="85" w:type="dxa"/>
              <w:right w:w="113" w:type="dxa"/>
            </w:tcMar>
          </w:tcPr>
          <w:p>
            <w:pPr>
              <w:pStyle w:val="yTableNAm"/>
              <w:tabs>
                <w:tab w:val="clear" w:pos="567"/>
                <w:tab w:val="left" w:leader="dot" w:pos="3796"/>
              </w:tabs>
              <w:spacing w:before="0"/>
            </w:pPr>
            <w:r>
              <w:b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Bream, Northwest</w:t>
            </w:r>
            <w:r>
              <w:noBreakHyphen/>
              <w:t xml:space="preserve">Black and Yellowfin (combined) </w:t>
            </w:r>
            <w:r>
              <w:tab/>
            </w:r>
          </w:p>
        </w:tc>
        <w:tc>
          <w:tcPr>
            <w:tcW w:w="840" w:type="dxa"/>
            <w:tcMar>
              <w:left w:w="85" w:type="dxa"/>
              <w:right w:w="113" w:type="dxa"/>
            </w:tcMar>
          </w:tcPr>
          <w:p>
            <w:pPr>
              <w:pStyle w:val="yTableNAm"/>
              <w:tabs>
                <w:tab w:val="clear" w:pos="567"/>
                <w:tab w:val="left" w:leader="dot" w:pos="3796"/>
              </w:tabs>
              <w:spacing w:before="0"/>
            </w:pPr>
            <w:r>
              <w:b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Catfish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Dart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Flathead and Flounder (combined)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Goatfish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Grunter, Sooty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Javelinfish and Sweetlips (combined)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Leatherjacket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Mackerel, Australian Spotted and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(combined) </w:t>
            </w:r>
            <w:r>
              <w:tab/>
            </w:r>
          </w:p>
        </w:tc>
        <w:tc>
          <w:tcPr>
            <w:tcW w:w="840" w:type="dxa"/>
            <w:tcMar>
              <w:left w:w="85" w:type="dxa"/>
              <w:right w:w="113" w:type="dxa"/>
            </w:tcMar>
          </w:tcPr>
          <w:p>
            <w:pPr>
              <w:pStyle w:val="yTableNAm"/>
              <w:tabs>
                <w:tab w:val="clear" w:pos="567"/>
                <w:tab w:val="left" w:leader="dot" w:pos="3796"/>
              </w:tabs>
              <w:spacing w:before="0"/>
            </w:pPr>
            <w:r>
              <w:br/>
              <w:t>4</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Queenfish </w:t>
            </w:r>
            <w:r>
              <w:tab/>
            </w:r>
          </w:p>
        </w:tc>
        <w:tc>
          <w:tcPr>
            <w:tcW w:w="840" w:type="dxa"/>
            <w:tcMar>
              <w:left w:w="85" w:type="dxa"/>
              <w:right w:w="113" w:type="dxa"/>
            </w:tcMar>
          </w:tcPr>
          <w:p>
            <w:pPr>
              <w:pStyle w:val="yTableNAm"/>
              <w:tabs>
                <w:tab w:val="clear" w:pos="567"/>
                <w:tab w:val="left" w:leader="dot" w:pos="3796"/>
              </w:tabs>
              <w:spacing w:before="0"/>
            </w:pPr>
            <w:r>
              <w:t>4</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Sea Perch, Tropical, except Crimson and Scarlet (combined) </w:t>
            </w:r>
            <w:r>
              <w:tab/>
            </w:r>
          </w:p>
        </w:tc>
        <w:tc>
          <w:tcPr>
            <w:tcW w:w="840" w:type="dxa"/>
            <w:tcMar>
              <w:left w:w="85" w:type="dxa"/>
              <w:right w:w="113" w:type="dxa"/>
            </w:tcMar>
          </w:tcPr>
          <w:p>
            <w:pPr>
              <w:pStyle w:val="yTableNAm"/>
              <w:tabs>
                <w:tab w:val="clear" w:pos="567"/>
                <w:tab w:val="left" w:leader="dot" w:pos="3796"/>
              </w:tabs>
              <w:spacing w:before="0"/>
            </w:pPr>
            <w:r>
              <w:br/>
              <w:t>4</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Snook and Pike, Long</w:t>
            </w:r>
            <w:r>
              <w:noBreakHyphen/>
              <w:t xml:space="preserve">finned and </w:t>
            </w:r>
            <w:smartTag w:uri="urn:schemas-microsoft-com:office:smarttags" w:element="place">
              <w:smartTag w:uri="urn:schemas-microsoft-com:office:smarttags" w:element="PlaceName">
                <w:r>
                  <w:t>Striped</w:t>
                </w:r>
              </w:smartTag>
              <w:r>
                <w:t xml:space="preserve"> </w:t>
              </w:r>
              <w:smartTag w:uri="urn:schemas-microsoft-com:office:smarttags" w:element="PlaceType">
                <w:r>
                  <w:t>Sea</w:t>
                </w:r>
              </w:smartTag>
            </w:smartTag>
            <w:r>
              <w:t xml:space="preserve"> (combined) </w:t>
            </w:r>
            <w:r>
              <w:tab/>
            </w:r>
          </w:p>
        </w:tc>
        <w:tc>
          <w:tcPr>
            <w:tcW w:w="840" w:type="dxa"/>
            <w:tcMar>
              <w:left w:w="85" w:type="dxa"/>
              <w:right w:w="113" w:type="dxa"/>
            </w:tcMar>
          </w:tcPr>
          <w:p>
            <w:pPr>
              <w:pStyle w:val="yTableNAm"/>
              <w:tabs>
                <w:tab w:val="clear" w:pos="567"/>
                <w:tab w:val="left" w:leader="dot" w:pos="3796"/>
              </w:tabs>
              <w:spacing w:before="0"/>
            </w:pPr>
            <w:r>
              <w:b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Tarwhine </w:t>
            </w:r>
            <w:r>
              <w:tab/>
            </w:r>
          </w:p>
        </w:tc>
        <w:tc>
          <w:tcPr>
            <w:tcW w:w="840" w:type="dxa"/>
            <w:tcMar>
              <w:left w:w="85" w:type="dxa"/>
              <w:right w:w="113" w:type="dxa"/>
            </w:tcMar>
          </w:tcPr>
          <w:p>
            <w:pPr>
              <w:pStyle w:val="yTableNAm"/>
              <w:tabs>
                <w:tab w:val="clear" w:pos="567"/>
                <w:tab w:val="left" w:leader="dot" w:pos="3796"/>
              </w:tabs>
              <w:spacing w:before="0"/>
            </w:pPr>
            <w:r>
              <w:t>16</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Threadfin, Blue and any other Threadfin, except Giant (combined) </w:t>
            </w:r>
            <w:r>
              <w:tab/>
            </w:r>
          </w:p>
        </w:tc>
        <w:tc>
          <w:tcPr>
            <w:tcW w:w="840" w:type="dxa"/>
            <w:tcMar>
              <w:left w:w="85" w:type="dxa"/>
              <w:right w:w="113" w:type="dxa"/>
            </w:tcMar>
          </w:tcPr>
          <w:p>
            <w:pPr>
              <w:pStyle w:val="yTableNAm"/>
              <w:tabs>
                <w:tab w:val="clear" w:pos="567"/>
                <w:tab w:val="left" w:leader="dot" w:pos="3796"/>
              </w:tabs>
              <w:spacing w:before="0"/>
            </w:pPr>
            <w:r>
              <w:br/>
              <w:t>4</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Borders>
              <w:bottom w:val="single" w:sz="8" w:space="0" w:color="auto"/>
            </w:tcBorders>
            <w:tcMar>
              <w:left w:w="85" w:type="dxa"/>
              <w:right w:w="113" w:type="dxa"/>
            </w:tcMar>
          </w:tcPr>
          <w:p>
            <w:pPr>
              <w:pStyle w:val="yTableNAm"/>
              <w:tabs>
                <w:tab w:val="clear" w:pos="567"/>
                <w:tab w:val="right" w:leader="dot" w:pos="4087"/>
              </w:tabs>
              <w:spacing w:before="0"/>
              <w:ind w:left="196" w:hanging="196"/>
            </w:pPr>
            <w:r>
              <w:t xml:space="preserve">Trevally (combined) </w:t>
            </w:r>
            <w:r>
              <w:tab/>
            </w:r>
          </w:p>
        </w:tc>
        <w:tc>
          <w:tcPr>
            <w:tcW w:w="840" w:type="dxa"/>
            <w:tcBorders>
              <w:bottom w:val="single" w:sz="8" w:space="0" w:color="auto"/>
            </w:tcBorders>
            <w:tcMar>
              <w:left w:w="85" w:type="dxa"/>
              <w:right w:w="113" w:type="dxa"/>
            </w:tcMar>
          </w:tcPr>
          <w:p>
            <w:pPr>
              <w:pStyle w:val="yTableNAm"/>
              <w:tabs>
                <w:tab w:val="clear" w:pos="567"/>
                <w:tab w:val="left" w:leader="dot" w:pos="3796"/>
              </w:tabs>
              <w:spacing w:before="0"/>
            </w:pPr>
            <w:r>
              <w:t>4</w:t>
            </w:r>
          </w:p>
        </w:tc>
        <w:tc>
          <w:tcPr>
            <w:tcW w:w="480" w:type="dxa"/>
            <w:vMerge/>
            <w:tcBorders>
              <w:bottom w:val="single" w:sz="8" w:space="0" w:color="auto"/>
            </w:tcBorders>
            <w:tcMar>
              <w:left w:w="85" w:type="dxa"/>
              <w:right w:w="113" w:type="dxa"/>
            </w:tcMar>
          </w:tcPr>
          <w:p>
            <w:pPr>
              <w:pStyle w:val="yTableNAm"/>
              <w:tabs>
                <w:tab w:val="clear" w:pos="567"/>
                <w:tab w:val="left" w:leader="dot" w:pos="3796"/>
              </w:tabs>
              <w:spacing w:before="0"/>
            </w:pPr>
          </w:p>
        </w:tc>
        <w:tc>
          <w:tcPr>
            <w:tcW w:w="1440" w:type="dxa"/>
            <w:vMerge/>
            <w:tcBorders>
              <w:bottom w:val="single" w:sz="8" w:space="0" w:color="auto"/>
            </w:tcBorders>
            <w:tcMar>
              <w:left w:w="85" w:type="dxa"/>
              <w:right w:w="113" w:type="dxa"/>
            </w:tcMar>
          </w:tcPr>
          <w:p>
            <w:pPr>
              <w:pStyle w:val="yTableNAm"/>
              <w:tabs>
                <w:tab w:val="clear" w:pos="567"/>
                <w:tab w:val="left" w:leader="dot" w:pos="3796"/>
              </w:tabs>
              <w:spacing w:before="0"/>
            </w:pPr>
          </w:p>
        </w:tc>
      </w:tr>
    </w:tbl>
    <w:p>
      <w:pPr>
        <w:pStyle w:val="yFootnotesection"/>
      </w:pPr>
      <w:r>
        <w:tab/>
        <w:t>[Division 2 inserted in Gazette 22 Dec 2005 p. 6232.]</w:t>
      </w:r>
    </w:p>
    <w:p>
      <w:pPr>
        <w:pStyle w:val="yHeading3"/>
        <w:pageBreakBefore/>
      </w:pPr>
      <w:bookmarkStart w:id="7715" w:name="_Toc189988185"/>
      <w:bookmarkStart w:id="7716" w:name="_Toc192041768"/>
      <w:bookmarkStart w:id="7717" w:name="_Toc199571002"/>
      <w:bookmarkStart w:id="7718" w:name="_Toc199739001"/>
      <w:bookmarkStart w:id="7719" w:name="_Toc199815102"/>
      <w:bookmarkStart w:id="7720" w:name="_Toc215040909"/>
      <w:bookmarkStart w:id="7721" w:name="_Toc215041354"/>
      <w:bookmarkStart w:id="7722" w:name="_Toc222129562"/>
      <w:bookmarkStart w:id="7723" w:name="_Toc222223267"/>
      <w:bookmarkStart w:id="7724" w:name="_Toc225914519"/>
      <w:bookmarkStart w:id="7725" w:name="_Toc231282564"/>
      <w:bookmarkStart w:id="7726" w:name="_Toc231283008"/>
      <w:bookmarkStart w:id="7727" w:name="_Toc234899598"/>
      <w:bookmarkStart w:id="7728" w:name="_Toc236632880"/>
      <w:bookmarkStart w:id="7729" w:name="_Toc236720493"/>
      <w:bookmarkStart w:id="7730" w:name="_Toc237764692"/>
      <w:bookmarkStart w:id="7731" w:name="_Toc238356316"/>
      <w:bookmarkStart w:id="7732" w:name="_Toc238369021"/>
      <w:bookmarkStart w:id="7733" w:name="_Toc238375974"/>
      <w:bookmarkStart w:id="7734" w:name="_Toc240339298"/>
      <w:bookmarkStart w:id="7735" w:name="_Toc241993804"/>
      <w:bookmarkStart w:id="7736" w:name="_Toc243192947"/>
      <w:bookmarkStart w:id="7737" w:name="_Toc243295649"/>
      <w:bookmarkStart w:id="7738" w:name="_Toc245113222"/>
      <w:bookmarkStart w:id="7739" w:name="_Toc245198384"/>
      <w:bookmarkStart w:id="7740" w:name="_Toc245198833"/>
      <w:bookmarkStart w:id="7741" w:name="_Toc245199282"/>
      <w:bookmarkStart w:id="7742" w:name="_Toc248122313"/>
      <w:bookmarkStart w:id="7743" w:name="_Toc248122764"/>
      <w:bookmarkStart w:id="7744" w:name="_Toc253670751"/>
      <w:bookmarkStart w:id="7745" w:name="_Toc253671201"/>
      <w:bookmarkStart w:id="7746" w:name="_Toc254942975"/>
      <w:bookmarkStart w:id="7747" w:name="_Toc254943428"/>
      <w:bookmarkStart w:id="7748" w:name="_Toc255476020"/>
      <w:bookmarkStart w:id="7749" w:name="_Toc256432341"/>
      <w:bookmarkStart w:id="7750" w:name="_Toc257720678"/>
      <w:bookmarkStart w:id="7751" w:name="_Toc257722360"/>
      <w:bookmarkStart w:id="7752" w:name="_Toc258336036"/>
      <w:bookmarkStart w:id="7753" w:name="_Toc260406478"/>
      <w:bookmarkStart w:id="7754" w:name="_Toc261271664"/>
      <w:bookmarkStart w:id="7755" w:name="_Toc262808346"/>
      <w:bookmarkStart w:id="7756" w:name="_Toc267572739"/>
      <w:bookmarkStart w:id="7757" w:name="_Toc270684488"/>
      <w:bookmarkStart w:id="7758" w:name="_Toc274214665"/>
      <w:bookmarkStart w:id="7759" w:name="_Toc274215114"/>
      <w:bookmarkStart w:id="7760" w:name="_Toc278976445"/>
      <w:bookmarkStart w:id="7761" w:name="_Toc286760766"/>
      <w:bookmarkStart w:id="7762" w:name="_Toc289081111"/>
      <w:bookmarkStart w:id="7763" w:name="_Toc290284305"/>
      <w:bookmarkStart w:id="7764" w:name="_Toc290643126"/>
      <w:bookmarkStart w:id="7765" w:name="_Toc290643575"/>
      <w:bookmarkStart w:id="7766" w:name="_Toc290644028"/>
      <w:bookmarkStart w:id="7767" w:name="_Toc294701845"/>
      <w:bookmarkStart w:id="7768" w:name="_Toc295200253"/>
      <w:bookmarkStart w:id="7769" w:name="_Toc296954694"/>
      <w:bookmarkStart w:id="7770" w:name="_Toc297276329"/>
      <w:bookmarkStart w:id="7771" w:name="_Toc297276781"/>
      <w:bookmarkStart w:id="7772" w:name="_Toc297277231"/>
      <w:bookmarkStart w:id="7773" w:name="_Toc297726600"/>
      <w:bookmarkStart w:id="7774" w:name="_Toc299980386"/>
      <w:bookmarkStart w:id="7775" w:name="_Toc300235012"/>
      <w:bookmarkStart w:id="7776" w:name="_Toc301961515"/>
      <w:bookmarkStart w:id="7777" w:name="_Toc301967085"/>
      <w:bookmarkStart w:id="7778" w:name="_Toc303253294"/>
      <w:bookmarkStart w:id="7779" w:name="_Toc303257458"/>
      <w:bookmarkStart w:id="7780" w:name="_Toc307993091"/>
      <w:bookmarkStart w:id="7781" w:name="_Toc309030124"/>
      <w:bookmarkStart w:id="7782" w:name="_Toc309304347"/>
      <w:bookmarkStart w:id="7783" w:name="_Toc309309624"/>
      <w:r>
        <w:t>Division 3 — Low risk finfish — grouped bag limit of 40 fish</w:t>
      </w:r>
      <w:bookmarkEnd w:id="7715"/>
      <w:bookmarkEnd w:id="7716"/>
      <w:bookmarkEnd w:id="7717"/>
      <w:bookmarkEnd w:id="7718"/>
      <w:bookmarkEnd w:id="7719"/>
      <w:bookmarkEnd w:id="7720"/>
      <w:bookmarkEnd w:id="7721"/>
      <w:bookmarkEnd w:id="7722"/>
      <w:bookmarkEnd w:id="7723"/>
      <w:bookmarkEnd w:id="7724"/>
      <w:bookmarkEnd w:id="7725"/>
      <w:bookmarkEnd w:id="7726"/>
      <w:bookmarkEnd w:id="7727"/>
      <w:bookmarkEnd w:id="7728"/>
      <w:bookmarkEnd w:id="7729"/>
      <w:bookmarkEnd w:id="7730"/>
      <w:bookmarkEnd w:id="7731"/>
      <w:bookmarkEnd w:id="7732"/>
      <w:bookmarkEnd w:id="7733"/>
      <w:bookmarkEnd w:id="7734"/>
      <w:bookmarkEnd w:id="7735"/>
      <w:bookmarkEnd w:id="7736"/>
      <w:bookmarkEnd w:id="7737"/>
      <w:bookmarkEnd w:id="7738"/>
      <w:bookmarkEnd w:id="7739"/>
      <w:bookmarkEnd w:id="7740"/>
      <w:bookmarkEnd w:id="7741"/>
      <w:bookmarkEnd w:id="7742"/>
      <w:bookmarkEnd w:id="7743"/>
      <w:bookmarkEnd w:id="7744"/>
      <w:bookmarkEnd w:id="7745"/>
      <w:bookmarkEnd w:id="7746"/>
      <w:bookmarkEnd w:id="7747"/>
      <w:bookmarkEnd w:id="7748"/>
      <w:bookmarkEnd w:id="7749"/>
      <w:bookmarkEnd w:id="7750"/>
      <w:bookmarkEnd w:id="7751"/>
      <w:bookmarkEnd w:id="7752"/>
      <w:bookmarkEnd w:id="7753"/>
      <w:bookmarkEnd w:id="7754"/>
      <w:bookmarkEnd w:id="7755"/>
      <w:bookmarkEnd w:id="7756"/>
      <w:bookmarkEnd w:id="7757"/>
      <w:bookmarkEnd w:id="7758"/>
      <w:bookmarkEnd w:id="7759"/>
      <w:bookmarkEnd w:id="7760"/>
      <w:bookmarkEnd w:id="7761"/>
      <w:bookmarkEnd w:id="7762"/>
      <w:bookmarkEnd w:id="7763"/>
      <w:bookmarkEnd w:id="7764"/>
      <w:bookmarkEnd w:id="7765"/>
      <w:bookmarkEnd w:id="7766"/>
      <w:bookmarkEnd w:id="7767"/>
      <w:bookmarkEnd w:id="7768"/>
      <w:bookmarkEnd w:id="7769"/>
      <w:bookmarkEnd w:id="7770"/>
      <w:bookmarkEnd w:id="7771"/>
      <w:bookmarkEnd w:id="7772"/>
      <w:bookmarkEnd w:id="7773"/>
      <w:bookmarkEnd w:id="7774"/>
      <w:bookmarkEnd w:id="7775"/>
      <w:bookmarkEnd w:id="7776"/>
      <w:bookmarkEnd w:id="7777"/>
      <w:bookmarkEnd w:id="7778"/>
      <w:bookmarkEnd w:id="7779"/>
      <w:bookmarkEnd w:id="7780"/>
      <w:bookmarkEnd w:id="7781"/>
      <w:bookmarkEnd w:id="7782"/>
      <w:bookmarkEnd w:id="7783"/>
    </w:p>
    <w:p>
      <w:pPr>
        <w:pStyle w:val="yFootnoteheading"/>
        <w:keepNext/>
        <w:keepLines/>
        <w:spacing w:after="120"/>
      </w:pPr>
      <w:r>
        <w:tab/>
        <w:t>[Heading inserted in Gazette 22 Dec 2005 p. 6233.]</w:t>
      </w:r>
    </w:p>
    <w:tbl>
      <w:tblPr>
        <w:tblW w:w="0" w:type="auto"/>
        <w:tblInd w:w="113" w:type="dxa"/>
        <w:tblLayout w:type="fixed"/>
        <w:tblCellMar>
          <w:left w:w="113" w:type="dxa"/>
          <w:right w:w="113" w:type="dxa"/>
        </w:tblCellMar>
        <w:tblLook w:val="0000" w:firstRow="0" w:lastRow="0" w:firstColumn="0" w:lastColumn="0" w:noHBand="0" w:noVBand="0"/>
      </w:tblPr>
      <w:tblGrid>
        <w:gridCol w:w="4772"/>
        <w:gridCol w:w="360"/>
        <w:gridCol w:w="1948"/>
      </w:tblGrid>
      <w:tr>
        <w:trPr>
          <w:tblHeader/>
        </w:trPr>
        <w:tc>
          <w:tcPr>
            <w:tcW w:w="5132" w:type="dxa"/>
            <w:gridSpan w:val="2"/>
            <w:tcBorders>
              <w:top w:val="single" w:sz="8" w:space="0" w:color="auto"/>
              <w:bottom w:val="single" w:sz="8" w:space="0" w:color="auto"/>
            </w:tcBorders>
            <w:tcMar>
              <w:left w:w="85" w:type="dxa"/>
            </w:tcMar>
            <w:vAlign w:val="center"/>
          </w:tcPr>
          <w:p>
            <w:pPr>
              <w:pStyle w:val="yTableNAm"/>
              <w:keepNext/>
              <w:keepLines/>
              <w:tabs>
                <w:tab w:val="clear" w:pos="567"/>
                <w:tab w:val="left" w:leader="dot" w:pos="3797"/>
              </w:tabs>
              <w:spacing w:before="0"/>
              <w:rPr>
                <w:b/>
                <w:bCs/>
              </w:rPr>
            </w:pPr>
            <w:r>
              <w:rPr>
                <w:b/>
                <w:bCs/>
              </w:rPr>
              <w:t>Fish</w:t>
            </w:r>
          </w:p>
        </w:tc>
        <w:tc>
          <w:tcPr>
            <w:tcW w:w="1948" w:type="dxa"/>
            <w:tcBorders>
              <w:top w:val="single" w:sz="8" w:space="0" w:color="auto"/>
              <w:bottom w:val="single" w:sz="8" w:space="0" w:color="auto"/>
            </w:tcBorders>
            <w:tcMar>
              <w:left w:w="85" w:type="dxa"/>
            </w:tcMar>
            <w:vAlign w:val="center"/>
          </w:tcPr>
          <w:p>
            <w:pPr>
              <w:pStyle w:val="yTableNAm"/>
              <w:keepNext/>
              <w:keepLines/>
              <w:tabs>
                <w:tab w:val="clear" w:pos="567"/>
                <w:tab w:val="left" w:leader="dot" w:pos="3797"/>
              </w:tabs>
              <w:spacing w:before="0"/>
              <w:rPr>
                <w:b/>
                <w:bCs/>
              </w:rPr>
            </w:pPr>
            <w:r>
              <w:rPr>
                <w:b/>
                <w:bCs/>
              </w:rPr>
              <w:t>Grouped bag limit of all species in the Division for one day</w:t>
            </w:r>
          </w:p>
        </w:tc>
      </w:tr>
      <w:tr>
        <w:tc>
          <w:tcPr>
            <w:tcW w:w="4772" w:type="dxa"/>
            <w:tcBorders>
              <w:top w:val="single" w:sz="8" w:space="0" w:color="auto"/>
            </w:tcBorders>
            <w:tcMar>
              <w:left w:w="85" w:type="dxa"/>
            </w:tcMar>
          </w:tcPr>
          <w:p>
            <w:pPr>
              <w:pStyle w:val="yTableNAm"/>
              <w:tabs>
                <w:tab w:val="clear" w:pos="567"/>
                <w:tab w:val="right" w:leader="dot" w:pos="4574"/>
              </w:tabs>
              <w:spacing w:before="0"/>
              <w:ind w:left="196" w:hanging="196"/>
            </w:pPr>
            <w:r>
              <w:t xml:space="preserve">Garfish </w:t>
            </w:r>
            <w:r>
              <w:tab/>
            </w:r>
          </w:p>
        </w:tc>
        <w:tc>
          <w:tcPr>
            <w:tcW w:w="360" w:type="dxa"/>
            <w:vMerge w:val="restart"/>
            <w:tcBorders>
              <w:top w:val="single" w:sz="8" w:space="0" w:color="auto"/>
              <w:bottom w:val="single" w:sz="8" w:space="0" w:color="auto"/>
            </w:tcBorders>
            <w:tcMar>
              <w:left w:w="85" w:type="dxa"/>
            </w:tcMar>
          </w:tcPr>
          <w:p>
            <w:pPr>
              <w:pStyle w:val="yTableNAm"/>
              <w:keepNext/>
              <w:keepLines/>
              <w:tabs>
                <w:tab w:val="clear" w:pos="567"/>
                <w:tab w:val="left" w:leader="dot" w:pos="3797"/>
              </w:tabs>
              <w:spacing w:before="0"/>
            </w:pPr>
            <w:r>
              <w:rPr>
                <w:noProof/>
                <w:lang w:eastAsia="en-AU"/>
              </w:rPr>
              <w:drawing>
                <wp:inline distT="0" distB="0" distL="0" distR="0">
                  <wp:extent cx="114300" cy="1419225"/>
                  <wp:effectExtent l="0" t="0" r="0"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14300" cy="1419225"/>
                          </a:xfrm>
                          <a:prstGeom prst="rect">
                            <a:avLst/>
                          </a:prstGeom>
                          <a:noFill/>
                          <a:ln>
                            <a:noFill/>
                          </a:ln>
                        </pic:spPr>
                      </pic:pic>
                    </a:graphicData>
                  </a:graphic>
                </wp:inline>
              </w:drawing>
            </w:r>
          </w:p>
        </w:tc>
        <w:tc>
          <w:tcPr>
            <w:tcW w:w="1948" w:type="dxa"/>
            <w:vMerge w:val="restart"/>
            <w:tcBorders>
              <w:top w:val="single" w:sz="8" w:space="0" w:color="auto"/>
            </w:tcBorders>
            <w:tcMar>
              <w:left w:w="85" w:type="dxa"/>
            </w:tcMar>
          </w:tcPr>
          <w:p>
            <w:pPr>
              <w:pStyle w:val="yTableNAm"/>
              <w:keepNext/>
              <w:keepLines/>
              <w:spacing w:before="80"/>
            </w:pPr>
            <w:r>
              <w:rPr>
                <w:sz w:val="20"/>
              </w:rPr>
              <w:br/>
            </w:r>
            <w:r>
              <w:rPr>
                <w:sz w:val="20"/>
              </w:rPr>
              <w:br/>
            </w:r>
            <w:r>
              <w:rPr>
                <w:sz w:val="20"/>
              </w:rPr>
              <w:br/>
            </w:r>
            <w:r>
              <w:rPr>
                <w:sz w:val="20"/>
              </w:rPr>
              <w:br/>
            </w:r>
            <w:r>
              <w:t>40</w:t>
            </w:r>
          </w:p>
        </w:tc>
      </w:tr>
      <w:tr>
        <w:tc>
          <w:tcPr>
            <w:tcW w:w="4772" w:type="dxa"/>
            <w:tcMar>
              <w:left w:w="85" w:type="dxa"/>
            </w:tcMar>
          </w:tcPr>
          <w:p>
            <w:pPr>
              <w:pStyle w:val="yTableNAm"/>
              <w:tabs>
                <w:tab w:val="clear" w:pos="567"/>
                <w:tab w:val="right" w:leader="dot" w:pos="4574"/>
              </w:tabs>
              <w:spacing w:before="0"/>
              <w:ind w:left="196" w:hanging="196"/>
            </w:pPr>
            <w:r>
              <w:t xml:space="preserve">Longtom </w:t>
            </w:r>
            <w:r>
              <w:tab/>
            </w:r>
          </w:p>
        </w:tc>
        <w:tc>
          <w:tcPr>
            <w:tcW w:w="360" w:type="dxa"/>
            <w:vMerge/>
            <w:tcBorders>
              <w:top w:val="single" w:sz="8" w:space="0" w:color="auto"/>
              <w:bottom w:val="single" w:sz="8" w:space="0" w:color="auto"/>
            </w:tcBorders>
            <w:tcMar>
              <w:left w:w="85" w:type="dxa"/>
            </w:tcMar>
          </w:tcPr>
          <w:p>
            <w:pPr>
              <w:pStyle w:val="yTableNAm"/>
              <w:keepNext/>
              <w:keepLines/>
              <w:tabs>
                <w:tab w:val="clear" w:pos="567"/>
                <w:tab w:val="left" w:leader="dot" w:pos="3797"/>
              </w:tabs>
              <w:spacing w:before="0"/>
            </w:pPr>
          </w:p>
        </w:tc>
        <w:tc>
          <w:tcPr>
            <w:tcW w:w="1948" w:type="dxa"/>
            <w:vMerge/>
            <w:tcMar>
              <w:left w:w="85" w:type="dxa"/>
            </w:tcMar>
          </w:tcPr>
          <w:p>
            <w:pPr>
              <w:pStyle w:val="yTableNAm"/>
              <w:keepNext/>
              <w:keepLines/>
            </w:pPr>
          </w:p>
        </w:tc>
      </w:tr>
      <w:tr>
        <w:tc>
          <w:tcPr>
            <w:tcW w:w="4772" w:type="dxa"/>
            <w:tcMar>
              <w:left w:w="85" w:type="dxa"/>
            </w:tcMar>
          </w:tcPr>
          <w:p>
            <w:pPr>
              <w:pStyle w:val="yTableNAm"/>
              <w:tabs>
                <w:tab w:val="clear" w:pos="567"/>
                <w:tab w:val="right" w:leader="dot" w:pos="4574"/>
              </w:tabs>
              <w:spacing w:before="0"/>
              <w:ind w:left="196" w:hanging="196"/>
            </w:pPr>
            <w:r>
              <w:t xml:space="preserve">Milkfish </w:t>
            </w:r>
            <w:r>
              <w:tab/>
            </w:r>
          </w:p>
        </w:tc>
        <w:tc>
          <w:tcPr>
            <w:tcW w:w="360" w:type="dxa"/>
            <w:vMerge/>
            <w:tcBorders>
              <w:top w:val="single" w:sz="8" w:space="0" w:color="auto"/>
              <w:bottom w:val="single" w:sz="8" w:space="0" w:color="auto"/>
            </w:tcBorders>
            <w:tcMar>
              <w:left w:w="85" w:type="dxa"/>
            </w:tcMar>
          </w:tcPr>
          <w:p>
            <w:pPr>
              <w:pStyle w:val="yTableNAm"/>
              <w:keepNext/>
              <w:keepLines/>
              <w:tabs>
                <w:tab w:val="clear" w:pos="567"/>
                <w:tab w:val="left" w:leader="dot" w:pos="3797"/>
              </w:tabs>
              <w:spacing w:before="0"/>
            </w:pPr>
          </w:p>
        </w:tc>
        <w:tc>
          <w:tcPr>
            <w:tcW w:w="1948" w:type="dxa"/>
            <w:vMerge/>
            <w:tcMar>
              <w:left w:w="85" w:type="dxa"/>
            </w:tcMar>
          </w:tcPr>
          <w:p>
            <w:pPr>
              <w:pStyle w:val="yTableNAm"/>
              <w:keepNext/>
              <w:keepLines/>
            </w:pPr>
          </w:p>
        </w:tc>
      </w:tr>
      <w:tr>
        <w:tc>
          <w:tcPr>
            <w:tcW w:w="4772" w:type="dxa"/>
            <w:tcMar>
              <w:left w:w="85" w:type="dxa"/>
            </w:tcMar>
          </w:tcPr>
          <w:p>
            <w:pPr>
              <w:pStyle w:val="yTableNAm"/>
              <w:tabs>
                <w:tab w:val="clear" w:pos="567"/>
                <w:tab w:val="right" w:leader="dot" w:pos="4574"/>
              </w:tabs>
              <w:spacing w:before="0"/>
              <w:ind w:left="196" w:hanging="196"/>
            </w:pPr>
            <w:r>
              <w:t>Mullet, Sea and Yellow</w:t>
            </w:r>
            <w:r>
              <w:noBreakHyphen/>
              <w:t xml:space="preserve">eye </w:t>
            </w:r>
            <w:r>
              <w:tab/>
            </w:r>
          </w:p>
        </w:tc>
        <w:tc>
          <w:tcPr>
            <w:tcW w:w="360" w:type="dxa"/>
            <w:vMerge/>
            <w:tcBorders>
              <w:top w:val="single" w:sz="8" w:space="0" w:color="auto"/>
              <w:bottom w:val="single" w:sz="8" w:space="0" w:color="auto"/>
            </w:tcBorders>
            <w:tcMar>
              <w:left w:w="85" w:type="dxa"/>
            </w:tcMar>
          </w:tcPr>
          <w:p>
            <w:pPr>
              <w:pStyle w:val="yTableNAm"/>
              <w:tabs>
                <w:tab w:val="clear" w:pos="567"/>
                <w:tab w:val="left" w:leader="dot" w:pos="3797"/>
              </w:tabs>
              <w:spacing w:before="0"/>
            </w:pPr>
          </w:p>
        </w:tc>
        <w:tc>
          <w:tcPr>
            <w:tcW w:w="1948" w:type="dxa"/>
            <w:vMerge/>
            <w:tcMar>
              <w:left w:w="85" w:type="dxa"/>
            </w:tcMar>
          </w:tcPr>
          <w:p>
            <w:pPr>
              <w:pStyle w:val="yTableNAm"/>
            </w:pPr>
          </w:p>
        </w:tc>
      </w:tr>
      <w:tr>
        <w:tc>
          <w:tcPr>
            <w:tcW w:w="4772" w:type="dxa"/>
            <w:tcMar>
              <w:left w:w="85" w:type="dxa"/>
            </w:tcMar>
          </w:tcPr>
          <w:p>
            <w:pPr>
              <w:pStyle w:val="yTableNAm"/>
              <w:tabs>
                <w:tab w:val="clear" w:pos="567"/>
                <w:tab w:val="right" w:leader="dot" w:pos="4574"/>
              </w:tabs>
              <w:spacing w:before="0"/>
              <w:ind w:left="196" w:hanging="196"/>
            </w:pPr>
            <w:r>
              <w:t xml:space="preserve">Whiting </w:t>
            </w:r>
            <w:r>
              <w:tab/>
            </w:r>
          </w:p>
        </w:tc>
        <w:tc>
          <w:tcPr>
            <w:tcW w:w="360" w:type="dxa"/>
            <w:vMerge/>
            <w:tcBorders>
              <w:top w:val="single" w:sz="8" w:space="0" w:color="auto"/>
              <w:bottom w:val="single" w:sz="8" w:space="0" w:color="auto"/>
            </w:tcBorders>
            <w:tcMar>
              <w:left w:w="85" w:type="dxa"/>
            </w:tcMar>
          </w:tcPr>
          <w:p>
            <w:pPr>
              <w:pStyle w:val="yTableNAm"/>
              <w:tabs>
                <w:tab w:val="clear" w:pos="567"/>
                <w:tab w:val="left" w:leader="dot" w:pos="3797"/>
              </w:tabs>
              <w:spacing w:before="0"/>
            </w:pPr>
          </w:p>
        </w:tc>
        <w:tc>
          <w:tcPr>
            <w:tcW w:w="1948" w:type="dxa"/>
            <w:vMerge/>
            <w:tcBorders>
              <w:bottom w:val="single" w:sz="8" w:space="0" w:color="auto"/>
            </w:tcBorders>
            <w:tcMar>
              <w:left w:w="85" w:type="dxa"/>
            </w:tcMar>
          </w:tcPr>
          <w:p>
            <w:pPr>
              <w:pStyle w:val="yTableNAm"/>
            </w:pPr>
          </w:p>
        </w:tc>
      </w:tr>
      <w:tr>
        <w:tc>
          <w:tcPr>
            <w:tcW w:w="4772" w:type="dxa"/>
            <w:tcBorders>
              <w:bottom w:val="single" w:sz="8" w:space="0" w:color="auto"/>
            </w:tcBorders>
            <w:tcMar>
              <w:left w:w="85" w:type="dxa"/>
            </w:tcMar>
          </w:tcPr>
          <w:p>
            <w:pPr>
              <w:pStyle w:val="yTableNAm"/>
              <w:tabs>
                <w:tab w:val="clear" w:pos="567"/>
                <w:tab w:val="right" w:leader="dot" w:pos="4574"/>
              </w:tabs>
              <w:spacing w:before="0"/>
              <w:ind w:left="196" w:hanging="196"/>
            </w:pPr>
            <w:r>
              <w:t xml:space="preserve">All other Pilbara and </w:t>
            </w:r>
            <w:smartTag w:uri="urn:schemas-microsoft-com:office:smarttags" w:element="place">
              <w:smartTag w:uri="urn:schemas-microsoft-com:office:smarttags" w:element="City">
                <w:r>
                  <w:t>Kimberley</w:t>
                </w:r>
              </w:smartTag>
            </w:smartTag>
            <w:r>
              <w:t xml:space="preserve"> species of fish not specifically covered in this Part except Redfin Perch, Goldfish and European Carp </w:t>
            </w:r>
            <w:r>
              <w:tab/>
            </w:r>
          </w:p>
        </w:tc>
        <w:tc>
          <w:tcPr>
            <w:tcW w:w="360" w:type="dxa"/>
            <w:vMerge/>
            <w:tcBorders>
              <w:top w:val="single" w:sz="8" w:space="0" w:color="auto"/>
              <w:bottom w:val="single" w:sz="8" w:space="0" w:color="auto"/>
            </w:tcBorders>
            <w:tcMar>
              <w:left w:w="85" w:type="dxa"/>
            </w:tcMar>
          </w:tcPr>
          <w:p>
            <w:pPr>
              <w:pStyle w:val="yTableNAm"/>
              <w:tabs>
                <w:tab w:val="clear" w:pos="567"/>
                <w:tab w:val="left" w:leader="dot" w:pos="3797"/>
              </w:tabs>
              <w:spacing w:before="0"/>
            </w:pPr>
          </w:p>
        </w:tc>
        <w:tc>
          <w:tcPr>
            <w:tcW w:w="1948" w:type="dxa"/>
            <w:vMerge/>
            <w:tcBorders>
              <w:bottom w:val="single" w:sz="8" w:space="0" w:color="auto"/>
            </w:tcBorders>
            <w:tcMar>
              <w:left w:w="85" w:type="dxa"/>
            </w:tcMar>
          </w:tcPr>
          <w:p>
            <w:pPr>
              <w:pStyle w:val="yTableNAm"/>
            </w:pPr>
          </w:p>
        </w:tc>
      </w:tr>
    </w:tbl>
    <w:p>
      <w:pPr>
        <w:pStyle w:val="yFootnotesection"/>
        <w:spacing w:before="60"/>
      </w:pPr>
      <w:r>
        <w:tab/>
        <w:t>[Division 3 inserted in Gazette 22 De</w:t>
      </w:r>
      <w:r>
        <w:rPr>
          <w:i w:val="0"/>
          <w:snapToGrid/>
        </w:rPr>
        <w:t>c</w:t>
      </w:r>
      <w:r>
        <w:t> 2005 p. 6233; amended in Gazette 23 Jul 2010 p. 3403.]</w:t>
      </w:r>
    </w:p>
    <w:p>
      <w:pPr>
        <w:pStyle w:val="yHeading3"/>
      </w:pPr>
      <w:bookmarkStart w:id="7784" w:name="_Toc189988186"/>
      <w:bookmarkStart w:id="7785" w:name="_Toc192041769"/>
      <w:bookmarkStart w:id="7786" w:name="_Toc199571003"/>
      <w:bookmarkStart w:id="7787" w:name="_Toc199739002"/>
      <w:bookmarkStart w:id="7788" w:name="_Toc199815103"/>
      <w:bookmarkStart w:id="7789" w:name="_Toc215040910"/>
      <w:bookmarkStart w:id="7790" w:name="_Toc215041355"/>
      <w:bookmarkStart w:id="7791" w:name="_Toc222129563"/>
      <w:bookmarkStart w:id="7792" w:name="_Toc222223268"/>
      <w:bookmarkStart w:id="7793" w:name="_Toc225914520"/>
      <w:bookmarkStart w:id="7794" w:name="_Toc231282565"/>
      <w:bookmarkStart w:id="7795" w:name="_Toc231283009"/>
      <w:bookmarkStart w:id="7796" w:name="_Toc234899599"/>
      <w:bookmarkStart w:id="7797" w:name="_Toc236632881"/>
      <w:bookmarkStart w:id="7798" w:name="_Toc236720494"/>
      <w:bookmarkStart w:id="7799" w:name="_Toc237764693"/>
      <w:bookmarkStart w:id="7800" w:name="_Toc238356317"/>
      <w:bookmarkStart w:id="7801" w:name="_Toc238369022"/>
      <w:bookmarkStart w:id="7802" w:name="_Toc238375975"/>
      <w:bookmarkStart w:id="7803" w:name="_Toc240339299"/>
      <w:bookmarkStart w:id="7804" w:name="_Toc241993805"/>
      <w:bookmarkStart w:id="7805" w:name="_Toc243192948"/>
      <w:bookmarkStart w:id="7806" w:name="_Toc243295650"/>
      <w:bookmarkStart w:id="7807" w:name="_Toc245113223"/>
      <w:bookmarkStart w:id="7808" w:name="_Toc245198385"/>
      <w:bookmarkStart w:id="7809" w:name="_Toc245198834"/>
      <w:bookmarkStart w:id="7810" w:name="_Toc245199283"/>
      <w:bookmarkStart w:id="7811" w:name="_Toc248122314"/>
      <w:bookmarkStart w:id="7812" w:name="_Toc248122765"/>
      <w:bookmarkStart w:id="7813" w:name="_Toc253670752"/>
      <w:bookmarkStart w:id="7814" w:name="_Toc253671202"/>
      <w:bookmarkStart w:id="7815" w:name="_Toc254942976"/>
      <w:bookmarkStart w:id="7816" w:name="_Toc254943429"/>
      <w:bookmarkStart w:id="7817" w:name="_Toc255476021"/>
      <w:bookmarkStart w:id="7818" w:name="_Toc256432342"/>
      <w:bookmarkStart w:id="7819" w:name="_Toc257720679"/>
      <w:bookmarkStart w:id="7820" w:name="_Toc257722361"/>
      <w:bookmarkStart w:id="7821" w:name="_Toc258336037"/>
      <w:bookmarkStart w:id="7822" w:name="_Toc260406479"/>
      <w:bookmarkStart w:id="7823" w:name="_Toc261271665"/>
      <w:bookmarkStart w:id="7824" w:name="_Toc262808347"/>
      <w:bookmarkStart w:id="7825" w:name="_Toc267572740"/>
      <w:bookmarkStart w:id="7826" w:name="_Toc270684489"/>
      <w:bookmarkStart w:id="7827" w:name="_Toc274214666"/>
      <w:bookmarkStart w:id="7828" w:name="_Toc274215115"/>
      <w:bookmarkStart w:id="7829" w:name="_Toc278976446"/>
      <w:bookmarkStart w:id="7830" w:name="_Toc286760767"/>
      <w:bookmarkStart w:id="7831" w:name="_Toc289081112"/>
      <w:bookmarkStart w:id="7832" w:name="_Toc290284306"/>
      <w:bookmarkStart w:id="7833" w:name="_Toc290643127"/>
      <w:bookmarkStart w:id="7834" w:name="_Toc290643576"/>
      <w:bookmarkStart w:id="7835" w:name="_Toc290644029"/>
      <w:bookmarkStart w:id="7836" w:name="_Toc294701846"/>
      <w:bookmarkStart w:id="7837" w:name="_Toc295200254"/>
      <w:bookmarkStart w:id="7838" w:name="_Toc296954695"/>
      <w:bookmarkStart w:id="7839" w:name="_Toc297276330"/>
      <w:bookmarkStart w:id="7840" w:name="_Toc297276782"/>
      <w:bookmarkStart w:id="7841" w:name="_Toc297277232"/>
      <w:bookmarkStart w:id="7842" w:name="_Toc297726601"/>
      <w:bookmarkStart w:id="7843" w:name="_Toc299980387"/>
      <w:bookmarkStart w:id="7844" w:name="_Toc300235013"/>
      <w:bookmarkStart w:id="7845" w:name="_Toc301961516"/>
      <w:bookmarkStart w:id="7846" w:name="_Toc301967086"/>
      <w:bookmarkStart w:id="7847" w:name="_Toc303253295"/>
      <w:bookmarkStart w:id="7848" w:name="_Toc303257459"/>
      <w:bookmarkStart w:id="7849" w:name="_Toc307993092"/>
      <w:bookmarkStart w:id="7850" w:name="_Toc309030125"/>
      <w:bookmarkStart w:id="7851" w:name="_Toc309304348"/>
      <w:bookmarkStart w:id="7852" w:name="_Toc309309625"/>
      <w:r>
        <w:t>Division 4 — Crustaceans</w:t>
      </w:r>
      <w:bookmarkEnd w:id="7784"/>
      <w:bookmarkEnd w:id="7785"/>
      <w:bookmarkEnd w:id="7786"/>
      <w:bookmarkEnd w:id="7787"/>
      <w:bookmarkEnd w:id="7788"/>
      <w:bookmarkEnd w:id="7789"/>
      <w:bookmarkEnd w:id="7790"/>
      <w:bookmarkEnd w:id="7791"/>
      <w:bookmarkEnd w:id="7792"/>
      <w:bookmarkEnd w:id="7793"/>
      <w:bookmarkEnd w:id="7794"/>
      <w:bookmarkEnd w:id="7795"/>
      <w:bookmarkEnd w:id="7796"/>
      <w:bookmarkEnd w:id="7797"/>
      <w:bookmarkEnd w:id="7798"/>
      <w:bookmarkEnd w:id="7799"/>
      <w:bookmarkEnd w:id="7800"/>
      <w:bookmarkEnd w:id="7801"/>
      <w:bookmarkEnd w:id="7802"/>
      <w:bookmarkEnd w:id="7803"/>
      <w:bookmarkEnd w:id="7804"/>
      <w:bookmarkEnd w:id="7805"/>
      <w:bookmarkEnd w:id="7806"/>
      <w:bookmarkEnd w:id="7807"/>
      <w:bookmarkEnd w:id="7808"/>
      <w:bookmarkEnd w:id="7809"/>
      <w:bookmarkEnd w:id="7810"/>
      <w:bookmarkEnd w:id="7811"/>
      <w:bookmarkEnd w:id="7812"/>
      <w:bookmarkEnd w:id="7813"/>
      <w:bookmarkEnd w:id="7814"/>
      <w:bookmarkEnd w:id="7815"/>
      <w:bookmarkEnd w:id="7816"/>
      <w:bookmarkEnd w:id="7817"/>
      <w:bookmarkEnd w:id="7818"/>
      <w:bookmarkEnd w:id="7819"/>
      <w:bookmarkEnd w:id="7820"/>
      <w:bookmarkEnd w:id="7821"/>
      <w:bookmarkEnd w:id="7822"/>
      <w:bookmarkEnd w:id="7823"/>
      <w:bookmarkEnd w:id="7824"/>
      <w:bookmarkEnd w:id="7825"/>
      <w:bookmarkEnd w:id="7826"/>
      <w:bookmarkEnd w:id="7827"/>
      <w:bookmarkEnd w:id="7828"/>
      <w:bookmarkEnd w:id="7829"/>
      <w:bookmarkEnd w:id="7830"/>
      <w:bookmarkEnd w:id="7831"/>
      <w:bookmarkEnd w:id="7832"/>
      <w:bookmarkEnd w:id="7833"/>
      <w:bookmarkEnd w:id="7834"/>
      <w:bookmarkEnd w:id="7835"/>
      <w:bookmarkEnd w:id="7836"/>
      <w:bookmarkEnd w:id="7837"/>
      <w:bookmarkEnd w:id="7838"/>
      <w:bookmarkEnd w:id="7839"/>
      <w:bookmarkEnd w:id="7840"/>
      <w:bookmarkEnd w:id="7841"/>
      <w:bookmarkEnd w:id="7842"/>
      <w:bookmarkEnd w:id="7843"/>
      <w:bookmarkEnd w:id="7844"/>
      <w:bookmarkEnd w:id="7845"/>
      <w:bookmarkEnd w:id="7846"/>
      <w:bookmarkEnd w:id="7847"/>
      <w:bookmarkEnd w:id="7848"/>
      <w:bookmarkEnd w:id="7849"/>
      <w:bookmarkEnd w:id="7850"/>
      <w:bookmarkEnd w:id="7851"/>
      <w:bookmarkEnd w:id="7852"/>
    </w:p>
    <w:p>
      <w:pPr>
        <w:pStyle w:val="yFootnoteheading"/>
        <w:keepNext/>
        <w:keepLines/>
        <w:spacing w:after="120"/>
        <w:rPr>
          <w:b/>
        </w:rPr>
      </w:pPr>
      <w:r>
        <w:tab/>
        <w:t>[Heading inserted in Gazette 22 Dec 2005 p. 6233.]</w:t>
      </w:r>
    </w:p>
    <w:tbl>
      <w:tblPr>
        <w:tblW w:w="0" w:type="auto"/>
        <w:tblInd w:w="113" w:type="dxa"/>
        <w:tblLayout w:type="fixed"/>
        <w:tblCellMar>
          <w:left w:w="113" w:type="dxa"/>
          <w:right w:w="113" w:type="dxa"/>
        </w:tblCellMar>
        <w:tblLook w:val="0000" w:firstRow="0" w:lastRow="0" w:firstColumn="0" w:lastColumn="0" w:noHBand="0" w:noVBand="0"/>
      </w:tblPr>
      <w:tblGrid>
        <w:gridCol w:w="5252"/>
        <w:gridCol w:w="1828"/>
      </w:tblGrid>
      <w:tr>
        <w:trPr>
          <w:tblHeader/>
        </w:trPr>
        <w:tc>
          <w:tcPr>
            <w:tcW w:w="5252" w:type="dxa"/>
            <w:tcBorders>
              <w:top w:val="single" w:sz="8" w:space="0" w:color="auto"/>
              <w:bottom w:val="single" w:sz="8" w:space="0" w:color="auto"/>
            </w:tcBorders>
            <w:tcMar>
              <w:left w:w="85" w:type="dxa"/>
            </w:tcMar>
            <w:vAlign w:val="center"/>
          </w:tcPr>
          <w:p>
            <w:pPr>
              <w:pStyle w:val="yTableNAm"/>
              <w:tabs>
                <w:tab w:val="clear" w:pos="567"/>
                <w:tab w:val="left" w:leader="dot" w:pos="3797"/>
              </w:tabs>
              <w:spacing w:before="0"/>
              <w:ind w:left="197" w:hanging="197"/>
              <w:rPr>
                <w:b/>
                <w:bCs/>
              </w:rPr>
            </w:pPr>
            <w:r>
              <w:rPr>
                <w:b/>
                <w:bCs/>
              </w:rPr>
              <w:t>Fish</w:t>
            </w:r>
          </w:p>
        </w:tc>
        <w:tc>
          <w:tcPr>
            <w:tcW w:w="1828" w:type="dxa"/>
            <w:tcBorders>
              <w:top w:val="single" w:sz="8" w:space="0" w:color="auto"/>
              <w:bottom w:val="single" w:sz="8" w:space="0" w:color="auto"/>
            </w:tcBorders>
            <w:tcMar>
              <w:left w:w="85" w:type="dxa"/>
            </w:tcMar>
            <w:vAlign w:val="center"/>
          </w:tcPr>
          <w:p>
            <w:pPr>
              <w:pStyle w:val="yTableNAm"/>
              <w:tabs>
                <w:tab w:val="clear" w:pos="567"/>
                <w:tab w:val="left" w:leader="dot" w:pos="3797"/>
              </w:tabs>
              <w:spacing w:before="0"/>
              <w:rPr>
                <w:b/>
                <w:bCs/>
              </w:rPr>
            </w:pPr>
            <w:r>
              <w:rPr>
                <w:b/>
                <w:bCs/>
              </w:rPr>
              <w:t>Species, or group of species, bag limit for one day</w:t>
            </w:r>
          </w:p>
        </w:tc>
      </w:tr>
      <w:tr>
        <w:tc>
          <w:tcPr>
            <w:tcW w:w="5252" w:type="dxa"/>
            <w:tcMar>
              <w:left w:w="85" w:type="dxa"/>
            </w:tcMar>
          </w:tcPr>
          <w:p>
            <w:pPr>
              <w:pStyle w:val="yTableNAm"/>
              <w:tabs>
                <w:tab w:val="clear" w:pos="567"/>
                <w:tab w:val="right" w:leader="dot" w:pos="5047"/>
              </w:tabs>
              <w:spacing w:before="0"/>
            </w:pPr>
            <w:r>
              <w:t xml:space="preserve">Cherabin </w:t>
            </w:r>
            <w:r>
              <w:tab/>
            </w:r>
          </w:p>
        </w:tc>
        <w:tc>
          <w:tcPr>
            <w:tcW w:w="1828" w:type="dxa"/>
            <w:tcMar>
              <w:left w:w="85" w:type="dxa"/>
            </w:tcMar>
          </w:tcPr>
          <w:p>
            <w:pPr>
              <w:pStyle w:val="yTableNAm"/>
              <w:tabs>
                <w:tab w:val="clear" w:pos="567"/>
                <w:tab w:val="left" w:leader="dot" w:pos="3797"/>
              </w:tabs>
              <w:spacing w:before="0"/>
              <w:ind w:left="-36"/>
            </w:pPr>
            <w:r>
              <w:t>9 L</w:t>
            </w:r>
          </w:p>
        </w:tc>
      </w:tr>
      <w:tr>
        <w:tc>
          <w:tcPr>
            <w:tcW w:w="5252" w:type="dxa"/>
            <w:tcMar>
              <w:left w:w="85" w:type="dxa"/>
            </w:tcMar>
          </w:tcPr>
          <w:p>
            <w:pPr>
              <w:pStyle w:val="yTableNAm"/>
              <w:tabs>
                <w:tab w:val="clear" w:pos="567"/>
                <w:tab w:val="right" w:leader="dot" w:pos="5047"/>
              </w:tabs>
              <w:spacing w:before="0"/>
            </w:pPr>
            <w:r>
              <w:t xml:space="preserve">Crab, Blue Manna </w:t>
            </w:r>
            <w:r>
              <w:tab/>
            </w:r>
          </w:p>
        </w:tc>
        <w:tc>
          <w:tcPr>
            <w:tcW w:w="1828" w:type="dxa"/>
            <w:tcMar>
              <w:left w:w="85" w:type="dxa"/>
            </w:tcMar>
          </w:tcPr>
          <w:p>
            <w:pPr>
              <w:pStyle w:val="yTableNAm"/>
              <w:tabs>
                <w:tab w:val="clear" w:pos="567"/>
                <w:tab w:val="left" w:leader="dot" w:pos="3797"/>
              </w:tabs>
              <w:spacing w:before="0"/>
              <w:ind w:left="-36"/>
            </w:pPr>
            <w:r>
              <w:t>20</w:t>
            </w:r>
          </w:p>
        </w:tc>
      </w:tr>
      <w:tr>
        <w:tc>
          <w:tcPr>
            <w:tcW w:w="5252" w:type="dxa"/>
            <w:tcMar>
              <w:left w:w="85" w:type="dxa"/>
            </w:tcMar>
          </w:tcPr>
          <w:p>
            <w:pPr>
              <w:pStyle w:val="yTableNAm"/>
              <w:tabs>
                <w:tab w:val="clear" w:pos="567"/>
                <w:tab w:val="right" w:leader="dot" w:pos="5047"/>
              </w:tabs>
              <w:spacing w:before="0"/>
            </w:pPr>
            <w:r>
              <w:t xml:space="preserve">Crab, </w:t>
            </w:r>
            <w:r>
              <w:rPr>
                <w:szCs w:val="22"/>
              </w:rPr>
              <w:t>Brown Mud and Green Mud (combined)</w:t>
            </w:r>
            <w:r>
              <w:tab/>
            </w:r>
          </w:p>
        </w:tc>
        <w:tc>
          <w:tcPr>
            <w:tcW w:w="1828" w:type="dxa"/>
            <w:tcMar>
              <w:left w:w="85" w:type="dxa"/>
            </w:tcMar>
          </w:tcPr>
          <w:p>
            <w:pPr>
              <w:pStyle w:val="yTableNAm"/>
              <w:tabs>
                <w:tab w:val="clear" w:pos="567"/>
                <w:tab w:val="left" w:leader="dot" w:pos="3797"/>
              </w:tabs>
              <w:spacing w:before="0"/>
              <w:ind w:left="-36"/>
            </w:pPr>
            <w:r>
              <w:t>5</w:t>
            </w:r>
          </w:p>
        </w:tc>
      </w:tr>
      <w:tr>
        <w:tc>
          <w:tcPr>
            <w:tcW w:w="5252" w:type="dxa"/>
            <w:tcMar>
              <w:left w:w="85" w:type="dxa"/>
            </w:tcMar>
          </w:tcPr>
          <w:p>
            <w:pPr>
              <w:pStyle w:val="yTableNAm"/>
              <w:tabs>
                <w:tab w:val="clear" w:pos="567"/>
                <w:tab w:val="right" w:leader="dot" w:pos="5047"/>
              </w:tabs>
              <w:spacing w:before="0"/>
            </w:pPr>
            <w:r>
              <w:t xml:space="preserve">Prawn </w:t>
            </w:r>
            <w:r>
              <w:tab/>
            </w:r>
          </w:p>
        </w:tc>
        <w:tc>
          <w:tcPr>
            <w:tcW w:w="1828" w:type="dxa"/>
            <w:tcMar>
              <w:left w:w="85" w:type="dxa"/>
            </w:tcMar>
          </w:tcPr>
          <w:p>
            <w:pPr>
              <w:pStyle w:val="yTableNAm"/>
              <w:tabs>
                <w:tab w:val="clear" w:pos="567"/>
                <w:tab w:val="left" w:leader="dot" w:pos="3797"/>
              </w:tabs>
              <w:spacing w:before="0"/>
              <w:ind w:left="-36"/>
            </w:pPr>
            <w:r>
              <w:t>9 L</w:t>
            </w:r>
          </w:p>
        </w:tc>
      </w:tr>
      <w:tr>
        <w:tc>
          <w:tcPr>
            <w:tcW w:w="5252" w:type="dxa"/>
            <w:tcBorders>
              <w:bottom w:val="single" w:sz="8" w:space="0" w:color="auto"/>
            </w:tcBorders>
            <w:tcMar>
              <w:left w:w="85" w:type="dxa"/>
            </w:tcMar>
          </w:tcPr>
          <w:p>
            <w:pPr>
              <w:pStyle w:val="yTableNAm"/>
              <w:tabs>
                <w:tab w:val="clear" w:pos="567"/>
                <w:tab w:val="right" w:leader="dot" w:pos="5047"/>
              </w:tabs>
              <w:spacing w:before="0"/>
              <w:ind w:left="197" w:hanging="197"/>
            </w:pPr>
            <w:r>
              <w:t xml:space="preserve">Rock Lobster (combined), only 2 of which may be </w:t>
            </w:r>
            <w:r>
              <w:br/>
              <w:t xml:space="preserve">Western or Ornate </w:t>
            </w:r>
            <w:r>
              <w:tab/>
            </w:r>
          </w:p>
        </w:tc>
        <w:tc>
          <w:tcPr>
            <w:tcW w:w="1828" w:type="dxa"/>
            <w:tcBorders>
              <w:bottom w:val="single" w:sz="8" w:space="0" w:color="auto"/>
            </w:tcBorders>
            <w:tcMar>
              <w:left w:w="85" w:type="dxa"/>
            </w:tcMar>
          </w:tcPr>
          <w:p>
            <w:pPr>
              <w:pStyle w:val="yTableNAm"/>
              <w:tabs>
                <w:tab w:val="clear" w:pos="567"/>
                <w:tab w:val="left" w:leader="dot" w:pos="3797"/>
              </w:tabs>
              <w:spacing w:before="0"/>
              <w:ind w:left="-36"/>
            </w:pPr>
            <w:r>
              <w:br/>
              <w:t>4</w:t>
            </w:r>
          </w:p>
        </w:tc>
      </w:tr>
    </w:tbl>
    <w:p>
      <w:pPr>
        <w:pStyle w:val="yFootnotesection"/>
        <w:spacing w:before="60"/>
      </w:pPr>
      <w:r>
        <w:tab/>
        <w:t>[Division 4 inserted in Gazette 22 Dec 2005 p. 6233; amended in Gazette 1 Mar 2011 p. 672.]</w:t>
      </w:r>
    </w:p>
    <w:p>
      <w:pPr>
        <w:pStyle w:val="yHeading3"/>
        <w:keepNext w:val="0"/>
        <w:pageBreakBefore/>
      </w:pPr>
      <w:bookmarkStart w:id="7853" w:name="_Toc189988187"/>
      <w:bookmarkStart w:id="7854" w:name="_Toc192041770"/>
      <w:bookmarkStart w:id="7855" w:name="_Toc199571004"/>
      <w:bookmarkStart w:id="7856" w:name="_Toc199739003"/>
      <w:bookmarkStart w:id="7857" w:name="_Toc199815104"/>
      <w:bookmarkStart w:id="7858" w:name="_Toc215040911"/>
      <w:bookmarkStart w:id="7859" w:name="_Toc215041356"/>
      <w:bookmarkStart w:id="7860" w:name="_Toc222129564"/>
      <w:bookmarkStart w:id="7861" w:name="_Toc222223269"/>
      <w:bookmarkStart w:id="7862" w:name="_Toc225914521"/>
      <w:bookmarkStart w:id="7863" w:name="_Toc231282566"/>
      <w:bookmarkStart w:id="7864" w:name="_Toc231283010"/>
      <w:bookmarkStart w:id="7865" w:name="_Toc234899600"/>
      <w:bookmarkStart w:id="7866" w:name="_Toc236632882"/>
      <w:bookmarkStart w:id="7867" w:name="_Toc236720495"/>
      <w:bookmarkStart w:id="7868" w:name="_Toc237764694"/>
      <w:bookmarkStart w:id="7869" w:name="_Toc238356318"/>
      <w:bookmarkStart w:id="7870" w:name="_Toc238369023"/>
      <w:bookmarkStart w:id="7871" w:name="_Toc238375976"/>
      <w:bookmarkStart w:id="7872" w:name="_Toc240339300"/>
      <w:bookmarkStart w:id="7873" w:name="_Toc241993806"/>
      <w:bookmarkStart w:id="7874" w:name="_Toc243192949"/>
      <w:bookmarkStart w:id="7875" w:name="_Toc243295651"/>
      <w:bookmarkStart w:id="7876" w:name="_Toc245113224"/>
      <w:bookmarkStart w:id="7877" w:name="_Toc245198386"/>
      <w:bookmarkStart w:id="7878" w:name="_Toc245198835"/>
      <w:bookmarkStart w:id="7879" w:name="_Toc245199284"/>
      <w:bookmarkStart w:id="7880" w:name="_Toc248122315"/>
      <w:bookmarkStart w:id="7881" w:name="_Toc248122766"/>
      <w:bookmarkStart w:id="7882" w:name="_Toc253670753"/>
      <w:bookmarkStart w:id="7883" w:name="_Toc253671203"/>
      <w:bookmarkStart w:id="7884" w:name="_Toc254942977"/>
      <w:bookmarkStart w:id="7885" w:name="_Toc254943430"/>
      <w:bookmarkStart w:id="7886" w:name="_Toc255476022"/>
      <w:bookmarkStart w:id="7887" w:name="_Toc256432343"/>
      <w:bookmarkStart w:id="7888" w:name="_Toc257720680"/>
      <w:bookmarkStart w:id="7889" w:name="_Toc257722362"/>
      <w:bookmarkStart w:id="7890" w:name="_Toc258336038"/>
      <w:bookmarkStart w:id="7891" w:name="_Toc260406480"/>
      <w:bookmarkStart w:id="7892" w:name="_Toc261271666"/>
      <w:bookmarkStart w:id="7893" w:name="_Toc262808348"/>
      <w:bookmarkStart w:id="7894" w:name="_Toc267572741"/>
      <w:bookmarkStart w:id="7895" w:name="_Toc270684490"/>
      <w:bookmarkStart w:id="7896" w:name="_Toc274214667"/>
      <w:bookmarkStart w:id="7897" w:name="_Toc274215116"/>
      <w:bookmarkStart w:id="7898" w:name="_Toc278976447"/>
      <w:bookmarkStart w:id="7899" w:name="_Toc286760768"/>
      <w:bookmarkStart w:id="7900" w:name="_Toc289081113"/>
      <w:bookmarkStart w:id="7901" w:name="_Toc290284307"/>
      <w:bookmarkStart w:id="7902" w:name="_Toc290643128"/>
      <w:bookmarkStart w:id="7903" w:name="_Toc290643577"/>
      <w:bookmarkStart w:id="7904" w:name="_Toc290644030"/>
      <w:bookmarkStart w:id="7905" w:name="_Toc294701847"/>
      <w:bookmarkStart w:id="7906" w:name="_Toc295200255"/>
      <w:bookmarkStart w:id="7907" w:name="_Toc296954696"/>
      <w:bookmarkStart w:id="7908" w:name="_Toc297276331"/>
      <w:bookmarkStart w:id="7909" w:name="_Toc297276783"/>
      <w:bookmarkStart w:id="7910" w:name="_Toc297277233"/>
      <w:bookmarkStart w:id="7911" w:name="_Toc297726602"/>
      <w:bookmarkStart w:id="7912" w:name="_Toc299980388"/>
      <w:bookmarkStart w:id="7913" w:name="_Toc300235014"/>
      <w:bookmarkStart w:id="7914" w:name="_Toc301961517"/>
      <w:bookmarkStart w:id="7915" w:name="_Toc301967087"/>
      <w:bookmarkStart w:id="7916" w:name="_Toc303253296"/>
      <w:bookmarkStart w:id="7917" w:name="_Toc303257460"/>
      <w:bookmarkStart w:id="7918" w:name="_Toc307993093"/>
      <w:bookmarkStart w:id="7919" w:name="_Toc309030126"/>
      <w:bookmarkStart w:id="7920" w:name="_Toc309304349"/>
      <w:bookmarkStart w:id="7921" w:name="_Toc309309626"/>
      <w:r>
        <w:t>Division 5 — Molluscs</w:t>
      </w:r>
      <w:bookmarkEnd w:id="7853"/>
      <w:bookmarkEnd w:id="7854"/>
      <w:bookmarkEnd w:id="7855"/>
      <w:bookmarkEnd w:id="7856"/>
      <w:bookmarkEnd w:id="7857"/>
      <w:bookmarkEnd w:id="7858"/>
      <w:bookmarkEnd w:id="7859"/>
      <w:bookmarkEnd w:id="7860"/>
      <w:bookmarkEnd w:id="7861"/>
      <w:bookmarkEnd w:id="7862"/>
      <w:bookmarkEnd w:id="7863"/>
      <w:bookmarkEnd w:id="7864"/>
      <w:bookmarkEnd w:id="7865"/>
      <w:bookmarkEnd w:id="7866"/>
      <w:bookmarkEnd w:id="7867"/>
      <w:bookmarkEnd w:id="7868"/>
      <w:bookmarkEnd w:id="7869"/>
      <w:bookmarkEnd w:id="7870"/>
      <w:bookmarkEnd w:id="7871"/>
      <w:bookmarkEnd w:id="7872"/>
      <w:bookmarkEnd w:id="7873"/>
      <w:bookmarkEnd w:id="7874"/>
      <w:bookmarkEnd w:id="7875"/>
      <w:bookmarkEnd w:id="7876"/>
      <w:bookmarkEnd w:id="7877"/>
      <w:bookmarkEnd w:id="7878"/>
      <w:bookmarkEnd w:id="7879"/>
      <w:bookmarkEnd w:id="7880"/>
      <w:bookmarkEnd w:id="7881"/>
      <w:bookmarkEnd w:id="7882"/>
      <w:bookmarkEnd w:id="7883"/>
      <w:bookmarkEnd w:id="7884"/>
      <w:bookmarkEnd w:id="7885"/>
      <w:bookmarkEnd w:id="7886"/>
      <w:bookmarkEnd w:id="7887"/>
      <w:bookmarkEnd w:id="7888"/>
      <w:bookmarkEnd w:id="7889"/>
      <w:bookmarkEnd w:id="7890"/>
      <w:bookmarkEnd w:id="7891"/>
      <w:bookmarkEnd w:id="7892"/>
      <w:bookmarkEnd w:id="7893"/>
      <w:bookmarkEnd w:id="7894"/>
      <w:bookmarkEnd w:id="7895"/>
      <w:bookmarkEnd w:id="7896"/>
      <w:bookmarkEnd w:id="7897"/>
      <w:bookmarkEnd w:id="7898"/>
      <w:bookmarkEnd w:id="7899"/>
      <w:bookmarkEnd w:id="7900"/>
      <w:bookmarkEnd w:id="7901"/>
      <w:bookmarkEnd w:id="7902"/>
      <w:bookmarkEnd w:id="7903"/>
      <w:bookmarkEnd w:id="7904"/>
      <w:bookmarkEnd w:id="7905"/>
      <w:bookmarkEnd w:id="7906"/>
      <w:bookmarkEnd w:id="7907"/>
      <w:bookmarkEnd w:id="7908"/>
      <w:bookmarkEnd w:id="7909"/>
      <w:bookmarkEnd w:id="7910"/>
      <w:bookmarkEnd w:id="7911"/>
      <w:bookmarkEnd w:id="7912"/>
      <w:bookmarkEnd w:id="7913"/>
      <w:bookmarkEnd w:id="7914"/>
      <w:bookmarkEnd w:id="7915"/>
      <w:bookmarkEnd w:id="7916"/>
      <w:bookmarkEnd w:id="7917"/>
      <w:bookmarkEnd w:id="7918"/>
      <w:bookmarkEnd w:id="7919"/>
      <w:bookmarkEnd w:id="7920"/>
      <w:bookmarkEnd w:id="7921"/>
    </w:p>
    <w:p>
      <w:pPr>
        <w:pStyle w:val="yFootnoteheading"/>
        <w:keepNext/>
        <w:keepLines/>
        <w:spacing w:after="120"/>
      </w:pPr>
      <w:r>
        <w:tab/>
        <w:t>[Heading inserted in Gazette 22 Dec 2005 p. 6233.]</w:t>
      </w:r>
    </w:p>
    <w:tbl>
      <w:tblPr>
        <w:tblW w:w="0" w:type="auto"/>
        <w:tblInd w:w="113" w:type="dxa"/>
        <w:tblLayout w:type="fixed"/>
        <w:tblCellMar>
          <w:left w:w="113" w:type="dxa"/>
          <w:right w:w="113" w:type="dxa"/>
        </w:tblCellMar>
        <w:tblLook w:val="0000" w:firstRow="0" w:lastRow="0" w:firstColumn="0" w:lastColumn="0" w:noHBand="0" w:noVBand="0"/>
      </w:tblPr>
      <w:tblGrid>
        <w:gridCol w:w="5252"/>
        <w:gridCol w:w="1814"/>
        <w:gridCol w:w="11"/>
      </w:tblGrid>
      <w:tr>
        <w:trPr>
          <w:gridAfter w:val="1"/>
          <w:wAfter w:w="11" w:type="dxa"/>
          <w:tblHeader/>
        </w:trPr>
        <w:tc>
          <w:tcPr>
            <w:tcW w:w="5252"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7"/>
              </w:tabs>
              <w:spacing w:before="0"/>
              <w:ind w:left="198" w:hanging="198"/>
              <w:rPr>
                <w:b/>
                <w:bCs/>
              </w:rPr>
            </w:pPr>
            <w:r>
              <w:rPr>
                <w:b/>
                <w:bCs/>
              </w:rPr>
              <w:t>Fish</w:t>
            </w:r>
          </w:p>
        </w:tc>
        <w:tc>
          <w:tcPr>
            <w:tcW w:w="1814" w:type="dxa"/>
            <w:tcBorders>
              <w:top w:val="single" w:sz="8" w:space="0" w:color="auto"/>
              <w:bottom w:val="single" w:sz="8" w:space="0" w:color="auto"/>
            </w:tcBorders>
            <w:tcMar>
              <w:left w:w="85" w:type="dxa"/>
              <w:right w:w="85" w:type="dxa"/>
            </w:tcMar>
            <w:vAlign w:val="center"/>
          </w:tcPr>
          <w:p>
            <w:pPr>
              <w:pStyle w:val="yTableNAm"/>
              <w:tabs>
                <w:tab w:val="clear" w:pos="567"/>
                <w:tab w:val="left" w:leader="dot" w:pos="3797"/>
              </w:tabs>
              <w:spacing w:before="0"/>
              <w:rPr>
                <w:b/>
                <w:bCs/>
              </w:rPr>
            </w:pPr>
            <w:r>
              <w:rPr>
                <w:b/>
                <w:bCs/>
              </w:rPr>
              <w:t>Species, or group of species, bag limit for one day</w:t>
            </w:r>
          </w:p>
        </w:tc>
      </w:tr>
      <w:tr>
        <w:tc>
          <w:tcPr>
            <w:tcW w:w="5252" w:type="dxa"/>
            <w:tcBorders>
              <w:top w:val="single" w:sz="8" w:space="0" w:color="auto"/>
            </w:tcBorders>
            <w:tcMar>
              <w:left w:w="85" w:type="dxa"/>
              <w:right w:w="113" w:type="dxa"/>
            </w:tcMar>
          </w:tcPr>
          <w:p>
            <w:pPr>
              <w:pStyle w:val="yTableNAm"/>
              <w:tabs>
                <w:tab w:val="clear" w:pos="567"/>
                <w:tab w:val="right" w:leader="dot" w:pos="5047"/>
              </w:tabs>
              <w:spacing w:before="0"/>
            </w:pPr>
            <w:r>
              <w:t xml:space="preserve">Cockle </w:t>
            </w:r>
            <w:r>
              <w:tab/>
            </w:r>
          </w:p>
        </w:tc>
        <w:tc>
          <w:tcPr>
            <w:tcW w:w="1825" w:type="dxa"/>
            <w:gridSpan w:val="2"/>
            <w:tcBorders>
              <w:top w:val="single" w:sz="8" w:space="0" w:color="auto"/>
            </w:tcBorders>
            <w:tcMar>
              <w:left w:w="85" w:type="dxa"/>
              <w:right w:w="85" w:type="dxa"/>
            </w:tcMar>
          </w:tcPr>
          <w:p>
            <w:pPr>
              <w:pStyle w:val="yTableNAm"/>
              <w:tabs>
                <w:tab w:val="clear" w:pos="567"/>
                <w:tab w:val="left" w:leader="dot" w:pos="3797"/>
              </w:tabs>
              <w:spacing w:before="0"/>
            </w:pPr>
            <w:r>
              <w:t>2 L</w:t>
            </w:r>
          </w:p>
        </w:tc>
      </w:tr>
      <w:tr>
        <w:tc>
          <w:tcPr>
            <w:tcW w:w="5252" w:type="dxa"/>
            <w:tcMar>
              <w:left w:w="85" w:type="dxa"/>
              <w:right w:w="113" w:type="dxa"/>
            </w:tcMar>
          </w:tcPr>
          <w:p>
            <w:pPr>
              <w:pStyle w:val="yTableNAm"/>
              <w:tabs>
                <w:tab w:val="clear" w:pos="567"/>
                <w:tab w:val="right" w:leader="dot" w:pos="5047"/>
              </w:tabs>
              <w:spacing w:before="0"/>
            </w:pPr>
            <w:r>
              <w:t xml:space="preserve">Cuttlefish, Octopus and Squid (combined) </w:t>
            </w:r>
            <w:r>
              <w:tab/>
            </w:r>
          </w:p>
        </w:tc>
        <w:tc>
          <w:tcPr>
            <w:tcW w:w="1825" w:type="dxa"/>
            <w:gridSpan w:val="2"/>
            <w:tcMar>
              <w:left w:w="85" w:type="dxa"/>
              <w:right w:w="85" w:type="dxa"/>
            </w:tcMar>
          </w:tcPr>
          <w:p>
            <w:pPr>
              <w:pStyle w:val="yTableNAm"/>
              <w:tabs>
                <w:tab w:val="clear" w:pos="567"/>
                <w:tab w:val="left" w:leader="dot" w:pos="3797"/>
              </w:tabs>
              <w:spacing w:before="0"/>
            </w:pPr>
            <w:r>
              <w:t>15</w:t>
            </w:r>
          </w:p>
        </w:tc>
      </w:tr>
      <w:tr>
        <w:tc>
          <w:tcPr>
            <w:tcW w:w="5252" w:type="dxa"/>
            <w:tcMar>
              <w:left w:w="85" w:type="dxa"/>
              <w:right w:w="113" w:type="dxa"/>
            </w:tcMar>
          </w:tcPr>
          <w:p>
            <w:pPr>
              <w:pStyle w:val="yTableNAm"/>
              <w:tabs>
                <w:tab w:val="clear" w:pos="567"/>
                <w:tab w:val="right" w:leader="dot" w:pos="5047"/>
              </w:tabs>
              <w:spacing w:before="0"/>
            </w:pPr>
            <w:r>
              <w:t xml:space="preserve">Mussel </w:t>
            </w:r>
            <w:r>
              <w:tab/>
            </w:r>
          </w:p>
        </w:tc>
        <w:tc>
          <w:tcPr>
            <w:tcW w:w="1825" w:type="dxa"/>
            <w:gridSpan w:val="2"/>
            <w:tcMar>
              <w:left w:w="85" w:type="dxa"/>
              <w:right w:w="85" w:type="dxa"/>
            </w:tcMar>
          </w:tcPr>
          <w:p>
            <w:pPr>
              <w:pStyle w:val="yTableNAm"/>
              <w:tabs>
                <w:tab w:val="clear" w:pos="567"/>
                <w:tab w:val="left" w:leader="dot" w:pos="3797"/>
              </w:tabs>
              <w:spacing w:before="0"/>
            </w:pPr>
            <w:r>
              <w:t>9 L</w:t>
            </w:r>
          </w:p>
        </w:tc>
      </w:tr>
      <w:tr>
        <w:tc>
          <w:tcPr>
            <w:tcW w:w="5252" w:type="dxa"/>
            <w:tcMar>
              <w:left w:w="85" w:type="dxa"/>
              <w:right w:w="113" w:type="dxa"/>
            </w:tcMar>
          </w:tcPr>
          <w:p>
            <w:pPr>
              <w:pStyle w:val="yTableNAm"/>
              <w:tabs>
                <w:tab w:val="clear" w:pos="567"/>
                <w:tab w:val="right" w:leader="dot" w:pos="5047"/>
              </w:tabs>
              <w:spacing w:before="0"/>
            </w:pPr>
            <w:r>
              <w:t xml:space="preserve">Oyster </w:t>
            </w:r>
            <w:r>
              <w:tab/>
            </w:r>
          </w:p>
        </w:tc>
        <w:tc>
          <w:tcPr>
            <w:tcW w:w="1825" w:type="dxa"/>
            <w:gridSpan w:val="2"/>
            <w:tcMar>
              <w:left w:w="85" w:type="dxa"/>
              <w:right w:w="85" w:type="dxa"/>
            </w:tcMar>
          </w:tcPr>
          <w:p>
            <w:pPr>
              <w:pStyle w:val="yTableNAm"/>
              <w:tabs>
                <w:tab w:val="clear" w:pos="567"/>
                <w:tab w:val="left" w:leader="dot" w:pos="3797"/>
              </w:tabs>
              <w:spacing w:before="0"/>
            </w:pPr>
            <w:r>
              <w:t>9 L</w:t>
            </w:r>
          </w:p>
        </w:tc>
      </w:tr>
      <w:tr>
        <w:tc>
          <w:tcPr>
            <w:tcW w:w="5252" w:type="dxa"/>
            <w:tcMar>
              <w:left w:w="85" w:type="dxa"/>
              <w:right w:w="113" w:type="dxa"/>
            </w:tcMar>
          </w:tcPr>
          <w:p>
            <w:pPr>
              <w:pStyle w:val="yTableNAm"/>
              <w:tabs>
                <w:tab w:val="clear" w:pos="567"/>
                <w:tab w:val="right" w:leader="dot" w:pos="5047"/>
              </w:tabs>
              <w:spacing w:before="0"/>
            </w:pPr>
            <w:r>
              <w:t xml:space="preserve">Razorfish </w:t>
            </w:r>
            <w:r>
              <w:tab/>
            </w:r>
          </w:p>
        </w:tc>
        <w:tc>
          <w:tcPr>
            <w:tcW w:w="1825" w:type="dxa"/>
            <w:gridSpan w:val="2"/>
            <w:tcMar>
              <w:left w:w="85" w:type="dxa"/>
              <w:right w:w="85" w:type="dxa"/>
            </w:tcMar>
          </w:tcPr>
          <w:p>
            <w:pPr>
              <w:pStyle w:val="yTableNAm"/>
              <w:tabs>
                <w:tab w:val="clear" w:pos="567"/>
                <w:tab w:val="left" w:leader="dot" w:pos="3797"/>
              </w:tabs>
              <w:spacing w:before="0"/>
            </w:pPr>
            <w:r>
              <w:t>20</w:t>
            </w:r>
          </w:p>
        </w:tc>
      </w:tr>
      <w:tr>
        <w:tc>
          <w:tcPr>
            <w:tcW w:w="5252" w:type="dxa"/>
            <w:tcBorders>
              <w:bottom w:val="single" w:sz="8" w:space="0" w:color="auto"/>
            </w:tcBorders>
            <w:tcMar>
              <w:left w:w="85" w:type="dxa"/>
              <w:right w:w="113" w:type="dxa"/>
            </w:tcMar>
          </w:tcPr>
          <w:p>
            <w:pPr>
              <w:pStyle w:val="yTableNAm"/>
              <w:tabs>
                <w:tab w:val="clear" w:pos="567"/>
                <w:tab w:val="right" w:leader="dot" w:pos="5047"/>
              </w:tabs>
              <w:spacing w:before="0"/>
              <w:ind w:left="196" w:right="-1775" w:hanging="196"/>
            </w:pPr>
            <w:r>
              <w:t xml:space="preserve">Ark Shells, Pipis, Venus Clams and all other species </w:t>
            </w:r>
            <w:r>
              <w:br/>
              <w:t xml:space="preserve">of edible molluscs not specifically mentioned </w:t>
            </w:r>
            <w:r>
              <w:br/>
              <w:t xml:space="preserve">in this Division </w:t>
            </w:r>
            <w:r>
              <w:tab/>
            </w:r>
            <w:r>
              <w:tab/>
            </w:r>
          </w:p>
        </w:tc>
        <w:tc>
          <w:tcPr>
            <w:tcW w:w="1825" w:type="dxa"/>
            <w:gridSpan w:val="2"/>
            <w:tcBorders>
              <w:bottom w:val="single" w:sz="8" w:space="0" w:color="auto"/>
            </w:tcBorders>
            <w:tcMar>
              <w:left w:w="85" w:type="dxa"/>
              <w:right w:w="85" w:type="dxa"/>
            </w:tcMar>
          </w:tcPr>
          <w:p>
            <w:pPr>
              <w:pStyle w:val="yTableNAm"/>
              <w:tabs>
                <w:tab w:val="clear" w:pos="567"/>
                <w:tab w:val="left" w:leader="dot" w:pos="3797"/>
              </w:tabs>
              <w:spacing w:before="0"/>
            </w:pPr>
            <w:r>
              <w:br/>
            </w:r>
            <w:r>
              <w:br/>
              <w:t>2 L</w:t>
            </w:r>
          </w:p>
        </w:tc>
      </w:tr>
    </w:tbl>
    <w:p>
      <w:pPr>
        <w:pStyle w:val="yFootnotesection"/>
      </w:pPr>
      <w:r>
        <w:tab/>
        <w:t>[Division 5 inserted in Gazette 22 Dec 2005 p. 6233.]</w:t>
      </w:r>
    </w:p>
    <w:p>
      <w:pPr>
        <w:pStyle w:val="yHeading3"/>
      </w:pPr>
      <w:bookmarkStart w:id="7922" w:name="_Toc189988188"/>
      <w:bookmarkStart w:id="7923" w:name="_Toc192041771"/>
      <w:bookmarkStart w:id="7924" w:name="_Toc199571005"/>
      <w:bookmarkStart w:id="7925" w:name="_Toc199739004"/>
      <w:bookmarkStart w:id="7926" w:name="_Toc199815105"/>
      <w:bookmarkStart w:id="7927" w:name="_Toc215040912"/>
      <w:bookmarkStart w:id="7928" w:name="_Toc215041357"/>
      <w:bookmarkStart w:id="7929" w:name="_Toc222129565"/>
      <w:bookmarkStart w:id="7930" w:name="_Toc222223270"/>
      <w:bookmarkStart w:id="7931" w:name="_Toc225914522"/>
      <w:bookmarkStart w:id="7932" w:name="_Toc231282567"/>
      <w:bookmarkStart w:id="7933" w:name="_Toc231283011"/>
      <w:bookmarkStart w:id="7934" w:name="_Toc234899601"/>
      <w:bookmarkStart w:id="7935" w:name="_Toc236632883"/>
      <w:bookmarkStart w:id="7936" w:name="_Toc236720496"/>
      <w:bookmarkStart w:id="7937" w:name="_Toc237764695"/>
      <w:bookmarkStart w:id="7938" w:name="_Toc238356319"/>
      <w:bookmarkStart w:id="7939" w:name="_Toc238369024"/>
      <w:bookmarkStart w:id="7940" w:name="_Toc238375977"/>
      <w:bookmarkStart w:id="7941" w:name="_Toc240339301"/>
      <w:bookmarkStart w:id="7942" w:name="_Toc241993807"/>
      <w:bookmarkStart w:id="7943" w:name="_Toc243192950"/>
      <w:bookmarkStart w:id="7944" w:name="_Toc243295652"/>
      <w:bookmarkStart w:id="7945" w:name="_Toc245113225"/>
      <w:bookmarkStart w:id="7946" w:name="_Toc245198387"/>
      <w:bookmarkStart w:id="7947" w:name="_Toc245198836"/>
      <w:bookmarkStart w:id="7948" w:name="_Toc245199285"/>
      <w:bookmarkStart w:id="7949" w:name="_Toc248122316"/>
      <w:bookmarkStart w:id="7950" w:name="_Toc248122767"/>
      <w:bookmarkStart w:id="7951" w:name="_Toc253670754"/>
      <w:bookmarkStart w:id="7952" w:name="_Toc253671204"/>
      <w:bookmarkStart w:id="7953" w:name="_Toc254942978"/>
      <w:bookmarkStart w:id="7954" w:name="_Toc254943431"/>
      <w:bookmarkStart w:id="7955" w:name="_Toc255476023"/>
      <w:bookmarkStart w:id="7956" w:name="_Toc256432344"/>
      <w:bookmarkStart w:id="7957" w:name="_Toc257720681"/>
      <w:bookmarkStart w:id="7958" w:name="_Toc257722363"/>
      <w:bookmarkStart w:id="7959" w:name="_Toc258336039"/>
      <w:bookmarkStart w:id="7960" w:name="_Toc260406481"/>
      <w:bookmarkStart w:id="7961" w:name="_Toc261271667"/>
      <w:bookmarkStart w:id="7962" w:name="_Toc262808349"/>
      <w:bookmarkStart w:id="7963" w:name="_Toc267572742"/>
      <w:bookmarkStart w:id="7964" w:name="_Toc270684491"/>
      <w:bookmarkStart w:id="7965" w:name="_Toc274214668"/>
      <w:bookmarkStart w:id="7966" w:name="_Toc274215117"/>
      <w:bookmarkStart w:id="7967" w:name="_Toc278976448"/>
      <w:bookmarkStart w:id="7968" w:name="_Toc286760769"/>
      <w:bookmarkStart w:id="7969" w:name="_Toc289081114"/>
      <w:bookmarkStart w:id="7970" w:name="_Toc290284308"/>
      <w:bookmarkStart w:id="7971" w:name="_Toc290643129"/>
      <w:bookmarkStart w:id="7972" w:name="_Toc290643578"/>
      <w:bookmarkStart w:id="7973" w:name="_Toc290644031"/>
      <w:bookmarkStart w:id="7974" w:name="_Toc294701848"/>
      <w:bookmarkStart w:id="7975" w:name="_Toc295200256"/>
      <w:bookmarkStart w:id="7976" w:name="_Toc296954697"/>
      <w:bookmarkStart w:id="7977" w:name="_Toc297276332"/>
      <w:bookmarkStart w:id="7978" w:name="_Toc297276784"/>
      <w:bookmarkStart w:id="7979" w:name="_Toc297277234"/>
      <w:bookmarkStart w:id="7980" w:name="_Toc297726603"/>
      <w:bookmarkStart w:id="7981" w:name="_Toc299980389"/>
      <w:bookmarkStart w:id="7982" w:name="_Toc300235015"/>
      <w:bookmarkStart w:id="7983" w:name="_Toc301961518"/>
      <w:bookmarkStart w:id="7984" w:name="_Toc301967088"/>
      <w:bookmarkStart w:id="7985" w:name="_Toc303253297"/>
      <w:bookmarkStart w:id="7986" w:name="_Toc303257461"/>
      <w:bookmarkStart w:id="7987" w:name="_Toc307993094"/>
      <w:bookmarkStart w:id="7988" w:name="_Toc309030127"/>
      <w:bookmarkStart w:id="7989" w:name="_Toc309304350"/>
      <w:bookmarkStart w:id="7990" w:name="_Toc309309627"/>
      <w:r>
        <w:t>Division 6 — Miscellaneous</w:t>
      </w:r>
      <w:bookmarkEnd w:id="7922"/>
      <w:bookmarkEnd w:id="7923"/>
      <w:bookmarkEnd w:id="7924"/>
      <w:bookmarkEnd w:id="7925"/>
      <w:bookmarkEnd w:id="7926"/>
      <w:bookmarkEnd w:id="7927"/>
      <w:bookmarkEnd w:id="7928"/>
      <w:bookmarkEnd w:id="7929"/>
      <w:bookmarkEnd w:id="7930"/>
      <w:bookmarkEnd w:id="7931"/>
      <w:bookmarkEnd w:id="7932"/>
      <w:bookmarkEnd w:id="7933"/>
      <w:bookmarkEnd w:id="7934"/>
      <w:bookmarkEnd w:id="7935"/>
      <w:bookmarkEnd w:id="7936"/>
      <w:bookmarkEnd w:id="7937"/>
      <w:bookmarkEnd w:id="7938"/>
      <w:bookmarkEnd w:id="7939"/>
      <w:bookmarkEnd w:id="7940"/>
      <w:bookmarkEnd w:id="7941"/>
      <w:bookmarkEnd w:id="7942"/>
      <w:bookmarkEnd w:id="7943"/>
      <w:bookmarkEnd w:id="7944"/>
      <w:bookmarkEnd w:id="7945"/>
      <w:bookmarkEnd w:id="7946"/>
      <w:bookmarkEnd w:id="7947"/>
      <w:bookmarkEnd w:id="7948"/>
      <w:bookmarkEnd w:id="7949"/>
      <w:bookmarkEnd w:id="7950"/>
      <w:bookmarkEnd w:id="7951"/>
      <w:bookmarkEnd w:id="7952"/>
      <w:bookmarkEnd w:id="7953"/>
      <w:bookmarkEnd w:id="7954"/>
      <w:bookmarkEnd w:id="7955"/>
      <w:bookmarkEnd w:id="7956"/>
      <w:bookmarkEnd w:id="7957"/>
      <w:bookmarkEnd w:id="7958"/>
      <w:bookmarkEnd w:id="7959"/>
      <w:bookmarkEnd w:id="7960"/>
      <w:bookmarkEnd w:id="7961"/>
      <w:bookmarkEnd w:id="7962"/>
      <w:bookmarkEnd w:id="7963"/>
      <w:bookmarkEnd w:id="7964"/>
      <w:bookmarkEnd w:id="7965"/>
      <w:bookmarkEnd w:id="7966"/>
      <w:bookmarkEnd w:id="7967"/>
      <w:bookmarkEnd w:id="7968"/>
      <w:bookmarkEnd w:id="7969"/>
      <w:bookmarkEnd w:id="7970"/>
      <w:bookmarkEnd w:id="7971"/>
      <w:bookmarkEnd w:id="7972"/>
      <w:bookmarkEnd w:id="7973"/>
      <w:bookmarkEnd w:id="7974"/>
      <w:bookmarkEnd w:id="7975"/>
      <w:bookmarkEnd w:id="7976"/>
      <w:bookmarkEnd w:id="7977"/>
      <w:bookmarkEnd w:id="7978"/>
      <w:bookmarkEnd w:id="7979"/>
      <w:bookmarkEnd w:id="7980"/>
      <w:bookmarkEnd w:id="7981"/>
      <w:bookmarkEnd w:id="7982"/>
      <w:bookmarkEnd w:id="7983"/>
      <w:bookmarkEnd w:id="7984"/>
      <w:bookmarkEnd w:id="7985"/>
      <w:bookmarkEnd w:id="7986"/>
      <w:bookmarkEnd w:id="7987"/>
      <w:bookmarkEnd w:id="7988"/>
      <w:bookmarkEnd w:id="7989"/>
      <w:bookmarkEnd w:id="7990"/>
    </w:p>
    <w:p>
      <w:pPr>
        <w:pStyle w:val="yFootnoteheading"/>
        <w:spacing w:after="120"/>
      </w:pPr>
      <w:r>
        <w:tab/>
        <w:t>[Heading inserted in Gazette 22 Dec 2005 p. 6234.]</w:t>
      </w:r>
    </w:p>
    <w:tbl>
      <w:tblPr>
        <w:tblW w:w="0" w:type="auto"/>
        <w:tblInd w:w="113" w:type="dxa"/>
        <w:tblBorders>
          <w:top w:val="single" w:sz="8" w:space="0" w:color="auto"/>
          <w:bottom w:val="single" w:sz="8" w:space="0" w:color="auto"/>
        </w:tblBorders>
        <w:tblLayout w:type="fixed"/>
        <w:tblCellMar>
          <w:left w:w="113" w:type="dxa"/>
          <w:right w:w="113" w:type="dxa"/>
        </w:tblCellMar>
        <w:tblLook w:val="0000" w:firstRow="0" w:lastRow="0" w:firstColumn="0" w:lastColumn="0" w:noHBand="0" w:noVBand="0"/>
      </w:tblPr>
      <w:tblGrid>
        <w:gridCol w:w="5252"/>
        <w:gridCol w:w="1826"/>
      </w:tblGrid>
      <w:tr>
        <w:trPr>
          <w:tblHeader/>
        </w:trPr>
        <w:tc>
          <w:tcPr>
            <w:tcW w:w="5252"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7"/>
              </w:tabs>
              <w:spacing w:before="0"/>
              <w:rPr>
                <w:b/>
                <w:bCs/>
              </w:rPr>
            </w:pPr>
            <w:r>
              <w:rPr>
                <w:b/>
                <w:bCs/>
              </w:rPr>
              <w:t>Fish</w:t>
            </w:r>
          </w:p>
        </w:tc>
        <w:tc>
          <w:tcPr>
            <w:tcW w:w="1826"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7"/>
              </w:tabs>
              <w:spacing w:before="0"/>
              <w:rPr>
                <w:b/>
                <w:bCs/>
              </w:rPr>
            </w:pPr>
            <w:r>
              <w:rPr>
                <w:b/>
                <w:bCs/>
              </w:rPr>
              <w:t>Species, or group of species, bag limit for one day</w:t>
            </w:r>
          </w:p>
        </w:tc>
      </w:tr>
      <w:tr>
        <w:trPr>
          <w:tblHeader/>
        </w:trPr>
        <w:tc>
          <w:tcPr>
            <w:tcW w:w="5252" w:type="dxa"/>
            <w:tcBorders>
              <w:top w:val="single" w:sz="8" w:space="0" w:color="auto"/>
              <w:bottom w:val="nil"/>
            </w:tcBorders>
            <w:tcMar>
              <w:left w:w="85" w:type="dxa"/>
              <w:right w:w="113" w:type="dxa"/>
            </w:tcMar>
          </w:tcPr>
          <w:p>
            <w:pPr>
              <w:pStyle w:val="yTableNAm"/>
              <w:tabs>
                <w:tab w:val="clear" w:pos="567"/>
                <w:tab w:val="right" w:leader="dot" w:pos="5047"/>
              </w:tabs>
              <w:spacing w:before="0"/>
              <w:ind w:left="196" w:right="-1775" w:hanging="196"/>
            </w:pPr>
            <w:r>
              <w:t xml:space="preserve">Bait fish of the </w:t>
            </w:r>
            <w:r>
              <w:rPr>
                <w:u w:val="single"/>
              </w:rPr>
              <w:t>Families</w:t>
            </w:r>
            <w:r>
              <w:t xml:space="preserve"> Clupeidae (Pilchards </w:t>
            </w:r>
            <w:r>
              <w:br/>
              <w:t xml:space="preserve">and Whitebait), Atherinidae (Hardyheads) </w:t>
            </w:r>
            <w:r>
              <w:br/>
              <w:t xml:space="preserve">and Engraulidae (Anchovy) (combined) </w:t>
            </w:r>
            <w:r>
              <w:tab/>
            </w:r>
          </w:p>
        </w:tc>
        <w:tc>
          <w:tcPr>
            <w:tcW w:w="1826" w:type="dxa"/>
            <w:tcBorders>
              <w:top w:val="single" w:sz="8" w:space="0" w:color="auto"/>
              <w:bottom w:val="nil"/>
            </w:tcBorders>
            <w:tcMar>
              <w:left w:w="85" w:type="dxa"/>
              <w:right w:w="113" w:type="dxa"/>
            </w:tcMar>
          </w:tcPr>
          <w:p>
            <w:pPr>
              <w:pStyle w:val="yTableNAm"/>
              <w:tabs>
                <w:tab w:val="clear" w:pos="567"/>
                <w:tab w:val="left" w:leader="dot" w:pos="3797"/>
              </w:tabs>
              <w:spacing w:before="0"/>
            </w:pPr>
            <w:r>
              <w:br/>
            </w:r>
            <w:r>
              <w:br/>
              <w:t>9 L</w:t>
            </w:r>
          </w:p>
        </w:tc>
      </w:tr>
      <w:tr>
        <w:tc>
          <w:tcPr>
            <w:tcW w:w="5252" w:type="dxa"/>
            <w:tcBorders>
              <w:top w:val="nil"/>
              <w:bottom w:val="single" w:sz="8" w:space="0" w:color="auto"/>
            </w:tcBorders>
            <w:tcMar>
              <w:left w:w="85" w:type="dxa"/>
              <w:right w:w="113" w:type="dxa"/>
            </w:tcMar>
          </w:tcPr>
          <w:p>
            <w:pPr>
              <w:pStyle w:val="yTableNAm"/>
              <w:tabs>
                <w:tab w:val="clear" w:pos="567"/>
                <w:tab w:val="right" w:leader="dot" w:pos="5047"/>
              </w:tabs>
              <w:spacing w:before="0"/>
              <w:ind w:left="196" w:right="-1775" w:hanging="196"/>
            </w:pPr>
            <w:r>
              <w:t xml:space="preserve">Sea Urchin </w:t>
            </w:r>
            <w:r>
              <w:tab/>
            </w:r>
          </w:p>
        </w:tc>
        <w:tc>
          <w:tcPr>
            <w:tcW w:w="1826" w:type="dxa"/>
            <w:tcBorders>
              <w:top w:val="nil"/>
              <w:bottom w:val="single" w:sz="8" w:space="0" w:color="auto"/>
            </w:tcBorders>
            <w:tcMar>
              <w:left w:w="85" w:type="dxa"/>
              <w:right w:w="113" w:type="dxa"/>
            </w:tcMar>
          </w:tcPr>
          <w:p>
            <w:pPr>
              <w:pStyle w:val="yTableNAm"/>
              <w:tabs>
                <w:tab w:val="clear" w:pos="567"/>
                <w:tab w:val="left" w:leader="dot" w:pos="3797"/>
              </w:tabs>
              <w:spacing w:before="0"/>
            </w:pPr>
            <w:r>
              <w:t>20</w:t>
            </w:r>
          </w:p>
        </w:tc>
      </w:tr>
    </w:tbl>
    <w:p>
      <w:pPr>
        <w:pStyle w:val="yFootnotesection"/>
      </w:pPr>
      <w:r>
        <w:tab/>
        <w:t>[Division 6 inserted in Gazette 22 Dec 2005 p. 6234.]</w:t>
      </w:r>
    </w:p>
    <w:p>
      <w:pPr>
        <w:pStyle w:val="yHeading2"/>
        <w:pageBreakBefore/>
      </w:pPr>
      <w:bookmarkStart w:id="7991" w:name="_Toc189988189"/>
      <w:bookmarkStart w:id="7992" w:name="_Toc192041772"/>
      <w:bookmarkStart w:id="7993" w:name="_Toc199571006"/>
      <w:bookmarkStart w:id="7994" w:name="_Toc199739005"/>
      <w:bookmarkStart w:id="7995" w:name="_Toc199815106"/>
      <w:bookmarkStart w:id="7996" w:name="_Toc215040913"/>
      <w:bookmarkStart w:id="7997" w:name="_Toc215041358"/>
      <w:bookmarkStart w:id="7998" w:name="_Toc222129566"/>
      <w:bookmarkStart w:id="7999" w:name="_Toc222223271"/>
      <w:bookmarkStart w:id="8000" w:name="_Toc225914523"/>
      <w:bookmarkStart w:id="8001" w:name="_Toc231282568"/>
      <w:bookmarkStart w:id="8002" w:name="_Toc231283012"/>
      <w:bookmarkStart w:id="8003" w:name="_Toc234899602"/>
      <w:bookmarkStart w:id="8004" w:name="_Toc236632884"/>
      <w:bookmarkStart w:id="8005" w:name="_Toc236720497"/>
      <w:bookmarkStart w:id="8006" w:name="_Toc237764696"/>
      <w:bookmarkStart w:id="8007" w:name="_Toc238356320"/>
      <w:bookmarkStart w:id="8008" w:name="_Toc238369025"/>
      <w:bookmarkStart w:id="8009" w:name="_Toc238375978"/>
      <w:bookmarkStart w:id="8010" w:name="_Toc240339302"/>
      <w:bookmarkStart w:id="8011" w:name="_Toc241993808"/>
      <w:bookmarkStart w:id="8012" w:name="_Toc243192951"/>
      <w:bookmarkStart w:id="8013" w:name="_Toc243295653"/>
      <w:bookmarkStart w:id="8014" w:name="_Toc245113226"/>
      <w:bookmarkStart w:id="8015" w:name="_Toc245198388"/>
      <w:bookmarkStart w:id="8016" w:name="_Toc245198837"/>
      <w:bookmarkStart w:id="8017" w:name="_Toc245199286"/>
      <w:bookmarkStart w:id="8018" w:name="_Toc248122317"/>
      <w:bookmarkStart w:id="8019" w:name="_Toc248122768"/>
      <w:bookmarkStart w:id="8020" w:name="_Toc253670755"/>
      <w:bookmarkStart w:id="8021" w:name="_Toc253671205"/>
      <w:bookmarkStart w:id="8022" w:name="_Toc254942979"/>
      <w:bookmarkStart w:id="8023" w:name="_Toc254943432"/>
      <w:bookmarkStart w:id="8024" w:name="_Toc255476024"/>
      <w:bookmarkStart w:id="8025" w:name="_Toc256432345"/>
      <w:bookmarkStart w:id="8026" w:name="_Toc257720682"/>
      <w:bookmarkStart w:id="8027" w:name="_Toc257722364"/>
      <w:bookmarkStart w:id="8028" w:name="_Toc258336040"/>
      <w:bookmarkStart w:id="8029" w:name="_Toc260406482"/>
      <w:bookmarkStart w:id="8030" w:name="_Toc261271668"/>
      <w:bookmarkStart w:id="8031" w:name="_Toc262808350"/>
      <w:bookmarkStart w:id="8032" w:name="_Toc267572743"/>
      <w:bookmarkStart w:id="8033" w:name="_Toc270684492"/>
      <w:bookmarkStart w:id="8034" w:name="_Toc274214669"/>
      <w:bookmarkStart w:id="8035" w:name="_Toc274215118"/>
      <w:bookmarkStart w:id="8036" w:name="_Toc278976449"/>
      <w:bookmarkStart w:id="8037" w:name="_Toc286760770"/>
      <w:bookmarkStart w:id="8038" w:name="_Toc289081115"/>
      <w:bookmarkStart w:id="8039" w:name="_Toc290284309"/>
      <w:bookmarkStart w:id="8040" w:name="_Toc290643130"/>
      <w:bookmarkStart w:id="8041" w:name="_Toc290643579"/>
      <w:bookmarkStart w:id="8042" w:name="_Toc290644032"/>
      <w:bookmarkStart w:id="8043" w:name="_Toc294701849"/>
      <w:bookmarkStart w:id="8044" w:name="_Toc295200257"/>
      <w:bookmarkStart w:id="8045" w:name="_Toc296954698"/>
      <w:bookmarkStart w:id="8046" w:name="_Toc297276333"/>
      <w:bookmarkStart w:id="8047" w:name="_Toc297276785"/>
      <w:bookmarkStart w:id="8048" w:name="_Toc297277235"/>
      <w:bookmarkStart w:id="8049" w:name="_Toc297726604"/>
      <w:bookmarkStart w:id="8050" w:name="_Toc299980390"/>
      <w:bookmarkStart w:id="8051" w:name="_Toc300235016"/>
      <w:bookmarkStart w:id="8052" w:name="_Toc301961519"/>
      <w:bookmarkStart w:id="8053" w:name="_Toc301967089"/>
      <w:bookmarkStart w:id="8054" w:name="_Toc303253298"/>
      <w:bookmarkStart w:id="8055" w:name="_Toc303257462"/>
      <w:bookmarkStart w:id="8056" w:name="_Toc307993095"/>
      <w:bookmarkStart w:id="8057" w:name="_Toc309030128"/>
      <w:bookmarkStart w:id="8058" w:name="_Toc309304351"/>
      <w:bookmarkStart w:id="8059" w:name="_Toc309309628"/>
      <w:r>
        <w:rPr>
          <w:rStyle w:val="CharSDivNo"/>
          <w:sz w:val="28"/>
        </w:rPr>
        <w:t>Part 3</w:t>
      </w:r>
      <w:r>
        <w:t> — </w:t>
      </w:r>
      <w:r>
        <w:rPr>
          <w:rStyle w:val="CharSDivText"/>
          <w:sz w:val="28"/>
        </w:rPr>
        <w:t>Bag limits in the West Coast Region</w:t>
      </w:r>
      <w:bookmarkEnd w:id="7991"/>
      <w:bookmarkEnd w:id="7992"/>
      <w:bookmarkEnd w:id="7993"/>
      <w:bookmarkEnd w:id="7994"/>
      <w:bookmarkEnd w:id="7995"/>
      <w:bookmarkEnd w:id="7996"/>
      <w:bookmarkEnd w:id="7997"/>
      <w:bookmarkEnd w:id="7998"/>
      <w:bookmarkEnd w:id="7999"/>
      <w:bookmarkEnd w:id="8000"/>
      <w:bookmarkEnd w:id="8001"/>
      <w:bookmarkEnd w:id="8002"/>
      <w:bookmarkEnd w:id="8003"/>
      <w:bookmarkEnd w:id="8004"/>
      <w:bookmarkEnd w:id="8005"/>
      <w:bookmarkEnd w:id="8006"/>
      <w:bookmarkEnd w:id="8007"/>
      <w:bookmarkEnd w:id="8008"/>
      <w:bookmarkEnd w:id="8009"/>
      <w:bookmarkEnd w:id="8010"/>
      <w:bookmarkEnd w:id="8011"/>
      <w:bookmarkEnd w:id="8012"/>
      <w:bookmarkEnd w:id="8013"/>
      <w:bookmarkEnd w:id="8014"/>
      <w:bookmarkEnd w:id="8015"/>
      <w:bookmarkEnd w:id="8016"/>
      <w:bookmarkEnd w:id="8017"/>
      <w:bookmarkEnd w:id="8018"/>
      <w:bookmarkEnd w:id="8019"/>
      <w:bookmarkEnd w:id="8020"/>
      <w:bookmarkEnd w:id="8021"/>
      <w:bookmarkEnd w:id="8022"/>
      <w:bookmarkEnd w:id="8023"/>
      <w:bookmarkEnd w:id="8024"/>
      <w:bookmarkEnd w:id="8025"/>
      <w:bookmarkEnd w:id="8026"/>
      <w:bookmarkEnd w:id="8027"/>
      <w:bookmarkEnd w:id="8028"/>
      <w:bookmarkEnd w:id="8029"/>
      <w:bookmarkEnd w:id="8030"/>
      <w:bookmarkEnd w:id="8031"/>
      <w:bookmarkEnd w:id="8032"/>
      <w:bookmarkEnd w:id="8033"/>
      <w:bookmarkEnd w:id="8034"/>
      <w:bookmarkEnd w:id="8035"/>
      <w:bookmarkEnd w:id="8036"/>
      <w:bookmarkEnd w:id="8037"/>
      <w:bookmarkEnd w:id="8038"/>
      <w:bookmarkEnd w:id="8039"/>
      <w:bookmarkEnd w:id="8040"/>
      <w:bookmarkEnd w:id="8041"/>
      <w:bookmarkEnd w:id="8042"/>
      <w:bookmarkEnd w:id="8043"/>
      <w:bookmarkEnd w:id="8044"/>
      <w:bookmarkEnd w:id="8045"/>
      <w:bookmarkEnd w:id="8046"/>
      <w:bookmarkEnd w:id="8047"/>
      <w:bookmarkEnd w:id="8048"/>
      <w:bookmarkEnd w:id="8049"/>
      <w:bookmarkEnd w:id="8050"/>
      <w:bookmarkEnd w:id="8051"/>
      <w:bookmarkEnd w:id="8052"/>
      <w:bookmarkEnd w:id="8053"/>
      <w:bookmarkEnd w:id="8054"/>
      <w:bookmarkEnd w:id="8055"/>
      <w:bookmarkEnd w:id="8056"/>
      <w:bookmarkEnd w:id="8057"/>
      <w:bookmarkEnd w:id="8058"/>
      <w:bookmarkEnd w:id="8059"/>
    </w:p>
    <w:p>
      <w:pPr>
        <w:pStyle w:val="yShoulderClause"/>
      </w:pPr>
      <w:r>
        <w:t>[Reg. 64ZA]</w:t>
      </w:r>
    </w:p>
    <w:p>
      <w:pPr>
        <w:pStyle w:val="yFootnoteheading"/>
        <w:spacing w:before="0"/>
      </w:pPr>
      <w:r>
        <w:tab/>
        <w:t>[Heading inserted in Gazette 1 Oct 2003 p. 4337.]</w:t>
      </w:r>
    </w:p>
    <w:p>
      <w:pPr>
        <w:pStyle w:val="yHeading3"/>
        <w:spacing w:before="180"/>
      </w:pPr>
      <w:bookmarkStart w:id="8060" w:name="_Toc248122318"/>
      <w:bookmarkStart w:id="8061" w:name="_Toc248122769"/>
      <w:bookmarkStart w:id="8062" w:name="_Toc253670756"/>
      <w:bookmarkStart w:id="8063" w:name="_Toc253671206"/>
      <w:bookmarkStart w:id="8064" w:name="_Toc254942980"/>
      <w:bookmarkStart w:id="8065" w:name="_Toc254943433"/>
      <w:bookmarkStart w:id="8066" w:name="_Toc255476025"/>
      <w:bookmarkStart w:id="8067" w:name="_Toc256432346"/>
      <w:bookmarkStart w:id="8068" w:name="_Toc257720683"/>
      <w:bookmarkStart w:id="8069" w:name="_Toc257722365"/>
      <w:bookmarkStart w:id="8070" w:name="_Toc258336041"/>
      <w:bookmarkStart w:id="8071" w:name="_Toc260406483"/>
      <w:bookmarkStart w:id="8072" w:name="_Toc261271669"/>
      <w:bookmarkStart w:id="8073" w:name="_Toc262808351"/>
      <w:bookmarkStart w:id="8074" w:name="_Toc267572744"/>
      <w:bookmarkStart w:id="8075" w:name="_Toc270684493"/>
      <w:bookmarkStart w:id="8076" w:name="_Toc274214670"/>
      <w:bookmarkStart w:id="8077" w:name="_Toc274215119"/>
      <w:bookmarkStart w:id="8078" w:name="_Toc278976450"/>
      <w:bookmarkStart w:id="8079" w:name="_Toc286760771"/>
      <w:bookmarkStart w:id="8080" w:name="_Toc289081116"/>
      <w:bookmarkStart w:id="8081" w:name="_Toc290284310"/>
      <w:bookmarkStart w:id="8082" w:name="_Toc290643131"/>
      <w:bookmarkStart w:id="8083" w:name="_Toc290643580"/>
      <w:bookmarkStart w:id="8084" w:name="_Toc290644033"/>
      <w:bookmarkStart w:id="8085" w:name="_Toc294701850"/>
      <w:bookmarkStart w:id="8086" w:name="_Toc295200258"/>
      <w:bookmarkStart w:id="8087" w:name="_Toc296954699"/>
      <w:bookmarkStart w:id="8088" w:name="_Toc297276334"/>
      <w:bookmarkStart w:id="8089" w:name="_Toc297276786"/>
      <w:bookmarkStart w:id="8090" w:name="_Toc297277236"/>
      <w:bookmarkStart w:id="8091" w:name="_Toc297726605"/>
      <w:bookmarkStart w:id="8092" w:name="_Toc299980391"/>
      <w:bookmarkStart w:id="8093" w:name="_Toc300235017"/>
      <w:bookmarkStart w:id="8094" w:name="_Toc301961520"/>
      <w:bookmarkStart w:id="8095" w:name="_Toc301967090"/>
      <w:bookmarkStart w:id="8096" w:name="_Toc303253299"/>
      <w:bookmarkStart w:id="8097" w:name="_Toc303257463"/>
      <w:bookmarkStart w:id="8098" w:name="_Toc307993096"/>
      <w:bookmarkStart w:id="8099" w:name="_Toc309030129"/>
      <w:bookmarkStart w:id="8100" w:name="_Toc309304352"/>
      <w:bookmarkStart w:id="8101" w:name="_Toc309309629"/>
      <w:bookmarkStart w:id="8102" w:name="_Toc189988191"/>
      <w:bookmarkStart w:id="8103" w:name="_Toc192041774"/>
      <w:bookmarkStart w:id="8104" w:name="_Toc199571008"/>
      <w:bookmarkStart w:id="8105" w:name="_Toc199739007"/>
      <w:bookmarkStart w:id="8106" w:name="_Toc199815108"/>
      <w:bookmarkStart w:id="8107" w:name="_Toc215040915"/>
      <w:bookmarkStart w:id="8108" w:name="_Toc215041360"/>
      <w:bookmarkStart w:id="8109" w:name="_Toc222129568"/>
      <w:bookmarkStart w:id="8110" w:name="_Toc222223273"/>
      <w:bookmarkStart w:id="8111" w:name="_Toc225914525"/>
      <w:bookmarkStart w:id="8112" w:name="_Toc231282570"/>
      <w:bookmarkStart w:id="8113" w:name="_Toc231283014"/>
      <w:bookmarkStart w:id="8114" w:name="_Toc234899604"/>
      <w:bookmarkStart w:id="8115" w:name="_Toc236632886"/>
      <w:bookmarkStart w:id="8116" w:name="_Toc236720499"/>
      <w:bookmarkStart w:id="8117" w:name="_Toc237764698"/>
      <w:bookmarkStart w:id="8118" w:name="_Toc238356322"/>
      <w:bookmarkStart w:id="8119" w:name="_Toc238369027"/>
      <w:bookmarkStart w:id="8120" w:name="_Toc238375980"/>
      <w:bookmarkStart w:id="8121" w:name="_Toc240339304"/>
      <w:bookmarkStart w:id="8122" w:name="_Toc241993810"/>
      <w:bookmarkStart w:id="8123" w:name="_Toc243192953"/>
      <w:bookmarkStart w:id="8124" w:name="_Toc243295655"/>
      <w:bookmarkStart w:id="8125" w:name="_Toc245113228"/>
      <w:bookmarkStart w:id="8126" w:name="_Toc245198390"/>
      <w:bookmarkStart w:id="8127" w:name="_Toc245198839"/>
      <w:bookmarkStart w:id="8128" w:name="_Toc245199288"/>
      <w:r>
        <w:t>Division 1 — Grouped bag limit of 2 fish (demersal scalefish)</w:t>
      </w:r>
      <w:bookmarkEnd w:id="8060"/>
      <w:bookmarkEnd w:id="8061"/>
      <w:bookmarkEnd w:id="8062"/>
      <w:bookmarkEnd w:id="8063"/>
      <w:bookmarkEnd w:id="8064"/>
      <w:bookmarkEnd w:id="8065"/>
      <w:bookmarkEnd w:id="8066"/>
      <w:bookmarkEnd w:id="8067"/>
      <w:bookmarkEnd w:id="8068"/>
      <w:bookmarkEnd w:id="8069"/>
      <w:bookmarkEnd w:id="8070"/>
      <w:bookmarkEnd w:id="8071"/>
      <w:bookmarkEnd w:id="8072"/>
      <w:bookmarkEnd w:id="8073"/>
      <w:bookmarkEnd w:id="8074"/>
      <w:bookmarkEnd w:id="8075"/>
      <w:bookmarkEnd w:id="8076"/>
      <w:bookmarkEnd w:id="8077"/>
      <w:bookmarkEnd w:id="8078"/>
      <w:bookmarkEnd w:id="8079"/>
      <w:bookmarkEnd w:id="8080"/>
      <w:bookmarkEnd w:id="8081"/>
      <w:bookmarkEnd w:id="8082"/>
      <w:bookmarkEnd w:id="8083"/>
      <w:bookmarkEnd w:id="8084"/>
      <w:bookmarkEnd w:id="8085"/>
      <w:bookmarkEnd w:id="8086"/>
      <w:bookmarkEnd w:id="8087"/>
      <w:bookmarkEnd w:id="8088"/>
      <w:bookmarkEnd w:id="8089"/>
      <w:bookmarkEnd w:id="8090"/>
      <w:bookmarkEnd w:id="8091"/>
      <w:bookmarkEnd w:id="8092"/>
      <w:bookmarkEnd w:id="8093"/>
      <w:bookmarkEnd w:id="8094"/>
      <w:bookmarkEnd w:id="8095"/>
      <w:bookmarkEnd w:id="8096"/>
      <w:bookmarkEnd w:id="8097"/>
      <w:bookmarkEnd w:id="8098"/>
      <w:bookmarkEnd w:id="8099"/>
      <w:bookmarkEnd w:id="8100"/>
      <w:bookmarkEnd w:id="8101"/>
    </w:p>
    <w:p>
      <w:pPr>
        <w:pStyle w:val="yFootnoteheading"/>
        <w:keepNext/>
        <w:spacing w:after="120"/>
      </w:pPr>
      <w:r>
        <w:tab/>
        <w:t>[Heading inserted in Gazette 8 Dec 2009 p. 4996.]</w:t>
      </w:r>
    </w:p>
    <w:tbl>
      <w:tblPr>
        <w:tblW w:w="7080" w:type="dxa"/>
        <w:tblInd w:w="113" w:type="dxa"/>
        <w:tblLayout w:type="fixed"/>
        <w:tblCellMar>
          <w:left w:w="113" w:type="dxa"/>
          <w:right w:w="113" w:type="dxa"/>
        </w:tblCellMar>
        <w:tblLook w:val="0000" w:firstRow="0" w:lastRow="0" w:firstColumn="0" w:lastColumn="0" w:noHBand="0" w:noVBand="0"/>
      </w:tblPr>
      <w:tblGrid>
        <w:gridCol w:w="4292"/>
        <w:gridCol w:w="840"/>
        <w:gridCol w:w="480"/>
        <w:gridCol w:w="1468"/>
      </w:tblGrid>
      <w:tr>
        <w:trPr>
          <w:cantSplit/>
          <w:trHeight w:val="20"/>
          <w:tblHeader/>
        </w:trPr>
        <w:tc>
          <w:tcPr>
            <w:tcW w:w="429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Fish</w:t>
            </w:r>
          </w:p>
        </w:tc>
        <w:tc>
          <w:tcPr>
            <w:tcW w:w="1320" w:type="dxa"/>
            <w:gridSpan w:val="2"/>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 or group of species, bag limit for one day</w:t>
            </w:r>
          </w:p>
        </w:tc>
        <w:tc>
          <w:tcPr>
            <w:tcW w:w="1468"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Grouped bag limit of all species in this Division for one day</w:t>
            </w: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 xml:space="preserve">Cod (combined, except Coral Trout and Coronation Trout) </w:t>
            </w:r>
            <w:r>
              <w:tab/>
            </w:r>
          </w:p>
        </w:tc>
        <w:tc>
          <w:tcPr>
            <w:tcW w:w="840" w:type="dxa"/>
            <w:tcMar>
              <w:left w:w="85" w:type="dxa"/>
              <w:right w:w="113" w:type="dxa"/>
            </w:tcMar>
          </w:tcPr>
          <w:p>
            <w:pPr>
              <w:pStyle w:val="yTableNAm"/>
              <w:spacing w:before="0"/>
            </w:pPr>
            <w:r>
              <w:br/>
              <w:t>2</w:t>
            </w:r>
          </w:p>
        </w:tc>
        <w:tc>
          <w:tcPr>
            <w:tcW w:w="480" w:type="dxa"/>
            <w:vMerge w:val="restart"/>
            <w:tcMar>
              <w:left w:w="85" w:type="dxa"/>
              <w:right w:w="113" w:type="dxa"/>
            </w:tcMar>
          </w:tcPr>
          <w:p>
            <w:pPr>
              <w:pStyle w:val="yTableNAm"/>
              <w:spacing w:before="40"/>
            </w:pPr>
            <w:r>
              <w:rPr>
                <w:noProof/>
                <w:lang w:eastAsia="en-AU"/>
              </w:rPr>
              <w:drawing>
                <wp:inline distT="0" distB="0" distL="0" distR="0">
                  <wp:extent cx="161925" cy="3009900"/>
                  <wp:effectExtent l="0" t="0" r="952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61925" cy="3009900"/>
                          </a:xfrm>
                          <a:prstGeom prst="rect">
                            <a:avLst/>
                          </a:prstGeom>
                          <a:noFill/>
                          <a:ln>
                            <a:noFill/>
                          </a:ln>
                        </pic:spPr>
                      </pic:pic>
                    </a:graphicData>
                  </a:graphic>
                </wp:inline>
              </w:drawing>
            </w:r>
          </w:p>
        </w:tc>
        <w:tc>
          <w:tcPr>
            <w:tcW w:w="1468" w:type="dxa"/>
            <w:vMerge w:val="restart"/>
            <w:tcMar>
              <w:left w:w="85" w:type="dxa"/>
              <w:right w:w="113" w:type="dxa"/>
            </w:tcMar>
          </w:tcPr>
          <w:p>
            <w:pPr>
              <w:pStyle w:val="yTableNAm"/>
              <w:spacing w:before="260"/>
            </w:pPr>
            <w:r>
              <w:br/>
            </w:r>
            <w:r>
              <w:br/>
            </w:r>
            <w:r>
              <w:br/>
            </w:r>
            <w:r>
              <w:br/>
            </w:r>
            <w:r>
              <w:br/>
            </w:r>
            <w:r>
              <w:br/>
            </w:r>
            <w:r>
              <w:br/>
            </w:r>
            <w:r>
              <w:br/>
              <w:t>2</w:t>
            </w: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Cod classified as Epinephelus spp., in excess of 30 kg in weight or 1000 mm in length</w:t>
            </w:r>
            <w:r>
              <w:tab/>
            </w:r>
          </w:p>
        </w:tc>
        <w:tc>
          <w:tcPr>
            <w:tcW w:w="840" w:type="dxa"/>
            <w:tcMar>
              <w:left w:w="85" w:type="dxa"/>
              <w:right w:w="113" w:type="dxa"/>
            </w:tcMar>
          </w:tcPr>
          <w:p>
            <w:pPr>
              <w:pStyle w:val="yTableNAm"/>
              <w:spacing w:before="0"/>
            </w:pPr>
            <w:r>
              <w:br/>
              <w:t>0</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Coral Trout and Coronation Trout (combined) </w:t>
            </w:r>
            <w:r>
              <w:tab/>
            </w:r>
          </w:p>
        </w:tc>
        <w:tc>
          <w:tcPr>
            <w:tcW w:w="840" w:type="dxa"/>
            <w:tcMar>
              <w:left w:w="85" w:type="dxa"/>
              <w:right w:w="113" w:type="dxa"/>
            </w:tcMar>
          </w:tcPr>
          <w:p>
            <w:pPr>
              <w:pStyle w:val="yTableNAm"/>
              <w:spacing w:before="0"/>
            </w:pPr>
            <w:r>
              <w:br/>
              <w:t>1</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 xml:space="preserve">Dhufish, West Australian </w:t>
            </w:r>
            <w:r>
              <w:tab/>
            </w:r>
          </w:p>
        </w:tc>
        <w:tc>
          <w:tcPr>
            <w:tcW w:w="840" w:type="dxa"/>
            <w:tcMar>
              <w:left w:w="85" w:type="dxa"/>
              <w:right w:w="113" w:type="dxa"/>
            </w:tcMar>
          </w:tcPr>
          <w:p>
            <w:pPr>
              <w:pStyle w:val="yTableNAm"/>
              <w:spacing w:before="0"/>
            </w:pPr>
            <w:r>
              <w:t>1</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 xml:space="preserve">Emperor and Seabream (combined)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 xml:space="preserve">Foxfish, Western and Pigfish (combined)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 xml:space="preserve">Groper, Blue </w:t>
            </w:r>
            <w:r>
              <w:tab/>
            </w:r>
          </w:p>
        </w:tc>
        <w:tc>
          <w:tcPr>
            <w:tcW w:w="840" w:type="dxa"/>
            <w:tcMar>
              <w:left w:w="85" w:type="dxa"/>
              <w:right w:w="113" w:type="dxa"/>
            </w:tcMar>
          </w:tcPr>
          <w:p>
            <w:pPr>
              <w:pStyle w:val="yTableNAm"/>
              <w:spacing w:before="0"/>
            </w:pPr>
            <w:r>
              <w:t>1</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 xml:space="preserve">Hapuku, Trevalla, Bass Groper and Grey Banded Rock Cod (combined) </w:t>
            </w:r>
            <w:r>
              <w:tab/>
            </w:r>
          </w:p>
        </w:tc>
        <w:tc>
          <w:tcPr>
            <w:tcW w:w="840" w:type="dxa"/>
            <w:tcMar>
              <w:left w:w="85" w:type="dxa"/>
              <w:right w:w="113" w:type="dxa"/>
            </w:tcMar>
          </w:tcPr>
          <w:p>
            <w:pPr>
              <w:pStyle w:val="yTableNAm"/>
              <w:spacing w:before="0"/>
            </w:pPr>
            <w:r>
              <w:b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 xml:space="preserve">Parrot Fish (combined)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blHeader/>
        </w:trPr>
        <w:tc>
          <w:tcPr>
            <w:tcW w:w="4292" w:type="dxa"/>
            <w:tcMar>
              <w:left w:w="85" w:type="dxa"/>
              <w:right w:w="113" w:type="dxa"/>
            </w:tcMar>
          </w:tcPr>
          <w:p>
            <w:pPr>
              <w:pStyle w:val="yTableNAm"/>
              <w:tabs>
                <w:tab w:val="left" w:leader="dot" w:pos="4087"/>
              </w:tabs>
              <w:spacing w:before="0"/>
              <w:ind w:left="198" w:hanging="198"/>
            </w:pPr>
            <w:r>
              <w:t xml:space="preserve">Sea Perch, Tropical (combined)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blHeader/>
        </w:trPr>
        <w:tc>
          <w:tcPr>
            <w:tcW w:w="4292" w:type="dxa"/>
            <w:tcMar>
              <w:left w:w="85" w:type="dxa"/>
              <w:right w:w="113" w:type="dxa"/>
            </w:tcMar>
          </w:tcPr>
          <w:p>
            <w:pPr>
              <w:pStyle w:val="yTableNAm"/>
              <w:tabs>
                <w:tab w:val="left" w:leader="dot" w:pos="4087"/>
              </w:tabs>
              <w:spacing w:before="0"/>
              <w:ind w:left="198" w:hanging="198"/>
            </w:pPr>
            <w:r>
              <w:t xml:space="preserve">Snapper, Pink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blHeader/>
        </w:trPr>
        <w:tc>
          <w:tcPr>
            <w:tcW w:w="4292" w:type="dxa"/>
            <w:tcMar>
              <w:left w:w="85" w:type="dxa"/>
              <w:right w:w="113" w:type="dxa"/>
            </w:tcMar>
          </w:tcPr>
          <w:p>
            <w:pPr>
              <w:pStyle w:val="yTableNAm"/>
              <w:tabs>
                <w:tab w:val="left" w:leader="dot" w:pos="4087"/>
              </w:tabs>
              <w:spacing w:before="0"/>
              <w:ind w:left="198" w:hanging="198"/>
            </w:pPr>
            <w:r>
              <w:t xml:space="preserve">Snapper, Queen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blHeader/>
        </w:trPr>
        <w:tc>
          <w:tcPr>
            <w:tcW w:w="4292" w:type="dxa"/>
            <w:tcMar>
              <w:left w:w="85" w:type="dxa"/>
              <w:right w:w="113" w:type="dxa"/>
            </w:tcMar>
          </w:tcPr>
          <w:p>
            <w:pPr>
              <w:pStyle w:val="yTableNAm"/>
              <w:tabs>
                <w:tab w:val="left" w:leader="dot" w:pos="4087"/>
              </w:tabs>
              <w:spacing w:before="0"/>
              <w:ind w:left="198" w:hanging="198"/>
            </w:pPr>
            <w:r>
              <w:t xml:space="preserve">Snapper, Red (Redfish) and Swallowtail (combined) </w:t>
            </w:r>
            <w:r>
              <w:tab/>
            </w:r>
          </w:p>
        </w:tc>
        <w:tc>
          <w:tcPr>
            <w:tcW w:w="840" w:type="dxa"/>
            <w:tcMar>
              <w:left w:w="85" w:type="dxa"/>
              <w:right w:w="113" w:type="dxa"/>
            </w:tcMar>
          </w:tcPr>
          <w:p>
            <w:pPr>
              <w:pStyle w:val="yTableNAm"/>
              <w:spacing w:before="0"/>
            </w:pPr>
            <w:r>
              <w:b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blHeader/>
        </w:trPr>
        <w:tc>
          <w:tcPr>
            <w:tcW w:w="4292" w:type="dxa"/>
            <w:tcBorders>
              <w:bottom w:val="single" w:sz="4" w:space="0" w:color="auto"/>
            </w:tcBorders>
            <w:tcMar>
              <w:left w:w="85" w:type="dxa"/>
              <w:right w:w="113" w:type="dxa"/>
            </w:tcMar>
          </w:tcPr>
          <w:p>
            <w:pPr>
              <w:pStyle w:val="yTableNAm"/>
              <w:tabs>
                <w:tab w:val="left" w:leader="dot" w:pos="4087"/>
              </w:tabs>
              <w:spacing w:before="0"/>
              <w:ind w:left="198" w:hanging="198"/>
            </w:pPr>
            <w:r>
              <w:t xml:space="preserve">Tuskfish and Baldchin Groper (combined) </w:t>
            </w:r>
            <w:r>
              <w:tab/>
            </w:r>
          </w:p>
        </w:tc>
        <w:tc>
          <w:tcPr>
            <w:tcW w:w="840" w:type="dxa"/>
            <w:tcBorders>
              <w:bottom w:val="single" w:sz="4" w:space="0" w:color="auto"/>
            </w:tcBorders>
            <w:tcMar>
              <w:left w:w="85" w:type="dxa"/>
              <w:right w:w="113" w:type="dxa"/>
            </w:tcMar>
          </w:tcPr>
          <w:p>
            <w:pPr>
              <w:pStyle w:val="yTableNAm"/>
              <w:spacing w:before="0"/>
            </w:pPr>
            <w: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bl>
    <w:p>
      <w:pPr>
        <w:pStyle w:val="yFootnotesection"/>
        <w:spacing w:before="60"/>
      </w:pPr>
      <w:r>
        <w:tab/>
        <w:t>[Division 1 inserted in Gazette 8 Dec 2009 p. 4996 (Printer’s correction in Gazette 15 Dec 2009 p. 5140).]</w:t>
      </w:r>
    </w:p>
    <w:p>
      <w:pPr>
        <w:pStyle w:val="yHeading3"/>
      </w:pPr>
      <w:bookmarkStart w:id="8129" w:name="_Toc248122319"/>
      <w:bookmarkStart w:id="8130" w:name="_Toc248122770"/>
      <w:bookmarkStart w:id="8131" w:name="_Toc253670757"/>
      <w:bookmarkStart w:id="8132" w:name="_Toc253671207"/>
      <w:bookmarkStart w:id="8133" w:name="_Toc254942981"/>
      <w:bookmarkStart w:id="8134" w:name="_Toc254943434"/>
      <w:bookmarkStart w:id="8135" w:name="_Toc255476026"/>
      <w:bookmarkStart w:id="8136" w:name="_Toc256432347"/>
      <w:bookmarkStart w:id="8137" w:name="_Toc257720684"/>
      <w:bookmarkStart w:id="8138" w:name="_Toc257722366"/>
      <w:bookmarkStart w:id="8139" w:name="_Toc258336042"/>
      <w:bookmarkStart w:id="8140" w:name="_Toc260406484"/>
      <w:bookmarkStart w:id="8141" w:name="_Toc261271670"/>
      <w:bookmarkStart w:id="8142" w:name="_Toc262808352"/>
      <w:bookmarkStart w:id="8143" w:name="_Toc267572745"/>
      <w:bookmarkStart w:id="8144" w:name="_Toc270684494"/>
      <w:bookmarkStart w:id="8145" w:name="_Toc274214671"/>
      <w:bookmarkStart w:id="8146" w:name="_Toc274215120"/>
      <w:bookmarkStart w:id="8147" w:name="_Toc278976451"/>
      <w:bookmarkStart w:id="8148" w:name="_Toc286760772"/>
      <w:bookmarkStart w:id="8149" w:name="_Toc289081117"/>
      <w:bookmarkStart w:id="8150" w:name="_Toc290284311"/>
      <w:bookmarkStart w:id="8151" w:name="_Toc290643132"/>
      <w:bookmarkStart w:id="8152" w:name="_Toc290643581"/>
      <w:bookmarkStart w:id="8153" w:name="_Toc290644034"/>
      <w:bookmarkStart w:id="8154" w:name="_Toc294701851"/>
      <w:bookmarkStart w:id="8155" w:name="_Toc295200259"/>
      <w:bookmarkStart w:id="8156" w:name="_Toc296954700"/>
      <w:bookmarkStart w:id="8157" w:name="_Toc297276335"/>
      <w:bookmarkStart w:id="8158" w:name="_Toc297276787"/>
      <w:bookmarkStart w:id="8159" w:name="_Toc297277237"/>
      <w:bookmarkStart w:id="8160" w:name="_Toc297726606"/>
      <w:bookmarkStart w:id="8161" w:name="_Toc299980392"/>
      <w:bookmarkStart w:id="8162" w:name="_Toc300235018"/>
      <w:bookmarkStart w:id="8163" w:name="_Toc301961521"/>
      <w:bookmarkStart w:id="8164" w:name="_Toc301967091"/>
      <w:bookmarkStart w:id="8165" w:name="_Toc303253300"/>
      <w:bookmarkStart w:id="8166" w:name="_Toc303257464"/>
      <w:bookmarkStart w:id="8167" w:name="_Toc307993097"/>
      <w:bookmarkStart w:id="8168" w:name="_Toc309030130"/>
      <w:bookmarkStart w:id="8169" w:name="_Toc309304353"/>
      <w:bookmarkStart w:id="8170" w:name="_Toc309309630"/>
      <w:r>
        <w:t>Division 2A — Grouped bag limit of 2 fish (pelagic species)</w:t>
      </w:r>
      <w:bookmarkEnd w:id="8129"/>
      <w:bookmarkEnd w:id="8130"/>
      <w:bookmarkEnd w:id="8131"/>
      <w:bookmarkEnd w:id="8132"/>
      <w:bookmarkEnd w:id="8133"/>
      <w:bookmarkEnd w:id="8134"/>
      <w:bookmarkEnd w:id="8135"/>
      <w:bookmarkEnd w:id="8136"/>
      <w:bookmarkEnd w:id="8137"/>
      <w:bookmarkEnd w:id="8138"/>
      <w:bookmarkEnd w:id="8139"/>
      <w:bookmarkEnd w:id="8140"/>
      <w:bookmarkEnd w:id="8141"/>
      <w:bookmarkEnd w:id="8142"/>
      <w:bookmarkEnd w:id="8143"/>
      <w:bookmarkEnd w:id="8144"/>
      <w:bookmarkEnd w:id="8145"/>
      <w:bookmarkEnd w:id="8146"/>
      <w:bookmarkEnd w:id="8147"/>
      <w:bookmarkEnd w:id="8148"/>
      <w:bookmarkEnd w:id="8149"/>
      <w:bookmarkEnd w:id="8150"/>
      <w:bookmarkEnd w:id="8151"/>
      <w:bookmarkEnd w:id="8152"/>
      <w:bookmarkEnd w:id="8153"/>
      <w:bookmarkEnd w:id="8154"/>
      <w:bookmarkEnd w:id="8155"/>
      <w:bookmarkEnd w:id="8156"/>
      <w:bookmarkEnd w:id="8157"/>
      <w:bookmarkEnd w:id="8158"/>
      <w:bookmarkEnd w:id="8159"/>
      <w:bookmarkEnd w:id="8160"/>
      <w:bookmarkEnd w:id="8161"/>
      <w:bookmarkEnd w:id="8162"/>
      <w:bookmarkEnd w:id="8163"/>
      <w:bookmarkEnd w:id="8164"/>
      <w:bookmarkEnd w:id="8165"/>
      <w:bookmarkEnd w:id="8166"/>
      <w:bookmarkEnd w:id="8167"/>
      <w:bookmarkEnd w:id="8168"/>
      <w:bookmarkEnd w:id="8169"/>
      <w:bookmarkEnd w:id="8170"/>
    </w:p>
    <w:p>
      <w:pPr>
        <w:pStyle w:val="yFootnoteheading"/>
        <w:keepNext/>
        <w:spacing w:after="120"/>
      </w:pPr>
      <w:r>
        <w:tab/>
        <w:t>[Heading inserted in Gazette 8 Dec 2009 p. 4997.]</w:t>
      </w:r>
    </w:p>
    <w:tbl>
      <w:tblPr>
        <w:tblW w:w="7080" w:type="dxa"/>
        <w:tblInd w:w="113" w:type="dxa"/>
        <w:tblLayout w:type="fixed"/>
        <w:tblCellMar>
          <w:left w:w="113" w:type="dxa"/>
          <w:right w:w="113" w:type="dxa"/>
        </w:tblCellMar>
        <w:tblLook w:val="0000" w:firstRow="0" w:lastRow="0" w:firstColumn="0" w:lastColumn="0" w:noHBand="0" w:noVBand="0"/>
      </w:tblPr>
      <w:tblGrid>
        <w:gridCol w:w="4290"/>
        <w:gridCol w:w="842"/>
        <w:gridCol w:w="480"/>
        <w:gridCol w:w="1468"/>
      </w:tblGrid>
      <w:tr>
        <w:trPr>
          <w:cantSplit/>
          <w:tblHeader/>
        </w:trPr>
        <w:tc>
          <w:tcPr>
            <w:tcW w:w="4290"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Fish</w:t>
            </w:r>
          </w:p>
        </w:tc>
        <w:tc>
          <w:tcPr>
            <w:tcW w:w="1322" w:type="dxa"/>
            <w:gridSpan w:val="2"/>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 or group of species, bag limit for one day</w:t>
            </w:r>
          </w:p>
        </w:tc>
        <w:tc>
          <w:tcPr>
            <w:tcW w:w="1468"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Grouped bag limit of all species in the Division for one day</w:t>
            </w:r>
          </w:p>
        </w:tc>
      </w:tr>
      <w:tr>
        <w:trPr>
          <w:cantSplit/>
        </w:trPr>
        <w:tc>
          <w:tcPr>
            <w:tcW w:w="4290" w:type="dxa"/>
            <w:tcMar>
              <w:left w:w="85" w:type="dxa"/>
              <w:right w:w="113" w:type="dxa"/>
            </w:tcMar>
          </w:tcPr>
          <w:p>
            <w:pPr>
              <w:pStyle w:val="yTableNAm"/>
              <w:tabs>
                <w:tab w:val="left" w:leader="dot" w:pos="4087"/>
              </w:tabs>
              <w:spacing w:before="0"/>
              <w:ind w:left="198" w:hanging="198"/>
            </w:pPr>
            <w:r>
              <w:t xml:space="preserve">Barracuda </w:t>
            </w:r>
            <w:r>
              <w:tab/>
            </w:r>
          </w:p>
        </w:tc>
        <w:tc>
          <w:tcPr>
            <w:tcW w:w="842" w:type="dxa"/>
            <w:tcMar>
              <w:left w:w="85" w:type="dxa"/>
              <w:right w:w="113" w:type="dxa"/>
            </w:tcMar>
          </w:tcPr>
          <w:p>
            <w:pPr>
              <w:pStyle w:val="yTableNAm"/>
              <w:spacing w:before="0"/>
            </w:pPr>
            <w:r>
              <w:t>2</w:t>
            </w:r>
          </w:p>
        </w:tc>
        <w:tc>
          <w:tcPr>
            <w:tcW w:w="480" w:type="dxa"/>
            <w:vMerge w:val="restart"/>
            <w:tcBorders>
              <w:top w:val="single" w:sz="8" w:space="0" w:color="auto"/>
              <w:bottom w:val="single" w:sz="4" w:space="0" w:color="auto"/>
            </w:tcBorders>
            <w:tcMar>
              <w:left w:w="85" w:type="dxa"/>
              <w:right w:w="113" w:type="dxa"/>
            </w:tcMar>
          </w:tcPr>
          <w:p>
            <w:pPr>
              <w:pStyle w:val="yTableNAm"/>
              <w:spacing w:before="0"/>
            </w:pPr>
            <w:r>
              <w:rPr>
                <w:noProof/>
                <w:lang w:eastAsia="en-AU"/>
              </w:rPr>
              <w:drawing>
                <wp:inline distT="0" distB="0" distL="0" distR="0">
                  <wp:extent cx="161925" cy="2371725"/>
                  <wp:effectExtent l="0" t="0" r="9525"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61925" cy="2371725"/>
                          </a:xfrm>
                          <a:prstGeom prst="rect">
                            <a:avLst/>
                          </a:prstGeom>
                          <a:noFill/>
                          <a:ln>
                            <a:noFill/>
                          </a:ln>
                        </pic:spPr>
                      </pic:pic>
                    </a:graphicData>
                  </a:graphic>
                </wp:inline>
              </w:drawing>
            </w:r>
          </w:p>
        </w:tc>
        <w:tc>
          <w:tcPr>
            <w:tcW w:w="1468" w:type="dxa"/>
            <w:vMerge w:val="restart"/>
            <w:tcBorders>
              <w:top w:val="single" w:sz="8" w:space="0" w:color="auto"/>
              <w:bottom w:val="single" w:sz="4" w:space="0" w:color="auto"/>
            </w:tcBorders>
            <w:tcMar>
              <w:left w:w="85" w:type="dxa"/>
              <w:right w:w="113" w:type="dxa"/>
            </w:tcMar>
          </w:tcPr>
          <w:p>
            <w:pPr>
              <w:pStyle w:val="yTableNAm"/>
              <w:spacing w:before="240"/>
            </w:pPr>
            <w:r>
              <w:br/>
            </w:r>
            <w:r>
              <w:br/>
            </w:r>
            <w:r>
              <w:br/>
            </w:r>
            <w:r>
              <w:br/>
            </w:r>
            <w:r>
              <w:br/>
            </w:r>
            <w:r>
              <w:br/>
              <w:t>2</w:t>
            </w:r>
          </w:p>
        </w:tc>
      </w:tr>
      <w:tr>
        <w:trPr>
          <w:cantSplit/>
        </w:trPr>
        <w:tc>
          <w:tcPr>
            <w:tcW w:w="4290" w:type="dxa"/>
            <w:tcMar>
              <w:left w:w="85" w:type="dxa"/>
              <w:right w:w="113" w:type="dxa"/>
            </w:tcMar>
          </w:tcPr>
          <w:p>
            <w:pPr>
              <w:pStyle w:val="yTableNAm"/>
              <w:tabs>
                <w:tab w:val="left" w:leader="dot" w:pos="4087"/>
              </w:tabs>
              <w:spacing w:before="0"/>
              <w:ind w:left="198" w:hanging="198"/>
            </w:pPr>
            <w:r>
              <w:t xml:space="preserve">Billfish, Sailfish, Spearfish and Marlins and Swordfish (combined) </w:t>
            </w:r>
            <w:r>
              <w:tab/>
            </w:r>
          </w:p>
        </w:tc>
        <w:tc>
          <w:tcPr>
            <w:tcW w:w="842" w:type="dxa"/>
            <w:tcMar>
              <w:left w:w="85" w:type="dxa"/>
              <w:right w:w="113" w:type="dxa"/>
            </w:tcMar>
          </w:tcPr>
          <w:p>
            <w:pPr>
              <w:pStyle w:val="yTableNAm"/>
              <w:spacing w:before="0"/>
            </w:pPr>
            <w:r>
              <w:br/>
              <w:t>1</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r>
        <w:trPr>
          <w:cantSplit/>
        </w:trPr>
        <w:tc>
          <w:tcPr>
            <w:tcW w:w="4290" w:type="dxa"/>
            <w:tcMar>
              <w:left w:w="85" w:type="dxa"/>
              <w:right w:w="113" w:type="dxa"/>
            </w:tcMar>
          </w:tcPr>
          <w:p>
            <w:pPr>
              <w:pStyle w:val="yTableNAm"/>
              <w:tabs>
                <w:tab w:val="left" w:leader="dot" w:pos="4087"/>
              </w:tabs>
              <w:spacing w:before="0"/>
              <w:ind w:left="198" w:hanging="198"/>
            </w:pPr>
            <w:r>
              <w:t xml:space="preserve">Cobia </w:t>
            </w:r>
            <w:r>
              <w:tab/>
            </w:r>
          </w:p>
        </w:tc>
        <w:tc>
          <w:tcPr>
            <w:tcW w:w="842" w:type="dxa"/>
            <w:tcMar>
              <w:left w:w="85" w:type="dxa"/>
              <w:right w:w="113" w:type="dxa"/>
            </w:tcMar>
          </w:tcPr>
          <w:p>
            <w:pPr>
              <w:pStyle w:val="yTableNAm"/>
              <w:spacing w:before="0"/>
            </w:pPr>
            <w: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r>
        <w:trPr>
          <w:cantSplit/>
        </w:trPr>
        <w:tc>
          <w:tcPr>
            <w:tcW w:w="4290" w:type="dxa"/>
            <w:tcMar>
              <w:left w:w="85" w:type="dxa"/>
              <w:right w:w="113" w:type="dxa"/>
            </w:tcMar>
          </w:tcPr>
          <w:p>
            <w:pPr>
              <w:pStyle w:val="yTableNAm"/>
              <w:tabs>
                <w:tab w:val="left" w:leader="dot" w:pos="4087"/>
              </w:tabs>
              <w:spacing w:before="0"/>
              <w:ind w:left="198" w:hanging="198"/>
            </w:pPr>
            <w:r>
              <w:t xml:space="preserve">Dolphinfish (Mahi Mahi) </w:t>
            </w:r>
            <w:r>
              <w:tab/>
            </w:r>
          </w:p>
        </w:tc>
        <w:tc>
          <w:tcPr>
            <w:tcW w:w="842" w:type="dxa"/>
            <w:tcMar>
              <w:left w:w="85" w:type="dxa"/>
              <w:right w:w="113" w:type="dxa"/>
            </w:tcMar>
          </w:tcPr>
          <w:p>
            <w:pPr>
              <w:pStyle w:val="yTableNAm"/>
              <w:spacing w:before="0"/>
            </w:pPr>
            <w: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r>
        <w:trPr>
          <w:cantSplit/>
        </w:trPr>
        <w:tc>
          <w:tcPr>
            <w:tcW w:w="4290" w:type="dxa"/>
            <w:tcMar>
              <w:left w:w="85" w:type="dxa"/>
              <w:right w:w="113" w:type="dxa"/>
            </w:tcMar>
          </w:tcPr>
          <w:p>
            <w:pPr>
              <w:pStyle w:val="yTableNAm"/>
              <w:tabs>
                <w:tab w:val="left" w:leader="dot" w:pos="4087"/>
              </w:tabs>
              <w:spacing w:before="0"/>
              <w:ind w:left="198" w:hanging="198"/>
            </w:pPr>
            <w:r>
              <w:t>Mackerel, Broad</w:t>
            </w:r>
            <w:r>
              <w:noBreakHyphen/>
              <w:t>barred Spanish and Narrow</w:t>
            </w:r>
            <w:r>
              <w:noBreakHyphen/>
              <w:t xml:space="preserve">barred Spanish (combined) </w:t>
            </w:r>
            <w:r>
              <w:tab/>
            </w:r>
          </w:p>
        </w:tc>
        <w:tc>
          <w:tcPr>
            <w:tcW w:w="842" w:type="dxa"/>
            <w:tcMar>
              <w:left w:w="85" w:type="dxa"/>
              <w:right w:w="113" w:type="dxa"/>
            </w:tcMar>
          </w:tcPr>
          <w:p>
            <w:pPr>
              <w:pStyle w:val="yTableNAm"/>
              <w:spacing w:before="0"/>
            </w:pPr>
            <w:r>
              <w:b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r>
        <w:trPr>
          <w:cantSplit/>
        </w:trPr>
        <w:tc>
          <w:tcPr>
            <w:tcW w:w="4290" w:type="dxa"/>
            <w:tcMar>
              <w:left w:w="85" w:type="dxa"/>
              <w:right w:w="113" w:type="dxa"/>
            </w:tcMar>
          </w:tcPr>
          <w:p>
            <w:pPr>
              <w:pStyle w:val="yTableNAm"/>
              <w:tabs>
                <w:tab w:val="left" w:leader="dot" w:pos="4087"/>
              </w:tabs>
              <w:spacing w:before="0"/>
              <w:ind w:left="198" w:hanging="198"/>
            </w:pPr>
            <w:r>
              <w:t xml:space="preserve">Mackerel, Shark </w:t>
            </w:r>
            <w:r>
              <w:tab/>
            </w:r>
          </w:p>
        </w:tc>
        <w:tc>
          <w:tcPr>
            <w:tcW w:w="842" w:type="dxa"/>
            <w:tcMar>
              <w:left w:w="85" w:type="dxa"/>
              <w:right w:w="113" w:type="dxa"/>
            </w:tcMar>
          </w:tcPr>
          <w:p>
            <w:pPr>
              <w:pStyle w:val="yTableNAm"/>
              <w:spacing w:before="0"/>
            </w:pPr>
            <w: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r>
        <w:trPr>
          <w:cantSplit/>
        </w:trPr>
        <w:tc>
          <w:tcPr>
            <w:tcW w:w="4290" w:type="dxa"/>
            <w:tcMar>
              <w:left w:w="85" w:type="dxa"/>
              <w:right w:w="113" w:type="dxa"/>
            </w:tcMar>
          </w:tcPr>
          <w:p>
            <w:pPr>
              <w:pStyle w:val="yTableNAm"/>
              <w:tabs>
                <w:tab w:val="left" w:leader="dot" w:pos="4087"/>
              </w:tabs>
              <w:spacing w:before="0"/>
              <w:ind w:left="198" w:hanging="198"/>
            </w:pPr>
            <w:r>
              <w:t xml:space="preserve">Mackerel, Wahoo </w:t>
            </w:r>
            <w:r>
              <w:tab/>
            </w:r>
          </w:p>
        </w:tc>
        <w:tc>
          <w:tcPr>
            <w:tcW w:w="842" w:type="dxa"/>
            <w:tcMar>
              <w:left w:w="85" w:type="dxa"/>
              <w:right w:w="113" w:type="dxa"/>
            </w:tcMar>
          </w:tcPr>
          <w:p>
            <w:pPr>
              <w:pStyle w:val="yTableNAm"/>
              <w:spacing w:before="0"/>
            </w:pPr>
            <w: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r>
        <w:trPr>
          <w:cantSplit/>
        </w:trPr>
        <w:tc>
          <w:tcPr>
            <w:tcW w:w="4290" w:type="dxa"/>
            <w:tcMar>
              <w:left w:w="85" w:type="dxa"/>
              <w:right w:w="113" w:type="dxa"/>
            </w:tcMar>
          </w:tcPr>
          <w:p>
            <w:pPr>
              <w:pStyle w:val="yTableNAm"/>
              <w:tabs>
                <w:tab w:val="left" w:leader="dot" w:pos="4087"/>
              </w:tabs>
              <w:spacing w:before="0"/>
              <w:ind w:left="198" w:hanging="198"/>
            </w:pPr>
            <w:r>
              <w:t xml:space="preserve">Samson Fish, Amberjack and Yellowtail Kingfish (combined) </w:t>
            </w:r>
            <w:r>
              <w:tab/>
            </w:r>
          </w:p>
        </w:tc>
        <w:tc>
          <w:tcPr>
            <w:tcW w:w="842" w:type="dxa"/>
            <w:tcMar>
              <w:left w:w="85" w:type="dxa"/>
              <w:right w:w="113" w:type="dxa"/>
            </w:tcMar>
          </w:tcPr>
          <w:p>
            <w:pPr>
              <w:pStyle w:val="yTableNAm"/>
              <w:spacing w:before="0"/>
            </w:pPr>
            <w:r>
              <w:b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r>
        <w:trPr>
          <w:cantSplit/>
          <w:tblHeader/>
        </w:trPr>
        <w:tc>
          <w:tcPr>
            <w:tcW w:w="4290" w:type="dxa"/>
            <w:tcMar>
              <w:left w:w="85" w:type="dxa"/>
              <w:right w:w="113" w:type="dxa"/>
            </w:tcMar>
          </w:tcPr>
          <w:p>
            <w:pPr>
              <w:pStyle w:val="yTableNAm"/>
              <w:tabs>
                <w:tab w:val="left" w:leader="dot" w:pos="4087"/>
              </w:tabs>
              <w:spacing w:before="0"/>
              <w:ind w:left="198" w:hanging="198"/>
            </w:pPr>
            <w:r>
              <w:t xml:space="preserve">Trevally, Giant and Golden (combined) </w:t>
            </w:r>
            <w:r>
              <w:tab/>
            </w:r>
          </w:p>
        </w:tc>
        <w:tc>
          <w:tcPr>
            <w:tcW w:w="842" w:type="dxa"/>
            <w:tcMar>
              <w:left w:w="85" w:type="dxa"/>
              <w:right w:w="113" w:type="dxa"/>
            </w:tcMar>
          </w:tcPr>
          <w:p>
            <w:pPr>
              <w:pStyle w:val="yTableNAm"/>
              <w:spacing w:before="0"/>
            </w:pPr>
            <w: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r>
        <w:trPr>
          <w:cantSplit/>
          <w:tblHeader/>
        </w:trPr>
        <w:tc>
          <w:tcPr>
            <w:tcW w:w="4290" w:type="dxa"/>
            <w:tcBorders>
              <w:bottom w:val="single" w:sz="4" w:space="0" w:color="auto"/>
            </w:tcBorders>
            <w:tcMar>
              <w:left w:w="85" w:type="dxa"/>
              <w:right w:w="113" w:type="dxa"/>
            </w:tcMar>
          </w:tcPr>
          <w:p>
            <w:pPr>
              <w:pStyle w:val="yTableNAm"/>
              <w:tabs>
                <w:tab w:val="left" w:leader="dot" w:pos="4087"/>
              </w:tabs>
              <w:spacing w:before="0"/>
              <w:ind w:left="198" w:hanging="198"/>
            </w:pPr>
            <w:r>
              <w:t xml:space="preserve">Tuna, </w:t>
            </w:r>
            <w:smartTag w:uri="urn:schemas-microsoft-com:office:smarttags" w:element="place">
              <w:r>
                <w:t>Southern Bluefin</w:t>
              </w:r>
            </w:smartTag>
            <w:r>
              <w:t xml:space="preserve">, Yellowfin and Bigeye (combined) </w:t>
            </w:r>
            <w:r>
              <w:tab/>
            </w:r>
          </w:p>
        </w:tc>
        <w:tc>
          <w:tcPr>
            <w:tcW w:w="842" w:type="dxa"/>
            <w:tcBorders>
              <w:bottom w:val="single" w:sz="4" w:space="0" w:color="auto"/>
            </w:tcBorders>
            <w:tcMar>
              <w:left w:w="85" w:type="dxa"/>
              <w:right w:w="113" w:type="dxa"/>
            </w:tcMar>
          </w:tcPr>
          <w:p>
            <w:pPr>
              <w:pStyle w:val="yTableNAm"/>
              <w:spacing w:before="0"/>
            </w:pPr>
            <w:r>
              <w:b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bl>
    <w:p>
      <w:pPr>
        <w:pStyle w:val="yFootnotesection"/>
      </w:pPr>
      <w:r>
        <w:tab/>
        <w:t>[Division 2A inserted in Gazette 8 Dec 2009 p. 4997.]</w:t>
      </w:r>
    </w:p>
    <w:p>
      <w:pPr>
        <w:pStyle w:val="yHeading3"/>
        <w:pageBreakBefore/>
      </w:pPr>
      <w:bookmarkStart w:id="8171" w:name="_Toc248122320"/>
      <w:bookmarkStart w:id="8172" w:name="_Toc248122771"/>
      <w:bookmarkStart w:id="8173" w:name="_Toc253670758"/>
      <w:bookmarkStart w:id="8174" w:name="_Toc253671208"/>
      <w:bookmarkStart w:id="8175" w:name="_Toc254942982"/>
      <w:bookmarkStart w:id="8176" w:name="_Toc254943435"/>
      <w:bookmarkStart w:id="8177" w:name="_Toc255476027"/>
      <w:bookmarkStart w:id="8178" w:name="_Toc256432348"/>
      <w:bookmarkStart w:id="8179" w:name="_Toc257720685"/>
      <w:bookmarkStart w:id="8180" w:name="_Toc257722367"/>
      <w:bookmarkStart w:id="8181" w:name="_Toc258336043"/>
      <w:bookmarkStart w:id="8182" w:name="_Toc260406485"/>
      <w:bookmarkStart w:id="8183" w:name="_Toc261271671"/>
      <w:bookmarkStart w:id="8184" w:name="_Toc262808353"/>
      <w:bookmarkStart w:id="8185" w:name="_Toc267572746"/>
      <w:bookmarkStart w:id="8186" w:name="_Toc270684495"/>
      <w:bookmarkStart w:id="8187" w:name="_Toc274214672"/>
      <w:bookmarkStart w:id="8188" w:name="_Toc274215121"/>
      <w:bookmarkStart w:id="8189" w:name="_Toc278976452"/>
      <w:bookmarkStart w:id="8190" w:name="_Toc286760773"/>
      <w:bookmarkStart w:id="8191" w:name="_Toc289081118"/>
      <w:bookmarkStart w:id="8192" w:name="_Toc290284312"/>
      <w:bookmarkStart w:id="8193" w:name="_Toc290643133"/>
      <w:bookmarkStart w:id="8194" w:name="_Toc290643582"/>
      <w:bookmarkStart w:id="8195" w:name="_Toc290644035"/>
      <w:bookmarkStart w:id="8196" w:name="_Toc294701852"/>
      <w:bookmarkStart w:id="8197" w:name="_Toc295200260"/>
      <w:bookmarkStart w:id="8198" w:name="_Toc296954701"/>
      <w:bookmarkStart w:id="8199" w:name="_Toc297276336"/>
      <w:bookmarkStart w:id="8200" w:name="_Toc297276788"/>
      <w:bookmarkStart w:id="8201" w:name="_Toc297277238"/>
      <w:bookmarkStart w:id="8202" w:name="_Toc297726607"/>
      <w:bookmarkStart w:id="8203" w:name="_Toc299980393"/>
      <w:bookmarkStart w:id="8204" w:name="_Toc300235019"/>
      <w:bookmarkStart w:id="8205" w:name="_Toc301961522"/>
      <w:bookmarkStart w:id="8206" w:name="_Toc301967092"/>
      <w:bookmarkStart w:id="8207" w:name="_Toc303253301"/>
      <w:bookmarkStart w:id="8208" w:name="_Toc303257465"/>
      <w:bookmarkStart w:id="8209" w:name="_Toc307993098"/>
      <w:bookmarkStart w:id="8210" w:name="_Toc309030131"/>
      <w:bookmarkStart w:id="8211" w:name="_Toc309304354"/>
      <w:bookmarkStart w:id="8212" w:name="_Toc309309631"/>
      <w:r>
        <w:t xml:space="preserve">Division 2 — Grouped bag limit of </w:t>
      </w:r>
      <w:bookmarkEnd w:id="8102"/>
      <w:bookmarkEnd w:id="8103"/>
      <w:bookmarkEnd w:id="8104"/>
      <w:bookmarkEnd w:id="8105"/>
      <w:bookmarkEnd w:id="8106"/>
      <w:bookmarkEnd w:id="8107"/>
      <w:bookmarkEnd w:id="8108"/>
      <w:bookmarkEnd w:id="8109"/>
      <w:bookmarkEnd w:id="8110"/>
      <w:bookmarkEnd w:id="8111"/>
      <w:bookmarkEnd w:id="8112"/>
      <w:bookmarkEnd w:id="8113"/>
      <w:bookmarkEnd w:id="8114"/>
      <w:bookmarkEnd w:id="8115"/>
      <w:bookmarkEnd w:id="8116"/>
      <w:bookmarkEnd w:id="8117"/>
      <w:bookmarkEnd w:id="8118"/>
      <w:bookmarkEnd w:id="8119"/>
      <w:bookmarkEnd w:id="8120"/>
      <w:bookmarkEnd w:id="8121"/>
      <w:bookmarkEnd w:id="8122"/>
      <w:bookmarkEnd w:id="8123"/>
      <w:r>
        <w:t>12 fish</w:t>
      </w:r>
      <w:bookmarkEnd w:id="8124"/>
      <w:bookmarkEnd w:id="8125"/>
      <w:bookmarkEnd w:id="8126"/>
      <w:bookmarkEnd w:id="8127"/>
      <w:bookmarkEnd w:id="8128"/>
      <w:bookmarkEnd w:id="8171"/>
      <w:bookmarkEnd w:id="8172"/>
      <w:bookmarkEnd w:id="8173"/>
      <w:bookmarkEnd w:id="8174"/>
      <w:bookmarkEnd w:id="8175"/>
      <w:bookmarkEnd w:id="8176"/>
      <w:bookmarkEnd w:id="8177"/>
      <w:bookmarkEnd w:id="8178"/>
      <w:bookmarkEnd w:id="8179"/>
      <w:bookmarkEnd w:id="8180"/>
      <w:bookmarkEnd w:id="8181"/>
      <w:bookmarkEnd w:id="8182"/>
      <w:bookmarkEnd w:id="8183"/>
      <w:bookmarkEnd w:id="8184"/>
      <w:bookmarkEnd w:id="8185"/>
      <w:bookmarkEnd w:id="8186"/>
      <w:bookmarkEnd w:id="8187"/>
      <w:bookmarkEnd w:id="8188"/>
      <w:bookmarkEnd w:id="8189"/>
      <w:bookmarkEnd w:id="8190"/>
      <w:bookmarkEnd w:id="8191"/>
      <w:bookmarkEnd w:id="8192"/>
      <w:bookmarkEnd w:id="8193"/>
      <w:bookmarkEnd w:id="8194"/>
      <w:bookmarkEnd w:id="8195"/>
      <w:bookmarkEnd w:id="8196"/>
      <w:bookmarkEnd w:id="8197"/>
      <w:bookmarkEnd w:id="8198"/>
      <w:bookmarkEnd w:id="8199"/>
      <w:bookmarkEnd w:id="8200"/>
      <w:bookmarkEnd w:id="8201"/>
      <w:bookmarkEnd w:id="8202"/>
      <w:bookmarkEnd w:id="8203"/>
      <w:bookmarkEnd w:id="8204"/>
      <w:bookmarkEnd w:id="8205"/>
      <w:bookmarkEnd w:id="8206"/>
      <w:bookmarkEnd w:id="8207"/>
      <w:bookmarkEnd w:id="8208"/>
      <w:bookmarkEnd w:id="8209"/>
      <w:bookmarkEnd w:id="8210"/>
      <w:bookmarkEnd w:id="8211"/>
      <w:bookmarkEnd w:id="8212"/>
    </w:p>
    <w:p>
      <w:pPr>
        <w:pStyle w:val="yFootnoteheading"/>
        <w:keepNext/>
        <w:spacing w:after="120"/>
      </w:pPr>
      <w:r>
        <w:tab/>
        <w:t>[Heading inserted in Gazette 1 Oct 2003 p. 4339; amended in Gazette 29 Sep 2009 p. 3868.]</w:t>
      </w:r>
    </w:p>
    <w:tbl>
      <w:tblPr>
        <w:tblW w:w="7088" w:type="dxa"/>
        <w:tblInd w:w="113" w:type="dxa"/>
        <w:tblLayout w:type="fixed"/>
        <w:tblCellMar>
          <w:left w:w="113" w:type="dxa"/>
          <w:right w:w="113" w:type="dxa"/>
        </w:tblCellMar>
        <w:tblLook w:val="0000" w:firstRow="0" w:lastRow="0" w:firstColumn="0" w:lastColumn="0" w:noHBand="0" w:noVBand="0"/>
      </w:tblPr>
      <w:tblGrid>
        <w:gridCol w:w="4292"/>
        <w:gridCol w:w="840"/>
        <w:gridCol w:w="480"/>
        <w:gridCol w:w="1476"/>
      </w:tblGrid>
      <w:tr>
        <w:trPr>
          <w:cantSplit/>
          <w:tblHeader/>
        </w:trPr>
        <w:tc>
          <w:tcPr>
            <w:tcW w:w="4292" w:type="dxa"/>
            <w:tcBorders>
              <w:top w:val="single" w:sz="8" w:space="0" w:color="auto"/>
              <w:bottom w:val="single" w:sz="8" w:space="0" w:color="auto"/>
            </w:tcBorders>
            <w:tcMar>
              <w:left w:w="85" w:type="dxa"/>
              <w:right w:w="113" w:type="dxa"/>
            </w:tcMar>
            <w:vAlign w:val="center"/>
          </w:tcPr>
          <w:p>
            <w:pPr>
              <w:pStyle w:val="yTableNAm"/>
              <w:keepNext/>
              <w:tabs>
                <w:tab w:val="clear" w:pos="567"/>
                <w:tab w:val="left" w:leader="dot" w:pos="3796"/>
              </w:tabs>
              <w:spacing w:before="0"/>
              <w:rPr>
                <w:b/>
                <w:bCs/>
              </w:rPr>
            </w:pPr>
            <w:r>
              <w:rPr>
                <w:b/>
                <w:bCs/>
              </w:rPr>
              <w:t>Fish</w:t>
            </w:r>
          </w:p>
        </w:tc>
        <w:tc>
          <w:tcPr>
            <w:tcW w:w="1320" w:type="dxa"/>
            <w:gridSpan w:val="2"/>
            <w:tcBorders>
              <w:top w:val="single" w:sz="8" w:space="0" w:color="auto"/>
              <w:bottom w:val="single" w:sz="8" w:space="0" w:color="auto"/>
            </w:tcBorders>
            <w:tcMar>
              <w:left w:w="85" w:type="dxa"/>
              <w:right w:w="113" w:type="dxa"/>
            </w:tcMar>
            <w:vAlign w:val="center"/>
          </w:tcPr>
          <w:p>
            <w:pPr>
              <w:pStyle w:val="yTableNAm"/>
              <w:keepNext/>
              <w:spacing w:before="0"/>
              <w:rPr>
                <w:b/>
                <w:bCs/>
              </w:rPr>
            </w:pPr>
            <w:r>
              <w:rPr>
                <w:b/>
                <w:bCs/>
              </w:rPr>
              <w:t>Species, or group of species, bag limit for one day</w:t>
            </w:r>
          </w:p>
        </w:tc>
        <w:tc>
          <w:tcPr>
            <w:tcW w:w="1476" w:type="dxa"/>
            <w:tcBorders>
              <w:top w:val="single" w:sz="8" w:space="0" w:color="auto"/>
              <w:bottom w:val="single" w:sz="8" w:space="0" w:color="auto"/>
            </w:tcBorders>
            <w:tcMar>
              <w:left w:w="85" w:type="dxa"/>
              <w:right w:w="113" w:type="dxa"/>
            </w:tcMar>
            <w:vAlign w:val="center"/>
          </w:tcPr>
          <w:p>
            <w:pPr>
              <w:pStyle w:val="yTableNAm"/>
              <w:keepNext/>
              <w:spacing w:before="0"/>
              <w:rPr>
                <w:b/>
                <w:bCs/>
              </w:rPr>
            </w:pPr>
            <w:r>
              <w:rPr>
                <w:b/>
                <w:bCs/>
              </w:rPr>
              <w:t>Grouped bag limit of all species in the Division for one day</w:t>
            </w: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Bonito, Leaping and Oriental and any Tuna (combined) </w:t>
            </w:r>
            <w:r>
              <w:tab/>
            </w:r>
          </w:p>
        </w:tc>
        <w:tc>
          <w:tcPr>
            <w:tcW w:w="840" w:type="dxa"/>
            <w:tcMar>
              <w:left w:w="85" w:type="dxa"/>
              <w:right w:w="113" w:type="dxa"/>
            </w:tcMar>
          </w:tcPr>
          <w:p>
            <w:pPr>
              <w:pStyle w:val="yTableNAm"/>
              <w:spacing w:before="0"/>
            </w:pPr>
            <w:r>
              <w:br/>
              <w:t>8</w:t>
            </w:r>
          </w:p>
        </w:tc>
        <w:tc>
          <w:tcPr>
            <w:tcW w:w="480" w:type="dxa"/>
            <w:vMerge w:val="restart"/>
            <w:tcMar>
              <w:left w:w="85" w:type="dxa"/>
              <w:right w:w="113" w:type="dxa"/>
            </w:tcMar>
          </w:tcPr>
          <w:p>
            <w:pPr>
              <w:pStyle w:val="yTableNAm"/>
              <w:spacing w:before="0"/>
            </w:pPr>
            <w:r>
              <w:rPr>
                <w:noProof/>
                <w:lang w:eastAsia="en-AU"/>
              </w:rPr>
              <w:drawing>
                <wp:inline distT="0" distB="0" distL="0" distR="0">
                  <wp:extent cx="123825" cy="4076700"/>
                  <wp:effectExtent l="0" t="0" r="952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3825" cy="4076700"/>
                          </a:xfrm>
                          <a:prstGeom prst="rect">
                            <a:avLst/>
                          </a:prstGeom>
                          <a:noFill/>
                          <a:ln>
                            <a:noFill/>
                          </a:ln>
                        </pic:spPr>
                      </pic:pic>
                    </a:graphicData>
                  </a:graphic>
                </wp:inline>
              </w:drawing>
            </w:r>
          </w:p>
        </w:tc>
        <w:tc>
          <w:tcPr>
            <w:tcW w:w="1476" w:type="dxa"/>
            <w:vMerge w:val="restart"/>
            <w:tcMar>
              <w:left w:w="85" w:type="dxa"/>
              <w:right w:w="113" w:type="dxa"/>
            </w:tcMar>
          </w:tcPr>
          <w:p>
            <w:pPr>
              <w:pStyle w:val="yTableNAm"/>
              <w:spacing w:before="0"/>
            </w:pPr>
            <w:r>
              <w:br/>
            </w:r>
            <w:r>
              <w:br/>
            </w:r>
            <w:r>
              <w:br/>
            </w:r>
            <w:r>
              <w:br/>
            </w:r>
            <w:r>
              <w:br/>
            </w:r>
            <w:r>
              <w:br/>
            </w:r>
            <w:r>
              <w:br/>
            </w:r>
            <w:r>
              <w:br/>
            </w:r>
            <w:r>
              <w:br/>
            </w:r>
            <w:r>
              <w:br/>
            </w:r>
            <w:r>
              <w:br/>
            </w:r>
            <w:r>
              <w:br/>
              <w:t>12</w:t>
            </w: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Bream, Black, Northwest</w:t>
            </w:r>
            <w:r>
              <w:noBreakHyphen/>
              <w:t xml:space="preserve">Black and Yellowfin (combined), only 2 of which may be in excess of 40 cm if taken or brought onto land from the waters of the Swan or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 xml:space="preserve"> or their tributaries </w:t>
            </w:r>
            <w:r>
              <w:tab/>
            </w:r>
          </w:p>
        </w:tc>
        <w:tc>
          <w:tcPr>
            <w:tcW w:w="840" w:type="dxa"/>
            <w:tcMar>
              <w:left w:w="85" w:type="dxa"/>
              <w:right w:w="113" w:type="dxa"/>
            </w:tcMar>
          </w:tcPr>
          <w:p>
            <w:pPr>
              <w:pStyle w:val="yTableNAm"/>
              <w:spacing w:before="0"/>
            </w:pPr>
            <w:r>
              <w:br/>
            </w:r>
            <w:r>
              <w:br/>
            </w:r>
            <w:r>
              <w:br/>
            </w:r>
            <w:r>
              <w:br/>
              <w:t>4</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Cobbler </w:t>
            </w:r>
            <w:r>
              <w:tab/>
            </w:r>
          </w:p>
        </w:tc>
        <w:tc>
          <w:tcPr>
            <w:tcW w:w="840" w:type="dxa"/>
            <w:tcMar>
              <w:left w:w="85" w:type="dxa"/>
              <w:right w:w="113" w:type="dxa"/>
            </w:tcMar>
          </w:tcPr>
          <w:p>
            <w:pPr>
              <w:pStyle w:val="yTableNAm"/>
              <w:spacing w:before="0"/>
            </w:pPr>
            <w:r>
              <w:t>4</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Flathead and Flounder (combined) </w:t>
            </w:r>
            <w:r>
              <w:tab/>
            </w:r>
          </w:p>
        </w:tc>
        <w:tc>
          <w:tcPr>
            <w:tcW w:w="840" w:type="dxa"/>
            <w:tcMar>
              <w:left w:w="85" w:type="dxa"/>
              <w:right w:w="113" w:type="dxa"/>
            </w:tcMar>
          </w:tcPr>
          <w:p>
            <w:pPr>
              <w:pStyle w:val="yTableNAm"/>
              <w:spacing w:before="0"/>
            </w:pPr>
            <w:r>
              <w:t>8</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Goatfish </w:t>
            </w:r>
            <w:r>
              <w:tab/>
            </w:r>
          </w:p>
        </w:tc>
        <w:tc>
          <w:tcPr>
            <w:tcW w:w="840" w:type="dxa"/>
            <w:tcMar>
              <w:left w:w="85" w:type="dxa"/>
              <w:right w:w="113" w:type="dxa"/>
            </w:tcMar>
          </w:tcPr>
          <w:p>
            <w:pPr>
              <w:pStyle w:val="yTableNAm"/>
              <w:spacing w:before="0"/>
            </w:pPr>
            <w:r>
              <w:t>8</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Leatherjacket </w:t>
            </w:r>
            <w:r>
              <w:tab/>
            </w:r>
          </w:p>
        </w:tc>
        <w:tc>
          <w:tcPr>
            <w:tcW w:w="840" w:type="dxa"/>
            <w:tcMar>
              <w:left w:w="85" w:type="dxa"/>
              <w:right w:w="113" w:type="dxa"/>
            </w:tcMar>
          </w:tcPr>
          <w:p>
            <w:pPr>
              <w:pStyle w:val="yTableNAm"/>
              <w:spacing w:before="0"/>
            </w:pPr>
            <w:r>
              <w:t>8</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Mackerel, Australian Spotted and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(combined) </w:t>
            </w:r>
            <w:r>
              <w:tab/>
            </w:r>
          </w:p>
        </w:tc>
        <w:tc>
          <w:tcPr>
            <w:tcW w:w="840" w:type="dxa"/>
            <w:tcMar>
              <w:left w:w="85" w:type="dxa"/>
              <w:right w:w="113" w:type="dxa"/>
            </w:tcMar>
          </w:tcPr>
          <w:p>
            <w:pPr>
              <w:pStyle w:val="yTableNAm"/>
              <w:spacing w:before="0"/>
            </w:pPr>
            <w:r>
              <w:br/>
              <w:t>4</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Mulloway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Salmon, Australian </w:t>
            </w:r>
            <w:r>
              <w:tab/>
            </w:r>
          </w:p>
        </w:tc>
        <w:tc>
          <w:tcPr>
            <w:tcW w:w="840" w:type="dxa"/>
            <w:tcMar>
              <w:left w:w="85" w:type="dxa"/>
              <w:right w:w="113" w:type="dxa"/>
            </w:tcMar>
          </w:tcPr>
          <w:p>
            <w:pPr>
              <w:pStyle w:val="yTableNAm"/>
              <w:spacing w:before="0"/>
            </w:pPr>
            <w:r>
              <w:t>4</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Sharks and Rays (combined)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Snook and Pike, Long</w:t>
            </w:r>
            <w:r>
              <w:noBreakHyphen/>
              <w:t xml:space="preserve">finned and </w:t>
            </w:r>
            <w:smartTag w:uri="urn:schemas-microsoft-com:office:smarttags" w:element="place">
              <w:smartTag w:uri="urn:schemas-microsoft-com:office:smarttags" w:element="PlaceName">
                <w:r>
                  <w:t>Striped</w:t>
                </w:r>
              </w:smartTag>
              <w:r>
                <w:t xml:space="preserve"> </w:t>
              </w:r>
              <w:smartTag w:uri="urn:schemas-microsoft-com:office:smarttags" w:element="PlaceType">
                <w:r>
                  <w:t>Sea</w:t>
                </w:r>
              </w:smartTag>
            </w:smartTag>
            <w:r>
              <w:t xml:space="preserve"> (combined) </w:t>
            </w:r>
            <w:r>
              <w:tab/>
            </w:r>
          </w:p>
        </w:tc>
        <w:tc>
          <w:tcPr>
            <w:tcW w:w="840" w:type="dxa"/>
            <w:tcMar>
              <w:left w:w="85" w:type="dxa"/>
              <w:right w:w="113" w:type="dxa"/>
            </w:tcMar>
          </w:tcPr>
          <w:p>
            <w:pPr>
              <w:pStyle w:val="yTableNAm"/>
              <w:spacing w:before="0"/>
            </w:pPr>
            <w:r>
              <w:br/>
              <w:t>8</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Tailor, only 2 of which may be in excess of 50 cm </w:t>
            </w:r>
            <w:r>
              <w:tab/>
            </w:r>
          </w:p>
        </w:tc>
        <w:tc>
          <w:tcPr>
            <w:tcW w:w="840" w:type="dxa"/>
            <w:tcMar>
              <w:left w:w="85" w:type="dxa"/>
              <w:right w:w="113" w:type="dxa"/>
            </w:tcMar>
          </w:tcPr>
          <w:p>
            <w:pPr>
              <w:pStyle w:val="yTableNAm"/>
              <w:spacing w:before="0"/>
            </w:pPr>
            <w:r>
              <w:br/>
              <w:t>8</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Tarwhine </w:t>
            </w:r>
            <w:r>
              <w:tab/>
            </w:r>
          </w:p>
        </w:tc>
        <w:tc>
          <w:tcPr>
            <w:tcW w:w="840" w:type="dxa"/>
            <w:tcMar>
              <w:left w:w="85" w:type="dxa"/>
              <w:right w:w="113" w:type="dxa"/>
            </w:tcMar>
          </w:tcPr>
          <w:p>
            <w:pPr>
              <w:pStyle w:val="yTableNAm"/>
              <w:spacing w:before="0"/>
            </w:pPr>
            <w:r>
              <w:t>12</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Trevally, except Giant and Golden </w:t>
            </w:r>
            <w:r>
              <w:tab/>
            </w:r>
          </w:p>
        </w:tc>
        <w:tc>
          <w:tcPr>
            <w:tcW w:w="840" w:type="dxa"/>
            <w:tcMar>
              <w:left w:w="85" w:type="dxa"/>
              <w:right w:w="113" w:type="dxa"/>
            </w:tcMar>
          </w:tcPr>
          <w:p>
            <w:pPr>
              <w:pStyle w:val="yTableNAm"/>
              <w:spacing w:before="0"/>
            </w:pPr>
            <w:r>
              <w:t>8</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Trout, Brown and Rainbow (combined) </w:t>
            </w:r>
            <w:r>
              <w:tab/>
            </w:r>
          </w:p>
        </w:tc>
        <w:tc>
          <w:tcPr>
            <w:tcW w:w="840" w:type="dxa"/>
            <w:tcMar>
              <w:left w:w="85" w:type="dxa"/>
              <w:right w:w="113" w:type="dxa"/>
            </w:tcMar>
          </w:tcPr>
          <w:p>
            <w:pPr>
              <w:pStyle w:val="yTableNAm"/>
              <w:spacing w:before="0"/>
            </w:pPr>
            <w:r>
              <w:t>4</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Whiting, King George </w:t>
            </w:r>
            <w:r>
              <w:tab/>
            </w:r>
          </w:p>
        </w:tc>
        <w:tc>
          <w:tcPr>
            <w:tcW w:w="840" w:type="dxa"/>
            <w:tcMar>
              <w:left w:w="85" w:type="dxa"/>
              <w:right w:w="113" w:type="dxa"/>
            </w:tcMar>
          </w:tcPr>
          <w:p>
            <w:pPr>
              <w:pStyle w:val="yTableNAm"/>
              <w:spacing w:before="0"/>
            </w:pPr>
            <w:r>
              <w:t>8</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Borders>
              <w:bottom w:val="single" w:sz="4" w:space="0" w:color="auto"/>
            </w:tcBorders>
            <w:tcMar>
              <w:left w:w="85" w:type="dxa"/>
              <w:right w:w="113" w:type="dxa"/>
            </w:tcMar>
          </w:tcPr>
          <w:p>
            <w:pPr>
              <w:pStyle w:val="yTableNAm"/>
              <w:tabs>
                <w:tab w:val="clear" w:pos="567"/>
                <w:tab w:val="right" w:leader="dot" w:pos="4087"/>
              </w:tabs>
              <w:spacing w:before="0"/>
              <w:ind w:left="198" w:hanging="198"/>
            </w:pPr>
            <w:r>
              <w:t xml:space="preserve">Whiting, Yellowfinned </w:t>
            </w:r>
            <w:r>
              <w:tab/>
            </w:r>
          </w:p>
        </w:tc>
        <w:tc>
          <w:tcPr>
            <w:tcW w:w="840" w:type="dxa"/>
            <w:tcBorders>
              <w:bottom w:val="single" w:sz="4" w:space="0" w:color="auto"/>
            </w:tcBorders>
            <w:tcMar>
              <w:left w:w="85" w:type="dxa"/>
              <w:right w:w="113" w:type="dxa"/>
            </w:tcMar>
          </w:tcPr>
          <w:p>
            <w:pPr>
              <w:pStyle w:val="yTableNAm"/>
              <w:spacing w:before="0"/>
            </w:pPr>
            <w:r>
              <w:t>12</w:t>
            </w:r>
          </w:p>
        </w:tc>
        <w:tc>
          <w:tcPr>
            <w:tcW w:w="480" w:type="dxa"/>
            <w:vMerge/>
            <w:tcBorders>
              <w:bottom w:val="single" w:sz="4" w:space="0" w:color="auto"/>
            </w:tcBorders>
            <w:tcMar>
              <w:left w:w="85" w:type="dxa"/>
              <w:right w:w="113" w:type="dxa"/>
            </w:tcMar>
          </w:tcPr>
          <w:p>
            <w:pPr>
              <w:pStyle w:val="yTableNAm"/>
              <w:spacing w:before="0"/>
            </w:pPr>
          </w:p>
        </w:tc>
        <w:tc>
          <w:tcPr>
            <w:tcW w:w="1476" w:type="dxa"/>
            <w:vMerge/>
            <w:tcBorders>
              <w:bottom w:val="single" w:sz="4" w:space="0" w:color="auto"/>
            </w:tcBorders>
            <w:tcMar>
              <w:left w:w="85" w:type="dxa"/>
              <w:right w:w="113" w:type="dxa"/>
            </w:tcMar>
          </w:tcPr>
          <w:p>
            <w:pPr>
              <w:pStyle w:val="yTableNAm"/>
              <w:spacing w:before="0"/>
            </w:pPr>
          </w:p>
        </w:tc>
      </w:tr>
    </w:tbl>
    <w:p>
      <w:pPr>
        <w:pStyle w:val="yFootnotesection"/>
      </w:pPr>
      <w:r>
        <w:tab/>
        <w:t>[Division 2 inserted in Gazette 1 Oct 2003 p. 4339; amended in Gazette 4 Nov 2005 p. 5316; 29 Sep 2009 p. 3868; 8 Dec 2009 p. 4997.]</w:t>
      </w:r>
    </w:p>
    <w:p>
      <w:pPr>
        <w:pStyle w:val="yHeading3"/>
        <w:pageBreakBefore/>
      </w:pPr>
      <w:bookmarkStart w:id="8213" w:name="_Toc189988192"/>
      <w:bookmarkStart w:id="8214" w:name="_Toc192041775"/>
      <w:bookmarkStart w:id="8215" w:name="_Toc199571009"/>
      <w:bookmarkStart w:id="8216" w:name="_Toc199739008"/>
      <w:bookmarkStart w:id="8217" w:name="_Toc199815109"/>
      <w:bookmarkStart w:id="8218" w:name="_Toc215040916"/>
      <w:bookmarkStart w:id="8219" w:name="_Toc215041361"/>
      <w:bookmarkStart w:id="8220" w:name="_Toc222129569"/>
      <w:bookmarkStart w:id="8221" w:name="_Toc222223274"/>
      <w:bookmarkStart w:id="8222" w:name="_Toc225914526"/>
      <w:bookmarkStart w:id="8223" w:name="_Toc231282571"/>
      <w:bookmarkStart w:id="8224" w:name="_Toc231283015"/>
      <w:bookmarkStart w:id="8225" w:name="_Toc234899605"/>
      <w:bookmarkStart w:id="8226" w:name="_Toc236632887"/>
      <w:bookmarkStart w:id="8227" w:name="_Toc236720500"/>
      <w:bookmarkStart w:id="8228" w:name="_Toc237764699"/>
      <w:bookmarkStart w:id="8229" w:name="_Toc238356323"/>
      <w:bookmarkStart w:id="8230" w:name="_Toc238369028"/>
      <w:bookmarkStart w:id="8231" w:name="_Toc238375981"/>
      <w:bookmarkStart w:id="8232" w:name="_Toc240339305"/>
      <w:bookmarkStart w:id="8233" w:name="_Toc241993811"/>
      <w:bookmarkStart w:id="8234" w:name="_Toc243192954"/>
      <w:bookmarkStart w:id="8235" w:name="_Toc243295656"/>
      <w:bookmarkStart w:id="8236" w:name="_Toc245113229"/>
      <w:bookmarkStart w:id="8237" w:name="_Toc245198391"/>
      <w:bookmarkStart w:id="8238" w:name="_Toc245198840"/>
      <w:bookmarkStart w:id="8239" w:name="_Toc245199289"/>
      <w:bookmarkStart w:id="8240" w:name="_Toc248122321"/>
      <w:bookmarkStart w:id="8241" w:name="_Toc248122772"/>
      <w:bookmarkStart w:id="8242" w:name="_Toc253670759"/>
      <w:bookmarkStart w:id="8243" w:name="_Toc253671209"/>
      <w:bookmarkStart w:id="8244" w:name="_Toc254942983"/>
      <w:bookmarkStart w:id="8245" w:name="_Toc254943436"/>
      <w:bookmarkStart w:id="8246" w:name="_Toc255476028"/>
      <w:bookmarkStart w:id="8247" w:name="_Toc256432349"/>
      <w:bookmarkStart w:id="8248" w:name="_Toc257720686"/>
      <w:bookmarkStart w:id="8249" w:name="_Toc257722368"/>
      <w:bookmarkStart w:id="8250" w:name="_Toc258336044"/>
      <w:bookmarkStart w:id="8251" w:name="_Toc260406486"/>
      <w:bookmarkStart w:id="8252" w:name="_Toc261271672"/>
      <w:bookmarkStart w:id="8253" w:name="_Toc262808354"/>
      <w:bookmarkStart w:id="8254" w:name="_Toc267572747"/>
      <w:bookmarkStart w:id="8255" w:name="_Toc270684496"/>
      <w:bookmarkStart w:id="8256" w:name="_Toc274214673"/>
      <w:bookmarkStart w:id="8257" w:name="_Toc274215122"/>
      <w:bookmarkStart w:id="8258" w:name="_Toc278976453"/>
      <w:bookmarkStart w:id="8259" w:name="_Toc286760774"/>
      <w:bookmarkStart w:id="8260" w:name="_Toc289081119"/>
      <w:bookmarkStart w:id="8261" w:name="_Toc290284313"/>
      <w:bookmarkStart w:id="8262" w:name="_Toc290643134"/>
      <w:bookmarkStart w:id="8263" w:name="_Toc290643583"/>
      <w:bookmarkStart w:id="8264" w:name="_Toc290644036"/>
      <w:bookmarkStart w:id="8265" w:name="_Toc294701853"/>
      <w:bookmarkStart w:id="8266" w:name="_Toc295200261"/>
      <w:bookmarkStart w:id="8267" w:name="_Toc296954702"/>
      <w:bookmarkStart w:id="8268" w:name="_Toc297276337"/>
      <w:bookmarkStart w:id="8269" w:name="_Toc297276789"/>
      <w:bookmarkStart w:id="8270" w:name="_Toc297277239"/>
      <w:bookmarkStart w:id="8271" w:name="_Toc297726608"/>
      <w:bookmarkStart w:id="8272" w:name="_Toc299980394"/>
      <w:bookmarkStart w:id="8273" w:name="_Toc300235020"/>
      <w:bookmarkStart w:id="8274" w:name="_Toc301961523"/>
      <w:bookmarkStart w:id="8275" w:name="_Toc301967093"/>
      <w:bookmarkStart w:id="8276" w:name="_Toc303253302"/>
      <w:bookmarkStart w:id="8277" w:name="_Toc303257466"/>
      <w:bookmarkStart w:id="8278" w:name="_Toc307993099"/>
      <w:bookmarkStart w:id="8279" w:name="_Toc309030132"/>
      <w:bookmarkStart w:id="8280" w:name="_Toc309304355"/>
      <w:bookmarkStart w:id="8281" w:name="_Toc309309632"/>
      <w:r>
        <w:t xml:space="preserve">Division 3 — Low risk finfish — grouped bag limit of </w:t>
      </w:r>
      <w:bookmarkEnd w:id="8213"/>
      <w:bookmarkEnd w:id="8214"/>
      <w:bookmarkEnd w:id="8215"/>
      <w:bookmarkEnd w:id="8216"/>
      <w:bookmarkEnd w:id="8217"/>
      <w:bookmarkEnd w:id="8218"/>
      <w:bookmarkEnd w:id="8219"/>
      <w:bookmarkEnd w:id="8220"/>
      <w:bookmarkEnd w:id="8221"/>
      <w:bookmarkEnd w:id="8222"/>
      <w:bookmarkEnd w:id="8223"/>
      <w:bookmarkEnd w:id="8224"/>
      <w:bookmarkEnd w:id="8225"/>
      <w:bookmarkEnd w:id="8226"/>
      <w:bookmarkEnd w:id="8227"/>
      <w:bookmarkEnd w:id="8228"/>
      <w:bookmarkEnd w:id="8229"/>
      <w:bookmarkEnd w:id="8230"/>
      <w:bookmarkEnd w:id="8231"/>
      <w:bookmarkEnd w:id="8232"/>
      <w:bookmarkEnd w:id="8233"/>
      <w:bookmarkEnd w:id="8234"/>
      <w:r>
        <w:t>30 fish</w:t>
      </w:r>
      <w:bookmarkEnd w:id="8235"/>
      <w:bookmarkEnd w:id="8236"/>
      <w:bookmarkEnd w:id="8237"/>
      <w:bookmarkEnd w:id="8238"/>
      <w:bookmarkEnd w:id="8239"/>
      <w:bookmarkEnd w:id="8240"/>
      <w:bookmarkEnd w:id="8241"/>
      <w:bookmarkEnd w:id="8242"/>
      <w:bookmarkEnd w:id="8243"/>
      <w:bookmarkEnd w:id="8244"/>
      <w:bookmarkEnd w:id="8245"/>
      <w:bookmarkEnd w:id="8246"/>
      <w:bookmarkEnd w:id="8247"/>
      <w:bookmarkEnd w:id="8248"/>
      <w:bookmarkEnd w:id="8249"/>
      <w:bookmarkEnd w:id="8250"/>
      <w:bookmarkEnd w:id="8251"/>
      <w:bookmarkEnd w:id="8252"/>
      <w:bookmarkEnd w:id="8253"/>
      <w:bookmarkEnd w:id="8254"/>
      <w:bookmarkEnd w:id="8255"/>
      <w:bookmarkEnd w:id="8256"/>
      <w:bookmarkEnd w:id="8257"/>
      <w:bookmarkEnd w:id="8258"/>
      <w:bookmarkEnd w:id="8259"/>
      <w:bookmarkEnd w:id="8260"/>
      <w:bookmarkEnd w:id="8261"/>
      <w:bookmarkEnd w:id="8262"/>
      <w:bookmarkEnd w:id="8263"/>
      <w:bookmarkEnd w:id="8264"/>
      <w:bookmarkEnd w:id="8265"/>
      <w:bookmarkEnd w:id="8266"/>
      <w:bookmarkEnd w:id="8267"/>
      <w:bookmarkEnd w:id="8268"/>
      <w:bookmarkEnd w:id="8269"/>
      <w:bookmarkEnd w:id="8270"/>
      <w:bookmarkEnd w:id="8271"/>
      <w:bookmarkEnd w:id="8272"/>
      <w:bookmarkEnd w:id="8273"/>
      <w:bookmarkEnd w:id="8274"/>
      <w:bookmarkEnd w:id="8275"/>
      <w:bookmarkEnd w:id="8276"/>
      <w:bookmarkEnd w:id="8277"/>
      <w:bookmarkEnd w:id="8278"/>
      <w:bookmarkEnd w:id="8279"/>
      <w:bookmarkEnd w:id="8280"/>
      <w:bookmarkEnd w:id="8281"/>
    </w:p>
    <w:p>
      <w:pPr>
        <w:pStyle w:val="yFootnoteheading"/>
        <w:keepNext/>
        <w:spacing w:after="120"/>
      </w:pPr>
      <w:r>
        <w:tab/>
        <w:t>[Heading inserted in Gazette 1 Oct 2003 p. 4340; amended in Gazette 4 Nov 2005 p. 5316.]</w:t>
      </w:r>
    </w:p>
    <w:tbl>
      <w:tblPr>
        <w:tblW w:w="0" w:type="auto"/>
        <w:tblInd w:w="113" w:type="dxa"/>
        <w:tblLayout w:type="fixed"/>
        <w:tblCellMar>
          <w:left w:w="113" w:type="dxa"/>
          <w:right w:w="113" w:type="dxa"/>
        </w:tblCellMar>
        <w:tblLook w:val="0000" w:firstRow="0" w:lastRow="0" w:firstColumn="0" w:lastColumn="0" w:noHBand="0" w:noVBand="0"/>
      </w:tblPr>
      <w:tblGrid>
        <w:gridCol w:w="4892"/>
        <w:gridCol w:w="360"/>
        <w:gridCol w:w="1800"/>
      </w:tblGrid>
      <w:tr>
        <w:trPr>
          <w:tblHeader/>
        </w:trPr>
        <w:tc>
          <w:tcPr>
            <w:tcW w:w="5252" w:type="dxa"/>
            <w:gridSpan w:val="2"/>
            <w:tcBorders>
              <w:top w:val="single" w:sz="8" w:space="0" w:color="auto"/>
              <w:bottom w:val="single" w:sz="8" w:space="0" w:color="auto"/>
            </w:tcBorders>
            <w:tcMar>
              <w:left w:w="85" w:type="dxa"/>
              <w:right w:w="113" w:type="dxa"/>
            </w:tcMar>
            <w:vAlign w:val="center"/>
          </w:tcPr>
          <w:p>
            <w:pPr>
              <w:pStyle w:val="yTableNAm"/>
              <w:tabs>
                <w:tab w:val="clear" w:pos="567"/>
                <w:tab w:val="left" w:pos="3677"/>
                <w:tab w:val="left" w:leader="dot" w:pos="3796"/>
              </w:tabs>
              <w:spacing w:before="0"/>
              <w:ind w:left="196" w:hanging="196"/>
              <w:rPr>
                <w:b/>
                <w:bCs/>
              </w:rPr>
            </w:pPr>
            <w:r>
              <w:rPr>
                <w:b/>
                <w:bCs/>
              </w:rPr>
              <w:t>Fish</w:t>
            </w:r>
          </w:p>
        </w:tc>
        <w:tc>
          <w:tcPr>
            <w:tcW w:w="1800" w:type="dxa"/>
            <w:tcBorders>
              <w:top w:val="single" w:sz="8" w:space="0" w:color="auto"/>
              <w:bottom w:val="single" w:sz="8" w:space="0" w:color="auto"/>
            </w:tcBorders>
            <w:tcMar>
              <w:left w:w="85" w:type="dxa"/>
              <w:right w:w="0" w:type="dxa"/>
            </w:tcMar>
            <w:vAlign w:val="center"/>
          </w:tcPr>
          <w:p>
            <w:pPr>
              <w:pStyle w:val="yTableNAm"/>
              <w:tabs>
                <w:tab w:val="clear" w:pos="567"/>
                <w:tab w:val="left" w:pos="3677"/>
                <w:tab w:val="left" w:leader="dot" w:pos="3796"/>
              </w:tabs>
              <w:spacing w:before="0"/>
              <w:rPr>
                <w:b/>
                <w:bCs/>
              </w:rPr>
            </w:pPr>
            <w:r>
              <w:rPr>
                <w:b/>
                <w:bCs/>
              </w:rPr>
              <w:t>Grouped bag limit of all species in the Division for one day</w:t>
            </w:r>
          </w:p>
        </w:tc>
      </w:tr>
      <w:tr>
        <w:tc>
          <w:tcPr>
            <w:tcW w:w="4892" w:type="dxa"/>
            <w:tcMar>
              <w:left w:w="85" w:type="dxa"/>
              <w:right w:w="113" w:type="dxa"/>
            </w:tcMar>
          </w:tcPr>
          <w:p>
            <w:pPr>
              <w:pStyle w:val="yTableNAm"/>
              <w:tabs>
                <w:tab w:val="clear" w:pos="567"/>
                <w:tab w:val="right" w:leader="dot" w:pos="4694"/>
              </w:tabs>
              <w:spacing w:before="0"/>
              <w:ind w:left="198" w:hanging="198"/>
            </w:pPr>
            <w:r>
              <w:t xml:space="preserve">Herring, Australian </w:t>
            </w:r>
            <w:r>
              <w:tab/>
            </w:r>
          </w:p>
        </w:tc>
        <w:tc>
          <w:tcPr>
            <w:tcW w:w="360" w:type="dxa"/>
            <w:vMerge w:val="restart"/>
            <w:tcMar>
              <w:left w:w="85" w:type="dxa"/>
              <w:right w:w="113" w:type="dxa"/>
            </w:tcMar>
          </w:tcPr>
          <w:p>
            <w:pPr>
              <w:pStyle w:val="yTableNAm"/>
              <w:tabs>
                <w:tab w:val="clear" w:pos="567"/>
                <w:tab w:val="left" w:pos="3677"/>
                <w:tab w:val="left" w:leader="dot" w:pos="3796"/>
              </w:tabs>
              <w:spacing w:before="0"/>
              <w:ind w:left="196" w:hanging="196"/>
            </w:pPr>
            <w:r>
              <w:rPr>
                <w:noProof/>
                <w:lang w:eastAsia="en-AU"/>
              </w:rPr>
              <w:drawing>
                <wp:inline distT="0" distB="0" distL="0" distR="0">
                  <wp:extent cx="123825" cy="2362200"/>
                  <wp:effectExtent l="0" t="0" r="952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2362200"/>
                          </a:xfrm>
                          <a:prstGeom prst="rect">
                            <a:avLst/>
                          </a:prstGeom>
                          <a:noFill/>
                          <a:ln>
                            <a:noFill/>
                          </a:ln>
                        </pic:spPr>
                      </pic:pic>
                    </a:graphicData>
                  </a:graphic>
                </wp:inline>
              </w:drawing>
            </w:r>
          </w:p>
        </w:tc>
        <w:tc>
          <w:tcPr>
            <w:tcW w:w="1800" w:type="dxa"/>
            <w:vMerge w:val="restart"/>
            <w:tcMar>
              <w:left w:w="85" w:type="dxa"/>
              <w:right w:w="0" w:type="dxa"/>
            </w:tcMar>
          </w:tcPr>
          <w:p>
            <w:pPr>
              <w:pStyle w:val="yTableNAm"/>
              <w:tabs>
                <w:tab w:val="clear" w:pos="567"/>
                <w:tab w:val="left" w:pos="3677"/>
                <w:tab w:val="left" w:leader="dot" w:pos="3796"/>
              </w:tabs>
              <w:spacing w:before="220"/>
            </w:pPr>
            <w:r>
              <w:br/>
            </w:r>
            <w:r>
              <w:br/>
            </w:r>
            <w:r>
              <w:br/>
            </w:r>
            <w:r>
              <w:br/>
            </w:r>
            <w:r>
              <w:br/>
            </w:r>
            <w:r>
              <w:br/>
              <w:t>30</w:t>
            </w:r>
          </w:p>
        </w:tc>
      </w:tr>
      <w:tr>
        <w:tc>
          <w:tcPr>
            <w:tcW w:w="4892" w:type="dxa"/>
            <w:tcMar>
              <w:left w:w="85" w:type="dxa"/>
              <w:right w:w="113" w:type="dxa"/>
            </w:tcMar>
          </w:tcPr>
          <w:p>
            <w:pPr>
              <w:pStyle w:val="yTableNAm"/>
              <w:tabs>
                <w:tab w:val="clear" w:pos="567"/>
                <w:tab w:val="right" w:leader="dot" w:pos="4694"/>
              </w:tabs>
              <w:spacing w:before="0"/>
              <w:ind w:left="198" w:hanging="198"/>
            </w:pPr>
            <w:r>
              <w:t xml:space="preserve">Dart </w:t>
            </w:r>
            <w:r>
              <w:tab/>
            </w:r>
          </w:p>
        </w:tc>
        <w:tc>
          <w:tcPr>
            <w:tcW w:w="360" w:type="dxa"/>
            <w:vMerge/>
            <w:tcMar>
              <w:left w:w="85" w:type="dxa"/>
              <w:right w:w="113" w:type="dxa"/>
            </w:tcMar>
          </w:tcPr>
          <w:p>
            <w:pPr>
              <w:pStyle w:val="yTableNAm"/>
              <w:tabs>
                <w:tab w:val="clear" w:pos="567"/>
                <w:tab w:val="left" w:pos="3677"/>
                <w:tab w:val="left" w:leader="dot" w:pos="3796"/>
              </w:tabs>
              <w:spacing w:before="0"/>
              <w:ind w:left="196" w:hanging="196"/>
            </w:pPr>
          </w:p>
        </w:tc>
        <w:tc>
          <w:tcPr>
            <w:tcW w:w="1800" w:type="dxa"/>
            <w:vMerge/>
            <w:tcMar>
              <w:left w:w="85" w:type="dxa"/>
              <w:right w:w="0" w:type="dxa"/>
            </w:tcMar>
          </w:tcPr>
          <w:p>
            <w:pPr>
              <w:pStyle w:val="yTableNAm"/>
              <w:tabs>
                <w:tab w:val="clear" w:pos="567"/>
                <w:tab w:val="left" w:pos="3677"/>
                <w:tab w:val="left" w:leader="dot" w:pos="3796"/>
              </w:tabs>
              <w:spacing w:before="0"/>
              <w:ind w:left="196" w:hanging="196"/>
            </w:pPr>
          </w:p>
        </w:tc>
      </w:tr>
      <w:tr>
        <w:tc>
          <w:tcPr>
            <w:tcW w:w="4892" w:type="dxa"/>
            <w:tcMar>
              <w:left w:w="85" w:type="dxa"/>
              <w:right w:w="113" w:type="dxa"/>
            </w:tcMar>
          </w:tcPr>
          <w:p>
            <w:pPr>
              <w:pStyle w:val="yTableNAm"/>
              <w:tabs>
                <w:tab w:val="clear" w:pos="567"/>
                <w:tab w:val="right" w:leader="dot" w:pos="4694"/>
              </w:tabs>
              <w:spacing w:before="0"/>
              <w:ind w:left="198" w:hanging="198"/>
            </w:pPr>
            <w:r>
              <w:t xml:space="preserve">Garfish </w:t>
            </w:r>
            <w:r>
              <w:tab/>
            </w:r>
          </w:p>
        </w:tc>
        <w:tc>
          <w:tcPr>
            <w:tcW w:w="360" w:type="dxa"/>
            <w:vMerge/>
            <w:tcMar>
              <w:left w:w="85" w:type="dxa"/>
              <w:right w:w="113" w:type="dxa"/>
            </w:tcMar>
          </w:tcPr>
          <w:p>
            <w:pPr>
              <w:pStyle w:val="yTableNAm"/>
              <w:tabs>
                <w:tab w:val="clear" w:pos="567"/>
                <w:tab w:val="left" w:pos="3677"/>
                <w:tab w:val="left" w:leader="dot" w:pos="3796"/>
              </w:tabs>
              <w:spacing w:before="0"/>
              <w:ind w:left="196" w:hanging="196"/>
            </w:pPr>
          </w:p>
        </w:tc>
        <w:tc>
          <w:tcPr>
            <w:tcW w:w="1800" w:type="dxa"/>
            <w:vMerge/>
            <w:tcMar>
              <w:left w:w="85" w:type="dxa"/>
              <w:right w:w="0" w:type="dxa"/>
            </w:tcMar>
          </w:tcPr>
          <w:p>
            <w:pPr>
              <w:pStyle w:val="yTableNAm"/>
              <w:tabs>
                <w:tab w:val="clear" w:pos="567"/>
                <w:tab w:val="left" w:pos="3677"/>
                <w:tab w:val="left" w:leader="dot" w:pos="3796"/>
              </w:tabs>
              <w:spacing w:before="0"/>
              <w:ind w:left="196" w:hanging="196"/>
            </w:pPr>
          </w:p>
        </w:tc>
      </w:tr>
      <w:tr>
        <w:tc>
          <w:tcPr>
            <w:tcW w:w="4892" w:type="dxa"/>
            <w:tcMar>
              <w:left w:w="85" w:type="dxa"/>
              <w:right w:w="113" w:type="dxa"/>
            </w:tcMar>
          </w:tcPr>
          <w:p>
            <w:pPr>
              <w:pStyle w:val="yTableNAm"/>
              <w:tabs>
                <w:tab w:val="clear" w:pos="567"/>
                <w:tab w:val="right" w:leader="dot" w:pos="4694"/>
              </w:tabs>
              <w:spacing w:before="0"/>
              <w:ind w:left="198" w:hanging="198"/>
            </w:pPr>
            <w:r>
              <w:t xml:space="preserve">Longtom </w:t>
            </w:r>
            <w:r>
              <w:tab/>
            </w:r>
          </w:p>
        </w:tc>
        <w:tc>
          <w:tcPr>
            <w:tcW w:w="360" w:type="dxa"/>
            <w:vMerge/>
            <w:tcMar>
              <w:left w:w="85" w:type="dxa"/>
              <w:right w:w="113" w:type="dxa"/>
            </w:tcMar>
          </w:tcPr>
          <w:p>
            <w:pPr>
              <w:pStyle w:val="yTableNAm"/>
              <w:tabs>
                <w:tab w:val="clear" w:pos="567"/>
                <w:tab w:val="left" w:pos="3677"/>
                <w:tab w:val="left" w:leader="dot" w:pos="3796"/>
              </w:tabs>
              <w:spacing w:before="0"/>
              <w:ind w:left="196" w:hanging="196"/>
            </w:pPr>
          </w:p>
        </w:tc>
        <w:tc>
          <w:tcPr>
            <w:tcW w:w="1800" w:type="dxa"/>
            <w:vMerge/>
            <w:tcMar>
              <w:left w:w="85" w:type="dxa"/>
              <w:right w:w="0" w:type="dxa"/>
            </w:tcMar>
          </w:tcPr>
          <w:p>
            <w:pPr>
              <w:pStyle w:val="yTableNAm"/>
              <w:tabs>
                <w:tab w:val="clear" w:pos="567"/>
                <w:tab w:val="left" w:pos="3677"/>
                <w:tab w:val="left" w:leader="dot" w:pos="3796"/>
              </w:tabs>
              <w:spacing w:before="0"/>
              <w:ind w:left="196" w:hanging="196"/>
            </w:pPr>
          </w:p>
        </w:tc>
      </w:tr>
      <w:tr>
        <w:tc>
          <w:tcPr>
            <w:tcW w:w="4892" w:type="dxa"/>
            <w:tcMar>
              <w:left w:w="85" w:type="dxa"/>
              <w:right w:w="113" w:type="dxa"/>
            </w:tcMar>
          </w:tcPr>
          <w:p>
            <w:pPr>
              <w:pStyle w:val="yTableNAm"/>
              <w:tabs>
                <w:tab w:val="clear" w:pos="567"/>
                <w:tab w:val="right" w:leader="dot" w:pos="4694"/>
              </w:tabs>
              <w:spacing w:before="0"/>
              <w:ind w:left="198" w:hanging="198"/>
            </w:pPr>
            <w:r>
              <w:t xml:space="preserve">Mackerel, Blue (Common) </w:t>
            </w:r>
            <w:r>
              <w:tab/>
            </w:r>
          </w:p>
        </w:tc>
        <w:tc>
          <w:tcPr>
            <w:tcW w:w="360" w:type="dxa"/>
            <w:vMerge/>
            <w:tcMar>
              <w:left w:w="85" w:type="dxa"/>
              <w:right w:w="113" w:type="dxa"/>
            </w:tcMar>
          </w:tcPr>
          <w:p>
            <w:pPr>
              <w:pStyle w:val="yTableNAm"/>
              <w:tabs>
                <w:tab w:val="clear" w:pos="567"/>
                <w:tab w:val="left" w:pos="3677"/>
                <w:tab w:val="left" w:leader="dot" w:pos="3796"/>
              </w:tabs>
              <w:spacing w:before="0"/>
              <w:ind w:left="196" w:hanging="196"/>
            </w:pPr>
          </w:p>
        </w:tc>
        <w:tc>
          <w:tcPr>
            <w:tcW w:w="1800" w:type="dxa"/>
            <w:vMerge/>
            <w:tcMar>
              <w:left w:w="85" w:type="dxa"/>
              <w:right w:w="0" w:type="dxa"/>
            </w:tcMar>
          </w:tcPr>
          <w:p>
            <w:pPr>
              <w:pStyle w:val="yTableNAm"/>
              <w:tabs>
                <w:tab w:val="clear" w:pos="567"/>
                <w:tab w:val="left" w:pos="3677"/>
                <w:tab w:val="left" w:leader="dot" w:pos="3796"/>
              </w:tabs>
              <w:spacing w:before="0"/>
              <w:ind w:left="196" w:hanging="196"/>
            </w:pPr>
          </w:p>
        </w:tc>
      </w:tr>
      <w:tr>
        <w:tc>
          <w:tcPr>
            <w:tcW w:w="4892" w:type="dxa"/>
            <w:tcMar>
              <w:left w:w="85" w:type="dxa"/>
              <w:right w:w="113" w:type="dxa"/>
            </w:tcMar>
          </w:tcPr>
          <w:p>
            <w:pPr>
              <w:pStyle w:val="yTableNAm"/>
              <w:tabs>
                <w:tab w:val="clear" w:pos="567"/>
                <w:tab w:val="right" w:leader="dot" w:pos="4694"/>
              </w:tabs>
              <w:spacing w:before="0"/>
              <w:ind w:left="198" w:hanging="198"/>
            </w:pPr>
            <w:r>
              <w:t xml:space="preserve">Milkfish </w:t>
            </w:r>
            <w:r>
              <w:tab/>
            </w:r>
          </w:p>
        </w:tc>
        <w:tc>
          <w:tcPr>
            <w:tcW w:w="360" w:type="dxa"/>
            <w:vMerge/>
            <w:tcMar>
              <w:left w:w="85" w:type="dxa"/>
              <w:right w:w="113" w:type="dxa"/>
            </w:tcMar>
          </w:tcPr>
          <w:p>
            <w:pPr>
              <w:pStyle w:val="yTableNAm"/>
              <w:tabs>
                <w:tab w:val="clear" w:pos="567"/>
                <w:tab w:val="left" w:pos="3677"/>
                <w:tab w:val="left" w:leader="dot" w:pos="3796"/>
              </w:tabs>
              <w:spacing w:before="0"/>
              <w:ind w:left="196" w:hanging="196"/>
            </w:pPr>
          </w:p>
        </w:tc>
        <w:tc>
          <w:tcPr>
            <w:tcW w:w="1800" w:type="dxa"/>
            <w:vMerge/>
            <w:tcMar>
              <w:left w:w="85" w:type="dxa"/>
              <w:right w:w="0" w:type="dxa"/>
            </w:tcMar>
          </w:tcPr>
          <w:p>
            <w:pPr>
              <w:pStyle w:val="yTableNAm"/>
              <w:tabs>
                <w:tab w:val="clear" w:pos="567"/>
                <w:tab w:val="left" w:pos="3677"/>
                <w:tab w:val="left" w:leader="dot" w:pos="3796"/>
              </w:tabs>
              <w:spacing w:before="0"/>
              <w:ind w:left="196" w:hanging="196"/>
            </w:pPr>
          </w:p>
        </w:tc>
      </w:tr>
      <w:tr>
        <w:tc>
          <w:tcPr>
            <w:tcW w:w="4892" w:type="dxa"/>
            <w:tcMar>
              <w:left w:w="85" w:type="dxa"/>
              <w:right w:w="113" w:type="dxa"/>
            </w:tcMar>
          </w:tcPr>
          <w:p>
            <w:pPr>
              <w:pStyle w:val="yTableNAm"/>
              <w:tabs>
                <w:tab w:val="clear" w:pos="567"/>
                <w:tab w:val="right" w:leader="dot" w:pos="4694"/>
              </w:tabs>
              <w:spacing w:before="0"/>
              <w:ind w:left="198" w:hanging="198"/>
            </w:pPr>
            <w:r>
              <w:t>Mullet, Sea and Yellow</w:t>
            </w:r>
            <w:r>
              <w:noBreakHyphen/>
              <w:t xml:space="preserve">eye </w:t>
            </w:r>
            <w:r>
              <w:tab/>
            </w:r>
          </w:p>
        </w:tc>
        <w:tc>
          <w:tcPr>
            <w:tcW w:w="360" w:type="dxa"/>
            <w:vMerge/>
            <w:tcMar>
              <w:left w:w="85" w:type="dxa"/>
              <w:right w:w="113" w:type="dxa"/>
            </w:tcMar>
          </w:tcPr>
          <w:p>
            <w:pPr>
              <w:pStyle w:val="yTableNAm"/>
              <w:tabs>
                <w:tab w:val="clear" w:pos="567"/>
                <w:tab w:val="left" w:pos="3677"/>
                <w:tab w:val="left" w:leader="dot" w:pos="3796"/>
              </w:tabs>
              <w:spacing w:before="0"/>
              <w:ind w:left="196" w:hanging="196"/>
            </w:pPr>
          </w:p>
        </w:tc>
        <w:tc>
          <w:tcPr>
            <w:tcW w:w="1800" w:type="dxa"/>
            <w:vMerge/>
            <w:tcMar>
              <w:left w:w="85" w:type="dxa"/>
              <w:right w:w="0" w:type="dxa"/>
            </w:tcMar>
          </w:tcPr>
          <w:p>
            <w:pPr>
              <w:pStyle w:val="yTableNAm"/>
              <w:tabs>
                <w:tab w:val="clear" w:pos="567"/>
                <w:tab w:val="left" w:pos="3677"/>
                <w:tab w:val="left" w:leader="dot" w:pos="3796"/>
              </w:tabs>
              <w:spacing w:before="0"/>
              <w:ind w:left="196" w:hanging="196"/>
            </w:pPr>
          </w:p>
        </w:tc>
      </w:tr>
      <w:tr>
        <w:tc>
          <w:tcPr>
            <w:tcW w:w="4892" w:type="dxa"/>
            <w:tcMar>
              <w:left w:w="85" w:type="dxa"/>
              <w:right w:w="113" w:type="dxa"/>
            </w:tcMar>
          </w:tcPr>
          <w:p>
            <w:pPr>
              <w:pStyle w:val="yTableNAm"/>
              <w:tabs>
                <w:tab w:val="clear" w:pos="567"/>
                <w:tab w:val="right" w:leader="dot" w:pos="4694"/>
              </w:tabs>
              <w:spacing w:before="0"/>
              <w:ind w:left="198" w:hanging="198"/>
            </w:pPr>
            <w:r>
              <w:t>Whiting, Southern School</w:t>
            </w:r>
            <w:r>
              <w:tab/>
            </w:r>
          </w:p>
          <w:p>
            <w:pPr>
              <w:pStyle w:val="yTableNAm"/>
              <w:tabs>
                <w:tab w:val="clear" w:pos="567"/>
                <w:tab w:val="left" w:leader="dot" w:pos="3557"/>
                <w:tab w:val="right" w:leader="dot" w:pos="4694"/>
                <w:tab w:val="right" w:leader="dot" w:pos="4807"/>
              </w:tabs>
              <w:spacing w:before="0"/>
              <w:ind w:left="196" w:right="112" w:hanging="196"/>
            </w:pPr>
            <w:r>
              <w:t>All other West Coast species of fish not specifically covered in this Part except for —</w:t>
            </w:r>
          </w:p>
          <w:p>
            <w:pPr>
              <w:pStyle w:val="yTableNAm"/>
              <w:tabs>
                <w:tab w:val="left" w:pos="227"/>
                <w:tab w:val="right" w:leader="dot" w:pos="4694"/>
                <w:tab w:val="right" w:leader="dot" w:pos="4997"/>
                <w:tab w:val="right" w:leader="dot" w:pos="6237"/>
              </w:tabs>
              <w:spacing w:before="0"/>
              <w:ind w:left="578" w:right="237" w:hanging="578"/>
            </w:pPr>
            <w:r>
              <w:tab/>
              <w:t>(a)</w:t>
            </w:r>
            <w:r>
              <w:tab/>
              <w:t xml:space="preserve">bait fish of the </w:t>
            </w:r>
            <w:r>
              <w:rPr>
                <w:u w:val="single"/>
              </w:rPr>
              <w:t>Families</w:t>
            </w:r>
            <w:r>
              <w:t xml:space="preserve"> Clupeidae (Pilchards and Whitebait), Atherinidae (Hardyheads) and Engraulidae (Anchovy); and</w:t>
            </w:r>
          </w:p>
        </w:tc>
        <w:tc>
          <w:tcPr>
            <w:tcW w:w="360" w:type="dxa"/>
            <w:vMerge/>
            <w:tcMar>
              <w:left w:w="85" w:type="dxa"/>
              <w:right w:w="113" w:type="dxa"/>
            </w:tcMar>
          </w:tcPr>
          <w:p>
            <w:pPr>
              <w:pStyle w:val="yTableNAm"/>
              <w:tabs>
                <w:tab w:val="clear" w:pos="567"/>
                <w:tab w:val="left" w:pos="3677"/>
                <w:tab w:val="left" w:leader="dot" w:pos="3796"/>
              </w:tabs>
              <w:spacing w:before="0"/>
              <w:ind w:left="196" w:hanging="196"/>
            </w:pPr>
          </w:p>
        </w:tc>
        <w:tc>
          <w:tcPr>
            <w:tcW w:w="1800" w:type="dxa"/>
            <w:vMerge/>
            <w:tcMar>
              <w:left w:w="85" w:type="dxa"/>
              <w:right w:w="0" w:type="dxa"/>
            </w:tcMar>
          </w:tcPr>
          <w:p>
            <w:pPr>
              <w:pStyle w:val="yTableNAm"/>
              <w:tabs>
                <w:tab w:val="clear" w:pos="567"/>
                <w:tab w:val="left" w:pos="3677"/>
                <w:tab w:val="left" w:leader="dot" w:pos="3796"/>
              </w:tabs>
              <w:spacing w:before="0"/>
              <w:ind w:left="196" w:hanging="196"/>
            </w:pPr>
          </w:p>
        </w:tc>
      </w:tr>
      <w:tr>
        <w:tc>
          <w:tcPr>
            <w:tcW w:w="4892" w:type="dxa"/>
            <w:tcBorders>
              <w:bottom w:val="single" w:sz="4" w:space="0" w:color="auto"/>
            </w:tcBorders>
            <w:tcMar>
              <w:left w:w="85" w:type="dxa"/>
              <w:right w:w="113" w:type="dxa"/>
            </w:tcMar>
          </w:tcPr>
          <w:p>
            <w:pPr>
              <w:pStyle w:val="yTableNAm"/>
              <w:tabs>
                <w:tab w:val="left" w:pos="227"/>
                <w:tab w:val="right" w:leader="dot" w:pos="4694"/>
                <w:tab w:val="right" w:leader="dot" w:pos="6237"/>
              </w:tabs>
              <w:spacing w:before="0"/>
              <w:ind w:left="578" w:right="7" w:hanging="578"/>
            </w:pPr>
            <w:r>
              <w:tab/>
              <w:t>(b)</w:t>
            </w:r>
            <w:r>
              <w:tab/>
              <w:t>Redfin Perch, Goldfish and European Carp</w:t>
            </w:r>
            <w:r>
              <w:tab/>
            </w:r>
          </w:p>
        </w:tc>
        <w:tc>
          <w:tcPr>
            <w:tcW w:w="360" w:type="dxa"/>
            <w:vMerge/>
            <w:tcBorders>
              <w:bottom w:val="single" w:sz="4" w:space="0" w:color="auto"/>
            </w:tcBorders>
            <w:tcMar>
              <w:left w:w="85" w:type="dxa"/>
              <w:right w:w="113" w:type="dxa"/>
            </w:tcMar>
          </w:tcPr>
          <w:p>
            <w:pPr>
              <w:pStyle w:val="yTableNAm"/>
              <w:tabs>
                <w:tab w:val="clear" w:pos="567"/>
                <w:tab w:val="left" w:pos="3677"/>
                <w:tab w:val="left" w:leader="dot" w:pos="3796"/>
              </w:tabs>
              <w:spacing w:before="0"/>
            </w:pPr>
          </w:p>
        </w:tc>
        <w:tc>
          <w:tcPr>
            <w:tcW w:w="1800" w:type="dxa"/>
            <w:vMerge/>
            <w:tcBorders>
              <w:bottom w:val="single" w:sz="4" w:space="0" w:color="auto"/>
            </w:tcBorders>
            <w:tcMar>
              <w:left w:w="85" w:type="dxa"/>
              <w:right w:w="0" w:type="dxa"/>
            </w:tcMar>
          </w:tcPr>
          <w:p>
            <w:pPr>
              <w:pStyle w:val="yTableNAm"/>
              <w:tabs>
                <w:tab w:val="clear" w:pos="567"/>
                <w:tab w:val="left" w:pos="3677"/>
                <w:tab w:val="left" w:leader="dot" w:pos="3796"/>
              </w:tabs>
              <w:spacing w:before="0"/>
              <w:ind w:left="196" w:hanging="196"/>
            </w:pPr>
          </w:p>
        </w:tc>
      </w:tr>
    </w:tbl>
    <w:p>
      <w:pPr>
        <w:pStyle w:val="yFootnotesection"/>
      </w:pPr>
      <w:r>
        <w:tab/>
        <w:t>[Division 3 inserted in Gazette 1 Oct 2003 p. 4340; amended in Gazette 4 Nov 2005 p. 5316; 29 Sep 2009 p. 3869; 23 Jul 2010 p. 3403.]</w:t>
      </w:r>
    </w:p>
    <w:p>
      <w:pPr>
        <w:pStyle w:val="yHeading3"/>
        <w:pageBreakBefore/>
        <w:spacing w:before="180"/>
      </w:pPr>
      <w:bookmarkStart w:id="8282" w:name="_Toc189988193"/>
      <w:bookmarkStart w:id="8283" w:name="_Toc192041776"/>
      <w:bookmarkStart w:id="8284" w:name="_Toc199571010"/>
      <w:bookmarkStart w:id="8285" w:name="_Toc199739009"/>
      <w:bookmarkStart w:id="8286" w:name="_Toc199815110"/>
      <w:bookmarkStart w:id="8287" w:name="_Toc215040917"/>
      <w:bookmarkStart w:id="8288" w:name="_Toc215041362"/>
      <w:bookmarkStart w:id="8289" w:name="_Toc222129570"/>
      <w:bookmarkStart w:id="8290" w:name="_Toc222223275"/>
      <w:bookmarkStart w:id="8291" w:name="_Toc225914527"/>
      <w:bookmarkStart w:id="8292" w:name="_Toc231282572"/>
      <w:bookmarkStart w:id="8293" w:name="_Toc231283016"/>
      <w:bookmarkStart w:id="8294" w:name="_Toc234899606"/>
      <w:bookmarkStart w:id="8295" w:name="_Toc236632888"/>
      <w:bookmarkStart w:id="8296" w:name="_Toc236720501"/>
      <w:bookmarkStart w:id="8297" w:name="_Toc237764700"/>
      <w:bookmarkStart w:id="8298" w:name="_Toc238356324"/>
      <w:bookmarkStart w:id="8299" w:name="_Toc238369029"/>
      <w:bookmarkStart w:id="8300" w:name="_Toc238375982"/>
      <w:bookmarkStart w:id="8301" w:name="_Toc240339306"/>
      <w:bookmarkStart w:id="8302" w:name="_Toc241993812"/>
      <w:bookmarkStart w:id="8303" w:name="_Toc243192955"/>
      <w:bookmarkStart w:id="8304" w:name="_Toc243295657"/>
      <w:bookmarkStart w:id="8305" w:name="_Toc245113230"/>
      <w:bookmarkStart w:id="8306" w:name="_Toc245198392"/>
      <w:bookmarkStart w:id="8307" w:name="_Toc245198841"/>
      <w:bookmarkStart w:id="8308" w:name="_Toc245199290"/>
      <w:bookmarkStart w:id="8309" w:name="_Toc248122322"/>
      <w:bookmarkStart w:id="8310" w:name="_Toc248122773"/>
      <w:bookmarkStart w:id="8311" w:name="_Toc253670760"/>
      <w:bookmarkStart w:id="8312" w:name="_Toc253671210"/>
      <w:bookmarkStart w:id="8313" w:name="_Toc254942984"/>
      <w:bookmarkStart w:id="8314" w:name="_Toc254943437"/>
      <w:bookmarkStart w:id="8315" w:name="_Toc255476029"/>
      <w:bookmarkStart w:id="8316" w:name="_Toc256432350"/>
      <w:bookmarkStart w:id="8317" w:name="_Toc257720687"/>
      <w:bookmarkStart w:id="8318" w:name="_Toc257722369"/>
      <w:bookmarkStart w:id="8319" w:name="_Toc258336045"/>
      <w:bookmarkStart w:id="8320" w:name="_Toc260406487"/>
      <w:bookmarkStart w:id="8321" w:name="_Toc261271673"/>
      <w:bookmarkStart w:id="8322" w:name="_Toc262808355"/>
      <w:bookmarkStart w:id="8323" w:name="_Toc267572748"/>
      <w:bookmarkStart w:id="8324" w:name="_Toc270684497"/>
      <w:bookmarkStart w:id="8325" w:name="_Toc274214674"/>
      <w:bookmarkStart w:id="8326" w:name="_Toc274215123"/>
      <w:bookmarkStart w:id="8327" w:name="_Toc278976454"/>
      <w:bookmarkStart w:id="8328" w:name="_Toc286760775"/>
      <w:bookmarkStart w:id="8329" w:name="_Toc289081120"/>
      <w:bookmarkStart w:id="8330" w:name="_Toc290284314"/>
      <w:bookmarkStart w:id="8331" w:name="_Toc290643135"/>
      <w:bookmarkStart w:id="8332" w:name="_Toc290643584"/>
      <w:bookmarkStart w:id="8333" w:name="_Toc290644037"/>
      <w:bookmarkStart w:id="8334" w:name="_Toc294701854"/>
      <w:bookmarkStart w:id="8335" w:name="_Toc295200262"/>
      <w:bookmarkStart w:id="8336" w:name="_Toc296954703"/>
      <w:bookmarkStart w:id="8337" w:name="_Toc297276338"/>
      <w:bookmarkStart w:id="8338" w:name="_Toc297276790"/>
      <w:bookmarkStart w:id="8339" w:name="_Toc297277240"/>
      <w:bookmarkStart w:id="8340" w:name="_Toc297726609"/>
      <w:bookmarkStart w:id="8341" w:name="_Toc299980395"/>
      <w:bookmarkStart w:id="8342" w:name="_Toc300235021"/>
      <w:bookmarkStart w:id="8343" w:name="_Toc301961524"/>
      <w:bookmarkStart w:id="8344" w:name="_Toc301967094"/>
      <w:bookmarkStart w:id="8345" w:name="_Toc303253303"/>
      <w:bookmarkStart w:id="8346" w:name="_Toc303257467"/>
      <w:bookmarkStart w:id="8347" w:name="_Toc307993100"/>
      <w:bookmarkStart w:id="8348" w:name="_Toc309030133"/>
      <w:bookmarkStart w:id="8349" w:name="_Toc309304356"/>
      <w:bookmarkStart w:id="8350" w:name="_Toc309309633"/>
      <w:r>
        <w:t>Division 4 — Crustaceans</w:t>
      </w:r>
      <w:bookmarkEnd w:id="8282"/>
      <w:bookmarkEnd w:id="8283"/>
      <w:bookmarkEnd w:id="8284"/>
      <w:bookmarkEnd w:id="8285"/>
      <w:bookmarkEnd w:id="8286"/>
      <w:bookmarkEnd w:id="8287"/>
      <w:bookmarkEnd w:id="8288"/>
      <w:bookmarkEnd w:id="8289"/>
      <w:bookmarkEnd w:id="8290"/>
      <w:bookmarkEnd w:id="8291"/>
      <w:bookmarkEnd w:id="8292"/>
      <w:bookmarkEnd w:id="8293"/>
      <w:bookmarkEnd w:id="8294"/>
      <w:bookmarkEnd w:id="8295"/>
      <w:bookmarkEnd w:id="8296"/>
      <w:bookmarkEnd w:id="8297"/>
      <w:bookmarkEnd w:id="8298"/>
      <w:bookmarkEnd w:id="8299"/>
      <w:bookmarkEnd w:id="8300"/>
      <w:bookmarkEnd w:id="8301"/>
      <w:bookmarkEnd w:id="8302"/>
      <w:bookmarkEnd w:id="8303"/>
      <w:bookmarkEnd w:id="8304"/>
      <w:bookmarkEnd w:id="8305"/>
      <w:bookmarkEnd w:id="8306"/>
      <w:bookmarkEnd w:id="8307"/>
      <w:bookmarkEnd w:id="8308"/>
      <w:bookmarkEnd w:id="8309"/>
      <w:bookmarkEnd w:id="8310"/>
      <w:bookmarkEnd w:id="8311"/>
      <w:bookmarkEnd w:id="8312"/>
      <w:bookmarkEnd w:id="8313"/>
      <w:bookmarkEnd w:id="8314"/>
      <w:bookmarkEnd w:id="8315"/>
      <w:bookmarkEnd w:id="8316"/>
      <w:bookmarkEnd w:id="8317"/>
      <w:bookmarkEnd w:id="8318"/>
      <w:bookmarkEnd w:id="8319"/>
      <w:bookmarkEnd w:id="8320"/>
      <w:bookmarkEnd w:id="8321"/>
      <w:bookmarkEnd w:id="8322"/>
      <w:bookmarkEnd w:id="8323"/>
      <w:bookmarkEnd w:id="8324"/>
      <w:bookmarkEnd w:id="8325"/>
      <w:bookmarkEnd w:id="8326"/>
      <w:bookmarkEnd w:id="8327"/>
      <w:bookmarkEnd w:id="8328"/>
      <w:bookmarkEnd w:id="8329"/>
      <w:bookmarkEnd w:id="8330"/>
      <w:bookmarkEnd w:id="8331"/>
      <w:bookmarkEnd w:id="8332"/>
      <w:bookmarkEnd w:id="8333"/>
      <w:bookmarkEnd w:id="8334"/>
      <w:bookmarkEnd w:id="8335"/>
      <w:bookmarkEnd w:id="8336"/>
      <w:bookmarkEnd w:id="8337"/>
      <w:bookmarkEnd w:id="8338"/>
      <w:bookmarkEnd w:id="8339"/>
      <w:bookmarkEnd w:id="8340"/>
      <w:bookmarkEnd w:id="8341"/>
      <w:bookmarkEnd w:id="8342"/>
      <w:bookmarkEnd w:id="8343"/>
      <w:bookmarkEnd w:id="8344"/>
      <w:bookmarkEnd w:id="8345"/>
      <w:bookmarkEnd w:id="8346"/>
      <w:bookmarkEnd w:id="8347"/>
      <w:bookmarkEnd w:id="8348"/>
      <w:bookmarkEnd w:id="8349"/>
      <w:bookmarkEnd w:id="8350"/>
    </w:p>
    <w:p>
      <w:pPr>
        <w:pStyle w:val="yFootnoteheading"/>
        <w:keepNext/>
        <w:spacing w:after="120"/>
      </w:pPr>
      <w:r>
        <w:tab/>
        <w:t>[Heading inserted in Gazette 1 Oct 2003 p. 4340.]</w:t>
      </w:r>
    </w:p>
    <w:tbl>
      <w:tblPr>
        <w:tblW w:w="7027" w:type="dxa"/>
        <w:tblInd w:w="113" w:type="dxa"/>
        <w:tblLayout w:type="fixed"/>
        <w:tblCellMar>
          <w:left w:w="113" w:type="dxa"/>
          <w:right w:w="113" w:type="dxa"/>
        </w:tblCellMar>
        <w:tblLook w:val="0000" w:firstRow="0" w:lastRow="0" w:firstColumn="0" w:lastColumn="0" w:noHBand="0" w:noVBand="0"/>
      </w:tblPr>
      <w:tblGrid>
        <w:gridCol w:w="5252"/>
        <w:gridCol w:w="1775"/>
      </w:tblGrid>
      <w:tr>
        <w:trPr>
          <w:tblHeader/>
        </w:trPr>
        <w:tc>
          <w:tcPr>
            <w:tcW w:w="5252" w:type="dxa"/>
            <w:tcBorders>
              <w:top w:val="single" w:sz="8" w:space="0" w:color="auto"/>
              <w:bottom w:val="single" w:sz="8" w:space="0" w:color="auto"/>
            </w:tcBorders>
            <w:tcMar>
              <w:left w:w="85" w:type="dxa"/>
              <w:right w:w="113" w:type="dxa"/>
            </w:tcMar>
            <w:vAlign w:val="center"/>
          </w:tcPr>
          <w:p>
            <w:pPr>
              <w:pStyle w:val="yTableNAm"/>
              <w:tabs>
                <w:tab w:val="clear" w:pos="567"/>
                <w:tab w:val="left" w:pos="557"/>
                <w:tab w:val="left" w:pos="677"/>
                <w:tab w:val="left" w:leader="dot" w:pos="3317"/>
              </w:tabs>
              <w:spacing w:before="0"/>
              <w:ind w:left="799" w:right="227" w:hanging="799"/>
              <w:rPr>
                <w:b/>
                <w:bCs/>
              </w:rPr>
            </w:pPr>
            <w:r>
              <w:rPr>
                <w:b/>
                <w:bCs/>
              </w:rPr>
              <w:t>Fish</w:t>
            </w:r>
          </w:p>
        </w:tc>
        <w:tc>
          <w:tcPr>
            <w:tcW w:w="1775" w:type="dxa"/>
            <w:tcBorders>
              <w:top w:val="single" w:sz="8" w:space="0" w:color="auto"/>
              <w:bottom w:val="single" w:sz="8" w:space="0" w:color="auto"/>
            </w:tcBorders>
            <w:tcMar>
              <w:left w:w="85" w:type="dxa"/>
              <w:right w:w="113" w:type="dxa"/>
            </w:tcMar>
            <w:vAlign w:val="center"/>
          </w:tcPr>
          <w:p>
            <w:pPr>
              <w:pStyle w:val="yTableNAm"/>
              <w:tabs>
                <w:tab w:val="clear" w:pos="567"/>
              </w:tabs>
              <w:spacing w:before="0"/>
              <w:ind w:right="-71"/>
              <w:rPr>
                <w:b/>
                <w:bCs/>
              </w:rPr>
            </w:pPr>
            <w:r>
              <w:rPr>
                <w:b/>
                <w:bCs/>
              </w:rPr>
              <w:t>Species, or group of species, bag limit for one day</w:t>
            </w:r>
          </w:p>
        </w:tc>
      </w:tr>
      <w:tr>
        <w:tc>
          <w:tcPr>
            <w:tcW w:w="5252" w:type="dxa"/>
            <w:tcMar>
              <w:left w:w="85" w:type="dxa"/>
              <w:right w:w="113" w:type="dxa"/>
            </w:tcMar>
          </w:tcPr>
          <w:p>
            <w:pPr>
              <w:pStyle w:val="yTableNAm"/>
              <w:tabs>
                <w:tab w:val="clear" w:pos="567"/>
                <w:tab w:val="right" w:leader="dot" w:pos="4536"/>
                <w:tab w:val="right" w:pos="4995"/>
              </w:tabs>
              <w:spacing w:before="0"/>
              <w:ind w:left="198" w:hanging="198"/>
            </w:pPr>
            <w:r>
              <w:t>Crab, Blue Manna — </w:t>
            </w:r>
          </w:p>
        </w:tc>
        <w:tc>
          <w:tcPr>
            <w:tcW w:w="1775" w:type="dxa"/>
            <w:tcMar>
              <w:left w:w="85" w:type="dxa"/>
              <w:right w:w="113" w:type="dxa"/>
            </w:tcMar>
          </w:tcPr>
          <w:p>
            <w:pPr>
              <w:pStyle w:val="yTableNAm"/>
              <w:tabs>
                <w:tab w:val="clear" w:pos="567"/>
                <w:tab w:val="left" w:leader="dot" w:pos="3557"/>
              </w:tabs>
              <w:spacing w:before="0"/>
              <w:ind w:right="-138"/>
            </w:pPr>
          </w:p>
        </w:tc>
      </w:tr>
      <w:tr>
        <w:tc>
          <w:tcPr>
            <w:tcW w:w="5252" w:type="dxa"/>
            <w:tcMar>
              <w:left w:w="85" w:type="dxa"/>
              <w:right w:w="113" w:type="dxa"/>
            </w:tcMar>
          </w:tcPr>
          <w:p>
            <w:pPr>
              <w:pStyle w:val="yTableNAm"/>
              <w:tabs>
                <w:tab w:val="clear" w:pos="567"/>
                <w:tab w:val="left" w:pos="317"/>
                <w:tab w:val="right" w:leader="dot" w:pos="5047"/>
              </w:tabs>
              <w:spacing w:before="0"/>
              <w:ind w:left="677" w:hanging="797"/>
            </w:pPr>
            <w:r>
              <w:tab/>
              <w:t>(a)</w:t>
            </w:r>
            <w:r>
              <w:tab/>
              <w:t xml:space="preserve">before 1 November 2007 </w:t>
            </w:r>
            <w:r>
              <w:tab/>
            </w:r>
          </w:p>
        </w:tc>
        <w:tc>
          <w:tcPr>
            <w:tcW w:w="1775" w:type="dxa"/>
            <w:tcMar>
              <w:left w:w="85" w:type="dxa"/>
              <w:right w:w="113" w:type="dxa"/>
            </w:tcMar>
          </w:tcPr>
          <w:p>
            <w:pPr>
              <w:pStyle w:val="yTableNAm"/>
              <w:tabs>
                <w:tab w:val="clear" w:pos="567"/>
                <w:tab w:val="left" w:leader="dot" w:pos="3557"/>
              </w:tabs>
              <w:spacing w:before="0"/>
              <w:ind w:right="-138"/>
              <w:jc w:val="both"/>
            </w:pPr>
            <w:r>
              <w:t>20</w:t>
            </w:r>
          </w:p>
        </w:tc>
      </w:tr>
      <w:tr>
        <w:tc>
          <w:tcPr>
            <w:tcW w:w="5252" w:type="dxa"/>
            <w:tcMar>
              <w:left w:w="85" w:type="dxa"/>
              <w:right w:w="113" w:type="dxa"/>
            </w:tcMar>
          </w:tcPr>
          <w:p>
            <w:pPr>
              <w:pStyle w:val="yTableNAm"/>
              <w:tabs>
                <w:tab w:val="clear" w:pos="567"/>
                <w:tab w:val="left" w:pos="317"/>
                <w:tab w:val="right" w:leader="dot" w:pos="5047"/>
              </w:tabs>
              <w:spacing w:before="0"/>
              <w:ind w:left="677" w:hanging="797"/>
            </w:pPr>
            <w:r>
              <w:tab/>
              <w:t>(b)</w:t>
            </w:r>
            <w:r>
              <w:tab/>
              <w:t xml:space="preserve">on and after 1 November 2007 </w:t>
            </w:r>
            <w:r>
              <w:tab/>
            </w:r>
          </w:p>
        </w:tc>
        <w:tc>
          <w:tcPr>
            <w:tcW w:w="1775" w:type="dxa"/>
            <w:tcMar>
              <w:left w:w="85" w:type="dxa"/>
              <w:right w:w="113" w:type="dxa"/>
            </w:tcMar>
          </w:tcPr>
          <w:p>
            <w:pPr>
              <w:pStyle w:val="yTableNAm"/>
              <w:tabs>
                <w:tab w:val="clear" w:pos="567"/>
                <w:tab w:val="left" w:leader="dot" w:pos="3557"/>
              </w:tabs>
              <w:spacing w:before="0"/>
              <w:ind w:right="-138"/>
              <w:jc w:val="both"/>
            </w:pPr>
            <w:r>
              <w:t>10</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Crab, </w:t>
            </w:r>
            <w:r>
              <w:rPr>
                <w:szCs w:val="22"/>
              </w:rPr>
              <w:t>Brown Mud and Green Mud (combined)</w:t>
            </w:r>
            <w:r>
              <w:tab/>
            </w:r>
          </w:p>
        </w:tc>
        <w:tc>
          <w:tcPr>
            <w:tcW w:w="1775" w:type="dxa"/>
            <w:tcMar>
              <w:left w:w="85" w:type="dxa"/>
              <w:right w:w="113" w:type="dxa"/>
            </w:tcMar>
          </w:tcPr>
          <w:p>
            <w:pPr>
              <w:pStyle w:val="yTableNAm"/>
              <w:tabs>
                <w:tab w:val="clear" w:pos="567"/>
                <w:tab w:val="left" w:leader="dot" w:pos="3557"/>
              </w:tabs>
              <w:spacing w:before="0"/>
              <w:ind w:right="-138"/>
              <w:jc w:val="both"/>
            </w:pPr>
            <w:r>
              <w:t>5</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Marron </w:t>
            </w:r>
            <w:r>
              <w:tab/>
            </w:r>
          </w:p>
        </w:tc>
        <w:tc>
          <w:tcPr>
            <w:tcW w:w="1775" w:type="dxa"/>
            <w:tcMar>
              <w:left w:w="85" w:type="dxa"/>
              <w:right w:w="113" w:type="dxa"/>
            </w:tcMar>
          </w:tcPr>
          <w:p>
            <w:pPr>
              <w:pStyle w:val="yTableNAm"/>
              <w:tabs>
                <w:tab w:val="clear" w:pos="567"/>
                <w:tab w:val="left" w:leader="dot" w:pos="3557"/>
              </w:tabs>
              <w:spacing w:before="0"/>
              <w:ind w:right="-138"/>
              <w:jc w:val="both"/>
            </w:pPr>
            <w:r>
              <w:t>10</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Prawn </w:t>
            </w:r>
            <w:r>
              <w:tab/>
            </w:r>
          </w:p>
        </w:tc>
        <w:tc>
          <w:tcPr>
            <w:tcW w:w="1775" w:type="dxa"/>
            <w:tcMar>
              <w:left w:w="85" w:type="dxa"/>
              <w:right w:w="113" w:type="dxa"/>
            </w:tcMar>
          </w:tcPr>
          <w:p>
            <w:pPr>
              <w:pStyle w:val="yTableNAm"/>
              <w:keepNext/>
              <w:keepLines/>
              <w:tabs>
                <w:tab w:val="clear" w:pos="567"/>
                <w:tab w:val="left" w:leader="dot" w:pos="3557"/>
              </w:tabs>
              <w:spacing w:before="0"/>
              <w:ind w:right="-138"/>
              <w:jc w:val="both"/>
            </w:pPr>
            <w:r>
              <w:t>9 L</w:t>
            </w:r>
          </w:p>
        </w:tc>
      </w:tr>
      <w:tr>
        <w:tc>
          <w:tcPr>
            <w:tcW w:w="5252" w:type="dxa"/>
            <w:tcBorders>
              <w:bottom w:val="single" w:sz="4" w:space="0" w:color="auto"/>
            </w:tcBorders>
            <w:tcMar>
              <w:left w:w="85" w:type="dxa"/>
              <w:right w:w="113" w:type="dxa"/>
            </w:tcMar>
          </w:tcPr>
          <w:p>
            <w:pPr>
              <w:pStyle w:val="yTableNAm"/>
              <w:keepNext/>
              <w:keepLines/>
              <w:tabs>
                <w:tab w:val="clear" w:pos="567"/>
                <w:tab w:val="right" w:leader="dot" w:pos="5047"/>
              </w:tabs>
              <w:spacing w:before="0"/>
              <w:ind w:left="198" w:hanging="198"/>
            </w:pPr>
            <w:r>
              <w:t xml:space="preserve">Rock Lobster </w:t>
            </w:r>
            <w:r>
              <w:tab/>
            </w:r>
          </w:p>
        </w:tc>
        <w:tc>
          <w:tcPr>
            <w:tcW w:w="1775" w:type="dxa"/>
            <w:tcBorders>
              <w:bottom w:val="single" w:sz="4" w:space="0" w:color="auto"/>
            </w:tcBorders>
            <w:tcMar>
              <w:left w:w="85" w:type="dxa"/>
              <w:right w:w="113" w:type="dxa"/>
            </w:tcMar>
          </w:tcPr>
          <w:p>
            <w:pPr>
              <w:pStyle w:val="yTableNAm"/>
              <w:keepNext/>
              <w:keepLines/>
              <w:tabs>
                <w:tab w:val="clear" w:pos="567"/>
                <w:tab w:val="left" w:leader="dot" w:pos="3557"/>
              </w:tabs>
              <w:spacing w:before="0"/>
              <w:ind w:right="-138"/>
              <w:jc w:val="both"/>
            </w:pPr>
            <w:r>
              <w:t>6</w:t>
            </w:r>
          </w:p>
        </w:tc>
      </w:tr>
    </w:tbl>
    <w:p>
      <w:pPr>
        <w:pStyle w:val="yFootnotesection"/>
        <w:spacing w:before="60"/>
      </w:pPr>
      <w:r>
        <w:tab/>
        <w:t>[</w:t>
      </w:r>
      <w:r>
        <w:rPr>
          <w:spacing w:val="-2"/>
        </w:rPr>
        <w:t>Division 4 inserted in Gazette 1 Oct 2003 p. 4340; amended in Gazette 6 Jul 2007 p. 3389; 21 Nov 2008 p. 4927; 1 Mar 2011 p. 672.]</w:t>
      </w:r>
    </w:p>
    <w:p>
      <w:pPr>
        <w:pStyle w:val="yHeading3"/>
        <w:spacing w:before="180"/>
      </w:pPr>
      <w:bookmarkStart w:id="8351" w:name="_Toc189988194"/>
      <w:bookmarkStart w:id="8352" w:name="_Toc192041777"/>
      <w:bookmarkStart w:id="8353" w:name="_Toc199571011"/>
      <w:bookmarkStart w:id="8354" w:name="_Toc199739010"/>
      <w:bookmarkStart w:id="8355" w:name="_Toc199815111"/>
      <w:bookmarkStart w:id="8356" w:name="_Toc215040918"/>
      <w:bookmarkStart w:id="8357" w:name="_Toc215041363"/>
      <w:bookmarkStart w:id="8358" w:name="_Toc222129571"/>
      <w:bookmarkStart w:id="8359" w:name="_Toc222223276"/>
      <w:bookmarkStart w:id="8360" w:name="_Toc225914528"/>
      <w:bookmarkStart w:id="8361" w:name="_Toc231282573"/>
      <w:bookmarkStart w:id="8362" w:name="_Toc231283017"/>
      <w:bookmarkStart w:id="8363" w:name="_Toc234899607"/>
      <w:bookmarkStart w:id="8364" w:name="_Toc236632889"/>
      <w:bookmarkStart w:id="8365" w:name="_Toc236720502"/>
      <w:bookmarkStart w:id="8366" w:name="_Toc237764701"/>
      <w:bookmarkStart w:id="8367" w:name="_Toc238356325"/>
      <w:bookmarkStart w:id="8368" w:name="_Toc238369030"/>
      <w:bookmarkStart w:id="8369" w:name="_Toc238375983"/>
      <w:bookmarkStart w:id="8370" w:name="_Toc240339307"/>
      <w:bookmarkStart w:id="8371" w:name="_Toc241993813"/>
      <w:bookmarkStart w:id="8372" w:name="_Toc243192956"/>
      <w:bookmarkStart w:id="8373" w:name="_Toc243295658"/>
      <w:bookmarkStart w:id="8374" w:name="_Toc245113231"/>
      <w:bookmarkStart w:id="8375" w:name="_Toc245198393"/>
      <w:bookmarkStart w:id="8376" w:name="_Toc245198842"/>
      <w:bookmarkStart w:id="8377" w:name="_Toc245199291"/>
      <w:bookmarkStart w:id="8378" w:name="_Toc248122323"/>
      <w:bookmarkStart w:id="8379" w:name="_Toc248122774"/>
      <w:bookmarkStart w:id="8380" w:name="_Toc253670761"/>
      <w:bookmarkStart w:id="8381" w:name="_Toc253671211"/>
      <w:bookmarkStart w:id="8382" w:name="_Toc254942985"/>
      <w:bookmarkStart w:id="8383" w:name="_Toc254943438"/>
      <w:bookmarkStart w:id="8384" w:name="_Toc255476030"/>
      <w:bookmarkStart w:id="8385" w:name="_Toc256432351"/>
      <w:bookmarkStart w:id="8386" w:name="_Toc257720688"/>
      <w:bookmarkStart w:id="8387" w:name="_Toc257722370"/>
      <w:bookmarkStart w:id="8388" w:name="_Toc258336046"/>
      <w:bookmarkStart w:id="8389" w:name="_Toc260406488"/>
      <w:bookmarkStart w:id="8390" w:name="_Toc261271674"/>
      <w:bookmarkStart w:id="8391" w:name="_Toc262808356"/>
      <w:bookmarkStart w:id="8392" w:name="_Toc267572749"/>
      <w:bookmarkStart w:id="8393" w:name="_Toc270684498"/>
      <w:bookmarkStart w:id="8394" w:name="_Toc274214675"/>
      <w:bookmarkStart w:id="8395" w:name="_Toc274215124"/>
      <w:bookmarkStart w:id="8396" w:name="_Toc278976455"/>
      <w:bookmarkStart w:id="8397" w:name="_Toc286760776"/>
      <w:bookmarkStart w:id="8398" w:name="_Toc289081121"/>
      <w:bookmarkStart w:id="8399" w:name="_Toc290284315"/>
      <w:bookmarkStart w:id="8400" w:name="_Toc290643136"/>
      <w:bookmarkStart w:id="8401" w:name="_Toc290643585"/>
      <w:bookmarkStart w:id="8402" w:name="_Toc290644038"/>
      <w:bookmarkStart w:id="8403" w:name="_Toc294701855"/>
      <w:bookmarkStart w:id="8404" w:name="_Toc295200263"/>
      <w:bookmarkStart w:id="8405" w:name="_Toc296954704"/>
      <w:bookmarkStart w:id="8406" w:name="_Toc297276339"/>
      <w:bookmarkStart w:id="8407" w:name="_Toc297276791"/>
      <w:bookmarkStart w:id="8408" w:name="_Toc297277241"/>
      <w:bookmarkStart w:id="8409" w:name="_Toc297726610"/>
      <w:bookmarkStart w:id="8410" w:name="_Toc299980396"/>
      <w:bookmarkStart w:id="8411" w:name="_Toc300235022"/>
      <w:bookmarkStart w:id="8412" w:name="_Toc301961525"/>
      <w:bookmarkStart w:id="8413" w:name="_Toc301967095"/>
      <w:bookmarkStart w:id="8414" w:name="_Toc303253304"/>
      <w:bookmarkStart w:id="8415" w:name="_Toc303257468"/>
      <w:bookmarkStart w:id="8416" w:name="_Toc307993101"/>
      <w:bookmarkStart w:id="8417" w:name="_Toc309030134"/>
      <w:bookmarkStart w:id="8418" w:name="_Toc309304357"/>
      <w:bookmarkStart w:id="8419" w:name="_Toc309309634"/>
      <w:r>
        <w:t>Division 5 — Molluscs</w:t>
      </w:r>
      <w:bookmarkEnd w:id="8351"/>
      <w:bookmarkEnd w:id="8352"/>
      <w:bookmarkEnd w:id="8353"/>
      <w:bookmarkEnd w:id="8354"/>
      <w:bookmarkEnd w:id="8355"/>
      <w:bookmarkEnd w:id="8356"/>
      <w:bookmarkEnd w:id="8357"/>
      <w:bookmarkEnd w:id="8358"/>
      <w:bookmarkEnd w:id="8359"/>
      <w:bookmarkEnd w:id="8360"/>
      <w:bookmarkEnd w:id="8361"/>
      <w:bookmarkEnd w:id="8362"/>
      <w:bookmarkEnd w:id="8363"/>
      <w:bookmarkEnd w:id="8364"/>
      <w:bookmarkEnd w:id="8365"/>
      <w:bookmarkEnd w:id="8366"/>
      <w:bookmarkEnd w:id="8367"/>
      <w:bookmarkEnd w:id="8368"/>
      <w:bookmarkEnd w:id="8369"/>
      <w:bookmarkEnd w:id="8370"/>
      <w:bookmarkEnd w:id="8371"/>
      <w:bookmarkEnd w:id="8372"/>
      <w:bookmarkEnd w:id="8373"/>
      <w:bookmarkEnd w:id="8374"/>
      <w:bookmarkEnd w:id="8375"/>
      <w:bookmarkEnd w:id="8376"/>
      <w:bookmarkEnd w:id="8377"/>
      <w:bookmarkEnd w:id="8378"/>
      <w:bookmarkEnd w:id="8379"/>
      <w:bookmarkEnd w:id="8380"/>
      <w:bookmarkEnd w:id="8381"/>
      <w:bookmarkEnd w:id="8382"/>
      <w:bookmarkEnd w:id="8383"/>
      <w:bookmarkEnd w:id="8384"/>
      <w:bookmarkEnd w:id="8385"/>
      <w:bookmarkEnd w:id="8386"/>
      <w:bookmarkEnd w:id="8387"/>
      <w:bookmarkEnd w:id="8388"/>
      <w:bookmarkEnd w:id="8389"/>
      <w:bookmarkEnd w:id="8390"/>
      <w:bookmarkEnd w:id="8391"/>
      <w:bookmarkEnd w:id="8392"/>
      <w:bookmarkEnd w:id="8393"/>
      <w:bookmarkEnd w:id="8394"/>
      <w:bookmarkEnd w:id="8395"/>
      <w:bookmarkEnd w:id="8396"/>
      <w:bookmarkEnd w:id="8397"/>
      <w:bookmarkEnd w:id="8398"/>
      <w:bookmarkEnd w:id="8399"/>
      <w:bookmarkEnd w:id="8400"/>
      <w:bookmarkEnd w:id="8401"/>
      <w:bookmarkEnd w:id="8402"/>
      <w:bookmarkEnd w:id="8403"/>
      <w:bookmarkEnd w:id="8404"/>
      <w:bookmarkEnd w:id="8405"/>
      <w:bookmarkEnd w:id="8406"/>
      <w:bookmarkEnd w:id="8407"/>
      <w:bookmarkEnd w:id="8408"/>
      <w:bookmarkEnd w:id="8409"/>
      <w:bookmarkEnd w:id="8410"/>
      <w:bookmarkEnd w:id="8411"/>
      <w:bookmarkEnd w:id="8412"/>
      <w:bookmarkEnd w:id="8413"/>
      <w:bookmarkEnd w:id="8414"/>
      <w:bookmarkEnd w:id="8415"/>
      <w:bookmarkEnd w:id="8416"/>
      <w:bookmarkEnd w:id="8417"/>
      <w:bookmarkEnd w:id="8418"/>
      <w:bookmarkEnd w:id="8419"/>
    </w:p>
    <w:p>
      <w:pPr>
        <w:pStyle w:val="yFootnoteheading"/>
        <w:keepNext/>
        <w:spacing w:before="80" w:after="120"/>
      </w:pPr>
      <w:r>
        <w:tab/>
        <w:t>[Heading inserted in Gazette 1 Oct 2003 p. 4340.]</w:t>
      </w:r>
    </w:p>
    <w:tbl>
      <w:tblPr>
        <w:tblW w:w="7027" w:type="dxa"/>
        <w:tblInd w:w="113" w:type="dxa"/>
        <w:tblLayout w:type="fixed"/>
        <w:tblCellMar>
          <w:left w:w="113" w:type="dxa"/>
          <w:right w:w="113" w:type="dxa"/>
        </w:tblCellMar>
        <w:tblLook w:val="0000" w:firstRow="0" w:lastRow="0" w:firstColumn="0" w:lastColumn="0" w:noHBand="0" w:noVBand="0"/>
      </w:tblPr>
      <w:tblGrid>
        <w:gridCol w:w="5252"/>
        <w:gridCol w:w="1775"/>
      </w:tblGrid>
      <w:tr>
        <w:trPr>
          <w:tblHeader/>
        </w:trPr>
        <w:tc>
          <w:tcPr>
            <w:tcW w:w="5252"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7"/>
              </w:tabs>
              <w:spacing w:before="0"/>
              <w:ind w:left="198" w:hanging="198"/>
              <w:rPr>
                <w:b/>
                <w:bCs/>
              </w:rPr>
            </w:pPr>
            <w:r>
              <w:rPr>
                <w:b/>
                <w:bCs/>
              </w:rPr>
              <w:t>Fish</w:t>
            </w:r>
          </w:p>
        </w:tc>
        <w:tc>
          <w:tcPr>
            <w:tcW w:w="1775" w:type="dxa"/>
            <w:tcBorders>
              <w:top w:val="single" w:sz="8" w:space="0" w:color="auto"/>
              <w:bottom w:val="single" w:sz="8" w:space="0" w:color="auto"/>
            </w:tcBorders>
            <w:tcMar>
              <w:left w:w="85" w:type="dxa"/>
              <w:right w:w="57" w:type="dxa"/>
            </w:tcMar>
            <w:vAlign w:val="center"/>
          </w:tcPr>
          <w:p>
            <w:pPr>
              <w:pStyle w:val="yTableNAm"/>
              <w:tabs>
                <w:tab w:val="clear" w:pos="567"/>
                <w:tab w:val="left" w:leader="dot" w:pos="3797"/>
              </w:tabs>
              <w:spacing w:before="0"/>
              <w:rPr>
                <w:b/>
                <w:bCs/>
              </w:rPr>
            </w:pPr>
            <w:r>
              <w:rPr>
                <w:b/>
                <w:bCs/>
              </w:rPr>
              <w:t>Species, or group of species, bag limit for one day</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Abalone, Brownlip and Greenlip (combined) </w:t>
            </w:r>
            <w:r>
              <w:tab/>
            </w:r>
          </w:p>
        </w:tc>
        <w:tc>
          <w:tcPr>
            <w:tcW w:w="1775" w:type="dxa"/>
            <w:tcMar>
              <w:left w:w="85" w:type="dxa"/>
              <w:right w:w="57" w:type="dxa"/>
            </w:tcMar>
          </w:tcPr>
          <w:p>
            <w:pPr>
              <w:pStyle w:val="yTableNAm"/>
              <w:tabs>
                <w:tab w:val="clear" w:pos="567"/>
                <w:tab w:val="left" w:leader="dot" w:pos="3557"/>
              </w:tabs>
              <w:spacing w:before="0"/>
              <w:ind w:right="85" w:firstLine="13"/>
            </w:pPr>
            <w:r>
              <w:t>5</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Abalone, other than Brownlip and Greenlip </w:t>
            </w:r>
            <w:r>
              <w:tab/>
            </w:r>
          </w:p>
        </w:tc>
        <w:tc>
          <w:tcPr>
            <w:tcW w:w="1775" w:type="dxa"/>
            <w:tcMar>
              <w:left w:w="85" w:type="dxa"/>
              <w:right w:w="57" w:type="dxa"/>
            </w:tcMar>
          </w:tcPr>
          <w:p>
            <w:pPr>
              <w:pStyle w:val="yTableNAm"/>
              <w:tabs>
                <w:tab w:val="clear" w:pos="567"/>
                <w:tab w:val="left" w:leader="dot" w:pos="3557"/>
              </w:tabs>
              <w:spacing w:before="0"/>
              <w:ind w:right="85" w:firstLine="13"/>
            </w:pPr>
            <w:r>
              <w:t>20</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Cuttlefish, Octopus and Squid (combined) </w:t>
            </w:r>
            <w:r>
              <w:tab/>
            </w:r>
          </w:p>
        </w:tc>
        <w:tc>
          <w:tcPr>
            <w:tcW w:w="1775" w:type="dxa"/>
            <w:tcMar>
              <w:left w:w="85" w:type="dxa"/>
              <w:right w:w="57" w:type="dxa"/>
            </w:tcMar>
          </w:tcPr>
          <w:p>
            <w:pPr>
              <w:pStyle w:val="yTableNAm"/>
              <w:tabs>
                <w:tab w:val="clear" w:pos="567"/>
                <w:tab w:val="left" w:leader="dot" w:pos="3557"/>
              </w:tabs>
              <w:spacing w:before="0"/>
              <w:ind w:right="85" w:firstLine="13"/>
            </w:pPr>
            <w:r>
              <w:t>15</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Mussel </w:t>
            </w:r>
            <w:r>
              <w:tab/>
            </w:r>
          </w:p>
        </w:tc>
        <w:tc>
          <w:tcPr>
            <w:tcW w:w="1775" w:type="dxa"/>
            <w:tcMar>
              <w:left w:w="85" w:type="dxa"/>
              <w:right w:w="57" w:type="dxa"/>
            </w:tcMar>
          </w:tcPr>
          <w:p>
            <w:pPr>
              <w:pStyle w:val="yTableNAm"/>
              <w:tabs>
                <w:tab w:val="clear" w:pos="567"/>
                <w:tab w:val="left" w:leader="dot" w:pos="3557"/>
              </w:tabs>
              <w:spacing w:before="0"/>
              <w:ind w:right="85" w:firstLine="13"/>
            </w:pPr>
            <w:r>
              <w:t>9 L</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Oyster </w:t>
            </w:r>
            <w:r>
              <w:tab/>
            </w:r>
          </w:p>
        </w:tc>
        <w:tc>
          <w:tcPr>
            <w:tcW w:w="1775" w:type="dxa"/>
            <w:tcMar>
              <w:left w:w="85" w:type="dxa"/>
              <w:right w:w="57" w:type="dxa"/>
            </w:tcMar>
          </w:tcPr>
          <w:p>
            <w:pPr>
              <w:pStyle w:val="yTableNAm"/>
              <w:tabs>
                <w:tab w:val="clear" w:pos="567"/>
                <w:tab w:val="left" w:leader="dot" w:pos="3557"/>
              </w:tabs>
              <w:spacing w:before="0"/>
              <w:ind w:right="85" w:firstLine="13"/>
            </w:pPr>
            <w:r>
              <w:t>20</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Razorfish </w:t>
            </w:r>
            <w:r>
              <w:tab/>
            </w:r>
          </w:p>
        </w:tc>
        <w:tc>
          <w:tcPr>
            <w:tcW w:w="1775" w:type="dxa"/>
            <w:tcMar>
              <w:left w:w="85" w:type="dxa"/>
              <w:right w:w="57" w:type="dxa"/>
            </w:tcMar>
          </w:tcPr>
          <w:p>
            <w:pPr>
              <w:pStyle w:val="yTableNAm"/>
              <w:tabs>
                <w:tab w:val="clear" w:pos="567"/>
                <w:tab w:val="left" w:leader="dot" w:pos="3557"/>
              </w:tabs>
              <w:spacing w:before="0"/>
              <w:ind w:right="85" w:firstLine="13"/>
            </w:pPr>
            <w:r>
              <w:t>20</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Scallop </w:t>
            </w:r>
            <w:r>
              <w:tab/>
            </w:r>
          </w:p>
        </w:tc>
        <w:tc>
          <w:tcPr>
            <w:tcW w:w="1775" w:type="dxa"/>
            <w:tcMar>
              <w:left w:w="85" w:type="dxa"/>
              <w:right w:w="57" w:type="dxa"/>
            </w:tcMar>
          </w:tcPr>
          <w:p>
            <w:pPr>
              <w:pStyle w:val="yTableNAm"/>
              <w:tabs>
                <w:tab w:val="clear" w:pos="567"/>
                <w:tab w:val="left" w:leader="dot" w:pos="3557"/>
              </w:tabs>
              <w:spacing w:before="0"/>
              <w:ind w:right="85" w:firstLine="13"/>
            </w:pPr>
            <w:r>
              <w:t>20</w:t>
            </w:r>
          </w:p>
        </w:tc>
      </w:tr>
      <w:tr>
        <w:tc>
          <w:tcPr>
            <w:tcW w:w="5252" w:type="dxa"/>
            <w:tcBorders>
              <w:bottom w:val="single" w:sz="4" w:space="0" w:color="auto"/>
            </w:tcBorders>
            <w:tcMar>
              <w:left w:w="85" w:type="dxa"/>
              <w:right w:w="113" w:type="dxa"/>
            </w:tcMar>
          </w:tcPr>
          <w:p>
            <w:pPr>
              <w:pStyle w:val="yTableNAm"/>
              <w:tabs>
                <w:tab w:val="clear" w:pos="567"/>
                <w:tab w:val="right" w:leader="dot" w:pos="5047"/>
              </w:tabs>
              <w:spacing w:before="0"/>
              <w:ind w:left="198" w:hanging="198"/>
            </w:pPr>
            <w:r>
              <w:t xml:space="preserve">Ark Shell, Cockle, Pipis, Venus Clams and all other species of edible molluscs not specifically mentioned in this Division </w:t>
            </w:r>
            <w:r>
              <w:tab/>
            </w:r>
          </w:p>
        </w:tc>
        <w:tc>
          <w:tcPr>
            <w:tcW w:w="1775" w:type="dxa"/>
            <w:tcBorders>
              <w:bottom w:val="single" w:sz="4" w:space="0" w:color="auto"/>
            </w:tcBorders>
            <w:tcMar>
              <w:left w:w="85" w:type="dxa"/>
              <w:right w:w="57" w:type="dxa"/>
            </w:tcMar>
          </w:tcPr>
          <w:p>
            <w:pPr>
              <w:pStyle w:val="yTableNAm"/>
              <w:tabs>
                <w:tab w:val="clear" w:pos="567"/>
                <w:tab w:val="left" w:leader="dot" w:pos="3557"/>
              </w:tabs>
              <w:spacing w:before="0"/>
              <w:ind w:right="85" w:firstLine="13"/>
            </w:pPr>
            <w:r>
              <w:br/>
            </w:r>
            <w:r>
              <w:br/>
              <w:t>2 L</w:t>
            </w:r>
          </w:p>
        </w:tc>
      </w:tr>
    </w:tbl>
    <w:p>
      <w:pPr>
        <w:pStyle w:val="yFootnotesection"/>
        <w:spacing w:before="60"/>
      </w:pPr>
      <w:r>
        <w:tab/>
        <w:t>[Division 5 inserted in Gazette 1 Oct 2003 p. 4340.]</w:t>
      </w:r>
    </w:p>
    <w:p>
      <w:pPr>
        <w:pStyle w:val="yHeading3"/>
        <w:pageBreakBefore/>
        <w:spacing w:before="180"/>
      </w:pPr>
      <w:bookmarkStart w:id="8420" w:name="_Toc189988195"/>
      <w:bookmarkStart w:id="8421" w:name="_Toc192041778"/>
      <w:bookmarkStart w:id="8422" w:name="_Toc199571012"/>
      <w:bookmarkStart w:id="8423" w:name="_Toc199739011"/>
      <w:bookmarkStart w:id="8424" w:name="_Toc199815112"/>
      <w:bookmarkStart w:id="8425" w:name="_Toc215040919"/>
      <w:bookmarkStart w:id="8426" w:name="_Toc215041364"/>
      <w:bookmarkStart w:id="8427" w:name="_Toc222129572"/>
      <w:bookmarkStart w:id="8428" w:name="_Toc222223277"/>
      <w:bookmarkStart w:id="8429" w:name="_Toc225914529"/>
      <w:bookmarkStart w:id="8430" w:name="_Toc231282574"/>
      <w:bookmarkStart w:id="8431" w:name="_Toc231283018"/>
      <w:bookmarkStart w:id="8432" w:name="_Toc234899608"/>
      <w:bookmarkStart w:id="8433" w:name="_Toc236632890"/>
      <w:bookmarkStart w:id="8434" w:name="_Toc236720503"/>
      <w:bookmarkStart w:id="8435" w:name="_Toc237764702"/>
      <w:bookmarkStart w:id="8436" w:name="_Toc238356326"/>
      <w:bookmarkStart w:id="8437" w:name="_Toc238369031"/>
      <w:bookmarkStart w:id="8438" w:name="_Toc238375984"/>
      <w:bookmarkStart w:id="8439" w:name="_Toc240339308"/>
      <w:bookmarkStart w:id="8440" w:name="_Toc241993814"/>
      <w:bookmarkStart w:id="8441" w:name="_Toc243192957"/>
      <w:bookmarkStart w:id="8442" w:name="_Toc243295659"/>
      <w:bookmarkStart w:id="8443" w:name="_Toc245113232"/>
      <w:bookmarkStart w:id="8444" w:name="_Toc245198394"/>
      <w:bookmarkStart w:id="8445" w:name="_Toc245198843"/>
      <w:bookmarkStart w:id="8446" w:name="_Toc245199292"/>
      <w:bookmarkStart w:id="8447" w:name="_Toc248122324"/>
      <w:bookmarkStart w:id="8448" w:name="_Toc248122775"/>
      <w:bookmarkStart w:id="8449" w:name="_Toc253670762"/>
      <w:bookmarkStart w:id="8450" w:name="_Toc253671212"/>
      <w:bookmarkStart w:id="8451" w:name="_Toc254942986"/>
      <w:bookmarkStart w:id="8452" w:name="_Toc254943439"/>
      <w:bookmarkStart w:id="8453" w:name="_Toc255476031"/>
      <w:bookmarkStart w:id="8454" w:name="_Toc256432352"/>
      <w:bookmarkStart w:id="8455" w:name="_Toc257720689"/>
      <w:bookmarkStart w:id="8456" w:name="_Toc257722371"/>
      <w:bookmarkStart w:id="8457" w:name="_Toc258336047"/>
      <w:bookmarkStart w:id="8458" w:name="_Toc260406489"/>
      <w:bookmarkStart w:id="8459" w:name="_Toc261271675"/>
      <w:bookmarkStart w:id="8460" w:name="_Toc262808357"/>
      <w:bookmarkStart w:id="8461" w:name="_Toc267572750"/>
      <w:bookmarkStart w:id="8462" w:name="_Toc270684499"/>
      <w:bookmarkStart w:id="8463" w:name="_Toc274214676"/>
      <w:bookmarkStart w:id="8464" w:name="_Toc274215125"/>
      <w:bookmarkStart w:id="8465" w:name="_Toc278976456"/>
      <w:bookmarkStart w:id="8466" w:name="_Toc286760777"/>
      <w:bookmarkStart w:id="8467" w:name="_Toc289081122"/>
      <w:bookmarkStart w:id="8468" w:name="_Toc290284316"/>
      <w:bookmarkStart w:id="8469" w:name="_Toc290643137"/>
      <w:bookmarkStart w:id="8470" w:name="_Toc290643586"/>
      <w:bookmarkStart w:id="8471" w:name="_Toc290644039"/>
      <w:bookmarkStart w:id="8472" w:name="_Toc294701856"/>
      <w:bookmarkStart w:id="8473" w:name="_Toc295200264"/>
      <w:bookmarkStart w:id="8474" w:name="_Toc296954705"/>
      <w:bookmarkStart w:id="8475" w:name="_Toc297276340"/>
      <w:bookmarkStart w:id="8476" w:name="_Toc297276792"/>
      <w:bookmarkStart w:id="8477" w:name="_Toc297277242"/>
      <w:bookmarkStart w:id="8478" w:name="_Toc297726611"/>
      <w:bookmarkStart w:id="8479" w:name="_Toc299980397"/>
      <w:bookmarkStart w:id="8480" w:name="_Toc300235023"/>
      <w:bookmarkStart w:id="8481" w:name="_Toc301961526"/>
      <w:bookmarkStart w:id="8482" w:name="_Toc301967096"/>
      <w:bookmarkStart w:id="8483" w:name="_Toc303253305"/>
      <w:bookmarkStart w:id="8484" w:name="_Toc303257469"/>
      <w:bookmarkStart w:id="8485" w:name="_Toc307993102"/>
      <w:bookmarkStart w:id="8486" w:name="_Toc309030135"/>
      <w:bookmarkStart w:id="8487" w:name="_Toc309304358"/>
      <w:bookmarkStart w:id="8488" w:name="_Toc309309635"/>
      <w:r>
        <w:t>Division 6 — Miscellaneous</w:t>
      </w:r>
      <w:bookmarkEnd w:id="8420"/>
      <w:bookmarkEnd w:id="8421"/>
      <w:bookmarkEnd w:id="8422"/>
      <w:bookmarkEnd w:id="8423"/>
      <w:bookmarkEnd w:id="8424"/>
      <w:bookmarkEnd w:id="8425"/>
      <w:bookmarkEnd w:id="8426"/>
      <w:bookmarkEnd w:id="8427"/>
      <w:bookmarkEnd w:id="8428"/>
      <w:bookmarkEnd w:id="8429"/>
      <w:bookmarkEnd w:id="8430"/>
      <w:bookmarkEnd w:id="8431"/>
      <w:bookmarkEnd w:id="8432"/>
      <w:bookmarkEnd w:id="8433"/>
      <w:bookmarkEnd w:id="8434"/>
      <w:bookmarkEnd w:id="8435"/>
      <w:bookmarkEnd w:id="8436"/>
      <w:bookmarkEnd w:id="8437"/>
      <w:bookmarkEnd w:id="8438"/>
      <w:bookmarkEnd w:id="8439"/>
      <w:bookmarkEnd w:id="8440"/>
      <w:bookmarkEnd w:id="8441"/>
      <w:bookmarkEnd w:id="8442"/>
      <w:bookmarkEnd w:id="8443"/>
      <w:bookmarkEnd w:id="8444"/>
      <w:bookmarkEnd w:id="8445"/>
      <w:bookmarkEnd w:id="8446"/>
      <w:bookmarkEnd w:id="8447"/>
      <w:bookmarkEnd w:id="8448"/>
      <w:bookmarkEnd w:id="8449"/>
      <w:bookmarkEnd w:id="8450"/>
      <w:bookmarkEnd w:id="8451"/>
      <w:bookmarkEnd w:id="8452"/>
      <w:bookmarkEnd w:id="8453"/>
      <w:bookmarkEnd w:id="8454"/>
      <w:bookmarkEnd w:id="8455"/>
      <w:bookmarkEnd w:id="8456"/>
      <w:bookmarkEnd w:id="8457"/>
      <w:bookmarkEnd w:id="8458"/>
      <w:bookmarkEnd w:id="8459"/>
      <w:bookmarkEnd w:id="8460"/>
      <w:bookmarkEnd w:id="8461"/>
      <w:bookmarkEnd w:id="8462"/>
      <w:bookmarkEnd w:id="8463"/>
      <w:bookmarkEnd w:id="8464"/>
      <w:bookmarkEnd w:id="8465"/>
      <w:bookmarkEnd w:id="8466"/>
      <w:bookmarkEnd w:id="8467"/>
      <w:bookmarkEnd w:id="8468"/>
      <w:bookmarkEnd w:id="8469"/>
      <w:bookmarkEnd w:id="8470"/>
      <w:bookmarkEnd w:id="8471"/>
      <w:bookmarkEnd w:id="8472"/>
      <w:bookmarkEnd w:id="8473"/>
      <w:bookmarkEnd w:id="8474"/>
      <w:bookmarkEnd w:id="8475"/>
      <w:bookmarkEnd w:id="8476"/>
      <w:bookmarkEnd w:id="8477"/>
      <w:bookmarkEnd w:id="8478"/>
      <w:bookmarkEnd w:id="8479"/>
      <w:bookmarkEnd w:id="8480"/>
      <w:bookmarkEnd w:id="8481"/>
      <w:bookmarkEnd w:id="8482"/>
      <w:bookmarkEnd w:id="8483"/>
      <w:bookmarkEnd w:id="8484"/>
      <w:bookmarkEnd w:id="8485"/>
      <w:bookmarkEnd w:id="8486"/>
      <w:bookmarkEnd w:id="8487"/>
      <w:bookmarkEnd w:id="8488"/>
    </w:p>
    <w:p>
      <w:pPr>
        <w:pStyle w:val="yFootnoteheading"/>
        <w:keepNext/>
        <w:spacing w:after="120"/>
      </w:pPr>
      <w:r>
        <w:tab/>
        <w:t>[Heading inserted in Gazette 1 Oct 2003 p. 4341.]</w:t>
      </w:r>
    </w:p>
    <w:tbl>
      <w:tblPr>
        <w:tblW w:w="7041" w:type="dxa"/>
        <w:tblInd w:w="113" w:type="dxa"/>
        <w:tblLayout w:type="fixed"/>
        <w:tblCellMar>
          <w:left w:w="113" w:type="dxa"/>
          <w:right w:w="113" w:type="dxa"/>
        </w:tblCellMar>
        <w:tblLook w:val="0000" w:firstRow="0" w:lastRow="0" w:firstColumn="0" w:lastColumn="0" w:noHBand="0" w:noVBand="0"/>
      </w:tblPr>
      <w:tblGrid>
        <w:gridCol w:w="5252"/>
        <w:gridCol w:w="1789"/>
      </w:tblGrid>
      <w:tr>
        <w:trPr>
          <w:tblHeader/>
        </w:trPr>
        <w:tc>
          <w:tcPr>
            <w:tcW w:w="5252" w:type="dxa"/>
            <w:tcBorders>
              <w:top w:val="single" w:sz="8" w:space="0" w:color="auto"/>
            </w:tcBorders>
            <w:tcMar>
              <w:left w:w="85" w:type="dxa"/>
              <w:right w:w="113" w:type="dxa"/>
            </w:tcMar>
            <w:vAlign w:val="center"/>
          </w:tcPr>
          <w:p>
            <w:pPr>
              <w:pStyle w:val="yTableNAm"/>
              <w:tabs>
                <w:tab w:val="clear" w:pos="567"/>
                <w:tab w:val="left" w:pos="557"/>
                <w:tab w:val="left" w:pos="677"/>
                <w:tab w:val="left" w:leader="dot" w:pos="3557"/>
              </w:tabs>
              <w:spacing w:before="0"/>
              <w:ind w:left="799" w:right="113" w:hanging="799"/>
              <w:rPr>
                <w:b/>
                <w:bCs/>
              </w:rPr>
            </w:pPr>
            <w:r>
              <w:rPr>
                <w:b/>
                <w:bCs/>
              </w:rPr>
              <w:t>Fish</w:t>
            </w:r>
          </w:p>
        </w:tc>
        <w:tc>
          <w:tcPr>
            <w:tcW w:w="1789" w:type="dxa"/>
            <w:tcBorders>
              <w:top w:val="single" w:sz="8" w:space="0" w:color="auto"/>
            </w:tcBorders>
            <w:tcMar>
              <w:left w:w="85" w:type="dxa"/>
              <w:right w:w="57" w:type="dxa"/>
            </w:tcMar>
            <w:vAlign w:val="center"/>
          </w:tcPr>
          <w:p>
            <w:pPr>
              <w:pStyle w:val="yTableNAm"/>
              <w:tabs>
                <w:tab w:val="clear" w:pos="567"/>
                <w:tab w:val="left" w:leader="dot" w:pos="3557"/>
              </w:tabs>
              <w:spacing w:before="0"/>
              <w:rPr>
                <w:b/>
                <w:bCs/>
              </w:rPr>
            </w:pPr>
            <w:r>
              <w:rPr>
                <w:b/>
                <w:bCs/>
              </w:rPr>
              <w:t>Species, or group of species, bag limit for one day</w:t>
            </w:r>
          </w:p>
        </w:tc>
      </w:tr>
      <w:tr>
        <w:tc>
          <w:tcPr>
            <w:tcW w:w="5252" w:type="dxa"/>
            <w:tcBorders>
              <w:top w:val="single" w:sz="8" w:space="0" w:color="auto"/>
              <w:bottom w:val="single" w:sz="8" w:space="0" w:color="auto"/>
            </w:tcBorders>
            <w:tcMar>
              <w:left w:w="85" w:type="dxa"/>
              <w:right w:w="113" w:type="dxa"/>
            </w:tcMar>
          </w:tcPr>
          <w:p>
            <w:pPr>
              <w:pStyle w:val="yTableNAm"/>
              <w:tabs>
                <w:tab w:val="clear" w:pos="567"/>
                <w:tab w:val="right" w:leader="dot" w:pos="5047"/>
              </w:tabs>
              <w:spacing w:before="0"/>
              <w:ind w:left="198" w:hanging="198"/>
            </w:pPr>
            <w:r>
              <w:t xml:space="preserve">Sea Urchin </w:t>
            </w:r>
            <w:r>
              <w:tab/>
            </w:r>
          </w:p>
        </w:tc>
        <w:tc>
          <w:tcPr>
            <w:tcW w:w="1789" w:type="dxa"/>
            <w:tcBorders>
              <w:top w:val="single" w:sz="8" w:space="0" w:color="auto"/>
              <w:bottom w:val="single" w:sz="8" w:space="0" w:color="auto"/>
            </w:tcBorders>
            <w:tcMar>
              <w:left w:w="85" w:type="dxa"/>
              <w:right w:w="57" w:type="dxa"/>
            </w:tcMar>
          </w:tcPr>
          <w:p>
            <w:pPr>
              <w:pStyle w:val="yTableNAm"/>
              <w:tabs>
                <w:tab w:val="clear" w:pos="567"/>
                <w:tab w:val="left" w:leader="dot" w:pos="3557"/>
              </w:tabs>
              <w:spacing w:before="0"/>
              <w:ind w:right="112"/>
            </w:pPr>
            <w:r>
              <w:t>20</w:t>
            </w:r>
          </w:p>
        </w:tc>
      </w:tr>
    </w:tbl>
    <w:p>
      <w:pPr>
        <w:pStyle w:val="yFootnotesection"/>
      </w:pPr>
      <w:r>
        <w:tab/>
        <w:t>[Division 6 inserted in Gazette 1 Oct 2003 p. 4341.]</w:t>
      </w:r>
    </w:p>
    <w:p>
      <w:pPr>
        <w:pStyle w:val="yHeading2"/>
        <w:pageBreakBefore/>
      </w:pPr>
      <w:bookmarkStart w:id="8489" w:name="_Toc189988196"/>
      <w:bookmarkStart w:id="8490" w:name="_Toc192041779"/>
      <w:bookmarkStart w:id="8491" w:name="_Toc199571013"/>
      <w:bookmarkStart w:id="8492" w:name="_Toc199739012"/>
      <w:bookmarkStart w:id="8493" w:name="_Toc199815113"/>
      <w:bookmarkStart w:id="8494" w:name="_Toc215040920"/>
      <w:bookmarkStart w:id="8495" w:name="_Toc215041365"/>
      <w:bookmarkStart w:id="8496" w:name="_Toc222129573"/>
      <w:bookmarkStart w:id="8497" w:name="_Toc222223278"/>
      <w:bookmarkStart w:id="8498" w:name="_Toc225914530"/>
      <w:bookmarkStart w:id="8499" w:name="_Toc231282575"/>
      <w:bookmarkStart w:id="8500" w:name="_Toc231283019"/>
      <w:bookmarkStart w:id="8501" w:name="_Toc234899609"/>
      <w:bookmarkStart w:id="8502" w:name="_Toc236632891"/>
      <w:bookmarkStart w:id="8503" w:name="_Toc236720504"/>
      <w:bookmarkStart w:id="8504" w:name="_Toc237764703"/>
      <w:bookmarkStart w:id="8505" w:name="_Toc238356327"/>
      <w:bookmarkStart w:id="8506" w:name="_Toc238369032"/>
      <w:bookmarkStart w:id="8507" w:name="_Toc238375985"/>
      <w:bookmarkStart w:id="8508" w:name="_Toc240339309"/>
      <w:bookmarkStart w:id="8509" w:name="_Toc241993815"/>
      <w:bookmarkStart w:id="8510" w:name="_Toc243192958"/>
      <w:bookmarkStart w:id="8511" w:name="_Toc243295660"/>
      <w:bookmarkStart w:id="8512" w:name="_Toc245113233"/>
      <w:bookmarkStart w:id="8513" w:name="_Toc245198395"/>
      <w:bookmarkStart w:id="8514" w:name="_Toc245198844"/>
      <w:bookmarkStart w:id="8515" w:name="_Toc245199293"/>
      <w:bookmarkStart w:id="8516" w:name="_Toc248122325"/>
      <w:bookmarkStart w:id="8517" w:name="_Toc248122776"/>
      <w:bookmarkStart w:id="8518" w:name="_Toc253670763"/>
      <w:bookmarkStart w:id="8519" w:name="_Toc253671213"/>
      <w:bookmarkStart w:id="8520" w:name="_Toc254942987"/>
      <w:bookmarkStart w:id="8521" w:name="_Toc254943440"/>
      <w:bookmarkStart w:id="8522" w:name="_Toc255476032"/>
      <w:bookmarkStart w:id="8523" w:name="_Toc256432353"/>
      <w:bookmarkStart w:id="8524" w:name="_Toc257720690"/>
      <w:bookmarkStart w:id="8525" w:name="_Toc257722372"/>
      <w:bookmarkStart w:id="8526" w:name="_Toc258336048"/>
      <w:bookmarkStart w:id="8527" w:name="_Toc260406490"/>
      <w:bookmarkStart w:id="8528" w:name="_Toc261271676"/>
      <w:bookmarkStart w:id="8529" w:name="_Toc262808358"/>
      <w:bookmarkStart w:id="8530" w:name="_Toc267572751"/>
      <w:bookmarkStart w:id="8531" w:name="_Toc270684500"/>
      <w:bookmarkStart w:id="8532" w:name="_Toc274214677"/>
      <w:bookmarkStart w:id="8533" w:name="_Toc274215126"/>
      <w:bookmarkStart w:id="8534" w:name="_Toc278976457"/>
      <w:bookmarkStart w:id="8535" w:name="_Toc286760778"/>
      <w:bookmarkStart w:id="8536" w:name="_Toc289081123"/>
      <w:bookmarkStart w:id="8537" w:name="_Toc290284317"/>
      <w:bookmarkStart w:id="8538" w:name="_Toc290643138"/>
      <w:bookmarkStart w:id="8539" w:name="_Toc290643587"/>
      <w:bookmarkStart w:id="8540" w:name="_Toc290644040"/>
      <w:bookmarkStart w:id="8541" w:name="_Toc294701857"/>
      <w:bookmarkStart w:id="8542" w:name="_Toc295200265"/>
      <w:bookmarkStart w:id="8543" w:name="_Toc296954706"/>
      <w:bookmarkStart w:id="8544" w:name="_Toc297276341"/>
      <w:bookmarkStart w:id="8545" w:name="_Toc297276793"/>
      <w:bookmarkStart w:id="8546" w:name="_Toc297277243"/>
      <w:bookmarkStart w:id="8547" w:name="_Toc297726612"/>
      <w:bookmarkStart w:id="8548" w:name="_Toc299980398"/>
      <w:bookmarkStart w:id="8549" w:name="_Toc300235024"/>
      <w:bookmarkStart w:id="8550" w:name="_Toc301961527"/>
      <w:bookmarkStart w:id="8551" w:name="_Toc301967097"/>
      <w:bookmarkStart w:id="8552" w:name="_Toc303253306"/>
      <w:bookmarkStart w:id="8553" w:name="_Toc303257470"/>
      <w:bookmarkStart w:id="8554" w:name="_Toc307993103"/>
      <w:bookmarkStart w:id="8555" w:name="_Toc309030136"/>
      <w:bookmarkStart w:id="8556" w:name="_Toc309304359"/>
      <w:bookmarkStart w:id="8557" w:name="_Toc309309636"/>
      <w:r>
        <w:rPr>
          <w:rStyle w:val="CharSDivNo"/>
          <w:sz w:val="28"/>
        </w:rPr>
        <w:t>Part 4</w:t>
      </w:r>
      <w:r>
        <w:t> — </w:t>
      </w:r>
      <w:r>
        <w:rPr>
          <w:rStyle w:val="CharSDivText"/>
          <w:sz w:val="28"/>
        </w:rPr>
        <w:t>Bag limits in the South Coast Region</w:t>
      </w:r>
      <w:bookmarkEnd w:id="8489"/>
      <w:bookmarkEnd w:id="8490"/>
      <w:bookmarkEnd w:id="8491"/>
      <w:bookmarkEnd w:id="8492"/>
      <w:bookmarkEnd w:id="8493"/>
      <w:bookmarkEnd w:id="8494"/>
      <w:bookmarkEnd w:id="8495"/>
      <w:bookmarkEnd w:id="8496"/>
      <w:bookmarkEnd w:id="8497"/>
      <w:bookmarkEnd w:id="8498"/>
      <w:bookmarkEnd w:id="8499"/>
      <w:bookmarkEnd w:id="8500"/>
      <w:bookmarkEnd w:id="8501"/>
      <w:bookmarkEnd w:id="8502"/>
      <w:bookmarkEnd w:id="8503"/>
      <w:bookmarkEnd w:id="8504"/>
      <w:bookmarkEnd w:id="8505"/>
      <w:bookmarkEnd w:id="8506"/>
      <w:bookmarkEnd w:id="8507"/>
      <w:bookmarkEnd w:id="8508"/>
      <w:bookmarkEnd w:id="8509"/>
      <w:bookmarkEnd w:id="8510"/>
      <w:bookmarkEnd w:id="8511"/>
      <w:bookmarkEnd w:id="8512"/>
      <w:bookmarkEnd w:id="8513"/>
      <w:bookmarkEnd w:id="8514"/>
      <w:bookmarkEnd w:id="8515"/>
      <w:bookmarkEnd w:id="8516"/>
      <w:bookmarkEnd w:id="8517"/>
      <w:bookmarkEnd w:id="8518"/>
      <w:bookmarkEnd w:id="8519"/>
      <w:bookmarkEnd w:id="8520"/>
      <w:bookmarkEnd w:id="8521"/>
      <w:bookmarkEnd w:id="8522"/>
      <w:bookmarkEnd w:id="8523"/>
      <w:bookmarkEnd w:id="8524"/>
      <w:bookmarkEnd w:id="8525"/>
      <w:bookmarkEnd w:id="8526"/>
      <w:bookmarkEnd w:id="8527"/>
      <w:bookmarkEnd w:id="8528"/>
      <w:bookmarkEnd w:id="8529"/>
      <w:bookmarkEnd w:id="8530"/>
      <w:bookmarkEnd w:id="8531"/>
      <w:bookmarkEnd w:id="8532"/>
      <w:bookmarkEnd w:id="8533"/>
      <w:bookmarkEnd w:id="8534"/>
      <w:bookmarkEnd w:id="8535"/>
      <w:bookmarkEnd w:id="8536"/>
      <w:bookmarkEnd w:id="8537"/>
      <w:bookmarkEnd w:id="8538"/>
      <w:bookmarkEnd w:id="8539"/>
      <w:bookmarkEnd w:id="8540"/>
      <w:bookmarkEnd w:id="8541"/>
      <w:bookmarkEnd w:id="8542"/>
      <w:bookmarkEnd w:id="8543"/>
      <w:bookmarkEnd w:id="8544"/>
      <w:bookmarkEnd w:id="8545"/>
      <w:bookmarkEnd w:id="8546"/>
      <w:bookmarkEnd w:id="8547"/>
      <w:bookmarkEnd w:id="8548"/>
      <w:bookmarkEnd w:id="8549"/>
      <w:bookmarkEnd w:id="8550"/>
      <w:bookmarkEnd w:id="8551"/>
      <w:bookmarkEnd w:id="8552"/>
      <w:bookmarkEnd w:id="8553"/>
      <w:bookmarkEnd w:id="8554"/>
      <w:bookmarkEnd w:id="8555"/>
      <w:bookmarkEnd w:id="8556"/>
      <w:bookmarkEnd w:id="8557"/>
    </w:p>
    <w:p>
      <w:pPr>
        <w:pStyle w:val="yShoulderClause"/>
        <w:keepNext/>
      </w:pPr>
      <w:r>
        <w:t>[Reg. 64ZAA]</w:t>
      </w:r>
    </w:p>
    <w:p>
      <w:pPr>
        <w:pStyle w:val="yFootnoteheading"/>
        <w:keepNext/>
      </w:pPr>
      <w:r>
        <w:tab/>
        <w:t>[Heading inserted in Gazette 22 Dec 2005 p. 6235.]</w:t>
      </w:r>
    </w:p>
    <w:p>
      <w:pPr>
        <w:pStyle w:val="yHeading3"/>
      </w:pPr>
      <w:bookmarkStart w:id="8558" w:name="_Toc189988197"/>
      <w:bookmarkStart w:id="8559" w:name="_Toc192041780"/>
      <w:bookmarkStart w:id="8560" w:name="_Toc199571014"/>
      <w:bookmarkStart w:id="8561" w:name="_Toc199739013"/>
      <w:bookmarkStart w:id="8562" w:name="_Toc199815114"/>
      <w:bookmarkStart w:id="8563" w:name="_Toc215040921"/>
      <w:bookmarkStart w:id="8564" w:name="_Toc215041366"/>
      <w:bookmarkStart w:id="8565" w:name="_Toc222129574"/>
      <w:bookmarkStart w:id="8566" w:name="_Toc222223279"/>
      <w:bookmarkStart w:id="8567" w:name="_Toc225914531"/>
      <w:bookmarkStart w:id="8568" w:name="_Toc231282576"/>
      <w:bookmarkStart w:id="8569" w:name="_Toc231283020"/>
      <w:bookmarkStart w:id="8570" w:name="_Toc234899610"/>
      <w:bookmarkStart w:id="8571" w:name="_Toc236632892"/>
      <w:bookmarkStart w:id="8572" w:name="_Toc236720505"/>
      <w:bookmarkStart w:id="8573" w:name="_Toc237764704"/>
      <w:bookmarkStart w:id="8574" w:name="_Toc238356328"/>
      <w:bookmarkStart w:id="8575" w:name="_Toc238369033"/>
      <w:bookmarkStart w:id="8576" w:name="_Toc238375986"/>
      <w:bookmarkStart w:id="8577" w:name="_Toc240339310"/>
      <w:bookmarkStart w:id="8578" w:name="_Toc241993816"/>
      <w:bookmarkStart w:id="8579" w:name="_Toc243192959"/>
      <w:bookmarkStart w:id="8580" w:name="_Toc243295661"/>
      <w:bookmarkStart w:id="8581" w:name="_Toc245113234"/>
      <w:bookmarkStart w:id="8582" w:name="_Toc245198396"/>
      <w:bookmarkStart w:id="8583" w:name="_Toc245198845"/>
      <w:bookmarkStart w:id="8584" w:name="_Toc245199294"/>
      <w:bookmarkStart w:id="8585" w:name="_Toc248122326"/>
      <w:bookmarkStart w:id="8586" w:name="_Toc248122777"/>
      <w:bookmarkStart w:id="8587" w:name="_Toc253670764"/>
      <w:bookmarkStart w:id="8588" w:name="_Toc253671214"/>
      <w:bookmarkStart w:id="8589" w:name="_Toc254942988"/>
      <w:bookmarkStart w:id="8590" w:name="_Toc254943441"/>
      <w:bookmarkStart w:id="8591" w:name="_Toc255476033"/>
      <w:bookmarkStart w:id="8592" w:name="_Toc256432354"/>
      <w:bookmarkStart w:id="8593" w:name="_Toc257720691"/>
      <w:bookmarkStart w:id="8594" w:name="_Toc257722373"/>
      <w:bookmarkStart w:id="8595" w:name="_Toc258336049"/>
      <w:bookmarkStart w:id="8596" w:name="_Toc260406491"/>
      <w:bookmarkStart w:id="8597" w:name="_Toc261271677"/>
      <w:bookmarkStart w:id="8598" w:name="_Toc262808359"/>
      <w:bookmarkStart w:id="8599" w:name="_Toc267572752"/>
      <w:bookmarkStart w:id="8600" w:name="_Toc270684501"/>
      <w:bookmarkStart w:id="8601" w:name="_Toc274214678"/>
      <w:bookmarkStart w:id="8602" w:name="_Toc274215127"/>
      <w:bookmarkStart w:id="8603" w:name="_Toc278976458"/>
      <w:bookmarkStart w:id="8604" w:name="_Toc286760779"/>
      <w:bookmarkStart w:id="8605" w:name="_Toc289081124"/>
      <w:bookmarkStart w:id="8606" w:name="_Toc290284318"/>
      <w:bookmarkStart w:id="8607" w:name="_Toc290643139"/>
      <w:bookmarkStart w:id="8608" w:name="_Toc290643588"/>
      <w:bookmarkStart w:id="8609" w:name="_Toc290644041"/>
      <w:bookmarkStart w:id="8610" w:name="_Toc294701858"/>
      <w:bookmarkStart w:id="8611" w:name="_Toc295200266"/>
      <w:bookmarkStart w:id="8612" w:name="_Toc296954707"/>
      <w:bookmarkStart w:id="8613" w:name="_Toc297276342"/>
      <w:bookmarkStart w:id="8614" w:name="_Toc297276794"/>
      <w:bookmarkStart w:id="8615" w:name="_Toc297277244"/>
      <w:bookmarkStart w:id="8616" w:name="_Toc297726613"/>
      <w:bookmarkStart w:id="8617" w:name="_Toc299980399"/>
      <w:bookmarkStart w:id="8618" w:name="_Toc300235025"/>
      <w:bookmarkStart w:id="8619" w:name="_Toc301961528"/>
      <w:bookmarkStart w:id="8620" w:name="_Toc301967098"/>
      <w:bookmarkStart w:id="8621" w:name="_Toc303253307"/>
      <w:bookmarkStart w:id="8622" w:name="_Toc303257471"/>
      <w:bookmarkStart w:id="8623" w:name="_Toc307993104"/>
      <w:bookmarkStart w:id="8624" w:name="_Toc309030137"/>
      <w:bookmarkStart w:id="8625" w:name="_Toc309304360"/>
      <w:bookmarkStart w:id="8626" w:name="_Toc309309637"/>
      <w:r>
        <w:t>Division 1 — Grouped bag limit of 7 fish</w:t>
      </w:r>
      <w:bookmarkEnd w:id="8558"/>
      <w:bookmarkEnd w:id="8559"/>
      <w:bookmarkEnd w:id="8560"/>
      <w:bookmarkEnd w:id="8561"/>
      <w:bookmarkEnd w:id="8562"/>
      <w:bookmarkEnd w:id="8563"/>
      <w:bookmarkEnd w:id="8564"/>
      <w:bookmarkEnd w:id="8565"/>
      <w:bookmarkEnd w:id="8566"/>
      <w:bookmarkEnd w:id="8567"/>
      <w:bookmarkEnd w:id="8568"/>
      <w:bookmarkEnd w:id="8569"/>
      <w:bookmarkEnd w:id="8570"/>
      <w:bookmarkEnd w:id="8571"/>
      <w:bookmarkEnd w:id="8572"/>
      <w:bookmarkEnd w:id="8573"/>
      <w:bookmarkEnd w:id="8574"/>
      <w:bookmarkEnd w:id="8575"/>
      <w:bookmarkEnd w:id="8576"/>
      <w:bookmarkEnd w:id="8577"/>
      <w:bookmarkEnd w:id="8578"/>
      <w:bookmarkEnd w:id="8579"/>
      <w:bookmarkEnd w:id="8580"/>
      <w:bookmarkEnd w:id="8581"/>
      <w:bookmarkEnd w:id="8582"/>
      <w:bookmarkEnd w:id="8583"/>
      <w:bookmarkEnd w:id="8584"/>
      <w:bookmarkEnd w:id="8585"/>
      <w:bookmarkEnd w:id="8586"/>
      <w:bookmarkEnd w:id="8587"/>
      <w:bookmarkEnd w:id="8588"/>
      <w:bookmarkEnd w:id="8589"/>
      <w:bookmarkEnd w:id="8590"/>
      <w:bookmarkEnd w:id="8591"/>
      <w:bookmarkEnd w:id="8592"/>
      <w:bookmarkEnd w:id="8593"/>
      <w:bookmarkEnd w:id="8594"/>
      <w:bookmarkEnd w:id="8595"/>
      <w:bookmarkEnd w:id="8596"/>
      <w:bookmarkEnd w:id="8597"/>
      <w:bookmarkEnd w:id="8598"/>
      <w:bookmarkEnd w:id="8599"/>
      <w:bookmarkEnd w:id="8600"/>
      <w:bookmarkEnd w:id="8601"/>
      <w:bookmarkEnd w:id="8602"/>
      <w:bookmarkEnd w:id="8603"/>
      <w:bookmarkEnd w:id="8604"/>
      <w:bookmarkEnd w:id="8605"/>
      <w:bookmarkEnd w:id="8606"/>
      <w:bookmarkEnd w:id="8607"/>
      <w:bookmarkEnd w:id="8608"/>
      <w:bookmarkEnd w:id="8609"/>
      <w:bookmarkEnd w:id="8610"/>
      <w:bookmarkEnd w:id="8611"/>
      <w:bookmarkEnd w:id="8612"/>
      <w:bookmarkEnd w:id="8613"/>
      <w:bookmarkEnd w:id="8614"/>
      <w:bookmarkEnd w:id="8615"/>
      <w:bookmarkEnd w:id="8616"/>
      <w:bookmarkEnd w:id="8617"/>
      <w:bookmarkEnd w:id="8618"/>
      <w:bookmarkEnd w:id="8619"/>
      <w:bookmarkEnd w:id="8620"/>
      <w:bookmarkEnd w:id="8621"/>
      <w:bookmarkEnd w:id="8622"/>
      <w:bookmarkEnd w:id="8623"/>
      <w:bookmarkEnd w:id="8624"/>
      <w:bookmarkEnd w:id="8625"/>
      <w:bookmarkEnd w:id="8626"/>
    </w:p>
    <w:p>
      <w:pPr>
        <w:pStyle w:val="yFootnoteheading"/>
        <w:keepNext/>
        <w:spacing w:after="120"/>
      </w:pPr>
      <w:r>
        <w:tab/>
        <w:t>[Heading inserted in Gazette 22 Dec 2005 p. 6235.]</w:t>
      </w:r>
    </w:p>
    <w:tbl>
      <w:tblPr>
        <w:tblW w:w="0" w:type="auto"/>
        <w:tblInd w:w="113" w:type="dxa"/>
        <w:tblLayout w:type="fixed"/>
        <w:tblCellMar>
          <w:left w:w="113" w:type="dxa"/>
          <w:right w:w="113" w:type="dxa"/>
        </w:tblCellMar>
        <w:tblLook w:val="0000" w:firstRow="0" w:lastRow="0" w:firstColumn="0" w:lastColumn="0" w:noHBand="0" w:noVBand="0"/>
      </w:tblPr>
      <w:tblGrid>
        <w:gridCol w:w="4292"/>
        <w:gridCol w:w="720"/>
        <w:gridCol w:w="600"/>
        <w:gridCol w:w="1419"/>
      </w:tblGrid>
      <w:tr>
        <w:trPr>
          <w:cantSplit/>
          <w:tblHeader/>
        </w:trPr>
        <w:tc>
          <w:tcPr>
            <w:tcW w:w="429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Fish</w:t>
            </w:r>
          </w:p>
        </w:tc>
        <w:tc>
          <w:tcPr>
            <w:tcW w:w="1320" w:type="dxa"/>
            <w:gridSpan w:val="2"/>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 or group of species, bag limit for one day</w:t>
            </w:r>
          </w:p>
        </w:tc>
        <w:tc>
          <w:tcPr>
            <w:tcW w:w="1419" w:type="dxa"/>
            <w:tcBorders>
              <w:top w:val="single" w:sz="8" w:space="0" w:color="auto"/>
              <w:bottom w:val="single" w:sz="8" w:space="0" w:color="auto"/>
            </w:tcBorders>
            <w:tcMar>
              <w:left w:w="85" w:type="dxa"/>
              <w:right w:w="85" w:type="dxa"/>
            </w:tcMar>
            <w:vAlign w:val="center"/>
          </w:tcPr>
          <w:p>
            <w:pPr>
              <w:pStyle w:val="yTableNAm"/>
              <w:spacing w:before="0"/>
              <w:rPr>
                <w:b/>
                <w:bCs/>
              </w:rPr>
            </w:pPr>
            <w:r>
              <w:rPr>
                <w:b/>
                <w:bCs/>
              </w:rPr>
              <w:t>Grouped bag limit of all species in the Division for one day</w:t>
            </w: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Billfish, Sailfish, Spearfish and Marlins and Swordfish (combined) </w:t>
            </w:r>
            <w:r>
              <w:tab/>
            </w:r>
          </w:p>
        </w:tc>
        <w:tc>
          <w:tcPr>
            <w:tcW w:w="720" w:type="dxa"/>
            <w:tcMar>
              <w:left w:w="85" w:type="dxa"/>
              <w:right w:w="113" w:type="dxa"/>
            </w:tcMar>
          </w:tcPr>
          <w:p>
            <w:pPr>
              <w:pStyle w:val="yTableNAm"/>
              <w:tabs>
                <w:tab w:val="clear" w:pos="567"/>
              </w:tabs>
              <w:spacing w:before="0"/>
            </w:pPr>
            <w:r>
              <w:br/>
              <w:t>1</w:t>
            </w:r>
          </w:p>
        </w:tc>
        <w:tc>
          <w:tcPr>
            <w:tcW w:w="600" w:type="dxa"/>
            <w:vMerge w:val="restart"/>
            <w:tcMar>
              <w:left w:w="85" w:type="dxa"/>
              <w:right w:w="113" w:type="dxa"/>
            </w:tcMar>
          </w:tcPr>
          <w:p>
            <w:pPr>
              <w:pStyle w:val="yTableNAm"/>
              <w:spacing w:before="0"/>
            </w:pPr>
            <w:r>
              <w:rPr>
                <w:noProof/>
                <w:lang w:eastAsia="en-AU"/>
              </w:rPr>
              <w:drawing>
                <wp:inline distT="0" distB="0" distL="0" distR="0">
                  <wp:extent cx="123825" cy="3476625"/>
                  <wp:effectExtent l="0" t="0" r="9525"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3825" cy="3476625"/>
                          </a:xfrm>
                          <a:prstGeom prst="rect">
                            <a:avLst/>
                          </a:prstGeom>
                          <a:noFill/>
                          <a:ln>
                            <a:noFill/>
                          </a:ln>
                        </pic:spPr>
                      </pic:pic>
                    </a:graphicData>
                  </a:graphic>
                </wp:inline>
              </w:drawing>
            </w:r>
          </w:p>
        </w:tc>
        <w:tc>
          <w:tcPr>
            <w:tcW w:w="1419" w:type="dxa"/>
            <w:vMerge w:val="restart"/>
            <w:tcMar>
              <w:left w:w="85" w:type="dxa"/>
              <w:right w:w="113" w:type="dxa"/>
            </w:tcMar>
          </w:tcPr>
          <w:p>
            <w:pPr>
              <w:pStyle w:val="yTableNAm"/>
              <w:spacing w:before="60"/>
            </w:pPr>
            <w:r>
              <w:br/>
            </w:r>
            <w:r>
              <w:br/>
            </w:r>
            <w:r>
              <w:br/>
            </w:r>
            <w:r>
              <w:br/>
            </w:r>
            <w:r>
              <w:br/>
            </w:r>
            <w:r>
              <w:br/>
            </w:r>
            <w:r>
              <w:br/>
            </w:r>
            <w:r>
              <w:br/>
            </w:r>
            <w:r>
              <w:br/>
            </w:r>
            <w:r>
              <w:br/>
              <w:t>7</w:t>
            </w: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Boarfish </w:t>
            </w:r>
            <w:r>
              <w:tab/>
            </w:r>
          </w:p>
        </w:tc>
        <w:tc>
          <w:tcPr>
            <w:tcW w:w="720" w:type="dxa"/>
            <w:tcMar>
              <w:left w:w="85" w:type="dxa"/>
              <w:right w:w="113" w:type="dxa"/>
            </w:tcMar>
          </w:tcPr>
          <w:p>
            <w:pPr>
              <w:pStyle w:val="yTableNAm"/>
              <w:tabs>
                <w:tab w:val="clear" w:pos="567"/>
              </w:tabs>
              <w:spacing w:before="0"/>
            </w:pPr>
            <w:r>
              <w:t>4</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Cobbler </w:t>
            </w:r>
            <w:r>
              <w:tab/>
            </w:r>
          </w:p>
        </w:tc>
        <w:tc>
          <w:tcPr>
            <w:tcW w:w="720" w:type="dxa"/>
            <w:tcMar>
              <w:left w:w="85" w:type="dxa"/>
              <w:right w:w="113" w:type="dxa"/>
            </w:tcMar>
          </w:tcPr>
          <w:p>
            <w:pPr>
              <w:pStyle w:val="yTableNAm"/>
              <w:tabs>
                <w:tab w:val="clear" w:pos="567"/>
              </w:tabs>
              <w:spacing w:before="0"/>
            </w:pPr>
            <w:r>
              <w:t>4</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Cod, except Grey Banded Rock Cod </w:t>
            </w:r>
            <w:r>
              <w:br/>
              <w:t xml:space="preserve">(combined) </w:t>
            </w:r>
            <w:r>
              <w:tab/>
            </w:r>
          </w:p>
        </w:tc>
        <w:tc>
          <w:tcPr>
            <w:tcW w:w="720" w:type="dxa"/>
            <w:tcMar>
              <w:left w:w="85" w:type="dxa"/>
              <w:right w:w="113" w:type="dxa"/>
            </w:tcMar>
          </w:tcPr>
          <w:p>
            <w:pPr>
              <w:pStyle w:val="yTableNAm"/>
              <w:tabs>
                <w:tab w:val="clear" w:pos="567"/>
              </w:tabs>
              <w:spacing w:before="0"/>
            </w:pPr>
            <w:r>
              <w:br/>
              <w:t>4</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Cod classified as </w:t>
            </w:r>
            <w:r>
              <w:rPr>
                <w:i/>
              </w:rPr>
              <w:t>Epinephelus</w:t>
            </w:r>
            <w:r>
              <w:t xml:space="preserve"> spp., in excess of 30 kg in weight or 1000 mm in length </w:t>
            </w:r>
            <w:r>
              <w:tab/>
            </w:r>
          </w:p>
        </w:tc>
        <w:tc>
          <w:tcPr>
            <w:tcW w:w="720" w:type="dxa"/>
            <w:tcMar>
              <w:left w:w="85" w:type="dxa"/>
              <w:right w:w="113" w:type="dxa"/>
            </w:tcMar>
          </w:tcPr>
          <w:p>
            <w:pPr>
              <w:pStyle w:val="yTableNAm"/>
              <w:tabs>
                <w:tab w:val="clear" w:pos="567"/>
              </w:tabs>
              <w:spacing w:before="0"/>
            </w:pPr>
            <w:r>
              <w:br/>
              <w:t>0</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Dhufish, West Australian </w:t>
            </w:r>
            <w:r>
              <w:tab/>
            </w:r>
          </w:p>
        </w:tc>
        <w:tc>
          <w:tcPr>
            <w:tcW w:w="720" w:type="dxa"/>
            <w:tcMar>
              <w:left w:w="85" w:type="dxa"/>
              <w:right w:w="113" w:type="dxa"/>
            </w:tcMar>
          </w:tcPr>
          <w:p>
            <w:pPr>
              <w:pStyle w:val="yTableNAm"/>
              <w:tabs>
                <w:tab w:val="clear" w:pos="567"/>
              </w:tabs>
              <w:spacing w:before="0"/>
            </w:pPr>
            <w:r>
              <w:t>2</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Dolphinfish (Mahi Mahi) </w:t>
            </w:r>
            <w:r>
              <w:tab/>
            </w:r>
          </w:p>
        </w:tc>
        <w:tc>
          <w:tcPr>
            <w:tcW w:w="720" w:type="dxa"/>
            <w:tcMar>
              <w:left w:w="85" w:type="dxa"/>
              <w:right w:w="113" w:type="dxa"/>
            </w:tcMar>
          </w:tcPr>
          <w:p>
            <w:pPr>
              <w:pStyle w:val="yTableNAm"/>
              <w:tabs>
                <w:tab w:val="clear" w:pos="567"/>
              </w:tabs>
              <w:spacing w:before="0"/>
            </w:pPr>
            <w:r>
              <w:t>2</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Groper, Blue </w:t>
            </w:r>
            <w:r>
              <w:tab/>
            </w:r>
          </w:p>
        </w:tc>
        <w:tc>
          <w:tcPr>
            <w:tcW w:w="720" w:type="dxa"/>
            <w:tcMar>
              <w:left w:w="85" w:type="dxa"/>
              <w:right w:w="113" w:type="dxa"/>
            </w:tcMar>
          </w:tcPr>
          <w:p>
            <w:pPr>
              <w:pStyle w:val="yTableNAm"/>
              <w:tabs>
                <w:tab w:val="clear" w:pos="567"/>
              </w:tabs>
              <w:spacing w:before="0"/>
            </w:pPr>
            <w:r>
              <w:t>1</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Hapuku, Trevalla, Bass Groper and Grey Banded Rock Cod (combined) </w:t>
            </w:r>
            <w:r>
              <w:tab/>
            </w:r>
          </w:p>
        </w:tc>
        <w:tc>
          <w:tcPr>
            <w:tcW w:w="720" w:type="dxa"/>
            <w:tcMar>
              <w:left w:w="85" w:type="dxa"/>
              <w:right w:w="113" w:type="dxa"/>
            </w:tcMar>
          </w:tcPr>
          <w:p>
            <w:pPr>
              <w:pStyle w:val="yTableNAm"/>
              <w:tabs>
                <w:tab w:val="clear" w:pos="567"/>
              </w:tabs>
              <w:spacing w:before="0"/>
            </w:pPr>
            <w:r>
              <w:br/>
              <w:t>2</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Mulloway </w:t>
            </w:r>
            <w:r>
              <w:tab/>
            </w:r>
          </w:p>
        </w:tc>
        <w:tc>
          <w:tcPr>
            <w:tcW w:w="720" w:type="dxa"/>
            <w:tcMar>
              <w:left w:w="85" w:type="dxa"/>
              <w:right w:w="113" w:type="dxa"/>
            </w:tcMar>
          </w:tcPr>
          <w:p>
            <w:pPr>
              <w:pStyle w:val="yTableNAm"/>
              <w:tabs>
                <w:tab w:val="clear" w:pos="567"/>
              </w:tabs>
              <w:spacing w:before="0"/>
            </w:pPr>
            <w:r>
              <w:t>2</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Samson Fish, Amberjack and Yellowtail Kingfish (combined) </w:t>
            </w:r>
            <w:r>
              <w:tab/>
            </w:r>
          </w:p>
        </w:tc>
        <w:tc>
          <w:tcPr>
            <w:tcW w:w="720" w:type="dxa"/>
            <w:tcMar>
              <w:left w:w="85" w:type="dxa"/>
              <w:right w:w="113" w:type="dxa"/>
            </w:tcMar>
          </w:tcPr>
          <w:p>
            <w:pPr>
              <w:pStyle w:val="yTableNAm"/>
              <w:tabs>
                <w:tab w:val="clear" w:pos="567"/>
              </w:tabs>
              <w:spacing w:before="0"/>
            </w:pPr>
            <w:r>
              <w:br/>
              <w:t>2</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Snapper, Pink </w:t>
            </w:r>
            <w:r>
              <w:tab/>
            </w:r>
          </w:p>
        </w:tc>
        <w:tc>
          <w:tcPr>
            <w:tcW w:w="720" w:type="dxa"/>
            <w:tcMar>
              <w:left w:w="85" w:type="dxa"/>
              <w:right w:w="113" w:type="dxa"/>
            </w:tcMar>
          </w:tcPr>
          <w:p>
            <w:pPr>
              <w:pStyle w:val="yTableNAm"/>
              <w:tabs>
                <w:tab w:val="clear" w:pos="567"/>
              </w:tabs>
              <w:spacing w:before="0"/>
            </w:pPr>
            <w:r>
              <w:t>4</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Snapper, Queen </w:t>
            </w:r>
            <w:r>
              <w:tab/>
            </w:r>
          </w:p>
        </w:tc>
        <w:tc>
          <w:tcPr>
            <w:tcW w:w="720" w:type="dxa"/>
            <w:tcMar>
              <w:left w:w="85" w:type="dxa"/>
              <w:right w:w="113" w:type="dxa"/>
            </w:tcMar>
          </w:tcPr>
          <w:p>
            <w:pPr>
              <w:pStyle w:val="yTableNAm"/>
              <w:tabs>
                <w:tab w:val="clear" w:pos="567"/>
              </w:tabs>
              <w:spacing w:before="0"/>
            </w:pPr>
            <w:r>
              <w:t>4</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Sharks and Rays (combined) </w:t>
            </w:r>
            <w:r>
              <w:tab/>
            </w:r>
          </w:p>
        </w:tc>
        <w:tc>
          <w:tcPr>
            <w:tcW w:w="720" w:type="dxa"/>
            <w:tcMar>
              <w:left w:w="85" w:type="dxa"/>
              <w:right w:w="113" w:type="dxa"/>
            </w:tcMar>
          </w:tcPr>
          <w:p>
            <w:pPr>
              <w:pStyle w:val="yTableNAm"/>
              <w:tabs>
                <w:tab w:val="clear" w:pos="567"/>
              </w:tabs>
              <w:spacing w:before="0"/>
            </w:pPr>
            <w:r>
              <w:t>2</w:t>
            </w:r>
          </w:p>
        </w:tc>
        <w:tc>
          <w:tcPr>
            <w:tcW w:w="600" w:type="dxa"/>
            <w:vMerge/>
            <w:tcMar>
              <w:left w:w="85" w:type="dxa"/>
              <w:right w:w="113" w:type="dxa"/>
            </w:tcMar>
          </w:tcPr>
          <w:p>
            <w:pPr>
              <w:pStyle w:val="yTableNAm"/>
              <w:keepNext/>
              <w:keepLines/>
              <w:spacing w:before="0"/>
            </w:pPr>
          </w:p>
        </w:tc>
        <w:tc>
          <w:tcPr>
            <w:tcW w:w="1419" w:type="dxa"/>
            <w:vMerge/>
            <w:tcMar>
              <w:left w:w="85" w:type="dxa"/>
              <w:right w:w="113" w:type="dxa"/>
            </w:tcMar>
          </w:tcPr>
          <w:p>
            <w:pPr>
              <w:pStyle w:val="yTableNAm"/>
              <w:keepNext/>
              <w:keepLine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Trout, Brown and Rainbow (combined) </w:t>
            </w:r>
            <w:r>
              <w:tab/>
            </w:r>
          </w:p>
        </w:tc>
        <w:tc>
          <w:tcPr>
            <w:tcW w:w="720" w:type="dxa"/>
            <w:tcMar>
              <w:left w:w="85" w:type="dxa"/>
              <w:right w:w="113" w:type="dxa"/>
            </w:tcMar>
          </w:tcPr>
          <w:p>
            <w:pPr>
              <w:pStyle w:val="yTableNAm"/>
              <w:tabs>
                <w:tab w:val="clear" w:pos="567"/>
              </w:tabs>
              <w:spacing w:before="0"/>
            </w:pPr>
            <w:r>
              <w:t>4</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Borders>
              <w:bottom w:val="single" w:sz="8" w:space="0" w:color="auto"/>
            </w:tcBorders>
            <w:tcMar>
              <w:left w:w="85" w:type="dxa"/>
              <w:right w:w="113" w:type="dxa"/>
            </w:tcMar>
          </w:tcPr>
          <w:p>
            <w:pPr>
              <w:pStyle w:val="yTableNAm"/>
              <w:tabs>
                <w:tab w:val="clear" w:pos="567"/>
                <w:tab w:val="right" w:leader="dot" w:pos="4087"/>
              </w:tabs>
              <w:spacing w:before="0"/>
              <w:ind w:left="198" w:hanging="198"/>
            </w:pPr>
            <w:r>
              <w:t xml:space="preserve">Tuna, </w:t>
            </w:r>
            <w:smartTag w:uri="urn:schemas-microsoft-com:office:smarttags" w:element="place">
              <w:r>
                <w:t>Southern Bluefin</w:t>
              </w:r>
            </w:smartTag>
            <w:r>
              <w:t xml:space="preserve">, Yellowfin and Bigeye (combined) </w:t>
            </w:r>
            <w:r>
              <w:tab/>
            </w:r>
          </w:p>
        </w:tc>
        <w:tc>
          <w:tcPr>
            <w:tcW w:w="720" w:type="dxa"/>
            <w:tcBorders>
              <w:bottom w:val="single" w:sz="8" w:space="0" w:color="auto"/>
            </w:tcBorders>
            <w:tcMar>
              <w:left w:w="85" w:type="dxa"/>
              <w:right w:w="113" w:type="dxa"/>
            </w:tcMar>
          </w:tcPr>
          <w:p>
            <w:pPr>
              <w:pStyle w:val="yTableNAm"/>
              <w:tabs>
                <w:tab w:val="clear" w:pos="567"/>
              </w:tabs>
              <w:spacing w:before="0"/>
            </w:pPr>
            <w:r>
              <w:br/>
              <w:t>2</w:t>
            </w:r>
          </w:p>
        </w:tc>
        <w:tc>
          <w:tcPr>
            <w:tcW w:w="600" w:type="dxa"/>
            <w:vMerge/>
            <w:tcBorders>
              <w:bottom w:val="single" w:sz="8" w:space="0" w:color="auto"/>
            </w:tcBorders>
            <w:tcMar>
              <w:left w:w="85" w:type="dxa"/>
              <w:right w:w="113" w:type="dxa"/>
            </w:tcMar>
          </w:tcPr>
          <w:p>
            <w:pPr>
              <w:pStyle w:val="yTableNAm"/>
              <w:spacing w:before="0"/>
            </w:pPr>
          </w:p>
        </w:tc>
        <w:tc>
          <w:tcPr>
            <w:tcW w:w="1419" w:type="dxa"/>
            <w:vMerge/>
            <w:tcBorders>
              <w:bottom w:val="single" w:sz="8" w:space="0" w:color="auto"/>
            </w:tcBorders>
            <w:tcMar>
              <w:left w:w="85" w:type="dxa"/>
              <w:right w:w="113" w:type="dxa"/>
            </w:tcMar>
          </w:tcPr>
          <w:p>
            <w:pPr>
              <w:pStyle w:val="yTableNAm"/>
              <w:spacing w:before="0"/>
            </w:pPr>
          </w:p>
        </w:tc>
      </w:tr>
    </w:tbl>
    <w:p>
      <w:pPr>
        <w:pStyle w:val="yFootnotesection"/>
      </w:pPr>
      <w:r>
        <w:tab/>
        <w:t>[Division 1 inserted in Gazette 22 Dec 2005 p. 6235.]</w:t>
      </w:r>
    </w:p>
    <w:p>
      <w:pPr>
        <w:pStyle w:val="yHeading3"/>
      </w:pPr>
      <w:bookmarkStart w:id="8627" w:name="_Toc189988198"/>
      <w:bookmarkStart w:id="8628" w:name="_Toc192041781"/>
      <w:bookmarkStart w:id="8629" w:name="_Toc199571015"/>
      <w:bookmarkStart w:id="8630" w:name="_Toc199739014"/>
      <w:bookmarkStart w:id="8631" w:name="_Toc199815115"/>
      <w:bookmarkStart w:id="8632" w:name="_Toc215040922"/>
      <w:bookmarkStart w:id="8633" w:name="_Toc215041367"/>
      <w:bookmarkStart w:id="8634" w:name="_Toc222129575"/>
      <w:bookmarkStart w:id="8635" w:name="_Toc222223280"/>
      <w:bookmarkStart w:id="8636" w:name="_Toc225914532"/>
      <w:bookmarkStart w:id="8637" w:name="_Toc231282577"/>
      <w:bookmarkStart w:id="8638" w:name="_Toc231283021"/>
      <w:bookmarkStart w:id="8639" w:name="_Toc234899611"/>
      <w:bookmarkStart w:id="8640" w:name="_Toc236632893"/>
      <w:bookmarkStart w:id="8641" w:name="_Toc236720506"/>
      <w:bookmarkStart w:id="8642" w:name="_Toc237764705"/>
      <w:bookmarkStart w:id="8643" w:name="_Toc238356329"/>
      <w:bookmarkStart w:id="8644" w:name="_Toc238369034"/>
      <w:bookmarkStart w:id="8645" w:name="_Toc238375987"/>
      <w:bookmarkStart w:id="8646" w:name="_Toc240339311"/>
      <w:bookmarkStart w:id="8647" w:name="_Toc241993817"/>
      <w:bookmarkStart w:id="8648" w:name="_Toc243192960"/>
      <w:bookmarkStart w:id="8649" w:name="_Toc243295662"/>
      <w:bookmarkStart w:id="8650" w:name="_Toc245113235"/>
      <w:bookmarkStart w:id="8651" w:name="_Toc245198397"/>
      <w:bookmarkStart w:id="8652" w:name="_Toc245198846"/>
      <w:bookmarkStart w:id="8653" w:name="_Toc245199295"/>
      <w:bookmarkStart w:id="8654" w:name="_Toc248122327"/>
      <w:bookmarkStart w:id="8655" w:name="_Toc248122778"/>
      <w:bookmarkStart w:id="8656" w:name="_Toc253670765"/>
      <w:bookmarkStart w:id="8657" w:name="_Toc253671215"/>
      <w:bookmarkStart w:id="8658" w:name="_Toc254942989"/>
      <w:bookmarkStart w:id="8659" w:name="_Toc254943442"/>
      <w:bookmarkStart w:id="8660" w:name="_Toc255476034"/>
      <w:bookmarkStart w:id="8661" w:name="_Toc256432355"/>
      <w:bookmarkStart w:id="8662" w:name="_Toc257720692"/>
      <w:bookmarkStart w:id="8663" w:name="_Toc257722374"/>
      <w:bookmarkStart w:id="8664" w:name="_Toc258336050"/>
      <w:bookmarkStart w:id="8665" w:name="_Toc260406492"/>
      <w:bookmarkStart w:id="8666" w:name="_Toc261271678"/>
      <w:bookmarkStart w:id="8667" w:name="_Toc262808360"/>
      <w:bookmarkStart w:id="8668" w:name="_Toc267572753"/>
      <w:bookmarkStart w:id="8669" w:name="_Toc270684502"/>
      <w:bookmarkStart w:id="8670" w:name="_Toc274214679"/>
      <w:bookmarkStart w:id="8671" w:name="_Toc274215128"/>
      <w:bookmarkStart w:id="8672" w:name="_Toc278976459"/>
      <w:bookmarkStart w:id="8673" w:name="_Toc286760780"/>
      <w:bookmarkStart w:id="8674" w:name="_Toc289081125"/>
      <w:bookmarkStart w:id="8675" w:name="_Toc290284319"/>
      <w:bookmarkStart w:id="8676" w:name="_Toc290643140"/>
      <w:bookmarkStart w:id="8677" w:name="_Toc290643589"/>
      <w:bookmarkStart w:id="8678" w:name="_Toc290644042"/>
      <w:bookmarkStart w:id="8679" w:name="_Toc294701859"/>
      <w:bookmarkStart w:id="8680" w:name="_Toc295200267"/>
      <w:bookmarkStart w:id="8681" w:name="_Toc296954708"/>
      <w:bookmarkStart w:id="8682" w:name="_Toc297276343"/>
      <w:bookmarkStart w:id="8683" w:name="_Toc297276795"/>
      <w:bookmarkStart w:id="8684" w:name="_Toc297277245"/>
      <w:bookmarkStart w:id="8685" w:name="_Toc297726614"/>
      <w:bookmarkStart w:id="8686" w:name="_Toc299980400"/>
      <w:bookmarkStart w:id="8687" w:name="_Toc300235026"/>
      <w:bookmarkStart w:id="8688" w:name="_Toc301961529"/>
      <w:bookmarkStart w:id="8689" w:name="_Toc301967099"/>
      <w:bookmarkStart w:id="8690" w:name="_Toc303253308"/>
      <w:bookmarkStart w:id="8691" w:name="_Toc303257472"/>
      <w:bookmarkStart w:id="8692" w:name="_Toc307993105"/>
      <w:bookmarkStart w:id="8693" w:name="_Toc309030138"/>
      <w:bookmarkStart w:id="8694" w:name="_Toc309304361"/>
      <w:bookmarkStart w:id="8695" w:name="_Toc309309638"/>
      <w:r>
        <w:t>Division 2 — Grouped bag limit of 16 fish</w:t>
      </w:r>
      <w:bookmarkEnd w:id="8627"/>
      <w:bookmarkEnd w:id="8628"/>
      <w:bookmarkEnd w:id="8629"/>
      <w:bookmarkEnd w:id="8630"/>
      <w:bookmarkEnd w:id="8631"/>
      <w:bookmarkEnd w:id="8632"/>
      <w:bookmarkEnd w:id="8633"/>
      <w:bookmarkEnd w:id="8634"/>
      <w:bookmarkEnd w:id="8635"/>
      <w:bookmarkEnd w:id="8636"/>
      <w:bookmarkEnd w:id="8637"/>
      <w:bookmarkEnd w:id="8638"/>
      <w:bookmarkEnd w:id="8639"/>
      <w:bookmarkEnd w:id="8640"/>
      <w:bookmarkEnd w:id="8641"/>
      <w:bookmarkEnd w:id="8642"/>
      <w:bookmarkEnd w:id="8643"/>
      <w:bookmarkEnd w:id="8644"/>
      <w:bookmarkEnd w:id="8645"/>
      <w:bookmarkEnd w:id="8646"/>
      <w:bookmarkEnd w:id="8647"/>
      <w:bookmarkEnd w:id="8648"/>
      <w:bookmarkEnd w:id="8649"/>
      <w:bookmarkEnd w:id="8650"/>
      <w:bookmarkEnd w:id="8651"/>
      <w:bookmarkEnd w:id="8652"/>
      <w:bookmarkEnd w:id="8653"/>
      <w:bookmarkEnd w:id="8654"/>
      <w:bookmarkEnd w:id="8655"/>
      <w:bookmarkEnd w:id="8656"/>
      <w:bookmarkEnd w:id="8657"/>
      <w:bookmarkEnd w:id="8658"/>
      <w:bookmarkEnd w:id="8659"/>
      <w:bookmarkEnd w:id="8660"/>
      <w:bookmarkEnd w:id="8661"/>
      <w:bookmarkEnd w:id="8662"/>
      <w:bookmarkEnd w:id="8663"/>
      <w:bookmarkEnd w:id="8664"/>
      <w:bookmarkEnd w:id="8665"/>
      <w:bookmarkEnd w:id="8666"/>
      <w:bookmarkEnd w:id="8667"/>
      <w:bookmarkEnd w:id="8668"/>
      <w:bookmarkEnd w:id="8669"/>
      <w:bookmarkEnd w:id="8670"/>
      <w:bookmarkEnd w:id="8671"/>
      <w:bookmarkEnd w:id="8672"/>
      <w:bookmarkEnd w:id="8673"/>
      <w:bookmarkEnd w:id="8674"/>
      <w:bookmarkEnd w:id="8675"/>
      <w:bookmarkEnd w:id="8676"/>
      <w:bookmarkEnd w:id="8677"/>
      <w:bookmarkEnd w:id="8678"/>
      <w:bookmarkEnd w:id="8679"/>
      <w:bookmarkEnd w:id="8680"/>
      <w:bookmarkEnd w:id="8681"/>
      <w:bookmarkEnd w:id="8682"/>
      <w:bookmarkEnd w:id="8683"/>
      <w:bookmarkEnd w:id="8684"/>
      <w:bookmarkEnd w:id="8685"/>
      <w:bookmarkEnd w:id="8686"/>
      <w:bookmarkEnd w:id="8687"/>
      <w:bookmarkEnd w:id="8688"/>
      <w:bookmarkEnd w:id="8689"/>
      <w:bookmarkEnd w:id="8690"/>
      <w:bookmarkEnd w:id="8691"/>
      <w:bookmarkEnd w:id="8692"/>
      <w:bookmarkEnd w:id="8693"/>
      <w:bookmarkEnd w:id="8694"/>
      <w:bookmarkEnd w:id="8695"/>
    </w:p>
    <w:p>
      <w:pPr>
        <w:pStyle w:val="yFootnoteheading"/>
        <w:keepNext/>
        <w:spacing w:after="120"/>
      </w:pPr>
      <w:r>
        <w:tab/>
        <w:t>[Heading inserted in Gazette 22 Dec 2005 p. 6236.]</w:t>
      </w:r>
    </w:p>
    <w:tbl>
      <w:tblPr>
        <w:tblW w:w="7052" w:type="dxa"/>
        <w:tblInd w:w="113" w:type="dxa"/>
        <w:tblLayout w:type="fixed"/>
        <w:tblCellMar>
          <w:left w:w="113" w:type="dxa"/>
          <w:right w:w="113" w:type="dxa"/>
        </w:tblCellMar>
        <w:tblLook w:val="0000" w:firstRow="0" w:lastRow="0" w:firstColumn="0" w:lastColumn="0" w:noHBand="0" w:noVBand="0"/>
      </w:tblPr>
      <w:tblGrid>
        <w:gridCol w:w="4292"/>
        <w:gridCol w:w="840"/>
        <w:gridCol w:w="480"/>
        <w:gridCol w:w="1440"/>
      </w:tblGrid>
      <w:tr>
        <w:trPr>
          <w:cantSplit/>
          <w:tblHeader/>
        </w:trPr>
        <w:tc>
          <w:tcPr>
            <w:tcW w:w="4292"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ind w:left="196" w:hanging="196"/>
              <w:rPr>
                <w:b/>
                <w:bCs/>
              </w:rPr>
            </w:pPr>
            <w:r>
              <w:rPr>
                <w:b/>
                <w:bCs/>
              </w:rPr>
              <w:t>Fish</w:t>
            </w:r>
          </w:p>
        </w:tc>
        <w:tc>
          <w:tcPr>
            <w:tcW w:w="1320" w:type="dxa"/>
            <w:gridSpan w:val="2"/>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rPr>
                <w:b/>
                <w:bCs/>
              </w:rPr>
            </w:pPr>
            <w:r>
              <w:rPr>
                <w:b/>
                <w:bCs/>
              </w:rPr>
              <w:t>Species, or group of species, bag limit for one day</w:t>
            </w:r>
          </w:p>
        </w:tc>
        <w:tc>
          <w:tcPr>
            <w:tcW w:w="1440"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rPr>
                <w:b/>
                <w:bCs/>
              </w:rPr>
            </w:pPr>
            <w:r>
              <w:rPr>
                <w:b/>
                <w:bCs/>
              </w:rPr>
              <w:t>Grouped bag limit of all species in the Division for one day</w:t>
            </w: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Bonito, Leaping and Oriental and any Tuna (combined) </w:t>
            </w:r>
            <w:r>
              <w:tab/>
            </w:r>
          </w:p>
        </w:tc>
        <w:tc>
          <w:tcPr>
            <w:tcW w:w="840" w:type="dxa"/>
            <w:tcMar>
              <w:left w:w="85" w:type="dxa"/>
              <w:right w:w="113" w:type="dxa"/>
            </w:tcMar>
          </w:tcPr>
          <w:p>
            <w:pPr>
              <w:pStyle w:val="yTableNAm"/>
              <w:tabs>
                <w:tab w:val="clear" w:pos="567"/>
                <w:tab w:val="left" w:leader="dot" w:pos="3796"/>
              </w:tabs>
              <w:spacing w:before="0"/>
            </w:pPr>
            <w:r>
              <w:br/>
              <w:t>8</w:t>
            </w:r>
          </w:p>
        </w:tc>
        <w:tc>
          <w:tcPr>
            <w:tcW w:w="480" w:type="dxa"/>
            <w:vMerge w:val="restart"/>
            <w:tcBorders>
              <w:top w:val="single" w:sz="8" w:space="0" w:color="auto"/>
            </w:tcBorders>
            <w:tcMar>
              <w:left w:w="85" w:type="dxa"/>
              <w:right w:w="113" w:type="dxa"/>
            </w:tcMar>
          </w:tcPr>
          <w:p>
            <w:pPr>
              <w:pStyle w:val="yTableNAm"/>
              <w:tabs>
                <w:tab w:val="clear" w:pos="567"/>
                <w:tab w:val="left" w:leader="dot" w:pos="3796"/>
              </w:tabs>
              <w:spacing w:before="0"/>
              <w:ind w:left="13" w:hanging="13"/>
            </w:pPr>
            <w:r>
              <w:rPr>
                <w:noProof/>
                <w:lang w:eastAsia="en-AU"/>
              </w:rPr>
              <w:drawing>
                <wp:inline distT="0" distB="0" distL="0" distR="0">
                  <wp:extent cx="171450" cy="323850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71450" cy="3238500"/>
                          </a:xfrm>
                          <a:prstGeom prst="rect">
                            <a:avLst/>
                          </a:prstGeom>
                          <a:noFill/>
                          <a:ln>
                            <a:noFill/>
                          </a:ln>
                        </pic:spPr>
                      </pic:pic>
                    </a:graphicData>
                  </a:graphic>
                </wp:inline>
              </w:drawing>
            </w:r>
          </w:p>
        </w:tc>
        <w:tc>
          <w:tcPr>
            <w:tcW w:w="1440" w:type="dxa"/>
            <w:vMerge w:val="restart"/>
            <w:tcBorders>
              <w:top w:val="single" w:sz="8" w:space="0" w:color="auto"/>
            </w:tcBorders>
            <w:tcMar>
              <w:left w:w="85" w:type="dxa"/>
              <w:right w:w="113" w:type="dxa"/>
            </w:tcMar>
          </w:tcPr>
          <w:p>
            <w:pPr>
              <w:pStyle w:val="yTableNAm"/>
              <w:tabs>
                <w:tab w:val="clear" w:pos="567"/>
                <w:tab w:val="left" w:leader="dot" w:pos="3796"/>
              </w:tabs>
              <w:spacing w:before="160"/>
            </w:pPr>
            <w:r>
              <w:br/>
            </w:r>
            <w:r>
              <w:br/>
            </w:r>
            <w:r>
              <w:br/>
            </w:r>
            <w:r>
              <w:br/>
            </w:r>
            <w:r>
              <w:br/>
            </w:r>
            <w:r>
              <w:br/>
            </w:r>
            <w:r>
              <w:br/>
            </w:r>
            <w:r>
              <w:br/>
            </w:r>
            <w:r>
              <w:br/>
              <w:t>16</w:t>
            </w:r>
          </w:p>
        </w:tc>
      </w:tr>
      <w:tr>
        <w:trPr>
          <w:cantSplit/>
        </w:trPr>
        <w:tc>
          <w:tcPr>
            <w:tcW w:w="4292" w:type="dxa"/>
            <w:tcMar>
              <w:left w:w="85" w:type="dxa"/>
              <w:right w:w="113" w:type="dxa"/>
            </w:tcMar>
          </w:tcPr>
          <w:p>
            <w:pPr>
              <w:pStyle w:val="yTableNAm"/>
              <w:tabs>
                <w:tab w:val="clear" w:pos="567"/>
                <w:tab w:val="right" w:leader="dot" w:pos="4087"/>
                <w:tab w:val="right" w:leader="dot" w:pos="4778"/>
              </w:tabs>
              <w:spacing w:before="0"/>
              <w:ind w:left="198" w:hanging="198"/>
            </w:pPr>
            <w:r>
              <w:t xml:space="preserve">Bream, Black </w:t>
            </w:r>
            <w:r>
              <w:tab/>
            </w:r>
          </w:p>
        </w:tc>
        <w:tc>
          <w:tcPr>
            <w:tcW w:w="840" w:type="dxa"/>
            <w:tcMar>
              <w:left w:w="85" w:type="dxa"/>
              <w:right w:w="113" w:type="dxa"/>
            </w:tcMar>
          </w:tcPr>
          <w:p>
            <w:pPr>
              <w:pStyle w:val="yTableNAm"/>
              <w:tabs>
                <w:tab w:val="clear" w:pos="567"/>
                <w:tab w:val="left" w:leader="dot" w:pos="3796"/>
              </w:tabs>
              <w:spacing w:before="0"/>
              <w:ind w:left="196" w:hanging="196"/>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Dory, John and Mirror </w:t>
            </w:r>
            <w:r>
              <w:tab/>
            </w:r>
          </w:p>
        </w:tc>
        <w:tc>
          <w:tcPr>
            <w:tcW w:w="840" w:type="dxa"/>
            <w:tcMar>
              <w:left w:w="85" w:type="dxa"/>
              <w:right w:w="113" w:type="dxa"/>
            </w:tcMar>
          </w:tcPr>
          <w:p>
            <w:pPr>
              <w:pStyle w:val="yTableNAm"/>
              <w:tabs>
                <w:tab w:val="clear" w:pos="567"/>
                <w:tab w:val="left" w:leader="dot" w:pos="3796"/>
              </w:tabs>
              <w:spacing w:before="0"/>
              <w:ind w:left="196" w:hanging="196"/>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Flathead and Flounder (combined) </w:t>
            </w:r>
            <w:r>
              <w:tab/>
            </w:r>
          </w:p>
        </w:tc>
        <w:tc>
          <w:tcPr>
            <w:tcW w:w="840" w:type="dxa"/>
            <w:tcMar>
              <w:left w:w="85" w:type="dxa"/>
              <w:right w:w="113" w:type="dxa"/>
            </w:tcMar>
          </w:tcPr>
          <w:p>
            <w:pPr>
              <w:pStyle w:val="yTableNAm"/>
              <w:tabs>
                <w:tab w:val="clear" w:pos="567"/>
                <w:tab w:val="left" w:leader="dot" w:pos="3796"/>
              </w:tabs>
              <w:spacing w:before="0"/>
              <w:ind w:left="196" w:hanging="196"/>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Goatfish </w:t>
            </w:r>
            <w:r>
              <w:tab/>
            </w:r>
          </w:p>
        </w:tc>
        <w:tc>
          <w:tcPr>
            <w:tcW w:w="840" w:type="dxa"/>
            <w:tcMar>
              <w:left w:w="85" w:type="dxa"/>
              <w:right w:w="113" w:type="dxa"/>
            </w:tcMar>
          </w:tcPr>
          <w:p>
            <w:pPr>
              <w:pStyle w:val="yTableNAm"/>
              <w:tabs>
                <w:tab w:val="clear" w:pos="567"/>
                <w:tab w:val="left" w:leader="dot" w:pos="3796"/>
              </w:tabs>
              <w:spacing w:before="0"/>
              <w:ind w:left="196" w:hanging="196"/>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Leatherjacket </w:t>
            </w:r>
            <w:r>
              <w:tab/>
            </w:r>
          </w:p>
        </w:tc>
        <w:tc>
          <w:tcPr>
            <w:tcW w:w="840" w:type="dxa"/>
            <w:tcMar>
              <w:left w:w="85" w:type="dxa"/>
              <w:right w:w="113" w:type="dxa"/>
            </w:tcMar>
          </w:tcPr>
          <w:p>
            <w:pPr>
              <w:pStyle w:val="yTableNAm"/>
              <w:tabs>
                <w:tab w:val="clear" w:pos="567"/>
                <w:tab w:val="left" w:leader="dot" w:pos="3796"/>
              </w:tabs>
              <w:spacing w:before="0"/>
              <w:ind w:left="196" w:hanging="196"/>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Salmon, Australian </w:t>
            </w:r>
            <w:r>
              <w:tab/>
            </w:r>
          </w:p>
        </w:tc>
        <w:tc>
          <w:tcPr>
            <w:tcW w:w="840" w:type="dxa"/>
            <w:tcMar>
              <w:left w:w="85" w:type="dxa"/>
              <w:right w:w="113" w:type="dxa"/>
            </w:tcMar>
          </w:tcPr>
          <w:p>
            <w:pPr>
              <w:pStyle w:val="yTableNAm"/>
              <w:tabs>
                <w:tab w:val="clear" w:pos="567"/>
                <w:tab w:val="left" w:leader="dot" w:pos="3796"/>
              </w:tabs>
              <w:spacing w:before="0"/>
              <w:ind w:left="196" w:hanging="196"/>
            </w:pPr>
            <w:r>
              <w:t>4</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Snapper, Red </w:t>
            </w:r>
            <w:r>
              <w:tab/>
            </w:r>
          </w:p>
        </w:tc>
        <w:tc>
          <w:tcPr>
            <w:tcW w:w="840" w:type="dxa"/>
            <w:tcMar>
              <w:left w:w="85" w:type="dxa"/>
              <w:right w:w="113" w:type="dxa"/>
            </w:tcMar>
          </w:tcPr>
          <w:p>
            <w:pPr>
              <w:pStyle w:val="yTableNAm"/>
              <w:tabs>
                <w:tab w:val="clear" w:pos="567"/>
                <w:tab w:val="left" w:leader="dot" w:pos="3796"/>
              </w:tabs>
              <w:spacing w:before="0"/>
              <w:ind w:left="196" w:hanging="196"/>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Snook and Pike, Long</w:t>
            </w:r>
            <w:r>
              <w:noBreakHyphen/>
              <w:t xml:space="preserve">finned and </w:t>
            </w:r>
            <w:smartTag w:uri="urn:schemas-microsoft-com:office:smarttags" w:element="place">
              <w:smartTag w:uri="urn:schemas-microsoft-com:office:smarttags" w:element="PlaceName">
                <w:r>
                  <w:t>Striped</w:t>
                </w:r>
              </w:smartTag>
              <w:r>
                <w:t xml:space="preserve"> </w:t>
              </w:r>
              <w:smartTag w:uri="urn:schemas-microsoft-com:office:smarttags" w:element="PlaceType">
                <w:r>
                  <w:t>Sea</w:t>
                </w:r>
              </w:smartTag>
            </w:smartTag>
            <w:r>
              <w:t xml:space="preserve"> (combined) </w:t>
            </w:r>
            <w:r>
              <w:tab/>
            </w:r>
          </w:p>
        </w:tc>
        <w:tc>
          <w:tcPr>
            <w:tcW w:w="840" w:type="dxa"/>
            <w:tcMar>
              <w:left w:w="85" w:type="dxa"/>
              <w:right w:w="113" w:type="dxa"/>
            </w:tcMar>
          </w:tcPr>
          <w:p>
            <w:pPr>
              <w:pStyle w:val="yTableNAm"/>
              <w:tabs>
                <w:tab w:val="clear" w:pos="567"/>
                <w:tab w:val="left" w:leader="dot" w:pos="3796"/>
              </w:tabs>
              <w:spacing w:before="0"/>
            </w:pPr>
            <w:r>
              <w:b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Swallowtail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 w:val="right" w:leader="dot" w:pos="4778"/>
              </w:tabs>
              <w:spacing w:before="0"/>
              <w:ind w:left="198" w:hanging="198"/>
            </w:pPr>
            <w:r>
              <w:t xml:space="preserve">Sweep, Banded and Sea (combined)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Tailor, only 2 of which may be in excess of 60 cm </w:t>
            </w:r>
            <w:r>
              <w:tab/>
            </w:r>
          </w:p>
        </w:tc>
        <w:tc>
          <w:tcPr>
            <w:tcW w:w="840" w:type="dxa"/>
            <w:tcMar>
              <w:left w:w="85" w:type="dxa"/>
              <w:right w:w="113" w:type="dxa"/>
            </w:tcMar>
          </w:tcPr>
          <w:p>
            <w:pPr>
              <w:pStyle w:val="yTableNAm"/>
              <w:tabs>
                <w:tab w:val="clear" w:pos="567"/>
                <w:tab w:val="left" w:leader="dot" w:pos="3796"/>
              </w:tabs>
              <w:spacing w:before="0"/>
            </w:pPr>
            <w:r>
              <w:b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Tarwhine </w:t>
            </w:r>
            <w:r>
              <w:tab/>
            </w:r>
          </w:p>
        </w:tc>
        <w:tc>
          <w:tcPr>
            <w:tcW w:w="840" w:type="dxa"/>
            <w:tcMar>
              <w:left w:w="85" w:type="dxa"/>
              <w:right w:w="113" w:type="dxa"/>
            </w:tcMar>
          </w:tcPr>
          <w:p>
            <w:pPr>
              <w:pStyle w:val="yTableNAm"/>
              <w:tabs>
                <w:tab w:val="clear" w:pos="567"/>
                <w:tab w:val="left" w:leader="dot" w:pos="3796"/>
              </w:tabs>
              <w:spacing w:before="0"/>
              <w:ind w:left="196" w:hanging="196"/>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Trevally (combined) </w:t>
            </w:r>
            <w:r>
              <w:tab/>
            </w:r>
          </w:p>
        </w:tc>
        <w:tc>
          <w:tcPr>
            <w:tcW w:w="840" w:type="dxa"/>
            <w:tcMar>
              <w:left w:w="85" w:type="dxa"/>
              <w:right w:w="113" w:type="dxa"/>
            </w:tcMar>
          </w:tcPr>
          <w:p>
            <w:pPr>
              <w:pStyle w:val="yTableNAm"/>
              <w:tabs>
                <w:tab w:val="clear" w:pos="567"/>
                <w:tab w:val="left" w:leader="dot" w:pos="3796"/>
              </w:tabs>
              <w:spacing w:before="0"/>
              <w:ind w:left="196" w:hanging="196"/>
            </w:pPr>
            <w:r>
              <w:t>12</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Whiting, King George </w:t>
            </w:r>
            <w:r>
              <w:tab/>
            </w:r>
          </w:p>
        </w:tc>
        <w:tc>
          <w:tcPr>
            <w:tcW w:w="840" w:type="dxa"/>
            <w:tcMar>
              <w:left w:w="85" w:type="dxa"/>
              <w:right w:w="113" w:type="dxa"/>
            </w:tcMar>
          </w:tcPr>
          <w:p>
            <w:pPr>
              <w:pStyle w:val="yTableNAm"/>
              <w:tabs>
                <w:tab w:val="clear" w:pos="567"/>
                <w:tab w:val="left" w:leader="dot" w:pos="3796"/>
              </w:tabs>
              <w:spacing w:before="0"/>
              <w:ind w:left="196" w:hanging="196"/>
            </w:pPr>
            <w:r>
              <w:t>12</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Whiting, Yellowfinned </w:t>
            </w:r>
            <w:r>
              <w:tab/>
            </w:r>
          </w:p>
        </w:tc>
        <w:tc>
          <w:tcPr>
            <w:tcW w:w="840" w:type="dxa"/>
            <w:tcMar>
              <w:left w:w="85" w:type="dxa"/>
              <w:right w:w="113" w:type="dxa"/>
            </w:tcMar>
          </w:tcPr>
          <w:p>
            <w:pPr>
              <w:pStyle w:val="yTableNAm"/>
              <w:tabs>
                <w:tab w:val="clear" w:pos="567"/>
                <w:tab w:val="left" w:leader="dot" w:pos="3796"/>
              </w:tabs>
              <w:spacing w:before="0"/>
              <w:ind w:left="196" w:hanging="196"/>
            </w:pPr>
            <w:r>
              <w:t>16</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Borders>
              <w:bottom w:val="single" w:sz="8" w:space="0" w:color="auto"/>
            </w:tcBorders>
            <w:tcMar>
              <w:left w:w="85" w:type="dxa"/>
              <w:right w:w="113" w:type="dxa"/>
            </w:tcMar>
          </w:tcPr>
          <w:p>
            <w:pPr>
              <w:pStyle w:val="yTableNAm"/>
              <w:tabs>
                <w:tab w:val="clear" w:pos="567"/>
                <w:tab w:val="right" w:leader="dot" w:pos="4087"/>
              </w:tabs>
              <w:spacing w:before="0"/>
              <w:ind w:left="198" w:hanging="198"/>
            </w:pPr>
            <w:r>
              <w:t xml:space="preserve">Wrasse (combined) </w:t>
            </w:r>
            <w:r>
              <w:tab/>
            </w:r>
          </w:p>
        </w:tc>
        <w:tc>
          <w:tcPr>
            <w:tcW w:w="840" w:type="dxa"/>
            <w:tcBorders>
              <w:bottom w:val="single" w:sz="8" w:space="0" w:color="auto"/>
            </w:tcBorders>
            <w:tcMar>
              <w:left w:w="85" w:type="dxa"/>
              <w:right w:w="113" w:type="dxa"/>
            </w:tcMar>
          </w:tcPr>
          <w:p>
            <w:pPr>
              <w:pStyle w:val="yTableNAm"/>
              <w:tabs>
                <w:tab w:val="clear" w:pos="567"/>
                <w:tab w:val="left" w:leader="dot" w:pos="3796"/>
              </w:tabs>
              <w:spacing w:before="0"/>
              <w:ind w:left="196" w:hanging="196"/>
            </w:pPr>
            <w:r>
              <w:t>8</w:t>
            </w:r>
          </w:p>
        </w:tc>
        <w:tc>
          <w:tcPr>
            <w:tcW w:w="480" w:type="dxa"/>
            <w:vMerge/>
            <w:tcBorders>
              <w:bottom w:val="single" w:sz="8" w:space="0" w:color="auto"/>
            </w:tcBorders>
            <w:tcMar>
              <w:left w:w="85" w:type="dxa"/>
              <w:right w:w="113" w:type="dxa"/>
            </w:tcMar>
          </w:tcPr>
          <w:p>
            <w:pPr>
              <w:pStyle w:val="yTableNAm"/>
              <w:tabs>
                <w:tab w:val="clear" w:pos="567"/>
                <w:tab w:val="left" w:leader="dot" w:pos="3796"/>
              </w:tabs>
              <w:spacing w:before="0"/>
              <w:ind w:left="196" w:hanging="196"/>
            </w:pPr>
          </w:p>
        </w:tc>
        <w:tc>
          <w:tcPr>
            <w:tcW w:w="1440" w:type="dxa"/>
            <w:vMerge/>
            <w:tcBorders>
              <w:bottom w:val="single" w:sz="8" w:space="0" w:color="auto"/>
            </w:tcBorders>
            <w:tcMar>
              <w:left w:w="85" w:type="dxa"/>
              <w:right w:w="113" w:type="dxa"/>
            </w:tcMar>
          </w:tcPr>
          <w:p>
            <w:pPr>
              <w:pStyle w:val="yTableNAm"/>
              <w:tabs>
                <w:tab w:val="clear" w:pos="567"/>
                <w:tab w:val="left" w:leader="dot" w:pos="3796"/>
              </w:tabs>
              <w:spacing w:before="0"/>
              <w:ind w:left="196" w:hanging="196"/>
            </w:pPr>
          </w:p>
        </w:tc>
      </w:tr>
    </w:tbl>
    <w:p>
      <w:pPr>
        <w:pStyle w:val="yFootnotesection"/>
      </w:pPr>
      <w:r>
        <w:tab/>
        <w:t>[Division 2 inserted in Gazette 22 Dec 2005 p. 6236.]</w:t>
      </w:r>
    </w:p>
    <w:p>
      <w:pPr>
        <w:pStyle w:val="yHeading3"/>
        <w:pageBreakBefore/>
      </w:pPr>
      <w:bookmarkStart w:id="8696" w:name="_Toc189988199"/>
      <w:bookmarkStart w:id="8697" w:name="_Toc192041782"/>
      <w:bookmarkStart w:id="8698" w:name="_Toc199571016"/>
      <w:bookmarkStart w:id="8699" w:name="_Toc199739015"/>
      <w:bookmarkStart w:id="8700" w:name="_Toc199815116"/>
      <w:bookmarkStart w:id="8701" w:name="_Toc215040923"/>
      <w:bookmarkStart w:id="8702" w:name="_Toc215041368"/>
      <w:bookmarkStart w:id="8703" w:name="_Toc222129576"/>
      <w:bookmarkStart w:id="8704" w:name="_Toc222223281"/>
      <w:bookmarkStart w:id="8705" w:name="_Toc225914533"/>
      <w:bookmarkStart w:id="8706" w:name="_Toc231282578"/>
      <w:bookmarkStart w:id="8707" w:name="_Toc231283022"/>
      <w:bookmarkStart w:id="8708" w:name="_Toc234899612"/>
      <w:bookmarkStart w:id="8709" w:name="_Toc236632894"/>
      <w:bookmarkStart w:id="8710" w:name="_Toc236720507"/>
      <w:bookmarkStart w:id="8711" w:name="_Toc237764706"/>
      <w:bookmarkStart w:id="8712" w:name="_Toc238356330"/>
      <w:bookmarkStart w:id="8713" w:name="_Toc238369035"/>
      <w:bookmarkStart w:id="8714" w:name="_Toc238375988"/>
      <w:bookmarkStart w:id="8715" w:name="_Toc240339312"/>
      <w:bookmarkStart w:id="8716" w:name="_Toc241993818"/>
      <w:bookmarkStart w:id="8717" w:name="_Toc243192961"/>
      <w:bookmarkStart w:id="8718" w:name="_Toc243295663"/>
      <w:bookmarkStart w:id="8719" w:name="_Toc245113236"/>
      <w:bookmarkStart w:id="8720" w:name="_Toc245198398"/>
      <w:bookmarkStart w:id="8721" w:name="_Toc245198847"/>
      <w:bookmarkStart w:id="8722" w:name="_Toc245199296"/>
      <w:bookmarkStart w:id="8723" w:name="_Toc248122328"/>
      <w:bookmarkStart w:id="8724" w:name="_Toc248122779"/>
      <w:bookmarkStart w:id="8725" w:name="_Toc253670766"/>
      <w:bookmarkStart w:id="8726" w:name="_Toc253671216"/>
      <w:bookmarkStart w:id="8727" w:name="_Toc254942990"/>
      <w:bookmarkStart w:id="8728" w:name="_Toc254943443"/>
      <w:bookmarkStart w:id="8729" w:name="_Toc255476035"/>
      <w:bookmarkStart w:id="8730" w:name="_Toc256432356"/>
      <w:bookmarkStart w:id="8731" w:name="_Toc257720693"/>
      <w:bookmarkStart w:id="8732" w:name="_Toc257722375"/>
      <w:bookmarkStart w:id="8733" w:name="_Toc258336051"/>
      <w:bookmarkStart w:id="8734" w:name="_Toc260406493"/>
      <w:bookmarkStart w:id="8735" w:name="_Toc261271679"/>
      <w:bookmarkStart w:id="8736" w:name="_Toc262808361"/>
      <w:bookmarkStart w:id="8737" w:name="_Toc267572754"/>
      <w:bookmarkStart w:id="8738" w:name="_Toc270684503"/>
      <w:bookmarkStart w:id="8739" w:name="_Toc274214680"/>
      <w:bookmarkStart w:id="8740" w:name="_Toc274215129"/>
      <w:bookmarkStart w:id="8741" w:name="_Toc278976460"/>
      <w:bookmarkStart w:id="8742" w:name="_Toc286760781"/>
      <w:bookmarkStart w:id="8743" w:name="_Toc289081126"/>
      <w:bookmarkStart w:id="8744" w:name="_Toc290284320"/>
      <w:bookmarkStart w:id="8745" w:name="_Toc290643141"/>
      <w:bookmarkStart w:id="8746" w:name="_Toc290643590"/>
      <w:bookmarkStart w:id="8747" w:name="_Toc290644043"/>
      <w:bookmarkStart w:id="8748" w:name="_Toc294701860"/>
      <w:bookmarkStart w:id="8749" w:name="_Toc295200268"/>
      <w:bookmarkStart w:id="8750" w:name="_Toc296954709"/>
      <w:bookmarkStart w:id="8751" w:name="_Toc297276344"/>
      <w:bookmarkStart w:id="8752" w:name="_Toc297276796"/>
      <w:bookmarkStart w:id="8753" w:name="_Toc297277246"/>
      <w:bookmarkStart w:id="8754" w:name="_Toc297726615"/>
      <w:bookmarkStart w:id="8755" w:name="_Toc299980401"/>
      <w:bookmarkStart w:id="8756" w:name="_Toc300235027"/>
      <w:bookmarkStart w:id="8757" w:name="_Toc301961530"/>
      <w:bookmarkStart w:id="8758" w:name="_Toc301967100"/>
      <w:bookmarkStart w:id="8759" w:name="_Toc303253309"/>
      <w:bookmarkStart w:id="8760" w:name="_Toc303257473"/>
      <w:bookmarkStart w:id="8761" w:name="_Toc307993106"/>
      <w:bookmarkStart w:id="8762" w:name="_Toc309030139"/>
      <w:bookmarkStart w:id="8763" w:name="_Toc309304362"/>
      <w:bookmarkStart w:id="8764" w:name="_Toc309309639"/>
      <w:r>
        <w:t>Division 3 — Low risk finfish — grouped bag limit of 40 fish</w:t>
      </w:r>
      <w:bookmarkEnd w:id="8696"/>
      <w:bookmarkEnd w:id="8697"/>
      <w:bookmarkEnd w:id="8698"/>
      <w:bookmarkEnd w:id="8699"/>
      <w:bookmarkEnd w:id="8700"/>
      <w:bookmarkEnd w:id="8701"/>
      <w:bookmarkEnd w:id="8702"/>
      <w:bookmarkEnd w:id="8703"/>
      <w:bookmarkEnd w:id="8704"/>
      <w:bookmarkEnd w:id="8705"/>
      <w:bookmarkEnd w:id="8706"/>
      <w:bookmarkEnd w:id="8707"/>
      <w:bookmarkEnd w:id="8708"/>
      <w:bookmarkEnd w:id="8709"/>
      <w:bookmarkEnd w:id="8710"/>
      <w:bookmarkEnd w:id="8711"/>
      <w:bookmarkEnd w:id="8712"/>
      <w:bookmarkEnd w:id="8713"/>
      <w:bookmarkEnd w:id="8714"/>
      <w:bookmarkEnd w:id="8715"/>
      <w:bookmarkEnd w:id="8716"/>
      <w:bookmarkEnd w:id="8717"/>
      <w:bookmarkEnd w:id="8718"/>
      <w:bookmarkEnd w:id="8719"/>
      <w:bookmarkEnd w:id="8720"/>
      <w:bookmarkEnd w:id="8721"/>
      <w:bookmarkEnd w:id="8722"/>
      <w:bookmarkEnd w:id="8723"/>
      <w:bookmarkEnd w:id="8724"/>
      <w:bookmarkEnd w:id="8725"/>
      <w:bookmarkEnd w:id="8726"/>
      <w:bookmarkEnd w:id="8727"/>
      <w:bookmarkEnd w:id="8728"/>
      <w:bookmarkEnd w:id="8729"/>
      <w:bookmarkEnd w:id="8730"/>
      <w:bookmarkEnd w:id="8731"/>
      <w:bookmarkEnd w:id="8732"/>
      <w:bookmarkEnd w:id="8733"/>
      <w:bookmarkEnd w:id="8734"/>
      <w:bookmarkEnd w:id="8735"/>
      <w:bookmarkEnd w:id="8736"/>
      <w:bookmarkEnd w:id="8737"/>
      <w:bookmarkEnd w:id="8738"/>
      <w:bookmarkEnd w:id="8739"/>
      <w:bookmarkEnd w:id="8740"/>
      <w:bookmarkEnd w:id="8741"/>
      <w:bookmarkEnd w:id="8742"/>
      <w:bookmarkEnd w:id="8743"/>
      <w:bookmarkEnd w:id="8744"/>
      <w:bookmarkEnd w:id="8745"/>
      <w:bookmarkEnd w:id="8746"/>
      <w:bookmarkEnd w:id="8747"/>
      <w:bookmarkEnd w:id="8748"/>
      <w:bookmarkEnd w:id="8749"/>
      <w:bookmarkEnd w:id="8750"/>
      <w:bookmarkEnd w:id="8751"/>
      <w:bookmarkEnd w:id="8752"/>
      <w:bookmarkEnd w:id="8753"/>
      <w:bookmarkEnd w:id="8754"/>
      <w:bookmarkEnd w:id="8755"/>
      <w:bookmarkEnd w:id="8756"/>
      <w:bookmarkEnd w:id="8757"/>
      <w:bookmarkEnd w:id="8758"/>
      <w:bookmarkEnd w:id="8759"/>
      <w:bookmarkEnd w:id="8760"/>
      <w:bookmarkEnd w:id="8761"/>
      <w:bookmarkEnd w:id="8762"/>
      <w:bookmarkEnd w:id="8763"/>
      <w:bookmarkEnd w:id="8764"/>
    </w:p>
    <w:p>
      <w:pPr>
        <w:pStyle w:val="yFootnoteheading"/>
        <w:keepNext/>
        <w:spacing w:after="120"/>
      </w:pPr>
      <w:r>
        <w:tab/>
        <w:t>[Heading inserted in Gazette 22 Dec 2005 p. 6237.]</w:t>
      </w:r>
    </w:p>
    <w:tbl>
      <w:tblPr>
        <w:tblW w:w="7080" w:type="dxa"/>
        <w:tblInd w:w="57" w:type="dxa"/>
        <w:tblLayout w:type="fixed"/>
        <w:tblCellMar>
          <w:left w:w="141" w:type="dxa"/>
          <w:right w:w="141" w:type="dxa"/>
        </w:tblCellMar>
        <w:tblLook w:val="0000" w:firstRow="0" w:lastRow="0" w:firstColumn="0" w:lastColumn="0" w:noHBand="0" w:noVBand="0"/>
      </w:tblPr>
      <w:tblGrid>
        <w:gridCol w:w="4680"/>
        <w:gridCol w:w="360"/>
        <w:gridCol w:w="2040"/>
      </w:tblGrid>
      <w:tr>
        <w:trPr>
          <w:tblHeader/>
        </w:trPr>
        <w:tc>
          <w:tcPr>
            <w:tcW w:w="5040"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ind w:left="196" w:hanging="196"/>
              <w:rPr>
                <w:b/>
                <w:bCs/>
              </w:rPr>
            </w:pPr>
            <w:r>
              <w:rPr>
                <w:b/>
                <w:bCs/>
              </w:rPr>
              <w:t>Fish</w:t>
            </w:r>
          </w:p>
        </w:tc>
        <w:tc>
          <w:tcPr>
            <w:tcW w:w="2040" w:type="dxa"/>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rPr>
                <w:b/>
                <w:bCs/>
              </w:rPr>
            </w:pPr>
            <w:r>
              <w:rPr>
                <w:b/>
                <w:bCs/>
              </w:rPr>
              <w:t>Grouped bag limit of all species in the Division for one day</w:t>
            </w:r>
          </w:p>
        </w:tc>
      </w:tr>
      <w:tr>
        <w:trPr>
          <w:cantSplit/>
        </w:trPr>
        <w:tc>
          <w:tcPr>
            <w:tcW w:w="4680" w:type="dxa"/>
          </w:tcPr>
          <w:p>
            <w:pPr>
              <w:pStyle w:val="yTableNAm"/>
              <w:tabs>
                <w:tab w:val="clear" w:pos="567"/>
                <w:tab w:val="left" w:leader="dot" w:pos="196"/>
                <w:tab w:val="right" w:leader="dot" w:pos="5103"/>
              </w:tabs>
              <w:spacing w:before="0"/>
              <w:ind w:left="196" w:hanging="196"/>
            </w:pPr>
            <w:r>
              <w:t xml:space="preserve">Herring, Australian </w:t>
            </w:r>
            <w:r>
              <w:tab/>
            </w:r>
            <w:r>
              <w:tab/>
            </w:r>
          </w:p>
        </w:tc>
        <w:tc>
          <w:tcPr>
            <w:tcW w:w="360" w:type="dxa"/>
            <w:vMerge w:val="restart"/>
            <w:tcBorders>
              <w:bottom w:val="single" w:sz="8" w:space="0" w:color="auto"/>
            </w:tcBorders>
          </w:tcPr>
          <w:p>
            <w:pPr>
              <w:pStyle w:val="yTableNAm"/>
              <w:tabs>
                <w:tab w:val="clear" w:pos="567"/>
                <w:tab w:val="left" w:leader="dot" w:pos="3796"/>
              </w:tabs>
              <w:spacing w:before="0"/>
              <w:ind w:left="15" w:right="-141"/>
            </w:pPr>
            <w:r>
              <w:rPr>
                <w:noProof/>
                <w:lang w:eastAsia="en-AU"/>
              </w:rPr>
              <w:drawing>
                <wp:inline distT="0" distB="0" distL="0" distR="0">
                  <wp:extent cx="114300" cy="1952625"/>
                  <wp:effectExtent l="0" t="0" r="0" b="952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14300" cy="1952625"/>
                          </a:xfrm>
                          <a:prstGeom prst="rect">
                            <a:avLst/>
                          </a:prstGeom>
                          <a:noFill/>
                          <a:ln>
                            <a:noFill/>
                          </a:ln>
                        </pic:spPr>
                      </pic:pic>
                    </a:graphicData>
                  </a:graphic>
                </wp:inline>
              </w:drawing>
            </w:r>
          </w:p>
        </w:tc>
        <w:tc>
          <w:tcPr>
            <w:tcW w:w="2040" w:type="dxa"/>
            <w:vMerge w:val="restart"/>
            <w:tcBorders>
              <w:bottom w:val="single" w:sz="8" w:space="0" w:color="auto"/>
            </w:tcBorders>
          </w:tcPr>
          <w:p>
            <w:pPr>
              <w:pStyle w:val="yTableNAm"/>
              <w:tabs>
                <w:tab w:val="clear" w:pos="567"/>
                <w:tab w:val="left" w:leader="dot" w:pos="3796"/>
              </w:tabs>
            </w:pPr>
            <w:r>
              <w:br/>
            </w:r>
            <w:r>
              <w:br/>
            </w:r>
            <w:r>
              <w:br/>
            </w:r>
            <w:r>
              <w:br/>
            </w:r>
            <w:r>
              <w:br/>
              <w:t>40</w:t>
            </w:r>
          </w:p>
        </w:tc>
      </w:tr>
      <w:tr>
        <w:trPr>
          <w:cantSplit/>
        </w:trPr>
        <w:tc>
          <w:tcPr>
            <w:tcW w:w="4680" w:type="dxa"/>
          </w:tcPr>
          <w:p>
            <w:pPr>
              <w:pStyle w:val="yTableNAm"/>
              <w:tabs>
                <w:tab w:val="clear" w:pos="567"/>
                <w:tab w:val="left" w:leader="dot" w:pos="196"/>
                <w:tab w:val="right" w:leader="dot" w:pos="5103"/>
              </w:tabs>
              <w:spacing w:before="0"/>
              <w:ind w:left="196" w:hanging="196"/>
            </w:pPr>
            <w:r>
              <w:t>Garfish .</w:t>
            </w:r>
            <w:r>
              <w:tab/>
            </w:r>
          </w:p>
        </w:tc>
        <w:tc>
          <w:tcPr>
            <w:tcW w:w="360" w:type="dxa"/>
            <w:vMerge/>
            <w:tcBorders>
              <w:bottom w:val="single" w:sz="8" w:space="0" w:color="auto"/>
            </w:tcBorders>
          </w:tcPr>
          <w:p>
            <w:pPr>
              <w:pStyle w:val="yTableNAm"/>
              <w:tabs>
                <w:tab w:val="clear" w:pos="567"/>
                <w:tab w:val="left" w:leader="dot" w:pos="3796"/>
              </w:tabs>
              <w:spacing w:before="0"/>
              <w:ind w:left="196" w:hanging="196"/>
            </w:pPr>
          </w:p>
        </w:tc>
        <w:tc>
          <w:tcPr>
            <w:tcW w:w="2040" w:type="dxa"/>
            <w:vMerge/>
            <w:tcBorders>
              <w:bottom w:val="single" w:sz="8" w:space="0" w:color="auto"/>
            </w:tcBorders>
          </w:tcPr>
          <w:p>
            <w:pPr>
              <w:pStyle w:val="yTableNAm"/>
              <w:tabs>
                <w:tab w:val="clear" w:pos="567"/>
                <w:tab w:val="left" w:leader="dot" w:pos="3796"/>
              </w:tabs>
              <w:spacing w:before="0"/>
              <w:ind w:left="196" w:hanging="196"/>
            </w:pPr>
          </w:p>
        </w:tc>
      </w:tr>
      <w:tr>
        <w:trPr>
          <w:cantSplit/>
        </w:trPr>
        <w:tc>
          <w:tcPr>
            <w:tcW w:w="4680" w:type="dxa"/>
          </w:tcPr>
          <w:p>
            <w:pPr>
              <w:pStyle w:val="yTableNAm"/>
              <w:tabs>
                <w:tab w:val="clear" w:pos="567"/>
                <w:tab w:val="left" w:leader="dot" w:pos="196"/>
                <w:tab w:val="right" w:leader="dot" w:pos="5103"/>
              </w:tabs>
              <w:spacing w:before="0"/>
              <w:ind w:left="196" w:hanging="196"/>
            </w:pPr>
            <w:r>
              <w:t xml:space="preserve">Mackerel, Blue (Common) </w:t>
            </w:r>
            <w:r>
              <w:tab/>
            </w:r>
          </w:p>
        </w:tc>
        <w:tc>
          <w:tcPr>
            <w:tcW w:w="360" w:type="dxa"/>
            <w:vMerge/>
            <w:tcBorders>
              <w:bottom w:val="single" w:sz="8" w:space="0" w:color="auto"/>
            </w:tcBorders>
          </w:tcPr>
          <w:p>
            <w:pPr>
              <w:pStyle w:val="yTableNAm"/>
              <w:tabs>
                <w:tab w:val="clear" w:pos="567"/>
                <w:tab w:val="left" w:leader="dot" w:pos="3796"/>
              </w:tabs>
              <w:spacing w:before="0"/>
              <w:ind w:left="196" w:hanging="196"/>
            </w:pPr>
          </w:p>
        </w:tc>
        <w:tc>
          <w:tcPr>
            <w:tcW w:w="2040" w:type="dxa"/>
            <w:vMerge/>
            <w:tcBorders>
              <w:bottom w:val="single" w:sz="8" w:space="0" w:color="auto"/>
            </w:tcBorders>
          </w:tcPr>
          <w:p>
            <w:pPr>
              <w:pStyle w:val="yTableNAm"/>
              <w:tabs>
                <w:tab w:val="clear" w:pos="567"/>
                <w:tab w:val="left" w:leader="dot" w:pos="3796"/>
              </w:tabs>
              <w:spacing w:before="0"/>
              <w:ind w:left="196" w:hanging="196"/>
            </w:pPr>
          </w:p>
        </w:tc>
      </w:tr>
      <w:tr>
        <w:trPr>
          <w:cantSplit/>
        </w:trPr>
        <w:tc>
          <w:tcPr>
            <w:tcW w:w="4680" w:type="dxa"/>
          </w:tcPr>
          <w:p>
            <w:pPr>
              <w:pStyle w:val="yTableNAm"/>
              <w:tabs>
                <w:tab w:val="clear" w:pos="567"/>
                <w:tab w:val="left" w:leader="dot" w:pos="196"/>
                <w:tab w:val="right" w:leader="dot" w:pos="5103"/>
              </w:tabs>
              <w:spacing w:before="0"/>
              <w:ind w:left="196" w:hanging="196"/>
            </w:pPr>
            <w:r>
              <w:t>Mullet, Sea and Yellow</w:t>
            </w:r>
            <w:r>
              <w:noBreakHyphen/>
              <w:t xml:space="preserve">eye </w:t>
            </w:r>
            <w:r>
              <w:tab/>
            </w:r>
          </w:p>
        </w:tc>
        <w:tc>
          <w:tcPr>
            <w:tcW w:w="360" w:type="dxa"/>
            <w:vMerge/>
            <w:tcBorders>
              <w:bottom w:val="single" w:sz="8" w:space="0" w:color="auto"/>
            </w:tcBorders>
          </w:tcPr>
          <w:p>
            <w:pPr>
              <w:pStyle w:val="yTableNAm"/>
              <w:tabs>
                <w:tab w:val="clear" w:pos="567"/>
                <w:tab w:val="left" w:leader="dot" w:pos="3796"/>
              </w:tabs>
              <w:spacing w:before="0"/>
              <w:ind w:left="196" w:hanging="196"/>
            </w:pPr>
          </w:p>
        </w:tc>
        <w:tc>
          <w:tcPr>
            <w:tcW w:w="2040" w:type="dxa"/>
            <w:vMerge/>
            <w:tcBorders>
              <w:bottom w:val="single" w:sz="8" w:space="0" w:color="auto"/>
            </w:tcBorders>
          </w:tcPr>
          <w:p>
            <w:pPr>
              <w:pStyle w:val="yTableNAm"/>
              <w:tabs>
                <w:tab w:val="clear" w:pos="567"/>
                <w:tab w:val="left" w:leader="dot" w:pos="3796"/>
              </w:tabs>
              <w:spacing w:before="0"/>
              <w:ind w:left="196" w:hanging="196"/>
            </w:pPr>
          </w:p>
        </w:tc>
      </w:tr>
      <w:tr>
        <w:trPr>
          <w:cantSplit/>
        </w:trPr>
        <w:tc>
          <w:tcPr>
            <w:tcW w:w="4680" w:type="dxa"/>
          </w:tcPr>
          <w:p>
            <w:pPr>
              <w:pStyle w:val="yTableNAm"/>
              <w:tabs>
                <w:tab w:val="clear" w:pos="567"/>
                <w:tab w:val="left" w:leader="dot" w:pos="196"/>
                <w:tab w:val="right" w:leader="dot" w:pos="5103"/>
              </w:tabs>
              <w:spacing w:before="0"/>
              <w:ind w:left="196" w:hanging="196"/>
            </w:pPr>
            <w:r>
              <w:t xml:space="preserve">Whiting, Southern School and Western Sand </w:t>
            </w:r>
            <w:r>
              <w:tab/>
            </w:r>
          </w:p>
        </w:tc>
        <w:tc>
          <w:tcPr>
            <w:tcW w:w="360" w:type="dxa"/>
            <w:vMerge/>
            <w:tcBorders>
              <w:bottom w:val="single" w:sz="8" w:space="0" w:color="auto"/>
            </w:tcBorders>
          </w:tcPr>
          <w:p>
            <w:pPr>
              <w:pStyle w:val="yTableNAm"/>
              <w:tabs>
                <w:tab w:val="clear" w:pos="567"/>
                <w:tab w:val="left" w:leader="dot" w:pos="3796"/>
              </w:tabs>
              <w:spacing w:before="0"/>
              <w:ind w:left="196" w:hanging="196"/>
            </w:pPr>
          </w:p>
        </w:tc>
        <w:tc>
          <w:tcPr>
            <w:tcW w:w="2040" w:type="dxa"/>
            <w:vMerge/>
            <w:tcBorders>
              <w:bottom w:val="single" w:sz="8" w:space="0" w:color="auto"/>
            </w:tcBorders>
          </w:tcPr>
          <w:p>
            <w:pPr>
              <w:pStyle w:val="yTableNAm"/>
              <w:tabs>
                <w:tab w:val="clear" w:pos="567"/>
                <w:tab w:val="left" w:leader="dot" w:pos="3796"/>
              </w:tabs>
              <w:spacing w:before="0"/>
              <w:ind w:left="196" w:hanging="196"/>
            </w:pPr>
          </w:p>
        </w:tc>
      </w:tr>
      <w:tr>
        <w:trPr>
          <w:cantSplit/>
          <w:trHeight w:val="1595"/>
        </w:trPr>
        <w:tc>
          <w:tcPr>
            <w:tcW w:w="4680" w:type="dxa"/>
            <w:tcBorders>
              <w:bottom w:val="single" w:sz="8" w:space="0" w:color="auto"/>
            </w:tcBorders>
          </w:tcPr>
          <w:p>
            <w:pPr>
              <w:pStyle w:val="yTableNAm"/>
              <w:tabs>
                <w:tab w:val="clear" w:pos="567"/>
                <w:tab w:val="left" w:pos="557"/>
                <w:tab w:val="left" w:leader="dot" w:pos="3796"/>
              </w:tabs>
              <w:spacing w:before="0"/>
              <w:ind w:left="196" w:hanging="196"/>
            </w:pPr>
            <w:r>
              <w:t xml:space="preserve">All other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species of fish not specifically covered in this Part except for —</w:t>
            </w:r>
          </w:p>
          <w:p>
            <w:pPr>
              <w:pStyle w:val="yTableNAm"/>
              <w:tabs>
                <w:tab w:val="clear" w:pos="567"/>
                <w:tab w:val="left" w:pos="197"/>
                <w:tab w:val="left" w:leader="dot" w:pos="3796"/>
              </w:tabs>
              <w:spacing w:before="0"/>
              <w:ind w:left="593" w:hanging="677"/>
            </w:pPr>
            <w:r>
              <w:tab/>
              <w:t>(a)</w:t>
            </w:r>
            <w:r>
              <w:tab/>
              <w:t xml:space="preserve">bait fish of the </w:t>
            </w:r>
            <w:r>
              <w:rPr>
                <w:u w:val="single"/>
              </w:rPr>
              <w:t>Families</w:t>
            </w:r>
            <w:r>
              <w:t xml:space="preserve"> Clupeidae (Pilchards and Whitebait), Atherinidae (Hardyheads) and Engraulidae (Anchovy);</w:t>
            </w:r>
          </w:p>
          <w:p>
            <w:pPr>
              <w:pStyle w:val="yTableNAm"/>
              <w:tabs>
                <w:tab w:val="left" w:pos="227"/>
                <w:tab w:val="right" w:leader="dot" w:pos="6237"/>
              </w:tabs>
              <w:spacing w:before="0"/>
              <w:ind w:left="578" w:right="237" w:hanging="578"/>
            </w:pPr>
            <w:r>
              <w:tab/>
              <w:t>(b)</w:t>
            </w:r>
            <w:r>
              <w:tab/>
              <w:t xml:space="preserve">Redfin Perch, Goldfish and European Carp </w:t>
            </w:r>
            <w:r>
              <w:tab/>
            </w:r>
          </w:p>
        </w:tc>
        <w:tc>
          <w:tcPr>
            <w:tcW w:w="360" w:type="dxa"/>
            <w:vMerge/>
            <w:tcBorders>
              <w:bottom w:val="single" w:sz="8" w:space="0" w:color="auto"/>
            </w:tcBorders>
          </w:tcPr>
          <w:p>
            <w:pPr>
              <w:pStyle w:val="yTableNAm"/>
              <w:tabs>
                <w:tab w:val="clear" w:pos="567"/>
                <w:tab w:val="left" w:leader="dot" w:pos="3796"/>
              </w:tabs>
              <w:spacing w:before="0"/>
              <w:ind w:left="196" w:hanging="196"/>
            </w:pPr>
          </w:p>
        </w:tc>
        <w:tc>
          <w:tcPr>
            <w:tcW w:w="2040" w:type="dxa"/>
            <w:vMerge/>
            <w:tcBorders>
              <w:bottom w:val="single" w:sz="8" w:space="0" w:color="auto"/>
            </w:tcBorders>
          </w:tcPr>
          <w:p>
            <w:pPr>
              <w:pStyle w:val="yTableNAm"/>
              <w:tabs>
                <w:tab w:val="clear" w:pos="567"/>
                <w:tab w:val="left" w:leader="dot" w:pos="3796"/>
              </w:tabs>
              <w:spacing w:before="0"/>
              <w:ind w:left="196" w:hanging="196"/>
            </w:pPr>
          </w:p>
        </w:tc>
      </w:tr>
    </w:tbl>
    <w:p>
      <w:pPr>
        <w:pStyle w:val="yFootnotesection"/>
      </w:pPr>
      <w:r>
        <w:tab/>
        <w:t>[Division 3 inserted in Gazette 22 Dec 2005 p. 6237; amended in Gazette 23 Jul 2010 p. 3403.]</w:t>
      </w:r>
    </w:p>
    <w:p>
      <w:pPr>
        <w:pStyle w:val="yHeading3"/>
      </w:pPr>
      <w:bookmarkStart w:id="8765" w:name="_Toc189988200"/>
      <w:bookmarkStart w:id="8766" w:name="_Toc192041783"/>
      <w:bookmarkStart w:id="8767" w:name="_Toc199571017"/>
      <w:bookmarkStart w:id="8768" w:name="_Toc199739016"/>
      <w:bookmarkStart w:id="8769" w:name="_Toc199815117"/>
      <w:bookmarkStart w:id="8770" w:name="_Toc215040924"/>
      <w:bookmarkStart w:id="8771" w:name="_Toc215041369"/>
      <w:bookmarkStart w:id="8772" w:name="_Toc222129577"/>
      <w:bookmarkStart w:id="8773" w:name="_Toc222223282"/>
      <w:bookmarkStart w:id="8774" w:name="_Toc225914534"/>
      <w:bookmarkStart w:id="8775" w:name="_Toc231282579"/>
      <w:bookmarkStart w:id="8776" w:name="_Toc231283023"/>
      <w:bookmarkStart w:id="8777" w:name="_Toc234899613"/>
      <w:bookmarkStart w:id="8778" w:name="_Toc236632895"/>
      <w:bookmarkStart w:id="8779" w:name="_Toc236720508"/>
      <w:bookmarkStart w:id="8780" w:name="_Toc237764707"/>
      <w:bookmarkStart w:id="8781" w:name="_Toc238356331"/>
      <w:bookmarkStart w:id="8782" w:name="_Toc238369036"/>
      <w:bookmarkStart w:id="8783" w:name="_Toc238375989"/>
      <w:bookmarkStart w:id="8784" w:name="_Toc240339313"/>
      <w:bookmarkStart w:id="8785" w:name="_Toc241993819"/>
      <w:bookmarkStart w:id="8786" w:name="_Toc243192962"/>
      <w:bookmarkStart w:id="8787" w:name="_Toc243295664"/>
      <w:bookmarkStart w:id="8788" w:name="_Toc245113237"/>
      <w:bookmarkStart w:id="8789" w:name="_Toc245198399"/>
      <w:bookmarkStart w:id="8790" w:name="_Toc245198848"/>
      <w:bookmarkStart w:id="8791" w:name="_Toc245199297"/>
      <w:bookmarkStart w:id="8792" w:name="_Toc248122329"/>
      <w:bookmarkStart w:id="8793" w:name="_Toc248122780"/>
      <w:bookmarkStart w:id="8794" w:name="_Toc253670767"/>
      <w:bookmarkStart w:id="8795" w:name="_Toc253671217"/>
      <w:bookmarkStart w:id="8796" w:name="_Toc254942991"/>
      <w:bookmarkStart w:id="8797" w:name="_Toc254943444"/>
      <w:bookmarkStart w:id="8798" w:name="_Toc255476036"/>
      <w:bookmarkStart w:id="8799" w:name="_Toc256432357"/>
      <w:bookmarkStart w:id="8800" w:name="_Toc257720694"/>
      <w:bookmarkStart w:id="8801" w:name="_Toc257722376"/>
      <w:bookmarkStart w:id="8802" w:name="_Toc258336052"/>
      <w:bookmarkStart w:id="8803" w:name="_Toc260406494"/>
      <w:bookmarkStart w:id="8804" w:name="_Toc261271680"/>
      <w:bookmarkStart w:id="8805" w:name="_Toc262808362"/>
      <w:bookmarkStart w:id="8806" w:name="_Toc267572755"/>
      <w:bookmarkStart w:id="8807" w:name="_Toc270684504"/>
      <w:bookmarkStart w:id="8808" w:name="_Toc274214681"/>
      <w:bookmarkStart w:id="8809" w:name="_Toc274215130"/>
      <w:bookmarkStart w:id="8810" w:name="_Toc278976461"/>
      <w:bookmarkStart w:id="8811" w:name="_Toc286760782"/>
      <w:bookmarkStart w:id="8812" w:name="_Toc289081127"/>
      <w:bookmarkStart w:id="8813" w:name="_Toc290284321"/>
      <w:bookmarkStart w:id="8814" w:name="_Toc290643142"/>
      <w:bookmarkStart w:id="8815" w:name="_Toc290643591"/>
      <w:bookmarkStart w:id="8816" w:name="_Toc290644044"/>
      <w:bookmarkStart w:id="8817" w:name="_Toc294701861"/>
      <w:bookmarkStart w:id="8818" w:name="_Toc295200269"/>
      <w:bookmarkStart w:id="8819" w:name="_Toc296954710"/>
      <w:bookmarkStart w:id="8820" w:name="_Toc297276345"/>
      <w:bookmarkStart w:id="8821" w:name="_Toc297276797"/>
      <w:bookmarkStart w:id="8822" w:name="_Toc297277247"/>
      <w:bookmarkStart w:id="8823" w:name="_Toc297726616"/>
      <w:bookmarkStart w:id="8824" w:name="_Toc299980402"/>
      <w:bookmarkStart w:id="8825" w:name="_Toc300235028"/>
      <w:bookmarkStart w:id="8826" w:name="_Toc301961531"/>
      <w:bookmarkStart w:id="8827" w:name="_Toc301967101"/>
      <w:bookmarkStart w:id="8828" w:name="_Toc303253310"/>
      <w:bookmarkStart w:id="8829" w:name="_Toc303257474"/>
      <w:bookmarkStart w:id="8830" w:name="_Toc307993107"/>
      <w:bookmarkStart w:id="8831" w:name="_Toc309030140"/>
      <w:bookmarkStart w:id="8832" w:name="_Toc309304363"/>
      <w:bookmarkStart w:id="8833" w:name="_Toc309309640"/>
      <w:r>
        <w:t>Division 4 — Crustaceans</w:t>
      </w:r>
      <w:bookmarkEnd w:id="8765"/>
      <w:bookmarkEnd w:id="8766"/>
      <w:bookmarkEnd w:id="8767"/>
      <w:bookmarkEnd w:id="8768"/>
      <w:bookmarkEnd w:id="8769"/>
      <w:bookmarkEnd w:id="8770"/>
      <w:bookmarkEnd w:id="8771"/>
      <w:bookmarkEnd w:id="8772"/>
      <w:bookmarkEnd w:id="8773"/>
      <w:bookmarkEnd w:id="8774"/>
      <w:bookmarkEnd w:id="8775"/>
      <w:bookmarkEnd w:id="8776"/>
      <w:bookmarkEnd w:id="8777"/>
      <w:bookmarkEnd w:id="8778"/>
      <w:bookmarkEnd w:id="8779"/>
      <w:bookmarkEnd w:id="8780"/>
      <w:bookmarkEnd w:id="8781"/>
      <w:bookmarkEnd w:id="8782"/>
      <w:bookmarkEnd w:id="8783"/>
      <w:bookmarkEnd w:id="8784"/>
      <w:bookmarkEnd w:id="8785"/>
      <w:bookmarkEnd w:id="8786"/>
      <w:bookmarkEnd w:id="8787"/>
      <w:bookmarkEnd w:id="8788"/>
      <w:bookmarkEnd w:id="8789"/>
      <w:bookmarkEnd w:id="8790"/>
      <w:bookmarkEnd w:id="8791"/>
      <w:bookmarkEnd w:id="8792"/>
      <w:bookmarkEnd w:id="8793"/>
      <w:bookmarkEnd w:id="8794"/>
      <w:bookmarkEnd w:id="8795"/>
      <w:bookmarkEnd w:id="8796"/>
      <w:bookmarkEnd w:id="8797"/>
      <w:bookmarkEnd w:id="8798"/>
      <w:bookmarkEnd w:id="8799"/>
      <w:bookmarkEnd w:id="8800"/>
      <w:bookmarkEnd w:id="8801"/>
      <w:bookmarkEnd w:id="8802"/>
      <w:bookmarkEnd w:id="8803"/>
      <w:bookmarkEnd w:id="8804"/>
      <w:bookmarkEnd w:id="8805"/>
      <w:bookmarkEnd w:id="8806"/>
      <w:bookmarkEnd w:id="8807"/>
      <w:bookmarkEnd w:id="8808"/>
      <w:bookmarkEnd w:id="8809"/>
      <w:bookmarkEnd w:id="8810"/>
      <w:bookmarkEnd w:id="8811"/>
      <w:bookmarkEnd w:id="8812"/>
      <w:bookmarkEnd w:id="8813"/>
      <w:bookmarkEnd w:id="8814"/>
      <w:bookmarkEnd w:id="8815"/>
      <w:bookmarkEnd w:id="8816"/>
      <w:bookmarkEnd w:id="8817"/>
      <w:bookmarkEnd w:id="8818"/>
      <w:bookmarkEnd w:id="8819"/>
      <w:bookmarkEnd w:id="8820"/>
      <w:bookmarkEnd w:id="8821"/>
      <w:bookmarkEnd w:id="8822"/>
      <w:bookmarkEnd w:id="8823"/>
      <w:bookmarkEnd w:id="8824"/>
      <w:bookmarkEnd w:id="8825"/>
      <w:bookmarkEnd w:id="8826"/>
      <w:bookmarkEnd w:id="8827"/>
      <w:bookmarkEnd w:id="8828"/>
      <w:bookmarkEnd w:id="8829"/>
      <w:bookmarkEnd w:id="8830"/>
      <w:bookmarkEnd w:id="8831"/>
      <w:bookmarkEnd w:id="8832"/>
      <w:bookmarkEnd w:id="8833"/>
    </w:p>
    <w:p>
      <w:pPr>
        <w:pStyle w:val="yFootnoteheading"/>
        <w:spacing w:after="120"/>
      </w:pPr>
      <w:r>
        <w:tab/>
        <w:t>[Heading inserted in Gazette 22 Dec 2005 p. 6237.]</w:t>
      </w:r>
    </w:p>
    <w:tbl>
      <w:tblPr>
        <w:tblW w:w="7052" w:type="dxa"/>
        <w:tblInd w:w="113" w:type="dxa"/>
        <w:tblLayout w:type="fixed"/>
        <w:tblCellMar>
          <w:left w:w="113" w:type="dxa"/>
          <w:right w:w="113" w:type="dxa"/>
        </w:tblCellMar>
        <w:tblLook w:val="0000" w:firstRow="0" w:lastRow="0" w:firstColumn="0" w:lastColumn="0" w:noHBand="0" w:noVBand="0"/>
      </w:tblPr>
      <w:tblGrid>
        <w:gridCol w:w="5160"/>
        <w:gridCol w:w="1892"/>
      </w:tblGrid>
      <w:tr>
        <w:trPr>
          <w:tblHeader/>
        </w:trPr>
        <w:tc>
          <w:tcPr>
            <w:tcW w:w="5160" w:type="dxa"/>
            <w:tcBorders>
              <w:top w:val="single" w:sz="8" w:space="0" w:color="auto"/>
              <w:bottom w:val="single" w:sz="8" w:space="0" w:color="auto"/>
            </w:tcBorders>
            <w:tcMar>
              <w:left w:w="85" w:type="dxa"/>
              <w:right w:w="113" w:type="dxa"/>
            </w:tcMar>
            <w:vAlign w:val="center"/>
          </w:tcPr>
          <w:p>
            <w:pPr>
              <w:pStyle w:val="yTableNAm"/>
              <w:tabs>
                <w:tab w:val="clear" w:pos="567"/>
                <w:tab w:val="left" w:pos="197"/>
                <w:tab w:val="left" w:pos="677"/>
                <w:tab w:val="left" w:leader="dot" w:pos="3796"/>
              </w:tabs>
              <w:spacing w:before="0"/>
              <w:ind w:left="677" w:hanging="677"/>
              <w:rPr>
                <w:b/>
                <w:bCs/>
              </w:rPr>
            </w:pPr>
            <w:r>
              <w:rPr>
                <w:b/>
                <w:bCs/>
              </w:rPr>
              <w:t>Fish</w:t>
            </w:r>
          </w:p>
        </w:tc>
        <w:tc>
          <w:tcPr>
            <w:tcW w:w="1892"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rPr>
                <w:b/>
                <w:bCs/>
              </w:rPr>
            </w:pPr>
            <w:r>
              <w:rPr>
                <w:b/>
                <w:bCs/>
              </w:rPr>
              <w:t>Species, or group of species, bag limit for one day</w:t>
            </w:r>
          </w:p>
        </w:tc>
      </w:tr>
      <w:tr>
        <w:tc>
          <w:tcPr>
            <w:tcW w:w="5160" w:type="dxa"/>
            <w:tcMar>
              <w:left w:w="85" w:type="dxa"/>
              <w:right w:w="113" w:type="dxa"/>
            </w:tcMar>
          </w:tcPr>
          <w:p>
            <w:pPr>
              <w:pStyle w:val="yTableNAm"/>
              <w:tabs>
                <w:tab w:val="clear" w:pos="567"/>
                <w:tab w:val="left" w:leader="dot" w:pos="196"/>
                <w:tab w:val="right" w:leader="dot" w:pos="4962"/>
              </w:tabs>
              <w:spacing w:before="0"/>
              <w:ind w:left="196" w:hanging="196"/>
            </w:pPr>
            <w:r>
              <w:t xml:space="preserve">Crab, Blue Manna </w:t>
            </w:r>
            <w:r>
              <w:tab/>
            </w:r>
          </w:p>
        </w:tc>
        <w:tc>
          <w:tcPr>
            <w:tcW w:w="1892" w:type="dxa"/>
            <w:tcMar>
              <w:left w:w="85" w:type="dxa"/>
              <w:right w:w="113" w:type="dxa"/>
            </w:tcMar>
          </w:tcPr>
          <w:p>
            <w:pPr>
              <w:pStyle w:val="yTableNAm"/>
              <w:tabs>
                <w:tab w:val="clear" w:pos="567"/>
                <w:tab w:val="left" w:leader="dot" w:pos="3796"/>
              </w:tabs>
              <w:spacing w:before="0"/>
              <w:jc w:val="both"/>
            </w:pPr>
            <w:r>
              <w:t>20</w:t>
            </w:r>
          </w:p>
        </w:tc>
      </w:tr>
      <w:tr>
        <w:tc>
          <w:tcPr>
            <w:tcW w:w="5160" w:type="dxa"/>
            <w:tcMar>
              <w:left w:w="85" w:type="dxa"/>
              <w:right w:w="113" w:type="dxa"/>
            </w:tcMar>
          </w:tcPr>
          <w:p>
            <w:pPr>
              <w:pStyle w:val="yTableNAm"/>
              <w:tabs>
                <w:tab w:val="clear" w:pos="567"/>
                <w:tab w:val="left" w:leader="dot" w:pos="196"/>
                <w:tab w:val="right" w:leader="dot" w:pos="4962"/>
              </w:tabs>
              <w:spacing w:before="0"/>
              <w:ind w:left="196" w:hanging="196"/>
            </w:pPr>
            <w:r>
              <w:t xml:space="preserve">Crab, Green Mud </w:t>
            </w:r>
            <w:r>
              <w:tab/>
            </w:r>
          </w:p>
        </w:tc>
        <w:tc>
          <w:tcPr>
            <w:tcW w:w="1892" w:type="dxa"/>
            <w:tcMar>
              <w:left w:w="85" w:type="dxa"/>
              <w:right w:w="113" w:type="dxa"/>
            </w:tcMar>
          </w:tcPr>
          <w:p>
            <w:pPr>
              <w:pStyle w:val="yTableNAm"/>
              <w:tabs>
                <w:tab w:val="clear" w:pos="567"/>
                <w:tab w:val="left" w:pos="197"/>
                <w:tab w:val="left" w:pos="886"/>
                <w:tab w:val="left" w:leader="dot" w:pos="3796"/>
              </w:tabs>
              <w:spacing w:before="0"/>
              <w:jc w:val="both"/>
            </w:pPr>
            <w:r>
              <w:t>5</w:t>
            </w:r>
          </w:p>
        </w:tc>
      </w:tr>
      <w:tr>
        <w:tc>
          <w:tcPr>
            <w:tcW w:w="5160" w:type="dxa"/>
            <w:tcMar>
              <w:left w:w="85" w:type="dxa"/>
              <w:right w:w="113" w:type="dxa"/>
            </w:tcMar>
          </w:tcPr>
          <w:p>
            <w:pPr>
              <w:pStyle w:val="yTableNAm"/>
              <w:tabs>
                <w:tab w:val="clear" w:pos="567"/>
                <w:tab w:val="left" w:leader="dot" w:pos="196"/>
                <w:tab w:val="right" w:leader="dot" w:pos="4962"/>
              </w:tabs>
              <w:spacing w:before="0"/>
              <w:ind w:left="196" w:hanging="196"/>
            </w:pPr>
            <w:r>
              <w:t xml:space="preserve">Marron </w:t>
            </w:r>
            <w:r>
              <w:tab/>
            </w:r>
          </w:p>
        </w:tc>
        <w:tc>
          <w:tcPr>
            <w:tcW w:w="1892" w:type="dxa"/>
            <w:tcMar>
              <w:left w:w="85" w:type="dxa"/>
              <w:right w:w="113" w:type="dxa"/>
            </w:tcMar>
          </w:tcPr>
          <w:p>
            <w:pPr>
              <w:pStyle w:val="yTableNAm"/>
              <w:tabs>
                <w:tab w:val="clear" w:pos="567"/>
                <w:tab w:val="left" w:pos="197"/>
                <w:tab w:val="left" w:pos="886"/>
                <w:tab w:val="left" w:leader="dot" w:pos="3796"/>
              </w:tabs>
              <w:spacing w:before="0"/>
              <w:jc w:val="both"/>
            </w:pPr>
            <w:r>
              <w:t>10</w:t>
            </w:r>
          </w:p>
        </w:tc>
      </w:tr>
      <w:tr>
        <w:tc>
          <w:tcPr>
            <w:tcW w:w="5160" w:type="dxa"/>
            <w:tcMar>
              <w:left w:w="85" w:type="dxa"/>
              <w:right w:w="113" w:type="dxa"/>
            </w:tcMar>
          </w:tcPr>
          <w:p>
            <w:pPr>
              <w:pStyle w:val="yTableNAm"/>
              <w:tabs>
                <w:tab w:val="clear" w:pos="567"/>
                <w:tab w:val="left" w:leader="dot" w:pos="196"/>
                <w:tab w:val="right" w:leader="dot" w:pos="4962"/>
              </w:tabs>
              <w:spacing w:before="0"/>
              <w:ind w:left="196" w:hanging="196"/>
            </w:pPr>
            <w:r>
              <w:t xml:space="preserve">Prawn </w:t>
            </w:r>
            <w:r>
              <w:tab/>
            </w:r>
          </w:p>
        </w:tc>
        <w:tc>
          <w:tcPr>
            <w:tcW w:w="1892" w:type="dxa"/>
            <w:tcMar>
              <w:left w:w="85" w:type="dxa"/>
              <w:right w:w="113" w:type="dxa"/>
            </w:tcMar>
          </w:tcPr>
          <w:p>
            <w:pPr>
              <w:pStyle w:val="yTableNAm"/>
              <w:tabs>
                <w:tab w:val="clear" w:pos="567"/>
                <w:tab w:val="left" w:pos="197"/>
                <w:tab w:val="left" w:pos="886"/>
                <w:tab w:val="left" w:leader="dot" w:pos="3796"/>
              </w:tabs>
              <w:spacing w:before="0"/>
              <w:jc w:val="both"/>
            </w:pPr>
            <w:r>
              <w:t>9 L</w:t>
            </w:r>
          </w:p>
        </w:tc>
      </w:tr>
      <w:tr>
        <w:tc>
          <w:tcPr>
            <w:tcW w:w="5160" w:type="dxa"/>
            <w:tcBorders>
              <w:bottom w:val="single" w:sz="8" w:space="0" w:color="auto"/>
            </w:tcBorders>
            <w:tcMar>
              <w:left w:w="85" w:type="dxa"/>
              <w:right w:w="113" w:type="dxa"/>
            </w:tcMar>
          </w:tcPr>
          <w:p>
            <w:pPr>
              <w:pStyle w:val="yTableNAm"/>
              <w:tabs>
                <w:tab w:val="clear" w:pos="567"/>
                <w:tab w:val="left" w:leader="dot" w:pos="196"/>
                <w:tab w:val="right" w:leader="dot" w:pos="4962"/>
              </w:tabs>
              <w:spacing w:before="0"/>
              <w:ind w:left="196" w:hanging="196"/>
            </w:pPr>
            <w:r>
              <w:t xml:space="preserve">Rock Lobster </w:t>
            </w:r>
            <w:r>
              <w:tab/>
            </w:r>
          </w:p>
        </w:tc>
        <w:tc>
          <w:tcPr>
            <w:tcW w:w="1892" w:type="dxa"/>
            <w:tcBorders>
              <w:bottom w:val="single" w:sz="8" w:space="0" w:color="auto"/>
            </w:tcBorders>
            <w:tcMar>
              <w:left w:w="85" w:type="dxa"/>
              <w:right w:w="113" w:type="dxa"/>
            </w:tcMar>
          </w:tcPr>
          <w:p>
            <w:pPr>
              <w:pStyle w:val="yTableNAm"/>
              <w:tabs>
                <w:tab w:val="clear" w:pos="567"/>
                <w:tab w:val="left" w:pos="197"/>
                <w:tab w:val="left" w:pos="886"/>
                <w:tab w:val="left" w:leader="dot" w:pos="3796"/>
              </w:tabs>
              <w:spacing w:before="0"/>
              <w:jc w:val="both"/>
            </w:pPr>
            <w:r>
              <w:t>8</w:t>
            </w:r>
          </w:p>
        </w:tc>
      </w:tr>
    </w:tbl>
    <w:p>
      <w:pPr>
        <w:pStyle w:val="yFootnotesection"/>
      </w:pPr>
      <w:r>
        <w:tab/>
        <w:t>[Division 4 inserted in Gazette 22 Dec 2005 p. 6237.]</w:t>
      </w:r>
    </w:p>
    <w:p>
      <w:pPr>
        <w:pStyle w:val="yHeading3"/>
        <w:pageBreakBefore/>
      </w:pPr>
      <w:bookmarkStart w:id="8834" w:name="_Toc189988201"/>
      <w:bookmarkStart w:id="8835" w:name="_Toc192041784"/>
      <w:bookmarkStart w:id="8836" w:name="_Toc199571018"/>
      <w:bookmarkStart w:id="8837" w:name="_Toc199739017"/>
      <w:bookmarkStart w:id="8838" w:name="_Toc199815118"/>
      <w:bookmarkStart w:id="8839" w:name="_Toc215040925"/>
      <w:bookmarkStart w:id="8840" w:name="_Toc215041370"/>
      <w:bookmarkStart w:id="8841" w:name="_Toc222129578"/>
      <w:bookmarkStart w:id="8842" w:name="_Toc222223283"/>
      <w:bookmarkStart w:id="8843" w:name="_Toc225914535"/>
      <w:bookmarkStart w:id="8844" w:name="_Toc231282580"/>
      <w:bookmarkStart w:id="8845" w:name="_Toc231283024"/>
      <w:bookmarkStart w:id="8846" w:name="_Toc234899614"/>
      <w:bookmarkStart w:id="8847" w:name="_Toc236632896"/>
      <w:bookmarkStart w:id="8848" w:name="_Toc236720509"/>
      <w:bookmarkStart w:id="8849" w:name="_Toc237764708"/>
      <w:bookmarkStart w:id="8850" w:name="_Toc238356332"/>
      <w:bookmarkStart w:id="8851" w:name="_Toc238369037"/>
      <w:bookmarkStart w:id="8852" w:name="_Toc238375990"/>
      <w:bookmarkStart w:id="8853" w:name="_Toc240339314"/>
      <w:bookmarkStart w:id="8854" w:name="_Toc241993820"/>
      <w:bookmarkStart w:id="8855" w:name="_Toc243192963"/>
      <w:bookmarkStart w:id="8856" w:name="_Toc243295665"/>
      <w:bookmarkStart w:id="8857" w:name="_Toc245113238"/>
      <w:bookmarkStart w:id="8858" w:name="_Toc245198400"/>
      <w:bookmarkStart w:id="8859" w:name="_Toc245198849"/>
      <w:bookmarkStart w:id="8860" w:name="_Toc245199298"/>
      <w:bookmarkStart w:id="8861" w:name="_Toc248122330"/>
      <w:bookmarkStart w:id="8862" w:name="_Toc248122781"/>
      <w:bookmarkStart w:id="8863" w:name="_Toc253670768"/>
      <w:bookmarkStart w:id="8864" w:name="_Toc253671218"/>
      <w:bookmarkStart w:id="8865" w:name="_Toc254942992"/>
      <w:bookmarkStart w:id="8866" w:name="_Toc254943445"/>
      <w:bookmarkStart w:id="8867" w:name="_Toc255476037"/>
      <w:bookmarkStart w:id="8868" w:name="_Toc256432358"/>
      <w:bookmarkStart w:id="8869" w:name="_Toc257720695"/>
      <w:bookmarkStart w:id="8870" w:name="_Toc257722377"/>
      <w:bookmarkStart w:id="8871" w:name="_Toc258336053"/>
      <w:bookmarkStart w:id="8872" w:name="_Toc260406495"/>
      <w:bookmarkStart w:id="8873" w:name="_Toc261271681"/>
      <w:bookmarkStart w:id="8874" w:name="_Toc262808363"/>
      <w:bookmarkStart w:id="8875" w:name="_Toc267572756"/>
      <w:bookmarkStart w:id="8876" w:name="_Toc270684505"/>
      <w:bookmarkStart w:id="8877" w:name="_Toc274214682"/>
      <w:bookmarkStart w:id="8878" w:name="_Toc274215131"/>
      <w:bookmarkStart w:id="8879" w:name="_Toc278976462"/>
      <w:bookmarkStart w:id="8880" w:name="_Toc286760783"/>
      <w:bookmarkStart w:id="8881" w:name="_Toc289081128"/>
      <w:bookmarkStart w:id="8882" w:name="_Toc290284322"/>
      <w:bookmarkStart w:id="8883" w:name="_Toc290643143"/>
      <w:bookmarkStart w:id="8884" w:name="_Toc290643592"/>
      <w:bookmarkStart w:id="8885" w:name="_Toc290644045"/>
      <w:bookmarkStart w:id="8886" w:name="_Toc294701862"/>
      <w:bookmarkStart w:id="8887" w:name="_Toc295200270"/>
      <w:bookmarkStart w:id="8888" w:name="_Toc296954711"/>
      <w:bookmarkStart w:id="8889" w:name="_Toc297276346"/>
      <w:bookmarkStart w:id="8890" w:name="_Toc297276798"/>
      <w:bookmarkStart w:id="8891" w:name="_Toc297277248"/>
      <w:bookmarkStart w:id="8892" w:name="_Toc297726617"/>
      <w:bookmarkStart w:id="8893" w:name="_Toc299980403"/>
      <w:bookmarkStart w:id="8894" w:name="_Toc300235029"/>
      <w:bookmarkStart w:id="8895" w:name="_Toc301961532"/>
      <w:bookmarkStart w:id="8896" w:name="_Toc301967102"/>
      <w:bookmarkStart w:id="8897" w:name="_Toc303253311"/>
      <w:bookmarkStart w:id="8898" w:name="_Toc303257475"/>
      <w:bookmarkStart w:id="8899" w:name="_Toc307993108"/>
      <w:bookmarkStart w:id="8900" w:name="_Toc309030141"/>
      <w:bookmarkStart w:id="8901" w:name="_Toc309304364"/>
      <w:bookmarkStart w:id="8902" w:name="_Toc309309641"/>
      <w:r>
        <w:t>Division 5 — Molluscs</w:t>
      </w:r>
      <w:bookmarkEnd w:id="8834"/>
      <w:bookmarkEnd w:id="8835"/>
      <w:bookmarkEnd w:id="8836"/>
      <w:bookmarkEnd w:id="8837"/>
      <w:bookmarkEnd w:id="8838"/>
      <w:bookmarkEnd w:id="8839"/>
      <w:bookmarkEnd w:id="8840"/>
      <w:bookmarkEnd w:id="8841"/>
      <w:bookmarkEnd w:id="8842"/>
      <w:bookmarkEnd w:id="8843"/>
      <w:bookmarkEnd w:id="8844"/>
      <w:bookmarkEnd w:id="8845"/>
      <w:bookmarkEnd w:id="8846"/>
      <w:bookmarkEnd w:id="8847"/>
      <w:bookmarkEnd w:id="8848"/>
      <w:bookmarkEnd w:id="8849"/>
      <w:bookmarkEnd w:id="8850"/>
      <w:bookmarkEnd w:id="8851"/>
      <w:bookmarkEnd w:id="8852"/>
      <w:bookmarkEnd w:id="8853"/>
      <w:bookmarkEnd w:id="8854"/>
      <w:bookmarkEnd w:id="8855"/>
      <w:bookmarkEnd w:id="8856"/>
      <w:bookmarkEnd w:id="8857"/>
      <w:bookmarkEnd w:id="8858"/>
      <w:bookmarkEnd w:id="8859"/>
      <w:bookmarkEnd w:id="8860"/>
      <w:bookmarkEnd w:id="8861"/>
      <w:bookmarkEnd w:id="8862"/>
      <w:bookmarkEnd w:id="8863"/>
      <w:bookmarkEnd w:id="8864"/>
      <w:bookmarkEnd w:id="8865"/>
      <w:bookmarkEnd w:id="8866"/>
      <w:bookmarkEnd w:id="8867"/>
      <w:bookmarkEnd w:id="8868"/>
      <w:bookmarkEnd w:id="8869"/>
      <w:bookmarkEnd w:id="8870"/>
      <w:bookmarkEnd w:id="8871"/>
      <w:bookmarkEnd w:id="8872"/>
      <w:bookmarkEnd w:id="8873"/>
      <w:bookmarkEnd w:id="8874"/>
      <w:bookmarkEnd w:id="8875"/>
      <w:bookmarkEnd w:id="8876"/>
      <w:bookmarkEnd w:id="8877"/>
      <w:bookmarkEnd w:id="8878"/>
      <w:bookmarkEnd w:id="8879"/>
      <w:bookmarkEnd w:id="8880"/>
      <w:bookmarkEnd w:id="8881"/>
      <w:bookmarkEnd w:id="8882"/>
      <w:bookmarkEnd w:id="8883"/>
      <w:bookmarkEnd w:id="8884"/>
      <w:bookmarkEnd w:id="8885"/>
      <w:bookmarkEnd w:id="8886"/>
      <w:bookmarkEnd w:id="8887"/>
      <w:bookmarkEnd w:id="8888"/>
      <w:bookmarkEnd w:id="8889"/>
      <w:bookmarkEnd w:id="8890"/>
      <w:bookmarkEnd w:id="8891"/>
      <w:bookmarkEnd w:id="8892"/>
      <w:bookmarkEnd w:id="8893"/>
      <w:bookmarkEnd w:id="8894"/>
      <w:bookmarkEnd w:id="8895"/>
      <w:bookmarkEnd w:id="8896"/>
      <w:bookmarkEnd w:id="8897"/>
      <w:bookmarkEnd w:id="8898"/>
      <w:bookmarkEnd w:id="8899"/>
      <w:bookmarkEnd w:id="8900"/>
      <w:bookmarkEnd w:id="8901"/>
      <w:bookmarkEnd w:id="8902"/>
    </w:p>
    <w:p>
      <w:pPr>
        <w:pStyle w:val="yFootnoteheading"/>
        <w:keepNext/>
        <w:spacing w:after="120"/>
      </w:pPr>
      <w:r>
        <w:tab/>
        <w:t>[Heading inserted in Gazette 22 Dec 2005 p. 6237.]</w:t>
      </w:r>
    </w:p>
    <w:tbl>
      <w:tblPr>
        <w:tblW w:w="7052" w:type="dxa"/>
        <w:tblInd w:w="113" w:type="dxa"/>
        <w:tblLayout w:type="fixed"/>
        <w:tblCellMar>
          <w:left w:w="113" w:type="dxa"/>
          <w:right w:w="113" w:type="dxa"/>
        </w:tblCellMar>
        <w:tblLook w:val="0000" w:firstRow="0" w:lastRow="0" w:firstColumn="0" w:lastColumn="0" w:noHBand="0" w:noVBand="0"/>
      </w:tblPr>
      <w:tblGrid>
        <w:gridCol w:w="5132"/>
        <w:gridCol w:w="1920"/>
      </w:tblGrid>
      <w:tr>
        <w:trPr>
          <w:tblHeader/>
        </w:trPr>
        <w:tc>
          <w:tcPr>
            <w:tcW w:w="5132" w:type="dxa"/>
            <w:tcBorders>
              <w:top w:val="single" w:sz="8" w:space="0" w:color="auto"/>
              <w:bottom w:val="single" w:sz="8" w:space="0" w:color="auto"/>
            </w:tcBorders>
            <w:tcMar>
              <w:left w:w="85" w:type="dxa"/>
              <w:right w:w="113" w:type="dxa"/>
            </w:tcMar>
            <w:vAlign w:val="center"/>
          </w:tcPr>
          <w:p>
            <w:pPr>
              <w:pStyle w:val="yTableNAm"/>
              <w:tabs>
                <w:tab w:val="clear" w:pos="567"/>
                <w:tab w:val="left" w:pos="197"/>
                <w:tab w:val="left" w:pos="677"/>
                <w:tab w:val="left" w:leader="dot" w:pos="3796"/>
              </w:tabs>
              <w:spacing w:before="0"/>
              <w:ind w:left="677" w:hanging="677"/>
              <w:rPr>
                <w:b/>
                <w:bCs/>
              </w:rPr>
            </w:pPr>
            <w:r>
              <w:rPr>
                <w:b/>
                <w:bCs/>
              </w:rPr>
              <w:t>Fish</w:t>
            </w:r>
          </w:p>
        </w:tc>
        <w:tc>
          <w:tcPr>
            <w:tcW w:w="1920"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rPr>
                <w:b/>
                <w:bCs/>
              </w:rPr>
            </w:pPr>
            <w:r>
              <w:rPr>
                <w:b/>
                <w:bCs/>
              </w:rPr>
              <w:t>Species, or group of species, bag limit for one day</w:t>
            </w:r>
          </w:p>
        </w:tc>
      </w:tr>
      <w:tr>
        <w:tc>
          <w:tcPr>
            <w:tcW w:w="5132" w:type="dxa"/>
            <w:tcMar>
              <w:left w:w="85" w:type="dxa"/>
              <w:right w:w="113" w:type="dxa"/>
            </w:tcMar>
          </w:tcPr>
          <w:p>
            <w:pPr>
              <w:pStyle w:val="yTableNAm"/>
              <w:tabs>
                <w:tab w:val="clear" w:pos="567"/>
                <w:tab w:val="right" w:leader="dot" w:pos="4927"/>
              </w:tabs>
              <w:spacing w:before="0"/>
              <w:ind w:left="198" w:hanging="198"/>
            </w:pPr>
            <w:r>
              <w:t xml:space="preserve">Abalone, Brownlip and Greenlip (combined) </w:t>
            </w:r>
            <w:r>
              <w:tab/>
            </w:r>
          </w:p>
        </w:tc>
        <w:tc>
          <w:tcPr>
            <w:tcW w:w="1920" w:type="dxa"/>
            <w:tcMar>
              <w:left w:w="85" w:type="dxa"/>
              <w:right w:w="113" w:type="dxa"/>
            </w:tcMar>
          </w:tcPr>
          <w:p>
            <w:pPr>
              <w:pStyle w:val="yTableNAm"/>
              <w:tabs>
                <w:tab w:val="clear" w:pos="567"/>
              </w:tabs>
              <w:spacing w:before="0"/>
            </w:pPr>
            <w:r>
              <w:t>5</w:t>
            </w:r>
          </w:p>
        </w:tc>
      </w:tr>
      <w:tr>
        <w:tc>
          <w:tcPr>
            <w:tcW w:w="5132" w:type="dxa"/>
            <w:tcMar>
              <w:left w:w="85" w:type="dxa"/>
              <w:right w:w="113" w:type="dxa"/>
            </w:tcMar>
          </w:tcPr>
          <w:p>
            <w:pPr>
              <w:pStyle w:val="yTableNAm"/>
              <w:tabs>
                <w:tab w:val="clear" w:pos="567"/>
                <w:tab w:val="right" w:leader="dot" w:pos="4927"/>
              </w:tabs>
              <w:spacing w:before="0"/>
              <w:ind w:left="198" w:hanging="198"/>
            </w:pPr>
            <w:r>
              <w:t xml:space="preserve">Abalone, other than Brownlip and Greenlip </w:t>
            </w:r>
            <w:r>
              <w:tab/>
            </w:r>
          </w:p>
        </w:tc>
        <w:tc>
          <w:tcPr>
            <w:tcW w:w="1920" w:type="dxa"/>
            <w:tcMar>
              <w:left w:w="85" w:type="dxa"/>
              <w:right w:w="113" w:type="dxa"/>
            </w:tcMar>
          </w:tcPr>
          <w:p>
            <w:pPr>
              <w:pStyle w:val="yTableNAm"/>
              <w:tabs>
                <w:tab w:val="clear" w:pos="567"/>
              </w:tabs>
              <w:spacing w:before="0"/>
            </w:pPr>
            <w:r>
              <w:t>20</w:t>
            </w:r>
          </w:p>
        </w:tc>
      </w:tr>
      <w:tr>
        <w:tc>
          <w:tcPr>
            <w:tcW w:w="5132" w:type="dxa"/>
            <w:tcMar>
              <w:left w:w="85" w:type="dxa"/>
              <w:right w:w="113" w:type="dxa"/>
            </w:tcMar>
          </w:tcPr>
          <w:p>
            <w:pPr>
              <w:pStyle w:val="yTableNAm"/>
              <w:tabs>
                <w:tab w:val="clear" w:pos="567"/>
                <w:tab w:val="right" w:leader="dot" w:pos="4927"/>
              </w:tabs>
              <w:spacing w:before="0"/>
              <w:ind w:left="198" w:hanging="198"/>
            </w:pPr>
            <w:smartTag w:uri="urn:schemas-microsoft-com:office:smarttags" w:element="place">
              <w:smartTag w:uri="urn:schemas-microsoft-com:office:smarttags" w:element="State">
                <w:r>
                  <w:t>Ark</w:t>
                </w:r>
              </w:smartTag>
            </w:smartTag>
            <w:r>
              <w:t xml:space="preserve"> Shell </w:t>
            </w:r>
            <w:r>
              <w:tab/>
            </w:r>
          </w:p>
        </w:tc>
        <w:tc>
          <w:tcPr>
            <w:tcW w:w="1920" w:type="dxa"/>
            <w:tcMar>
              <w:left w:w="85" w:type="dxa"/>
              <w:right w:w="113" w:type="dxa"/>
            </w:tcMar>
          </w:tcPr>
          <w:p>
            <w:pPr>
              <w:pStyle w:val="yTableNAm"/>
              <w:tabs>
                <w:tab w:val="clear" w:pos="567"/>
              </w:tabs>
              <w:spacing w:before="0"/>
            </w:pPr>
            <w:r>
              <w:t>20</w:t>
            </w:r>
          </w:p>
        </w:tc>
      </w:tr>
      <w:tr>
        <w:tc>
          <w:tcPr>
            <w:tcW w:w="5132" w:type="dxa"/>
            <w:tcMar>
              <w:left w:w="85" w:type="dxa"/>
              <w:right w:w="113" w:type="dxa"/>
            </w:tcMar>
          </w:tcPr>
          <w:p>
            <w:pPr>
              <w:pStyle w:val="yTableNAm"/>
              <w:tabs>
                <w:tab w:val="clear" w:pos="567"/>
                <w:tab w:val="right" w:leader="dot" w:pos="4927"/>
              </w:tabs>
              <w:spacing w:before="0"/>
              <w:ind w:left="198" w:hanging="198"/>
            </w:pPr>
            <w:r>
              <w:t xml:space="preserve">Cockle </w:t>
            </w:r>
            <w:r>
              <w:tab/>
            </w:r>
          </w:p>
        </w:tc>
        <w:tc>
          <w:tcPr>
            <w:tcW w:w="1920" w:type="dxa"/>
            <w:tcMar>
              <w:left w:w="85" w:type="dxa"/>
              <w:right w:w="113" w:type="dxa"/>
            </w:tcMar>
          </w:tcPr>
          <w:p>
            <w:pPr>
              <w:pStyle w:val="yTableNAm"/>
              <w:tabs>
                <w:tab w:val="clear" w:pos="567"/>
              </w:tabs>
              <w:spacing w:before="0"/>
            </w:pPr>
            <w:r>
              <w:t>20</w:t>
            </w:r>
          </w:p>
        </w:tc>
      </w:tr>
      <w:tr>
        <w:tc>
          <w:tcPr>
            <w:tcW w:w="5132" w:type="dxa"/>
            <w:tcMar>
              <w:left w:w="85" w:type="dxa"/>
              <w:right w:w="113" w:type="dxa"/>
            </w:tcMar>
          </w:tcPr>
          <w:p>
            <w:pPr>
              <w:pStyle w:val="yTableNAm"/>
              <w:tabs>
                <w:tab w:val="clear" w:pos="567"/>
                <w:tab w:val="right" w:leader="dot" w:pos="4927"/>
              </w:tabs>
              <w:spacing w:before="0"/>
              <w:ind w:left="198" w:hanging="198"/>
            </w:pPr>
            <w:r>
              <w:t xml:space="preserve">Cuttlefish, Octopus and Squid (combined) </w:t>
            </w:r>
            <w:r>
              <w:tab/>
            </w:r>
          </w:p>
        </w:tc>
        <w:tc>
          <w:tcPr>
            <w:tcW w:w="1920" w:type="dxa"/>
            <w:tcMar>
              <w:left w:w="85" w:type="dxa"/>
              <w:right w:w="113" w:type="dxa"/>
            </w:tcMar>
          </w:tcPr>
          <w:p>
            <w:pPr>
              <w:pStyle w:val="yTableNAm"/>
              <w:tabs>
                <w:tab w:val="clear" w:pos="567"/>
              </w:tabs>
              <w:spacing w:before="0"/>
            </w:pPr>
            <w:r>
              <w:t>15</w:t>
            </w:r>
          </w:p>
        </w:tc>
      </w:tr>
      <w:tr>
        <w:tc>
          <w:tcPr>
            <w:tcW w:w="5132" w:type="dxa"/>
            <w:tcMar>
              <w:left w:w="85" w:type="dxa"/>
              <w:right w:w="113" w:type="dxa"/>
            </w:tcMar>
          </w:tcPr>
          <w:p>
            <w:pPr>
              <w:pStyle w:val="yTableNAm"/>
              <w:tabs>
                <w:tab w:val="clear" w:pos="567"/>
                <w:tab w:val="right" w:leader="dot" w:pos="4927"/>
              </w:tabs>
              <w:spacing w:before="0"/>
              <w:ind w:left="198" w:hanging="198"/>
            </w:pPr>
            <w:r>
              <w:t xml:space="preserve">Mussel </w:t>
            </w:r>
            <w:r>
              <w:tab/>
            </w:r>
          </w:p>
        </w:tc>
        <w:tc>
          <w:tcPr>
            <w:tcW w:w="1920" w:type="dxa"/>
            <w:tcMar>
              <w:left w:w="85" w:type="dxa"/>
              <w:right w:w="113" w:type="dxa"/>
            </w:tcMar>
          </w:tcPr>
          <w:p>
            <w:pPr>
              <w:pStyle w:val="yTableNAm"/>
              <w:tabs>
                <w:tab w:val="clear" w:pos="567"/>
              </w:tabs>
              <w:spacing w:before="0"/>
            </w:pPr>
            <w:r>
              <w:t>9 L</w:t>
            </w:r>
          </w:p>
        </w:tc>
      </w:tr>
      <w:tr>
        <w:tc>
          <w:tcPr>
            <w:tcW w:w="5132" w:type="dxa"/>
            <w:tcMar>
              <w:left w:w="85" w:type="dxa"/>
              <w:right w:w="113" w:type="dxa"/>
            </w:tcMar>
          </w:tcPr>
          <w:p>
            <w:pPr>
              <w:pStyle w:val="yTableNAm"/>
              <w:tabs>
                <w:tab w:val="clear" w:pos="567"/>
                <w:tab w:val="right" w:leader="dot" w:pos="4927"/>
              </w:tabs>
              <w:spacing w:before="0"/>
              <w:ind w:left="198" w:hanging="198"/>
            </w:pPr>
            <w:r>
              <w:t xml:space="preserve">Oyster </w:t>
            </w:r>
            <w:r>
              <w:tab/>
            </w:r>
          </w:p>
        </w:tc>
        <w:tc>
          <w:tcPr>
            <w:tcW w:w="1920" w:type="dxa"/>
            <w:tcMar>
              <w:left w:w="85" w:type="dxa"/>
              <w:right w:w="113" w:type="dxa"/>
            </w:tcMar>
          </w:tcPr>
          <w:p>
            <w:pPr>
              <w:pStyle w:val="yTableNAm"/>
              <w:tabs>
                <w:tab w:val="clear" w:pos="567"/>
              </w:tabs>
              <w:spacing w:before="0"/>
            </w:pPr>
            <w:r>
              <w:t>20</w:t>
            </w:r>
          </w:p>
        </w:tc>
      </w:tr>
      <w:tr>
        <w:tc>
          <w:tcPr>
            <w:tcW w:w="5132" w:type="dxa"/>
            <w:tcMar>
              <w:left w:w="85" w:type="dxa"/>
              <w:right w:w="113" w:type="dxa"/>
            </w:tcMar>
          </w:tcPr>
          <w:p>
            <w:pPr>
              <w:pStyle w:val="yTableNAm"/>
              <w:tabs>
                <w:tab w:val="clear" w:pos="567"/>
                <w:tab w:val="right" w:leader="dot" w:pos="4927"/>
              </w:tabs>
              <w:spacing w:before="0"/>
              <w:ind w:left="198" w:hanging="198"/>
            </w:pPr>
            <w:r>
              <w:t xml:space="preserve">Razorfish </w:t>
            </w:r>
            <w:r>
              <w:tab/>
            </w:r>
          </w:p>
        </w:tc>
        <w:tc>
          <w:tcPr>
            <w:tcW w:w="1920" w:type="dxa"/>
            <w:tcMar>
              <w:left w:w="85" w:type="dxa"/>
              <w:right w:w="113" w:type="dxa"/>
            </w:tcMar>
          </w:tcPr>
          <w:p>
            <w:pPr>
              <w:pStyle w:val="yTableNAm"/>
              <w:tabs>
                <w:tab w:val="clear" w:pos="567"/>
              </w:tabs>
              <w:spacing w:before="0"/>
            </w:pPr>
            <w:r>
              <w:t>20</w:t>
            </w:r>
          </w:p>
        </w:tc>
      </w:tr>
      <w:tr>
        <w:tc>
          <w:tcPr>
            <w:tcW w:w="5132" w:type="dxa"/>
            <w:tcMar>
              <w:left w:w="85" w:type="dxa"/>
              <w:right w:w="113" w:type="dxa"/>
            </w:tcMar>
          </w:tcPr>
          <w:p>
            <w:pPr>
              <w:pStyle w:val="yTableNAm"/>
              <w:tabs>
                <w:tab w:val="clear" w:pos="567"/>
                <w:tab w:val="right" w:leader="dot" w:pos="4927"/>
              </w:tabs>
              <w:spacing w:before="0"/>
              <w:ind w:left="198" w:hanging="198"/>
            </w:pPr>
            <w:r>
              <w:t xml:space="preserve">Scallop </w:t>
            </w:r>
            <w:r>
              <w:tab/>
            </w:r>
          </w:p>
        </w:tc>
        <w:tc>
          <w:tcPr>
            <w:tcW w:w="1920" w:type="dxa"/>
            <w:tcMar>
              <w:left w:w="85" w:type="dxa"/>
              <w:right w:w="113" w:type="dxa"/>
            </w:tcMar>
          </w:tcPr>
          <w:p>
            <w:pPr>
              <w:pStyle w:val="yTableNAm"/>
              <w:tabs>
                <w:tab w:val="clear" w:pos="567"/>
              </w:tabs>
              <w:spacing w:before="0"/>
            </w:pPr>
            <w:r>
              <w:t>20</w:t>
            </w:r>
          </w:p>
        </w:tc>
      </w:tr>
      <w:tr>
        <w:tc>
          <w:tcPr>
            <w:tcW w:w="5132" w:type="dxa"/>
            <w:tcBorders>
              <w:bottom w:val="single" w:sz="8" w:space="0" w:color="auto"/>
            </w:tcBorders>
            <w:tcMar>
              <w:left w:w="85" w:type="dxa"/>
              <w:right w:w="113" w:type="dxa"/>
            </w:tcMar>
          </w:tcPr>
          <w:p>
            <w:pPr>
              <w:pStyle w:val="yTableNAm"/>
              <w:tabs>
                <w:tab w:val="clear" w:pos="567"/>
                <w:tab w:val="right" w:leader="dot" w:pos="4927"/>
              </w:tabs>
              <w:spacing w:before="0"/>
              <w:ind w:left="198" w:hanging="198"/>
            </w:pPr>
            <w:r>
              <w:t xml:space="preserve">All other species of edible molluscs not specifically mentioned in this Division </w:t>
            </w:r>
            <w:r>
              <w:tab/>
            </w:r>
          </w:p>
        </w:tc>
        <w:tc>
          <w:tcPr>
            <w:tcW w:w="1920" w:type="dxa"/>
            <w:tcBorders>
              <w:bottom w:val="single" w:sz="8" w:space="0" w:color="auto"/>
            </w:tcBorders>
            <w:tcMar>
              <w:left w:w="85" w:type="dxa"/>
              <w:right w:w="113" w:type="dxa"/>
            </w:tcMar>
          </w:tcPr>
          <w:p>
            <w:pPr>
              <w:pStyle w:val="yTableNAm"/>
              <w:tabs>
                <w:tab w:val="clear" w:pos="567"/>
              </w:tabs>
              <w:spacing w:before="0"/>
            </w:pPr>
            <w:r>
              <w:br/>
              <w:t>2 L</w:t>
            </w:r>
          </w:p>
        </w:tc>
      </w:tr>
    </w:tbl>
    <w:p>
      <w:pPr>
        <w:pStyle w:val="yFootnotesection"/>
      </w:pPr>
      <w:r>
        <w:tab/>
        <w:t>[Division 5 inserted in Gazette 22 Dec 2005 p. 6237.]</w:t>
      </w:r>
    </w:p>
    <w:p>
      <w:pPr>
        <w:pStyle w:val="yHeading3"/>
      </w:pPr>
      <w:bookmarkStart w:id="8903" w:name="_Toc189988202"/>
      <w:bookmarkStart w:id="8904" w:name="_Toc192041785"/>
      <w:bookmarkStart w:id="8905" w:name="_Toc199571019"/>
      <w:bookmarkStart w:id="8906" w:name="_Toc199739018"/>
      <w:bookmarkStart w:id="8907" w:name="_Toc199815119"/>
      <w:bookmarkStart w:id="8908" w:name="_Toc215040926"/>
      <w:bookmarkStart w:id="8909" w:name="_Toc215041371"/>
      <w:bookmarkStart w:id="8910" w:name="_Toc222129579"/>
      <w:bookmarkStart w:id="8911" w:name="_Toc222223284"/>
      <w:bookmarkStart w:id="8912" w:name="_Toc225914536"/>
      <w:bookmarkStart w:id="8913" w:name="_Toc231282581"/>
      <w:bookmarkStart w:id="8914" w:name="_Toc231283025"/>
      <w:bookmarkStart w:id="8915" w:name="_Toc234899615"/>
      <w:bookmarkStart w:id="8916" w:name="_Toc236632897"/>
      <w:bookmarkStart w:id="8917" w:name="_Toc236720510"/>
      <w:bookmarkStart w:id="8918" w:name="_Toc237764709"/>
      <w:bookmarkStart w:id="8919" w:name="_Toc238356333"/>
      <w:bookmarkStart w:id="8920" w:name="_Toc238369038"/>
      <w:bookmarkStart w:id="8921" w:name="_Toc238375991"/>
      <w:bookmarkStart w:id="8922" w:name="_Toc240339315"/>
      <w:bookmarkStart w:id="8923" w:name="_Toc241993821"/>
      <w:bookmarkStart w:id="8924" w:name="_Toc243192964"/>
      <w:bookmarkStart w:id="8925" w:name="_Toc243295666"/>
      <w:bookmarkStart w:id="8926" w:name="_Toc245113239"/>
      <w:bookmarkStart w:id="8927" w:name="_Toc245198401"/>
      <w:bookmarkStart w:id="8928" w:name="_Toc245198850"/>
      <w:bookmarkStart w:id="8929" w:name="_Toc245199299"/>
      <w:bookmarkStart w:id="8930" w:name="_Toc248122331"/>
      <w:bookmarkStart w:id="8931" w:name="_Toc248122782"/>
      <w:bookmarkStart w:id="8932" w:name="_Toc253670769"/>
      <w:bookmarkStart w:id="8933" w:name="_Toc253671219"/>
      <w:bookmarkStart w:id="8934" w:name="_Toc254942993"/>
      <w:bookmarkStart w:id="8935" w:name="_Toc254943446"/>
      <w:bookmarkStart w:id="8936" w:name="_Toc255476038"/>
      <w:bookmarkStart w:id="8937" w:name="_Toc256432359"/>
      <w:bookmarkStart w:id="8938" w:name="_Toc257720696"/>
      <w:bookmarkStart w:id="8939" w:name="_Toc257722378"/>
      <w:bookmarkStart w:id="8940" w:name="_Toc258336054"/>
      <w:bookmarkStart w:id="8941" w:name="_Toc260406496"/>
      <w:bookmarkStart w:id="8942" w:name="_Toc261271682"/>
      <w:bookmarkStart w:id="8943" w:name="_Toc262808364"/>
      <w:bookmarkStart w:id="8944" w:name="_Toc267572757"/>
      <w:bookmarkStart w:id="8945" w:name="_Toc270684506"/>
      <w:bookmarkStart w:id="8946" w:name="_Toc274214683"/>
      <w:bookmarkStart w:id="8947" w:name="_Toc274215132"/>
      <w:bookmarkStart w:id="8948" w:name="_Toc278976463"/>
      <w:bookmarkStart w:id="8949" w:name="_Toc286760784"/>
      <w:bookmarkStart w:id="8950" w:name="_Toc289081129"/>
      <w:bookmarkStart w:id="8951" w:name="_Toc290284323"/>
      <w:bookmarkStart w:id="8952" w:name="_Toc290643144"/>
      <w:bookmarkStart w:id="8953" w:name="_Toc290643593"/>
      <w:bookmarkStart w:id="8954" w:name="_Toc290644046"/>
      <w:bookmarkStart w:id="8955" w:name="_Toc294701863"/>
      <w:bookmarkStart w:id="8956" w:name="_Toc295200271"/>
      <w:bookmarkStart w:id="8957" w:name="_Toc296954712"/>
      <w:bookmarkStart w:id="8958" w:name="_Toc297276347"/>
      <w:bookmarkStart w:id="8959" w:name="_Toc297276799"/>
      <w:bookmarkStart w:id="8960" w:name="_Toc297277249"/>
      <w:bookmarkStart w:id="8961" w:name="_Toc297726618"/>
      <w:bookmarkStart w:id="8962" w:name="_Toc299980404"/>
      <w:bookmarkStart w:id="8963" w:name="_Toc300235030"/>
      <w:bookmarkStart w:id="8964" w:name="_Toc301961533"/>
      <w:bookmarkStart w:id="8965" w:name="_Toc301967103"/>
      <w:bookmarkStart w:id="8966" w:name="_Toc303253312"/>
      <w:bookmarkStart w:id="8967" w:name="_Toc303257476"/>
      <w:bookmarkStart w:id="8968" w:name="_Toc307993109"/>
      <w:bookmarkStart w:id="8969" w:name="_Toc309030142"/>
      <w:bookmarkStart w:id="8970" w:name="_Toc309304365"/>
      <w:bookmarkStart w:id="8971" w:name="_Toc309309642"/>
      <w:r>
        <w:t>Division 6 — Miscellaneous</w:t>
      </w:r>
      <w:bookmarkEnd w:id="8903"/>
      <w:bookmarkEnd w:id="8904"/>
      <w:bookmarkEnd w:id="8905"/>
      <w:bookmarkEnd w:id="8906"/>
      <w:bookmarkEnd w:id="8907"/>
      <w:bookmarkEnd w:id="8908"/>
      <w:bookmarkEnd w:id="8909"/>
      <w:bookmarkEnd w:id="8910"/>
      <w:bookmarkEnd w:id="8911"/>
      <w:bookmarkEnd w:id="8912"/>
      <w:bookmarkEnd w:id="8913"/>
      <w:bookmarkEnd w:id="8914"/>
      <w:bookmarkEnd w:id="8915"/>
      <w:bookmarkEnd w:id="8916"/>
      <w:bookmarkEnd w:id="8917"/>
      <w:bookmarkEnd w:id="8918"/>
      <w:bookmarkEnd w:id="8919"/>
      <w:bookmarkEnd w:id="8920"/>
      <w:bookmarkEnd w:id="8921"/>
      <w:bookmarkEnd w:id="8922"/>
      <w:bookmarkEnd w:id="8923"/>
      <w:bookmarkEnd w:id="8924"/>
      <w:bookmarkEnd w:id="8925"/>
      <w:bookmarkEnd w:id="8926"/>
      <w:bookmarkEnd w:id="8927"/>
      <w:bookmarkEnd w:id="8928"/>
      <w:bookmarkEnd w:id="8929"/>
      <w:bookmarkEnd w:id="8930"/>
      <w:bookmarkEnd w:id="8931"/>
      <w:bookmarkEnd w:id="8932"/>
      <w:bookmarkEnd w:id="8933"/>
      <w:bookmarkEnd w:id="8934"/>
      <w:bookmarkEnd w:id="8935"/>
      <w:bookmarkEnd w:id="8936"/>
      <w:bookmarkEnd w:id="8937"/>
      <w:bookmarkEnd w:id="8938"/>
      <w:bookmarkEnd w:id="8939"/>
      <w:bookmarkEnd w:id="8940"/>
      <w:bookmarkEnd w:id="8941"/>
      <w:bookmarkEnd w:id="8942"/>
      <w:bookmarkEnd w:id="8943"/>
      <w:bookmarkEnd w:id="8944"/>
      <w:bookmarkEnd w:id="8945"/>
      <w:bookmarkEnd w:id="8946"/>
      <w:bookmarkEnd w:id="8947"/>
      <w:bookmarkEnd w:id="8948"/>
      <w:bookmarkEnd w:id="8949"/>
      <w:bookmarkEnd w:id="8950"/>
      <w:bookmarkEnd w:id="8951"/>
      <w:bookmarkEnd w:id="8952"/>
      <w:bookmarkEnd w:id="8953"/>
      <w:bookmarkEnd w:id="8954"/>
      <w:bookmarkEnd w:id="8955"/>
      <w:bookmarkEnd w:id="8956"/>
      <w:bookmarkEnd w:id="8957"/>
      <w:bookmarkEnd w:id="8958"/>
      <w:bookmarkEnd w:id="8959"/>
      <w:bookmarkEnd w:id="8960"/>
      <w:bookmarkEnd w:id="8961"/>
      <w:bookmarkEnd w:id="8962"/>
      <w:bookmarkEnd w:id="8963"/>
      <w:bookmarkEnd w:id="8964"/>
      <w:bookmarkEnd w:id="8965"/>
      <w:bookmarkEnd w:id="8966"/>
      <w:bookmarkEnd w:id="8967"/>
      <w:bookmarkEnd w:id="8968"/>
      <w:bookmarkEnd w:id="8969"/>
      <w:bookmarkEnd w:id="8970"/>
      <w:bookmarkEnd w:id="8971"/>
    </w:p>
    <w:p>
      <w:pPr>
        <w:pStyle w:val="yFootnoteheading"/>
        <w:keepNext/>
        <w:spacing w:after="120"/>
      </w:pPr>
      <w:r>
        <w:tab/>
        <w:t>[Heading inserted in Gazette 22 Dec 2005 p. 6238.]</w:t>
      </w:r>
    </w:p>
    <w:tbl>
      <w:tblPr>
        <w:tblW w:w="0" w:type="auto"/>
        <w:tblInd w:w="113" w:type="dxa"/>
        <w:tblLayout w:type="fixed"/>
        <w:tblCellMar>
          <w:left w:w="113" w:type="dxa"/>
          <w:right w:w="113" w:type="dxa"/>
        </w:tblCellMar>
        <w:tblLook w:val="0000" w:firstRow="0" w:lastRow="0" w:firstColumn="0" w:lastColumn="0" w:noHBand="0" w:noVBand="0"/>
      </w:tblPr>
      <w:tblGrid>
        <w:gridCol w:w="5132"/>
        <w:gridCol w:w="1948"/>
      </w:tblGrid>
      <w:tr>
        <w:trPr>
          <w:tblHeader/>
        </w:trPr>
        <w:tc>
          <w:tcPr>
            <w:tcW w:w="5132" w:type="dxa"/>
            <w:tcBorders>
              <w:top w:val="single" w:sz="8" w:space="0" w:color="auto"/>
              <w:bottom w:val="single" w:sz="8" w:space="0" w:color="auto"/>
            </w:tcBorders>
            <w:tcMar>
              <w:left w:w="85" w:type="dxa"/>
              <w:right w:w="113" w:type="dxa"/>
            </w:tcMar>
            <w:vAlign w:val="center"/>
          </w:tcPr>
          <w:p>
            <w:pPr>
              <w:pStyle w:val="yTableNAm"/>
              <w:tabs>
                <w:tab w:val="clear" w:pos="567"/>
                <w:tab w:val="left" w:pos="197"/>
                <w:tab w:val="left" w:pos="677"/>
                <w:tab w:val="left" w:leader="dot" w:pos="3796"/>
              </w:tabs>
              <w:spacing w:before="0"/>
              <w:ind w:left="677" w:hanging="677"/>
              <w:rPr>
                <w:b/>
                <w:bCs/>
              </w:rPr>
            </w:pPr>
            <w:r>
              <w:rPr>
                <w:b/>
                <w:bCs/>
              </w:rPr>
              <w:t>Fish</w:t>
            </w:r>
          </w:p>
        </w:tc>
        <w:tc>
          <w:tcPr>
            <w:tcW w:w="1948"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rPr>
                <w:b/>
                <w:bCs/>
              </w:rPr>
            </w:pPr>
            <w:r>
              <w:rPr>
                <w:b/>
                <w:bCs/>
              </w:rPr>
              <w:t>Species, or group of species, bag limit for one day</w:t>
            </w:r>
          </w:p>
        </w:tc>
      </w:tr>
      <w:tr>
        <w:tc>
          <w:tcPr>
            <w:tcW w:w="5132" w:type="dxa"/>
            <w:tcBorders>
              <w:top w:val="single" w:sz="8" w:space="0" w:color="auto"/>
              <w:bottom w:val="single" w:sz="8" w:space="0" w:color="auto"/>
            </w:tcBorders>
            <w:tcMar>
              <w:left w:w="85" w:type="dxa"/>
              <w:right w:w="113" w:type="dxa"/>
            </w:tcMar>
          </w:tcPr>
          <w:p>
            <w:pPr>
              <w:pStyle w:val="yTableNAm"/>
              <w:tabs>
                <w:tab w:val="clear" w:pos="567"/>
                <w:tab w:val="right" w:leader="dot" w:pos="4927"/>
              </w:tabs>
              <w:spacing w:before="0"/>
              <w:ind w:left="198" w:hanging="198"/>
            </w:pPr>
            <w:r>
              <w:t xml:space="preserve">Sea Urchin </w:t>
            </w:r>
            <w:r>
              <w:tab/>
            </w:r>
          </w:p>
        </w:tc>
        <w:tc>
          <w:tcPr>
            <w:tcW w:w="1948" w:type="dxa"/>
            <w:tcBorders>
              <w:top w:val="single" w:sz="8" w:space="0" w:color="auto"/>
              <w:bottom w:val="single" w:sz="8" w:space="0" w:color="auto"/>
            </w:tcBorders>
            <w:tcMar>
              <w:left w:w="85" w:type="dxa"/>
              <w:right w:w="113" w:type="dxa"/>
            </w:tcMar>
          </w:tcPr>
          <w:p>
            <w:pPr>
              <w:pStyle w:val="yTableNAm"/>
              <w:tabs>
                <w:tab w:val="clear" w:pos="567"/>
              </w:tabs>
              <w:spacing w:before="0"/>
            </w:pPr>
            <w:r>
              <w:t>20</w:t>
            </w:r>
          </w:p>
        </w:tc>
      </w:tr>
    </w:tbl>
    <w:p>
      <w:pPr>
        <w:pStyle w:val="yFootnotesection"/>
      </w:pPr>
      <w:r>
        <w:tab/>
        <w:t>[Division 6 inserted in Gazette 22 Dec 2005 p. 6238.]</w:t>
      </w:r>
    </w:p>
    <w:p>
      <w:pPr>
        <w:pStyle w:val="yHeading2"/>
        <w:pageBreakBefore/>
        <w:spacing w:before="120"/>
        <w:outlineLvl w:val="9"/>
      </w:pPr>
      <w:bookmarkStart w:id="8972" w:name="_Toc189988203"/>
      <w:bookmarkStart w:id="8973" w:name="_Toc192041786"/>
      <w:bookmarkStart w:id="8974" w:name="_Toc199571020"/>
      <w:bookmarkStart w:id="8975" w:name="_Toc199739019"/>
      <w:bookmarkStart w:id="8976" w:name="_Toc199815120"/>
      <w:bookmarkStart w:id="8977" w:name="_Toc215040927"/>
      <w:bookmarkStart w:id="8978" w:name="_Toc215041372"/>
      <w:bookmarkStart w:id="8979" w:name="_Toc222129580"/>
      <w:bookmarkStart w:id="8980" w:name="_Toc222223285"/>
      <w:bookmarkStart w:id="8981" w:name="_Toc225914537"/>
      <w:bookmarkStart w:id="8982" w:name="_Toc231282582"/>
      <w:bookmarkStart w:id="8983" w:name="_Toc231283026"/>
      <w:bookmarkStart w:id="8984" w:name="_Toc234899616"/>
      <w:bookmarkStart w:id="8985" w:name="_Toc236632898"/>
      <w:bookmarkStart w:id="8986" w:name="_Toc236720511"/>
      <w:bookmarkStart w:id="8987" w:name="_Toc237764710"/>
      <w:bookmarkStart w:id="8988" w:name="_Toc238356334"/>
      <w:bookmarkStart w:id="8989" w:name="_Toc238369039"/>
      <w:bookmarkStart w:id="8990" w:name="_Toc238375992"/>
      <w:bookmarkStart w:id="8991" w:name="_Toc240339316"/>
      <w:bookmarkStart w:id="8992" w:name="_Toc241993822"/>
      <w:bookmarkStart w:id="8993" w:name="_Toc243192965"/>
      <w:bookmarkStart w:id="8994" w:name="_Toc243295667"/>
      <w:bookmarkStart w:id="8995" w:name="_Toc245113240"/>
      <w:bookmarkStart w:id="8996" w:name="_Toc245198402"/>
      <w:bookmarkStart w:id="8997" w:name="_Toc245198851"/>
      <w:bookmarkStart w:id="8998" w:name="_Toc245199300"/>
      <w:bookmarkStart w:id="8999" w:name="_Toc248122332"/>
      <w:bookmarkStart w:id="9000" w:name="_Toc248122783"/>
      <w:bookmarkStart w:id="9001" w:name="_Toc253670770"/>
      <w:bookmarkStart w:id="9002" w:name="_Toc253671220"/>
      <w:bookmarkStart w:id="9003" w:name="_Toc254942994"/>
      <w:bookmarkStart w:id="9004" w:name="_Toc254943447"/>
      <w:bookmarkStart w:id="9005" w:name="_Toc255476039"/>
      <w:bookmarkStart w:id="9006" w:name="_Toc256432360"/>
      <w:bookmarkStart w:id="9007" w:name="_Toc257720697"/>
      <w:bookmarkStart w:id="9008" w:name="_Toc257722379"/>
      <w:bookmarkStart w:id="9009" w:name="_Toc258336055"/>
      <w:bookmarkStart w:id="9010" w:name="_Toc260406497"/>
      <w:bookmarkStart w:id="9011" w:name="_Toc261271683"/>
      <w:bookmarkStart w:id="9012" w:name="_Toc262808365"/>
      <w:bookmarkStart w:id="9013" w:name="_Toc267572758"/>
      <w:bookmarkStart w:id="9014" w:name="_Toc270684507"/>
      <w:bookmarkStart w:id="9015" w:name="_Toc274214684"/>
      <w:bookmarkStart w:id="9016" w:name="_Toc274215133"/>
      <w:bookmarkStart w:id="9017" w:name="_Toc278976464"/>
      <w:bookmarkStart w:id="9018" w:name="_Toc286760785"/>
      <w:bookmarkStart w:id="9019" w:name="_Toc289081130"/>
      <w:bookmarkStart w:id="9020" w:name="_Toc290284324"/>
      <w:bookmarkStart w:id="9021" w:name="_Toc290643145"/>
      <w:bookmarkStart w:id="9022" w:name="_Toc290643594"/>
      <w:bookmarkStart w:id="9023" w:name="_Toc290644047"/>
      <w:bookmarkStart w:id="9024" w:name="_Toc294701864"/>
      <w:bookmarkStart w:id="9025" w:name="_Toc295200272"/>
      <w:bookmarkStart w:id="9026" w:name="_Toc296954713"/>
      <w:bookmarkStart w:id="9027" w:name="_Toc297276348"/>
      <w:bookmarkStart w:id="9028" w:name="_Toc297276800"/>
      <w:bookmarkStart w:id="9029" w:name="_Toc297277250"/>
      <w:bookmarkStart w:id="9030" w:name="_Toc297726619"/>
      <w:bookmarkStart w:id="9031" w:name="_Toc299980405"/>
      <w:bookmarkStart w:id="9032" w:name="_Toc300235031"/>
      <w:bookmarkStart w:id="9033" w:name="_Toc301961534"/>
      <w:bookmarkStart w:id="9034" w:name="_Toc301967104"/>
      <w:bookmarkStart w:id="9035" w:name="_Toc303253313"/>
      <w:bookmarkStart w:id="9036" w:name="_Toc303257477"/>
      <w:bookmarkStart w:id="9037" w:name="_Toc307993110"/>
      <w:bookmarkStart w:id="9038" w:name="_Toc309030143"/>
      <w:bookmarkStart w:id="9039" w:name="_Toc309304366"/>
      <w:bookmarkStart w:id="9040" w:name="_Toc309309643"/>
      <w:r>
        <w:rPr>
          <w:rStyle w:val="CharSDivNo"/>
          <w:sz w:val="28"/>
        </w:rPr>
        <w:t>Part 5</w:t>
      </w:r>
      <w:r>
        <w:rPr>
          <w:b w:val="0"/>
        </w:rPr>
        <w:t> </w:t>
      </w:r>
      <w:r>
        <w:t>—</w:t>
      </w:r>
      <w:r>
        <w:rPr>
          <w:b w:val="0"/>
        </w:rPr>
        <w:t> </w:t>
      </w:r>
      <w:r>
        <w:rPr>
          <w:rStyle w:val="CharSDivText"/>
          <w:sz w:val="28"/>
        </w:rPr>
        <w:t>Bag limits for persons on West Coast Purse Seine Managed Fishery Boat</w:t>
      </w:r>
      <w:bookmarkEnd w:id="8972"/>
      <w:bookmarkEnd w:id="8973"/>
      <w:bookmarkEnd w:id="8974"/>
      <w:bookmarkEnd w:id="8975"/>
      <w:bookmarkEnd w:id="8976"/>
      <w:bookmarkEnd w:id="8977"/>
      <w:bookmarkEnd w:id="8978"/>
      <w:bookmarkEnd w:id="8979"/>
      <w:bookmarkEnd w:id="8980"/>
      <w:bookmarkEnd w:id="8981"/>
      <w:bookmarkEnd w:id="8982"/>
      <w:bookmarkEnd w:id="8983"/>
      <w:bookmarkEnd w:id="8984"/>
      <w:bookmarkEnd w:id="8985"/>
      <w:bookmarkEnd w:id="8986"/>
      <w:bookmarkEnd w:id="8987"/>
      <w:bookmarkEnd w:id="8988"/>
      <w:bookmarkEnd w:id="8989"/>
      <w:bookmarkEnd w:id="8990"/>
      <w:bookmarkEnd w:id="8991"/>
      <w:bookmarkEnd w:id="8992"/>
      <w:bookmarkEnd w:id="8993"/>
      <w:bookmarkEnd w:id="8994"/>
      <w:bookmarkEnd w:id="8995"/>
      <w:bookmarkEnd w:id="8996"/>
      <w:bookmarkEnd w:id="8997"/>
      <w:bookmarkEnd w:id="8998"/>
      <w:bookmarkEnd w:id="8999"/>
      <w:bookmarkEnd w:id="9000"/>
      <w:bookmarkEnd w:id="9001"/>
      <w:bookmarkEnd w:id="9002"/>
      <w:bookmarkEnd w:id="9003"/>
      <w:bookmarkEnd w:id="9004"/>
      <w:bookmarkEnd w:id="9005"/>
      <w:bookmarkEnd w:id="9006"/>
      <w:bookmarkEnd w:id="9007"/>
      <w:bookmarkEnd w:id="9008"/>
      <w:bookmarkEnd w:id="9009"/>
      <w:bookmarkEnd w:id="9010"/>
      <w:bookmarkEnd w:id="9011"/>
      <w:bookmarkEnd w:id="9012"/>
      <w:bookmarkEnd w:id="9013"/>
      <w:bookmarkEnd w:id="9014"/>
      <w:bookmarkEnd w:id="9015"/>
      <w:bookmarkEnd w:id="9016"/>
      <w:bookmarkEnd w:id="9017"/>
      <w:bookmarkEnd w:id="9018"/>
      <w:bookmarkEnd w:id="9019"/>
      <w:bookmarkEnd w:id="9020"/>
      <w:bookmarkEnd w:id="9021"/>
      <w:bookmarkEnd w:id="9022"/>
      <w:bookmarkEnd w:id="9023"/>
      <w:bookmarkEnd w:id="9024"/>
      <w:bookmarkEnd w:id="9025"/>
      <w:bookmarkEnd w:id="9026"/>
      <w:bookmarkEnd w:id="9027"/>
      <w:bookmarkEnd w:id="9028"/>
      <w:bookmarkEnd w:id="9029"/>
      <w:bookmarkEnd w:id="9030"/>
      <w:bookmarkEnd w:id="9031"/>
      <w:bookmarkEnd w:id="9032"/>
      <w:bookmarkEnd w:id="9033"/>
      <w:bookmarkEnd w:id="9034"/>
      <w:bookmarkEnd w:id="9035"/>
      <w:bookmarkEnd w:id="9036"/>
      <w:bookmarkEnd w:id="9037"/>
      <w:bookmarkEnd w:id="9038"/>
      <w:bookmarkEnd w:id="9039"/>
      <w:bookmarkEnd w:id="9040"/>
    </w:p>
    <w:p>
      <w:pPr>
        <w:pStyle w:val="yShoulderClause"/>
        <w:spacing w:before="0"/>
      </w:pPr>
      <w:r>
        <w:t>[reg. 64ZE]</w:t>
      </w:r>
    </w:p>
    <w:p>
      <w:pPr>
        <w:pStyle w:val="yFootnoteheading"/>
        <w:keepNext/>
        <w:spacing w:before="40" w:after="120"/>
      </w:pPr>
      <w:r>
        <w:tab/>
        <w:t>[Heading inserted in Gazette 22 Dec 2005 p. 6238.]</w:t>
      </w:r>
    </w:p>
    <w:tbl>
      <w:tblPr>
        <w:tblW w:w="0" w:type="auto"/>
        <w:tblInd w:w="113" w:type="dxa"/>
        <w:tblLayout w:type="fixed"/>
        <w:tblCellMar>
          <w:left w:w="113" w:type="dxa"/>
          <w:right w:w="113" w:type="dxa"/>
        </w:tblCellMar>
        <w:tblLook w:val="0000" w:firstRow="0" w:lastRow="0" w:firstColumn="0" w:lastColumn="0" w:noHBand="0" w:noVBand="0"/>
      </w:tblPr>
      <w:tblGrid>
        <w:gridCol w:w="5132"/>
        <w:gridCol w:w="1956"/>
      </w:tblGrid>
      <w:tr>
        <w:trPr>
          <w:tblHeader/>
        </w:trPr>
        <w:tc>
          <w:tcPr>
            <w:tcW w:w="5132" w:type="dxa"/>
            <w:tcBorders>
              <w:top w:val="single" w:sz="8" w:space="0" w:color="auto"/>
              <w:bottom w:val="single" w:sz="8" w:space="0" w:color="auto"/>
            </w:tcBorders>
            <w:tcMar>
              <w:left w:w="85" w:type="dxa"/>
            </w:tcMar>
            <w:vAlign w:val="center"/>
          </w:tcPr>
          <w:p>
            <w:pPr>
              <w:pStyle w:val="yTableNAm"/>
              <w:tabs>
                <w:tab w:val="clear" w:pos="567"/>
                <w:tab w:val="left" w:leader="dot" w:pos="3797"/>
              </w:tabs>
              <w:spacing w:before="0"/>
              <w:ind w:left="197" w:hanging="197"/>
              <w:rPr>
                <w:b/>
                <w:bCs/>
              </w:rPr>
            </w:pPr>
            <w:r>
              <w:rPr>
                <w:b/>
                <w:bCs/>
              </w:rPr>
              <w:t>Fish</w:t>
            </w:r>
          </w:p>
        </w:tc>
        <w:tc>
          <w:tcPr>
            <w:tcW w:w="1956" w:type="dxa"/>
            <w:tcBorders>
              <w:top w:val="single" w:sz="8" w:space="0" w:color="auto"/>
              <w:bottom w:val="single" w:sz="8" w:space="0" w:color="auto"/>
            </w:tcBorders>
            <w:tcMar>
              <w:left w:w="85" w:type="dxa"/>
            </w:tcMar>
            <w:vAlign w:val="center"/>
          </w:tcPr>
          <w:p>
            <w:pPr>
              <w:pStyle w:val="yTableNAm"/>
              <w:tabs>
                <w:tab w:val="clear" w:pos="567"/>
                <w:tab w:val="left" w:leader="dot" w:pos="3797"/>
              </w:tabs>
              <w:spacing w:before="0"/>
              <w:ind w:left="197" w:hanging="197"/>
              <w:rPr>
                <w:b/>
                <w:bCs/>
              </w:rPr>
            </w:pPr>
            <w:r>
              <w:rPr>
                <w:b/>
                <w:bCs/>
              </w:rPr>
              <w:t>Bag limit</w:t>
            </w:r>
          </w:p>
          <w:p>
            <w:pPr>
              <w:pStyle w:val="yTableNAm"/>
              <w:tabs>
                <w:tab w:val="clear" w:pos="567"/>
                <w:tab w:val="left" w:leader="dot" w:pos="3797"/>
              </w:tabs>
              <w:spacing w:before="0"/>
              <w:ind w:left="197" w:hanging="197"/>
              <w:rPr>
                <w:b/>
                <w:bCs/>
              </w:rPr>
            </w:pPr>
            <w:r>
              <w:rPr>
                <w:b/>
                <w:bCs/>
              </w:rPr>
              <w:t>for one day</w:t>
            </w:r>
          </w:p>
        </w:tc>
      </w:tr>
      <w:tr>
        <w:tc>
          <w:tcPr>
            <w:tcW w:w="5132" w:type="dxa"/>
            <w:tcMar>
              <w:left w:w="85" w:type="dxa"/>
            </w:tcMar>
          </w:tcPr>
          <w:p>
            <w:pPr>
              <w:pStyle w:val="yTableNAm"/>
              <w:tabs>
                <w:tab w:val="clear" w:pos="567"/>
                <w:tab w:val="right" w:leader="dot" w:pos="4927"/>
              </w:tabs>
              <w:spacing w:before="0"/>
              <w:ind w:left="197" w:hanging="197"/>
            </w:pPr>
            <w:r>
              <w:t xml:space="preserve">Mulloway </w:t>
            </w:r>
            <w:r>
              <w:tab/>
            </w:r>
          </w:p>
        </w:tc>
        <w:tc>
          <w:tcPr>
            <w:tcW w:w="1956" w:type="dxa"/>
            <w:tcMar>
              <w:left w:w="85" w:type="dxa"/>
            </w:tcMar>
          </w:tcPr>
          <w:p>
            <w:pPr>
              <w:pStyle w:val="yTableNAm"/>
              <w:tabs>
                <w:tab w:val="clear" w:pos="567"/>
                <w:tab w:val="left" w:leader="dot" w:pos="3797"/>
              </w:tabs>
              <w:spacing w:before="0"/>
              <w:ind w:left="-22"/>
            </w:pPr>
            <w:r>
              <w:t>2</w:t>
            </w:r>
          </w:p>
        </w:tc>
      </w:tr>
      <w:tr>
        <w:tc>
          <w:tcPr>
            <w:tcW w:w="5132" w:type="dxa"/>
            <w:tcBorders>
              <w:bottom w:val="single" w:sz="8" w:space="0" w:color="auto"/>
            </w:tcBorders>
            <w:tcMar>
              <w:left w:w="85" w:type="dxa"/>
            </w:tcMar>
          </w:tcPr>
          <w:p>
            <w:pPr>
              <w:pStyle w:val="yTableNAm"/>
              <w:tabs>
                <w:tab w:val="clear" w:pos="567"/>
                <w:tab w:val="right" w:leader="dot" w:pos="4927"/>
              </w:tabs>
              <w:spacing w:before="0"/>
              <w:ind w:left="197" w:hanging="197"/>
            </w:pPr>
            <w:r>
              <w:t xml:space="preserve">Snapper, Pink </w:t>
            </w:r>
            <w:r>
              <w:tab/>
            </w:r>
          </w:p>
        </w:tc>
        <w:tc>
          <w:tcPr>
            <w:tcW w:w="1956" w:type="dxa"/>
            <w:tcBorders>
              <w:bottom w:val="single" w:sz="8" w:space="0" w:color="auto"/>
            </w:tcBorders>
            <w:tcMar>
              <w:left w:w="85" w:type="dxa"/>
            </w:tcMar>
          </w:tcPr>
          <w:p>
            <w:pPr>
              <w:pStyle w:val="yTableNAm"/>
              <w:tabs>
                <w:tab w:val="clear" w:pos="567"/>
                <w:tab w:val="left" w:leader="dot" w:pos="3797"/>
              </w:tabs>
              <w:spacing w:before="0"/>
              <w:ind w:left="-22"/>
            </w:pPr>
            <w:r>
              <w:t>2</w:t>
            </w:r>
          </w:p>
        </w:tc>
      </w:tr>
    </w:tbl>
    <w:p>
      <w:pPr>
        <w:pStyle w:val="yFootnotesection"/>
      </w:pPr>
      <w:r>
        <w:tab/>
        <w:t>[Part 5, formerly Part 4, amended in Gazette 1 Oct 2003 p. 4341; 22 Dec 2005 p. 6238.]</w:t>
      </w:r>
    </w:p>
    <w:p>
      <w:pPr>
        <w:pStyle w:val="yEdnotedivision"/>
        <w:outlineLvl w:val="9"/>
      </w:pPr>
      <w:r>
        <w:t>[Part 6 deleted in Gazette 1 Oct 2003 p. 4341.]</w:t>
      </w:r>
    </w:p>
    <w:p>
      <w:pPr>
        <w:keepLines/>
        <w:tabs>
          <w:tab w:val="left" w:pos="1292"/>
          <w:tab w:val="left" w:pos="1666"/>
          <w:tab w:val="right" w:leader="dot" w:pos="2270"/>
          <w:tab w:val="left" w:leader="dot" w:pos="3685"/>
          <w:tab w:val="right" w:leader="dot" w:pos="4876"/>
          <w:tab w:val="left" w:leader="dot" w:pos="4976"/>
          <w:tab w:val="left" w:leader="dot" w:pos="5456"/>
          <w:tab w:val="right" w:leader="dot" w:pos="5597"/>
          <w:tab w:val="right" w:leader="dot" w:pos="6237"/>
        </w:tabs>
        <w:spacing w:after="60"/>
        <w:ind w:left="1666" w:right="85" w:hanging="1666"/>
        <w:sectPr>
          <w:headerReference w:type="even" r:id="rId27"/>
          <w:headerReference w:type="default" r:id="rId28"/>
          <w:headerReference w:type="first" r:id="rId29"/>
          <w:pgSz w:w="11906" w:h="16838" w:code="9"/>
          <w:pgMar w:top="2381" w:right="2409" w:bottom="3543" w:left="2409" w:header="720" w:footer="3380" w:gutter="0"/>
          <w:cols w:space="720"/>
          <w:noEndnote/>
          <w:docGrid w:linePitch="326"/>
        </w:sectPr>
      </w:pPr>
    </w:p>
    <w:p>
      <w:pPr>
        <w:pStyle w:val="yScheduleHeading"/>
      </w:pPr>
      <w:bookmarkStart w:id="9041" w:name="_Toc243295668"/>
      <w:bookmarkStart w:id="9042" w:name="_Toc245113241"/>
      <w:bookmarkStart w:id="9043" w:name="_Toc245198403"/>
      <w:bookmarkStart w:id="9044" w:name="_Toc245198852"/>
      <w:bookmarkStart w:id="9045" w:name="_Toc245199301"/>
      <w:bookmarkStart w:id="9046" w:name="_Toc248122333"/>
      <w:bookmarkStart w:id="9047" w:name="_Toc248122784"/>
      <w:bookmarkStart w:id="9048" w:name="_Toc253670771"/>
      <w:bookmarkStart w:id="9049" w:name="_Toc253671221"/>
      <w:bookmarkStart w:id="9050" w:name="_Toc254942995"/>
      <w:bookmarkStart w:id="9051" w:name="_Toc254943448"/>
      <w:bookmarkStart w:id="9052" w:name="_Toc255476040"/>
      <w:bookmarkStart w:id="9053" w:name="_Toc256432361"/>
      <w:bookmarkStart w:id="9054" w:name="_Toc257720698"/>
      <w:bookmarkStart w:id="9055" w:name="_Toc257722380"/>
      <w:bookmarkStart w:id="9056" w:name="_Toc258336056"/>
      <w:bookmarkStart w:id="9057" w:name="_Toc260406498"/>
      <w:bookmarkStart w:id="9058" w:name="_Toc261271684"/>
      <w:bookmarkStart w:id="9059" w:name="_Toc262808366"/>
      <w:bookmarkStart w:id="9060" w:name="_Toc267572759"/>
      <w:bookmarkStart w:id="9061" w:name="_Toc270684508"/>
      <w:bookmarkStart w:id="9062" w:name="_Toc274214685"/>
      <w:bookmarkStart w:id="9063" w:name="_Toc274215134"/>
      <w:bookmarkStart w:id="9064" w:name="_Toc278976465"/>
      <w:bookmarkStart w:id="9065" w:name="_Toc286760786"/>
      <w:bookmarkStart w:id="9066" w:name="_Toc289081131"/>
      <w:bookmarkStart w:id="9067" w:name="_Toc290284325"/>
      <w:bookmarkStart w:id="9068" w:name="_Toc290643146"/>
      <w:bookmarkStart w:id="9069" w:name="_Toc290643595"/>
      <w:bookmarkStart w:id="9070" w:name="_Toc290644048"/>
      <w:bookmarkStart w:id="9071" w:name="_Toc294701865"/>
      <w:bookmarkStart w:id="9072" w:name="_Toc295200273"/>
      <w:bookmarkStart w:id="9073" w:name="_Toc296954714"/>
      <w:bookmarkStart w:id="9074" w:name="_Toc297276349"/>
      <w:bookmarkStart w:id="9075" w:name="_Toc297276801"/>
      <w:bookmarkStart w:id="9076" w:name="_Toc297277251"/>
      <w:bookmarkStart w:id="9077" w:name="_Toc297726620"/>
      <w:bookmarkStart w:id="9078" w:name="_Toc299980406"/>
      <w:bookmarkStart w:id="9079" w:name="_Toc300235032"/>
      <w:bookmarkStart w:id="9080" w:name="_Toc301961535"/>
      <w:bookmarkStart w:id="9081" w:name="_Toc301967105"/>
      <w:bookmarkStart w:id="9082" w:name="_Toc303253314"/>
      <w:bookmarkStart w:id="9083" w:name="_Toc303257478"/>
      <w:bookmarkStart w:id="9084" w:name="_Toc307993111"/>
      <w:bookmarkStart w:id="9085" w:name="_Toc309030144"/>
      <w:bookmarkStart w:id="9086" w:name="_Toc309304367"/>
      <w:bookmarkStart w:id="9087" w:name="_Toc309309644"/>
      <w:bookmarkStart w:id="9088" w:name="_Toc189988206"/>
      <w:bookmarkStart w:id="9089" w:name="_Toc192041789"/>
      <w:bookmarkStart w:id="9090" w:name="_Toc199571023"/>
      <w:bookmarkStart w:id="9091" w:name="_Toc199739022"/>
      <w:bookmarkStart w:id="9092" w:name="_Toc199815123"/>
      <w:bookmarkStart w:id="9093" w:name="_Toc215040930"/>
      <w:bookmarkStart w:id="9094" w:name="_Toc215041375"/>
      <w:bookmarkStart w:id="9095" w:name="_Toc222129583"/>
      <w:bookmarkStart w:id="9096" w:name="_Toc222223288"/>
      <w:bookmarkStart w:id="9097" w:name="_Toc225914540"/>
      <w:bookmarkStart w:id="9098" w:name="_Toc231282585"/>
      <w:bookmarkStart w:id="9099" w:name="_Toc231283029"/>
      <w:bookmarkStart w:id="9100" w:name="_Toc234899619"/>
      <w:bookmarkStart w:id="9101" w:name="_Toc236632901"/>
      <w:bookmarkStart w:id="9102" w:name="_Toc236720514"/>
      <w:bookmarkStart w:id="9103" w:name="_Toc237764713"/>
      <w:bookmarkStart w:id="9104" w:name="_Toc238356337"/>
      <w:bookmarkStart w:id="9105" w:name="_Toc238369042"/>
      <w:bookmarkStart w:id="9106" w:name="_Toc238375995"/>
      <w:bookmarkStart w:id="9107" w:name="_Toc240339319"/>
      <w:bookmarkStart w:id="9108" w:name="_Toc241993825"/>
      <w:bookmarkStart w:id="9109" w:name="_Toc243192968"/>
      <w:r>
        <w:rPr>
          <w:rStyle w:val="CharSchNo"/>
        </w:rPr>
        <w:t>Schedule 4</w:t>
      </w:r>
      <w:r>
        <w:t> — </w:t>
      </w:r>
      <w:r>
        <w:rPr>
          <w:rStyle w:val="CharSchText"/>
        </w:rPr>
        <w:t>Categories of fish</w:t>
      </w:r>
      <w:bookmarkEnd w:id="9041"/>
      <w:bookmarkEnd w:id="9042"/>
      <w:bookmarkEnd w:id="9043"/>
      <w:bookmarkEnd w:id="9044"/>
      <w:bookmarkEnd w:id="9045"/>
      <w:bookmarkEnd w:id="9046"/>
      <w:bookmarkEnd w:id="9047"/>
      <w:bookmarkEnd w:id="9048"/>
      <w:bookmarkEnd w:id="9049"/>
      <w:bookmarkEnd w:id="9050"/>
      <w:bookmarkEnd w:id="9051"/>
      <w:bookmarkEnd w:id="9052"/>
      <w:bookmarkEnd w:id="9053"/>
      <w:bookmarkEnd w:id="9054"/>
      <w:bookmarkEnd w:id="9055"/>
      <w:bookmarkEnd w:id="9056"/>
      <w:bookmarkEnd w:id="9057"/>
      <w:bookmarkEnd w:id="9058"/>
      <w:bookmarkEnd w:id="9059"/>
      <w:bookmarkEnd w:id="9060"/>
      <w:bookmarkEnd w:id="9061"/>
      <w:bookmarkEnd w:id="9062"/>
      <w:bookmarkEnd w:id="9063"/>
      <w:bookmarkEnd w:id="9064"/>
      <w:bookmarkEnd w:id="9065"/>
      <w:bookmarkEnd w:id="9066"/>
      <w:bookmarkEnd w:id="9067"/>
      <w:bookmarkEnd w:id="9068"/>
      <w:bookmarkEnd w:id="9069"/>
      <w:bookmarkEnd w:id="9070"/>
      <w:bookmarkEnd w:id="9071"/>
      <w:bookmarkEnd w:id="9072"/>
      <w:bookmarkEnd w:id="9073"/>
      <w:bookmarkEnd w:id="9074"/>
      <w:bookmarkEnd w:id="9075"/>
      <w:bookmarkEnd w:id="9076"/>
      <w:bookmarkEnd w:id="9077"/>
      <w:bookmarkEnd w:id="9078"/>
      <w:bookmarkEnd w:id="9079"/>
      <w:bookmarkEnd w:id="9080"/>
      <w:bookmarkEnd w:id="9081"/>
      <w:bookmarkEnd w:id="9082"/>
      <w:bookmarkEnd w:id="9083"/>
      <w:bookmarkEnd w:id="9084"/>
      <w:bookmarkEnd w:id="9085"/>
      <w:bookmarkEnd w:id="9086"/>
      <w:bookmarkEnd w:id="9087"/>
    </w:p>
    <w:p>
      <w:pPr>
        <w:pStyle w:val="yShoulderClause"/>
      </w:pPr>
      <w:r>
        <w:t>[s. 259 and r. 180]</w:t>
      </w:r>
    </w:p>
    <w:p>
      <w:pPr>
        <w:pStyle w:val="yFootnoteheading"/>
      </w:pPr>
      <w:r>
        <w:tab/>
        <w:t>[Heading inserted in Gazette 29 Sep 2009 p. 3869.]</w:t>
      </w:r>
    </w:p>
    <w:p>
      <w:pPr>
        <w:pStyle w:val="yMiscellaneousHeading"/>
        <w:jc w:val="left"/>
        <w:rPr>
          <w:b/>
          <w:bCs/>
          <w:snapToGrid w:val="0"/>
        </w:rPr>
      </w:pPr>
      <w:r>
        <w:rPr>
          <w:b/>
          <w:bCs/>
          <w:snapToGrid w:val="0"/>
        </w:rPr>
        <w:t>Category 1 fish</w:t>
      </w:r>
    </w:p>
    <w:p>
      <w:pPr>
        <w:pStyle w:val="yNumberedItem"/>
        <w:ind w:left="840" w:firstLine="0"/>
        <w:rPr>
          <w:snapToGrid w:val="0"/>
        </w:rPr>
      </w:pPr>
      <w:r>
        <w:rPr>
          <w:snapToGrid w:val="0"/>
        </w:rPr>
        <w:t>Abalone, Brownlip</w:t>
      </w:r>
    </w:p>
    <w:p>
      <w:pPr>
        <w:pStyle w:val="yNumberedItem"/>
        <w:spacing w:before="0"/>
        <w:ind w:left="840" w:firstLine="0"/>
        <w:rPr>
          <w:snapToGrid w:val="0"/>
        </w:rPr>
      </w:pPr>
      <w:r>
        <w:rPr>
          <w:snapToGrid w:val="0"/>
        </w:rPr>
        <w:t>Abalone, Greenlip</w:t>
      </w:r>
    </w:p>
    <w:p>
      <w:pPr>
        <w:pStyle w:val="yNumberedItem"/>
        <w:spacing w:before="0"/>
        <w:ind w:left="840" w:firstLine="0"/>
        <w:rPr>
          <w:snapToGrid w:val="0"/>
        </w:rPr>
      </w:pPr>
      <w:r>
        <w:rPr>
          <w:snapToGrid w:val="0"/>
        </w:rPr>
        <w:t>Abalone, Roe’s</w:t>
      </w:r>
    </w:p>
    <w:p>
      <w:pPr>
        <w:pStyle w:val="yNumberedItem"/>
        <w:spacing w:before="0"/>
        <w:ind w:left="840" w:firstLine="0"/>
        <w:rPr>
          <w:snapToGrid w:val="0"/>
        </w:rPr>
      </w:pPr>
      <w:r>
        <w:rPr>
          <w:snapToGrid w:val="0"/>
        </w:rPr>
        <w:t>Amberjack</w:t>
      </w:r>
    </w:p>
    <w:p>
      <w:pPr>
        <w:pStyle w:val="yNumberedItem"/>
        <w:spacing w:before="0"/>
        <w:ind w:left="840" w:firstLine="0"/>
        <w:rPr>
          <w:snapToGrid w:val="0"/>
        </w:rPr>
      </w:pPr>
      <w:r>
        <w:rPr>
          <w:snapToGrid w:val="0"/>
        </w:rPr>
        <w:t>Barramundi</w:t>
      </w:r>
    </w:p>
    <w:p>
      <w:pPr>
        <w:pStyle w:val="yNumberedItem"/>
        <w:spacing w:before="0"/>
        <w:ind w:left="840" w:firstLine="0"/>
        <w:rPr>
          <w:snapToGrid w:val="0"/>
        </w:rPr>
      </w:pPr>
      <w:r>
        <w:rPr>
          <w:snapToGrid w:val="0"/>
        </w:rPr>
        <w:t>Billfish (Marlins, Sailfish and Spearfish) and Swordfish</w:t>
      </w:r>
    </w:p>
    <w:p>
      <w:pPr>
        <w:pStyle w:val="yNumberedItem"/>
        <w:spacing w:before="0"/>
        <w:ind w:left="840" w:firstLine="0"/>
        <w:rPr>
          <w:snapToGrid w:val="0"/>
        </w:rPr>
      </w:pPr>
      <w:r>
        <w:rPr>
          <w:snapToGrid w:val="0"/>
        </w:rPr>
        <w:t>Boarfish</w:t>
      </w:r>
    </w:p>
    <w:p>
      <w:pPr>
        <w:pStyle w:val="yNumberedItem"/>
        <w:spacing w:before="0"/>
        <w:ind w:left="840" w:firstLine="0"/>
        <w:rPr>
          <w:snapToGrid w:val="0"/>
        </w:rPr>
      </w:pPr>
      <w:r>
        <w:rPr>
          <w:snapToGrid w:val="0"/>
        </w:rPr>
        <w:t>Cobia</w:t>
      </w:r>
    </w:p>
    <w:p>
      <w:pPr>
        <w:pStyle w:val="yNumberedItem"/>
        <w:spacing w:before="0"/>
        <w:ind w:left="840" w:firstLine="0"/>
        <w:rPr>
          <w:snapToGrid w:val="0"/>
        </w:rPr>
      </w:pPr>
      <w:r>
        <w:rPr>
          <w:snapToGrid w:val="0"/>
        </w:rPr>
        <w:t>Cobbler (Estuary Catfish)</w:t>
      </w:r>
    </w:p>
    <w:p>
      <w:pPr>
        <w:pStyle w:val="yNumberedItem"/>
        <w:spacing w:before="0"/>
        <w:ind w:left="840" w:firstLine="0"/>
        <w:rPr>
          <w:snapToGrid w:val="0"/>
        </w:rPr>
      </w:pPr>
      <w:r>
        <w:rPr>
          <w:snapToGrid w:val="0"/>
        </w:rPr>
        <w:t>Cod</w:t>
      </w:r>
    </w:p>
    <w:p>
      <w:pPr>
        <w:pStyle w:val="yNumberedItem"/>
        <w:spacing w:before="0"/>
        <w:ind w:left="840" w:firstLine="0"/>
        <w:rPr>
          <w:snapToGrid w:val="0"/>
        </w:rPr>
      </w:pPr>
      <w:r>
        <w:rPr>
          <w:snapToGrid w:val="0"/>
        </w:rPr>
        <w:t>Cod, Potato</w:t>
      </w:r>
    </w:p>
    <w:p>
      <w:pPr>
        <w:pStyle w:val="yNumberedItem"/>
        <w:spacing w:before="0"/>
        <w:ind w:left="840" w:firstLine="0"/>
        <w:rPr>
          <w:snapToGrid w:val="0"/>
        </w:rPr>
      </w:pPr>
      <w:r>
        <w:rPr>
          <w:snapToGrid w:val="0"/>
        </w:rPr>
        <w:t>Coral Trout</w:t>
      </w:r>
    </w:p>
    <w:p>
      <w:pPr>
        <w:pStyle w:val="yNumberedItem"/>
        <w:spacing w:before="0"/>
        <w:ind w:left="840" w:firstLine="0"/>
        <w:rPr>
          <w:snapToGrid w:val="0"/>
        </w:rPr>
      </w:pPr>
      <w:r>
        <w:rPr>
          <w:snapToGrid w:val="0"/>
        </w:rPr>
        <w:t>Coral</w:t>
      </w:r>
    </w:p>
    <w:p>
      <w:pPr>
        <w:pStyle w:val="yNumberedItem"/>
        <w:spacing w:before="0"/>
        <w:ind w:left="840" w:firstLine="0"/>
        <w:rPr>
          <w:snapToGrid w:val="0"/>
        </w:rPr>
      </w:pPr>
      <w:r>
        <w:rPr>
          <w:snapToGrid w:val="0"/>
        </w:rPr>
        <w:t>Crab, Blue Manna (Blue Swimmer)</w:t>
      </w:r>
    </w:p>
    <w:p>
      <w:pPr>
        <w:pStyle w:val="yNumberedItem"/>
        <w:spacing w:before="0"/>
        <w:ind w:left="840" w:firstLine="0"/>
        <w:rPr>
          <w:snapToGrid w:val="0"/>
        </w:rPr>
      </w:pPr>
      <w:r>
        <w:rPr>
          <w:snapToGrid w:val="0"/>
        </w:rPr>
        <w:t>Crab, Brown Mud</w:t>
      </w:r>
    </w:p>
    <w:p>
      <w:pPr>
        <w:pStyle w:val="yNumberedItem"/>
        <w:spacing w:before="0"/>
        <w:ind w:left="840" w:firstLine="0"/>
        <w:rPr>
          <w:snapToGrid w:val="0"/>
        </w:rPr>
      </w:pPr>
      <w:r>
        <w:rPr>
          <w:snapToGrid w:val="0"/>
        </w:rPr>
        <w:t xml:space="preserve">Crab, </w:t>
      </w:r>
      <w:smartTag w:uri="urn:schemas-microsoft-com:office:smarttags" w:element="place">
        <w:smartTag w:uri="urn:schemas-microsoft-com:office:smarttags" w:element="State">
          <w:r>
            <w:rPr>
              <w:snapToGrid w:val="0"/>
            </w:rPr>
            <w:t>Champagne</w:t>
          </w:r>
        </w:smartTag>
      </w:smartTag>
    </w:p>
    <w:p>
      <w:pPr>
        <w:pStyle w:val="yNumberedItem"/>
        <w:spacing w:before="0"/>
        <w:ind w:left="840" w:firstLine="0"/>
        <w:rPr>
          <w:snapToGrid w:val="0"/>
        </w:rPr>
      </w:pPr>
      <w:r>
        <w:rPr>
          <w:snapToGrid w:val="0"/>
        </w:rPr>
        <w:t>Crab, Crystal</w:t>
      </w:r>
    </w:p>
    <w:p>
      <w:pPr>
        <w:pStyle w:val="yNumberedItem"/>
        <w:spacing w:before="0"/>
        <w:ind w:left="840" w:firstLine="0"/>
        <w:rPr>
          <w:snapToGrid w:val="0"/>
        </w:rPr>
      </w:pPr>
      <w:r>
        <w:rPr>
          <w:snapToGrid w:val="0"/>
        </w:rPr>
        <w:t>Crab, Giant</w:t>
      </w:r>
    </w:p>
    <w:p>
      <w:pPr>
        <w:pStyle w:val="yNumberedItem"/>
        <w:spacing w:before="0"/>
        <w:ind w:left="840" w:firstLine="0"/>
        <w:rPr>
          <w:snapToGrid w:val="0"/>
        </w:rPr>
      </w:pPr>
      <w:r>
        <w:rPr>
          <w:snapToGrid w:val="0"/>
        </w:rPr>
        <w:t>Crab, Green Mud</w:t>
      </w:r>
    </w:p>
    <w:p>
      <w:pPr>
        <w:pStyle w:val="yNumberedItem"/>
        <w:spacing w:before="0"/>
        <w:ind w:left="840" w:firstLine="0"/>
        <w:rPr>
          <w:snapToGrid w:val="0"/>
        </w:rPr>
      </w:pPr>
      <w:r>
        <w:rPr>
          <w:snapToGrid w:val="0"/>
        </w:rPr>
        <w:t>Dhufish, West Australian</w:t>
      </w:r>
    </w:p>
    <w:p>
      <w:pPr>
        <w:pStyle w:val="yNumberedItem"/>
        <w:spacing w:before="0"/>
        <w:ind w:left="840" w:firstLine="0"/>
        <w:rPr>
          <w:snapToGrid w:val="0"/>
        </w:rPr>
      </w:pPr>
      <w:r>
        <w:rPr>
          <w:snapToGrid w:val="0"/>
        </w:rPr>
        <w:t>Dolphinfish (Mahi Mahi)</w:t>
      </w:r>
    </w:p>
    <w:p>
      <w:pPr>
        <w:pStyle w:val="yNumberedItem"/>
        <w:spacing w:before="0"/>
        <w:ind w:left="840" w:firstLine="0"/>
        <w:rPr>
          <w:snapToGrid w:val="0"/>
        </w:rPr>
      </w:pPr>
      <w:r>
        <w:rPr>
          <w:snapToGrid w:val="0"/>
        </w:rPr>
        <w:t>Emperor and Seabream</w:t>
      </w:r>
    </w:p>
    <w:p>
      <w:pPr>
        <w:pStyle w:val="yNumberedItem"/>
        <w:spacing w:before="0"/>
        <w:ind w:left="840" w:firstLine="0"/>
        <w:rPr>
          <w:snapToGrid w:val="0"/>
        </w:rPr>
      </w:pPr>
      <w:r>
        <w:rPr>
          <w:snapToGrid w:val="0"/>
        </w:rPr>
        <w:t>Foxfish, Western</w:t>
      </w:r>
    </w:p>
    <w:p>
      <w:pPr>
        <w:pStyle w:val="yNumberedItem"/>
        <w:spacing w:before="0"/>
        <w:ind w:left="840" w:firstLine="0"/>
        <w:rPr>
          <w:snapToGrid w:val="0"/>
        </w:rPr>
      </w:pPr>
      <w:r>
        <w:rPr>
          <w:snapToGrid w:val="0"/>
        </w:rPr>
        <w:t>Groper, Baldchin</w:t>
      </w:r>
    </w:p>
    <w:p>
      <w:pPr>
        <w:pStyle w:val="yNumberedItem"/>
        <w:spacing w:before="0"/>
        <w:ind w:left="840" w:firstLine="0"/>
        <w:rPr>
          <w:snapToGrid w:val="0"/>
        </w:rPr>
      </w:pPr>
      <w:r>
        <w:rPr>
          <w:snapToGrid w:val="0"/>
        </w:rPr>
        <w:t>Groper, Bass</w:t>
      </w:r>
    </w:p>
    <w:p>
      <w:pPr>
        <w:pStyle w:val="yNumberedItem"/>
        <w:spacing w:before="0"/>
        <w:ind w:left="840" w:firstLine="0"/>
        <w:rPr>
          <w:snapToGrid w:val="0"/>
        </w:rPr>
      </w:pPr>
      <w:r>
        <w:rPr>
          <w:snapToGrid w:val="0"/>
        </w:rPr>
        <w:t>Groper, Blue</w:t>
      </w:r>
    </w:p>
    <w:p>
      <w:pPr>
        <w:pStyle w:val="yNumberedItem"/>
        <w:spacing w:before="0"/>
        <w:ind w:left="840" w:firstLine="0"/>
        <w:rPr>
          <w:snapToGrid w:val="0"/>
        </w:rPr>
      </w:pPr>
      <w:r>
        <w:rPr>
          <w:snapToGrid w:val="0"/>
        </w:rPr>
        <w:t xml:space="preserve">Groper, </w:t>
      </w:r>
      <w:smartTag w:uri="urn:schemas-microsoft-com:office:smarttags" w:element="place">
        <w:smartTag w:uri="urn:schemas-microsoft-com:office:smarttags" w:element="State">
          <w:r>
            <w:rPr>
              <w:snapToGrid w:val="0"/>
            </w:rPr>
            <w:t>Queensland</w:t>
          </w:r>
        </w:smartTag>
      </w:smartTag>
    </w:p>
    <w:p>
      <w:pPr>
        <w:pStyle w:val="yNumberedItem"/>
        <w:spacing w:before="0"/>
        <w:ind w:left="840" w:firstLine="0"/>
        <w:rPr>
          <w:snapToGrid w:val="0"/>
        </w:rPr>
      </w:pPr>
      <w:r>
        <w:rPr>
          <w:snapToGrid w:val="0"/>
        </w:rPr>
        <w:t>Hapuku</w:t>
      </w:r>
    </w:p>
    <w:p>
      <w:pPr>
        <w:pStyle w:val="yNumberedItem"/>
        <w:spacing w:before="0"/>
        <w:ind w:left="840" w:firstLine="0"/>
        <w:rPr>
          <w:snapToGrid w:val="0"/>
        </w:rPr>
      </w:pPr>
      <w:r>
        <w:rPr>
          <w:snapToGrid w:val="0"/>
        </w:rPr>
        <w:t>Kingfish, Yellowtail</w:t>
      </w:r>
    </w:p>
    <w:p>
      <w:pPr>
        <w:pStyle w:val="yNumberedItem"/>
        <w:spacing w:before="0"/>
        <w:ind w:left="840" w:firstLine="0"/>
        <w:rPr>
          <w:snapToGrid w:val="0"/>
        </w:rPr>
      </w:pPr>
      <w:r>
        <w:rPr>
          <w:snapToGrid w:val="0"/>
        </w:rPr>
        <w:t>Leafy Seadragon</w:t>
      </w:r>
    </w:p>
    <w:p>
      <w:pPr>
        <w:pStyle w:val="yNumberedItem"/>
        <w:spacing w:before="0"/>
        <w:ind w:left="840" w:firstLine="0"/>
        <w:rPr>
          <w:snapToGrid w:val="0"/>
        </w:rPr>
      </w:pPr>
      <w:r>
        <w:rPr>
          <w:snapToGrid w:val="0"/>
        </w:rPr>
        <w:t>Live Rock</w:t>
      </w:r>
    </w:p>
    <w:p>
      <w:pPr>
        <w:pStyle w:val="yNumberedItem"/>
        <w:spacing w:before="0"/>
        <w:ind w:left="840" w:firstLine="0"/>
        <w:rPr>
          <w:snapToGrid w:val="0"/>
        </w:rPr>
      </w:pPr>
      <w:r>
        <w:rPr>
          <w:snapToGrid w:val="0"/>
        </w:rPr>
        <w:t>Mackerel, Broad</w:t>
      </w:r>
      <w:r>
        <w:rPr>
          <w:snapToGrid w:val="0"/>
        </w:rPr>
        <w:noBreakHyphen/>
        <w:t>barred</w:t>
      </w:r>
    </w:p>
    <w:p>
      <w:pPr>
        <w:pStyle w:val="yNumberedItem"/>
        <w:spacing w:before="0"/>
        <w:ind w:left="840" w:firstLine="0"/>
        <w:rPr>
          <w:snapToGrid w:val="0"/>
        </w:rPr>
      </w:pPr>
      <w:r>
        <w:rPr>
          <w:snapToGrid w:val="0"/>
        </w:rPr>
        <w:t>Mackerel, Narrow</w:t>
      </w:r>
      <w:r>
        <w:rPr>
          <w:snapToGrid w:val="0"/>
        </w:rPr>
        <w:noBreakHyphen/>
        <w:t>barred Spanish</w:t>
      </w:r>
    </w:p>
    <w:p>
      <w:pPr>
        <w:pStyle w:val="yNumberedItem"/>
        <w:spacing w:before="0"/>
        <w:ind w:left="840" w:firstLine="0"/>
        <w:rPr>
          <w:snapToGrid w:val="0"/>
        </w:rPr>
      </w:pPr>
      <w:r>
        <w:rPr>
          <w:snapToGrid w:val="0"/>
        </w:rPr>
        <w:t>Mackerel, Shark</w:t>
      </w:r>
    </w:p>
    <w:p>
      <w:pPr>
        <w:pStyle w:val="yNumberedItem"/>
        <w:spacing w:before="0"/>
        <w:ind w:left="840" w:firstLine="0"/>
        <w:rPr>
          <w:snapToGrid w:val="0"/>
        </w:rPr>
      </w:pPr>
      <w:r>
        <w:rPr>
          <w:snapToGrid w:val="0"/>
        </w:rPr>
        <w:t>Mackerel, Wahoo</w:t>
      </w:r>
    </w:p>
    <w:p>
      <w:pPr>
        <w:pStyle w:val="yNumberedItem"/>
        <w:spacing w:before="0"/>
        <w:ind w:left="840" w:firstLine="0"/>
        <w:rPr>
          <w:snapToGrid w:val="0"/>
        </w:rPr>
      </w:pPr>
      <w:r>
        <w:rPr>
          <w:snapToGrid w:val="0"/>
        </w:rPr>
        <w:t>Marron</w:t>
      </w:r>
    </w:p>
    <w:p>
      <w:pPr>
        <w:pStyle w:val="yNumberedItem"/>
        <w:spacing w:before="0"/>
        <w:ind w:left="840" w:firstLine="0"/>
        <w:rPr>
          <w:snapToGrid w:val="0"/>
        </w:rPr>
      </w:pPr>
      <w:r>
        <w:rPr>
          <w:snapToGrid w:val="0"/>
        </w:rPr>
        <w:t>Mulloway</w:t>
      </w:r>
    </w:p>
    <w:p>
      <w:pPr>
        <w:pStyle w:val="yNumberedItem"/>
        <w:spacing w:before="0"/>
        <w:ind w:left="840" w:firstLine="0"/>
        <w:rPr>
          <w:snapToGrid w:val="0"/>
        </w:rPr>
      </w:pPr>
      <w:r>
        <w:rPr>
          <w:snapToGrid w:val="0"/>
        </w:rPr>
        <w:t>Mulloway, Northern</w:t>
      </w:r>
    </w:p>
    <w:p>
      <w:pPr>
        <w:pStyle w:val="yNumberedItem"/>
        <w:spacing w:before="0"/>
        <w:ind w:left="840" w:firstLine="0"/>
        <w:rPr>
          <w:snapToGrid w:val="0"/>
        </w:rPr>
      </w:pPr>
      <w:r>
        <w:rPr>
          <w:snapToGrid w:val="0"/>
        </w:rPr>
        <w:t>Parrot Fish</w:t>
      </w:r>
    </w:p>
    <w:p>
      <w:pPr>
        <w:pStyle w:val="yNumberedItem"/>
        <w:spacing w:before="0"/>
        <w:ind w:left="840" w:firstLine="0"/>
        <w:rPr>
          <w:snapToGrid w:val="0"/>
        </w:rPr>
      </w:pPr>
      <w:r>
        <w:rPr>
          <w:snapToGrid w:val="0"/>
        </w:rPr>
        <w:t>Pearl Perch</w:t>
      </w:r>
    </w:p>
    <w:p>
      <w:pPr>
        <w:pStyle w:val="yNumberedItem"/>
        <w:spacing w:before="0"/>
        <w:ind w:left="840" w:firstLine="0"/>
        <w:rPr>
          <w:snapToGrid w:val="0"/>
        </w:rPr>
      </w:pPr>
      <w:r>
        <w:rPr>
          <w:snapToGrid w:val="0"/>
        </w:rPr>
        <w:t>Pigfish</w:t>
      </w:r>
    </w:p>
    <w:p>
      <w:pPr>
        <w:pStyle w:val="yNumberedItem"/>
        <w:spacing w:before="0"/>
        <w:ind w:left="840" w:firstLine="0"/>
        <w:rPr>
          <w:snapToGrid w:val="0"/>
        </w:rPr>
      </w:pPr>
      <w:r>
        <w:rPr>
          <w:snapToGrid w:val="0"/>
        </w:rPr>
        <w:t>Rays</w:t>
      </w:r>
    </w:p>
    <w:p>
      <w:pPr>
        <w:pStyle w:val="yNumberedItem"/>
        <w:spacing w:before="0"/>
        <w:ind w:left="840" w:firstLine="0"/>
        <w:rPr>
          <w:snapToGrid w:val="0"/>
        </w:rPr>
      </w:pPr>
      <w:r>
        <w:rPr>
          <w:snapToGrid w:val="0"/>
        </w:rPr>
        <w:t>Rock Lobster (all species)</w:t>
      </w:r>
    </w:p>
    <w:p>
      <w:pPr>
        <w:pStyle w:val="yNumberedItem"/>
        <w:spacing w:before="0"/>
        <w:ind w:left="840" w:firstLine="0"/>
        <w:rPr>
          <w:snapToGrid w:val="0"/>
        </w:rPr>
      </w:pPr>
      <w:r>
        <w:rPr>
          <w:snapToGrid w:val="0"/>
        </w:rPr>
        <w:t>Sawfish</w:t>
      </w:r>
    </w:p>
    <w:p>
      <w:pPr>
        <w:pStyle w:val="yNumberedItem"/>
        <w:spacing w:before="0"/>
        <w:ind w:left="840" w:firstLine="0"/>
        <w:rPr>
          <w:snapToGrid w:val="0"/>
        </w:rPr>
      </w:pPr>
      <w:r>
        <w:rPr>
          <w:snapToGrid w:val="0"/>
        </w:rPr>
        <w:t>Sea Perch, Tropical</w:t>
      </w:r>
    </w:p>
    <w:p>
      <w:pPr>
        <w:pStyle w:val="yNumberedItem"/>
        <w:spacing w:before="0"/>
        <w:ind w:left="840" w:firstLine="0"/>
        <w:rPr>
          <w:snapToGrid w:val="0"/>
        </w:rPr>
      </w:pPr>
      <w:r>
        <w:rPr>
          <w:snapToGrid w:val="0"/>
        </w:rPr>
        <w:t>Shark, Great White</w:t>
      </w:r>
    </w:p>
    <w:p>
      <w:pPr>
        <w:pStyle w:val="yNumberedItem"/>
        <w:spacing w:before="0"/>
        <w:ind w:left="840" w:firstLine="0"/>
        <w:rPr>
          <w:snapToGrid w:val="0"/>
        </w:rPr>
      </w:pPr>
      <w:r>
        <w:rPr>
          <w:snapToGrid w:val="0"/>
        </w:rPr>
        <w:t>Shark, Speartooth</w:t>
      </w:r>
    </w:p>
    <w:p>
      <w:pPr>
        <w:pStyle w:val="yNumberedItem"/>
        <w:spacing w:before="0"/>
        <w:ind w:left="840" w:firstLine="0"/>
        <w:rPr>
          <w:snapToGrid w:val="0"/>
        </w:rPr>
      </w:pPr>
      <w:r>
        <w:rPr>
          <w:snapToGrid w:val="0"/>
        </w:rPr>
        <w:t>Shark, Whale</w:t>
      </w:r>
    </w:p>
    <w:p>
      <w:pPr>
        <w:pStyle w:val="yNumberedItem"/>
        <w:spacing w:before="0"/>
        <w:ind w:left="840" w:firstLine="0"/>
        <w:rPr>
          <w:snapToGrid w:val="0"/>
        </w:rPr>
      </w:pPr>
      <w:r>
        <w:rPr>
          <w:snapToGrid w:val="0"/>
        </w:rPr>
        <w:t>Sharks</w:t>
      </w:r>
    </w:p>
    <w:p>
      <w:pPr>
        <w:pStyle w:val="yNumberedItem"/>
        <w:spacing w:before="0"/>
        <w:ind w:left="840" w:firstLine="0"/>
        <w:rPr>
          <w:snapToGrid w:val="0"/>
        </w:rPr>
      </w:pPr>
      <w:r>
        <w:rPr>
          <w:snapToGrid w:val="0"/>
        </w:rPr>
        <w:t>Snapper, Pink</w:t>
      </w:r>
    </w:p>
    <w:p>
      <w:pPr>
        <w:pStyle w:val="yNumberedItem"/>
        <w:spacing w:before="0"/>
        <w:ind w:left="840" w:firstLine="0"/>
        <w:rPr>
          <w:snapToGrid w:val="0"/>
        </w:rPr>
      </w:pPr>
      <w:r>
        <w:rPr>
          <w:snapToGrid w:val="0"/>
        </w:rPr>
        <w:t>Snapper, Queen (Blue Morwong)</w:t>
      </w:r>
    </w:p>
    <w:p>
      <w:pPr>
        <w:pStyle w:val="yNumberedItem"/>
        <w:spacing w:before="0"/>
        <w:ind w:left="840" w:firstLine="0"/>
        <w:rPr>
          <w:snapToGrid w:val="0"/>
        </w:rPr>
      </w:pPr>
      <w:r>
        <w:rPr>
          <w:snapToGrid w:val="0"/>
        </w:rPr>
        <w:t>Snapper, Red</w:t>
      </w:r>
    </w:p>
    <w:p>
      <w:pPr>
        <w:pStyle w:val="yNumberedItem"/>
        <w:spacing w:before="0"/>
        <w:ind w:left="840" w:firstLine="0"/>
        <w:rPr>
          <w:snapToGrid w:val="0"/>
        </w:rPr>
      </w:pPr>
      <w:r>
        <w:rPr>
          <w:snapToGrid w:val="0"/>
        </w:rPr>
        <w:t>Threadfin, Giant</w:t>
      </w:r>
    </w:p>
    <w:p>
      <w:pPr>
        <w:pStyle w:val="yNumberedItem"/>
        <w:spacing w:before="0"/>
        <w:ind w:left="840" w:firstLine="0"/>
        <w:rPr>
          <w:snapToGrid w:val="0"/>
        </w:rPr>
      </w:pPr>
      <w:r>
        <w:rPr>
          <w:snapToGrid w:val="0"/>
        </w:rPr>
        <w:t>Trevalla</w:t>
      </w:r>
    </w:p>
    <w:p>
      <w:pPr>
        <w:pStyle w:val="yNumberedItem"/>
        <w:spacing w:before="0"/>
        <w:ind w:left="840" w:firstLine="0"/>
        <w:rPr>
          <w:snapToGrid w:val="0"/>
        </w:rPr>
      </w:pPr>
      <w:r>
        <w:rPr>
          <w:snapToGrid w:val="0"/>
        </w:rPr>
        <w:t>Trevally, Giant</w:t>
      </w:r>
    </w:p>
    <w:p>
      <w:pPr>
        <w:pStyle w:val="yNumberedItem"/>
        <w:spacing w:before="0"/>
        <w:ind w:left="840" w:firstLine="0"/>
        <w:rPr>
          <w:snapToGrid w:val="0"/>
        </w:rPr>
      </w:pPr>
      <w:r>
        <w:rPr>
          <w:snapToGrid w:val="0"/>
        </w:rPr>
        <w:t>Trevally, Golden</w:t>
      </w:r>
    </w:p>
    <w:p>
      <w:pPr>
        <w:pStyle w:val="yNumberedItem"/>
        <w:spacing w:before="0"/>
        <w:ind w:left="840" w:firstLine="0"/>
        <w:rPr>
          <w:snapToGrid w:val="0"/>
        </w:rPr>
      </w:pPr>
      <w:r>
        <w:rPr>
          <w:snapToGrid w:val="0"/>
        </w:rPr>
        <w:t>Tripletail</w:t>
      </w:r>
    </w:p>
    <w:p>
      <w:pPr>
        <w:pStyle w:val="yNumberedItem"/>
        <w:spacing w:before="0"/>
        <w:ind w:left="840" w:firstLine="0"/>
        <w:rPr>
          <w:snapToGrid w:val="0"/>
        </w:rPr>
      </w:pPr>
      <w:r>
        <w:rPr>
          <w:snapToGrid w:val="0"/>
        </w:rPr>
        <w:t>Tuna, Bigeye</w:t>
      </w:r>
    </w:p>
    <w:p>
      <w:pPr>
        <w:pStyle w:val="yNumberedItem"/>
        <w:spacing w:before="0"/>
        <w:ind w:left="840" w:firstLine="0"/>
        <w:rPr>
          <w:snapToGrid w:val="0"/>
        </w:rPr>
      </w:pPr>
      <w:r>
        <w:rPr>
          <w:snapToGrid w:val="0"/>
        </w:rPr>
        <w:t>Tuna, Dogtooth</w:t>
      </w:r>
    </w:p>
    <w:p>
      <w:pPr>
        <w:pStyle w:val="yNumberedItem"/>
        <w:spacing w:before="0"/>
        <w:ind w:left="840" w:firstLine="0"/>
        <w:rPr>
          <w:snapToGrid w:val="0"/>
        </w:rPr>
      </w:pPr>
      <w:r>
        <w:rPr>
          <w:snapToGrid w:val="0"/>
        </w:rPr>
        <w:t>Tuna, Northern</w:t>
      </w:r>
    </w:p>
    <w:p>
      <w:pPr>
        <w:pStyle w:val="yNumberedItem"/>
        <w:spacing w:before="0"/>
        <w:ind w:left="840" w:firstLine="0"/>
        <w:rPr>
          <w:snapToGrid w:val="0"/>
        </w:rPr>
      </w:pPr>
      <w:r>
        <w:rPr>
          <w:snapToGrid w:val="0"/>
        </w:rPr>
        <w:t xml:space="preserve">Tuna, </w:t>
      </w:r>
      <w:smartTag w:uri="urn:schemas-microsoft-com:office:smarttags" w:element="place">
        <w:r>
          <w:rPr>
            <w:snapToGrid w:val="0"/>
          </w:rPr>
          <w:t>Southern Bluefin</w:t>
        </w:r>
      </w:smartTag>
    </w:p>
    <w:p>
      <w:pPr>
        <w:pStyle w:val="yNumberedItem"/>
        <w:spacing w:before="0"/>
        <w:ind w:left="840" w:firstLine="0"/>
        <w:rPr>
          <w:snapToGrid w:val="0"/>
        </w:rPr>
      </w:pPr>
      <w:r>
        <w:rPr>
          <w:snapToGrid w:val="0"/>
        </w:rPr>
        <w:t>Tuna, Yellowfin</w:t>
      </w:r>
    </w:p>
    <w:p>
      <w:pPr>
        <w:pStyle w:val="yNumberedItem"/>
        <w:spacing w:before="0"/>
        <w:ind w:left="840" w:firstLine="0"/>
        <w:rPr>
          <w:snapToGrid w:val="0"/>
        </w:rPr>
      </w:pPr>
      <w:r>
        <w:rPr>
          <w:snapToGrid w:val="0"/>
        </w:rPr>
        <w:t>Tuskfish</w:t>
      </w:r>
    </w:p>
    <w:p>
      <w:pPr>
        <w:pStyle w:val="yNumberedItem"/>
        <w:spacing w:before="0"/>
        <w:ind w:left="840" w:firstLine="0"/>
        <w:rPr>
          <w:snapToGrid w:val="0"/>
        </w:rPr>
      </w:pPr>
      <w:r>
        <w:rPr>
          <w:szCs w:val="22"/>
        </w:rPr>
        <w:t>Weedy Seadragon</w:t>
      </w:r>
    </w:p>
    <w:p>
      <w:pPr>
        <w:pStyle w:val="yNumberedItem"/>
        <w:spacing w:before="0"/>
        <w:ind w:left="840" w:firstLine="0"/>
        <w:rPr>
          <w:snapToGrid w:val="0"/>
        </w:rPr>
      </w:pPr>
      <w:r>
        <w:rPr>
          <w:snapToGrid w:val="0"/>
        </w:rPr>
        <w:t>Wrasse, Humphead Maori</w:t>
      </w:r>
    </w:p>
    <w:p>
      <w:pPr>
        <w:pStyle w:val="yMiscellaneousHeading"/>
        <w:jc w:val="left"/>
        <w:rPr>
          <w:b/>
          <w:bCs/>
          <w:snapToGrid w:val="0"/>
        </w:rPr>
      </w:pPr>
      <w:r>
        <w:rPr>
          <w:b/>
          <w:bCs/>
          <w:snapToGrid w:val="0"/>
        </w:rPr>
        <w:t>Category 2 fish</w:t>
      </w:r>
    </w:p>
    <w:p>
      <w:pPr>
        <w:pStyle w:val="yNumberedItem"/>
        <w:ind w:left="840" w:firstLine="0"/>
        <w:rPr>
          <w:snapToGrid w:val="0"/>
        </w:rPr>
      </w:pPr>
      <w:r>
        <w:rPr>
          <w:snapToGrid w:val="0"/>
        </w:rPr>
        <w:t>Barracuda</w:t>
      </w:r>
    </w:p>
    <w:p>
      <w:pPr>
        <w:pStyle w:val="yNumberedItem"/>
        <w:spacing w:before="0"/>
        <w:ind w:left="839" w:firstLine="0"/>
        <w:rPr>
          <w:snapToGrid w:val="0"/>
        </w:rPr>
      </w:pPr>
      <w:r>
        <w:rPr>
          <w:snapToGrid w:val="0"/>
        </w:rPr>
        <w:t>Bonito</w:t>
      </w:r>
    </w:p>
    <w:p>
      <w:pPr>
        <w:pStyle w:val="yNumberedItem"/>
        <w:spacing w:before="0"/>
        <w:ind w:left="839" w:firstLine="0"/>
        <w:rPr>
          <w:snapToGrid w:val="0"/>
        </w:rPr>
      </w:pPr>
      <w:r>
        <w:rPr>
          <w:snapToGrid w:val="0"/>
        </w:rPr>
        <w:t>Bream, Black</w:t>
      </w:r>
    </w:p>
    <w:p>
      <w:pPr>
        <w:pStyle w:val="yNumberedItem"/>
        <w:spacing w:before="0"/>
        <w:ind w:left="839" w:firstLine="0"/>
        <w:rPr>
          <w:snapToGrid w:val="0"/>
        </w:rPr>
      </w:pPr>
      <w:r>
        <w:rPr>
          <w:snapToGrid w:val="0"/>
        </w:rPr>
        <w:t>Bream, Northwest</w:t>
      </w:r>
      <w:r>
        <w:rPr>
          <w:snapToGrid w:val="0"/>
        </w:rPr>
        <w:noBreakHyphen/>
        <w:t>Black</w:t>
      </w:r>
    </w:p>
    <w:p>
      <w:pPr>
        <w:pStyle w:val="yNumberedItem"/>
        <w:spacing w:before="0"/>
        <w:ind w:left="839" w:firstLine="0"/>
        <w:rPr>
          <w:snapToGrid w:val="0"/>
        </w:rPr>
      </w:pPr>
      <w:r>
        <w:rPr>
          <w:snapToGrid w:val="0"/>
        </w:rPr>
        <w:t>Bream, Yellowfin</w:t>
      </w:r>
    </w:p>
    <w:p>
      <w:pPr>
        <w:pStyle w:val="yNumberedItem"/>
        <w:spacing w:before="0"/>
        <w:ind w:left="839" w:firstLine="0"/>
        <w:rPr>
          <w:snapToGrid w:val="0"/>
        </w:rPr>
      </w:pPr>
      <w:r>
        <w:rPr>
          <w:snapToGrid w:val="0"/>
        </w:rPr>
        <w:t>Catfish</w:t>
      </w:r>
    </w:p>
    <w:p>
      <w:pPr>
        <w:pStyle w:val="yNumberedItem"/>
        <w:spacing w:before="0"/>
        <w:ind w:left="839" w:firstLine="0"/>
        <w:rPr>
          <w:snapToGrid w:val="0"/>
        </w:rPr>
      </w:pPr>
      <w:r>
        <w:rPr>
          <w:snapToGrid w:val="0"/>
        </w:rPr>
        <w:t>Cherabin</w:t>
      </w:r>
    </w:p>
    <w:p>
      <w:pPr>
        <w:pStyle w:val="yNumberedItem"/>
        <w:spacing w:before="0"/>
        <w:ind w:left="839" w:firstLine="0"/>
        <w:rPr>
          <w:snapToGrid w:val="0"/>
        </w:rPr>
      </w:pPr>
      <w:r>
        <w:rPr>
          <w:snapToGrid w:val="0"/>
        </w:rPr>
        <w:t>Cuttlefish</w:t>
      </w:r>
    </w:p>
    <w:p>
      <w:pPr>
        <w:pStyle w:val="yNumberedItem"/>
        <w:spacing w:before="0"/>
        <w:ind w:left="839" w:firstLine="0"/>
        <w:rPr>
          <w:snapToGrid w:val="0"/>
        </w:rPr>
      </w:pPr>
      <w:r>
        <w:rPr>
          <w:snapToGrid w:val="0"/>
        </w:rPr>
        <w:t>Dart</w:t>
      </w:r>
    </w:p>
    <w:p>
      <w:pPr>
        <w:pStyle w:val="yNumberedItem"/>
        <w:spacing w:before="0"/>
        <w:ind w:left="839" w:firstLine="0"/>
        <w:rPr>
          <w:snapToGrid w:val="0"/>
        </w:rPr>
      </w:pPr>
      <w:r>
        <w:rPr>
          <w:snapToGrid w:val="0"/>
        </w:rPr>
        <w:t>Flathead</w:t>
      </w:r>
    </w:p>
    <w:p>
      <w:pPr>
        <w:pStyle w:val="yNumberedItem"/>
        <w:spacing w:before="0"/>
        <w:ind w:left="839" w:firstLine="0"/>
        <w:rPr>
          <w:snapToGrid w:val="0"/>
        </w:rPr>
      </w:pPr>
      <w:r>
        <w:rPr>
          <w:snapToGrid w:val="0"/>
        </w:rPr>
        <w:t>Flounder</w:t>
      </w:r>
    </w:p>
    <w:p>
      <w:pPr>
        <w:pStyle w:val="yNumberedItem"/>
        <w:spacing w:before="0"/>
        <w:ind w:left="839" w:firstLine="0"/>
        <w:rPr>
          <w:snapToGrid w:val="0"/>
        </w:rPr>
      </w:pPr>
      <w:r>
        <w:rPr>
          <w:snapToGrid w:val="0"/>
        </w:rPr>
        <w:t>Freshwater Crayfish (all species)</w:t>
      </w:r>
    </w:p>
    <w:p>
      <w:pPr>
        <w:pStyle w:val="yNumberedItem"/>
        <w:spacing w:before="0"/>
        <w:ind w:left="839" w:firstLine="0"/>
        <w:rPr>
          <w:snapToGrid w:val="0"/>
        </w:rPr>
      </w:pPr>
      <w:r>
        <w:rPr>
          <w:snapToGrid w:val="0"/>
        </w:rPr>
        <w:t>Goatfish</w:t>
      </w:r>
    </w:p>
    <w:p>
      <w:pPr>
        <w:pStyle w:val="yNumberedItem"/>
        <w:spacing w:before="0"/>
        <w:ind w:left="839" w:firstLine="0"/>
        <w:rPr>
          <w:snapToGrid w:val="0"/>
        </w:rPr>
      </w:pPr>
      <w:r>
        <w:rPr>
          <w:snapToGrid w:val="0"/>
        </w:rPr>
        <w:t>Grunter, Sooty</w:t>
      </w:r>
    </w:p>
    <w:p>
      <w:pPr>
        <w:pStyle w:val="yNumberedItem"/>
        <w:spacing w:before="0"/>
        <w:ind w:left="839" w:firstLine="0"/>
        <w:rPr>
          <w:snapToGrid w:val="0"/>
        </w:rPr>
      </w:pPr>
      <w:r>
        <w:rPr>
          <w:snapToGrid w:val="0"/>
        </w:rPr>
        <w:t>Javelinfish and Sweetlips</w:t>
      </w:r>
    </w:p>
    <w:p>
      <w:pPr>
        <w:pStyle w:val="yNumberedItem"/>
        <w:spacing w:before="0"/>
        <w:ind w:left="839" w:firstLine="0"/>
        <w:rPr>
          <w:snapToGrid w:val="0"/>
        </w:rPr>
      </w:pPr>
      <w:r>
        <w:rPr>
          <w:snapToGrid w:val="0"/>
        </w:rPr>
        <w:t>John Dory</w:t>
      </w:r>
    </w:p>
    <w:p>
      <w:pPr>
        <w:pStyle w:val="yNumberedItem"/>
        <w:spacing w:before="0"/>
        <w:ind w:left="839" w:firstLine="0"/>
        <w:rPr>
          <w:snapToGrid w:val="0"/>
        </w:rPr>
      </w:pPr>
      <w:r>
        <w:rPr>
          <w:snapToGrid w:val="0"/>
        </w:rPr>
        <w:t>Leatherjacket</w:t>
      </w:r>
    </w:p>
    <w:p>
      <w:pPr>
        <w:pStyle w:val="yNumberedItem"/>
        <w:spacing w:before="0"/>
        <w:ind w:left="839" w:firstLine="0"/>
        <w:rPr>
          <w:snapToGrid w:val="0"/>
        </w:rPr>
      </w:pPr>
      <w:r>
        <w:rPr>
          <w:snapToGrid w:val="0"/>
        </w:rPr>
        <w:t>Octopus</w:t>
      </w:r>
    </w:p>
    <w:p>
      <w:pPr>
        <w:pStyle w:val="yNumberedItem"/>
        <w:spacing w:before="0"/>
        <w:ind w:left="839" w:firstLine="0"/>
        <w:rPr>
          <w:snapToGrid w:val="0"/>
        </w:rPr>
      </w:pPr>
      <w:r>
        <w:rPr>
          <w:snapToGrid w:val="0"/>
        </w:rPr>
        <w:t>Pike</w:t>
      </w:r>
    </w:p>
    <w:p>
      <w:pPr>
        <w:pStyle w:val="yNumberedItem"/>
        <w:spacing w:before="0"/>
        <w:ind w:left="839" w:firstLine="0"/>
        <w:rPr>
          <w:snapToGrid w:val="0"/>
        </w:rPr>
      </w:pPr>
      <w:r>
        <w:rPr>
          <w:snapToGrid w:val="0"/>
        </w:rPr>
        <w:t>Prawn, Tiger</w:t>
      </w:r>
    </w:p>
    <w:p>
      <w:pPr>
        <w:pStyle w:val="yNumberedItem"/>
        <w:spacing w:before="0"/>
        <w:ind w:left="839" w:firstLine="0"/>
        <w:rPr>
          <w:snapToGrid w:val="0"/>
        </w:rPr>
      </w:pPr>
      <w:r>
        <w:rPr>
          <w:snapToGrid w:val="0"/>
        </w:rPr>
        <w:t>Prawn, Western King</w:t>
      </w:r>
    </w:p>
    <w:p>
      <w:pPr>
        <w:pStyle w:val="yNumberedItem"/>
        <w:spacing w:before="0"/>
        <w:ind w:left="839" w:firstLine="0"/>
        <w:rPr>
          <w:snapToGrid w:val="0"/>
        </w:rPr>
      </w:pPr>
      <w:r>
        <w:rPr>
          <w:snapToGrid w:val="0"/>
        </w:rPr>
        <w:t xml:space="preserve">Prawn, </w:t>
      </w:r>
      <w:smartTag w:uri="urn:schemas-microsoft-com:office:smarttags" w:element="place">
        <w:smartTag w:uri="urn:schemas-microsoft-com:office:smarttags" w:element="PlaceName">
          <w:r>
            <w:rPr>
              <w:snapToGrid w:val="0"/>
            </w:rPr>
            <w:t>Western</w:t>
          </w:r>
        </w:smartTag>
        <w:r>
          <w:rPr>
            <w:snapToGrid w:val="0"/>
          </w:rPr>
          <w:t xml:space="preserve"> </w:t>
        </w:r>
        <w:smartTag w:uri="urn:schemas-microsoft-com:office:smarttags" w:element="PlaceType">
          <w:r>
            <w:rPr>
              <w:snapToGrid w:val="0"/>
            </w:rPr>
            <w:t>School</w:t>
          </w:r>
        </w:smartTag>
      </w:smartTag>
    </w:p>
    <w:p>
      <w:pPr>
        <w:pStyle w:val="yNumberedItem"/>
        <w:spacing w:before="0"/>
        <w:ind w:left="839" w:firstLine="0"/>
        <w:rPr>
          <w:snapToGrid w:val="0"/>
        </w:rPr>
      </w:pPr>
      <w:r>
        <w:rPr>
          <w:snapToGrid w:val="0"/>
        </w:rPr>
        <w:t>Queenfish</w:t>
      </w:r>
    </w:p>
    <w:p>
      <w:pPr>
        <w:pStyle w:val="yNumberedItem"/>
        <w:spacing w:before="0"/>
        <w:ind w:left="839" w:firstLine="0"/>
        <w:rPr>
          <w:snapToGrid w:val="0"/>
        </w:rPr>
      </w:pPr>
      <w:r>
        <w:rPr>
          <w:snapToGrid w:val="0"/>
        </w:rPr>
        <w:t>Razor shell</w:t>
      </w:r>
    </w:p>
    <w:p>
      <w:pPr>
        <w:pStyle w:val="yNumberedItem"/>
        <w:spacing w:before="0"/>
        <w:ind w:left="839" w:firstLine="0"/>
        <w:rPr>
          <w:snapToGrid w:val="0"/>
        </w:rPr>
      </w:pPr>
      <w:r>
        <w:rPr>
          <w:snapToGrid w:val="0"/>
        </w:rPr>
        <w:t>Salmon, Australian</w:t>
      </w:r>
    </w:p>
    <w:p>
      <w:pPr>
        <w:pStyle w:val="yNumberedItem"/>
        <w:spacing w:before="0"/>
        <w:ind w:left="839" w:firstLine="0"/>
        <w:rPr>
          <w:snapToGrid w:val="0"/>
        </w:rPr>
      </w:pPr>
      <w:r>
        <w:rPr>
          <w:snapToGrid w:val="0"/>
        </w:rPr>
        <w:t>Samson Fish</w:t>
      </w:r>
    </w:p>
    <w:p>
      <w:pPr>
        <w:pStyle w:val="yNumberedItem"/>
        <w:spacing w:before="0"/>
        <w:ind w:left="839" w:firstLine="0"/>
        <w:rPr>
          <w:snapToGrid w:val="0"/>
        </w:rPr>
      </w:pPr>
      <w:r>
        <w:rPr>
          <w:snapToGrid w:val="0"/>
        </w:rPr>
        <w:t>Scallops</w:t>
      </w:r>
    </w:p>
    <w:p>
      <w:pPr>
        <w:pStyle w:val="yNumberedItem"/>
        <w:spacing w:before="0"/>
        <w:ind w:left="839" w:firstLine="0"/>
        <w:rPr>
          <w:snapToGrid w:val="0"/>
        </w:rPr>
      </w:pPr>
      <w:r>
        <w:rPr>
          <w:snapToGrid w:val="0"/>
        </w:rPr>
        <w:t>Sea Cucumber (Beche</w:t>
      </w:r>
      <w:r>
        <w:rPr>
          <w:snapToGrid w:val="0"/>
        </w:rPr>
        <w:noBreakHyphen/>
        <w:t>de</w:t>
      </w:r>
      <w:r>
        <w:rPr>
          <w:snapToGrid w:val="0"/>
        </w:rPr>
        <w:noBreakHyphen/>
        <w:t>mer, Trepang)</w:t>
      </w:r>
    </w:p>
    <w:p>
      <w:pPr>
        <w:pStyle w:val="yNumberedItem"/>
        <w:spacing w:before="0"/>
        <w:ind w:left="839" w:firstLine="0"/>
        <w:rPr>
          <w:snapToGrid w:val="0"/>
        </w:rPr>
      </w:pPr>
      <w:r>
        <w:rPr>
          <w:snapToGrid w:val="0"/>
        </w:rPr>
        <w:t>Sea Urchins</w:t>
      </w:r>
    </w:p>
    <w:p>
      <w:pPr>
        <w:pStyle w:val="yNumberedItem"/>
        <w:spacing w:before="0"/>
        <w:ind w:left="839" w:firstLine="0"/>
        <w:rPr>
          <w:snapToGrid w:val="0"/>
        </w:rPr>
      </w:pPr>
      <w:r>
        <w:rPr>
          <w:snapToGrid w:val="0"/>
        </w:rPr>
        <w:t>Snook</w:t>
      </w:r>
    </w:p>
    <w:p>
      <w:pPr>
        <w:pStyle w:val="yNumberedItem"/>
        <w:spacing w:before="0"/>
        <w:ind w:left="839" w:firstLine="0"/>
        <w:rPr>
          <w:snapToGrid w:val="0"/>
        </w:rPr>
      </w:pPr>
      <w:r>
        <w:rPr>
          <w:snapToGrid w:val="0"/>
        </w:rPr>
        <w:t>Sole</w:t>
      </w:r>
    </w:p>
    <w:p>
      <w:pPr>
        <w:pStyle w:val="yNumberedItem"/>
        <w:spacing w:before="0"/>
        <w:ind w:left="839" w:firstLine="0"/>
        <w:rPr>
          <w:snapToGrid w:val="0"/>
        </w:rPr>
      </w:pPr>
      <w:r>
        <w:rPr>
          <w:snapToGrid w:val="0"/>
        </w:rPr>
        <w:t>Squid</w:t>
      </w:r>
    </w:p>
    <w:p>
      <w:pPr>
        <w:pStyle w:val="yNumberedItem"/>
        <w:spacing w:before="0"/>
        <w:ind w:left="839" w:firstLine="0"/>
        <w:rPr>
          <w:snapToGrid w:val="0"/>
        </w:rPr>
      </w:pPr>
      <w:r>
        <w:rPr>
          <w:snapToGrid w:val="0"/>
        </w:rPr>
        <w:t>Sweep, Banded</w:t>
      </w:r>
    </w:p>
    <w:p>
      <w:pPr>
        <w:pStyle w:val="yNumberedItem"/>
        <w:spacing w:before="0"/>
        <w:ind w:left="839" w:firstLine="0"/>
        <w:rPr>
          <w:snapToGrid w:val="0"/>
        </w:rPr>
      </w:pPr>
      <w:r>
        <w:rPr>
          <w:snapToGrid w:val="0"/>
        </w:rPr>
        <w:t>Sweep, Sea</w:t>
      </w:r>
    </w:p>
    <w:p>
      <w:pPr>
        <w:pStyle w:val="yNumberedItem"/>
        <w:spacing w:before="0"/>
        <w:ind w:left="839" w:firstLine="0"/>
        <w:rPr>
          <w:snapToGrid w:val="0"/>
        </w:rPr>
      </w:pPr>
      <w:r>
        <w:rPr>
          <w:snapToGrid w:val="0"/>
        </w:rPr>
        <w:t>Tailor</w:t>
      </w:r>
    </w:p>
    <w:p>
      <w:pPr>
        <w:pStyle w:val="yNumberedItem"/>
        <w:spacing w:before="0"/>
        <w:ind w:left="839" w:firstLine="0"/>
        <w:rPr>
          <w:snapToGrid w:val="0"/>
        </w:rPr>
      </w:pPr>
      <w:r>
        <w:rPr>
          <w:snapToGrid w:val="0"/>
        </w:rPr>
        <w:t>Tarwhine (Silver Bream)</w:t>
      </w:r>
    </w:p>
    <w:p>
      <w:pPr>
        <w:pStyle w:val="yNumberedItem"/>
        <w:spacing w:before="0"/>
        <w:ind w:left="839" w:firstLine="0"/>
        <w:rPr>
          <w:snapToGrid w:val="0"/>
        </w:rPr>
      </w:pPr>
      <w:r>
        <w:rPr>
          <w:snapToGrid w:val="0"/>
        </w:rPr>
        <w:t>Threadfin, Blue</w:t>
      </w:r>
    </w:p>
    <w:p>
      <w:pPr>
        <w:pStyle w:val="yNumberedItem"/>
        <w:spacing w:before="0"/>
        <w:ind w:left="839" w:firstLine="0"/>
        <w:rPr>
          <w:snapToGrid w:val="0"/>
        </w:rPr>
      </w:pPr>
      <w:r>
        <w:rPr>
          <w:snapToGrid w:val="0"/>
        </w:rPr>
        <w:t>Trevally, Silver (Skipjack)</w:t>
      </w:r>
    </w:p>
    <w:p>
      <w:pPr>
        <w:pStyle w:val="yNumberedItem"/>
        <w:spacing w:before="0"/>
        <w:ind w:left="839" w:firstLine="0"/>
        <w:rPr>
          <w:snapToGrid w:val="0"/>
        </w:rPr>
      </w:pPr>
      <w:r>
        <w:rPr>
          <w:snapToGrid w:val="0"/>
        </w:rPr>
        <w:t>Trochus</w:t>
      </w:r>
    </w:p>
    <w:p>
      <w:pPr>
        <w:pStyle w:val="yNumberedItem"/>
        <w:spacing w:before="0"/>
        <w:ind w:left="839" w:firstLine="0"/>
        <w:rPr>
          <w:snapToGrid w:val="0"/>
        </w:rPr>
      </w:pPr>
      <w:r>
        <w:rPr>
          <w:snapToGrid w:val="0"/>
        </w:rPr>
        <w:t>Trout, Brown</w:t>
      </w:r>
    </w:p>
    <w:p>
      <w:pPr>
        <w:pStyle w:val="yNumberedItem"/>
        <w:spacing w:before="0"/>
        <w:ind w:left="839" w:firstLine="0"/>
        <w:rPr>
          <w:snapToGrid w:val="0"/>
        </w:rPr>
      </w:pPr>
      <w:r>
        <w:rPr>
          <w:snapToGrid w:val="0"/>
        </w:rPr>
        <w:t>Trout, Rainbow</w:t>
      </w:r>
    </w:p>
    <w:p>
      <w:pPr>
        <w:pStyle w:val="yNumberedItem"/>
        <w:spacing w:before="0"/>
        <w:ind w:left="839" w:firstLine="0"/>
        <w:rPr>
          <w:snapToGrid w:val="0"/>
        </w:rPr>
      </w:pPr>
      <w:r>
        <w:rPr>
          <w:snapToGrid w:val="0"/>
        </w:rPr>
        <w:t>Tuna, Albacore</w:t>
      </w:r>
    </w:p>
    <w:p>
      <w:pPr>
        <w:pStyle w:val="yNumberedItem"/>
        <w:spacing w:before="0"/>
        <w:ind w:left="839" w:firstLine="0"/>
        <w:rPr>
          <w:snapToGrid w:val="0"/>
        </w:rPr>
      </w:pPr>
      <w:r>
        <w:rPr>
          <w:snapToGrid w:val="0"/>
        </w:rPr>
        <w:t>Tuna, Skipjack</w:t>
      </w:r>
    </w:p>
    <w:p>
      <w:pPr>
        <w:pStyle w:val="yNumberedItem"/>
        <w:spacing w:before="0"/>
        <w:ind w:left="839" w:firstLine="0"/>
        <w:rPr>
          <w:snapToGrid w:val="0"/>
        </w:rPr>
      </w:pPr>
      <w:r>
        <w:rPr>
          <w:snapToGrid w:val="0"/>
        </w:rPr>
        <w:t>Whiting, King George (Spotted)</w:t>
      </w:r>
    </w:p>
    <w:p>
      <w:pPr>
        <w:pStyle w:val="yNumberedItem"/>
        <w:spacing w:before="0"/>
        <w:ind w:left="839" w:firstLine="0"/>
        <w:rPr>
          <w:snapToGrid w:val="0"/>
        </w:rPr>
      </w:pPr>
      <w:r>
        <w:rPr>
          <w:snapToGrid w:val="0"/>
        </w:rPr>
        <w:t>Whiting, Yellow</w:t>
      </w:r>
      <w:r>
        <w:rPr>
          <w:snapToGrid w:val="0"/>
        </w:rPr>
        <w:noBreakHyphen/>
        <w:t>finned</w:t>
      </w:r>
    </w:p>
    <w:p>
      <w:pPr>
        <w:pStyle w:val="yMiscellaneousHeading"/>
        <w:jc w:val="left"/>
        <w:rPr>
          <w:b/>
          <w:bCs/>
          <w:snapToGrid w:val="0"/>
        </w:rPr>
      </w:pPr>
      <w:r>
        <w:rPr>
          <w:b/>
          <w:bCs/>
          <w:snapToGrid w:val="0"/>
        </w:rPr>
        <w:t>Category 3 fish</w:t>
      </w:r>
    </w:p>
    <w:p>
      <w:pPr>
        <w:pStyle w:val="yNumberedItem"/>
        <w:keepNext/>
        <w:ind w:left="840" w:firstLine="0"/>
        <w:rPr>
          <w:snapToGrid w:val="0"/>
        </w:rPr>
      </w:pPr>
      <w:r>
        <w:rPr>
          <w:snapToGrid w:val="0"/>
        </w:rPr>
        <w:t>Bait Fish</w:t>
      </w:r>
    </w:p>
    <w:p>
      <w:pPr>
        <w:pStyle w:val="yNumberedItem"/>
        <w:spacing w:before="0"/>
        <w:ind w:left="839" w:firstLine="0"/>
        <w:rPr>
          <w:snapToGrid w:val="0"/>
        </w:rPr>
      </w:pPr>
      <w:r>
        <w:rPr>
          <w:snapToGrid w:val="0"/>
        </w:rPr>
        <w:t>Cockle, Ark Shell and other edible bivalves</w:t>
      </w:r>
    </w:p>
    <w:p>
      <w:pPr>
        <w:pStyle w:val="yNumberedItem"/>
        <w:spacing w:before="0"/>
        <w:ind w:left="839" w:firstLine="0"/>
        <w:rPr>
          <w:snapToGrid w:val="0"/>
        </w:rPr>
      </w:pPr>
      <w:r>
        <w:rPr>
          <w:snapToGrid w:val="0"/>
        </w:rPr>
        <w:t>Clam, Venus</w:t>
      </w:r>
    </w:p>
    <w:p>
      <w:pPr>
        <w:pStyle w:val="yNumberedItem"/>
        <w:spacing w:before="0"/>
        <w:ind w:left="839" w:firstLine="0"/>
        <w:rPr>
          <w:snapToGrid w:val="0"/>
        </w:rPr>
      </w:pPr>
      <w:r>
        <w:rPr>
          <w:snapToGrid w:val="0"/>
        </w:rPr>
        <w:t>Freshwater fish (other than freshwater fish listed as category 2 fish)</w:t>
      </w:r>
    </w:p>
    <w:p>
      <w:pPr>
        <w:pStyle w:val="yNumberedItem"/>
        <w:spacing w:before="0"/>
        <w:ind w:left="839" w:firstLine="0"/>
        <w:rPr>
          <w:snapToGrid w:val="0"/>
        </w:rPr>
      </w:pPr>
      <w:r>
        <w:rPr>
          <w:snapToGrid w:val="0"/>
        </w:rPr>
        <w:t>Garfish</w:t>
      </w:r>
    </w:p>
    <w:p>
      <w:pPr>
        <w:pStyle w:val="yNumberedItem"/>
        <w:spacing w:before="0"/>
        <w:ind w:left="839" w:firstLine="0"/>
        <w:rPr>
          <w:snapToGrid w:val="0"/>
        </w:rPr>
      </w:pPr>
      <w:r>
        <w:rPr>
          <w:snapToGrid w:val="0"/>
        </w:rPr>
        <w:t>Herring, Australian (Tommy Ruff)</w:t>
      </w:r>
    </w:p>
    <w:p>
      <w:pPr>
        <w:pStyle w:val="yNumberedItem"/>
        <w:spacing w:before="0"/>
        <w:ind w:left="839" w:firstLine="0"/>
        <w:rPr>
          <w:snapToGrid w:val="0"/>
        </w:rPr>
      </w:pPr>
      <w:r>
        <w:rPr>
          <w:snapToGrid w:val="0"/>
        </w:rPr>
        <w:t>Longtom</w:t>
      </w:r>
    </w:p>
    <w:p>
      <w:pPr>
        <w:pStyle w:val="yNumberedItem"/>
        <w:spacing w:before="0"/>
        <w:ind w:left="839" w:firstLine="0"/>
        <w:rPr>
          <w:snapToGrid w:val="0"/>
        </w:rPr>
      </w:pPr>
      <w:r>
        <w:rPr>
          <w:snapToGrid w:val="0"/>
        </w:rPr>
        <w:t>Mackerel, Blue (Common)</w:t>
      </w:r>
    </w:p>
    <w:p>
      <w:pPr>
        <w:pStyle w:val="yNumberedItem"/>
        <w:spacing w:before="0"/>
        <w:ind w:left="839" w:firstLine="0"/>
        <w:rPr>
          <w:snapToGrid w:val="0"/>
        </w:rPr>
      </w:pPr>
      <w:r>
        <w:rPr>
          <w:snapToGrid w:val="0"/>
        </w:rPr>
        <w:t>Mullet</w:t>
      </w:r>
    </w:p>
    <w:p>
      <w:pPr>
        <w:pStyle w:val="yNumberedItem"/>
        <w:spacing w:before="0"/>
        <w:ind w:left="839" w:firstLine="0"/>
        <w:rPr>
          <w:snapToGrid w:val="0"/>
        </w:rPr>
      </w:pPr>
      <w:r>
        <w:rPr>
          <w:snapToGrid w:val="0"/>
        </w:rPr>
        <w:t>Prawns (other than prawns listed as category 2 fish)</w:t>
      </w:r>
    </w:p>
    <w:p>
      <w:pPr>
        <w:pStyle w:val="yNumberedItem"/>
        <w:spacing w:before="0"/>
        <w:ind w:left="839" w:firstLine="0"/>
        <w:rPr>
          <w:snapToGrid w:val="0"/>
        </w:rPr>
      </w:pPr>
      <w:r>
        <w:rPr>
          <w:snapToGrid w:val="0"/>
        </w:rPr>
        <w:t>Whiting (other than whiting listed as category 2 fish)</w:t>
      </w:r>
    </w:p>
    <w:p>
      <w:pPr>
        <w:pStyle w:val="yNumberedItem"/>
        <w:spacing w:before="0"/>
        <w:ind w:left="839" w:firstLine="0"/>
        <w:rPr>
          <w:snapToGrid w:val="0"/>
        </w:rPr>
      </w:pPr>
      <w:r>
        <w:rPr>
          <w:snapToGrid w:val="0"/>
        </w:rPr>
        <w:t>Wrasse (other than wrasse listed as category 1 fish)</w:t>
      </w:r>
    </w:p>
    <w:p>
      <w:pPr>
        <w:pStyle w:val="yMiscellaneousHeading"/>
        <w:jc w:val="left"/>
        <w:rPr>
          <w:b/>
          <w:bCs/>
          <w:snapToGrid w:val="0"/>
        </w:rPr>
      </w:pPr>
      <w:r>
        <w:rPr>
          <w:b/>
          <w:bCs/>
          <w:snapToGrid w:val="0"/>
        </w:rPr>
        <w:t>Category 4 fish</w:t>
      </w:r>
    </w:p>
    <w:p>
      <w:pPr>
        <w:pStyle w:val="yNumberedItem"/>
        <w:ind w:left="840" w:firstLine="0"/>
        <w:rPr>
          <w:snapToGrid w:val="0"/>
        </w:rPr>
      </w:pPr>
      <w:r>
        <w:rPr>
          <w:snapToGrid w:val="0"/>
        </w:rPr>
        <w:t>Any species of fish not specified in this Schedule to be category 1 fish, category 2 fish or category 3 fish.</w:t>
      </w:r>
    </w:p>
    <w:p>
      <w:pPr>
        <w:pStyle w:val="yFootnotesection"/>
      </w:pPr>
      <w:r>
        <w:tab/>
        <w:t>[Schedule 4 inserted in Gazette 29 Sep 2009 p. 3869</w:t>
      </w:r>
      <w:r>
        <w:noBreakHyphen/>
        <w:t>74; amended in Gazette 24 Aug 2011 p. 3409.]</w:t>
      </w:r>
    </w:p>
    <w:p>
      <w:pPr>
        <w:pStyle w:val="yScheduleHeading"/>
      </w:pPr>
      <w:bookmarkStart w:id="9110" w:name="_Toc267572760"/>
      <w:bookmarkStart w:id="9111" w:name="_Toc270684509"/>
      <w:bookmarkStart w:id="9112" w:name="_Toc274214686"/>
      <w:bookmarkStart w:id="9113" w:name="_Toc274215135"/>
      <w:bookmarkStart w:id="9114" w:name="_Toc278976466"/>
      <w:bookmarkStart w:id="9115" w:name="_Toc286760787"/>
      <w:bookmarkStart w:id="9116" w:name="_Toc289081132"/>
      <w:bookmarkStart w:id="9117" w:name="_Toc290284326"/>
      <w:bookmarkStart w:id="9118" w:name="_Toc290643147"/>
      <w:bookmarkStart w:id="9119" w:name="_Toc290643596"/>
      <w:bookmarkStart w:id="9120" w:name="_Toc290644049"/>
      <w:bookmarkStart w:id="9121" w:name="_Toc294701866"/>
      <w:bookmarkStart w:id="9122" w:name="_Toc295200274"/>
      <w:bookmarkStart w:id="9123" w:name="_Toc296954715"/>
      <w:bookmarkStart w:id="9124" w:name="_Toc297276350"/>
      <w:bookmarkStart w:id="9125" w:name="_Toc297276802"/>
      <w:bookmarkStart w:id="9126" w:name="_Toc297277252"/>
      <w:bookmarkStart w:id="9127" w:name="_Toc297726621"/>
      <w:bookmarkStart w:id="9128" w:name="_Toc299980407"/>
      <w:bookmarkStart w:id="9129" w:name="_Toc300235033"/>
      <w:bookmarkStart w:id="9130" w:name="_Toc301961536"/>
      <w:bookmarkStart w:id="9131" w:name="_Toc301967106"/>
      <w:bookmarkStart w:id="9132" w:name="_Toc303253315"/>
      <w:bookmarkStart w:id="9133" w:name="_Toc303257479"/>
      <w:bookmarkStart w:id="9134" w:name="_Toc307993112"/>
      <w:bookmarkStart w:id="9135" w:name="_Toc309030145"/>
      <w:bookmarkStart w:id="9136" w:name="_Toc309304368"/>
      <w:bookmarkStart w:id="9137" w:name="_Toc309309645"/>
      <w:bookmarkStart w:id="9138" w:name="_Toc189988208"/>
      <w:bookmarkStart w:id="9139" w:name="_Toc192041791"/>
      <w:bookmarkStart w:id="9140" w:name="_Toc199571025"/>
      <w:bookmarkStart w:id="9141" w:name="_Toc199739024"/>
      <w:bookmarkStart w:id="9142" w:name="_Toc199815125"/>
      <w:bookmarkStart w:id="9143" w:name="_Toc215040932"/>
      <w:bookmarkStart w:id="9144" w:name="_Toc215041377"/>
      <w:bookmarkStart w:id="9145" w:name="_Toc222129585"/>
      <w:bookmarkStart w:id="9146" w:name="_Toc222223290"/>
      <w:bookmarkStart w:id="9147" w:name="_Toc225914542"/>
      <w:bookmarkStart w:id="9148" w:name="_Toc231282587"/>
      <w:bookmarkStart w:id="9149" w:name="_Toc231283031"/>
      <w:bookmarkStart w:id="9150" w:name="_Toc234899621"/>
      <w:bookmarkStart w:id="9151" w:name="_Toc236632903"/>
      <w:bookmarkStart w:id="9152" w:name="_Toc236720516"/>
      <w:bookmarkStart w:id="9153" w:name="_Toc237764715"/>
      <w:bookmarkStart w:id="9154" w:name="_Toc238356339"/>
      <w:bookmarkStart w:id="9155" w:name="_Toc238369044"/>
      <w:bookmarkStart w:id="9156" w:name="_Toc238375997"/>
      <w:bookmarkStart w:id="9157" w:name="_Toc240339321"/>
      <w:bookmarkStart w:id="9158" w:name="_Toc241993827"/>
      <w:bookmarkStart w:id="9159" w:name="_Toc243192970"/>
      <w:bookmarkStart w:id="9160" w:name="_Toc243295671"/>
      <w:bookmarkStart w:id="9161" w:name="_Toc245113244"/>
      <w:bookmarkStart w:id="9162" w:name="_Toc245198406"/>
      <w:bookmarkStart w:id="9163" w:name="_Toc245198855"/>
      <w:bookmarkStart w:id="9164" w:name="_Toc245199304"/>
      <w:bookmarkStart w:id="9165" w:name="_Toc248122336"/>
      <w:bookmarkStart w:id="9166" w:name="_Toc248122787"/>
      <w:bookmarkStart w:id="9167" w:name="_Toc253670774"/>
      <w:bookmarkStart w:id="9168" w:name="_Toc253671224"/>
      <w:bookmarkStart w:id="9169" w:name="_Toc254942998"/>
      <w:bookmarkStart w:id="9170" w:name="_Toc254943451"/>
      <w:bookmarkStart w:id="9171" w:name="_Toc255476043"/>
      <w:bookmarkStart w:id="9172" w:name="_Toc256432364"/>
      <w:bookmarkStart w:id="9173" w:name="_Toc257720701"/>
      <w:bookmarkStart w:id="9174" w:name="_Toc257722383"/>
      <w:bookmarkStart w:id="9175" w:name="_Toc258336059"/>
      <w:bookmarkStart w:id="9176" w:name="_Toc260406501"/>
      <w:bookmarkStart w:id="9177" w:name="_Toc261271687"/>
      <w:bookmarkStart w:id="9178" w:name="_Toc262808369"/>
      <w:bookmarkEnd w:id="9088"/>
      <w:bookmarkEnd w:id="9089"/>
      <w:bookmarkEnd w:id="9090"/>
      <w:bookmarkEnd w:id="9091"/>
      <w:bookmarkEnd w:id="9092"/>
      <w:bookmarkEnd w:id="9093"/>
      <w:bookmarkEnd w:id="9094"/>
      <w:bookmarkEnd w:id="9095"/>
      <w:bookmarkEnd w:id="9096"/>
      <w:bookmarkEnd w:id="9097"/>
      <w:bookmarkEnd w:id="9098"/>
      <w:bookmarkEnd w:id="9099"/>
      <w:bookmarkEnd w:id="9100"/>
      <w:bookmarkEnd w:id="9101"/>
      <w:bookmarkEnd w:id="9102"/>
      <w:bookmarkEnd w:id="9103"/>
      <w:bookmarkEnd w:id="9104"/>
      <w:bookmarkEnd w:id="9105"/>
      <w:bookmarkEnd w:id="9106"/>
      <w:bookmarkEnd w:id="9107"/>
      <w:bookmarkEnd w:id="9108"/>
      <w:bookmarkEnd w:id="9109"/>
      <w:r>
        <w:rPr>
          <w:rStyle w:val="CharSchNo"/>
        </w:rPr>
        <w:t>Schedule 5</w:t>
      </w:r>
      <w:r>
        <w:t> — </w:t>
      </w:r>
      <w:r>
        <w:rPr>
          <w:rStyle w:val="CharSchText"/>
        </w:rPr>
        <w:t>Noxious fish</w:t>
      </w:r>
      <w:bookmarkEnd w:id="9110"/>
      <w:bookmarkEnd w:id="9111"/>
      <w:bookmarkEnd w:id="9112"/>
      <w:bookmarkEnd w:id="9113"/>
      <w:bookmarkEnd w:id="9114"/>
      <w:bookmarkEnd w:id="9115"/>
      <w:bookmarkEnd w:id="9116"/>
      <w:bookmarkEnd w:id="9117"/>
      <w:bookmarkEnd w:id="9118"/>
      <w:bookmarkEnd w:id="9119"/>
      <w:bookmarkEnd w:id="9120"/>
      <w:bookmarkEnd w:id="9121"/>
      <w:bookmarkEnd w:id="9122"/>
      <w:bookmarkEnd w:id="9123"/>
      <w:bookmarkEnd w:id="9124"/>
      <w:bookmarkEnd w:id="9125"/>
      <w:bookmarkEnd w:id="9126"/>
      <w:bookmarkEnd w:id="9127"/>
      <w:bookmarkEnd w:id="9128"/>
      <w:bookmarkEnd w:id="9129"/>
      <w:bookmarkEnd w:id="9130"/>
      <w:bookmarkEnd w:id="9131"/>
      <w:bookmarkEnd w:id="9132"/>
      <w:bookmarkEnd w:id="9133"/>
      <w:bookmarkEnd w:id="9134"/>
      <w:bookmarkEnd w:id="9135"/>
      <w:bookmarkEnd w:id="9136"/>
      <w:bookmarkEnd w:id="9137"/>
    </w:p>
    <w:p>
      <w:pPr>
        <w:pStyle w:val="yShoulderClause"/>
      </w:pPr>
      <w:r>
        <w:t>[r. 70]</w:t>
      </w:r>
    </w:p>
    <w:p>
      <w:pPr>
        <w:pStyle w:val="yFootnoteheading"/>
        <w:spacing w:after="120"/>
      </w:pPr>
      <w:r>
        <w:tab/>
        <w:t>[Heading inserted in Gazette 23 Jul 2010 p. 3403.]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360"/>
        <w:gridCol w:w="3720"/>
      </w:tblGrid>
      <w:tr>
        <w:trPr>
          <w:cantSplit/>
          <w:tblHeader/>
        </w:trPr>
        <w:tc>
          <w:tcPr>
            <w:tcW w:w="3360" w:type="dxa"/>
          </w:tcPr>
          <w:p>
            <w:pPr>
              <w:pStyle w:val="yTableNAm"/>
              <w:rPr>
                <w:b/>
                <w:bCs/>
              </w:rPr>
            </w:pPr>
            <w:r>
              <w:rPr>
                <w:b/>
                <w:bCs/>
              </w:rPr>
              <w:t>Scientific name</w:t>
            </w:r>
          </w:p>
        </w:tc>
        <w:tc>
          <w:tcPr>
            <w:tcW w:w="3720" w:type="dxa"/>
          </w:tcPr>
          <w:p>
            <w:pPr>
              <w:pStyle w:val="yTableNAm"/>
              <w:rPr>
                <w:b/>
                <w:bCs/>
              </w:rPr>
            </w:pPr>
            <w:r>
              <w:rPr>
                <w:b/>
                <w:bCs/>
              </w:rPr>
              <w:t>Examples of common names used</w:t>
            </w:r>
          </w:p>
        </w:tc>
      </w:tr>
      <w:tr>
        <w:trPr>
          <w:cantSplit/>
        </w:trPr>
        <w:tc>
          <w:tcPr>
            <w:tcW w:w="3360" w:type="dxa"/>
          </w:tcPr>
          <w:p>
            <w:pPr>
              <w:pStyle w:val="yTableNAm"/>
              <w:rPr>
                <w:i/>
                <w:iCs/>
              </w:rPr>
            </w:pPr>
            <w:r>
              <w:rPr>
                <w:i/>
                <w:iCs/>
              </w:rPr>
              <w:t>Acanthogobius flavimanus</w:t>
            </w:r>
          </w:p>
        </w:tc>
        <w:tc>
          <w:tcPr>
            <w:tcW w:w="3720" w:type="dxa"/>
          </w:tcPr>
          <w:p>
            <w:pPr>
              <w:pStyle w:val="yTableNAm"/>
            </w:pPr>
            <w:r>
              <w:t>Yellow Fin Goby</w:t>
            </w:r>
          </w:p>
        </w:tc>
      </w:tr>
      <w:tr>
        <w:trPr>
          <w:cantSplit/>
        </w:trPr>
        <w:tc>
          <w:tcPr>
            <w:tcW w:w="3360" w:type="dxa"/>
          </w:tcPr>
          <w:p>
            <w:pPr>
              <w:pStyle w:val="yTableNAm"/>
              <w:rPr>
                <w:i/>
                <w:iCs/>
              </w:rPr>
            </w:pPr>
            <w:r>
              <w:rPr>
                <w:i/>
                <w:iCs/>
              </w:rPr>
              <w:t>Acestrorhynchus microlepis</w:t>
            </w:r>
          </w:p>
        </w:tc>
        <w:tc>
          <w:tcPr>
            <w:tcW w:w="3720" w:type="dxa"/>
          </w:tcPr>
          <w:p>
            <w:pPr>
              <w:pStyle w:val="yTableNAm"/>
            </w:pPr>
            <w:r>
              <w:t>Pike Characin</w:t>
            </w:r>
          </w:p>
        </w:tc>
      </w:tr>
      <w:tr>
        <w:trPr>
          <w:cantSplit/>
        </w:trPr>
        <w:tc>
          <w:tcPr>
            <w:tcW w:w="3360" w:type="dxa"/>
          </w:tcPr>
          <w:p>
            <w:pPr>
              <w:pStyle w:val="yTableNAm"/>
              <w:rPr>
                <w:i/>
                <w:iCs/>
              </w:rPr>
            </w:pPr>
            <w:r>
              <w:rPr>
                <w:i/>
                <w:iCs/>
              </w:rPr>
              <w:t>Amia calva</w:t>
            </w:r>
          </w:p>
        </w:tc>
        <w:tc>
          <w:tcPr>
            <w:tcW w:w="3720" w:type="dxa"/>
          </w:tcPr>
          <w:p>
            <w:pPr>
              <w:pStyle w:val="yTableNAm"/>
            </w:pPr>
            <w:r>
              <w:t>Bowfin</w:t>
            </w:r>
          </w:p>
        </w:tc>
      </w:tr>
      <w:tr>
        <w:trPr>
          <w:cantSplit/>
        </w:trPr>
        <w:tc>
          <w:tcPr>
            <w:tcW w:w="3360" w:type="dxa"/>
          </w:tcPr>
          <w:p>
            <w:pPr>
              <w:pStyle w:val="yTableNAm"/>
              <w:rPr>
                <w:i/>
                <w:iCs/>
              </w:rPr>
            </w:pPr>
            <w:r>
              <w:rPr>
                <w:i/>
                <w:iCs/>
              </w:rPr>
              <w:t>Anabas testudineus</w:t>
            </w:r>
          </w:p>
        </w:tc>
        <w:tc>
          <w:tcPr>
            <w:tcW w:w="3720" w:type="dxa"/>
          </w:tcPr>
          <w:p>
            <w:pPr>
              <w:pStyle w:val="yTableNAm"/>
            </w:pPr>
            <w:r>
              <w:t>Climbing Perch</w:t>
            </w:r>
          </w:p>
        </w:tc>
      </w:tr>
      <w:tr>
        <w:trPr>
          <w:cantSplit/>
        </w:trPr>
        <w:tc>
          <w:tcPr>
            <w:tcW w:w="3360" w:type="dxa"/>
          </w:tcPr>
          <w:p>
            <w:pPr>
              <w:pStyle w:val="yTableNAm"/>
              <w:rPr>
                <w:i/>
                <w:iCs/>
              </w:rPr>
            </w:pPr>
            <w:r>
              <w:rPr>
                <w:i/>
                <w:iCs/>
              </w:rPr>
              <w:t>Anaspidoglanis macrostoma</w:t>
            </w:r>
          </w:p>
        </w:tc>
        <w:tc>
          <w:tcPr>
            <w:tcW w:w="3720" w:type="dxa"/>
          </w:tcPr>
          <w:p>
            <w:pPr>
              <w:pStyle w:val="yTableNAm"/>
            </w:pPr>
            <w:r>
              <w:t>Flatnose Catfish</w:t>
            </w:r>
          </w:p>
        </w:tc>
      </w:tr>
      <w:tr>
        <w:trPr>
          <w:cantSplit/>
        </w:trPr>
        <w:tc>
          <w:tcPr>
            <w:tcW w:w="3360" w:type="dxa"/>
          </w:tcPr>
          <w:p>
            <w:pPr>
              <w:pStyle w:val="yTableNAm"/>
              <w:rPr>
                <w:i/>
                <w:iCs/>
              </w:rPr>
            </w:pPr>
            <w:r>
              <w:rPr>
                <w:i/>
                <w:iCs/>
              </w:rPr>
              <w:t>Apeltes quadracus</w:t>
            </w:r>
          </w:p>
        </w:tc>
        <w:tc>
          <w:tcPr>
            <w:tcW w:w="3720" w:type="dxa"/>
          </w:tcPr>
          <w:p>
            <w:pPr>
              <w:pStyle w:val="yTableNAm"/>
            </w:pPr>
            <w:r>
              <w:t>Four</w:t>
            </w:r>
            <w:r>
              <w:noBreakHyphen/>
              <w:t>spined Stickleback</w:t>
            </w:r>
          </w:p>
        </w:tc>
      </w:tr>
      <w:tr>
        <w:trPr>
          <w:cantSplit/>
        </w:trPr>
        <w:tc>
          <w:tcPr>
            <w:tcW w:w="3360" w:type="dxa"/>
          </w:tcPr>
          <w:p>
            <w:pPr>
              <w:pStyle w:val="yTableNAm"/>
              <w:rPr>
                <w:i/>
                <w:iCs/>
              </w:rPr>
            </w:pPr>
            <w:r>
              <w:rPr>
                <w:i/>
                <w:iCs/>
              </w:rPr>
              <w:t>Aristichthys noblis</w:t>
            </w:r>
          </w:p>
        </w:tc>
        <w:tc>
          <w:tcPr>
            <w:tcW w:w="3720" w:type="dxa"/>
          </w:tcPr>
          <w:p>
            <w:pPr>
              <w:pStyle w:val="yTableNAm"/>
            </w:pPr>
            <w:r>
              <w:t>Bighead Carp</w:t>
            </w:r>
          </w:p>
        </w:tc>
      </w:tr>
      <w:tr>
        <w:trPr>
          <w:cantSplit/>
        </w:trPr>
        <w:tc>
          <w:tcPr>
            <w:tcW w:w="3360" w:type="dxa"/>
          </w:tcPr>
          <w:p>
            <w:pPr>
              <w:pStyle w:val="yTableNAm"/>
              <w:rPr>
                <w:i/>
                <w:iCs/>
              </w:rPr>
            </w:pPr>
            <w:r>
              <w:rPr>
                <w:i/>
                <w:iCs/>
              </w:rPr>
              <w:t>Bagrus ubangensis</w:t>
            </w:r>
          </w:p>
        </w:tc>
        <w:tc>
          <w:tcPr>
            <w:tcW w:w="3720" w:type="dxa"/>
          </w:tcPr>
          <w:p>
            <w:pPr>
              <w:pStyle w:val="yTableNAm"/>
            </w:pPr>
            <w:smartTag w:uri="urn:schemas-microsoft-com:office:smarttags" w:element="place">
              <w:r>
                <w:t>Ubangi</w:t>
              </w:r>
            </w:smartTag>
            <w:r>
              <w:t xml:space="preserve"> Shovelnose Catfish</w:t>
            </w:r>
          </w:p>
        </w:tc>
      </w:tr>
      <w:tr>
        <w:trPr>
          <w:cantSplit/>
        </w:trPr>
        <w:tc>
          <w:tcPr>
            <w:tcW w:w="3360" w:type="dxa"/>
          </w:tcPr>
          <w:p>
            <w:pPr>
              <w:pStyle w:val="yTableNAm"/>
              <w:rPr>
                <w:i/>
                <w:iCs/>
              </w:rPr>
            </w:pPr>
            <w:r>
              <w:rPr>
                <w:i/>
                <w:iCs/>
              </w:rPr>
              <w:t>Barbodes hexagonolepis</w:t>
            </w:r>
          </w:p>
        </w:tc>
        <w:tc>
          <w:tcPr>
            <w:tcW w:w="3720" w:type="dxa"/>
          </w:tcPr>
          <w:p>
            <w:pPr>
              <w:pStyle w:val="yTableNAm"/>
            </w:pPr>
            <w:r>
              <w:t>Copper Mahseer</w:t>
            </w:r>
          </w:p>
        </w:tc>
      </w:tr>
      <w:tr>
        <w:trPr>
          <w:cantSplit/>
        </w:trPr>
        <w:tc>
          <w:tcPr>
            <w:tcW w:w="3360" w:type="dxa"/>
          </w:tcPr>
          <w:p>
            <w:pPr>
              <w:pStyle w:val="yTableNAm"/>
              <w:rPr>
                <w:i/>
                <w:iCs/>
              </w:rPr>
            </w:pPr>
            <w:r>
              <w:rPr>
                <w:i/>
                <w:iCs/>
              </w:rPr>
              <w:t>Belonesox belizanus</w:t>
            </w:r>
          </w:p>
        </w:tc>
        <w:tc>
          <w:tcPr>
            <w:tcW w:w="3720" w:type="dxa"/>
          </w:tcPr>
          <w:p>
            <w:pPr>
              <w:pStyle w:val="yTableNAm"/>
            </w:pPr>
            <w:r>
              <w:t>Pike Minnow, Pike Killifish</w:t>
            </w:r>
          </w:p>
        </w:tc>
      </w:tr>
      <w:tr>
        <w:trPr>
          <w:cantSplit/>
        </w:trPr>
        <w:tc>
          <w:tcPr>
            <w:tcW w:w="3360" w:type="dxa"/>
          </w:tcPr>
          <w:p>
            <w:pPr>
              <w:pStyle w:val="yTableNAm"/>
              <w:rPr>
                <w:i/>
                <w:iCs/>
              </w:rPr>
            </w:pPr>
            <w:r>
              <w:rPr>
                <w:i/>
                <w:iCs/>
              </w:rPr>
              <w:t>Boulengerochromis microlepis</w:t>
            </w:r>
          </w:p>
        </w:tc>
        <w:tc>
          <w:tcPr>
            <w:tcW w:w="3720" w:type="dxa"/>
          </w:tcPr>
          <w:p>
            <w:pPr>
              <w:pStyle w:val="yTableNAm"/>
            </w:pPr>
            <w:r>
              <w:t>Giant Cichlid, Yellow</w:t>
            </w:r>
            <w:r>
              <w:noBreakHyphen/>
              <w:t>belly Cichlid</w:t>
            </w:r>
          </w:p>
        </w:tc>
      </w:tr>
      <w:tr>
        <w:trPr>
          <w:cantSplit/>
        </w:trPr>
        <w:tc>
          <w:tcPr>
            <w:tcW w:w="3360" w:type="dxa"/>
          </w:tcPr>
          <w:p>
            <w:pPr>
              <w:pStyle w:val="yTableNAm"/>
              <w:rPr>
                <w:i/>
                <w:iCs/>
              </w:rPr>
            </w:pPr>
            <w:r>
              <w:rPr>
                <w:i/>
                <w:iCs/>
              </w:rPr>
              <w:t>Catla catla</w:t>
            </w:r>
          </w:p>
        </w:tc>
        <w:tc>
          <w:tcPr>
            <w:tcW w:w="3720" w:type="dxa"/>
          </w:tcPr>
          <w:p>
            <w:pPr>
              <w:pStyle w:val="yTableNAm"/>
            </w:pPr>
            <w:r>
              <w:t>Catla</w:t>
            </w:r>
          </w:p>
        </w:tc>
      </w:tr>
      <w:tr>
        <w:trPr>
          <w:cantSplit/>
        </w:trPr>
        <w:tc>
          <w:tcPr>
            <w:tcW w:w="3360" w:type="dxa"/>
          </w:tcPr>
          <w:p>
            <w:pPr>
              <w:pStyle w:val="yTableNAm"/>
              <w:rPr>
                <w:i/>
                <w:iCs/>
              </w:rPr>
            </w:pPr>
            <w:r>
              <w:rPr>
                <w:i/>
                <w:iCs/>
              </w:rPr>
              <w:t>Catlocarpio siamensis</w:t>
            </w:r>
          </w:p>
        </w:tc>
        <w:tc>
          <w:tcPr>
            <w:tcW w:w="3720" w:type="dxa"/>
          </w:tcPr>
          <w:p>
            <w:pPr>
              <w:pStyle w:val="yTableNAm"/>
            </w:pPr>
            <w:r>
              <w:t>Giant Barb</w:t>
            </w:r>
          </w:p>
        </w:tc>
      </w:tr>
      <w:tr>
        <w:trPr>
          <w:cantSplit/>
        </w:trPr>
        <w:tc>
          <w:tcPr>
            <w:tcW w:w="3360" w:type="dxa"/>
          </w:tcPr>
          <w:p>
            <w:pPr>
              <w:pStyle w:val="yTableNAm"/>
              <w:rPr>
                <w:i/>
                <w:iCs/>
              </w:rPr>
            </w:pPr>
            <w:r>
              <w:rPr>
                <w:i/>
                <w:iCs/>
              </w:rPr>
              <w:t xml:space="preserve">Centrarchidae </w:t>
            </w:r>
            <w:r>
              <w:t>(entire family)</w:t>
            </w:r>
          </w:p>
        </w:tc>
        <w:tc>
          <w:tcPr>
            <w:tcW w:w="3720" w:type="dxa"/>
          </w:tcPr>
          <w:p>
            <w:pPr>
              <w:pStyle w:val="yTableNAm"/>
            </w:pPr>
            <w:r>
              <w:t>Banded Sunfish, Spotted Sunfish, Largemouth Bass, Bluegill</w:t>
            </w:r>
          </w:p>
        </w:tc>
      </w:tr>
      <w:tr>
        <w:trPr>
          <w:cantSplit/>
        </w:trPr>
        <w:tc>
          <w:tcPr>
            <w:tcW w:w="3360" w:type="dxa"/>
          </w:tcPr>
          <w:p>
            <w:pPr>
              <w:pStyle w:val="yTableNAm"/>
              <w:rPr>
                <w:i/>
                <w:iCs/>
              </w:rPr>
            </w:pPr>
            <w:r>
              <w:rPr>
                <w:i/>
                <w:iCs/>
              </w:rPr>
              <w:t xml:space="preserve">Centropomus </w:t>
            </w:r>
            <w:r>
              <w:t>(entire genus)</w:t>
            </w:r>
          </w:p>
        </w:tc>
        <w:tc>
          <w:tcPr>
            <w:tcW w:w="3720" w:type="dxa"/>
          </w:tcPr>
          <w:p>
            <w:pPr>
              <w:pStyle w:val="yTableNAm"/>
            </w:pPr>
            <w:r>
              <w:t>Snooks (American)</w:t>
            </w:r>
          </w:p>
        </w:tc>
      </w:tr>
      <w:tr>
        <w:trPr>
          <w:cantSplit/>
        </w:trPr>
        <w:tc>
          <w:tcPr>
            <w:tcW w:w="3360" w:type="dxa"/>
          </w:tcPr>
          <w:p>
            <w:pPr>
              <w:pStyle w:val="yTableNAm"/>
              <w:rPr>
                <w:i/>
                <w:iCs/>
              </w:rPr>
            </w:pPr>
            <w:r>
              <w:rPr>
                <w:i/>
                <w:iCs/>
              </w:rPr>
              <w:t>Chaca chaca</w:t>
            </w:r>
          </w:p>
        </w:tc>
        <w:tc>
          <w:tcPr>
            <w:tcW w:w="3720" w:type="dxa"/>
          </w:tcPr>
          <w:p>
            <w:pPr>
              <w:pStyle w:val="yTableNAm"/>
            </w:pPr>
            <w:r>
              <w:t>Angler, Frogmouth and Squarehead Catfish</w:t>
            </w:r>
          </w:p>
        </w:tc>
      </w:tr>
      <w:tr>
        <w:trPr>
          <w:cantSplit/>
        </w:trPr>
        <w:tc>
          <w:tcPr>
            <w:tcW w:w="3360" w:type="dxa"/>
          </w:tcPr>
          <w:p>
            <w:pPr>
              <w:pStyle w:val="yTableNAm"/>
              <w:rPr>
                <w:i/>
                <w:iCs/>
              </w:rPr>
            </w:pPr>
            <w:r>
              <w:rPr>
                <w:i/>
                <w:iCs/>
              </w:rPr>
              <w:t xml:space="preserve">Channa spp. </w:t>
            </w:r>
            <w:r>
              <w:t>(entire genus)</w:t>
            </w:r>
          </w:p>
        </w:tc>
        <w:tc>
          <w:tcPr>
            <w:tcW w:w="3720" w:type="dxa"/>
          </w:tcPr>
          <w:p>
            <w:pPr>
              <w:pStyle w:val="yTableNAm"/>
            </w:pPr>
            <w:r>
              <w:t>Snakehead</w:t>
            </w:r>
          </w:p>
        </w:tc>
      </w:tr>
      <w:tr>
        <w:trPr>
          <w:cantSplit/>
        </w:trPr>
        <w:tc>
          <w:tcPr>
            <w:tcW w:w="3360" w:type="dxa"/>
          </w:tcPr>
          <w:p>
            <w:pPr>
              <w:pStyle w:val="yTableNAm"/>
              <w:rPr>
                <w:i/>
                <w:iCs/>
              </w:rPr>
            </w:pPr>
            <w:r>
              <w:rPr>
                <w:i/>
                <w:iCs/>
              </w:rPr>
              <w:t>Cirrhinus cirrhosus</w:t>
            </w:r>
          </w:p>
        </w:tc>
        <w:tc>
          <w:tcPr>
            <w:tcW w:w="3720" w:type="dxa"/>
          </w:tcPr>
          <w:p>
            <w:pPr>
              <w:pStyle w:val="yTableNAm"/>
            </w:pPr>
            <w:r>
              <w:t>Mrigal</w:t>
            </w:r>
          </w:p>
        </w:tc>
      </w:tr>
      <w:tr>
        <w:trPr>
          <w:cantSplit/>
        </w:trPr>
        <w:tc>
          <w:tcPr>
            <w:tcW w:w="3360" w:type="dxa"/>
          </w:tcPr>
          <w:p>
            <w:pPr>
              <w:pStyle w:val="yTableNAm"/>
              <w:rPr>
                <w:i/>
                <w:iCs/>
              </w:rPr>
            </w:pPr>
            <w:r>
              <w:rPr>
                <w:i/>
                <w:iCs/>
              </w:rPr>
              <w:t xml:space="preserve">Clarias spp. </w:t>
            </w:r>
            <w:r>
              <w:t>(entire genus)</w:t>
            </w:r>
          </w:p>
        </w:tc>
        <w:tc>
          <w:tcPr>
            <w:tcW w:w="3720" w:type="dxa"/>
          </w:tcPr>
          <w:p>
            <w:pPr>
              <w:pStyle w:val="yTableNAm"/>
            </w:pPr>
            <w:r>
              <w:t>Walking Catfish</w:t>
            </w:r>
          </w:p>
        </w:tc>
      </w:tr>
      <w:tr>
        <w:trPr>
          <w:cantSplit/>
        </w:trPr>
        <w:tc>
          <w:tcPr>
            <w:tcW w:w="3360" w:type="dxa"/>
          </w:tcPr>
          <w:p>
            <w:pPr>
              <w:pStyle w:val="yTableNAm"/>
              <w:rPr>
                <w:i/>
                <w:iCs/>
              </w:rPr>
            </w:pPr>
            <w:r>
              <w:rPr>
                <w:i/>
                <w:iCs/>
              </w:rPr>
              <w:t xml:space="preserve">Colossoma spp. </w:t>
            </w:r>
            <w:r>
              <w:t>(entire genus)</w:t>
            </w:r>
          </w:p>
        </w:tc>
        <w:tc>
          <w:tcPr>
            <w:tcW w:w="3720" w:type="dxa"/>
          </w:tcPr>
          <w:p>
            <w:pPr>
              <w:pStyle w:val="yTableNAm"/>
            </w:pPr>
            <w:r>
              <w:t>Tambaqui Pacu, Pirapitinga</w:t>
            </w:r>
          </w:p>
        </w:tc>
      </w:tr>
      <w:tr>
        <w:trPr>
          <w:cantSplit/>
        </w:trPr>
        <w:tc>
          <w:tcPr>
            <w:tcW w:w="3360" w:type="dxa"/>
          </w:tcPr>
          <w:p>
            <w:pPr>
              <w:pStyle w:val="yTableNAm"/>
              <w:rPr>
                <w:i/>
                <w:iCs/>
              </w:rPr>
            </w:pPr>
            <w:r>
              <w:rPr>
                <w:i/>
                <w:iCs/>
              </w:rPr>
              <w:t>Crenicichla lepidota</w:t>
            </w:r>
          </w:p>
        </w:tc>
        <w:tc>
          <w:tcPr>
            <w:tcW w:w="3720" w:type="dxa"/>
          </w:tcPr>
          <w:p>
            <w:pPr>
              <w:pStyle w:val="yTableNAm"/>
            </w:pPr>
            <w:r>
              <w:t>Pike Cichlid</w:t>
            </w:r>
          </w:p>
        </w:tc>
      </w:tr>
      <w:tr>
        <w:trPr>
          <w:cantSplit/>
        </w:trPr>
        <w:tc>
          <w:tcPr>
            <w:tcW w:w="3360" w:type="dxa"/>
          </w:tcPr>
          <w:p>
            <w:pPr>
              <w:pStyle w:val="yTableNAm"/>
              <w:rPr>
                <w:i/>
                <w:iCs/>
              </w:rPr>
            </w:pPr>
            <w:r>
              <w:rPr>
                <w:i/>
                <w:iCs/>
              </w:rPr>
              <w:t>Ctenopharyngodon idella</w:t>
            </w:r>
          </w:p>
        </w:tc>
        <w:tc>
          <w:tcPr>
            <w:tcW w:w="3720" w:type="dxa"/>
          </w:tcPr>
          <w:p>
            <w:pPr>
              <w:pStyle w:val="yTableNAm"/>
            </w:pPr>
            <w:r>
              <w:t>Grass Carp</w:t>
            </w:r>
          </w:p>
        </w:tc>
      </w:tr>
      <w:tr>
        <w:trPr>
          <w:cantSplit/>
        </w:trPr>
        <w:tc>
          <w:tcPr>
            <w:tcW w:w="3360" w:type="dxa"/>
          </w:tcPr>
          <w:p>
            <w:pPr>
              <w:pStyle w:val="yTableNAm"/>
              <w:rPr>
                <w:i/>
                <w:iCs/>
              </w:rPr>
            </w:pPr>
            <w:r>
              <w:rPr>
                <w:i/>
                <w:iCs/>
              </w:rPr>
              <w:t>Culaea inconstans</w:t>
            </w:r>
          </w:p>
        </w:tc>
        <w:tc>
          <w:tcPr>
            <w:tcW w:w="3720" w:type="dxa"/>
          </w:tcPr>
          <w:p>
            <w:pPr>
              <w:pStyle w:val="yTableNAm"/>
            </w:pPr>
            <w:r>
              <w:t>Brook Stickleback</w:t>
            </w:r>
          </w:p>
        </w:tc>
      </w:tr>
      <w:tr>
        <w:trPr>
          <w:cantSplit/>
        </w:trPr>
        <w:tc>
          <w:tcPr>
            <w:tcW w:w="3360" w:type="dxa"/>
          </w:tcPr>
          <w:p>
            <w:pPr>
              <w:pStyle w:val="yTableNAm"/>
              <w:rPr>
                <w:i/>
                <w:iCs/>
              </w:rPr>
            </w:pPr>
            <w:r>
              <w:rPr>
                <w:i/>
                <w:iCs/>
              </w:rPr>
              <w:t xml:space="preserve">Elassoma spp. </w:t>
            </w:r>
            <w:r>
              <w:t>(entire genus)</w:t>
            </w:r>
          </w:p>
        </w:tc>
        <w:tc>
          <w:tcPr>
            <w:tcW w:w="3720" w:type="dxa"/>
          </w:tcPr>
          <w:p>
            <w:pPr>
              <w:pStyle w:val="yTableNAm"/>
            </w:pPr>
            <w:r>
              <w:t>Pygmy Sunfish</w:t>
            </w:r>
          </w:p>
        </w:tc>
      </w:tr>
      <w:tr>
        <w:trPr>
          <w:cantSplit/>
        </w:trPr>
        <w:tc>
          <w:tcPr>
            <w:tcW w:w="3360" w:type="dxa"/>
          </w:tcPr>
          <w:p>
            <w:pPr>
              <w:pStyle w:val="yTableNAm"/>
              <w:rPr>
                <w:i/>
                <w:iCs/>
              </w:rPr>
            </w:pPr>
            <w:r>
              <w:rPr>
                <w:i/>
                <w:iCs/>
              </w:rPr>
              <w:t>Electrophorus electricus</w:t>
            </w:r>
          </w:p>
        </w:tc>
        <w:tc>
          <w:tcPr>
            <w:tcW w:w="3720" w:type="dxa"/>
          </w:tcPr>
          <w:p>
            <w:pPr>
              <w:pStyle w:val="yTableNAm"/>
            </w:pPr>
            <w:r>
              <w:t>Electric Eel</w:t>
            </w:r>
          </w:p>
        </w:tc>
      </w:tr>
      <w:tr>
        <w:trPr>
          <w:cantSplit/>
        </w:trPr>
        <w:tc>
          <w:tcPr>
            <w:tcW w:w="3360" w:type="dxa"/>
          </w:tcPr>
          <w:p>
            <w:pPr>
              <w:pStyle w:val="yTableNAm"/>
              <w:rPr>
                <w:i/>
                <w:iCs/>
              </w:rPr>
            </w:pPr>
            <w:r>
              <w:rPr>
                <w:i/>
                <w:iCs/>
              </w:rPr>
              <w:t xml:space="preserve">Erythrinus spp. </w:t>
            </w:r>
            <w:r>
              <w:t>(entire genus)</w:t>
            </w:r>
          </w:p>
        </w:tc>
        <w:tc>
          <w:tcPr>
            <w:tcW w:w="3720" w:type="dxa"/>
          </w:tcPr>
          <w:p>
            <w:pPr>
              <w:pStyle w:val="yTableNAm"/>
            </w:pPr>
            <w:r>
              <w:t>Trahiras (Various)</w:t>
            </w:r>
          </w:p>
        </w:tc>
      </w:tr>
      <w:tr>
        <w:trPr>
          <w:cantSplit/>
        </w:trPr>
        <w:tc>
          <w:tcPr>
            <w:tcW w:w="3360" w:type="dxa"/>
          </w:tcPr>
          <w:p>
            <w:pPr>
              <w:pStyle w:val="yTableNAm"/>
              <w:rPr>
                <w:i/>
                <w:iCs/>
              </w:rPr>
            </w:pPr>
            <w:r>
              <w:rPr>
                <w:i/>
                <w:iCs/>
              </w:rPr>
              <w:t xml:space="preserve">Esox spp. </w:t>
            </w:r>
            <w:r>
              <w:t>(entire genus)</w:t>
            </w:r>
          </w:p>
        </w:tc>
        <w:tc>
          <w:tcPr>
            <w:tcW w:w="3720" w:type="dxa"/>
          </w:tcPr>
          <w:p>
            <w:pPr>
              <w:pStyle w:val="yTableNAm"/>
            </w:pPr>
            <w:r>
              <w:t>Pikes (Freshwater)</w:t>
            </w:r>
          </w:p>
        </w:tc>
      </w:tr>
      <w:tr>
        <w:trPr>
          <w:cantSplit/>
        </w:trPr>
        <w:tc>
          <w:tcPr>
            <w:tcW w:w="3360" w:type="dxa"/>
          </w:tcPr>
          <w:p>
            <w:pPr>
              <w:pStyle w:val="yTableNAm"/>
              <w:rPr>
                <w:i/>
                <w:iCs/>
              </w:rPr>
            </w:pPr>
            <w:r>
              <w:rPr>
                <w:i/>
                <w:iCs/>
              </w:rPr>
              <w:t xml:space="preserve">Gambusia spp. </w:t>
            </w:r>
            <w:r>
              <w:t>(entire genus)</w:t>
            </w:r>
          </w:p>
        </w:tc>
        <w:tc>
          <w:tcPr>
            <w:tcW w:w="3720" w:type="dxa"/>
          </w:tcPr>
          <w:p>
            <w:pPr>
              <w:pStyle w:val="yTableNAm"/>
            </w:pPr>
            <w:r>
              <w:t>Mosquito Fish</w:t>
            </w:r>
          </w:p>
        </w:tc>
      </w:tr>
      <w:tr>
        <w:trPr>
          <w:cantSplit/>
        </w:trPr>
        <w:tc>
          <w:tcPr>
            <w:tcW w:w="3360" w:type="dxa"/>
          </w:tcPr>
          <w:p>
            <w:pPr>
              <w:pStyle w:val="yTableNAm"/>
              <w:rPr>
                <w:i/>
                <w:iCs/>
              </w:rPr>
            </w:pPr>
            <w:r>
              <w:rPr>
                <w:i/>
                <w:iCs/>
              </w:rPr>
              <w:t>Gymnarchus niloticus</w:t>
            </w:r>
          </w:p>
        </w:tc>
        <w:tc>
          <w:tcPr>
            <w:tcW w:w="3720" w:type="dxa"/>
          </w:tcPr>
          <w:p>
            <w:pPr>
              <w:pStyle w:val="yTableNAm"/>
            </w:pPr>
            <w:smartTag w:uri="urn:schemas-microsoft-com:office:smarttags" w:element="City">
              <w:r>
                <w:t>Aba</w:t>
              </w:r>
            </w:smartTag>
            <w:r>
              <w:t xml:space="preserve"> </w:t>
            </w:r>
            <w:smartTag w:uri="urn:schemas-microsoft-com:office:smarttags" w:element="place">
              <w:smartTag w:uri="urn:schemas-microsoft-com:office:smarttags" w:element="City">
                <w:r>
                  <w:t>Aba</w:t>
                </w:r>
              </w:smartTag>
            </w:smartTag>
          </w:p>
        </w:tc>
      </w:tr>
      <w:tr>
        <w:trPr>
          <w:cantSplit/>
        </w:trPr>
        <w:tc>
          <w:tcPr>
            <w:tcW w:w="3360" w:type="dxa"/>
          </w:tcPr>
          <w:p>
            <w:pPr>
              <w:pStyle w:val="yTableNAm"/>
              <w:rPr>
                <w:i/>
                <w:iCs/>
              </w:rPr>
            </w:pPr>
            <w:r>
              <w:rPr>
                <w:i/>
                <w:iCs/>
              </w:rPr>
              <w:t>Hemichromis fasciatus</w:t>
            </w:r>
          </w:p>
        </w:tc>
        <w:tc>
          <w:tcPr>
            <w:tcW w:w="3720" w:type="dxa"/>
          </w:tcPr>
          <w:p>
            <w:pPr>
              <w:pStyle w:val="yTableNAm"/>
            </w:pPr>
            <w:r>
              <w:t>Banded Jewelfish</w:t>
            </w:r>
          </w:p>
        </w:tc>
      </w:tr>
      <w:tr>
        <w:trPr>
          <w:cantSplit/>
        </w:trPr>
        <w:tc>
          <w:tcPr>
            <w:tcW w:w="3360" w:type="dxa"/>
          </w:tcPr>
          <w:p>
            <w:pPr>
              <w:pStyle w:val="yTableNAm"/>
              <w:rPr>
                <w:i/>
                <w:iCs/>
              </w:rPr>
            </w:pPr>
            <w:r>
              <w:rPr>
                <w:i/>
                <w:iCs/>
              </w:rPr>
              <w:t>Hepsetus odoe</w:t>
            </w:r>
          </w:p>
        </w:tc>
        <w:tc>
          <w:tcPr>
            <w:tcW w:w="3720" w:type="dxa"/>
          </w:tcPr>
          <w:p>
            <w:pPr>
              <w:pStyle w:val="yTableNAm"/>
            </w:pPr>
            <w:r>
              <w:t>African Pike</w:t>
            </w:r>
          </w:p>
        </w:tc>
      </w:tr>
      <w:tr>
        <w:trPr>
          <w:cantSplit/>
        </w:trPr>
        <w:tc>
          <w:tcPr>
            <w:tcW w:w="3360" w:type="dxa"/>
          </w:tcPr>
          <w:p>
            <w:pPr>
              <w:pStyle w:val="yTableNAm"/>
              <w:rPr>
                <w:i/>
                <w:iCs/>
              </w:rPr>
            </w:pPr>
            <w:r>
              <w:rPr>
                <w:i/>
                <w:iCs/>
              </w:rPr>
              <w:t>Heteropneustes fossilis</w:t>
            </w:r>
          </w:p>
        </w:tc>
        <w:tc>
          <w:tcPr>
            <w:tcW w:w="3720" w:type="dxa"/>
          </w:tcPr>
          <w:p>
            <w:pPr>
              <w:pStyle w:val="yTableNAm"/>
            </w:pPr>
            <w:r>
              <w:t>Stinging Catfish</w:t>
            </w:r>
          </w:p>
        </w:tc>
      </w:tr>
      <w:tr>
        <w:trPr>
          <w:cantSplit/>
        </w:trPr>
        <w:tc>
          <w:tcPr>
            <w:tcW w:w="3360" w:type="dxa"/>
          </w:tcPr>
          <w:p>
            <w:pPr>
              <w:pStyle w:val="yTableNAm"/>
              <w:rPr>
                <w:i/>
                <w:iCs/>
              </w:rPr>
            </w:pPr>
            <w:r>
              <w:rPr>
                <w:i/>
                <w:iCs/>
              </w:rPr>
              <w:t xml:space="preserve">Hoplerythrinus spp. </w:t>
            </w:r>
            <w:r>
              <w:t>(entire genus)</w:t>
            </w:r>
          </w:p>
        </w:tc>
        <w:tc>
          <w:tcPr>
            <w:tcW w:w="3720" w:type="dxa"/>
          </w:tcPr>
          <w:p>
            <w:pPr>
              <w:pStyle w:val="yTableNAm"/>
            </w:pPr>
            <w:r>
              <w:t>Trahiras (Various)</w:t>
            </w:r>
          </w:p>
        </w:tc>
      </w:tr>
      <w:tr>
        <w:trPr>
          <w:cantSplit/>
        </w:trPr>
        <w:tc>
          <w:tcPr>
            <w:tcW w:w="3360" w:type="dxa"/>
          </w:tcPr>
          <w:p>
            <w:pPr>
              <w:pStyle w:val="yTableNAm"/>
              <w:rPr>
                <w:i/>
                <w:iCs/>
              </w:rPr>
            </w:pPr>
            <w:r>
              <w:rPr>
                <w:i/>
                <w:iCs/>
              </w:rPr>
              <w:t xml:space="preserve">Hoplias spp. </w:t>
            </w:r>
            <w:r>
              <w:t>(entire genus)</w:t>
            </w:r>
          </w:p>
        </w:tc>
        <w:tc>
          <w:tcPr>
            <w:tcW w:w="3720" w:type="dxa"/>
          </w:tcPr>
          <w:p>
            <w:pPr>
              <w:pStyle w:val="yTableNAm"/>
            </w:pPr>
            <w:r>
              <w:t>Trahiras (Various)</w:t>
            </w:r>
          </w:p>
        </w:tc>
      </w:tr>
      <w:tr>
        <w:trPr>
          <w:cantSplit/>
        </w:trPr>
        <w:tc>
          <w:tcPr>
            <w:tcW w:w="3360" w:type="dxa"/>
          </w:tcPr>
          <w:p>
            <w:pPr>
              <w:pStyle w:val="yTableNAm"/>
              <w:rPr>
                <w:i/>
                <w:iCs/>
              </w:rPr>
            </w:pPr>
            <w:r>
              <w:rPr>
                <w:i/>
                <w:iCs/>
              </w:rPr>
              <w:t xml:space="preserve">Hydrocynus spp. </w:t>
            </w:r>
            <w:r>
              <w:t>(entire genus)</w:t>
            </w:r>
          </w:p>
        </w:tc>
        <w:tc>
          <w:tcPr>
            <w:tcW w:w="3720" w:type="dxa"/>
          </w:tcPr>
          <w:p>
            <w:pPr>
              <w:pStyle w:val="yTableNAm"/>
            </w:pPr>
            <w:r>
              <w:t>Tigerfish</w:t>
            </w:r>
          </w:p>
        </w:tc>
      </w:tr>
      <w:tr>
        <w:trPr>
          <w:cantSplit/>
        </w:trPr>
        <w:tc>
          <w:tcPr>
            <w:tcW w:w="3360" w:type="dxa"/>
          </w:tcPr>
          <w:p>
            <w:pPr>
              <w:pStyle w:val="yTableNAm"/>
              <w:rPr>
                <w:i/>
                <w:iCs/>
              </w:rPr>
            </w:pPr>
            <w:r>
              <w:rPr>
                <w:i/>
                <w:iCs/>
              </w:rPr>
              <w:t>Hypophthalmichthys molitrix</w:t>
            </w:r>
          </w:p>
        </w:tc>
        <w:tc>
          <w:tcPr>
            <w:tcW w:w="3720" w:type="dxa"/>
          </w:tcPr>
          <w:p>
            <w:pPr>
              <w:pStyle w:val="yTableNAm"/>
            </w:pPr>
            <w:r>
              <w:t>Silver Carp</w:t>
            </w:r>
          </w:p>
        </w:tc>
      </w:tr>
      <w:tr>
        <w:trPr>
          <w:cantSplit/>
        </w:trPr>
        <w:tc>
          <w:tcPr>
            <w:tcW w:w="3360" w:type="dxa"/>
          </w:tcPr>
          <w:p>
            <w:pPr>
              <w:pStyle w:val="yTableNAm"/>
              <w:rPr>
                <w:i/>
                <w:iCs/>
              </w:rPr>
            </w:pPr>
            <w:r>
              <w:rPr>
                <w:i/>
                <w:iCs/>
              </w:rPr>
              <w:t xml:space="preserve">Ichthyborinae </w:t>
            </w:r>
            <w:r>
              <w:t>(Entire Subfamily)</w:t>
            </w:r>
          </w:p>
        </w:tc>
        <w:tc>
          <w:tcPr>
            <w:tcW w:w="3720" w:type="dxa"/>
          </w:tcPr>
          <w:p>
            <w:pPr>
              <w:pStyle w:val="yTableNAm"/>
            </w:pPr>
            <w:r>
              <w:t>African Pike</w:t>
            </w:r>
            <w:r>
              <w:noBreakHyphen/>
              <w:t>characin, Tubenose poacher, Fin Eater</w:t>
            </w:r>
          </w:p>
        </w:tc>
      </w:tr>
      <w:tr>
        <w:trPr>
          <w:cantSplit/>
        </w:trPr>
        <w:tc>
          <w:tcPr>
            <w:tcW w:w="3360" w:type="dxa"/>
          </w:tcPr>
          <w:p>
            <w:pPr>
              <w:pStyle w:val="yTableNAm"/>
              <w:rPr>
                <w:i/>
                <w:iCs/>
              </w:rPr>
            </w:pPr>
            <w:r>
              <w:rPr>
                <w:i/>
                <w:iCs/>
              </w:rPr>
              <w:t>Labeo calbasu</w:t>
            </w:r>
          </w:p>
        </w:tc>
        <w:tc>
          <w:tcPr>
            <w:tcW w:w="3720" w:type="dxa"/>
          </w:tcPr>
          <w:p>
            <w:pPr>
              <w:pStyle w:val="yTableNAm"/>
            </w:pPr>
            <w:r>
              <w:t>Orange Fin Labeo</w:t>
            </w:r>
          </w:p>
        </w:tc>
      </w:tr>
      <w:tr>
        <w:trPr>
          <w:cantSplit/>
        </w:trPr>
        <w:tc>
          <w:tcPr>
            <w:tcW w:w="3360" w:type="dxa"/>
          </w:tcPr>
          <w:p>
            <w:pPr>
              <w:pStyle w:val="yTableNAm"/>
              <w:rPr>
                <w:i/>
                <w:iCs/>
              </w:rPr>
            </w:pPr>
            <w:r>
              <w:rPr>
                <w:i/>
                <w:iCs/>
              </w:rPr>
              <w:t>Labeo rohita</w:t>
            </w:r>
          </w:p>
        </w:tc>
        <w:tc>
          <w:tcPr>
            <w:tcW w:w="3720" w:type="dxa"/>
          </w:tcPr>
          <w:p>
            <w:pPr>
              <w:pStyle w:val="yTableNAm"/>
            </w:pPr>
            <w:r>
              <w:t>Rohu</w:t>
            </w:r>
          </w:p>
        </w:tc>
      </w:tr>
      <w:tr>
        <w:trPr>
          <w:cantSplit/>
        </w:trPr>
        <w:tc>
          <w:tcPr>
            <w:tcW w:w="3360" w:type="dxa"/>
          </w:tcPr>
          <w:p>
            <w:pPr>
              <w:pStyle w:val="yTableNAm"/>
              <w:rPr>
                <w:i/>
                <w:iCs/>
              </w:rPr>
            </w:pPr>
            <w:r>
              <w:rPr>
                <w:i/>
                <w:iCs/>
              </w:rPr>
              <w:t>Lates microlepis</w:t>
            </w:r>
          </w:p>
        </w:tc>
        <w:tc>
          <w:tcPr>
            <w:tcW w:w="3720" w:type="dxa"/>
          </w:tcPr>
          <w:p>
            <w:pPr>
              <w:pStyle w:val="yTableNAm"/>
            </w:pPr>
            <w:r>
              <w:t>Forktail Lates</w:t>
            </w:r>
          </w:p>
        </w:tc>
      </w:tr>
      <w:tr>
        <w:trPr>
          <w:cantSplit/>
        </w:trPr>
        <w:tc>
          <w:tcPr>
            <w:tcW w:w="3360" w:type="dxa"/>
          </w:tcPr>
          <w:p>
            <w:pPr>
              <w:pStyle w:val="yTableNAm"/>
              <w:rPr>
                <w:i/>
                <w:iCs/>
              </w:rPr>
            </w:pPr>
            <w:r>
              <w:rPr>
                <w:i/>
                <w:iCs/>
              </w:rPr>
              <w:t>Lates niloticus</w:t>
            </w:r>
          </w:p>
        </w:tc>
        <w:tc>
          <w:tcPr>
            <w:tcW w:w="3720" w:type="dxa"/>
          </w:tcPr>
          <w:p>
            <w:pPr>
              <w:pStyle w:val="yTableNAm"/>
            </w:pPr>
            <w:smartTag w:uri="urn:schemas-microsoft-com:office:smarttags" w:element="place">
              <w:r>
                <w:t>Nile</w:t>
              </w:r>
            </w:smartTag>
            <w:r>
              <w:t xml:space="preserve"> Perch</w:t>
            </w:r>
          </w:p>
        </w:tc>
      </w:tr>
      <w:tr>
        <w:trPr>
          <w:cantSplit/>
        </w:trPr>
        <w:tc>
          <w:tcPr>
            <w:tcW w:w="3360" w:type="dxa"/>
          </w:tcPr>
          <w:p>
            <w:pPr>
              <w:pStyle w:val="yTableNAm"/>
              <w:rPr>
                <w:i/>
                <w:iCs/>
              </w:rPr>
            </w:pPr>
            <w:r>
              <w:rPr>
                <w:i/>
                <w:iCs/>
              </w:rPr>
              <w:t xml:space="preserve">Malapterurus spp. </w:t>
            </w:r>
            <w:r>
              <w:t>(entire genus)</w:t>
            </w:r>
          </w:p>
        </w:tc>
        <w:tc>
          <w:tcPr>
            <w:tcW w:w="3720" w:type="dxa"/>
          </w:tcPr>
          <w:p>
            <w:pPr>
              <w:pStyle w:val="yTableNAm"/>
            </w:pPr>
            <w:r>
              <w:t>Electric Catfish</w:t>
            </w:r>
          </w:p>
        </w:tc>
      </w:tr>
      <w:tr>
        <w:trPr>
          <w:cantSplit/>
        </w:trPr>
        <w:tc>
          <w:tcPr>
            <w:tcW w:w="3360" w:type="dxa"/>
          </w:tcPr>
          <w:p>
            <w:pPr>
              <w:pStyle w:val="yTableNAm"/>
              <w:rPr>
                <w:i/>
                <w:iCs/>
              </w:rPr>
            </w:pPr>
            <w:r>
              <w:rPr>
                <w:i/>
                <w:iCs/>
              </w:rPr>
              <w:t>Melanotheron melanotheron</w:t>
            </w:r>
          </w:p>
        </w:tc>
        <w:tc>
          <w:tcPr>
            <w:tcW w:w="3720" w:type="dxa"/>
          </w:tcPr>
          <w:p>
            <w:pPr>
              <w:pStyle w:val="yTableNAm"/>
            </w:pPr>
            <w:r>
              <w:t>Blackchin Tilapia</w:t>
            </w:r>
          </w:p>
        </w:tc>
      </w:tr>
      <w:tr>
        <w:trPr>
          <w:cantSplit/>
        </w:trPr>
        <w:tc>
          <w:tcPr>
            <w:tcW w:w="3360" w:type="dxa"/>
          </w:tcPr>
          <w:p>
            <w:pPr>
              <w:pStyle w:val="yTableNAm"/>
              <w:rPr>
                <w:i/>
                <w:iCs/>
              </w:rPr>
            </w:pPr>
            <w:r>
              <w:rPr>
                <w:i/>
                <w:iCs/>
              </w:rPr>
              <w:t>Misgurnus anguillicaudatus</w:t>
            </w:r>
          </w:p>
        </w:tc>
        <w:tc>
          <w:tcPr>
            <w:tcW w:w="3720" w:type="dxa"/>
          </w:tcPr>
          <w:p>
            <w:pPr>
              <w:pStyle w:val="yTableNAm"/>
            </w:pPr>
            <w:r>
              <w:t>Weatherloach</w:t>
            </w:r>
          </w:p>
        </w:tc>
      </w:tr>
      <w:tr>
        <w:trPr>
          <w:cantSplit/>
        </w:trPr>
        <w:tc>
          <w:tcPr>
            <w:tcW w:w="3360" w:type="dxa"/>
          </w:tcPr>
          <w:p>
            <w:pPr>
              <w:pStyle w:val="yTableNAm"/>
              <w:rPr>
                <w:i/>
                <w:iCs/>
              </w:rPr>
            </w:pPr>
            <w:r>
              <w:rPr>
                <w:i/>
                <w:iCs/>
              </w:rPr>
              <w:t>Mormyrops anguilloides</w:t>
            </w:r>
          </w:p>
        </w:tc>
        <w:tc>
          <w:tcPr>
            <w:tcW w:w="3720" w:type="dxa"/>
          </w:tcPr>
          <w:p>
            <w:pPr>
              <w:pStyle w:val="yTableNAm"/>
            </w:pPr>
            <w:r>
              <w:t>Cornish Jack, Bottlenose</w:t>
            </w:r>
          </w:p>
        </w:tc>
      </w:tr>
      <w:tr>
        <w:trPr>
          <w:cantSplit/>
        </w:trPr>
        <w:tc>
          <w:tcPr>
            <w:tcW w:w="3360" w:type="dxa"/>
          </w:tcPr>
          <w:p>
            <w:pPr>
              <w:pStyle w:val="yTableNAm"/>
              <w:rPr>
                <w:i/>
                <w:iCs/>
              </w:rPr>
            </w:pPr>
            <w:r>
              <w:rPr>
                <w:i/>
                <w:iCs/>
              </w:rPr>
              <w:t xml:space="preserve">Mytilopsis spp. </w:t>
            </w:r>
            <w:r>
              <w:t>(entire genus) and</w:t>
            </w:r>
            <w:r>
              <w:rPr>
                <w:i/>
                <w:iCs/>
              </w:rPr>
              <w:t xml:space="preserve"> Congeria spp. </w:t>
            </w:r>
            <w:r>
              <w:t>(entire genus)</w:t>
            </w:r>
          </w:p>
        </w:tc>
        <w:tc>
          <w:tcPr>
            <w:tcW w:w="3720" w:type="dxa"/>
          </w:tcPr>
          <w:p>
            <w:pPr>
              <w:pStyle w:val="yTableNAm"/>
            </w:pPr>
            <w:r>
              <w:t>Black Striped Mussel</w:t>
            </w:r>
          </w:p>
        </w:tc>
      </w:tr>
      <w:tr>
        <w:trPr>
          <w:cantSplit/>
        </w:trPr>
        <w:tc>
          <w:tcPr>
            <w:tcW w:w="3360" w:type="dxa"/>
          </w:tcPr>
          <w:p>
            <w:pPr>
              <w:pStyle w:val="yTableNAm"/>
              <w:rPr>
                <w:i/>
                <w:iCs/>
              </w:rPr>
            </w:pPr>
            <w:r>
              <w:rPr>
                <w:i/>
                <w:iCs/>
              </w:rPr>
              <w:t xml:space="preserve">Notropis spp. </w:t>
            </w:r>
            <w:r>
              <w:t>(entire genus)</w:t>
            </w:r>
          </w:p>
        </w:tc>
        <w:tc>
          <w:tcPr>
            <w:tcW w:w="3720" w:type="dxa"/>
          </w:tcPr>
          <w:p>
            <w:pPr>
              <w:pStyle w:val="yTableNAm"/>
            </w:pPr>
            <w:r>
              <w:t>Shiners</w:t>
            </w:r>
          </w:p>
        </w:tc>
      </w:tr>
      <w:tr>
        <w:trPr>
          <w:cantSplit/>
        </w:trPr>
        <w:tc>
          <w:tcPr>
            <w:tcW w:w="3360" w:type="dxa"/>
          </w:tcPr>
          <w:p>
            <w:pPr>
              <w:pStyle w:val="yTableNAm"/>
              <w:rPr>
                <w:i/>
                <w:iCs/>
              </w:rPr>
            </w:pPr>
            <w:r>
              <w:rPr>
                <w:i/>
                <w:iCs/>
              </w:rPr>
              <w:t xml:space="preserve">Oreochromis spp. </w:t>
            </w:r>
            <w:r>
              <w:t>(entire genus)</w:t>
            </w:r>
          </w:p>
        </w:tc>
        <w:tc>
          <w:tcPr>
            <w:tcW w:w="3720" w:type="dxa"/>
          </w:tcPr>
          <w:p>
            <w:pPr>
              <w:pStyle w:val="yTableNAm"/>
            </w:pPr>
            <w:r>
              <w:t>Tilapia (Various)</w:t>
            </w:r>
          </w:p>
        </w:tc>
      </w:tr>
      <w:tr>
        <w:trPr>
          <w:cantSplit/>
        </w:trPr>
        <w:tc>
          <w:tcPr>
            <w:tcW w:w="3360" w:type="dxa"/>
          </w:tcPr>
          <w:p>
            <w:pPr>
              <w:pStyle w:val="yTableNAm"/>
              <w:rPr>
                <w:i/>
                <w:iCs/>
              </w:rPr>
            </w:pPr>
            <w:r>
              <w:rPr>
                <w:i/>
                <w:iCs/>
              </w:rPr>
              <w:t xml:space="preserve">Oxydoras spp. </w:t>
            </w:r>
            <w:r>
              <w:t>(entire genus)</w:t>
            </w:r>
          </w:p>
        </w:tc>
        <w:tc>
          <w:tcPr>
            <w:tcW w:w="3720" w:type="dxa"/>
          </w:tcPr>
          <w:p>
            <w:pPr>
              <w:pStyle w:val="yTableNAm"/>
            </w:pPr>
            <w:r>
              <w:t>Ripsaw Catfish, Black Doras, Black Shielded Catfish</w:t>
            </w:r>
          </w:p>
        </w:tc>
      </w:tr>
      <w:tr>
        <w:trPr>
          <w:cantSplit/>
        </w:trPr>
        <w:tc>
          <w:tcPr>
            <w:tcW w:w="3360" w:type="dxa"/>
          </w:tcPr>
          <w:p>
            <w:pPr>
              <w:pStyle w:val="yTableNAm"/>
              <w:rPr>
                <w:i/>
                <w:iCs/>
              </w:rPr>
            </w:pPr>
            <w:r>
              <w:rPr>
                <w:i/>
                <w:iCs/>
              </w:rPr>
              <w:t>Oxyeleotris marmorata</w:t>
            </w:r>
          </w:p>
        </w:tc>
        <w:tc>
          <w:tcPr>
            <w:tcW w:w="3720" w:type="dxa"/>
          </w:tcPr>
          <w:p>
            <w:pPr>
              <w:pStyle w:val="yTableNAm"/>
            </w:pPr>
            <w:r>
              <w:t>Marble Goby</w:t>
            </w:r>
          </w:p>
        </w:tc>
      </w:tr>
      <w:tr>
        <w:trPr>
          <w:cantSplit/>
        </w:trPr>
        <w:tc>
          <w:tcPr>
            <w:tcW w:w="3360" w:type="dxa"/>
          </w:tcPr>
          <w:p>
            <w:pPr>
              <w:pStyle w:val="yTableNAm"/>
              <w:rPr>
                <w:i/>
                <w:iCs/>
              </w:rPr>
            </w:pPr>
            <w:r>
              <w:rPr>
                <w:i/>
                <w:iCs/>
              </w:rPr>
              <w:t>Paravandelia oxyptera</w:t>
            </w:r>
          </w:p>
        </w:tc>
        <w:tc>
          <w:tcPr>
            <w:tcW w:w="3720" w:type="dxa"/>
          </w:tcPr>
          <w:p>
            <w:pPr>
              <w:pStyle w:val="yTableNAm"/>
            </w:pPr>
            <w:r>
              <w:t>Parasitic Catfish</w:t>
            </w:r>
          </w:p>
        </w:tc>
      </w:tr>
      <w:tr>
        <w:trPr>
          <w:cantSplit/>
        </w:trPr>
        <w:tc>
          <w:tcPr>
            <w:tcW w:w="3360" w:type="dxa"/>
          </w:tcPr>
          <w:p>
            <w:pPr>
              <w:pStyle w:val="yTableNAm"/>
              <w:rPr>
                <w:i/>
                <w:iCs/>
              </w:rPr>
            </w:pPr>
            <w:r>
              <w:rPr>
                <w:i/>
                <w:iCs/>
              </w:rPr>
              <w:t>Phoxinus erythrogaster</w:t>
            </w:r>
          </w:p>
        </w:tc>
        <w:tc>
          <w:tcPr>
            <w:tcW w:w="3720" w:type="dxa"/>
          </w:tcPr>
          <w:p>
            <w:pPr>
              <w:pStyle w:val="yTableNAm"/>
            </w:pPr>
            <w:r>
              <w:t>Southern Redbelly Dace</w:t>
            </w:r>
          </w:p>
        </w:tc>
      </w:tr>
      <w:tr>
        <w:trPr>
          <w:cantSplit/>
        </w:trPr>
        <w:tc>
          <w:tcPr>
            <w:tcW w:w="3360" w:type="dxa"/>
          </w:tcPr>
          <w:p>
            <w:pPr>
              <w:pStyle w:val="yTableNAm"/>
              <w:rPr>
                <w:i/>
                <w:iCs/>
              </w:rPr>
            </w:pPr>
            <w:r>
              <w:rPr>
                <w:i/>
                <w:iCs/>
              </w:rPr>
              <w:t>Polyodon spathula</w:t>
            </w:r>
          </w:p>
        </w:tc>
        <w:tc>
          <w:tcPr>
            <w:tcW w:w="3720" w:type="dxa"/>
          </w:tcPr>
          <w:p>
            <w:pPr>
              <w:pStyle w:val="yTableNAm"/>
            </w:pPr>
            <w:smartTag w:uri="urn:schemas-microsoft-com:office:smarttags" w:element="place">
              <w:smartTag w:uri="urn:schemas-microsoft-com:office:smarttags" w:element="State">
                <w:r>
                  <w:t>Mississippi</w:t>
                </w:r>
              </w:smartTag>
            </w:smartTag>
            <w:r>
              <w:t xml:space="preserve"> Paddlefish</w:t>
            </w:r>
          </w:p>
        </w:tc>
      </w:tr>
      <w:tr>
        <w:trPr>
          <w:cantSplit/>
        </w:trPr>
        <w:tc>
          <w:tcPr>
            <w:tcW w:w="3360" w:type="dxa"/>
          </w:tcPr>
          <w:p>
            <w:pPr>
              <w:pStyle w:val="yTableNAm"/>
              <w:rPr>
                <w:i/>
                <w:iCs/>
              </w:rPr>
            </w:pPr>
            <w:r>
              <w:rPr>
                <w:i/>
                <w:iCs/>
              </w:rPr>
              <w:t>Procambarus clarkii</w:t>
            </w:r>
          </w:p>
        </w:tc>
        <w:tc>
          <w:tcPr>
            <w:tcW w:w="3720" w:type="dxa"/>
          </w:tcPr>
          <w:p>
            <w:pPr>
              <w:pStyle w:val="yTableNAm"/>
            </w:pPr>
            <w:smartTag w:uri="urn:schemas-microsoft-com:office:smarttags" w:element="place">
              <w:smartTag w:uri="urn:schemas-microsoft-com:office:smarttags" w:element="PlaceName">
                <w:r>
                  <w:t>Red</w:t>
                </w:r>
              </w:smartTag>
              <w:r>
                <w:t xml:space="preserve"> </w:t>
              </w:r>
              <w:smartTag w:uri="urn:schemas-microsoft-com:office:smarttags" w:element="PlaceType">
                <w:r>
                  <w:t>Swamp</w:t>
                </w:r>
              </w:smartTag>
            </w:smartTag>
            <w:r>
              <w:t xml:space="preserve"> Crayfish</w:t>
            </w:r>
          </w:p>
        </w:tc>
      </w:tr>
      <w:tr>
        <w:trPr>
          <w:cantSplit/>
        </w:trPr>
        <w:tc>
          <w:tcPr>
            <w:tcW w:w="3360" w:type="dxa"/>
          </w:tcPr>
          <w:p>
            <w:pPr>
              <w:pStyle w:val="yTableNAm"/>
              <w:rPr>
                <w:i/>
                <w:iCs/>
              </w:rPr>
            </w:pPr>
            <w:r>
              <w:rPr>
                <w:i/>
                <w:iCs/>
              </w:rPr>
              <w:t>Protopterus annectens</w:t>
            </w:r>
          </w:p>
        </w:tc>
        <w:tc>
          <w:tcPr>
            <w:tcW w:w="3720" w:type="dxa"/>
          </w:tcPr>
          <w:p>
            <w:pPr>
              <w:pStyle w:val="yTableNAm"/>
            </w:pPr>
            <w:r>
              <w:t>African Lungfish</w:t>
            </w:r>
          </w:p>
        </w:tc>
      </w:tr>
      <w:tr>
        <w:trPr>
          <w:cantSplit/>
        </w:trPr>
        <w:tc>
          <w:tcPr>
            <w:tcW w:w="3360" w:type="dxa"/>
          </w:tcPr>
          <w:p>
            <w:pPr>
              <w:pStyle w:val="yTableNAm"/>
              <w:rPr>
                <w:i/>
                <w:iCs/>
              </w:rPr>
            </w:pPr>
            <w:r>
              <w:rPr>
                <w:i/>
                <w:iCs/>
              </w:rPr>
              <w:t>Psephurus gladius</w:t>
            </w:r>
          </w:p>
        </w:tc>
        <w:tc>
          <w:tcPr>
            <w:tcW w:w="3720" w:type="dxa"/>
          </w:tcPr>
          <w:p>
            <w:pPr>
              <w:pStyle w:val="yTableNAm"/>
            </w:pPr>
            <w:r>
              <w:t>Chinese Swordfish</w:t>
            </w:r>
          </w:p>
        </w:tc>
      </w:tr>
      <w:tr>
        <w:trPr>
          <w:cantSplit/>
        </w:trPr>
        <w:tc>
          <w:tcPr>
            <w:tcW w:w="3360" w:type="dxa"/>
          </w:tcPr>
          <w:p>
            <w:pPr>
              <w:pStyle w:val="yTableNAm"/>
              <w:rPr>
                <w:i/>
                <w:iCs/>
              </w:rPr>
            </w:pPr>
            <w:r>
              <w:rPr>
                <w:i/>
                <w:iCs/>
              </w:rPr>
              <w:t>Pseudoplatystoma fasciatum</w:t>
            </w:r>
          </w:p>
        </w:tc>
        <w:tc>
          <w:tcPr>
            <w:tcW w:w="3720" w:type="dxa"/>
          </w:tcPr>
          <w:p>
            <w:pPr>
              <w:pStyle w:val="yTableNAm"/>
            </w:pPr>
            <w:r>
              <w:t>Tiger Catfish</w:t>
            </w:r>
          </w:p>
        </w:tc>
      </w:tr>
      <w:tr>
        <w:trPr>
          <w:cantSplit/>
        </w:trPr>
        <w:tc>
          <w:tcPr>
            <w:tcW w:w="3360" w:type="dxa"/>
          </w:tcPr>
          <w:p>
            <w:pPr>
              <w:pStyle w:val="yTableNAm"/>
              <w:rPr>
                <w:i/>
                <w:iCs/>
              </w:rPr>
            </w:pPr>
            <w:r>
              <w:rPr>
                <w:i/>
                <w:iCs/>
              </w:rPr>
              <w:t>Pungitius pungitius</w:t>
            </w:r>
          </w:p>
        </w:tc>
        <w:tc>
          <w:tcPr>
            <w:tcW w:w="3720" w:type="dxa"/>
          </w:tcPr>
          <w:p>
            <w:pPr>
              <w:pStyle w:val="yTableNAm"/>
            </w:pPr>
            <w:r>
              <w:t>Ninespine Stickleback</w:t>
            </w:r>
          </w:p>
        </w:tc>
      </w:tr>
      <w:tr>
        <w:trPr>
          <w:cantSplit/>
        </w:trPr>
        <w:tc>
          <w:tcPr>
            <w:tcW w:w="3360" w:type="dxa"/>
          </w:tcPr>
          <w:p>
            <w:pPr>
              <w:pStyle w:val="yTableNAm"/>
              <w:rPr>
                <w:i/>
                <w:iCs/>
              </w:rPr>
            </w:pPr>
            <w:r>
              <w:rPr>
                <w:i/>
                <w:iCs/>
              </w:rPr>
              <w:t xml:space="preserve">Pygocentrus spp. </w:t>
            </w:r>
            <w:r>
              <w:t>(entire genus)</w:t>
            </w:r>
          </w:p>
        </w:tc>
        <w:tc>
          <w:tcPr>
            <w:tcW w:w="3720" w:type="dxa"/>
          </w:tcPr>
          <w:p>
            <w:pPr>
              <w:pStyle w:val="yTableNAm"/>
            </w:pPr>
            <w:r>
              <w:t>Piranha (Various)</w:t>
            </w:r>
          </w:p>
        </w:tc>
      </w:tr>
      <w:tr>
        <w:trPr>
          <w:cantSplit/>
        </w:trPr>
        <w:tc>
          <w:tcPr>
            <w:tcW w:w="3360" w:type="dxa"/>
          </w:tcPr>
          <w:p>
            <w:pPr>
              <w:pStyle w:val="yTableNAm"/>
              <w:rPr>
                <w:i/>
                <w:iCs/>
              </w:rPr>
            </w:pPr>
            <w:r>
              <w:rPr>
                <w:i/>
                <w:iCs/>
              </w:rPr>
              <w:t xml:space="preserve">Sargochromis spp. </w:t>
            </w:r>
            <w:r>
              <w:t>(entire genus)</w:t>
            </w:r>
          </w:p>
        </w:tc>
        <w:tc>
          <w:tcPr>
            <w:tcW w:w="3720" w:type="dxa"/>
          </w:tcPr>
          <w:p>
            <w:pPr>
              <w:pStyle w:val="yTableNAm"/>
            </w:pPr>
            <w:r>
              <w:t>Pink, Slender, Greenwoods, Mortimers, Cunean and Green Happy</w:t>
            </w:r>
          </w:p>
        </w:tc>
      </w:tr>
      <w:tr>
        <w:trPr>
          <w:cantSplit/>
        </w:trPr>
        <w:tc>
          <w:tcPr>
            <w:tcW w:w="3360" w:type="dxa"/>
          </w:tcPr>
          <w:p>
            <w:pPr>
              <w:pStyle w:val="yTableNAm"/>
              <w:rPr>
                <w:i/>
                <w:iCs/>
              </w:rPr>
            </w:pPr>
            <w:r>
              <w:rPr>
                <w:i/>
                <w:iCs/>
              </w:rPr>
              <w:t xml:space="preserve">Sarotherodon spp. </w:t>
            </w:r>
            <w:r>
              <w:t>(entire genus)</w:t>
            </w:r>
          </w:p>
        </w:tc>
        <w:tc>
          <w:tcPr>
            <w:tcW w:w="3720" w:type="dxa"/>
          </w:tcPr>
          <w:p>
            <w:pPr>
              <w:pStyle w:val="yTableNAm"/>
            </w:pPr>
            <w:r>
              <w:t>Tilapia (Various)</w:t>
            </w:r>
          </w:p>
        </w:tc>
      </w:tr>
      <w:tr>
        <w:trPr>
          <w:cantSplit/>
        </w:trPr>
        <w:tc>
          <w:tcPr>
            <w:tcW w:w="3360" w:type="dxa"/>
          </w:tcPr>
          <w:p>
            <w:pPr>
              <w:pStyle w:val="yTableNAm"/>
              <w:rPr>
                <w:i/>
                <w:iCs/>
              </w:rPr>
            </w:pPr>
            <w:r>
              <w:rPr>
                <w:i/>
                <w:iCs/>
              </w:rPr>
              <w:t>Schilbe mystus</w:t>
            </w:r>
          </w:p>
        </w:tc>
        <w:tc>
          <w:tcPr>
            <w:tcW w:w="3720" w:type="dxa"/>
          </w:tcPr>
          <w:p>
            <w:pPr>
              <w:pStyle w:val="yTableNAm"/>
            </w:pPr>
            <w:r>
              <w:t>African Butter Catfish</w:t>
            </w:r>
          </w:p>
        </w:tc>
      </w:tr>
      <w:tr>
        <w:trPr>
          <w:cantSplit/>
        </w:trPr>
        <w:tc>
          <w:tcPr>
            <w:tcW w:w="3360" w:type="dxa"/>
          </w:tcPr>
          <w:p>
            <w:pPr>
              <w:pStyle w:val="yTableNAm"/>
              <w:rPr>
                <w:i/>
                <w:iCs/>
              </w:rPr>
            </w:pPr>
            <w:r>
              <w:rPr>
                <w:i/>
                <w:iCs/>
              </w:rPr>
              <w:t xml:space="preserve">Serranochromis spp. </w:t>
            </w:r>
            <w:r>
              <w:t>(entire genus)</w:t>
            </w:r>
          </w:p>
        </w:tc>
        <w:tc>
          <w:tcPr>
            <w:tcW w:w="3720" w:type="dxa"/>
          </w:tcPr>
          <w:p>
            <w:pPr>
              <w:pStyle w:val="yTableNAm"/>
            </w:pPr>
            <w:r>
              <w:t>Cichlids</w:t>
            </w:r>
          </w:p>
        </w:tc>
      </w:tr>
      <w:tr>
        <w:trPr>
          <w:cantSplit/>
        </w:trPr>
        <w:tc>
          <w:tcPr>
            <w:tcW w:w="3360" w:type="dxa"/>
          </w:tcPr>
          <w:p>
            <w:pPr>
              <w:pStyle w:val="yTableNAm"/>
              <w:rPr>
                <w:i/>
                <w:iCs/>
              </w:rPr>
            </w:pPr>
            <w:r>
              <w:rPr>
                <w:i/>
                <w:iCs/>
              </w:rPr>
              <w:t xml:space="preserve">Serrasalmus spp. </w:t>
            </w:r>
            <w:r>
              <w:t>(entire genus)</w:t>
            </w:r>
          </w:p>
        </w:tc>
        <w:tc>
          <w:tcPr>
            <w:tcW w:w="3720" w:type="dxa"/>
          </w:tcPr>
          <w:p>
            <w:pPr>
              <w:pStyle w:val="yTableNAm"/>
            </w:pPr>
            <w:r>
              <w:t>Piranha (Various)</w:t>
            </w:r>
          </w:p>
        </w:tc>
      </w:tr>
      <w:tr>
        <w:trPr>
          <w:cantSplit/>
        </w:trPr>
        <w:tc>
          <w:tcPr>
            <w:tcW w:w="3360" w:type="dxa"/>
          </w:tcPr>
          <w:p>
            <w:pPr>
              <w:pStyle w:val="yTableNAm"/>
              <w:rPr>
                <w:i/>
                <w:iCs/>
              </w:rPr>
            </w:pPr>
            <w:r>
              <w:rPr>
                <w:i/>
                <w:iCs/>
              </w:rPr>
              <w:t xml:space="preserve">Silurus spp. </w:t>
            </w:r>
            <w:r>
              <w:t>(entire genus)</w:t>
            </w:r>
          </w:p>
        </w:tc>
        <w:tc>
          <w:tcPr>
            <w:tcW w:w="3720" w:type="dxa"/>
          </w:tcPr>
          <w:p>
            <w:pPr>
              <w:pStyle w:val="yTableNAm"/>
            </w:pPr>
            <w:r>
              <w:t xml:space="preserve">European Catfish, </w:t>
            </w:r>
            <w:smartTag w:uri="urn:schemas-microsoft-com:office:smarttags" w:element="place">
              <w:smartTag w:uri="urn:schemas-microsoft-com:office:smarttags" w:element="City">
                <w:r>
                  <w:t>Wels</w:t>
                </w:r>
              </w:smartTag>
            </w:smartTag>
            <w:r>
              <w:t xml:space="preserve"> Catfish</w:t>
            </w:r>
          </w:p>
        </w:tc>
      </w:tr>
      <w:tr>
        <w:trPr>
          <w:cantSplit/>
        </w:trPr>
        <w:tc>
          <w:tcPr>
            <w:tcW w:w="3360" w:type="dxa"/>
          </w:tcPr>
          <w:p>
            <w:pPr>
              <w:pStyle w:val="yTableNAm"/>
              <w:rPr>
                <w:i/>
                <w:iCs/>
              </w:rPr>
            </w:pPr>
            <w:r>
              <w:rPr>
                <w:i/>
                <w:iCs/>
              </w:rPr>
              <w:t xml:space="preserve">Tilapia spp. </w:t>
            </w:r>
            <w:r>
              <w:t>(all except</w:t>
            </w:r>
            <w:r>
              <w:rPr>
                <w:i/>
                <w:iCs/>
              </w:rPr>
              <w:t xml:space="preserve"> T. buttikoferi</w:t>
            </w:r>
            <w:r>
              <w:t>)</w:t>
            </w:r>
          </w:p>
        </w:tc>
        <w:tc>
          <w:tcPr>
            <w:tcW w:w="3720" w:type="dxa"/>
          </w:tcPr>
          <w:p>
            <w:pPr>
              <w:pStyle w:val="yTableNAm"/>
            </w:pPr>
            <w:r>
              <w:t>Tilapia (Various)</w:t>
            </w:r>
          </w:p>
        </w:tc>
      </w:tr>
      <w:tr>
        <w:trPr>
          <w:cantSplit/>
        </w:trPr>
        <w:tc>
          <w:tcPr>
            <w:tcW w:w="3360" w:type="dxa"/>
          </w:tcPr>
          <w:p>
            <w:pPr>
              <w:pStyle w:val="yTableNAm"/>
              <w:rPr>
                <w:i/>
                <w:iCs/>
              </w:rPr>
            </w:pPr>
            <w:r>
              <w:rPr>
                <w:i/>
                <w:iCs/>
              </w:rPr>
              <w:t xml:space="preserve">Tor </w:t>
            </w:r>
            <w:r>
              <w:t>(entire genus)</w:t>
            </w:r>
          </w:p>
        </w:tc>
        <w:tc>
          <w:tcPr>
            <w:tcW w:w="3720" w:type="dxa"/>
          </w:tcPr>
          <w:p>
            <w:pPr>
              <w:pStyle w:val="yTableNAm"/>
            </w:pPr>
            <w:r>
              <w:t xml:space="preserve">River Carp, </w:t>
            </w:r>
            <w:smartTag w:uri="urn:schemas-microsoft-com:office:smarttags" w:element="place">
              <w:r>
                <w:t>Deccan</w:t>
              </w:r>
            </w:smartTag>
            <w:r>
              <w:t>, High backed, Jungha, Putitor, Thai Mahseer</w:t>
            </w:r>
          </w:p>
        </w:tc>
      </w:tr>
      <w:tr>
        <w:trPr>
          <w:cantSplit/>
        </w:trPr>
        <w:tc>
          <w:tcPr>
            <w:tcW w:w="3360" w:type="dxa"/>
          </w:tcPr>
          <w:p>
            <w:pPr>
              <w:pStyle w:val="yTableNAm"/>
              <w:rPr>
                <w:i/>
                <w:iCs/>
              </w:rPr>
            </w:pPr>
            <w:r>
              <w:rPr>
                <w:i/>
                <w:iCs/>
              </w:rPr>
              <w:t>Tridentiger trigonocephalus</w:t>
            </w:r>
          </w:p>
        </w:tc>
        <w:tc>
          <w:tcPr>
            <w:tcW w:w="3720" w:type="dxa"/>
          </w:tcPr>
          <w:p>
            <w:pPr>
              <w:pStyle w:val="yTableNAm"/>
            </w:pPr>
            <w:r>
              <w:t>Chameleon Goby, Striped Goby</w:t>
            </w:r>
          </w:p>
        </w:tc>
      </w:tr>
      <w:tr>
        <w:trPr>
          <w:cantSplit/>
        </w:trPr>
        <w:tc>
          <w:tcPr>
            <w:tcW w:w="3360" w:type="dxa"/>
          </w:tcPr>
          <w:p>
            <w:pPr>
              <w:pStyle w:val="yTableNAm"/>
              <w:rPr>
                <w:i/>
                <w:iCs/>
              </w:rPr>
            </w:pPr>
            <w:smartTag w:uri="urn:schemas-microsoft-com:office:smarttags" w:element="place">
              <w:smartTag w:uri="urn:schemas-microsoft-com:office:smarttags" w:element="country-region">
                <w:r>
                  <w:rPr>
                    <w:i/>
                    <w:iCs/>
                  </w:rPr>
                  <w:t>Valencia</w:t>
                </w:r>
              </w:smartTag>
            </w:smartTag>
            <w:r>
              <w:rPr>
                <w:i/>
                <w:iCs/>
              </w:rPr>
              <w:t xml:space="preserve"> hispanica</w:t>
            </w:r>
          </w:p>
        </w:tc>
        <w:tc>
          <w:tcPr>
            <w:tcW w:w="3720" w:type="dxa"/>
          </w:tcPr>
          <w:p>
            <w:pPr>
              <w:pStyle w:val="yTableNAm"/>
            </w:pPr>
            <w:smartTag w:uri="urn:schemas-microsoft-com:office:smarttags" w:element="place">
              <w:smartTag w:uri="urn:schemas-microsoft-com:office:smarttags" w:element="country-region">
                <w:r>
                  <w:t>Valencia</w:t>
                </w:r>
              </w:smartTag>
            </w:smartTag>
            <w:r>
              <w:t xml:space="preserve"> Toothcarp</w:t>
            </w:r>
          </w:p>
        </w:tc>
      </w:tr>
      <w:tr>
        <w:trPr>
          <w:cantSplit/>
        </w:trPr>
        <w:tc>
          <w:tcPr>
            <w:tcW w:w="3360" w:type="dxa"/>
          </w:tcPr>
          <w:p>
            <w:pPr>
              <w:pStyle w:val="yTableNAm"/>
              <w:rPr>
                <w:i/>
                <w:iCs/>
              </w:rPr>
            </w:pPr>
            <w:r>
              <w:rPr>
                <w:i/>
                <w:iCs/>
              </w:rPr>
              <w:t>Zacco platypus</w:t>
            </w:r>
          </w:p>
        </w:tc>
        <w:tc>
          <w:tcPr>
            <w:tcW w:w="3720" w:type="dxa"/>
          </w:tcPr>
          <w:p>
            <w:pPr>
              <w:pStyle w:val="yTableNAm"/>
            </w:pPr>
            <w:r>
              <w:t>Freshwater Minnow</w:t>
            </w:r>
          </w:p>
        </w:tc>
      </w:tr>
    </w:tbl>
    <w:p>
      <w:pPr>
        <w:pStyle w:val="yFootnotesection"/>
      </w:pPr>
      <w:r>
        <w:tab/>
        <w:t>[Schedule 5 inserted in Gazette 23 Jul 2010 p. 3403-6.]</w:t>
      </w:r>
    </w:p>
    <w:p>
      <w:pPr>
        <w:pStyle w:val="yScheduleHeading"/>
      </w:pPr>
      <w:bookmarkStart w:id="9179" w:name="_Toc267572761"/>
      <w:bookmarkStart w:id="9180" w:name="_Toc270684510"/>
      <w:bookmarkStart w:id="9181" w:name="_Toc274214687"/>
      <w:bookmarkStart w:id="9182" w:name="_Toc274215136"/>
      <w:bookmarkStart w:id="9183" w:name="_Toc278976467"/>
      <w:bookmarkStart w:id="9184" w:name="_Toc286760788"/>
      <w:bookmarkStart w:id="9185" w:name="_Toc289081133"/>
      <w:bookmarkStart w:id="9186" w:name="_Toc290284327"/>
      <w:bookmarkStart w:id="9187" w:name="_Toc290643148"/>
      <w:bookmarkStart w:id="9188" w:name="_Toc290643597"/>
      <w:bookmarkStart w:id="9189" w:name="_Toc290644050"/>
      <w:bookmarkStart w:id="9190" w:name="_Toc294701867"/>
      <w:bookmarkStart w:id="9191" w:name="_Toc295200275"/>
      <w:bookmarkStart w:id="9192" w:name="_Toc296954716"/>
      <w:bookmarkStart w:id="9193" w:name="_Toc297276351"/>
      <w:bookmarkStart w:id="9194" w:name="_Toc297276803"/>
      <w:bookmarkStart w:id="9195" w:name="_Toc297277253"/>
      <w:bookmarkStart w:id="9196" w:name="_Toc297726622"/>
      <w:bookmarkStart w:id="9197" w:name="_Toc299980408"/>
      <w:bookmarkStart w:id="9198" w:name="_Toc300235034"/>
      <w:bookmarkStart w:id="9199" w:name="_Toc301961537"/>
      <w:bookmarkStart w:id="9200" w:name="_Toc301967107"/>
      <w:bookmarkStart w:id="9201" w:name="_Toc303253316"/>
      <w:bookmarkStart w:id="9202" w:name="_Toc303257480"/>
      <w:bookmarkStart w:id="9203" w:name="_Toc307993113"/>
      <w:bookmarkStart w:id="9204" w:name="_Toc309030146"/>
      <w:bookmarkStart w:id="9205" w:name="_Toc309304369"/>
      <w:bookmarkStart w:id="9206" w:name="_Toc309309646"/>
      <w:r>
        <w:rPr>
          <w:rStyle w:val="CharSchNo"/>
        </w:rPr>
        <w:t>Schedule 6</w:t>
      </w:r>
      <w:bookmarkEnd w:id="9138"/>
      <w:bookmarkEnd w:id="9139"/>
      <w:bookmarkEnd w:id="9140"/>
      <w:bookmarkEnd w:id="9141"/>
      <w:bookmarkEnd w:id="9142"/>
      <w:bookmarkEnd w:id="9143"/>
      <w:bookmarkEnd w:id="9144"/>
      <w:bookmarkEnd w:id="9145"/>
      <w:bookmarkEnd w:id="9146"/>
      <w:bookmarkEnd w:id="9147"/>
      <w:bookmarkEnd w:id="9148"/>
      <w:bookmarkEnd w:id="9149"/>
      <w:bookmarkEnd w:id="9150"/>
      <w:bookmarkEnd w:id="9151"/>
      <w:bookmarkEnd w:id="9152"/>
      <w:bookmarkEnd w:id="9153"/>
      <w:bookmarkEnd w:id="9154"/>
      <w:bookmarkEnd w:id="9155"/>
      <w:bookmarkEnd w:id="9156"/>
      <w:bookmarkEnd w:id="9157"/>
      <w:bookmarkEnd w:id="9158"/>
      <w:bookmarkEnd w:id="9159"/>
      <w:bookmarkEnd w:id="9160"/>
      <w:bookmarkEnd w:id="9161"/>
      <w:bookmarkEnd w:id="9162"/>
      <w:bookmarkEnd w:id="9163"/>
      <w:bookmarkEnd w:id="9164"/>
      <w:bookmarkEnd w:id="9165"/>
      <w:bookmarkEnd w:id="9166"/>
      <w:bookmarkEnd w:id="9167"/>
      <w:bookmarkEnd w:id="9168"/>
      <w:bookmarkEnd w:id="9169"/>
      <w:bookmarkEnd w:id="9170"/>
      <w:bookmarkEnd w:id="9171"/>
      <w:bookmarkEnd w:id="9172"/>
      <w:bookmarkEnd w:id="9173"/>
      <w:bookmarkEnd w:id="9174"/>
      <w:bookmarkEnd w:id="9175"/>
      <w:bookmarkEnd w:id="9176"/>
      <w:bookmarkEnd w:id="9177"/>
      <w:bookmarkEnd w:id="9178"/>
      <w:bookmarkEnd w:id="9179"/>
      <w:bookmarkEnd w:id="9180"/>
      <w:bookmarkEnd w:id="9181"/>
      <w:bookmarkEnd w:id="9182"/>
      <w:bookmarkEnd w:id="9183"/>
      <w:bookmarkEnd w:id="9184"/>
      <w:bookmarkEnd w:id="9185"/>
      <w:bookmarkEnd w:id="9186"/>
      <w:bookmarkEnd w:id="9187"/>
      <w:bookmarkEnd w:id="9188"/>
      <w:bookmarkEnd w:id="9189"/>
      <w:bookmarkEnd w:id="9190"/>
      <w:bookmarkEnd w:id="9191"/>
      <w:bookmarkEnd w:id="9192"/>
      <w:bookmarkEnd w:id="9193"/>
      <w:bookmarkEnd w:id="9194"/>
      <w:bookmarkEnd w:id="9195"/>
      <w:bookmarkEnd w:id="9196"/>
      <w:bookmarkEnd w:id="9197"/>
      <w:bookmarkEnd w:id="9198"/>
      <w:bookmarkEnd w:id="9199"/>
      <w:bookmarkEnd w:id="9200"/>
      <w:bookmarkEnd w:id="9201"/>
      <w:bookmarkEnd w:id="9202"/>
      <w:bookmarkEnd w:id="9203"/>
      <w:bookmarkEnd w:id="9204"/>
      <w:bookmarkEnd w:id="9205"/>
      <w:bookmarkEnd w:id="9206"/>
    </w:p>
    <w:p>
      <w:pPr>
        <w:pStyle w:val="yHeading2"/>
      </w:pPr>
      <w:bookmarkStart w:id="9207" w:name="_Toc189988209"/>
      <w:bookmarkStart w:id="9208" w:name="_Toc192041792"/>
      <w:bookmarkStart w:id="9209" w:name="_Toc199571026"/>
      <w:bookmarkStart w:id="9210" w:name="_Toc199739025"/>
      <w:bookmarkStart w:id="9211" w:name="_Toc199815126"/>
      <w:bookmarkStart w:id="9212" w:name="_Toc215040933"/>
      <w:bookmarkStart w:id="9213" w:name="_Toc215041378"/>
      <w:bookmarkStart w:id="9214" w:name="_Toc222129586"/>
      <w:bookmarkStart w:id="9215" w:name="_Toc222223291"/>
      <w:bookmarkStart w:id="9216" w:name="_Toc225914543"/>
      <w:bookmarkStart w:id="9217" w:name="_Toc231282588"/>
      <w:bookmarkStart w:id="9218" w:name="_Toc231283032"/>
      <w:bookmarkStart w:id="9219" w:name="_Toc234899622"/>
      <w:bookmarkStart w:id="9220" w:name="_Toc236632904"/>
      <w:bookmarkStart w:id="9221" w:name="_Toc236720517"/>
      <w:bookmarkStart w:id="9222" w:name="_Toc237764716"/>
      <w:bookmarkStart w:id="9223" w:name="_Toc238356340"/>
      <w:bookmarkStart w:id="9224" w:name="_Toc238369045"/>
      <w:bookmarkStart w:id="9225" w:name="_Toc238375998"/>
      <w:bookmarkStart w:id="9226" w:name="_Toc240339322"/>
      <w:bookmarkStart w:id="9227" w:name="_Toc241993828"/>
      <w:bookmarkStart w:id="9228" w:name="_Toc243192971"/>
      <w:bookmarkStart w:id="9229" w:name="_Toc243295672"/>
      <w:bookmarkStart w:id="9230" w:name="_Toc245113245"/>
      <w:bookmarkStart w:id="9231" w:name="_Toc245198407"/>
      <w:bookmarkStart w:id="9232" w:name="_Toc245198856"/>
      <w:bookmarkStart w:id="9233" w:name="_Toc245199305"/>
      <w:bookmarkStart w:id="9234" w:name="_Toc248122337"/>
      <w:bookmarkStart w:id="9235" w:name="_Toc248122788"/>
      <w:bookmarkStart w:id="9236" w:name="_Toc253670775"/>
      <w:bookmarkStart w:id="9237" w:name="_Toc253671225"/>
      <w:bookmarkStart w:id="9238" w:name="_Toc254942999"/>
      <w:bookmarkStart w:id="9239" w:name="_Toc254943452"/>
      <w:bookmarkStart w:id="9240" w:name="_Toc255476044"/>
      <w:bookmarkStart w:id="9241" w:name="_Toc256432365"/>
      <w:bookmarkStart w:id="9242" w:name="_Toc257720702"/>
      <w:bookmarkStart w:id="9243" w:name="_Toc257722384"/>
      <w:bookmarkStart w:id="9244" w:name="_Toc258336060"/>
      <w:bookmarkStart w:id="9245" w:name="_Toc260406502"/>
      <w:bookmarkStart w:id="9246" w:name="_Toc261271688"/>
      <w:bookmarkStart w:id="9247" w:name="_Toc262808370"/>
      <w:bookmarkStart w:id="9248" w:name="_Toc267572762"/>
      <w:bookmarkStart w:id="9249" w:name="_Toc270684511"/>
      <w:bookmarkStart w:id="9250" w:name="_Toc274214688"/>
      <w:bookmarkStart w:id="9251" w:name="_Toc274215137"/>
      <w:bookmarkStart w:id="9252" w:name="_Toc278976468"/>
      <w:bookmarkStart w:id="9253" w:name="_Toc286760789"/>
      <w:bookmarkStart w:id="9254" w:name="_Toc289081134"/>
      <w:bookmarkStart w:id="9255" w:name="_Toc290284328"/>
      <w:bookmarkStart w:id="9256" w:name="_Toc290643149"/>
      <w:bookmarkStart w:id="9257" w:name="_Toc290643598"/>
      <w:bookmarkStart w:id="9258" w:name="_Toc290644051"/>
      <w:bookmarkStart w:id="9259" w:name="_Toc294701868"/>
      <w:bookmarkStart w:id="9260" w:name="_Toc295200276"/>
      <w:bookmarkStart w:id="9261" w:name="_Toc296954717"/>
      <w:bookmarkStart w:id="9262" w:name="_Toc297276352"/>
      <w:bookmarkStart w:id="9263" w:name="_Toc297276804"/>
      <w:bookmarkStart w:id="9264" w:name="_Toc297277254"/>
      <w:bookmarkStart w:id="9265" w:name="_Toc297726623"/>
      <w:bookmarkStart w:id="9266" w:name="_Toc299980409"/>
      <w:bookmarkStart w:id="9267" w:name="_Toc300235035"/>
      <w:bookmarkStart w:id="9268" w:name="_Toc301961538"/>
      <w:bookmarkStart w:id="9269" w:name="_Toc301967108"/>
      <w:bookmarkStart w:id="9270" w:name="_Toc303253317"/>
      <w:bookmarkStart w:id="9271" w:name="_Toc303257481"/>
      <w:bookmarkStart w:id="9272" w:name="_Toc307993114"/>
      <w:bookmarkStart w:id="9273" w:name="_Toc309030147"/>
      <w:bookmarkStart w:id="9274" w:name="_Toc309304370"/>
      <w:bookmarkStart w:id="9275" w:name="_Toc309309647"/>
      <w:r>
        <w:rPr>
          <w:rStyle w:val="CharSchText"/>
        </w:rPr>
        <w:t>Area of land prescribed under section 91(d) of the Act</w:t>
      </w:r>
      <w:bookmarkEnd w:id="9207"/>
      <w:bookmarkEnd w:id="9208"/>
      <w:bookmarkEnd w:id="9209"/>
      <w:bookmarkEnd w:id="9210"/>
      <w:bookmarkEnd w:id="9211"/>
      <w:bookmarkEnd w:id="9212"/>
      <w:bookmarkEnd w:id="9213"/>
      <w:bookmarkEnd w:id="9214"/>
      <w:bookmarkEnd w:id="9215"/>
      <w:bookmarkEnd w:id="9216"/>
      <w:bookmarkEnd w:id="9217"/>
      <w:bookmarkEnd w:id="9218"/>
      <w:bookmarkEnd w:id="9219"/>
      <w:bookmarkEnd w:id="9220"/>
      <w:bookmarkEnd w:id="9221"/>
      <w:bookmarkEnd w:id="9222"/>
      <w:bookmarkEnd w:id="9223"/>
      <w:bookmarkEnd w:id="9224"/>
      <w:bookmarkEnd w:id="9225"/>
      <w:bookmarkEnd w:id="9226"/>
      <w:bookmarkEnd w:id="9227"/>
      <w:bookmarkEnd w:id="9228"/>
      <w:bookmarkEnd w:id="9229"/>
      <w:bookmarkEnd w:id="9230"/>
      <w:bookmarkEnd w:id="9231"/>
      <w:bookmarkEnd w:id="9232"/>
      <w:bookmarkEnd w:id="9233"/>
      <w:bookmarkEnd w:id="9234"/>
      <w:bookmarkEnd w:id="9235"/>
      <w:bookmarkEnd w:id="9236"/>
      <w:bookmarkEnd w:id="9237"/>
      <w:bookmarkEnd w:id="9238"/>
      <w:bookmarkEnd w:id="9239"/>
      <w:bookmarkEnd w:id="9240"/>
      <w:bookmarkEnd w:id="9241"/>
      <w:bookmarkEnd w:id="9242"/>
      <w:bookmarkEnd w:id="9243"/>
      <w:bookmarkEnd w:id="9244"/>
      <w:bookmarkEnd w:id="9245"/>
      <w:bookmarkEnd w:id="9246"/>
      <w:bookmarkEnd w:id="9247"/>
      <w:bookmarkEnd w:id="9248"/>
      <w:bookmarkEnd w:id="9249"/>
      <w:bookmarkEnd w:id="9250"/>
      <w:bookmarkEnd w:id="9251"/>
      <w:bookmarkEnd w:id="9252"/>
      <w:bookmarkEnd w:id="9253"/>
      <w:bookmarkEnd w:id="9254"/>
      <w:bookmarkEnd w:id="9255"/>
      <w:bookmarkEnd w:id="9256"/>
      <w:bookmarkEnd w:id="9257"/>
      <w:bookmarkEnd w:id="9258"/>
      <w:bookmarkEnd w:id="9259"/>
      <w:bookmarkEnd w:id="9260"/>
      <w:bookmarkEnd w:id="9261"/>
      <w:bookmarkEnd w:id="9262"/>
      <w:bookmarkEnd w:id="9263"/>
      <w:bookmarkEnd w:id="9264"/>
      <w:bookmarkEnd w:id="9265"/>
      <w:bookmarkEnd w:id="9266"/>
      <w:bookmarkEnd w:id="9267"/>
      <w:bookmarkEnd w:id="9268"/>
      <w:bookmarkEnd w:id="9269"/>
      <w:bookmarkEnd w:id="9270"/>
      <w:bookmarkEnd w:id="9271"/>
      <w:bookmarkEnd w:id="9272"/>
      <w:bookmarkEnd w:id="9273"/>
      <w:bookmarkEnd w:id="9274"/>
      <w:bookmarkEnd w:id="9275"/>
    </w:p>
    <w:p>
      <w:pPr>
        <w:pStyle w:val="yShoulderClause"/>
        <w:rPr>
          <w:snapToGrid w:val="0"/>
        </w:rPr>
      </w:pPr>
      <w:r>
        <w:rPr>
          <w:snapToGrid w:val="0"/>
        </w:rPr>
        <w:t>[reg. 68]</w:t>
      </w:r>
    </w:p>
    <w:p>
      <w:pPr>
        <w:pStyle w:val="yNumberedItem"/>
        <w:rPr>
          <w:snapToGrid w:val="0"/>
        </w:rPr>
      </w:pPr>
      <w:r>
        <w:rPr>
          <w:snapToGrid w:val="0"/>
        </w:rPr>
        <w:t xml:space="preserve">All areas of </w:t>
      </w:r>
      <w:smartTag w:uri="urn:schemas-microsoft-com:office:smarttags" w:element="place">
        <w:smartTag w:uri="urn:schemas-microsoft-com:office:smarttags" w:element="State">
          <w:r>
            <w:rPr>
              <w:snapToGrid w:val="0"/>
            </w:rPr>
            <w:t>Western Australia</w:t>
          </w:r>
        </w:smartTag>
      </w:smartTag>
      <w:r>
        <w:rPr>
          <w:snapToGrid w:val="0"/>
        </w:rPr>
        <w:t xml:space="preserve"> north and east of:</w:t>
      </w:r>
    </w:p>
    <w:p>
      <w:pPr>
        <w:pStyle w:val="yNumberedItem"/>
        <w:rPr>
          <w:snapToGrid w:val="0"/>
        </w:rPr>
      </w:pPr>
      <w:r>
        <w:rPr>
          <w:snapToGrid w:val="0"/>
        </w:rPr>
        <w:tab/>
      </w:r>
      <w:smartTag w:uri="urn:schemas-microsoft-com:office:smarttags" w:element="place">
        <w:smartTag w:uri="urn:schemas-microsoft-com:office:smarttags" w:element="City">
          <w:r>
            <w:rPr>
              <w:snapToGrid w:val="0"/>
            </w:rPr>
            <w:t>Perth</w:t>
          </w:r>
        </w:smartTag>
      </w:smartTag>
      <w:r>
        <w:rPr>
          <w:snapToGrid w:val="0"/>
        </w:rPr>
        <w:t xml:space="preserve"> city generally south east along </w:t>
      </w:r>
      <w:smartTag w:uri="urn:schemas-microsoft-com:office:smarttags" w:element="Street">
        <w:smartTag w:uri="urn:schemas-microsoft-com:office:smarttags" w:element="address">
          <w:r>
            <w:rPr>
              <w:snapToGrid w:val="0"/>
            </w:rPr>
            <w:t>Albany Highway</w:t>
          </w:r>
        </w:smartTag>
      </w:smartTag>
      <w:r>
        <w:rPr>
          <w:snapToGrid w:val="0"/>
        </w:rPr>
        <w:t xml:space="preserve"> to the intersection of </w:t>
      </w:r>
      <w:smartTag w:uri="urn:schemas-microsoft-com:office:smarttags" w:element="Street">
        <w:smartTag w:uri="urn:schemas-microsoft-com:office:smarttags" w:element="address">
          <w:r>
            <w:rPr>
              <w:snapToGrid w:val="0"/>
            </w:rPr>
            <w:t>Albany Highway</w:t>
          </w:r>
        </w:smartTag>
      </w:smartTag>
      <w:r>
        <w:rPr>
          <w:snapToGrid w:val="0"/>
        </w:rPr>
        <w:t xml:space="preserve"> and </w:t>
      </w:r>
      <w:smartTag w:uri="urn:schemas-microsoft-com:office:smarttags" w:element="Street">
        <w:smartTag w:uri="urn:schemas-microsoft-com:office:smarttags" w:element="address">
          <w:r>
            <w:rPr>
              <w:snapToGrid w:val="0"/>
            </w:rPr>
            <w:t>Bannister/Marradong Road</w:t>
          </w:r>
        </w:smartTag>
      </w:smartTag>
    </w:p>
    <w:p>
      <w:pPr>
        <w:pStyle w:val="yNumberedItem"/>
        <w:rPr>
          <w:snapToGrid w:val="0"/>
        </w:rPr>
      </w:pPr>
      <w:r>
        <w:rPr>
          <w:snapToGrid w:val="0"/>
        </w:rPr>
        <w:tab/>
        <w:t>Thence generally south west along that road to Boddington (town)</w:t>
      </w:r>
    </w:p>
    <w:p>
      <w:pPr>
        <w:pStyle w:val="yNumberedItem"/>
        <w:rPr>
          <w:snapToGrid w:val="0"/>
        </w:rPr>
      </w:pPr>
      <w:r>
        <w:rPr>
          <w:snapToGrid w:val="0"/>
        </w:rPr>
        <w:tab/>
        <w:t>Thence generally south west along that road to Marradong (location)</w:t>
      </w:r>
    </w:p>
    <w:p>
      <w:pPr>
        <w:pStyle w:val="yNumberedItem"/>
        <w:rPr>
          <w:snapToGrid w:val="0"/>
        </w:rPr>
      </w:pPr>
      <w:r>
        <w:rPr>
          <w:snapToGrid w:val="0"/>
        </w:rPr>
        <w:tab/>
        <w:t xml:space="preserve">Thence generally south west along </w:t>
      </w:r>
      <w:smartTag w:uri="urn:schemas-microsoft-com:office:smarttags" w:element="Street">
        <w:smartTag w:uri="urn:schemas-microsoft-com:office:smarttags" w:element="address">
          <w:r>
            <w:rPr>
              <w:snapToGrid w:val="0"/>
            </w:rPr>
            <w:t>Pinjarra/Williams Road</w:t>
          </w:r>
        </w:smartTag>
      </w:smartTag>
      <w:r>
        <w:rPr>
          <w:snapToGrid w:val="0"/>
        </w:rPr>
        <w:t xml:space="preserve"> to Quindanning (town)</w:t>
      </w:r>
    </w:p>
    <w:p>
      <w:pPr>
        <w:pStyle w:val="yNumberedItem"/>
        <w:rPr>
          <w:snapToGrid w:val="0"/>
        </w:rPr>
      </w:pPr>
      <w:r>
        <w:rPr>
          <w:snapToGrid w:val="0"/>
        </w:rPr>
        <w:tab/>
        <w:t xml:space="preserve">Thence southerly along </w:t>
      </w:r>
      <w:smartTag w:uri="urn:schemas-microsoft-com:office:smarttags" w:element="Street">
        <w:smartTag w:uri="urn:schemas-microsoft-com:office:smarttags" w:element="address">
          <w:r>
            <w:rPr>
              <w:snapToGrid w:val="0"/>
            </w:rPr>
            <w:t>Quindanning/Darkan Road</w:t>
          </w:r>
        </w:smartTag>
      </w:smartTag>
      <w:r>
        <w:rPr>
          <w:snapToGrid w:val="0"/>
        </w:rPr>
        <w:t xml:space="preserve"> to Darkan (town)</w:t>
      </w:r>
    </w:p>
    <w:p>
      <w:pPr>
        <w:pStyle w:val="yNumberedItem"/>
        <w:rPr>
          <w:snapToGrid w:val="0"/>
        </w:rPr>
      </w:pPr>
      <w:r>
        <w:rPr>
          <w:snapToGrid w:val="0"/>
        </w:rPr>
        <w:tab/>
        <w:t xml:space="preserve">Thence southerly along </w:t>
      </w:r>
      <w:smartTag w:uri="urn:schemas-microsoft-com:office:smarttags" w:element="Street">
        <w:smartTag w:uri="urn:schemas-microsoft-com:office:smarttags" w:element="address">
          <w:r>
            <w:rPr>
              <w:snapToGrid w:val="0"/>
            </w:rPr>
            <w:t>Darkan Road south</w:t>
          </w:r>
        </w:smartTag>
      </w:smartTag>
      <w:r>
        <w:rPr>
          <w:snapToGrid w:val="0"/>
        </w:rPr>
        <w:t xml:space="preserve"> to Duranillan (town)</w:t>
      </w:r>
    </w:p>
    <w:p>
      <w:pPr>
        <w:pStyle w:val="yNumberedItem"/>
        <w:rPr>
          <w:snapToGrid w:val="0"/>
        </w:rPr>
      </w:pPr>
      <w:r>
        <w:rPr>
          <w:snapToGrid w:val="0"/>
        </w:rPr>
        <w:tab/>
        <w:t xml:space="preserve">Thence west along </w:t>
      </w:r>
      <w:smartTag w:uri="urn:schemas-microsoft-com:office:smarttags" w:element="Street">
        <w:smartTag w:uri="urn:schemas-microsoft-com:office:smarttags" w:element="address">
          <w:r>
            <w:rPr>
              <w:snapToGrid w:val="0"/>
            </w:rPr>
            <w:t>Bowelling/Duranillan Road</w:t>
          </w:r>
        </w:smartTag>
      </w:smartTag>
      <w:r>
        <w:rPr>
          <w:snapToGrid w:val="0"/>
        </w:rPr>
        <w:t xml:space="preserve"> to </w:t>
      </w:r>
      <w:smartTag w:uri="urn:schemas-microsoft-com:office:smarttags" w:element="Street">
        <w:smartTag w:uri="urn:schemas-microsoft-com:office:smarttags" w:element="address">
          <w:r>
            <w:rPr>
              <w:snapToGrid w:val="0"/>
            </w:rPr>
            <w:t>Capercup Road</w:t>
          </w:r>
        </w:smartTag>
      </w:smartTag>
    </w:p>
    <w:p>
      <w:pPr>
        <w:pStyle w:val="yNumberedItem"/>
        <w:rPr>
          <w:snapToGrid w:val="0"/>
        </w:rPr>
      </w:pPr>
      <w:r>
        <w:rPr>
          <w:snapToGrid w:val="0"/>
        </w:rPr>
        <w:tab/>
        <w:t xml:space="preserve">Thence south along </w:t>
      </w:r>
      <w:smartTag w:uri="urn:schemas-microsoft-com:office:smarttags" w:element="Street">
        <w:smartTag w:uri="urn:schemas-microsoft-com:office:smarttags" w:element="address">
          <w:r>
            <w:rPr>
              <w:snapToGrid w:val="0"/>
            </w:rPr>
            <w:t>Capercup Road south</w:t>
          </w:r>
        </w:smartTag>
      </w:smartTag>
      <w:r>
        <w:rPr>
          <w:snapToGrid w:val="0"/>
        </w:rPr>
        <w:t xml:space="preserve"> to </w:t>
      </w:r>
      <w:smartTag w:uri="urn:schemas-microsoft-com:office:smarttags" w:element="Street">
        <w:smartTag w:uri="urn:schemas-microsoft-com:office:smarttags" w:element="address">
          <w:r>
            <w:rPr>
              <w:snapToGrid w:val="0"/>
            </w:rPr>
            <w:t>Boyup Brook/Arthur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Glenorchy Road</w:t>
          </w:r>
        </w:smartTag>
      </w:smartTag>
    </w:p>
    <w:p>
      <w:pPr>
        <w:pStyle w:val="yNumberedItem"/>
        <w:rPr>
          <w:snapToGrid w:val="0"/>
        </w:rPr>
      </w:pPr>
      <w:r>
        <w:rPr>
          <w:snapToGrid w:val="0"/>
        </w:rPr>
        <w:tab/>
        <w:t xml:space="preserve">Thence south east along that road to </w:t>
      </w:r>
      <w:smartTag w:uri="urn:schemas-microsoft-com:office:smarttags" w:element="Street">
        <w:smartTag w:uri="urn:schemas-microsoft-com:office:smarttags" w:element="address">
          <w:r>
            <w:rPr>
              <w:snapToGrid w:val="0"/>
            </w:rPr>
            <w:t>Qualeup North/South Road</w:t>
          </w:r>
        </w:smartTag>
      </w:smartTag>
    </w:p>
    <w:p>
      <w:pPr>
        <w:pStyle w:val="yNumberedItem"/>
        <w:rPr>
          <w:snapToGrid w:val="0"/>
        </w:rPr>
      </w:pPr>
      <w:r>
        <w:rPr>
          <w:snapToGrid w:val="0"/>
        </w:rPr>
        <w:tab/>
        <w:t xml:space="preserve">Thence south along that road to </w:t>
      </w:r>
      <w:smartTag w:uri="urn:schemas-microsoft-com:office:smarttags" w:element="Street">
        <w:smartTag w:uri="urn:schemas-microsoft-com:office:smarttags" w:element="address">
          <w:r>
            <w:rPr>
              <w:snapToGrid w:val="0"/>
            </w:rPr>
            <w:t>Kojonup/Donnybrook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Foley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Woodenbillup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Mullidup Road</w:t>
          </w:r>
        </w:smartTag>
      </w:smartTag>
    </w:p>
    <w:p>
      <w:pPr>
        <w:pStyle w:val="yNumberedItem"/>
        <w:rPr>
          <w:snapToGrid w:val="0"/>
        </w:rPr>
      </w:pPr>
      <w:r>
        <w:rPr>
          <w:snapToGrid w:val="0"/>
        </w:rPr>
        <w:tab/>
        <w:t xml:space="preserve">Thence south east along that road to </w:t>
      </w:r>
      <w:smartTag w:uri="urn:schemas-microsoft-com:office:smarttags" w:element="Street">
        <w:smartTag w:uri="urn:schemas-microsoft-com:office:smarttags" w:element="address">
          <w:r>
            <w:rPr>
              <w:snapToGrid w:val="0"/>
            </w:rPr>
            <w:t>Wandoora Road</w:t>
          </w:r>
        </w:smartTag>
      </w:smartTag>
    </w:p>
    <w:p>
      <w:pPr>
        <w:pStyle w:val="yNumberedItem"/>
        <w:rPr>
          <w:snapToGrid w:val="0"/>
        </w:rPr>
      </w:pPr>
      <w:r>
        <w:rPr>
          <w:snapToGrid w:val="0"/>
        </w:rPr>
        <w:tab/>
        <w:t xml:space="preserve">Thence south and south east along that road to </w:t>
      </w:r>
      <w:smartTag w:uri="urn:schemas-microsoft-com:office:smarttags" w:element="Street">
        <w:smartTag w:uri="urn:schemas-microsoft-com:office:smarttags" w:element="address">
          <w:r>
            <w:rPr>
              <w:snapToGrid w:val="0"/>
            </w:rPr>
            <w:t>Kojonup/Frankland Road</w:t>
          </w:r>
        </w:smartTag>
      </w:smartTag>
    </w:p>
    <w:p>
      <w:pPr>
        <w:pStyle w:val="yNumberedItem"/>
        <w:rPr>
          <w:snapToGrid w:val="0"/>
        </w:rPr>
      </w:pPr>
      <w:r>
        <w:rPr>
          <w:snapToGrid w:val="0"/>
        </w:rPr>
        <w:tab/>
        <w:t>Thence south along that road to Frankland (town)</w:t>
      </w:r>
    </w:p>
    <w:p>
      <w:pPr>
        <w:pStyle w:val="yNumberedItem"/>
        <w:rPr>
          <w:snapToGrid w:val="0"/>
        </w:rPr>
      </w:pPr>
      <w:r>
        <w:rPr>
          <w:snapToGrid w:val="0"/>
        </w:rPr>
        <w:tab/>
        <w:t xml:space="preserve">Thence south along </w:t>
      </w:r>
      <w:smartTag w:uri="urn:schemas-microsoft-com:office:smarttags" w:element="Street">
        <w:smartTag w:uri="urn:schemas-microsoft-com:office:smarttags" w:element="address">
          <w:r>
            <w:rPr>
              <w:snapToGrid w:val="0"/>
            </w:rPr>
            <w:t>Frankland/Rocky Gully Road</w:t>
          </w:r>
        </w:smartTag>
      </w:smartTag>
      <w:r>
        <w:rPr>
          <w:snapToGrid w:val="0"/>
        </w:rPr>
        <w:t xml:space="preserve"> to Rocky Gully (town) to its intersection with </w:t>
      </w:r>
      <w:smartTag w:uri="urn:schemas-microsoft-com:office:smarttags" w:element="Street">
        <w:smartTag w:uri="urn:schemas-microsoft-com:office:smarttags" w:element="address">
          <w:r>
            <w:rPr>
              <w:snapToGrid w:val="0"/>
            </w:rPr>
            <w:t>Muirs Highway</w:t>
          </w:r>
        </w:smartTag>
      </w:smartTag>
    </w:p>
    <w:p>
      <w:pPr>
        <w:pStyle w:val="yNumberedItem"/>
        <w:rPr>
          <w:snapToGrid w:val="0"/>
        </w:rPr>
      </w:pPr>
      <w:r>
        <w:rPr>
          <w:snapToGrid w:val="0"/>
        </w:rPr>
        <w:tab/>
        <w:t xml:space="preserve">Thence generally east along </w:t>
      </w:r>
      <w:smartTag w:uri="urn:schemas-microsoft-com:office:smarttags" w:element="Street">
        <w:smartTag w:uri="urn:schemas-microsoft-com:office:smarttags" w:element="address">
          <w:r>
            <w:rPr>
              <w:snapToGrid w:val="0"/>
            </w:rPr>
            <w:t>Muirs Highway</w:t>
          </w:r>
        </w:smartTag>
      </w:smartTag>
      <w:r>
        <w:rPr>
          <w:snapToGrid w:val="0"/>
        </w:rPr>
        <w:t xml:space="preserve"> to </w:t>
      </w:r>
      <w:smartTag w:uri="urn:schemas-microsoft-com:office:smarttags" w:element="place">
        <w:smartTag w:uri="urn:schemas-microsoft-com:office:smarttags" w:element="PlaceType">
          <w:r>
            <w:rPr>
              <w:snapToGrid w:val="0"/>
            </w:rPr>
            <w:t>Mount</w:t>
          </w:r>
        </w:smartTag>
        <w:r>
          <w:rPr>
            <w:snapToGrid w:val="0"/>
          </w:rPr>
          <w:t xml:space="preserve"> </w:t>
        </w:r>
        <w:smartTag w:uri="urn:schemas-microsoft-com:office:smarttags" w:element="PlaceName">
          <w:r>
            <w:rPr>
              <w:snapToGrid w:val="0"/>
            </w:rPr>
            <w:t>Barker</w:t>
          </w:r>
        </w:smartTag>
      </w:smartTag>
      <w:r>
        <w:rPr>
          <w:snapToGrid w:val="0"/>
        </w:rPr>
        <w:t xml:space="preserve"> (town)</w:t>
      </w:r>
    </w:p>
    <w:p>
      <w:pPr>
        <w:pStyle w:val="yNumberedItem"/>
        <w:rPr>
          <w:snapToGrid w:val="0"/>
        </w:rPr>
      </w:pPr>
      <w:r>
        <w:rPr>
          <w:snapToGrid w:val="0"/>
        </w:rPr>
        <w:tab/>
        <w:t xml:space="preserve">Thence generally east along that highway to </w:t>
      </w:r>
      <w:smartTag w:uri="urn:schemas-microsoft-com:office:smarttags" w:element="place">
        <w:smartTag w:uri="urn:schemas-microsoft-com:office:smarttags" w:element="City">
          <w:r>
            <w:rPr>
              <w:snapToGrid w:val="0"/>
            </w:rPr>
            <w:t>Albany</w:t>
          </w:r>
        </w:smartTag>
      </w:smartTag>
      <w:r>
        <w:rPr>
          <w:snapToGrid w:val="0"/>
        </w:rPr>
        <w:t xml:space="preserve"> townsite.</w:t>
      </w:r>
    </w:p>
    <w:p>
      <w:pPr>
        <w:pStyle w:val="yScheduleHeading"/>
      </w:pPr>
      <w:bookmarkStart w:id="9276" w:name="_Toc189988210"/>
      <w:bookmarkStart w:id="9277" w:name="_Toc192041793"/>
      <w:bookmarkStart w:id="9278" w:name="_Toc199571027"/>
      <w:bookmarkStart w:id="9279" w:name="_Toc199739026"/>
      <w:bookmarkStart w:id="9280" w:name="_Toc199815127"/>
      <w:bookmarkStart w:id="9281" w:name="_Toc215040934"/>
      <w:bookmarkStart w:id="9282" w:name="_Toc215041379"/>
      <w:bookmarkStart w:id="9283" w:name="_Toc222129587"/>
      <w:bookmarkStart w:id="9284" w:name="_Toc222223292"/>
      <w:bookmarkStart w:id="9285" w:name="_Toc225914544"/>
      <w:bookmarkStart w:id="9286" w:name="_Toc231282589"/>
      <w:bookmarkStart w:id="9287" w:name="_Toc231283033"/>
      <w:bookmarkStart w:id="9288" w:name="_Toc234899623"/>
      <w:bookmarkStart w:id="9289" w:name="_Toc236632905"/>
      <w:bookmarkStart w:id="9290" w:name="_Toc236720518"/>
      <w:bookmarkStart w:id="9291" w:name="_Toc237764717"/>
      <w:bookmarkStart w:id="9292" w:name="_Toc238356341"/>
      <w:bookmarkStart w:id="9293" w:name="_Toc238369046"/>
      <w:bookmarkStart w:id="9294" w:name="_Toc238375999"/>
      <w:bookmarkStart w:id="9295" w:name="_Toc240339323"/>
      <w:bookmarkStart w:id="9296" w:name="_Toc241993829"/>
      <w:bookmarkStart w:id="9297" w:name="_Toc243192972"/>
      <w:bookmarkStart w:id="9298" w:name="_Toc243295673"/>
      <w:bookmarkStart w:id="9299" w:name="_Toc245113246"/>
      <w:bookmarkStart w:id="9300" w:name="_Toc245198408"/>
      <w:bookmarkStart w:id="9301" w:name="_Toc245198857"/>
      <w:bookmarkStart w:id="9302" w:name="_Toc245199306"/>
      <w:bookmarkStart w:id="9303" w:name="_Toc248122338"/>
      <w:bookmarkStart w:id="9304" w:name="_Toc248122789"/>
      <w:bookmarkStart w:id="9305" w:name="_Toc253670776"/>
      <w:bookmarkStart w:id="9306" w:name="_Toc253671226"/>
      <w:bookmarkStart w:id="9307" w:name="_Toc254943000"/>
      <w:bookmarkStart w:id="9308" w:name="_Toc254943453"/>
      <w:bookmarkStart w:id="9309" w:name="_Toc255476045"/>
      <w:bookmarkStart w:id="9310" w:name="_Toc256432366"/>
      <w:bookmarkStart w:id="9311" w:name="_Toc257720703"/>
      <w:bookmarkStart w:id="9312" w:name="_Toc257722385"/>
      <w:bookmarkStart w:id="9313" w:name="_Toc258336061"/>
      <w:bookmarkStart w:id="9314" w:name="_Toc260406503"/>
      <w:bookmarkStart w:id="9315" w:name="_Toc261271689"/>
      <w:bookmarkStart w:id="9316" w:name="_Toc262808371"/>
      <w:bookmarkStart w:id="9317" w:name="_Toc267572763"/>
      <w:bookmarkStart w:id="9318" w:name="_Toc270684512"/>
      <w:bookmarkStart w:id="9319" w:name="_Toc274214689"/>
      <w:bookmarkStart w:id="9320" w:name="_Toc274215138"/>
      <w:bookmarkStart w:id="9321" w:name="_Toc278976469"/>
      <w:bookmarkStart w:id="9322" w:name="_Toc286760790"/>
      <w:bookmarkStart w:id="9323" w:name="_Toc289081135"/>
      <w:bookmarkStart w:id="9324" w:name="_Toc290284329"/>
      <w:bookmarkStart w:id="9325" w:name="_Toc290643150"/>
      <w:bookmarkStart w:id="9326" w:name="_Toc290643599"/>
      <w:bookmarkStart w:id="9327" w:name="_Toc290644052"/>
      <w:bookmarkStart w:id="9328" w:name="_Toc294701869"/>
      <w:bookmarkStart w:id="9329" w:name="_Toc295200277"/>
      <w:bookmarkStart w:id="9330" w:name="_Toc296954718"/>
      <w:bookmarkStart w:id="9331" w:name="_Toc297276353"/>
      <w:bookmarkStart w:id="9332" w:name="_Toc297276805"/>
      <w:bookmarkStart w:id="9333" w:name="_Toc297277255"/>
      <w:bookmarkStart w:id="9334" w:name="_Toc297726624"/>
      <w:bookmarkStart w:id="9335" w:name="_Toc299980410"/>
      <w:bookmarkStart w:id="9336" w:name="_Toc300235036"/>
      <w:bookmarkStart w:id="9337" w:name="_Toc301961539"/>
      <w:bookmarkStart w:id="9338" w:name="_Toc301967109"/>
      <w:bookmarkStart w:id="9339" w:name="_Toc303253318"/>
      <w:bookmarkStart w:id="9340" w:name="_Toc303257482"/>
      <w:bookmarkStart w:id="9341" w:name="_Toc307993115"/>
      <w:bookmarkStart w:id="9342" w:name="_Toc309030148"/>
      <w:bookmarkStart w:id="9343" w:name="_Toc309304371"/>
      <w:bookmarkStart w:id="9344" w:name="_Toc309309648"/>
      <w:r>
        <w:rPr>
          <w:rStyle w:val="CharSchNo"/>
        </w:rPr>
        <w:t>Schedule 7</w:t>
      </w:r>
      <w:bookmarkEnd w:id="9276"/>
      <w:bookmarkEnd w:id="9277"/>
      <w:bookmarkEnd w:id="9278"/>
      <w:bookmarkEnd w:id="9279"/>
      <w:bookmarkEnd w:id="9280"/>
      <w:bookmarkEnd w:id="9281"/>
      <w:bookmarkEnd w:id="9282"/>
      <w:bookmarkEnd w:id="9283"/>
      <w:bookmarkEnd w:id="9284"/>
      <w:bookmarkEnd w:id="9285"/>
      <w:bookmarkEnd w:id="9286"/>
      <w:bookmarkEnd w:id="9287"/>
      <w:bookmarkEnd w:id="9288"/>
      <w:bookmarkEnd w:id="9289"/>
      <w:bookmarkEnd w:id="9290"/>
      <w:bookmarkEnd w:id="9291"/>
      <w:bookmarkEnd w:id="9292"/>
      <w:bookmarkEnd w:id="9293"/>
      <w:bookmarkEnd w:id="9294"/>
      <w:bookmarkEnd w:id="9295"/>
      <w:bookmarkEnd w:id="9296"/>
      <w:bookmarkEnd w:id="9297"/>
      <w:bookmarkEnd w:id="9298"/>
      <w:bookmarkEnd w:id="9299"/>
      <w:bookmarkEnd w:id="9300"/>
      <w:bookmarkEnd w:id="9301"/>
      <w:bookmarkEnd w:id="9302"/>
      <w:bookmarkEnd w:id="9303"/>
      <w:bookmarkEnd w:id="9304"/>
      <w:bookmarkEnd w:id="9305"/>
      <w:bookmarkEnd w:id="9306"/>
      <w:bookmarkEnd w:id="9307"/>
      <w:bookmarkEnd w:id="9308"/>
      <w:bookmarkEnd w:id="9309"/>
      <w:bookmarkEnd w:id="9310"/>
      <w:bookmarkEnd w:id="9311"/>
      <w:bookmarkEnd w:id="9312"/>
      <w:bookmarkEnd w:id="9313"/>
      <w:bookmarkEnd w:id="9314"/>
      <w:bookmarkEnd w:id="9315"/>
      <w:bookmarkEnd w:id="9316"/>
      <w:bookmarkEnd w:id="9317"/>
      <w:bookmarkEnd w:id="9318"/>
      <w:bookmarkEnd w:id="9319"/>
      <w:bookmarkEnd w:id="9320"/>
      <w:bookmarkEnd w:id="9321"/>
      <w:bookmarkEnd w:id="9322"/>
      <w:bookmarkEnd w:id="9323"/>
      <w:bookmarkEnd w:id="9324"/>
      <w:bookmarkEnd w:id="9325"/>
      <w:bookmarkEnd w:id="9326"/>
      <w:bookmarkEnd w:id="9327"/>
      <w:bookmarkEnd w:id="9328"/>
      <w:bookmarkEnd w:id="9329"/>
      <w:bookmarkEnd w:id="9330"/>
      <w:bookmarkEnd w:id="9331"/>
      <w:bookmarkEnd w:id="9332"/>
      <w:bookmarkEnd w:id="9333"/>
      <w:bookmarkEnd w:id="9334"/>
      <w:bookmarkEnd w:id="9335"/>
      <w:bookmarkEnd w:id="9336"/>
      <w:bookmarkEnd w:id="9337"/>
      <w:bookmarkEnd w:id="9338"/>
      <w:bookmarkEnd w:id="9339"/>
      <w:bookmarkEnd w:id="9340"/>
      <w:bookmarkEnd w:id="9341"/>
      <w:bookmarkEnd w:id="9342"/>
      <w:bookmarkEnd w:id="9343"/>
      <w:bookmarkEnd w:id="9344"/>
    </w:p>
    <w:p>
      <w:pPr>
        <w:pStyle w:val="yShoulderClause"/>
        <w:rPr>
          <w:snapToGrid w:val="0"/>
        </w:rPr>
      </w:pPr>
      <w:r>
        <w:rPr>
          <w:snapToGrid w:val="0"/>
        </w:rPr>
        <w:t>[reg. 3(2)]</w:t>
      </w:r>
    </w:p>
    <w:p>
      <w:pPr>
        <w:pStyle w:val="yHeading2"/>
      </w:pPr>
      <w:bookmarkStart w:id="9345" w:name="_Toc189988211"/>
      <w:bookmarkStart w:id="9346" w:name="_Toc192041794"/>
      <w:bookmarkStart w:id="9347" w:name="_Toc199571028"/>
      <w:bookmarkStart w:id="9348" w:name="_Toc199739027"/>
      <w:bookmarkStart w:id="9349" w:name="_Toc199815128"/>
      <w:bookmarkStart w:id="9350" w:name="_Toc215040935"/>
      <w:bookmarkStart w:id="9351" w:name="_Toc215041380"/>
      <w:bookmarkStart w:id="9352" w:name="_Toc222129588"/>
      <w:bookmarkStart w:id="9353" w:name="_Toc222223293"/>
      <w:bookmarkStart w:id="9354" w:name="_Toc225914545"/>
      <w:bookmarkStart w:id="9355" w:name="_Toc231282590"/>
      <w:bookmarkStart w:id="9356" w:name="_Toc231283034"/>
      <w:bookmarkStart w:id="9357" w:name="_Toc234899624"/>
      <w:bookmarkStart w:id="9358" w:name="_Toc236632906"/>
      <w:bookmarkStart w:id="9359" w:name="_Toc236720519"/>
      <w:bookmarkStart w:id="9360" w:name="_Toc237764718"/>
      <w:bookmarkStart w:id="9361" w:name="_Toc238356342"/>
      <w:bookmarkStart w:id="9362" w:name="_Toc238369047"/>
      <w:bookmarkStart w:id="9363" w:name="_Toc238376000"/>
      <w:bookmarkStart w:id="9364" w:name="_Toc240339324"/>
      <w:bookmarkStart w:id="9365" w:name="_Toc241993830"/>
      <w:bookmarkStart w:id="9366" w:name="_Toc243192973"/>
      <w:bookmarkStart w:id="9367" w:name="_Toc243295674"/>
      <w:bookmarkStart w:id="9368" w:name="_Toc245113247"/>
      <w:bookmarkStart w:id="9369" w:name="_Toc245198409"/>
      <w:bookmarkStart w:id="9370" w:name="_Toc245198858"/>
      <w:bookmarkStart w:id="9371" w:name="_Toc245199307"/>
      <w:bookmarkStart w:id="9372" w:name="_Toc248122339"/>
      <w:bookmarkStart w:id="9373" w:name="_Toc248122790"/>
      <w:bookmarkStart w:id="9374" w:name="_Toc253670777"/>
      <w:bookmarkStart w:id="9375" w:name="_Toc253671227"/>
      <w:bookmarkStart w:id="9376" w:name="_Toc254943001"/>
      <w:bookmarkStart w:id="9377" w:name="_Toc254943454"/>
      <w:bookmarkStart w:id="9378" w:name="_Toc255476046"/>
      <w:bookmarkStart w:id="9379" w:name="_Toc256432367"/>
      <w:bookmarkStart w:id="9380" w:name="_Toc257720704"/>
      <w:bookmarkStart w:id="9381" w:name="_Toc257722386"/>
      <w:bookmarkStart w:id="9382" w:name="_Toc258336062"/>
      <w:bookmarkStart w:id="9383" w:name="_Toc260406504"/>
      <w:bookmarkStart w:id="9384" w:name="_Toc261271690"/>
      <w:bookmarkStart w:id="9385" w:name="_Toc262808372"/>
      <w:bookmarkStart w:id="9386" w:name="_Toc267572764"/>
      <w:bookmarkStart w:id="9387" w:name="_Toc270684513"/>
      <w:bookmarkStart w:id="9388" w:name="_Toc274214690"/>
      <w:bookmarkStart w:id="9389" w:name="_Toc274215139"/>
      <w:bookmarkStart w:id="9390" w:name="_Toc278976470"/>
      <w:bookmarkStart w:id="9391" w:name="_Toc286760791"/>
      <w:bookmarkStart w:id="9392" w:name="_Toc289081136"/>
      <w:bookmarkStart w:id="9393" w:name="_Toc290284330"/>
      <w:bookmarkStart w:id="9394" w:name="_Toc290643151"/>
      <w:bookmarkStart w:id="9395" w:name="_Toc290643600"/>
      <w:bookmarkStart w:id="9396" w:name="_Toc290644053"/>
      <w:bookmarkStart w:id="9397" w:name="_Toc294701870"/>
      <w:bookmarkStart w:id="9398" w:name="_Toc295200278"/>
      <w:bookmarkStart w:id="9399" w:name="_Toc296954719"/>
      <w:bookmarkStart w:id="9400" w:name="_Toc297276354"/>
      <w:bookmarkStart w:id="9401" w:name="_Toc297276806"/>
      <w:bookmarkStart w:id="9402" w:name="_Toc297277256"/>
      <w:bookmarkStart w:id="9403" w:name="_Toc297726625"/>
      <w:bookmarkStart w:id="9404" w:name="_Toc299980411"/>
      <w:bookmarkStart w:id="9405" w:name="_Toc300235037"/>
      <w:bookmarkStart w:id="9406" w:name="_Toc301961540"/>
      <w:bookmarkStart w:id="9407" w:name="_Toc301967110"/>
      <w:bookmarkStart w:id="9408" w:name="_Toc303253319"/>
      <w:bookmarkStart w:id="9409" w:name="_Toc303257483"/>
      <w:bookmarkStart w:id="9410" w:name="_Toc307993116"/>
      <w:bookmarkStart w:id="9411" w:name="_Toc309030149"/>
      <w:bookmarkStart w:id="9412" w:name="_Toc309304372"/>
      <w:bookmarkStart w:id="9413" w:name="_Toc309309649"/>
      <w:r>
        <w:rPr>
          <w:rStyle w:val="CharSchText"/>
        </w:rPr>
        <w:t>List of common and scientific names</w:t>
      </w:r>
      <w:bookmarkEnd w:id="9345"/>
      <w:bookmarkEnd w:id="9346"/>
      <w:bookmarkEnd w:id="9347"/>
      <w:bookmarkEnd w:id="9348"/>
      <w:bookmarkEnd w:id="9349"/>
      <w:bookmarkEnd w:id="9350"/>
      <w:bookmarkEnd w:id="9351"/>
      <w:bookmarkEnd w:id="9352"/>
      <w:bookmarkEnd w:id="9353"/>
      <w:bookmarkEnd w:id="9354"/>
      <w:bookmarkEnd w:id="9355"/>
      <w:bookmarkEnd w:id="9356"/>
      <w:bookmarkEnd w:id="9357"/>
      <w:bookmarkEnd w:id="9358"/>
      <w:bookmarkEnd w:id="9359"/>
      <w:bookmarkEnd w:id="9360"/>
      <w:bookmarkEnd w:id="9361"/>
      <w:bookmarkEnd w:id="9362"/>
      <w:bookmarkEnd w:id="9363"/>
      <w:bookmarkEnd w:id="9364"/>
      <w:bookmarkEnd w:id="9365"/>
      <w:bookmarkEnd w:id="9366"/>
      <w:bookmarkEnd w:id="9367"/>
      <w:bookmarkEnd w:id="9368"/>
      <w:bookmarkEnd w:id="9369"/>
      <w:bookmarkEnd w:id="9370"/>
      <w:bookmarkEnd w:id="9371"/>
      <w:bookmarkEnd w:id="9372"/>
      <w:bookmarkEnd w:id="9373"/>
      <w:bookmarkEnd w:id="9374"/>
      <w:bookmarkEnd w:id="9375"/>
      <w:bookmarkEnd w:id="9376"/>
      <w:bookmarkEnd w:id="9377"/>
      <w:bookmarkEnd w:id="9378"/>
      <w:bookmarkEnd w:id="9379"/>
      <w:bookmarkEnd w:id="9380"/>
      <w:bookmarkEnd w:id="9381"/>
      <w:bookmarkEnd w:id="9382"/>
      <w:bookmarkEnd w:id="9383"/>
      <w:bookmarkEnd w:id="9384"/>
      <w:bookmarkEnd w:id="9385"/>
      <w:bookmarkEnd w:id="9386"/>
      <w:bookmarkEnd w:id="9387"/>
      <w:bookmarkEnd w:id="9388"/>
      <w:bookmarkEnd w:id="9389"/>
      <w:bookmarkEnd w:id="9390"/>
      <w:bookmarkEnd w:id="9391"/>
      <w:bookmarkEnd w:id="9392"/>
      <w:bookmarkEnd w:id="9393"/>
      <w:bookmarkEnd w:id="9394"/>
      <w:bookmarkEnd w:id="9395"/>
      <w:bookmarkEnd w:id="9396"/>
      <w:bookmarkEnd w:id="9397"/>
      <w:bookmarkEnd w:id="9398"/>
      <w:bookmarkEnd w:id="9399"/>
      <w:bookmarkEnd w:id="9400"/>
      <w:bookmarkEnd w:id="9401"/>
      <w:bookmarkEnd w:id="9402"/>
      <w:bookmarkEnd w:id="9403"/>
      <w:bookmarkEnd w:id="9404"/>
      <w:bookmarkEnd w:id="9405"/>
      <w:bookmarkEnd w:id="9406"/>
      <w:bookmarkEnd w:id="9407"/>
      <w:bookmarkEnd w:id="9408"/>
      <w:bookmarkEnd w:id="9409"/>
      <w:bookmarkEnd w:id="9410"/>
      <w:bookmarkEnd w:id="9411"/>
      <w:bookmarkEnd w:id="9412"/>
      <w:bookmarkEnd w:id="9413"/>
    </w:p>
    <w:p>
      <w:pPr>
        <w:pStyle w:val="yHeading3"/>
      </w:pPr>
      <w:bookmarkStart w:id="9414" w:name="_Toc189988212"/>
      <w:bookmarkStart w:id="9415" w:name="_Toc192041795"/>
      <w:bookmarkStart w:id="9416" w:name="_Toc199571029"/>
      <w:bookmarkStart w:id="9417" w:name="_Toc199739028"/>
      <w:bookmarkStart w:id="9418" w:name="_Toc199815129"/>
      <w:bookmarkStart w:id="9419" w:name="_Toc215040936"/>
      <w:bookmarkStart w:id="9420" w:name="_Toc215041381"/>
      <w:bookmarkStart w:id="9421" w:name="_Toc222129589"/>
      <w:bookmarkStart w:id="9422" w:name="_Toc222223294"/>
      <w:bookmarkStart w:id="9423" w:name="_Toc225914546"/>
      <w:bookmarkStart w:id="9424" w:name="_Toc231282591"/>
      <w:bookmarkStart w:id="9425" w:name="_Toc231283035"/>
      <w:bookmarkStart w:id="9426" w:name="_Toc234899625"/>
      <w:bookmarkStart w:id="9427" w:name="_Toc236632907"/>
      <w:bookmarkStart w:id="9428" w:name="_Toc236720520"/>
      <w:bookmarkStart w:id="9429" w:name="_Toc237764719"/>
      <w:bookmarkStart w:id="9430" w:name="_Toc238356343"/>
      <w:bookmarkStart w:id="9431" w:name="_Toc238369048"/>
      <w:bookmarkStart w:id="9432" w:name="_Toc238376001"/>
      <w:bookmarkStart w:id="9433" w:name="_Toc240339325"/>
      <w:bookmarkStart w:id="9434" w:name="_Toc241993831"/>
      <w:bookmarkStart w:id="9435" w:name="_Toc243192974"/>
      <w:bookmarkStart w:id="9436" w:name="_Toc243295675"/>
      <w:bookmarkStart w:id="9437" w:name="_Toc245113248"/>
      <w:bookmarkStart w:id="9438" w:name="_Toc245198410"/>
      <w:bookmarkStart w:id="9439" w:name="_Toc245198859"/>
      <w:bookmarkStart w:id="9440" w:name="_Toc245199308"/>
      <w:bookmarkStart w:id="9441" w:name="_Toc248122340"/>
      <w:bookmarkStart w:id="9442" w:name="_Toc248122791"/>
      <w:bookmarkStart w:id="9443" w:name="_Toc253670778"/>
      <w:bookmarkStart w:id="9444" w:name="_Toc253671228"/>
      <w:bookmarkStart w:id="9445" w:name="_Toc254943002"/>
      <w:bookmarkStart w:id="9446" w:name="_Toc254943455"/>
      <w:bookmarkStart w:id="9447" w:name="_Toc255476047"/>
      <w:bookmarkStart w:id="9448" w:name="_Toc256432368"/>
      <w:bookmarkStart w:id="9449" w:name="_Toc257720705"/>
      <w:bookmarkStart w:id="9450" w:name="_Toc257722387"/>
      <w:bookmarkStart w:id="9451" w:name="_Toc258336063"/>
      <w:bookmarkStart w:id="9452" w:name="_Toc260406505"/>
      <w:bookmarkStart w:id="9453" w:name="_Toc261271691"/>
      <w:bookmarkStart w:id="9454" w:name="_Toc262808373"/>
      <w:bookmarkStart w:id="9455" w:name="_Toc267572765"/>
      <w:bookmarkStart w:id="9456" w:name="_Toc270684514"/>
      <w:bookmarkStart w:id="9457" w:name="_Toc274214691"/>
      <w:bookmarkStart w:id="9458" w:name="_Toc274215140"/>
      <w:bookmarkStart w:id="9459" w:name="_Toc278976471"/>
      <w:bookmarkStart w:id="9460" w:name="_Toc286760792"/>
      <w:bookmarkStart w:id="9461" w:name="_Toc289081137"/>
      <w:bookmarkStart w:id="9462" w:name="_Toc290284331"/>
      <w:bookmarkStart w:id="9463" w:name="_Toc290643152"/>
      <w:bookmarkStart w:id="9464" w:name="_Toc290643601"/>
      <w:bookmarkStart w:id="9465" w:name="_Toc290644054"/>
      <w:bookmarkStart w:id="9466" w:name="_Toc294701871"/>
      <w:bookmarkStart w:id="9467" w:name="_Toc295200279"/>
      <w:bookmarkStart w:id="9468" w:name="_Toc296954720"/>
      <w:bookmarkStart w:id="9469" w:name="_Toc297276355"/>
      <w:bookmarkStart w:id="9470" w:name="_Toc297276807"/>
      <w:bookmarkStart w:id="9471" w:name="_Toc297277257"/>
      <w:bookmarkStart w:id="9472" w:name="_Toc297726626"/>
      <w:bookmarkStart w:id="9473" w:name="_Toc299980412"/>
      <w:bookmarkStart w:id="9474" w:name="_Toc300235038"/>
      <w:bookmarkStart w:id="9475" w:name="_Toc301961541"/>
      <w:bookmarkStart w:id="9476" w:name="_Toc301967111"/>
      <w:bookmarkStart w:id="9477" w:name="_Toc303253320"/>
      <w:bookmarkStart w:id="9478" w:name="_Toc303257484"/>
      <w:bookmarkStart w:id="9479" w:name="_Toc307993117"/>
      <w:bookmarkStart w:id="9480" w:name="_Toc309030150"/>
      <w:bookmarkStart w:id="9481" w:name="_Toc309304373"/>
      <w:bookmarkStart w:id="9482" w:name="_Toc309309650"/>
      <w:r>
        <w:t>Division 1 — Marine or fluvio</w:t>
      </w:r>
      <w:r>
        <w:noBreakHyphen/>
        <w:t>marine fish</w:t>
      </w:r>
      <w:bookmarkEnd w:id="9414"/>
      <w:bookmarkEnd w:id="9415"/>
      <w:bookmarkEnd w:id="9416"/>
      <w:bookmarkEnd w:id="9417"/>
      <w:bookmarkEnd w:id="9418"/>
      <w:bookmarkEnd w:id="9419"/>
      <w:bookmarkEnd w:id="9420"/>
      <w:bookmarkEnd w:id="9421"/>
      <w:bookmarkEnd w:id="9422"/>
      <w:bookmarkEnd w:id="9423"/>
      <w:bookmarkEnd w:id="9424"/>
      <w:bookmarkEnd w:id="9425"/>
      <w:bookmarkEnd w:id="9426"/>
      <w:bookmarkEnd w:id="9427"/>
      <w:bookmarkEnd w:id="9428"/>
      <w:bookmarkEnd w:id="9429"/>
      <w:bookmarkEnd w:id="9430"/>
      <w:bookmarkEnd w:id="9431"/>
      <w:bookmarkEnd w:id="9432"/>
      <w:bookmarkEnd w:id="9433"/>
      <w:bookmarkEnd w:id="9434"/>
      <w:bookmarkEnd w:id="9435"/>
      <w:bookmarkEnd w:id="9436"/>
      <w:bookmarkEnd w:id="9437"/>
      <w:bookmarkEnd w:id="9438"/>
      <w:bookmarkEnd w:id="9439"/>
      <w:bookmarkEnd w:id="9440"/>
      <w:bookmarkEnd w:id="9441"/>
      <w:bookmarkEnd w:id="9442"/>
      <w:bookmarkEnd w:id="9443"/>
      <w:bookmarkEnd w:id="9444"/>
      <w:bookmarkEnd w:id="9445"/>
      <w:bookmarkEnd w:id="9446"/>
      <w:bookmarkEnd w:id="9447"/>
      <w:bookmarkEnd w:id="9448"/>
      <w:bookmarkEnd w:id="9449"/>
      <w:bookmarkEnd w:id="9450"/>
      <w:bookmarkEnd w:id="9451"/>
      <w:bookmarkEnd w:id="9452"/>
      <w:bookmarkEnd w:id="9453"/>
      <w:bookmarkEnd w:id="9454"/>
      <w:bookmarkEnd w:id="9455"/>
      <w:bookmarkEnd w:id="9456"/>
      <w:bookmarkEnd w:id="9457"/>
      <w:bookmarkEnd w:id="9458"/>
      <w:bookmarkEnd w:id="9459"/>
      <w:bookmarkEnd w:id="9460"/>
      <w:bookmarkEnd w:id="9461"/>
      <w:bookmarkEnd w:id="9462"/>
      <w:bookmarkEnd w:id="9463"/>
      <w:bookmarkEnd w:id="9464"/>
      <w:bookmarkEnd w:id="9465"/>
      <w:bookmarkEnd w:id="9466"/>
      <w:bookmarkEnd w:id="9467"/>
      <w:bookmarkEnd w:id="9468"/>
      <w:bookmarkEnd w:id="9469"/>
      <w:bookmarkEnd w:id="9470"/>
      <w:bookmarkEnd w:id="9471"/>
      <w:bookmarkEnd w:id="9472"/>
      <w:bookmarkEnd w:id="9473"/>
      <w:bookmarkEnd w:id="9474"/>
      <w:bookmarkEnd w:id="9475"/>
      <w:bookmarkEnd w:id="9476"/>
      <w:bookmarkEnd w:id="9477"/>
      <w:bookmarkEnd w:id="9478"/>
      <w:bookmarkEnd w:id="9479"/>
      <w:bookmarkEnd w:id="9480"/>
      <w:bookmarkEnd w:id="9481"/>
      <w:bookmarkEnd w:id="9482"/>
    </w:p>
    <w:p>
      <w:pPr>
        <w:pStyle w:val="yFootnoteheading"/>
        <w:spacing w:after="80"/>
        <w:rPr>
          <w:snapToGrid w:val="0"/>
        </w:rPr>
      </w:pPr>
      <w:r>
        <w:rPr>
          <w:snapToGrid w:val="0"/>
        </w:rPr>
        <w:tab/>
        <w:t>[Heading inserted in Gazette 13 Nov 2007 p. 5692.]</w:t>
      </w:r>
    </w:p>
    <w:tbl>
      <w:tblPr>
        <w:tblW w:w="0" w:type="auto"/>
        <w:tblInd w:w="113" w:type="dxa"/>
        <w:tblLayout w:type="fixed"/>
        <w:tblCellMar>
          <w:left w:w="141" w:type="dxa"/>
          <w:right w:w="141" w:type="dxa"/>
        </w:tblCellMar>
        <w:tblLook w:val="0000" w:firstRow="0" w:lastRow="0" w:firstColumn="0" w:lastColumn="0" w:noHBand="0" w:noVBand="0"/>
      </w:tblPr>
      <w:tblGrid>
        <w:gridCol w:w="3542"/>
        <w:gridCol w:w="3543"/>
      </w:tblGrid>
      <w:tr>
        <w:trPr>
          <w:tblHeader/>
        </w:trPr>
        <w:tc>
          <w:tcPr>
            <w:tcW w:w="3542" w:type="dxa"/>
            <w:tcBorders>
              <w:top w:val="single" w:sz="8" w:space="0" w:color="auto"/>
              <w:bottom w:val="single" w:sz="8" w:space="0" w:color="auto"/>
            </w:tcBorders>
            <w:tcMar>
              <w:top w:w="28" w:type="dxa"/>
              <w:left w:w="85" w:type="dxa"/>
            </w:tcMar>
          </w:tcPr>
          <w:p>
            <w:pPr>
              <w:pStyle w:val="yTableNAm"/>
              <w:tabs>
                <w:tab w:val="clear" w:pos="567"/>
                <w:tab w:val="left" w:leader="dot" w:pos="3339"/>
                <w:tab w:val="right" w:leader="dot" w:pos="3969"/>
              </w:tabs>
              <w:spacing w:before="0"/>
              <w:rPr>
                <w:b/>
                <w:bCs/>
              </w:rPr>
            </w:pPr>
            <w:r>
              <w:rPr>
                <w:b/>
                <w:bCs/>
              </w:rPr>
              <w:t>Common name</w:t>
            </w:r>
          </w:p>
        </w:tc>
        <w:tc>
          <w:tcPr>
            <w:tcW w:w="3543" w:type="dxa"/>
            <w:tcBorders>
              <w:top w:val="single" w:sz="8" w:space="0" w:color="auto"/>
              <w:bottom w:val="single" w:sz="8" w:space="0" w:color="auto"/>
            </w:tcBorders>
            <w:tcMar>
              <w:top w:w="28" w:type="dxa"/>
              <w:left w:w="85" w:type="dxa"/>
            </w:tcMar>
          </w:tcPr>
          <w:p>
            <w:pPr>
              <w:pStyle w:val="yTableNAm"/>
              <w:spacing w:before="0"/>
              <w:rPr>
                <w:b/>
                <w:bCs/>
              </w:rPr>
            </w:pPr>
            <w:r>
              <w:rPr>
                <w:b/>
                <w:bCs/>
              </w:rPr>
              <w:t>Scientific name</w:t>
            </w:r>
          </w:p>
        </w:tc>
      </w:tr>
      <w:tr>
        <w:tc>
          <w:tcPr>
            <w:tcW w:w="3542" w:type="dxa"/>
            <w:tcMar>
              <w:top w:w="28" w:type="dxa"/>
              <w:left w:w="85" w:type="dxa"/>
            </w:tcMar>
          </w:tcPr>
          <w:p>
            <w:pPr>
              <w:pStyle w:val="yTableNAm"/>
              <w:tabs>
                <w:tab w:val="clear" w:pos="567"/>
                <w:tab w:val="right" w:leader="dot" w:pos="3316"/>
              </w:tabs>
              <w:spacing w:before="0"/>
            </w:pPr>
            <w:r>
              <w:t xml:space="preserve">Amberjack </w:t>
            </w:r>
            <w:r>
              <w:tab/>
            </w:r>
          </w:p>
        </w:tc>
        <w:tc>
          <w:tcPr>
            <w:tcW w:w="3543" w:type="dxa"/>
            <w:tcMar>
              <w:top w:w="28" w:type="dxa"/>
              <w:left w:w="85" w:type="dxa"/>
            </w:tcMar>
          </w:tcPr>
          <w:p>
            <w:pPr>
              <w:pStyle w:val="yTableNAm"/>
              <w:spacing w:before="0"/>
              <w:rPr>
                <w:i/>
              </w:rPr>
            </w:pPr>
            <w:r>
              <w:rPr>
                <w:i/>
              </w:rPr>
              <w:t>Seriola dumerlii</w:t>
            </w:r>
          </w:p>
        </w:tc>
      </w:tr>
      <w:tr>
        <w:tc>
          <w:tcPr>
            <w:tcW w:w="3542" w:type="dxa"/>
            <w:tcMar>
              <w:top w:w="28" w:type="dxa"/>
              <w:left w:w="85" w:type="dxa"/>
            </w:tcMar>
          </w:tcPr>
          <w:p>
            <w:pPr>
              <w:pStyle w:val="yTableNAm"/>
              <w:tabs>
                <w:tab w:val="clear" w:pos="567"/>
                <w:tab w:val="right" w:leader="dot" w:pos="3316"/>
              </w:tabs>
              <w:spacing w:before="0"/>
            </w:pPr>
            <w:r>
              <w:t xml:space="preserve">Anchovy, Australian </w:t>
            </w:r>
            <w:r>
              <w:tab/>
            </w:r>
          </w:p>
        </w:tc>
        <w:tc>
          <w:tcPr>
            <w:tcW w:w="3543" w:type="dxa"/>
            <w:tcMar>
              <w:top w:w="28" w:type="dxa"/>
              <w:left w:w="85" w:type="dxa"/>
            </w:tcMar>
          </w:tcPr>
          <w:p>
            <w:pPr>
              <w:pStyle w:val="yTableNAm"/>
              <w:spacing w:before="0"/>
              <w:rPr>
                <w:i/>
              </w:rPr>
            </w:pPr>
            <w:r>
              <w:rPr>
                <w:i/>
              </w:rPr>
              <w:t>Engraulis australis</w:t>
            </w:r>
          </w:p>
        </w:tc>
      </w:tr>
      <w:tr>
        <w:tc>
          <w:tcPr>
            <w:tcW w:w="3542" w:type="dxa"/>
            <w:tcMar>
              <w:top w:w="28" w:type="dxa"/>
              <w:left w:w="85" w:type="dxa"/>
            </w:tcMar>
          </w:tcPr>
          <w:p>
            <w:pPr>
              <w:pStyle w:val="yTableNAm"/>
              <w:tabs>
                <w:tab w:val="clear" w:pos="567"/>
                <w:tab w:val="right" w:leader="dot" w:pos="3316"/>
              </w:tabs>
              <w:spacing w:before="0"/>
            </w:pPr>
            <w:r>
              <w:t xml:space="preserve">Bait Fish </w:t>
            </w:r>
            <w:r>
              <w:tab/>
            </w:r>
          </w:p>
        </w:tc>
        <w:tc>
          <w:tcPr>
            <w:tcW w:w="3543" w:type="dxa"/>
            <w:tcMar>
              <w:top w:w="28" w:type="dxa"/>
              <w:left w:w="85" w:type="dxa"/>
            </w:tcMar>
          </w:tcPr>
          <w:p>
            <w:pPr>
              <w:pStyle w:val="yTableNAm"/>
              <w:spacing w:before="0"/>
            </w:pPr>
            <w:r>
              <w:rPr>
                <w:u w:val="single"/>
              </w:rPr>
              <w:t>Families</w:t>
            </w:r>
            <w:r>
              <w:t xml:space="preserve"> Clupeidae and Engraulidae</w:t>
            </w:r>
          </w:p>
        </w:tc>
      </w:tr>
      <w:tr>
        <w:tc>
          <w:tcPr>
            <w:tcW w:w="3542" w:type="dxa"/>
            <w:tcMar>
              <w:top w:w="28" w:type="dxa"/>
              <w:left w:w="85" w:type="dxa"/>
            </w:tcMar>
          </w:tcPr>
          <w:p>
            <w:pPr>
              <w:pStyle w:val="yTableNAm"/>
              <w:tabs>
                <w:tab w:val="clear" w:pos="567"/>
                <w:tab w:val="right" w:leader="dot" w:pos="3316"/>
              </w:tabs>
              <w:spacing w:before="0"/>
            </w:pPr>
            <w:r>
              <w:t xml:space="preserve">Barracuda </w:t>
            </w:r>
            <w:r>
              <w:tab/>
            </w:r>
          </w:p>
        </w:tc>
        <w:tc>
          <w:tcPr>
            <w:tcW w:w="3543" w:type="dxa"/>
            <w:tcMar>
              <w:top w:w="28" w:type="dxa"/>
              <w:left w:w="85" w:type="dxa"/>
            </w:tcMar>
          </w:tcPr>
          <w:p>
            <w:pPr>
              <w:pStyle w:val="yTableNAm"/>
              <w:spacing w:before="0"/>
              <w:rPr>
                <w:i/>
              </w:rPr>
            </w:pPr>
            <w:r>
              <w:rPr>
                <w:i/>
              </w:rPr>
              <w:t>Sphyraena barracuda</w:t>
            </w:r>
          </w:p>
        </w:tc>
      </w:tr>
      <w:tr>
        <w:tc>
          <w:tcPr>
            <w:tcW w:w="3542" w:type="dxa"/>
            <w:tcMar>
              <w:top w:w="28" w:type="dxa"/>
              <w:left w:w="85" w:type="dxa"/>
            </w:tcMar>
          </w:tcPr>
          <w:p>
            <w:pPr>
              <w:pStyle w:val="yTableNAm"/>
              <w:tabs>
                <w:tab w:val="clear" w:pos="567"/>
                <w:tab w:val="right" w:leader="dot" w:pos="3316"/>
              </w:tabs>
              <w:spacing w:before="0"/>
            </w:pPr>
            <w:r>
              <w:t xml:space="preserve">Barramundi (Giant Perch) </w:t>
            </w:r>
            <w:r>
              <w:tab/>
            </w:r>
          </w:p>
        </w:tc>
        <w:tc>
          <w:tcPr>
            <w:tcW w:w="3543" w:type="dxa"/>
            <w:tcMar>
              <w:top w:w="28" w:type="dxa"/>
              <w:left w:w="85" w:type="dxa"/>
            </w:tcMar>
          </w:tcPr>
          <w:p>
            <w:pPr>
              <w:pStyle w:val="yTableNAm"/>
              <w:spacing w:before="0"/>
              <w:rPr>
                <w:i/>
              </w:rPr>
            </w:pPr>
            <w:r>
              <w:rPr>
                <w:i/>
              </w:rPr>
              <w:t>Lates calcarifer</w:t>
            </w:r>
          </w:p>
        </w:tc>
      </w:tr>
      <w:tr>
        <w:tc>
          <w:tcPr>
            <w:tcW w:w="3542" w:type="dxa"/>
            <w:tcMar>
              <w:top w:w="28" w:type="dxa"/>
              <w:left w:w="85" w:type="dxa"/>
            </w:tcMar>
          </w:tcPr>
          <w:p>
            <w:pPr>
              <w:pStyle w:val="yTableNAm"/>
              <w:tabs>
                <w:tab w:val="clear" w:pos="567"/>
                <w:tab w:val="right" w:leader="dot" w:pos="3316"/>
              </w:tabs>
              <w:spacing w:before="0"/>
              <w:ind w:left="219" w:hanging="219"/>
            </w:pPr>
            <w:r>
              <w:t>Billfish (Marlins, Sailfish, Spearfish)</w:t>
            </w:r>
            <w:r>
              <w:tab/>
            </w:r>
          </w:p>
        </w:tc>
        <w:tc>
          <w:tcPr>
            <w:tcW w:w="3543" w:type="dxa"/>
            <w:tcMar>
              <w:top w:w="28" w:type="dxa"/>
              <w:left w:w="85" w:type="dxa"/>
            </w:tcMar>
          </w:tcPr>
          <w:p>
            <w:pPr>
              <w:pStyle w:val="yTableNAm"/>
              <w:spacing w:before="0"/>
              <w:rPr>
                <w:i/>
              </w:rPr>
            </w:pPr>
            <w:r>
              <w:rPr>
                <w:u w:val="single"/>
              </w:rPr>
              <w:t>Family</w:t>
            </w:r>
            <w:r>
              <w:t xml:space="preserve"> Istiophoridae</w:t>
            </w:r>
          </w:p>
        </w:tc>
      </w:tr>
      <w:tr>
        <w:tc>
          <w:tcPr>
            <w:tcW w:w="3542" w:type="dxa"/>
            <w:tcMar>
              <w:top w:w="28" w:type="dxa"/>
              <w:left w:w="85" w:type="dxa"/>
            </w:tcMar>
          </w:tcPr>
          <w:p>
            <w:pPr>
              <w:pStyle w:val="yTableNAm"/>
              <w:tabs>
                <w:tab w:val="clear" w:pos="567"/>
                <w:tab w:val="right" w:leader="dot" w:pos="3316"/>
              </w:tabs>
              <w:spacing w:before="0"/>
            </w:pPr>
            <w:r>
              <w:t xml:space="preserve">Boarfish </w:t>
            </w:r>
            <w:r>
              <w:tab/>
            </w:r>
          </w:p>
        </w:tc>
        <w:tc>
          <w:tcPr>
            <w:tcW w:w="3543" w:type="dxa"/>
            <w:tcMar>
              <w:top w:w="28" w:type="dxa"/>
              <w:left w:w="85" w:type="dxa"/>
            </w:tcMar>
          </w:tcPr>
          <w:p>
            <w:pPr>
              <w:pStyle w:val="yTableNAm"/>
              <w:spacing w:before="0"/>
              <w:rPr>
                <w:u w:val="single"/>
              </w:rPr>
            </w:pPr>
            <w:r>
              <w:rPr>
                <w:u w:val="single"/>
              </w:rPr>
              <w:t>Family</w:t>
            </w:r>
            <w:r>
              <w:t xml:space="preserve"> Pentacerotidae</w:t>
            </w:r>
          </w:p>
        </w:tc>
      </w:tr>
      <w:tr>
        <w:tc>
          <w:tcPr>
            <w:tcW w:w="3542" w:type="dxa"/>
            <w:tcMar>
              <w:top w:w="28" w:type="dxa"/>
              <w:left w:w="85" w:type="dxa"/>
            </w:tcMar>
          </w:tcPr>
          <w:p>
            <w:pPr>
              <w:pStyle w:val="yTableNAm"/>
              <w:tabs>
                <w:tab w:val="clear" w:pos="567"/>
                <w:tab w:val="right" w:leader="dot" w:pos="3316"/>
              </w:tabs>
              <w:spacing w:before="0"/>
            </w:pPr>
            <w:r>
              <w:t xml:space="preserve">Bonefish </w:t>
            </w:r>
            <w:r>
              <w:tab/>
            </w:r>
          </w:p>
        </w:tc>
        <w:tc>
          <w:tcPr>
            <w:tcW w:w="3543" w:type="dxa"/>
            <w:tcMar>
              <w:top w:w="28" w:type="dxa"/>
              <w:left w:w="85" w:type="dxa"/>
            </w:tcMar>
          </w:tcPr>
          <w:p>
            <w:pPr>
              <w:pStyle w:val="yTableNAm"/>
              <w:spacing w:before="0"/>
            </w:pPr>
            <w:r>
              <w:rPr>
                <w:i/>
              </w:rPr>
              <w:t>Albula</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Bonito, Leaping </w:t>
            </w:r>
            <w:r>
              <w:tab/>
            </w:r>
          </w:p>
        </w:tc>
        <w:tc>
          <w:tcPr>
            <w:tcW w:w="3543" w:type="dxa"/>
            <w:tcMar>
              <w:top w:w="28" w:type="dxa"/>
              <w:left w:w="85" w:type="dxa"/>
            </w:tcMar>
          </w:tcPr>
          <w:p>
            <w:pPr>
              <w:pStyle w:val="yTableNAm"/>
              <w:spacing w:before="0"/>
              <w:rPr>
                <w:i/>
              </w:rPr>
            </w:pPr>
            <w:r>
              <w:rPr>
                <w:i/>
              </w:rPr>
              <w:t>Cybiosarda elegans</w:t>
            </w:r>
          </w:p>
        </w:tc>
      </w:tr>
      <w:tr>
        <w:tc>
          <w:tcPr>
            <w:tcW w:w="3542" w:type="dxa"/>
            <w:tcMar>
              <w:top w:w="28" w:type="dxa"/>
              <w:left w:w="85" w:type="dxa"/>
            </w:tcMar>
          </w:tcPr>
          <w:p>
            <w:pPr>
              <w:pStyle w:val="yTableNAm"/>
              <w:tabs>
                <w:tab w:val="clear" w:pos="567"/>
                <w:tab w:val="right" w:leader="dot" w:pos="3316"/>
              </w:tabs>
              <w:spacing w:before="0"/>
            </w:pPr>
            <w:r>
              <w:t xml:space="preserve">Bonito, Oriental </w:t>
            </w:r>
            <w:r>
              <w:tab/>
            </w:r>
          </w:p>
        </w:tc>
        <w:tc>
          <w:tcPr>
            <w:tcW w:w="3543" w:type="dxa"/>
            <w:tcMar>
              <w:top w:w="28" w:type="dxa"/>
              <w:left w:w="85" w:type="dxa"/>
            </w:tcMar>
          </w:tcPr>
          <w:p>
            <w:pPr>
              <w:pStyle w:val="yTableNAm"/>
              <w:spacing w:before="0"/>
              <w:rPr>
                <w:i/>
              </w:rPr>
            </w:pPr>
            <w:r>
              <w:rPr>
                <w:i/>
              </w:rPr>
              <w:t>Sarda orientalis</w:t>
            </w:r>
          </w:p>
        </w:tc>
      </w:tr>
      <w:tr>
        <w:tc>
          <w:tcPr>
            <w:tcW w:w="3542" w:type="dxa"/>
            <w:tcMar>
              <w:top w:w="28" w:type="dxa"/>
              <w:left w:w="85" w:type="dxa"/>
            </w:tcMar>
          </w:tcPr>
          <w:p>
            <w:pPr>
              <w:pStyle w:val="yTableNAm"/>
              <w:tabs>
                <w:tab w:val="clear" w:pos="567"/>
                <w:tab w:val="right" w:leader="dot" w:pos="3316"/>
              </w:tabs>
              <w:spacing w:before="0"/>
            </w:pPr>
            <w:r>
              <w:t xml:space="preserve">Bream, Black </w:t>
            </w:r>
            <w:r>
              <w:tab/>
            </w:r>
          </w:p>
        </w:tc>
        <w:tc>
          <w:tcPr>
            <w:tcW w:w="3543" w:type="dxa"/>
            <w:tcMar>
              <w:top w:w="28" w:type="dxa"/>
              <w:left w:w="85" w:type="dxa"/>
            </w:tcMar>
          </w:tcPr>
          <w:p>
            <w:pPr>
              <w:pStyle w:val="yTableNAm"/>
              <w:spacing w:before="0"/>
              <w:rPr>
                <w:i/>
              </w:rPr>
            </w:pPr>
            <w:r>
              <w:rPr>
                <w:i/>
              </w:rPr>
              <w:t>Acanthopagrus butcheri</w:t>
            </w:r>
          </w:p>
        </w:tc>
      </w:tr>
      <w:tr>
        <w:tc>
          <w:tcPr>
            <w:tcW w:w="3542" w:type="dxa"/>
            <w:tcMar>
              <w:top w:w="28" w:type="dxa"/>
              <w:left w:w="85" w:type="dxa"/>
            </w:tcMar>
          </w:tcPr>
          <w:p>
            <w:pPr>
              <w:pStyle w:val="yTableNAm"/>
              <w:tabs>
                <w:tab w:val="clear" w:pos="567"/>
                <w:tab w:val="right" w:leader="dot" w:pos="3316"/>
              </w:tabs>
              <w:spacing w:before="0"/>
            </w:pPr>
            <w:r>
              <w:t xml:space="preserve">Bream, Fingermark </w:t>
            </w:r>
            <w:r>
              <w:tab/>
            </w:r>
          </w:p>
        </w:tc>
        <w:tc>
          <w:tcPr>
            <w:tcW w:w="3543" w:type="dxa"/>
            <w:tcMar>
              <w:top w:w="28" w:type="dxa"/>
              <w:left w:w="85" w:type="dxa"/>
            </w:tcMar>
          </w:tcPr>
          <w:p>
            <w:pPr>
              <w:pStyle w:val="yTableNAm"/>
              <w:spacing w:before="0"/>
              <w:rPr>
                <w:i/>
              </w:rPr>
            </w:pPr>
            <w:r>
              <w:rPr>
                <w:i/>
              </w:rPr>
              <w:t>Lutjanus johnii</w:t>
            </w:r>
          </w:p>
        </w:tc>
      </w:tr>
      <w:tr>
        <w:tc>
          <w:tcPr>
            <w:tcW w:w="3542" w:type="dxa"/>
            <w:tcMar>
              <w:top w:w="28" w:type="dxa"/>
              <w:left w:w="85" w:type="dxa"/>
            </w:tcMar>
          </w:tcPr>
          <w:p>
            <w:pPr>
              <w:pStyle w:val="yTableNAm"/>
              <w:tabs>
                <w:tab w:val="clear" w:pos="567"/>
                <w:tab w:val="right" w:leader="dot" w:pos="3316"/>
              </w:tabs>
              <w:spacing w:before="0"/>
            </w:pPr>
            <w:r>
              <w:t>Bream, Northwest</w:t>
            </w:r>
            <w:r>
              <w:noBreakHyphen/>
              <w:t xml:space="preserve">Black </w:t>
            </w:r>
            <w:r>
              <w:tab/>
            </w:r>
          </w:p>
        </w:tc>
        <w:tc>
          <w:tcPr>
            <w:tcW w:w="3543" w:type="dxa"/>
            <w:tcMar>
              <w:top w:w="28" w:type="dxa"/>
              <w:left w:w="85" w:type="dxa"/>
            </w:tcMar>
          </w:tcPr>
          <w:p>
            <w:pPr>
              <w:pStyle w:val="yTableNAm"/>
              <w:spacing w:before="0"/>
              <w:rPr>
                <w:i/>
              </w:rPr>
            </w:pPr>
            <w:r>
              <w:rPr>
                <w:i/>
              </w:rPr>
              <w:t>Acanthopagrus palmaris</w:t>
            </w:r>
          </w:p>
        </w:tc>
      </w:tr>
      <w:tr>
        <w:tc>
          <w:tcPr>
            <w:tcW w:w="3542" w:type="dxa"/>
            <w:tcMar>
              <w:top w:w="28" w:type="dxa"/>
              <w:left w:w="85" w:type="dxa"/>
            </w:tcMar>
          </w:tcPr>
          <w:p>
            <w:pPr>
              <w:pStyle w:val="yTableNAm"/>
              <w:tabs>
                <w:tab w:val="clear" w:pos="567"/>
                <w:tab w:val="right" w:leader="dot" w:pos="3316"/>
              </w:tabs>
              <w:spacing w:before="0"/>
            </w:pPr>
            <w:r>
              <w:t xml:space="preserve">Bream, Yellowfin </w:t>
            </w:r>
            <w:r>
              <w:tab/>
            </w:r>
          </w:p>
        </w:tc>
        <w:tc>
          <w:tcPr>
            <w:tcW w:w="3543" w:type="dxa"/>
            <w:tcMar>
              <w:top w:w="28" w:type="dxa"/>
              <w:left w:w="85" w:type="dxa"/>
            </w:tcMar>
          </w:tcPr>
          <w:p>
            <w:pPr>
              <w:pStyle w:val="yTableNAm"/>
              <w:spacing w:before="0"/>
              <w:rPr>
                <w:i/>
              </w:rPr>
            </w:pPr>
            <w:r>
              <w:rPr>
                <w:i/>
              </w:rPr>
              <w:t>Acanthopagrus latus</w:t>
            </w:r>
          </w:p>
        </w:tc>
      </w:tr>
      <w:tr>
        <w:tc>
          <w:tcPr>
            <w:tcW w:w="3542" w:type="dxa"/>
            <w:tcMar>
              <w:top w:w="28" w:type="dxa"/>
              <w:left w:w="85" w:type="dxa"/>
            </w:tcMar>
          </w:tcPr>
          <w:p>
            <w:pPr>
              <w:pStyle w:val="yTableNAm"/>
              <w:tabs>
                <w:tab w:val="clear" w:pos="567"/>
                <w:tab w:val="right" w:leader="dot" w:pos="3316"/>
              </w:tabs>
              <w:spacing w:before="0"/>
            </w:pPr>
            <w:r>
              <w:t xml:space="preserve">Catfish </w:t>
            </w:r>
            <w:r>
              <w:tab/>
            </w:r>
          </w:p>
        </w:tc>
        <w:tc>
          <w:tcPr>
            <w:tcW w:w="3543" w:type="dxa"/>
            <w:tcMar>
              <w:top w:w="28" w:type="dxa"/>
              <w:left w:w="85" w:type="dxa"/>
            </w:tcMar>
          </w:tcPr>
          <w:p>
            <w:pPr>
              <w:pStyle w:val="yTableNAm"/>
              <w:spacing w:before="0"/>
              <w:rPr>
                <w:i/>
              </w:rPr>
            </w:pPr>
            <w:r>
              <w:rPr>
                <w:u w:val="single"/>
              </w:rPr>
              <w:t>Families</w:t>
            </w:r>
            <w:r>
              <w:t xml:space="preserve"> Ariidae and Plotosidae</w:t>
            </w:r>
          </w:p>
        </w:tc>
      </w:tr>
      <w:tr>
        <w:tc>
          <w:tcPr>
            <w:tcW w:w="3542" w:type="dxa"/>
            <w:tcMar>
              <w:top w:w="28" w:type="dxa"/>
              <w:left w:w="85" w:type="dxa"/>
            </w:tcMar>
          </w:tcPr>
          <w:p>
            <w:pPr>
              <w:pStyle w:val="yTableNAm"/>
              <w:tabs>
                <w:tab w:val="clear" w:pos="567"/>
                <w:tab w:val="right" w:leader="dot" w:pos="3316"/>
              </w:tabs>
              <w:spacing w:before="0"/>
            </w:pPr>
            <w:r>
              <w:t xml:space="preserve">Cobbler (Estuary Catfish) </w:t>
            </w:r>
            <w:r>
              <w:tab/>
            </w:r>
          </w:p>
        </w:tc>
        <w:tc>
          <w:tcPr>
            <w:tcW w:w="3543" w:type="dxa"/>
            <w:tcMar>
              <w:top w:w="28" w:type="dxa"/>
              <w:left w:w="85" w:type="dxa"/>
            </w:tcMar>
          </w:tcPr>
          <w:p>
            <w:pPr>
              <w:pStyle w:val="yTableNAm"/>
              <w:spacing w:before="0"/>
              <w:rPr>
                <w:i/>
              </w:rPr>
            </w:pPr>
            <w:r>
              <w:rPr>
                <w:i/>
              </w:rPr>
              <w:t>Cnidoglanis macrocephalus</w:t>
            </w:r>
          </w:p>
        </w:tc>
      </w:tr>
      <w:tr>
        <w:tc>
          <w:tcPr>
            <w:tcW w:w="3542" w:type="dxa"/>
            <w:tcMar>
              <w:top w:w="28" w:type="dxa"/>
              <w:left w:w="85" w:type="dxa"/>
            </w:tcMar>
          </w:tcPr>
          <w:p>
            <w:pPr>
              <w:pStyle w:val="yTableNAm"/>
              <w:tabs>
                <w:tab w:val="clear" w:pos="567"/>
                <w:tab w:val="right" w:leader="dot" w:pos="3316"/>
              </w:tabs>
              <w:spacing w:before="0"/>
            </w:pPr>
            <w:r>
              <w:t xml:space="preserve">Cobia </w:t>
            </w:r>
            <w:r>
              <w:tab/>
            </w:r>
          </w:p>
        </w:tc>
        <w:tc>
          <w:tcPr>
            <w:tcW w:w="3543" w:type="dxa"/>
            <w:tcMar>
              <w:top w:w="28" w:type="dxa"/>
              <w:left w:w="85" w:type="dxa"/>
            </w:tcMar>
          </w:tcPr>
          <w:p>
            <w:pPr>
              <w:pStyle w:val="yTableNAm"/>
              <w:spacing w:before="0"/>
              <w:rPr>
                <w:i/>
              </w:rPr>
            </w:pPr>
            <w:r>
              <w:rPr>
                <w:i/>
              </w:rPr>
              <w:t>Rachycentron canadus</w:t>
            </w:r>
          </w:p>
        </w:tc>
      </w:tr>
      <w:tr>
        <w:tc>
          <w:tcPr>
            <w:tcW w:w="3542" w:type="dxa"/>
            <w:tcMar>
              <w:top w:w="28" w:type="dxa"/>
              <w:left w:w="85" w:type="dxa"/>
            </w:tcMar>
          </w:tcPr>
          <w:p>
            <w:pPr>
              <w:pStyle w:val="yTableNAm"/>
              <w:tabs>
                <w:tab w:val="clear" w:pos="567"/>
                <w:tab w:val="right" w:leader="dot" w:pos="3316"/>
              </w:tabs>
              <w:spacing w:before="0"/>
            </w:pPr>
            <w:r>
              <w:t xml:space="preserve">Cod </w:t>
            </w:r>
            <w:r>
              <w:tab/>
            </w:r>
          </w:p>
        </w:tc>
        <w:tc>
          <w:tcPr>
            <w:tcW w:w="3543" w:type="dxa"/>
            <w:tcMar>
              <w:top w:w="28" w:type="dxa"/>
              <w:left w:w="85" w:type="dxa"/>
            </w:tcMar>
          </w:tcPr>
          <w:p>
            <w:pPr>
              <w:pStyle w:val="yTableNAm"/>
              <w:spacing w:before="0"/>
            </w:pPr>
            <w:r>
              <w:rPr>
                <w:u w:val="single"/>
              </w:rPr>
              <w:t>Family</w:t>
            </w:r>
            <w:r>
              <w:t xml:space="preserve"> Serranidae</w:t>
            </w:r>
          </w:p>
        </w:tc>
      </w:tr>
      <w:tr>
        <w:tc>
          <w:tcPr>
            <w:tcW w:w="3542" w:type="dxa"/>
            <w:tcMar>
              <w:top w:w="28" w:type="dxa"/>
              <w:left w:w="85" w:type="dxa"/>
            </w:tcMar>
          </w:tcPr>
          <w:p>
            <w:pPr>
              <w:pStyle w:val="yTableNAm"/>
              <w:tabs>
                <w:tab w:val="clear" w:pos="567"/>
                <w:tab w:val="right" w:leader="dot" w:pos="3316"/>
              </w:tabs>
              <w:spacing w:before="0"/>
            </w:pPr>
            <w:r>
              <w:t xml:space="preserve">Cod, Breaksea </w:t>
            </w:r>
            <w:r>
              <w:tab/>
            </w:r>
          </w:p>
        </w:tc>
        <w:tc>
          <w:tcPr>
            <w:tcW w:w="3543" w:type="dxa"/>
            <w:tcMar>
              <w:top w:w="28" w:type="dxa"/>
              <w:left w:w="85" w:type="dxa"/>
            </w:tcMar>
          </w:tcPr>
          <w:p>
            <w:pPr>
              <w:pStyle w:val="yTableNAm"/>
              <w:spacing w:before="0"/>
              <w:rPr>
                <w:i/>
              </w:rPr>
            </w:pPr>
            <w:r>
              <w:rPr>
                <w:i/>
              </w:rPr>
              <w:t>Epinephelus armatus</w:t>
            </w:r>
          </w:p>
        </w:tc>
      </w:tr>
      <w:tr>
        <w:tc>
          <w:tcPr>
            <w:tcW w:w="3542" w:type="dxa"/>
            <w:tcMar>
              <w:top w:w="28" w:type="dxa"/>
              <w:left w:w="85" w:type="dxa"/>
            </w:tcMar>
          </w:tcPr>
          <w:p>
            <w:pPr>
              <w:pStyle w:val="yTableNAm"/>
              <w:tabs>
                <w:tab w:val="clear" w:pos="567"/>
                <w:tab w:val="right" w:leader="dot" w:pos="3316"/>
              </w:tabs>
              <w:spacing w:before="0"/>
            </w:pPr>
            <w:r>
              <w:t>Cod, Chinaman (</w:t>
            </w:r>
            <w:smartTag w:uri="urn:schemas-microsoft-com:office:smarttags" w:element="Street">
              <w:smartTag w:uri="urn:schemas-microsoft-com:office:smarttags" w:element="address">
                <w:r>
                  <w:t>Charlie Court</w:t>
                </w:r>
              </w:smartTag>
            </w:smartTag>
            <w:r>
              <w:t xml:space="preserve">) </w:t>
            </w:r>
            <w:r>
              <w:tab/>
            </w:r>
          </w:p>
        </w:tc>
        <w:tc>
          <w:tcPr>
            <w:tcW w:w="3543" w:type="dxa"/>
            <w:tcMar>
              <w:top w:w="28" w:type="dxa"/>
              <w:left w:w="85" w:type="dxa"/>
            </w:tcMar>
          </w:tcPr>
          <w:p>
            <w:pPr>
              <w:pStyle w:val="yTableNAm"/>
              <w:spacing w:before="0"/>
              <w:rPr>
                <w:i/>
              </w:rPr>
            </w:pPr>
            <w:r>
              <w:rPr>
                <w:i/>
              </w:rPr>
              <w:t>Epinephelus rivulatus</w:t>
            </w:r>
          </w:p>
        </w:tc>
      </w:tr>
      <w:tr>
        <w:tc>
          <w:tcPr>
            <w:tcW w:w="3542" w:type="dxa"/>
            <w:tcMar>
              <w:top w:w="28" w:type="dxa"/>
              <w:left w:w="85" w:type="dxa"/>
            </w:tcMar>
          </w:tcPr>
          <w:p>
            <w:pPr>
              <w:pStyle w:val="yTableNAm"/>
              <w:tabs>
                <w:tab w:val="clear" w:pos="567"/>
                <w:tab w:val="right" w:leader="dot" w:pos="3316"/>
              </w:tabs>
              <w:spacing w:before="0"/>
            </w:pPr>
            <w:r>
              <w:t xml:space="preserve">Cod, Estuary </w:t>
            </w:r>
            <w:r>
              <w:tab/>
            </w:r>
          </w:p>
        </w:tc>
        <w:tc>
          <w:tcPr>
            <w:tcW w:w="3543" w:type="dxa"/>
            <w:tcMar>
              <w:top w:w="28" w:type="dxa"/>
              <w:left w:w="85" w:type="dxa"/>
            </w:tcMar>
          </w:tcPr>
          <w:p>
            <w:pPr>
              <w:pStyle w:val="yTableNAm"/>
              <w:spacing w:before="0"/>
              <w:rPr>
                <w:i/>
              </w:rPr>
            </w:pPr>
            <w:r>
              <w:rPr>
                <w:i/>
              </w:rPr>
              <w:t>Epinephelus coioides</w:t>
            </w:r>
          </w:p>
        </w:tc>
      </w:tr>
      <w:tr>
        <w:tc>
          <w:tcPr>
            <w:tcW w:w="3542" w:type="dxa"/>
            <w:tcMar>
              <w:top w:w="28" w:type="dxa"/>
              <w:left w:w="85" w:type="dxa"/>
            </w:tcMar>
          </w:tcPr>
          <w:p>
            <w:pPr>
              <w:pStyle w:val="yTableNAm"/>
              <w:tabs>
                <w:tab w:val="clear" w:pos="567"/>
                <w:tab w:val="right" w:leader="dot" w:pos="3316"/>
              </w:tabs>
              <w:spacing w:before="0"/>
            </w:pPr>
            <w:r>
              <w:t xml:space="preserve">Cod, Grey Banded Rock </w:t>
            </w:r>
            <w:r>
              <w:tab/>
            </w:r>
          </w:p>
        </w:tc>
        <w:tc>
          <w:tcPr>
            <w:tcW w:w="3543" w:type="dxa"/>
            <w:tcMar>
              <w:top w:w="28" w:type="dxa"/>
              <w:left w:w="85" w:type="dxa"/>
            </w:tcMar>
          </w:tcPr>
          <w:p>
            <w:pPr>
              <w:pStyle w:val="yTableNAm"/>
              <w:spacing w:before="0"/>
              <w:rPr>
                <w:i/>
              </w:rPr>
            </w:pPr>
            <w:r>
              <w:rPr>
                <w:i/>
              </w:rPr>
              <w:t>Hyporthodus octofasciatus</w:t>
            </w:r>
          </w:p>
        </w:tc>
      </w:tr>
      <w:tr>
        <w:tc>
          <w:tcPr>
            <w:tcW w:w="3542" w:type="dxa"/>
            <w:tcMar>
              <w:top w:w="28" w:type="dxa"/>
              <w:left w:w="85" w:type="dxa"/>
            </w:tcMar>
          </w:tcPr>
          <w:p>
            <w:pPr>
              <w:pStyle w:val="yTableNAm"/>
              <w:tabs>
                <w:tab w:val="clear" w:pos="567"/>
                <w:tab w:val="right" w:leader="dot" w:pos="3316"/>
              </w:tabs>
              <w:spacing w:before="0"/>
            </w:pPr>
            <w:r>
              <w:t xml:space="preserve">Cod, Malabar </w:t>
            </w:r>
            <w:r>
              <w:tab/>
            </w:r>
          </w:p>
        </w:tc>
        <w:tc>
          <w:tcPr>
            <w:tcW w:w="3543" w:type="dxa"/>
            <w:tcMar>
              <w:top w:w="28" w:type="dxa"/>
              <w:left w:w="85" w:type="dxa"/>
            </w:tcMar>
          </w:tcPr>
          <w:p>
            <w:pPr>
              <w:pStyle w:val="yTableNAm"/>
              <w:spacing w:before="0"/>
              <w:rPr>
                <w:i/>
              </w:rPr>
            </w:pPr>
            <w:r>
              <w:rPr>
                <w:i/>
              </w:rPr>
              <w:t>Epinephelus Malabaricus</w:t>
            </w:r>
          </w:p>
        </w:tc>
      </w:tr>
      <w:tr>
        <w:tc>
          <w:tcPr>
            <w:tcW w:w="3542" w:type="dxa"/>
            <w:tcMar>
              <w:top w:w="28" w:type="dxa"/>
              <w:left w:w="85" w:type="dxa"/>
            </w:tcMar>
          </w:tcPr>
          <w:p>
            <w:pPr>
              <w:pStyle w:val="yTableNAm"/>
              <w:tabs>
                <w:tab w:val="clear" w:pos="567"/>
                <w:tab w:val="right" w:leader="dot" w:pos="3316"/>
              </w:tabs>
              <w:spacing w:before="0"/>
            </w:pPr>
            <w:r>
              <w:t xml:space="preserve">Cod, </w:t>
            </w:r>
            <w:smartTag w:uri="urn:schemas-microsoft-com:office:smarttags" w:element="place">
              <w:smartTag w:uri="urn:schemas-microsoft-com:office:smarttags" w:element="City">
                <w:r>
                  <w:t>Murray</w:t>
                </w:r>
              </w:smartTag>
            </w:smartTag>
            <w:r>
              <w:t xml:space="preserve"> </w:t>
            </w:r>
            <w:r>
              <w:tab/>
            </w:r>
          </w:p>
        </w:tc>
        <w:tc>
          <w:tcPr>
            <w:tcW w:w="3543" w:type="dxa"/>
            <w:tcMar>
              <w:top w:w="28" w:type="dxa"/>
              <w:left w:w="85" w:type="dxa"/>
            </w:tcMar>
          </w:tcPr>
          <w:p>
            <w:pPr>
              <w:pStyle w:val="yTableNAm"/>
              <w:spacing w:before="0"/>
              <w:rPr>
                <w:i/>
              </w:rPr>
            </w:pPr>
            <w:r>
              <w:rPr>
                <w:i/>
              </w:rPr>
              <w:t>Maccullochela peeli</w:t>
            </w:r>
          </w:p>
        </w:tc>
      </w:tr>
      <w:tr>
        <w:tc>
          <w:tcPr>
            <w:tcW w:w="3542" w:type="dxa"/>
            <w:tcMar>
              <w:top w:w="28" w:type="dxa"/>
              <w:left w:w="85" w:type="dxa"/>
            </w:tcMar>
          </w:tcPr>
          <w:p>
            <w:pPr>
              <w:pStyle w:val="yTableNAm"/>
              <w:tabs>
                <w:tab w:val="clear" w:pos="567"/>
                <w:tab w:val="right" w:leader="dot" w:pos="3316"/>
              </w:tabs>
              <w:spacing w:before="0"/>
            </w:pPr>
            <w:r>
              <w:t xml:space="preserve">Cod, Potato </w:t>
            </w:r>
            <w:r>
              <w:tab/>
            </w:r>
          </w:p>
        </w:tc>
        <w:tc>
          <w:tcPr>
            <w:tcW w:w="3543" w:type="dxa"/>
            <w:tcMar>
              <w:top w:w="28" w:type="dxa"/>
              <w:left w:w="85" w:type="dxa"/>
            </w:tcMar>
          </w:tcPr>
          <w:p>
            <w:pPr>
              <w:pStyle w:val="yTableNAm"/>
              <w:spacing w:before="0"/>
              <w:rPr>
                <w:i/>
              </w:rPr>
            </w:pPr>
            <w:r>
              <w:rPr>
                <w:i/>
              </w:rPr>
              <w:t>Epinephelus tukula</w:t>
            </w:r>
          </w:p>
        </w:tc>
      </w:tr>
      <w:tr>
        <w:tc>
          <w:tcPr>
            <w:tcW w:w="3542" w:type="dxa"/>
            <w:tcMar>
              <w:top w:w="28" w:type="dxa"/>
              <w:left w:w="85" w:type="dxa"/>
            </w:tcMar>
          </w:tcPr>
          <w:p>
            <w:pPr>
              <w:pStyle w:val="yTableNAm"/>
              <w:tabs>
                <w:tab w:val="clear" w:pos="567"/>
                <w:tab w:val="right" w:leader="dot" w:pos="3316"/>
              </w:tabs>
              <w:spacing w:before="0"/>
            </w:pPr>
            <w:r>
              <w:t xml:space="preserve">Cod, Rankin </w:t>
            </w:r>
            <w:r>
              <w:tab/>
            </w:r>
          </w:p>
        </w:tc>
        <w:tc>
          <w:tcPr>
            <w:tcW w:w="3543" w:type="dxa"/>
            <w:tcMar>
              <w:top w:w="28" w:type="dxa"/>
              <w:left w:w="85" w:type="dxa"/>
            </w:tcMar>
          </w:tcPr>
          <w:p>
            <w:pPr>
              <w:pStyle w:val="yTableNAm"/>
              <w:spacing w:before="0"/>
              <w:rPr>
                <w:i/>
              </w:rPr>
            </w:pPr>
            <w:r>
              <w:rPr>
                <w:i/>
                <w:spacing w:val="-4"/>
              </w:rPr>
              <w:t>Epinephelus multinotatus</w:t>
            </w:r>
          </w:p>
        </w:tc>
      </w:tr>
      <w:tr>
        <w:tc>
          <w:tcPr>
            <w:tcW w:w="3542" w:type="dxa"/>
            <w:tcMar>
              <w:top w:w="28" w:type="dxa"/>
              <w:left w:w="85" w:type="dxa"/>
            </w:tcMar>
          </w:tcPr>
          <w:p>
            <w:pPr>
              <w:pStyle w:val="yTableNAm"/>
              <w:tabs>
                <w:tab w:val="clear" w:pos="567"/>
                <w:tab w:val="right" w:leader="dot" w:pos="3316"/>
              </w:tabs>
              <w:spacing w:before="0"/>
            </w:pPr>
            <w:r>
              <w:t xml:space="preserve">Coral Trout </w:t>
            </w:r>
            <w:r>
              <w:tab/>
            </w:r>
          </w:p>
        </w:tc>
        <w:tc>
          <w:tcPr>
            <w:tcW w:w="3543" w:type="dxa"/>
            <w:tcMar>
              <w:top w:w="28" w:type="dxa"/>
              <w:left w:w="85" w:type="dxa"/>
            </w:tcMar>
          </w:tcPr>
          <w:p>
            <w:pPr>
              <w:pStyle w:val="yTableNAm"/>
              <w:spacing w:before="0"/>
            </w:pPr>
            <w:r>
              <w:rPr>
                <w:i/>
              </w:rPr>
              <w:t>Plectropomus</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Coronation Trout </w:t>
            </w:r>
            <w:r>
              <w:tab/>
            </w:r>
          </w:p>
        </w:tc>
        <w:tc>
          <w:tcPr>
            <w:tcW w:w="3543" w:type="dxa"/>
            <w:tcMar>
              <w:top w:w="28" w:type="dxa"/>
              <w:left w:w="85" w:type="dxa"/>
            </w:tcMar>
          </w:tcPr>
          <w:p>
            <w:pPr>
              <w:pStyle w:val="yTableNAm"/>
              <w:spacing w:before="0"/>
              <w:rPr>
                <w:i/>
              </w:rPr>
            </w:pPr>
            <w:r>
              <w:rPr>
                <w:i/>
              </w:rPr>
              <w:t>Variola louti</w:t>
            </w:r>
          </w:p>
        </w:tc>
      </w:tr>
      <w:tr>
        <w:tc>
          <w:tcPr>
            <w:tcW w:w="3542" w:type="dxa"/>
            <w:tcMar>
              <w:top w:w="28" w:type="dxa"/>
              <w:left w:w="85" w:type="dxa"/>
            </w:tcMar>
          </w:tcPr>
          <w:p>
            <w:pPr>
              <w:pStyle w:val="yTableNAm"/>
              <w:tabs>
                <w:tab w:val="clear" w:pos="567"/>
                <w:tab w:val="right" w:leader="dot" w:pos="3316"/>
              </w:tabs>
              <w:spacing w:before="0"/>
            </w:pPr>
            <w:r>
              <w:t xml:space="preserve">Dart </w:t>
            </w:r>
            <w:r>
              <w:tab/>
            </w:r>
          </w:p>
        </w:tc>
        <w:tc>
          <w:tcPr>
            <w:tcW w:w="3543" w:type="dxa"/>
            <w:tcMar>
              <w:top w:w="28" w:type="dxa"/>
              <w:left w:w="85" w:type="dxa"/>
            </w:tcMar>
          </w:tcPr>
          <w:p>
            <w:pPr>
              <w:pStyle w:val="yTableNAm"/>
              <w:spacing w:before="0"/>
              <w:rPr>
                <w:i/>
              </w:rPr>
            </w:pPr>
            <w:r>
              <w:rPr>
                <w:i/>
              </w:rPr>
              <w:t>Trachinotus</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Dhufish, West Australian </w:t>
            </w:r>
            <w:r>
              <w:tab/>
            </w:r>
          </w:p>
        </w:tc>
        <w:tc>
          <w:tcPr>
            <w:tcW w:w="3543" w:type="dxa"/>
            <w:tcMar>
              <w:top w:w="28" w:type="dxa"/>
              <w:left w:w="85" w:type="dxa"/>
            </w:tcMar>
          </w:tcPr>
          <w:p>
            <w:pPr>
              <w:pStyle w:val="yTableNAm"/>
              <w:spacing w:before="0"/>
              <w:rPr>
                <w:i/>
              </w:rPr>
            </w:pPr>
            <w:r>
              <w:rPr>
                <w:i/>
              </w:rPr>
              <w:t xml:space="preserve">Glaucosoma </w:t>
            </w:r>
            <w:r>
              <w:rPr>
                <w:i/>
                <w:iCs/>
              </w:rPr>
              <w:t>hebraicum</w:t>
            </w:r>
          </w:p>
        </w:tc>
      </w:tr>
      <w:tr>
        <w:tc>
          <w:tcPr>
            <w:tcW w:w="3542" w:type="dxa"/>
            <w:tcMar>
              <w:top w:w="28" w:type="dxa"/>
              <w:left w:w="85" w:type="dxa"/>
            </w:tcMar>
          </w:tcPr>
          <w:p>
            <w:pPr>
              <w:pStyle w:val="yTableNAm"/>
              <w:tabs>
                <w:tab w:val="clear" w:pos="567"/>
                <w:tab w:val="right" w:leader="dot" w:pos="3316"/>
              </w:tabs>
              <w:spacing w:before="0"/>
            </w:pPr>
            <w:r>
              <w:t xml:space="preserve">Dolphinfish (Mahi Mahi) </w:t>
            </w:r>
            <w:r>
              <w:tab/>
            </w:r>
          </w:p>
        </w:tc>
        <w:tc>
          <w:tcPr>
            <w:tcW w:w="3543" w:type="dxa"/>
            <w:tcMar>
              <w:top w:w="28" w:type="dxa"/>
              <w:left w:w="85" w:type="dxa"/>
            </w:tcMar>
          </w:tcPr>
          <w:p>
            <w:pPr>
              <w:pStyle w:val="yTableNAm"/>
              <w:spacing w:before="0"/>
              <w:rPr>
                <w:i/>
              </w:rPr>
            </w:pPr>
            <w:r>
              <w:rPr>
                <w:i/>
              </w:rPr>
              <w:t>Coryphaena hippurus</w:t>
            </w:r>
          </w:p>
        </w:tc>
      </w:tr>
      <w:tr>
        <w:tc>
          <w:tcPr>
            <w:tcW w:w="3542" w:type="dxa"/>
            <w:tcMar>
              <w:top w:w="28" w:type="dxa"/>
              <w:left w:w="85" w:type="dxa"/>
            </w:tcMar>
          </w:tcPr>
          <w:p>
            <w:pPr>
              <w:pStyle w:val="yTableNAm"/>
              <w:tabs>
                <w:tab w:val="clear" w:pos="567"/>
                <w:tab w:val="right" w:leader="dot" w:pos="3316"/>
              </w:tabs>
              <w:spacing w:before="0"/>
            </w:pPr>
            <w:r>
              <w:t xml:space="preserve">Dory, John </w:t>
            </w:r>
            <w:r>
              <w:tab/>
            </w:r>
          </w:p>
        </w:tc>
        <w:tc>
          <w:tcPr>
            <w:tcW w:w="3543" w:type="dxa"/>
            <w:tcMar>
              <w:top w:w="28" w:type="dxa"/>
              <w:left w:w="85" w:type="dxa"/>
            </w:tcMar>
          </w:tcPr>
          <w:p>
            <w:pPr>
              <w:pStyle w:val="yTableNAm"/>
              <w:spacing w:before="0"/>
              <w:rPr>
                <w:i/>
              </w:rPr>
            </w:pPr>
            <w:r>
              <w:rPr>
                <w:i/>
              </w:rPr>
              <w:t>Zenopsis nebulosus</w:t>
            </w:r>
          </w:p>
        </w:tc>
      </w:tr>
      <w:tr>
        <w:tc>
          <w:tcPr>
            <w:tcW w:w="3542" w:type="dxa"/>
            <w:tcMar>
              <w:top w:w="28" w:type="dxa"/>
              <w:left w:w="85" w:type="dxa"/>
            </w:tcMar>
          </w:tcPr>
          <w:p>
            <w:pPr>
              <w:pStyle w:val="yTableNAm"/>
              <w:tabs>
                <w:tab w:val="clear" w:pos="567"/>
                <w:tab w:val="right" w:leader="dot" w:pos="3316"/>
              </w:tabs>
              <w:spacing w:before="0"/>
            </w:pPr>
            <w:r>
              <w:t>Dory, Mirror .</w:t>
            </w:r>
            <w:r>
              <w:tab/>
            </w:r>
          </w:p>
        </w:tc>
        <w:tc>
          <w:tcPr>
            <w:tcW w:w="3543" w:type="dxa"/>
            <w:tcMar>
              <w:top w:w="28" w:type="dxa"/>
              <w:left w:w="85" w:type="dxa"/>
            </w:tcMar>
          </w:tcPr>
          <w:p>
            <w:pPr>
              <w:pStyle w:val="yTableNAm"/>
              <w:spacing w:before="0"/>
              <w:rPr>
                <w:i/>
              </w:rPr>
            </w:pPr>
            <w:r>
              <w:rPr>
                <w:i/>
              </w:rPr>
              <w:t>Zeus faber</w:t>
            </w:r>
          </w:p>
        </w:tc>
      </w:tr>
      <w:tr>
        <w:tc>
          <w:tcPr>
            <w:tcW w:w="3542" w:type="dxa"/>
            <w:tcMar>
              <w:top w:w="28" w:type="dxa"/>
              <w:left w:w="85" w:type="dxa"/>
            </w:tcMar>
          </w:tcPr>
          <w:p>
            <w:pPr>
              <w:pStyle w:val="yTableNAm"/>
              <w:tabs>
                <w:tab w:val="clear" w:pos="567"/>
                <w:tab w:val="right" w:leader="dot" w:pos="3316"/>
              </w:tabs>
              <w:spacing w:before="0"/>
            </w:pPr>
            <w:r>
              <w:t xml:space="preserve">Emperor and Seabream </w:t>
            </w:r>
            <w:r>
              <w:tab/>
            </w:r>
          </w:p>
        </w:tc>
        <w:tc>
          <w:tcPr>
            <w:tcW w:w="3543" w:type="dxa"/>
            <w:tcMar>
              <w:top w:w="28" w:type="dxa"/>
              <w:left w:w="85" w:type="dxa"/>
            </w:tcMar>
          </w:tcPr>
          <w:p>
            <w:pPr>
              <w:pStyle w:val="yTableNAm"/>
              <w:spacing w:before="0"/>
              <w:rPr>
                <w:i/>
              </w:rPr>
            </w:pPr>
            <w:r>
              <w:rPr>
                <w:u w:val="single"/>
              </w:rPr>
              <w:t>Family</w:t>
            </w:r>
            <w:r>
              <w:t xml:space="preserve"> Lethrinidae</w:t>
            </w:r>
          </w:p>
        </w:tc>
      </w:tr>
      <w:tr>
        <w:tc>
          <w:tcPr>
            <w:tcW w:w="3542" w:type="dxa"/>
            <w:tcMar>
              <w:top w:w="28" w:type="dxa"/>
              <w:left w:w="85" w:type="dxa"/>
            </w:tcMar>
          </w:tcPr>
          <w:p>
            <w:pPr>
              <w:pStyle w:val="yTableNAm"/>
              <w:tabs>
                <w:tab w:val="clear" w:pos="567"/>
                <w:tab w:val="right" w:leader="dot" w:pos="3316"/>
              </w:tabs>
              <w:spacing w:before="0"/>
            </w:pPr>
            <w:r>
              <w:t>Emperor, Blue</w:t>
            </w:r>
            <w:r>
              <w:noBreakHyphen/>
              <w:t xml:space="preserve">lined </w:t>
            </w:r>
            <w:r>
              <w:tab/>
            </w:r>
          </w:p>
        </w:tc>
        <w:tc>
          <w:tcPr>
            <w:tcW w:w="3543" w:type="dxa"/>
            <w:tcMar>
              <w:top w:w="28" w:type="dxa"/>
              <w:left w:w="85" w:type="dxa"/>
            </w:tcMar>
          </w:tcPr>
          <w:p>
            <w:pPr>
              <w:pStyle w:val="yTableNAm"/>
              <w:spacing w:before="0"/>
              <w:rPr>
                <w:i/>
              </w:rPr>
            </w:pPr>
            <w:r>
              <w:rPr>
                <w:i/>
              </w:rPr>
              <w:t>Lethrinus laticaudis</w:t>
            </w:r>
          </w:p>
        </w:tc>
      </w:tr>
      <w:tr>
        <w:tc>
          <w:tcPr>
            <w:tcW w:w="3542" w:type="dxa"/>
            <w:tcMar>
              <w:top w:w="28" w:type="dxa"/>
              <w:left w:w="85" w:type="dxa"/>
            </w:tcMar>
          </w:tcPr>
          <w:p>
            <w:pPr>
              <w:pStyle w:val="yTableNAm"/>
              <w:tabs>
                <w:tab w:val="clear" w:pos="567"/>
                <w:tab w:val="right" w:leader="dot" w:pos="3316"/>
              </w:tabs>
              <w:spacing w:before="0"/>
            </w:pPr>
            <w:r>
              <w:t xml:space="preserve">Emperor, Red (Government Bream) </w:t>
            </w:r>
            <w:r>
              <w:tab/>
            </w:r>
          </w:p>
        </w:tc>
        <w:tc>
          <w:tcPr>
            <w:tcW w:w="3543" w:type="dxa"/>
            <w:tcMar>
              <w:top w:w="28" w:type="dxa"/>
              <w:left w:w="85" w:type="dxa"/>
            </w:tcMar>
          </w:tcPr>
          <w:p>
            <w:pPr>
              <w:pStyle w:val="yTableNAm"/>
              <w:spacing w:before="0"/>
              <w:rPr>
                <w:i/>
              </w:rPr>
            </w:pPr>
            <w:r>
              <w:rPr>
                <w:i/>
              </w:rPr>
              <w:t>Lutjanus sebae</w:t>
            </w:r>
          </w:p>
        </w:tc>
      </w:tr>
      <w:tr>
        <w:tc>
          <w:tcPr>
            <w:tcW w:w="3542" w:type="dxa"/>
            <w:tcMar>
              <w:top w:w="28" w:type="dxa"/>
              <w:left w:w="85" w:type="dxa"/>
            </w:tcMar>
          </w:tcPr>
          <w:p>
            <w:pPr>
              <w:pStyle w:val="yTableNAm"/>
              <w:tabs>
                <w:tab w:val="clear" w:pos="567"/>
                <w:tab w:val="right" w:leader="dot" w:pos="3316"/>
              </w:tabs>
              <w:spacing w:before="0"/>
            </w:pPr>
            <w:r>
              <w:t xml:space="preserve">Emperor, Spangled </w:t>
            </w:r>
            <w:r>
              <w:tab/>
            </w:r>
          </w:p>
        </w:tc>
        <w:tc>
          <w:tcPr>
            <w:tcW w:w="3543" w:type="dxa"/>
            <w:tcMar>
              <w:top w:w="28" w:type="dxa"/>
              <w:left w:w="85" w:type="dxa"/>
            </w:tcMar>
          </w:tcPr>
          <w:p>
            <w:pPr>
              <w:pStyle w:val="yTableNAm"/>
              <w:spacing w:before="0"/>
              <w:rPr>
                <w:i/>
              </w:rPr>
            </w:pPr>
            <w:r>
              <w:rPr>
                <w:i/>
              </w:rPr>
              <w:t>Lethrinus nebulosus</w:t>
            </w:r>
          </w:p>
        </w:tc>
      </w:tr>
      <w:tr>
        <w:tc>
          <w:tcPr>
            <w:tcW w:w="3542" w:type="dxa"/>
            <w:tcMar>
              <w:top w:w="28" w:type="dxa"/>
              <w:left w:w="85" w:type="dxa"/>
            </w:tcMar>
          </w:tcPr>
          <w:p>
            <w:pPr>
              <w:pStyle w:val="yTableNAm"/>
              <w:tabs>
                <w:tab w:val="clear" w:pos="567"/>
                <w:tab w:val="right" w:leader="dot" w:pos="3316"/>
              </w:tabs>
              <w:spacing w:before="0"/>
            </w:pPr>
            <w:r>
              <w:t xml:space="preserve">Flathead </w:t>
            </w:r>
            <w:r>
              <w:tab/>
            </w:r>
          </w:p>
        </w:tc>
        <w:tc>
          <w:tcPr>
            <w:tcW w:w="3543" w:type="dxa"/>
            <w:tcMar>
              <w:top w:w="28" w:type="dxa"/>
              <w:left w:w="85" w:type="dxa"/>
            </w:tcMar>
          </w:tcPr>
          <w:p>
            <w:pPr>
              <w:pStyle w:val="yTableNAm"/>
              <w:spacing w:before="0"/>
            </w:pPr>
            <w:r>
              <w:rPr>
                <w:i/>
              </w:rPr>
              <w:t>Platycephalus</w:t>
            </w:r>
            <w:r>
              <w:t xml:space="preserve"> spp.</w:t>
            </w:r>
          </w:p>
        </w:tc>
      </w:tr>
      <w:tr>
        <w:tc>
          <w:tcPr>
            <w:tcW w:w="3542" w:type="dxa"/>
            <w:tcMar>
              <w:top w:w="28" w:type="dxa"/>
              <w:left w:w="85" w:type="dxa"/>
            </w:tcMar>
          </w:tcPr>
          <w:p>
            <w:pPr>
              <w:pStyle w:val="yTableNAm"/>
              <w:tabs>
                <w:tab w:val="clear" w:pos="567"/>
                <w:tab w:val="right" w:leader="dot" w:pos="3316"/>
              </w:tabs>
              <w:spacing w:before="0"/>
            </w:pPr>
            <w:r>
              <w:t>Flathead, Bar</w:t>
            </w:r>
            <w:r>
              <w:noBreakHyphen/>
              <w:t xml:space="preserve">tailed </w:t>
            </w:r>
            <w:r>
              <w:tab/>
            </w:r>
          </w:p>
        </w:tc>
        <w:tc>
          <w:tcPr>
            <w:tcW w:w="3543" w:type="dxa"/>
            <w:tcMar>
              <w:top w:w="28" w:type="dxa"/>
              <w:left w:w="85" w:type="dxa"/>
            </w:tcMar>
          </w:tcPr>
          <w:p>
            <w:pPr>
              <w:pStyle w:val="yTableNAm"/>
              <w:spacing w:before="0"/>
              <w:rPr>
                <w:i/>
              </w:rPr>
            </w:pPr>
            <w:r>
              <w:rPr>
                <w:i/>
              </w:rPr>
              <w:t>Platycephalus endrachtensis</w:t>
            </w:r>
          </w:p>
        </w:tc>
      </w:tr>
      <w:tr>
        <w:tc>
          <w:tcPr>
            <w:tcW w:w="3542" w:type="dxa"/>
            <w:tcMar>
              <w:top w:w="28" w:type="dxa"/>
              <w:left w:w="85" w:type="dxa"/>
            </w:tcMar>
          </w:tcPr>
          <w:p>
            <w:pPr>
              <w:pStyle w:val="yTableNAm"/>
              <w:tabs>
                <w:tab w:val="clear" w:pos="567"/>
                <w:tab w:val="right" w:leader="dot" w:pos="3316"/>
              </w:tabs>
              <w:spacing w:before="0"/>
            </w:pPr>
            <w:r>
              <w:t>Flathead, Blue</w:t>
            </w:r>
            <w:r>
              <w:noBreakHyphen/>
              <w:t xml:space="preserve">spotted (Sand) </w:t>
            </w:r>
            <w:r>
              <w:tab/>
            </w:r>
          </w:p>
        </w:tc>
        <w:tc>
          <w:tcPr>
            <w:tcW w:w="3543" w:type="dxa"/>
            <w:tcMar>
              <w:top w:w="28" w:type="dxa"/>
              <w:left w:w="85" w:type="dxa"/>
            </w:tcMar>
          </w:tcPr>
          <w:p>
            <w:pPr>
              <w:pStyle w:val="yTableNAm"/>
              <w:spacing w:before="0"/>
              <w:rPr>
                <w:i/>
              </w:rPr>
            </w:pPr>
            <w:r>
              <w:rPr>
                <w:i/>
              </w:rPr>
              <w:t>Platycephalus speculator</w:t>
            </w:r>
          </w:p>
        </w:tc>
      </w:tr>
      <w:tr>
        <w:tc>
          <w:tcPr>
            <w:tcW w:w="3542" w:type="dxa"/>
            <w:tcMar>
              <w:top w:w="28" w:type="dxa"/>
              <w:left w:w="85" w:type="dxa"/>
            </w:tcMar>
          </w:tcPr>
          <w:p>
            <w:pPr>
              <w:pStyle w:val="yTableNAm"/>
              <w:tabs>
                <w:tab w:val="clear" w:pos="567"/>
                <w:tab w:val="right" w:leader="dot" w:pos="3316"/>
              </w:tabs>
              <w:spacing w:before="0"/>
            </w:pPr>
            <w:r>
              <w:t>Flathead, Long</w:t>
            </w:r>
            <w:r>
              <w:noBreakHyphen/>
              <w:t xml:space="preserve">spined (Sand) </w:t>
            </w:r>
            <w:r>
              <w:tab/>
            </w:r>
          </w:p>
        </w:tc>
        <w:tc>
          <w:tcPr>
            <w:tcW w:w="3543" w:type="dxa"/>
            <w:tcMar>
              <w:top w:w="28" w:type="dxa"/>
              <w:left w:w="85" w:type="dxa"/>
            </w:tcMar>
          </w:tcPr>
          <w:p>
            <w:pPr>
              <w:pStyle w:val="yTableNAm"/>
              <w:spacing w:before="0"/>
              <w:rPr>
                <w:i/>
              </w:rPr>
            </w:pPr>
            <w:r>
              <w:rPr>
                <w:i/>
              </w:rPr>
              <w:t>Platycephalus longispinus</w:t>
            </w:r>
          </w:p>
        </w:tc>
      </w:tr>
      <w:tr>
        <w:tc>
          <w:tcPr>
            <w:tcW w:w="3542" w:type="dxa"/>
            <w:tcMar>
              <w:top w:w="28" w:type="dxa"/>
              <w:left w:w="85" w:type="dxa"/>
            </w:tcMar>
          </w:tcPr>
          <w:p>
            <w:pPr>
              <w:pStyle w:val="yTableNAm"/>
              <w:tabs>
                <w:tab w:val="clear" w:pos="567"/>
                <w:tab w:val="right" w:leader="dot" w:pos="3316"/>
              </w:tabs>
              <w:spacing w:before="0"/>
            </w:pPr>
            <w:r>
              <w:t xml:space="preserve">Flathead, Marbled </w:t>
            </w:r>
            <w:r>
              <w:tab/>
            </w:r>
          </w:p>
        </w:tc>
        <w:tc>
          <w:tcPr>
            <w:tcW w:w="3543" w:type="dxa"/>
            <w:tcMar>
              <w:top w:w="28" w:type="dxa"/>
              <w:left w:w="85" w:type="dxa"/>
            </w:tcMar>
          </w:tcPr>
          <w:p>
            <w:pPr>
              <w:pStyle w:val="yTableNAm"/>
              <w:spacing w:before="0"/>
              <w:rPr>
                <w:i/>
              </w:rPr>
            </w:pPr>
            <w:r>
              <w:rPr>
                <w:i/>
              </w:rPr>
              <w:t>Platycephalus marmoratus</w:t>
            </w:r>
          </w:p>
        </w:tc>
      </w:tr>
      <w:tr>
        <w:tc>
          <w:tcPr>
            <w:tcW w:w="3542" w:type="dxa"/>
            <w:tcMar>
              <w:top w:w="28" w:type="dxa"/>
              <w:left w:w="85" w:type="dxa"/>
            </w:tcMar>
          </w:tcPr>
          <w:p>
            <w:pPr>
              <w:pStyle w:val="yTableNAm"/>
              <w:tabs>
                <w:tab w:val="clear" w:pos="567"/>
                <w:tab w:val="right" w:leader="dot" w:pos="3316"/>
              </w:tabs>
              <w:spacing w:before="0"/>
            </w:pPr>
            <w:r>
              <w:t xml:space="preserve">Flounder </w:t>
            </w:r>
            <w:r>
              <w:tab/>
            </w:r>
          </w:p>
        </w:tc>
        <w:tc>
          <w:tcPr>
            <w:tcW w:w="3543" w:type="dxa"/>
            <w:tcMar>
              <w:top w:w="28" w:type="dxa"/>
              <w:left w:w="85" w:type="dxa"/>
            </w:tcMar>
          </w:tcPr>
          <w:p>
            <w:pPr>
              <w:pStyle w:val="yTableNAm"/>
              <w:spacing w:before="0"/>
            </w:pPr>
            <w:r>
              <w:rPr>
                <w:i/>
              </w:rPr>
              <w:t>Pseudorhombus</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Foxfish, Western and Pigfish </w:t>
            </w:r>
            <w:r>
              <w:tab/>
            </w:r>
          </w:p>
        </w:tc>
        <w:tc>
          <w:tcPr>
            <w:tcW w:w="3543" w:type="dxa"/>
            <w:tcMar>
              <w:top w:w="28" w:type="dxa"/>
              <w:left w:w="85" w:type="dxa"/>
            </w:tcMar>
          </w:tcPr>
          <w:p>
            <w:pPr>
              <w:pStyle w:val="yTableNAm"/>
              <w:spacing w:before="0"/>
              <w:rPr>
                <w:i/>
              </w:rPr>
            </w:pPr>
            <w:r>
              <w:rPr>
                <w:i/>
              </w:rPr>
              <w:t>Bodianus</w:t>
            </w:r>
            <w:r>
              <w:rPr>
                <w:iCs/>
              </w:rPr>
              <w:t xml:space="preserve"> spp</w:t>
            </w:r>
            <w:r>
              <w:rPr>
                <w:i/>
              </w:rPr>
              <w:t>.</w:t>
            </w:r>
          </w:p>
        </w:tc>
      </w:tr>
      <w:tr>
        <w:tc>
          <w:tcPr>
            <w:tcW w:w="3542" w:type="dxa"/>
            <w:tcMar>
              <w:top w:w="28" w:type="dxa"/>
              <w:left w:w="85" w:type="dxa"/>
            </w:tcMar>
          </w:tcPr>
          <w:p>
            <w:pPr>
              <w:pStyle w:val="yTableNAm"/>
              <w:tabs>
                <w:tab w:val="clear" w:pos="567"/>
                <w:tab w:val="right" w:leader="dot" w:pos="3316"/>
              </w:tabs>
              <w:spacing w:before="0"/>
            </w:pPr>
            <w:r>
              <w:t xml:space="preserve">Garfish </w:t>
            </w:r>
            <w:r>
              <w:tab/>
            </w:r>
          </w:p>
        </w:tc>
        <w:tc>
          <w:tcPr>
            <w:tcW w:w="3543" w:type="dxa"/>
            <w:tcMar>
              <w:top w:w="28" w:type="dxa"/>
              <w:left w:w="85" w:type="dxa"/>
            </w:tcMar>
          </w:tcPr>
          <w:p>
            <w:pPr>
              <w:pStyle w:val="yTableNAm"/>
              <w:spacing w:before="0"/>
            </w:pPr>
            <w:r>
              <w:rPr>
                <w:u w:val="single"/>
              </w:rPr>
              <w:t>Family</w:t>
            </w:r>
            <w:r>
              <w:t xml:space="preserve"> Hemirhamphidae</w:t>
            </w:r>
          </w:p>
        </w:tc>
      </w:tr>
      <w:tr>
        <w:tc>
          <w:tcPr>
            <w:tcW w:w="3542" w:type="dxa"/>
            <w:tcMar>
              <w:top w:w="28" w:type="dxa"/>
              <w:left w:w="85" w:type="dxa"/>
            </w:tcMar>
          </w:tcPr>
          <w:p>
            <w:pPr>
              <w:pStyle w:val="yTableNAm"/>
              <w:tabs>
                <w:tab w:val="clear" w:pos="567"/>
                <w:tab w:val="right" w:leader="dot" w:pos="3316"/>
              </w:tabs>
              <w:spacing w:before="0"/>
            </w:pPr>
            <w:r>
              <w:t xml:space="preserve">Goatfish </w:t>
            </w:r>
            <w:r>
              <w:tab/>
            </w:r>
          </w:p>
        </w:tc>
        <w:tc>
          <w:tcPr>
            <w:tcW w:w="3543" w:type="dxa"/>
            <w:tcMar>
              <w:top w:w="28" w:type="dxa"/>
              <w:left w:w="85" w:type="dxa"/>
            </w:tcMar>
          </w:tcPr>
          <w:p>
            <w:pPr>
              <w:pStyle w:val="yTableNAm"/>
              <w:spacing w:before="0"/>
            </w:pPr>
            <w:r>
              <w:rPr>
                <w:u w:val="single"/>
              </w:rPr>
              <w:t>Family</w:t>
            </w:r>
            <w:r>
              <w:t xml:space="preserve"> Mullidae</w:t>
            </w:r>
          </w:p>
        </w:tc>
      </w:tr>
      <w:tr>
        <w:tc>
          <w:tcPr>
            <w:tcW w:w="3542" w:type="dxa"/>
            <w:tcMar>
              <w:top w:w="28" w:type="dxa"/>
              <w:left w:w="85" w:type="dxa"/>
            </w:tcMar>
          </w:tcPr>
          <w:p>
            <w:pPr>
              <w:pStyle w:val="yTableNAm"/>
              <w:tabs>
                <w:tab w:val="clear" w:pos="567"/>
                <w:tab w:val="right" w:leader="dot" w:pos="3316"/>
              </w:tabs>
              <w:spacing w:before="0"/>
            </w:pPr>
            <w:r>
              <w:t xml:space="preserve">Groper </w:t>
            </w:r>
            <w:r>
              <w:tab/>
            </w:r>
          </w:p>
        </w:tc>
        <w:tc>
          <w:tcPr>
            <w:tcW w:w="3543" w:type="dxa"/>
            <w:tcMar>
              <w:top w:w="28" w:type="dxa"/>
              <w:left w:w="85" w:type="dxa"/>
            </w:tcMar>
          </w:tcPr>
          <w:p>
            <w:pPr>
              <w:pStyle w:val="yTableNAm"/>
              <w:spacing w:before="0"/>
            </w:pPr>
            <w:r>
              <w:rPr>
                <w:u w:val="single"/>
              </w:rPr>
              <w:t>Family</w:t>
            </w:r>
            <w:r>
              <w:t xml:space="preserve"> Labridae</w:t>
            </w:r>
          </w:p>
        </w:tc>
      </w:tr>
      <w:tr>
        <w:tc>
          <w:tcPr>
            <w:tcW w:w="3542" w:type="dxa"/>
            <w:tcMar>
              <w:top w:w="28" w:type="dxa"/>
              <w:left w:w="85" w:type="dxa"/>
            </w:tcMar>
          </w:tcPr>
          <w:p>
            <w:pPr>
              <w:pStyle w:val="yTableNAm"/>
              <w:tabs>
                <w:tab w:val="clear" w:pos="567"/>
                <w:tab w:val="right" w:leader="dot" w:pos="3316"/>
              </w:tabs>
              <w:spacing w:before="0"/>
            </w:pPr>
            <w:r>
              <w:t xml:space="preserve">Groper, Baldchin </w:t>
            </w:r>
            <w:r>
              <w:tab/>
            </w:r>
          </w:p>
        </w:tc>
        <w:tc>
          <w:tcPr>
            <w:tcW w:w="3543" w:type="dxa"/>
            <w:tcMar>
              <w:top w:w="28" w:type="dxa"/>
              <w:left w:w="85" w:type="dxa"/>
            </w:tcMar>
          </w:tcPr>
          <w:p>
            <w:pPr>
              <w:pStyle w:val="yTableNAm"/>
              <w:spacing w:before="0"/>
              <w:rPr>
                <w:i/>
              </w:rPr>
            </w:pPr>
            <w:r>
              <w:rPr>
                <w:i/>
              </w:rPr>
              <w:t>Choerodon rubescens</w:t>
            </w:r>
          </w:p>
        </w:tc>
      </w:tr>
      <w:tr>
        <w:tc>
          <w:tcPr>
            <w:tcW w:w="3542" w:type="dxa"/>
            <w:tcMar>
              <w:top w:w="28" w:type="dxa"/>
              <w:left w:w="85" w:type="dxa"/>
            </w:tcMar>
          </w:tcPr>
          <w:p>
            <w:pPr>
              <w:pStyle w:val="yTableNAm"/>
              <w:tabs>
                <w:tab w:val="clear" w:pos="567"/>
                <w:tab w:val="right" w:leader="dot" w:pos="3316"/>
              </w:tabs>
              <w:spacing w:before="0"/>
            </w:pPr>
            <w:r>
              <w:t xml:space="preserve">Groper, Bass </w:t>
            </w:r>
            <w:r>
              <w:tab/>
            </w:r>
          </w:p>
        </w:tc>
        <w:tc>
          <w:tcPr>
            <w:tcW w:w="3543" w:type="dxa"/>
            <w:tcMar>
              <w:top w:w="28" w:type="dxa"/>
              <w:left w:w="85" w:type="dxa"/>
            </w:tcMar>
          </w:tcPr>
          <w:p>
            <w:pPr>
              <w:pStyle w:val="yTableNAm"/>
              <w:spacing w:before="0"/>
              <w:rPr>
                <w:i/>
              </w:rPr>
            </w:pPr>
            <w:r>
              <w:rPr>
                <w:i/>
              </w:rPr>
              <w:t>Polyprion americanus</w:t>
            </w:r>
          </w:p>
        </w:tc>
      </w:tr>
      <w:tr>
        <w:tc>
          <w:tcPr>
            <w:tcW w:w="3542" w:type="dxa"/>
            <w:tcMar>
              <w:top w:w="28" w:type="dxa"/>
              <w:left w:w="85" w:type="dxa"/>
            </w:tcMar>
          </w:tcPr>
          <w:p>
            <w:pPr>
              <w:pStyle w:val="yTableNAm"/>
              <w:tabs>
                <w:tab w:val="clear" w:pos="567"/>
                <w:tab w:val="right" w:leader="dot" w:pos="3316"/>
              </w:tabs>
              <w:spacing w:before="0"/>
            </w:pPr>
            <w:r>
              <w:t xml:space="preserve">Groper, </w:t>
            </w:r>
            <w:smartTag w:uri="urn:schemas-microsoft-com:office:smarttags" w:element="place">
              <w:smartTag w:uri="urn:schemas-microsoft-com:office:smarttags" w:element="State">
                <w:r>
                  <w:t>Queensland</w:t>
                </w:r>
              </w:smartTag>
            </w:smartTag>
            <w:r>
              <w:t xml:space="preserve"> </w:t>
            </w:r>
            <w:r>
              <w:tab/>
            </w:r>
          </w:p>
        </w:tc>
        <w:tc>
          <w:tcPr>
            <w:tcW w:w="3543" w:type="dxa"/>
            <w:tcMar>
              <w:top w:w="28" w:type="dxa"/>
              <w:left w:w="85" w:type="dxa"/>
            </w:tcMar>
          </w:tcPr>
          <w:p>
            <w:pPr>
              <w:pStyle w:val="yTableNAm"/>
              <w:spacing w:before="0"/>
              <w:rPr>
                <w:i/>
              </w:rPr>
            </w:pPr>
            <w:r>
              <w:rPr>
                <w:i/>
              </w:rPr>
              <w:t>Epinephelus lanceolatus</w:t>
            </w:r>
          </w:p>
        </w:tc>
      </w:tr>
      <w:tr>
        <w:tc>
          <w:tcPr>
            <w:tcW w:w="3542" w:type="dxa"/>
            <w:tcMar>
              <w:top w:w="28" w:type="dxa"/>
              <w:left w:w="85" w:type="dxa"/>
            </w:tcMar>
          </w:tcPr>
          <w:p>
            <w:pPr>
              <w:pStyle w:val="yTableNAm"/>
              <w:tabs>
                <w:tab w:val="clear" w:pos="567"/>
                <w:tab w:val="right" w:leader="dot" w:pos="3316"/>
              </w:tabs>
              <w:spacing w:before="0"/>
            </w:pPr>
            <w:r>
              <w:t xml:space="preserve">Groper, Western Blue </w:t>
            </w:r>
            <w:r>
              <w:tab/>
            </w:r>
          </w:p>
        </w:tc>
        <w:tc>
          <w:tcPr>
            <w:tcW w:w="3543" w:type="dxa"/>
            <w:tcMar>
              <w:top w:w="28" w:type="dxa"/>
              <w:left w:w="85" w:type="dxa"/>
            </w:tcMar>
          </w:tcPr>
          <w:p>
            <w:pPr>
              <w:pStyle w:val="yTableNAm"/>
              <w:spacing w:before="0"/>
              <w:rPr>
                <w:u w:val="single"/>
              </w:rPr>
            </w:pPr>
            <w:r>
              <w:rPr>
                <w:i/>
              </w:rPr>
              <w:t>Achoerodus gouldii</w:t>
            </w:r>
          </w:p>
        </w:tc>
      </w:tr>
      <w:tr>
        <w:tc>
          <w:tcPr>
            <w:tcW w:w="3542" w:type="dxa"/>
            <w:tcMar>
              <w:top w:w="28" w:type="dxa"/>
              <w:left w:w="85" w:type="dxa"/>
            </w:tcMar>
          </w:tcPr>
          <w:p>
            <w:pPr>
              <w:pStyle w:val="yTableNAm"/>
              <w:tabs>
                <w:tab w:val="clear" w:pos="567"/>
                <w:tab w:val="right" w:leader="dot" w:pos="3316"/>
              </w:tabs>
              <w:spacing w:before="0"/>
            </w:pPr>
            <w:r>
              <w:t xml:space="preserve">Hapuku </w:t>
            </w:r>
            <w:r>
              <w:tab/>
            </w:r>
          </w:p>
        </w:tc>
        <w:tc>
          <w:tcPr>
            <w:tcW w:w="3543" w:type="dxa"/>
            <w:tcMar>
              <w:top w:w="28" w:type="dxa"/>
              <w:left w:w="85" w:type="dxa"/>
            </w:tcMar>
          </w:tcPr>
          <w:p>
            <w:pPr>
              <w:pStyle w:val="yTableNAm"/>
              <w:spacing w:before="0"/>
              <w:rPr>
                <w:u w:val="single"/>
              </w:rPr>
            </w:pPr>
            <w:r>
              <w:rPr>
                <w:i/>
              </w:rPr>
              <w:t>Polyprion oxygeneios</w:t>
            </w:r>
          </w:p>
        </w:tc>
      </w:tr>
      <w:tr>
        <w:tc>
          <w:tcPr>
            <w:tcW w:w="3542" w:type="dxa"/>
            <w:tcMar>
              <w:top w:w="28" w:type="dxa"/>
              <w:left w:w="85" w:type="dxa"/>
            </w:tcMar>
          </w:tcPr>
          <w:p>
            <w:pPr>
              <w:pStyle w:val="yTableNAm"/>
              <w:tabs>
                <w:tab w:val="clear" w:pos="567"/>
                <w:tab w:val="right" w:leader="dot" w:pos="3316"/>
              </w:tabs>
              <w:spacing w:before="0"/>
            </w:pPr>
            <w:r>
              <w:t xml:space="preserve">Hardyhead </w:t>
            </w:r>
            <w:r>
              <w:tab/>
            </w:r>
          </w:p>
        </w:tc>
        <w:tc>
          <w:tcPr>
            <w:tcW w:w="3543" w:type="dxa"/>
            <w:tcMar>
              <w:top w:w="28" w:type="dxa"/>
              <w:left w:w="85" w:type="dxa"/>
            </w:tcMar>
          </w:tcPr>
          <w:p>
            <w:pPr>
              <w:pStyle w:val="yTableNAm"/>
              <w:spacing w:before="0"/>
            </w:pPr>
            <w:r>
              <w:rPr>
                <w:u w:val="single"/>
              </w:rPr>
              <w:t>Family</w:t>
            </w:r>
            <w:r>
              <w:t xml:space="preserve"> Atherinidae</w:t>
            </w:r>
          </w:p>
        </w:tc>
      </w:tr>
      <w:tr>
        <w:tc>
          <w:tcPr>
            <w:tcW w:w="3542" w:type="dxa"/>
            <w:tcMar>
              <w:top w:w="28" w:type="dxa"/>
              <w:left w:w="85" w:type="dxa"/>
            </w:tcMar>
          </w:tcPr>
          <w:p>
            <w:pPr>
              <w:pStyle w:val="yTableNAm"/>
              <w:tabs>
                <w:tab w:val="clear" w:pos="567"/>
                <w:tab w:val="right" w:leader="dot" w:pos="3316"/>
              </w:tabs>
              <w:spacing w:before="0"/>
            </w:pPr>
            <w:r>
              <w:t xml:space="preserve">Herring, Australian (Tommy Ruff) </w:t>
            </w:r>
            <w:r>
              <w:tab/>
            </w:r>
          </w:p>
        </w:tc>
        <w:tc>
          <w:tcPr>
            <w:tcW w:w="3543" w:type="dxa"/>
            <w:tcMar>
              <w:top w:w="28" w:type="dxa"/>
              <w:left w:w="85" w:type="dxa"/>
            </w:tcMar>
          </w:tcPr>
          <w:p>
            <w:pPr>
              <w:pStyle w:val="yTableNAm"/>
              <w:spacing w:before="0"/>
              <w:rPr>
                <w:i/>
              </w:rPr>
            </w:pPr>
            <w:r>
              <w:rPr>
                <w:i/>
              </w:rPr>
              <w:t>Arripis georgianus</w:t>
            </w:r>
          </w:p>
        </w:tc>
      </w:tr>
      <w:tr>
        <w:tc>
          <w:tcPr>
            <w:tcW w:w="3542" w:type="dxa"/>
            <w:tcMar>
              <w:top w:w="28" w:type="dxa"/>
              <w:left w:w="85" w:type="dxa"/>
            </w:tcMar>
          </w:tcPr>
          <w:p>
            <w:pPr>
              <w:pStyle w:val="yTableNAm"/>
              <w:tabs>
                <w:tab w:val="clear" w:pos="567"/>
                <w:tab w:val="right" w:leader="dot" w:pos="3316"/>
              </w:tabs>
              <w:spacing w:before="0"/>
            </w:pPr>
            <w:r>
              <w:t xml:space="preserve">Herring, Giant </w:t>
            </w:r>
            <w:r>
              <w:tab/>
            </w:r>
          </w:p>
        </w:tc>
        <w:tc>
          <w:tcPr>
            <w:tcW w:w="3543" w:type="dxa"/>
            <w:tcMar>
              <w:top w:w="28" w:type="dxa"/>
              <w:left w:w="85" w:type="dxa"/>
            </w:tcMar>
          </w:tcPr>
          <w:p>
            <w:pPr>
              <w:pStyle w:val="yTableNAm"/>
              <w:spacing w:before="0"/>
              <w:rPr>
                <w:i/>
              </w:rPr>
            </w:pPr>
            <w:r>
              <w:rPr>
                <w:i/>
              </w:rPr>
              <w:t>Elops hawaiiensis</w:t>
            </w:r>
          </w:p>
        </w:tc>
      </w:tr>
      <w:tr>
        <w:tc>
          <w:tcPr>
            <w:tcW w:w="3542" w:type="dxa"/>
            <w:tcMar>
              <w:top w:w="28" w:type="dxa"/>
              <w:left w:w="85" w:type="dxa"/>
            </w:tcMar>
          </w:tcPr>
          <w:p>
            <w:pPr>
              <w:pStyle w:val="yTableNAm"/>
              <w:tabs>
                <w:tab w:val="clear" w:pos="567"/>
                <w:tab w:val="right" w:leader="dot" w:pos="3316"/>
              </w:tabs>
              <w:spacing w:before="0"/>
            </w:pPr>
            <w:r>
              <w:t xml:space="preserve">Herring, </w:t>
            </w:r>
            <w:smartTag w:uri="urn:schemas-microsoft-com:office:smarttags" w:element="place">
              <w:smartTag w:uri="urn:schemas-microsoft-com:office:smarttags" w:element="City">
                <w:r>
                  <w:t>Perth</w:t>
                </w:r>
              </w:smartTag>
            </w:smartTag>
            <w:r>
              <w:t xml:space="preserve"> </w:t>
            </w:r>
            <w:r>
              <w:tab/>
            </w:r>
          </w:p>
        </w:tc>
        <w:tc>
          <w:tcPr>
            <w:tcW w:w="3543" w:type="dxa"/>
            <w:tcMar>
              <w:top w:w="28" w:type="dxa"/>
              <w:left w:w="85" w:type="dxa"/>
            </w:tcMar>
          </w:tcPr>
          <w:p>
            <w:pPr>
              <w:pStyle w:val="yTableNAm"/>
              <w:spacing w:before="0"/>
              <w:rPr>
                <w:i/>
              </w:rPr>
            </w:pPr>
            <w:r>
              <w:rPr>
                <w:i/>
              </w:rPr>
              <w:t>Nematalosa vlaminghi</w:t>
            </w:r>
          </w:p>
        </w:tc>
      </w:tr>
      <w:tr>
        <w:tc>
          <w:tcPr>
            <w:tcW w:w="3542" w:type="dxa"/>
            <w:tcMar>
              <w:top w:w="28" w:type="dxa"/>
              <w:left w:w="85" w:type="dxa"/>
            </w:tcMar>
          </w:tcPr>
          <w:p>
            <w:pPr>
              <w:pStyle w:val="yTableNAm"/>
              <w:tabs>
                <w:tab w:val="clear" w:pos="567"/>
                <w:tab w:val="right" w:leader="dot" w:pos="3316"/>
              </w:tabs>
              <w:spacing w:before="0"/>
            </w:pPr>
            <w:r>
              <w:t xml:space="preserve">Javelinfish and Sweetlips </w:t>
            </w:r>
            <w:r>
              <w:tab/>
            </w:r>
          </w:p>
        </w:tc>
        <w:tc>
          <w:tcPr>
            <w:tcW w:w="3543" w:type="dxa"/>
            <w:tcMar>
              <w:top w:w="28" w:type="dxa"/>
              <w:left w:w="85" w:type="dxa"/>
            </w:tcMar>
          </w:tcPr>
          <w:p>
            <w:pPr>
              <w:pStyle w:val="yTableNAm"/>
              <w:spacing w:before="0"/>
              <w:rPr>
                <w:i/>
              </w:rPr>
            </w:pPr>
            <w:r>
              <w:rPr>
                <w:u w:val="single"/>
              </w:rPr>
              <w:t>Family</w:t>
            </w:r>
            <w:r>
              <w:t xml:space="preserve"> Haemuidae</w:t>
            </w:r>
          </w:p>
        </w:tc>
      </w:tr>
      <w:tr>
        <w:tc>
          <w:tcPr>
            <w:tcW w:w="3542" w:type="dxa"/>
            <w:tcMar>
              <w:top w:w="28" w:type="dxa"/>
              <w:left w:w="85" w:type="dxa"/>
            </w:tcMar>
          </w:tcPr>
          <w:p>
            <w:pPr>
              <w:pStyle w:val="yTableNAm"/>
              <w:tabs>
                <w:tab w:val="clear" w:pos="567"/>
                <w:tab w:val="right" w:leader="dot" w:pos="3316"/>
              </w:tabs>
              <w:spacing w:before="0"/>
            </w:pPr>
            <w:r>
              <w:t xml:space="preserve">Kingfish, Yellowtail </w:t>
            </w:r>
            <w:r>
              <w:tab/>
            </w:r>
          </w:p>
        </w:tc>
        <w:tc>
          <w:tcPr>
            <w:tcW w:w="3543" w:type="dxa"/>
            <w:tcMar>
              <w:top w:w="28" w:type="dxa"/>
              <w:left w:w="85" w:type="dxa"/>
            </w:tcMar>
          </w:tcPr>
          <w:p>
            <w:pPr>
              <w:pStyle w:val="yTableNAm"/>
              <w:spacing w:before="0"/>
              <w:rPr>
                <w:i/>
              </w:rPr>
            </w:pPr>
            <w:r>
              <w:rPr>
                <w:i/>
              </w:rPr>
              <w:t>Seriola lalandi</w:t>
            </w:r>
          </w:p>
        </w:tc>
      </w:tr>
      <w:tr>
        <w:tc>
          <w:tcPr>
            <w:tcW w:w="3542" w:type="dxa"/>
            <w:tcMar>
              <w:top w:w="28" w:type="dxa"/>
              <w:left w:w="85" w:type="dxa"/>
            </w:tcMar>
          </w:tcPr>
          <w:p>
            <w:pPr>
              <w:pStyle w:val="yTableNAm"/>
              <w:tabs>
                <w:tab w:val="clear" w:pos="567"/>
                <w:tab w:val="right" w:leader="dot" w:pos="3316"/>
              </w:tabs>
              <w:spacing w:before="0"/>
            </w:pPr>
            <w:r>
              <w:t xml:space="preserve">Leatherjacket </w:t>
            </w:r>
            <w:r>
              <w:tab/>
            </w:r>
          </w:p>
        </w:tc>
        <w:tc>
          <w:tcPr>
            <w:tcW w:w="3543" w:type="dxa"/>
            <w:tcMar>
              <w:top w:w="28" w:type="dxa"/>
              <w:left w:w="85" w:type="dxa"/>
            </w:tcMar>
          </w:tcPr>
          <w:p>
            <w:pPr>
              <w:pStyle w:val="yTableNAm"/>
              <w:spacing w:before="0"/>
            </w:pPr>
            <w:r>
              <w:rPr>
                <w:u w:val="single"/>
              </w:rPr>
              <w:t>Family</w:t>
            </w:r>
            <w:r>
              <w:t xml:space="preserve"> Monacanthidae</w:t>
            </w:r>
          </w:p>
        </w:tc>
      </w:tr>
      <w:tr>
        <w:tc>
          <w:tcPr>
            <w:tcW w:w="3542" w:type="dxa"/>
            <w:tcMar>
              <w:top w:w="28" w:type="dxa"/>
              <w:left w:w="85" w:type="dxa"/>
            </w:tcMar>
          </w:tcPr>
          <w:p>
            <w:pPr>
              <w:pStyle w:val="yTableNAm"/>
              <w:tabs>
                <w:tab w:val="clear" w:pos="567"/>
                <w:tab w:val="right" w:leader="dot" w:pos="3316"/>
              </w:tabs>
              <w:spacing w:before="0"/>
            </w:pPr>
            <w:r>
              <w:t xml:space="preserve">Longtom </w:t>
            </w:r>
            <w:r>
              <w:tab/>
            </w:r>
          </w:p>
        </w:tc>
        <w:tc>
          <w:tcPr>
            <w:tcW w:w="3543" w:type="dxa"/>
            <w:tcMar>
              <w:top w:w="28" w:type="dxa"/>
              <w:left w:w="85" w:type="dxa"/>
            </w:tcMar>
          </w:tcPr>
          <w:p>
            <w:pPr>
              <w:pStyle w:val="yTableNAm"/>
              <w:spacing w:before="0"/>
            </w:pPr>
            <w:r>
              <w:rPr>
                <w:u w:val="single"/>
              </w:rPr>
              <w:t>Family</w:t>
            </w:r>
            <w:r>
              <w:t xml:space="preserve"> Belonidae</w:t>
            </w:r>
          </w:p>
        </w:tc>
      </w:tr>
      <w:tr>
        <w:tc>
          <w:tcPr>
            <w:tcW w:w="3542" w:type="dxa"/>
            <w:tcMar>
              <w:top w:w="28" w:type="dxa"/>
              <w:left w:w="85" w:type="dxa"/>
            </w:tcMar>
          </w:tcPr>
          <w:p>
            <w:pPr>
              <w:pStyle w:val="yTableNAm"/>
              <w:tabs>
                <w:tab w:val="clear" w:pos="567"/>
                <w:tab w:val="right" w:leader="dot" w:pos="3316"/>
              </w:tabs>
              <w:spacing w:before="0"/>
            </w:pPr>
            <w:r>
              <w:t xml:space="preserve">Mackerel </w:t>
            </w:r>
            <w:r>
              <w:tab/>
            </w:r>
          </w:p>
        </w:tc>
        <w:tc>
          <w:tcPr>
            <w:tcW w:w="3543" w:type="dxa"/>
            <w:tcMar>
              <w:top w:w="28" w:type="dxa"/>
              <w:left w:w="85" w:type="dxa"/>
            </w:tcMar>
          </w:tcPr>
          <w:p>
            <w:pPr>
              <w:pStyle w:val="yTableNAm"/>
              <w:spacing w:before="0"/>
            </w:pPr>
            <w:r>
              <w:rPr>
                <w:i/>
              </w:rPr>
              <w:t>Scomberomorus</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Mackerel, Australian Spotted </w:t>
            </w:r>
            <w:r>
              <w:tab/>
            </w:r>
          </w:p>
        </w:tc>
        <w:tc>
          <w:tcPr>
            <w:tcW w:w="3543" w:type="dxa"/>
            <w:tcMar>
              <w:top w:w="28" w:type="dxa"/>
              <w:left w:w="85" w:type="dxa"/>
            </w:tcMar>
          </w:tcPr>
          <w:p>
            <w:pPr>
              <w:pStyle w:val="yTableNAm"/>
              <w:spacing w:before="0"/>
              <w:rPr>
                <w:i/>
              </w:rPr>
            </w:pPr>
            <w:r>
              <w:rPr>
                <w:i/>
              </w:rPr>
              <w:t>Scomberomorus munroi</w:t>
            </w:r>
          </w:p>
        </w:tc>
      </w:tr>
      <w:tr>
        <w:tc>
          <w:tcPr>
            <w:tcW w:w="3542" w:type="dxa"/>
            <w:tcMar>
              <w:top w:w="28" w:type="dxa"/>
              <w:left w:w="85" w:type="dxa"/>
            </w:tcMar>
          </w:tcPr>
          <w:p>
            <w:pPr>
              <w:pStyle w:val="yTableNAm"/>
              <w:tabs>
                <w:tab w:val="clear" w:pos="567"/>
                <w:tab w:val="right" w:leader="dot" w:pos="3316"/>
              </w:tabs>
              <w:spacing w:before="0"/>
            </w:pPr>
            <w:r>
              <w:t xml:space="preserve">Mackerel, Blue (Common) </w:t>
            </w:r>
            <w:r>
              <w:tab/>
            </w:r>
          </w:p>
        </w:tc>
        <w:tc>
          <w:tcPr>
            <w:tcW w:w="3543" w:type="dxa"/>
            <w:tcMar>
              <w:top w:w="28" w:type="dxa"/>
              <w:left w:w="85" w:type="dxa"/>
            </w:tcMar>
          </w:tcPr>
          <w:p>
            <w:pPr>
              <w:pStyle w:val="yTableNAm"/>
              <w:spacing w:before="0"/>
              <w:rPr>
                <w:i/>
              </w:rPr>
            </w:pPr>
            <w:r>
              <w:rPr>
                <w:i/>
              </w:rPr>
              <w:t>Scomber australasicus</w:t>
            </w:r>
          </w:p>
        </w:tc>
      </w:tr>
      <w:tr>
        <w:tc>
          <w:tcPr>
            <w:tcW w:w="3542" w:type="dxa"/>
            <w:tcMar>
              <w:top w:w="28" w:type="dxa"/>
              <w:left w:w="85" w:type="dxa"/>
            </w:tcMar>
          </w:tcPr>
          <w:p>
            <w:pPr>
              <w:pStyle w:val="yTableNAm"/>
              <w:tabs>
                <w:tab w:val="clear" w:pos="567"/>
                <w:tab w:val="right" w:leader="dot" w:pos="3316"/>
              </w:tabs>
              <w:spacing w:before="0"/>
            </w:pPr>
            <w:r>
              <w:t>Mackerel, Broad</w:t>
            </w:r>
            <w:r>
              <w:noBreakHyphen/>
              <w:t xml:space="preserve">barred Spanish </w:t>
            </w:r>
            <w:r>
              <w:tab/>
            </w:r>
          </w:p>
        </w:tc>
        <w:tc>
          <w:tcPr>
            <w:tcW w:w="3543" w:type="dxa"/>
            <w:tcMar>
              <w:top w:w="28" w:type="dxa"/>
              <w:left w:w="85" w:type="dxa"/>
            </w:tcMar>
          </w:tcPr>
          <w:p>
            <w:pPr>
              <w:pStyle w:val="yTableNAm"/>
              <w:spacing w:before="0"/>
              <w:rPr>
                <w:i/>
              </w:rPr>
            </w:pPr>
            <w:r>
              <w:rPr>
                <w:i/>
              </w:rPr>
              <w:t>Scomberomorus semifasciatus</w:t>
            </w:r>
          </w:p>
        </w:tc>
      </w:tr>
      <w:tr>
        <w:tc>
          <w:tcPr>
            <w:tcW w:w="3542" w:type="dxa"/>
            <w:tcMar>
              <w:top w:w="28" w:type="dxa"/>
              <w:left w:w="85" w:type="dxa"/>
            </w:tcMar>
          </w:tcPr>
          <w:p>
            <w:pPr>
              <w:pStyle w:val="yTableNAm"/>
              <w:tabs>
                <w:tab w:val="clear" w:pos="567"/>
                <w:tab w:val="right" w:leader="dot" w:pos="3316"/>
              </w:tabs>
              <w:spacing w:before="0"/>
            </w:pPr>
            <w:r>
              <w:t xml:space="preserve">Mackerel, Jack </w:t>
            </w:r>
            <w:r>
              <w:tab/>
            </w:r>
          </w:p>
        </w:tc>
        <w:tc>
          <w:tcPr>
            <w:tcW w:w="3543" w:type="dxa"/>
            <w:tcMar>
              <w:top w:w="28" w:type="dxa"/>
              <w:left w:w="85" w:type="dxa"/>
            </w:tcMar>
          </w:tcPr>
          <w:p>
            <w:pPr>
              <w:pStyle w:val="yTableNAm"/>
              <w:spacing w:before="0"/>
              <w:rPr>
                <w:i/>
              </w:rPr>
            </w:pPr>
            <w:r>
              <w:rPr>
                <w:i/>
              </w:rPr>
              <w:t>Trachurus declivis</w:t>
            </w:r>
          </w:p>
        </w:tc>
      </w:tr>
      <w:tr>
        <w:tc>
          <w:tcPr>
            <w:tcW w:w="3542" w:type="dxa"/>
            <w:tcMar>
              <w:top w:w="28" w:type="dxa"/>
              <w:left w:w="85" w:type="dxa"/>
            </w:tcMar>
          </w:tcPr>
          <w:p>
            <w:pPr>
              <w:pStyle w:val="yTableNAm"/>
              <w:tabs>
                <w:tab w:val="clear" w:pos="567"/>
                <w:tab w:val="right" w:leader="dot" w:pos="3316"/>
              </w:tabs>
              <w:spacing w:before="0"/>
            </w:pPr>
            <w:r>
              <w:t>Mackerel, Narrow</w:t>
            </w:r>
            <w:r>
              <w:noBreakHyphen/>
              <w:t xml:space="preserve">barred Spanish </w:t>
            </w:r>
            <w:r>
              <w:tab/>
            </w:r>
          </w:p>
        </w:tc>
        <w:tc>
          <w:tcPr>
            <w:tcW w:w="3543" w:type="dxa"/>
            <w:tcMar>
              <w:top w:w="28" w:type="dxa"/>
              <w:left w:w="85" w:type="dxa"/>
            </w:tcMar>
          </w:tcPr>
          <w:p>
            <w:pPr>
              <w:pStyle w:val="yTableNAm"/>
              <w:spacing w:before="0"/>
              <w:rPr>
                <w:i/>
              </w:rPr>
            </w:pPr>
            <w:r>
              <w:rPr>
                <w:i/>
              </w:rPr>
              <w:t>Scomberomorus commerson</w:t>
            </w:r>
          </w:p>
        </w:tc>
      </w:tr>
      <w:tr>
        <w:tc>
          <w:tcPr>
            <w:tcW w:w="3542" w:type="dxa"/>
            <w:tcMar>
              <w:top w:w="28" w:type="dxa"/>
              <w:left w:w="85" w:type="dxa"/>
            </w:tcMar>
          </w:tcPr>
          <w:p>
            <w:pPr>
              <w:pStyle w:val="yTableNAm"/>
              <w:tabs>
                <w:tab w:val="clear" w:pos="567"/>
                <w:tab w:val="right" w:leader="dot" w:pos="3316"/>
              </w:tabs>
              <w:spacing w:before="0"/>
            </w:pPr>
            <w:r>
              <w:t xml:space="preserve">Mackerel, Peruvian Jack </w:t>
            </w:r>
            <w:r>
              <w:tab/>
            </w:r>
          </w:p>
        </w:tc>
        <w:tc>
          <w:tcPr>
            <w:tcW w:w="3543" w:type="dxa"/>
            <w:tcMar>
              <w:top w:w="28" w:type="dxa"/>
              <w:left w:w="85" w:type="dxa"/>
            </w:tcMar>
          </w:tcPr>
          <w:p>
            <w:pPr>
              <w:pStyle w:val="yTableNAm"/>
              <w:spacing w:before="0"/>
              <w:rPr>
                <w:i/>
              </w:rPr>
            </w:pPr>
            <w:r>
              <w:rPr>
                <w:i/>
              </w:rPr>
              <w:t>Trachurus murphi</w:t>
            </w:r>
          </w:p>
        </w:tc>
      </w:tr>
      <w:tr>
        <w:tc>
          <w:tcPr>
            <w:tcW w:w="3542" w:type="dxa"/>
            <w:tcMar>
              <w:top w:w="28" w:type="dxa"/>
              <w:left w:w="85" w:type="dxa"/>
            </w:tcMar>
          </w:tcPr>
          <w:p>
            <w:pPr>
              <w:pStyle w:val="yTableNAm"/>
              <w:tabs>
                <w:tab w:val="clear" w:pos="567"/>
                <w:tab w:val="right" w:leader="dot" w:pos="3316"/>
              </w:tabs>
              <w:spacing w:before="0"/>
            </w:pPr>
            <w:r>
              <w:t xml:space="preserve">Mackerel,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w:t>
            </w:r>
            <w:r>
              <w:tab/>
            </w:r>
          </w:p>
        </w:tc>
        <w:tc>
          <w:tcPr>
            <w:tcW w:w="3543" w:type="dxa"/>
            <w:tcMar>
              <w:top w:w="28" w:type="dxa"/>
              <w:left w:w="85" w:type="dxa"/>
            </w:tcMar>
          </w:tcPr>
          <w:p>
            <w:pPr>
              <w:pStyle w:val="yTableNAm"/>
              <w:spacing w:before="0"/>
              <w:rPr>
                <w:i/>
              </w:rPr>
            </w:pPr>
            <w:r>
              <w:rPr>
                <w:i/>
              </w:rPr>
              <w:t>Scomberomorus queenslandicus</w:t>
            </w:r>
          </w:p>
        </w:tc>
      </w:tr>
      <w:tr>
        <w:tc>
          <w:tcPr>
            <w:tcW w:w="3542" w:type="dxa"/>
            <w:tcMar>
              <w:top w:w="28" w:type="dxa"/>
              <w:left w:w="85" w:type="dxa"/>
            </w:tcMar>
          </w:tcPr>
          <w:p>
            <w:pPr>
              <w:pStyle w:val="yTableNAm"/>
              <w:tabs>
                <w:tab w:val="clear" w:pos="567"/>
                <w:tab w:val="right" w:leader="dot" w:pos="3316"/>
              </w:tabs>
              <w:spacing w:before="0"/>
            </w:pPr>
            <w:r>
              <w:t xml:space="preserve">Mackerel, Scaly </w:t>
            </w:r>
            <w:r>
              <w:tab/>
            </w:r>
          </w:p>
        </w:tc>
        <w:tc>
          <w:tcPr>
            <w:tcW w:w="3543" w:type="dxa"/>
            <w:tcMar>
              <w:top w:w="28" w:type="dxa"/>
              <w:left w:w="85" w:type="dxa"/>
            </w:tcMar>
          </w:tcPr>
          <w:p>
            <w:pPr>
              <w:pStyle w:val="yTableNAm"/>
              <w:spacing w:before="0"/>
              <w:rPr>
                <w:i/>
              </w:rPr>
            </w:pPr>
            <w:r>
              <w:rPr>
                <w:i/>
              </w:rPr>
              <w:t>Sardinella lemuru</w:t>
            </w:r>
          </w:p>
        </w:tc>
      </w:tr>
      <w:tr>
        <w:tc>
          <w:tcPr>
            <w:tcW w:w="3542" w:type="dxa"/>
            <w:tcMar>
              <w:top w:w="28" w:type="dxa"/>
              <w:left w:w="85" w:type="dxa"/>
            </w:tcMar>
          </w:tcPr>
          <w:p>
            <w:pPr>
              <w:pStyle w:val="yTableNAm"/>
              <w:tabs>
                <w:tab w:val="clear" w:pos="567"/>
                <w:tab w:val="right" w:leader="dot" w:pos="3316"/>
              </w:tabs>
              <w:spacing w:before="0"/>
            </w:pPr>
            <w:r>
              <w:t xml:space="preserve">Mackerel, Shark </w:t>
            </w:r>
            <w:r>
              <w:tab/>
            </w:r>
          </w:p>
        </w:tc>
        <w:tc>
          <w:tcPr>
            <w:tcW w:w="3543" w:type="dxa"/>
            <w:tcMar>
              <w:top w:w="28" w:type="dxa"/>
              <w:left w:w="85" w:type="dxa"/>
            </w:tcMar>
          </w:tcPr>
          <w:p>
            <w:pPr>
              <w:pStyle w:val="yTableNAm"/>
              <w:spacing w:before="0"/>
              <w:rPr>
                <w:i/>
              </w:rPr>
            </w:pPr>
            <w:r>
              <w:rPr>
                <w:i/>
              </w:rPr>
              <w:t>Grammatorcynus bicarinatus</w:t>
            </w:r>
          </w:p>
        </w:tc>
      </w:tr>
      <w:tr>
        <w:tc>
          <w:tcPr>
            <w:tcW w:w="3542" w:type="dxa"/>
            <w:tcMar>
              <w:top w:w="28" w:type="dxa"/>
              <w:left w:w="85" w:type="dxa"/>
            </w:tcMar>
          </w:tcPr>
          <w:p>
            <w:pPr>
              <w:pStyle w:val="yTableNAm"/>
              <w:tabs>
                <w:tab w:val="clear" w:pos="567"/>
                <w:tab w:val="right" w:leader="dot" w:pos="3316"/>
              </w:tabs>
              <w:spacing w:before="0"/>
            </w:pPr>
            <w:r>
              <w:t xml:space="preserve">Mackerel, Wahoo </w:t>
            </w:r>
            <w:r>
              <w:tab/>
            </w:r>
          </w:p>
        </w:tc>
        <w:tc>
          <w:tcPr>
            <w:tcW w:w="3543" w:type="dxa"/>
            <w:tcMar>
              <w:top w:w="28" w:type="dxa"/>
              <w:left w:w="85" w:type="dxa"/>
            </w:tcMar>
          </w:tcPr>
          <w:p>
            <w:pPr>
              <w:pStyle w:val="yTableNAm"/>
              <w:spacing w:before="0"/>
              <w:rPr>
                <w:i/>
              </w:rPr>
            </w:pPr>
            <w:r>
              <w:rPr>
                <w:i/>
              </w:rPr>
              <w:t>Acanthocybium solandri</w:t>
            </w:r>
          </w:p>
        </w:tc>
      </w:tr>
      <w:tr>
        <w:tc>
          <w:tcPr>
            <w:tcW w:w="3542" w:type="dxa"/>
            <w:tcMar>
              <w:top w:w="28" w:type="dxa"/>
              <w:left w:w="85" w:type="dxa"/>
            </w:tcMar>
          </w:tcPr>
          <w:p>
            <w:pPr>
              <w:pStyle w:val="yTableNAm"/>
              <w:tabs>
                <w:tab w:val="clear" w:pos="567"/>
                <w:tab w:val="right" w:leader="dot" w:pos="3316"/>
              </w:tabs>
              <w:spacing w:before="0"/>
            </w:pPr>
            <w:r>
              <w:t xml:space="preserve">Mackerel, Yellowtail Jack </w:t>
            </w:r>
            <w:r>
              <w:tab/>
            </w:r>
          </w:p>
        </w:tc>
        <w:tc>
          <w:tcPr>
            <w:tcW w:w="3543" w:type="dxa"/>
            <w:tcMar>
              <w:top w:w="28" w:type="dxa"/>
              <w:left w:w="85" w:type="dxa"/>
            </w:tcMar>
          </w:tcPr>
          <w:p>
            <w:pPr>
              <w:pStyle w:val="yTableNAm"/>
              <w:spacing w:before="0"/>
              <w:rPr>
                <w:i/>
              </w:rPr>
            </w:pPr>
            <w:r>
              <w:rPr>
                <w:i/>
              </w:rPr>
              <w:t>Trachurus novaezelandiae</w:t>
            </w:r>
          </w:p>
        </w:tc>
      </w:tr>
      <w:tr>
        <w:tc>
          <w:tcPr>
            <w:tcW w:w="3542" w:type="dxa"/>
            <w:tcMar>
              <w:top w:w="28" w:type="dxa"/>
              <w:left w:w="85" w:type="dxa"/>
            </w:tcMar>
          </w:tcPr>
          <w:p>
            <w:pPr>
              <w:pStyle w:val="yTableNAm"/>
              <w:tabs>
                <w:tab w:val="clear" w:pos="567"/>
                <w:tab w:val="right" w:leader="dot" w:pos="3316"/>
              </w:tabs>
              <w:spacing w:before="0"/>
            </w:pPr>
            <w:r>
              <w:t xml:space="preserve">Mangrove Jack </w:t>
            </w:r>
            <w:r>
              <w:tab/>
            </w:r>
          </w:p>
        </w:tc>
        <w:tc>
          <w:tcPr>
            <w:tcW w:w="3543" w:type="dxa"/>
            <w:tcMar>
              <w:top w:w="28" w:type="dxa"/>
              <w:left w:w="85" w:type="dxa"/>
            </w:tcMar>
          </w:tcPr>
          <w:p>
            <w:pPr>
              <w:pStyle w:val="yTableNAm"/>
              <w:spacing w:before="0"/>
              <w:rPr>
                <w:i/>
              </w:rPr>
            </w:pPr>
            <w:r>
              <w:rPr>
                <w:i/>
              </w:rPr>
              <w:t>Lutjanus argentimaculatus</w:t>
            </w:r>
          </w:p>
        </w:tc>
      </w:tr>
      <w:tr>
        <w:tc>
          <w:tcPr>
            <w:tcW w:w="3542" w:type="dxa"/>
            <w:tcMar>
              <w:top w:w="28" w:type="dxa"/>
              <w:left w:w="85" w:type="dxa"/>
            </w:tcMar>
          </w:tcPr>
          <w:p>
            <w:pPr>
              <w:pStyle w:val="yTableNAm"/>
              <w:tabs>
                <w:tab w:val="clear" w:pos="567"/>
                <w:tab w:val="right" w:leader="dot" w:pos="3316"/>
              </w:tabs>
              <w:spacing w:before="0"/>
            </w:pPr>
            <w:r>
              <w:t xml:space="preserve">Maray </w:t>
            </w:r>
            <w:r>
              <w:tab/>
            </w:r>
          </w:p>
        </w:tc>
        <w:tc>
          <w:tcPr>
            <w:tcW w:w="3543" w:type="dxa"/>
            <w:tcMar>
              <w:top w:w="28" w:type="dxa"/>
              <w:left w:w="85" w:type="dxa"/>
            </w:tcMar>
          </w:tcPr>
          <w:p>
            <w:pPr>
              <w:pStyle w:val="yTableNAm"/>
              <w:spacing w:before="0"/>
              <w:rPr>
                <w:i/>
              </w:rPr>
            </w:pPr>
            <w:r>
              <w:rPr>
                <w:i/>
              </w:rPr>
              <w:t>Etrumeus teres</w:t>
            </w:r>
          </w:p>
        </w:tc>
      </w:tr>
      <w:tr>
        <w:tc>
          <w:tcPr>
            <w:tcW w:w="3542" w:type="dxa"/>
            <w:tcMar>
              <w:top w:w="28" w:type="dxa"/>
              <w:left w:w="85" w:type="dxa"/>
            </w:tcMar>
          </w:tcPr>
          <w:p>
            <w:pPr>
              <w:pStyle w:val="yTableNAm"/>
              <w:tabs>
                <w:tab w:val="clear" w:pos="567"/>
                <w:tab w:val="right" w:leader="dot" w:pos="3316"/>
              </w:tabs>
              <w:spacing w:before="0"/>
            </w:pPr>
            <w:r>
              <w:t xml:space="preserve">Milkfish </w:t>
            </w:r>
            <w:r>
              <w:tab/>
            </w:r>
          </w:p>
        </w:tc>
        <w:tc>
          <w:tcPr>
            <w:tcW w:w="3543" w:type="dxa"/>
            <w:tcMar>
              <w:top w:w="28" w:type="dxa"/>
              <w:left w:w="85" w:type="dxa"/>
            </w:tcMar>
          </w:tcPr>
          <w:p>
            <w:pPr>
              <w:pStyle w:val="yTableNAm"/>
              <w:spacing w:before="0"/>
              <w:rPr>
                <w:i/>
              </w:rPr>
            </w:pPr>
            <w:r>
              <w:rPr>
                <w:i/>
              </w:rPr>
              <w:t>Chanos chanos</w:t>
            </w:r>
          </w:p>
        </w:tc>
      </w:tr>
      <w:tr>
        <w:tc>
          <w:tcPr>
            <w:tcW w:w="3542" w:type="dxa"/>
            <w:tcMar>
              <w:top w:w="28" w:type="dxa"/>
              <w:left w:w="85" w:type="dxa"/>
            </w:tcMar>
          </w:tcPr>
          <w:p>
            <w:pPr>
              <w:pStyle w:val="yTableNAm"/>
              <w:tabs>
                <w:tab w:val="clear" w:pos="567"/>
                <w:tab w:val="right" w:leader="dot" w:pos="3316"/>
              </w:tabs>
              <w:spacing w:before="0"/>
            </w:pPr>
            <w:r>
              <w:t xml:space="preserve">Mullet </w:t>
            </w:r>
            <w:r>
              <w:tab/>
            </w:r>
          </w:p>
        </w:tc>
        <w:tc>
          <w:tcPr>
            <w:tcW w:w="3543" w:type="dxa"/>
            <w:tcMar>
              <w:top w:w="28" w:type="dxa"/>
              <w:left w:w="85" w:type="dxa"/>
            </w:tcMar>
          </w:tcPr>
          <w:p>
            <w:pPr>
              <w:pStyle w:val="yTableNAm"/>
              <w:spacing w:before="0"/>
            </w:pPr>
            <w:r>
              <w:rPr>
                <w:u w:val="single"/>
              </w:rPr>
              <w:t>Family</w:t>
            </w:r>
            <w:r>
              <w:t xml:space="preserve"> Mugilidae</w:t>
            </w:r>
          </w:p>
        </w:tc>
      </w:tr>
      <w:tr>
        <w:tc>
          <w:tcPr>
            <w:tcW w:w="3542" w:type="dxa"/>
            <w:tcMar>
              <w:top w:w="28" w:type="dxa"/>
              <w:left w:w="85" w:type="dxa"/>
            </w:tcMar>
          </w:tcPr>
          <w:p>
            <w:pPr>
              <w:pStyle w:val="yTableNAm"/>
              <w:tabs>
                <w:tab w:val="clear" w:pos="567"/>
                <w:tab w:val="right" w:leader="dot" w:pos="3316"/>
              </w:tabs>
              <w:spacing w:before="0"/>
            </w:pPr>
            <w:r>
              <w:t xml:space="preserve">Mullet, Sea </w:t>
            </w:r>
            <w:r>
              <w:tab/>
            </w:r>
          </w:p>
        </w:tc>
        <w:tc>
          <w:tcPr>
            <w:tcW w:w="3543" w:type="dxa"/>
            <w:tcMar>
              <w:top w:w="28" w:type="dxa"/>
              <w:left w:w="85" w:type="dxa"/>
            </w:tcMar>
          </w:tcPr>
          <w:p>
            <w:pPr>
              <w:pStyle w:val="yTableNAm"/>
              <w:spacing w:before="0"/>
              <w:rPr>
                <w:i/>
              </w:rPr>
            </w:pPr>
            <w:r>
              <w:rPr>
                <w:i/>
              </w:rPr>
              <w:t>Mugil cephalus</w:t>
            </w:r>
          </w:p>
        </w:tc>
      </w:tr>
      <w:tr>
        <w:tc>
          <w:tcPr>
            <w:tcW w:w="3542" w:type="dxa"/>
            <w:tcMar>
              <w:top w:w="28" w:type="dxa"/>
              <w:left w:w="85" w:type="dxa"/>
            </w:tcMar>
          </w:tcPr>
          <w:p>
            <w:pPr>
              <w:pStyle w:val="yTableNAm"/>
              <w:tabs>
                <w:tab w:val="clear" w:pos="567"/>
                <w:tab w:val="right" w:leader="dot" w:pos="3316"/>
              </w:tabs>
              <w:spacing w:before="0"/>
            </w:pPr>
            <w:r>
              <w:t>Mullet, Yellow</w:t>
            </w:r>
            <w:r>
              <w:noBreakHyphen/>
              <w:t xml:space="preserve">eye </w:t>
            </w:r>
            <w:r>
              <w:tab/>
            </w:r>
          </w:p>
        </w:tc>
        <w:tc>
          <w:tcPr>
            <w:tcW w:w="3543" w:type="dxa"/>
            <w:tcMar>
              <w:top w:w="28" w:type="dxa"/>
              <w:left w:w="85" w:type="dxa"/>
            </w:tcMar>
          </w:tcPr>
          <w:p>
            <w:pPr>
              <w:pStyle w:val="yTableNAm"/>
              <w:spacing w:before="0"/>
              <w:rPr>
                <w:i/>
              </w:rPr>
            </w:pPr>
            <w:r>
              <w:rPr>
                <w:i/>
              </w:rPr>
              <w:t>Aldrichetta forsteri</w:t>
            </w:r>
          </w:p>
        </w:tc>
      </w:tr>
      <w:tr>
        <w:tc>
          <w:tcPr>
            <w:tcW w:w="3542" w:type="dxa"/>
            <w:tcMar>
              <w:top w:w="28" w:type="dxa"/>
              <w:left w:w="85" w:type="dxa"/>
            </w:tcMar>
          </w:tcPr>
          <w:p>
            <w:pPr>
              <w:pStyle w:val="yTableNAm"/>
              <w:tabs>
                <w:tab w:val="clear" w:pos="567"/>
                <w:tab w:val="right" w:leader="dot" w:pos="3316"/>
              </w:tabs>
              <w:spacing w:before="0"/>
            </w:pPr>
            <w:r>
              <w:t xml:space="preserve">Mulloway (River Kingfish) </w:t>
            </w:r>
            <w:r>
              <w:tab/>
            </w:r>
          </w:p>
        </w:tc>
        <w:tc>
          <w:tcPr>
            <w:tcW w:w="3543" w:type="dxa"/>
            <w:tcMar>
              <w:top w:w="28" w:type="dxa"/>
              <w:left w:w="85" w:type="dxa"/>
            </w:tcMar>
          </w:tcPr>
          <w:p>
            <w:pPr>
              <w:pStyle w:val="yTableNAm"/>
              <w:spacing w:before="0"/>
              <w:rPr>
                <w:i/>
              </w:rPr>
            </w:pPr>
            <w:r>
              <w:rPr>
                <w:i/>
              </w:rPr>
              <w:t>Argyrosomus hololepidotus</w:t>
            </w:r>
          </w:p>
        </w:tc>
      </w:tr>
      <w:tr>
        <w:tc>
          <w:tcPr>
            <w:tcW w:w="3542" w:type="dxa"/>
            <w:tcMar>
              <w:top w:w="28" w:type="dxa"/>
              <w:left w:w="85" w:type="dxa"/>
            </w:tcMar>
          </w:tcPr>
          <w:p>
            <w:pPr>
              <w:pStyle w:val="yTableNAm"/>
              <w:tabs>
                <w:tab w:val="clear" w:pos="567"/>
                <w:tab w:val="right" w:leader="dot" w:pos="3316"/>
              </w:tabs>
              <w:spacing w:before="0"/>
            </w:pPr>
            <w:r>
              <w:t xml:space="preserve">Mulloway, Northern </w:t>
            </w:r>
            <w:r>
              <w:tab/>
            </w:r>
          </w:p>
        </w:tc>
        <w:tc>
          <w:tcPr>
            <w:tcW w:w="3543" w:type="dxa"/>
            <w:tcMar>
              <w:top w:w="28" w:type="dxa"/>
              <w:left w:w="85" w:type="dxa"/>
            </w:tcMar>
          </w:tcPr>
          <w:p>
            <w:pPr>
              <w:pStyle w:val="yTableNAm"/>
              <w:spacing w:before="0"/>
              <w:rPr>
                <w:i/>
              </w:rPr>
            </w:pPr>
            <w:r>
              <w:rPr>
                <w:i/>
              </w:rPr>
              <w:t>Protonibea diacanthus</w:t>
            </w:r>
          </w:p>
        </w:tc>
      </w:tr>
      <w:tr>
        <w:tc>
          <w:tcPr>
            <w:tcW w:w="3542" w:type="dxa"/>
            <w:tcMar>
              <w:top w:w="28" w:type="dxa"/>
              <w:left w:w="85" w:type="dxa"/>
            </w:tcMar>
          </w:tcPr>
          <w:p>
            <w:pPr>
              <w:pStyle w:val="yTableNAm"/>
              <w:tabs>
                <w:tab w:val="clear" w:pos="567"/>
                <w:tab w:val="right" w:leader="dot" w:pos="3316"/>
              </w:tabs>
              <w:spacing w:before="0"/>
            </w:pPr>
            <w:r>
              <w:t xml:space="preserve">Nannygai </w:t>
            </w:r>
            <w:r>
              <w:tab/>
            </w:r>
          </w:p>
        </w:tc>
        <w:tc>
          <w:tcPr>
            <w:tcW w:w="3543" w:type="dxa"/>
            <w:tcMar>
              <w:top w:w="28" w:type="dxa"/>
              <w:left w:w="85" w:type="dxa"/>
            </w:tcMar>
          </w:tcPr>
          <w:p>
            <w:pPr>
              <w:pStyle w:val="yTableNAm"/>
              <w:spacing w:before="0"/>
              <w:rPr>
                <w:i/>
              </w:rPr>
            </w:pPr>
            <w:r>
              <w:rPr>
                <w:i/>
              </w:rPr>
              <w:t>Centroberyx</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Parrot Fish </w:t>
            </w:r>
            <w:r>
              <w:tab/>
            </w:r>
          </w:p>
        </w:tc>
        <w:tc>
          <w:tcPr>
            <w:tcW w:w="3543" w:type="dxa"/>
            <w:tcMar>
              <w:top w:w="28" w:type="dxa"/>
              <w:left w:w="85" w:type="dxa"/>
            </w:tcMar>
          </w:tcPr>
          <w:p>
            <w:pPr>
              <w:pStyle w:val="yTableNAm"/>
              <w:spacing w:before="0"/>
            </w:pPr>
            <w:r>
              <w:rPr>
                <w:u w:val="single"/>
              </w:rPr>
              <w:t>Family</w:t>
            </w:r>
            <w:r>
              <w:t xml:space="preserve"> Scaridae</w:t>
            </w:r>
          </w:p>
        </w:tc>
      </w:tr>
      <w:tr>
        <w:tc>
          <w:tcPr>
            <w:tcW w:w="3542" w:type="dxa"/>
            <w:tcMar>
              <w:top w:w="28" w:type="dxa"/>
              <w:left w:w="85" w:type="dxa"/>
            </w:tcMar>
          </w:tcPr>
          <w:p>
            <w:pPr>
              <w:pStyle w:val="yTableNAm"/>
              <w:tabs>
                <w:tab w:val="clear" w:pos="567"/>
                <w:tab w:val="right" w:leader="dot" w:pos="3316"/>
              </w:tabs>
              <w:spacing w:before="0"/>
            </w:pPr>
            <w:r>
              <w:t xml:space="preserve">Pearl Perch </w:t>
            </w:r>
            <w:r>
              <w:tab/>
            </w:r>
          </w:p>
        </w:tc>
        <w:tc>
          <w:tcPr>
            <w:tcW w:w="3543" w:type="dxa"/>
            <w:tcMar>
              <w:top w:w="28" w:type="dxa"/>
              <w:left w:w="85" w:type="dxa"/>
            </w:tcMar>
          </w:tcPr>
          <w:p>
            <w:pPr>
              <w:pStyle w:val="yTableNAm"/>
              <w:spacing w:before="0"/>
            </w:pPr>
            <w:r>
              <w:rPr>
                <w:i/>
              </w:rPr>
              <w:t xml:space="preserve">Glaucosoma </w:t>
            </w:r>
            <w:r>
              <w:t>spp., excluding</w:t>
            </w:r>
            <w:r>
              <w:rPr>
                <w:i/>
              </w:rPr>
              <w:t xml:space="preserve"> G. hebraicum</w:t>
            </w:r>
          </w:p>
        </w:tc>
      </w:tr>
      <w:tr>
        <w:tc>
          <w:tcPr>
            <w:tcW w:w="3542" w:type="dxa"/>
            <w:tcMar>
              <w:top w:w="28" w:type="dxa"/>
              <w:left w:w="85" w:type="dxa"/>
            </w:tcMar>
          </w:tcPr>
          <w:p>
            <w:pPr>
              <w:pStyle w:val="yTableNAm"/>
              <w:tabs>
                <w:tab w:val="clear" w:pos="567"/>
                <w:tab w:val="right" w:leader="dot" w:pos="3316"/>
              </w:tabs>
              <w:spacing w:before="0"/>
            </w:pPr>
            <w:r>
              <w:t>Pike, Long</w:t>
            </w:r>
            <w:r>
              <w:noBreakHyphen/>
              <w:t xml:space="preserve">finned </w:t>
            </w:r>
            <w:r>
              <w:tab/>
            </w:r>
          </w:p>
        </w:tc>
        <w:tc>
          <w:tcPr>
            <w:tcW w:w="3543" w:type="dxa"/>
            <w:tcMar>
              <w:top w:w="28" w:type="dxa"/>
              <w:left w:w="85" w:type="dxa"/>
            </w:tcMar>
          </w:tcPr>
          <w:p>
            <w:pPr>
              <w:pStyle w:val="yTableNAm"/>
              <w:spacing w:before="0"/>
              <w:rPr>
                <w:i/>
              </w:rPr>
            </w:pPr>
            <w:r>
              <w:rPr>
                <w:i/>
              </w:rPr>
              <w:t>Dinolestes lewini</w:t>
            </w:r>
          </w:p>
        </w:tc>
      </w:tr>
      <w:tr>
        <w:tc>
          <w:tcPr>
            <w:tcW w:w="3542" w:type="dxa"/>
            <w:tcMar>
              <w:top w:w="28" w:type="dxa"/>
              <w:left w:w="85" w:type="dxa"/>
            </w:tcMar>
          </w:tcPr>
          <w:p>
            <w:pPr>
              <w:pStyle w:val="yTableNAm"/>
              <w:tabs>
                <w:tab w:val="clear" w:pos="567"/>
                <w:tab w:val="right" w:leader="dot" w:pos="3316"/>
              </w:tabs>
              <w:spacing w:before="0"/>
            </w:pPr>
            <w:r>
              <w:t xml:space="preserve">Pike, Striped Sea </w:t>
            </w:r>
            <w:r>
              <w:tab/>
            </w:r>
          </w:p>
        </w:tc>
        <w:tc>
          <w:tcPr>
            <w:tcW w:w="3543" w:type="dxa"/>
            <w:tcMar>
              <w:top w:w="28" w:type="dxa"/>
              <w:left w:w="85" w:type="dxa"/>
            </w:tcMar>
          </w:tcPr>
          <w:p>
            <w:pPr>
              <w:pStyle w:val="yTableNAm"/>
              <w:spacing w:before="0"/>
              <w:rPr>
                <w:i/>
              </w:rPr>
            </w:pPr>
            <w:r>
              <w:rPr>
                <w:i/>
              </w:rPr>
              <w:t>Sphyraena obtusata</w:t>
            </w:r>
          </w:p>
        </w:tc>
      </w:tr>
      <w:tr>
        <w:tc>
          <w:tcPr>
            <w:tcW w:w="3542" w:type="dxa"/>
            <w:tcMar>
              <w:top w:w="28" w:type="dxa"/>
              <w:left w:w="85" w:type="dxa"/>
            </w:tcMar>
          </w:tcPr>
          <w:p>
            <w:pPr>
              <w:pStyle w:val="yTableNAm"/>
              <w:tabs>
                <w:tab w:val="clear" w:pos="567"/>
                <w:tab w:val="right" w:leader="dot" w:pos="3316"/>
              </w:tabs>
              <w:spacing w:before="0"/>
            </w:pPr>
            <w:r>
              <w:t xml:space="preserve">Pilchard (Mulie) </w:t>
            </w:r>
            <w:r>
              <w:tab/>
            </w:r>
          </w:p>
        </w:tc>
        <w:tc>
          <w:tcPr>
            <w:tcW w:w="3543" w:type="dxa"/>
            <w:tcMar>
              <w:top w:w="28" w:type="dxa"/>
              <w:left w:w="85" w:type="dxa"/>
            </w:tcMar>
          </w:tcPr>
          <w:p>
            <w:pPr>
              <w:pStyle w:val="yTableNAm"/>
              <w:spacing w:before="0"/>
              <w:rPr>
                <w:i/>
              </w:rPr>
            </w:pPr>
            <w:r>
              <w:rPr>
                <w:i/>
              </w:rPr>
              <w:t>Sardinops neopilchardus</w:t>
            </w:r>
          </w:p>
        </w:tc>
      </w:tr>
      <w:tr>
        <w:tc>
          <w:tcPr>
            <w:tcW w:w="3542" w:type="dxa"/>
            <w:tcMar>
              <w:top w:w="28" w:type="dxa"/>
              <w:left w:w="85" w:type="dxa"/>
            </w:tcMar>
          </w:tcPr>
          <w:p>
            <w:pPr>
              <w:pStyle w:val="yTableNAm"/>
              <w:tabs>
                <w:tab w:val="clear" w:pos="567"/>
                <w:tab w:val="right" w:leader="dot" w:pos="3316"/>
              </w:tabs>
              <w:spacing w:before="0"/>
            </w:pPr>
            <w:r>
              <w:t xml:space="preserve">Queenfish </w:t>
            </w:r>
            <w:r>
              <w:tab/>
            </w:r>
          </w:p>
        </w:tc>
        <w:tc>
          <w:tcPr>
            <w:tcW w:w="3543" w:type="dxa"/>
            <w:tcMar>
              <w:top w:w="28" w:type="dxa"/>
              <w:left w:w="85" w:type="dxa"/>
            </w:tcMar>
          </w:tcPr>
          <w:p>
            <w:pPr>
              <w:pStyle w:val="yTableNAm"/>
              <w:spacing w:before="0"/>
              <w:rPr>
                <w:i/>
              </w:rPr>
            </w:pPr>
            <w:r>
              <w:rPr>
                <w:i/>
              </w:rPr>
              <w:t>Scomberoides commersonnianus</w:t>
            </w:r>
          </w:p>
        </w:tc>
      </w:tr>
      <w:tr>
        <w:tc>
          <w:tcPr>
            <w:tcW w:w="3542" w:type="dxa"/>
            <w:tcMar>
              <w:top w:w="28" w:type="dxa"/>
              <w:left w:w="85" w:type="dxa"/>
            </w:tcMar>
          </w:tcPr>
          <w:p>
            <w:pPr>
              <w:pStyle w:val="yTableNAm"/>
              <w:tabs>
                <w:tab w:val="clear" w:pos="567"/>
                <w:tab w:val="right" w:leader="dot" w:pos="3316"/>
              </w:tabs>
              <w:spacing w:before="0"/>
            </w:pPr>
            <w:r>
              <w:t xml:space="preserve">Ray, Eagle </w:t>
            </w:r>
            <w:r>
              <w:tab/>
            </w:r>
          </w:p>
        </w:tc>
        <w:tc>
          <w:tcPr>
            <w:tcW w:w="3543" w:type="dxa"/>
            <w:tcMar>
              <w:top w:w="28" w:type="dxa"/>
              <w:left w:w="85" w:type="dxa"/>
            </w:tcMar>
          </w:tcPr>
          <w:p>
            <w:pPr>
              <w:pStyle w:val="yTableNAm"/>
              <w:spacing w:before="0"/>
            </w:pPr>
            <w:r>
              <w:rPr>
                <w:u w:val="single"/>
              </w:rPr>
              <w:t>Family</w:t>
            </w:r>
            <w:r>
              <w:t xml:space="preserve"> Myliobatididae</w:t>
            </w:r>
          </w:p>
        </w:tc>
      </w:tr>
      <w:tr>
        <w:tc>
          <w:tcPr>
            <w:tcW w:w="3542" w:type="dxa"/>
            <w:tcMar>
              <w:top w:w="28" w:type="dxa"/>
              <w:left w:w="85" w:type="dxa"/>
            </w:tcMar>
          </w:tcPr>
          <w:p>
            <w:pPr>
              <w:pStyle w:val="yTableNAm"/>
              <w:tabs>
                <w:tab w:val="clear" w:pos="567"/>
                <w:tab w:val="right" w:leader="dot" w:pos="3316"/>
              </w:tabs>
              <w:spacing w:before="0"/>
            </w:pPr>
            <w:r>
              <w:t xml:space="preserve">Ray, Manta </w:t>
            </w:r>
            <w:r>
              <w:tab/>
            </w:r>
          </w:p>
        </w:tc>
        <w:tc>
          <w:tcPr>
            <w:tcW w:w="3543" w:type="dxa"/>
            <w:tcMar>
              <w:top w:w="28" w:type="dxa"/>
              <w:left w:w="85" w:type="dxa"/>
            </w:tcMar>
          </w:tcPr>
          <w:p>
            <w:pPr>
              <w:pStyle w:val="yTableNAm"/>
              <w:spacing w:before="0"/>
              <w:rPr>
                <w:i/>
              </w:rPr>
            </w:pPr>
            <w:r>
              <w:rPr>
                <w:i/>
              </w:rPr>
              <w:t>Manta birostris</w:t>
            </w:r>
          </w:p>
        </w:tc>
      </w:tr>
      <w:tr>
        <w:tc>
          <w:tcPr>
            <w:tcW w:w="3542" w:type="dxa"/>
            <w:tcMar>
              <w:top w:w="28" w:type="dxa"/>
              <w:left w:w="85" w:type="dxa"/>
            </w:tcMar>
          </w:tcPr>
          <w:p>
            <w:pPr>
              <w:pStyle w:val="yTableNAm"/>
              <w:tabs>
                <w:tab w:val="clear" w:pos="567"/>
                <w:tab w:val="right" w:leader="dot" w:pos="3316"/>
              </w:tabs>
              <w:spacing w:before="0"/>
            </w:pPr>
            <w:r>
              <w:t xml:space="preserve">Rays </w:t>
            </w:r>
            <w:r>
              <w:tab/>
            </w:r>
          </w:p>
        </w:tc>
        <w:tc>
          <w:tcPr>
            <w:tcW w:w="3543" w:type="dxa"/>
            <w:tcMar>
              <w:top w:w="28" w:type="dxa"/>
              <w:left w:w="85" w:type="dxa"/>
            </w:tcMar>
          </w:tcPr>
          <w:p>
            <w:pPr>
              <w:pStyle w:val="yTableNAm"/>
              <w:spacing w:before="0"/>
            </w:pPr>
            <w:r>
              <w:rPr>
                <w:u w:val="single"/>
              </w:rPr>
              <w:t>Superorder</w:t>
            </w:r>
            <w:r>
              <w:t xml:space="preserve"> Batoidea</w:t>
            </w:r>
          </w:p>
        </w:tc>
      </w:tr>
      <w:tr>
        <w:tc>
          <w:tcPr>
            <w:tcW w:w="3542" w:type="dxa"/>
            <w:tcMar>
              <w:top w:w="28" w:type="dxa"/>
              <w:left w:w="85" w:type="dxa"/>
            </w:tcMar>
          </w:tcPr>
          <w:p>
            <w:pPr>
              <w:pStyle w:val="yTableNAm"/>
              <w:tabs>
                <w:tab w:val="clear" w:pos="567"/>
                <w:tab w:val="right" w:leader="dot" w:pos="3316"/>
              </w:tabs>
              <w:spacing w:before="0"/>
            </w:pPr>
            <w:r>
              <w:t xml:space="preserve">Redbait </w:t>
            </w:r>
            <w:r>
              <w:tab/>
            </w:r>
          </w:p>
        </w:tc>
        <w:tc>
          <w:tcPr>
            <w:tcW w:w="3543" w:type="dxa"/>
            <w:tcMar>
              <w:top w:w="28" w:type="dxa"/>
              <w:left w:w="85" w:type="dxa"/>
            </w:tcMar>
          </w:tcPr>
          <w:p>
            <w:pPr>
              <w:pStyle w:val="yTableNAm"/>
              <w:spacing w:before="0"/>
              <w:rPr>
                <w:i/>
              </w:rPr>
            </w:pPr>
            <w:r>
              <w:rPr>
                <w:i/>
              </w:rPr>
              <w:t>Emmelichthys nitidus</w:t>
            </w:r>
          </w:p>
        </w:tc>
      </w:tr>
      <w:tr>
        <w:tc>
          <w:tcPr>
            <w:tcW w:w="3542" w:type="dxa"/>
            <w:tcMar>
              <w:top w:w="28" w:type="dxa"/>
              <w:left w:w="85" w:type="dxa"/>
            </w:tcMar>
          </w:tcPr>
          <w:p>
            <w:pPr>
              <w:pStyle w:val="yTableNAm"/>
              <w:tabs>
                <w:tab w:val="clear" w:pos="567"/>
                <w:tab w:val="right" w:leader="dot" w:pos="3316"/>
              </w:tabs>
              <w:spacing w:before="0"/>
            </w:pPr>
            <w:r>
              <w:t xml:space="preserve">Salmon, </w:t>
            </w:r>
            <w:smartTag w:uri="urn:schemas-microsoft-com:office:smarttags" w:element="place">
              <w:r>
                <w:t>Atlantic</w:t>
              </w:r>
            </w:smartTag>
            <w:r>
              <w:t xml:space="preserve"> </w:t>
            </w:r>
            <w:r>
              <w:tab/>
            </w:r>
          </w:p>
        </w:tc>
        <w:tc>
          <w:tcPr>
            <w:tcW w:w="3543" w:type="dxa"/>
            <w:tcMar>
              <w:top w:w="28" w:type="dxa"/>
              <w:left w:w="85" w:type="dxa"/>
            </w:tcMar>
          </w:tcPr>
          <w:p>
            <w:pPr>
              <w:pStyle w:val="yTableNAm"/>
              <w:spacing w:before="0"/>
              <w:rPr>
                <w:i/>
              </w:rPr>
            </w:pPr>
            <w:r>
              <w:rPr>
                <w:i/>
              </w:rPr>
              <w:t>Salmo salar</w:t>
            </w:r>
          </w:p>
        </w:tc>
      </w:tr>
      <w:tr>
        <w:tc>
          <w:tcPr>
            <w:tcW w:w="3542" w:type="dxa"/>
            <w:tcMar>
              <w:top w:w="28" w:type="dxa"/>
              <w:left w:w="85" w:type="dxa"/>
            </w:tcMar>
          </w:tcPr>
          <w:p>
            <w:pPr>
              <w:pStyle w:val="yTableNAm"/>
              <w:tabs>
                <w:tab w:val="clear" w:pos="567"/>
                <w:tab w:val="right" w:leader="dot" w:pos="3316"/>
              </w:tabs>
              <w:spacing w:before="0"/>
            </w:pPr>
            <w:r>
              <w:t xml:space="preserve">Salmon, Australian </w:t>
            </w:r>
            <w:r>
              <w:tab/>
            </w:r>
          </w:p>
        </w:tc>
        <w:tc>
          <w:tcPr>
            <w:tcW w:w="3543" w:type="dxa"/>
            <w:tcMar>
              <w:top w:w="28" w:type="dxa"/>
              <w:left w:w="85" w:type="dxa"/>
            </w:tcMar>
          </w:tcPr>
          <w:p>
            <w:pPr>
              <w:pStyle w:val="yTableNAm"/>
              <w:spacing w:before="0"/>
              <w:rPr>
                <w:i/>
              </w:rPr>
            </w:pPr>
            <w:r>
              <w:rPr>
                <w:i/>
              </w:rPr>
              <w:t>Arripis truttaceus</w:t>
            </w:r>
          </w:p>
        </w:tc>
      </w:tr>
      <w:tr>
        <w:tc>
          <w:tcPr>
            <w:tcW w:w="3542" w:type="dxa"/>
            <w:tcMar>
              <w:top w:w="28" w:type="dxa"/>
              <w:left w:w="85" w:type="dxa"/>
            </w:tcMar>
          </w:tcPr>
          <w:p>
            <w:pPr>
              <w:pStyle w:val="yTableNAm"/>
              <w:tabs>
                <w:tab w:val="clear" w:pos="567"/>
                <w:tab w:val="right" w:leader="dot" w:pos="3316"/>
              </w:tabs>
              <w:spacing w:before="0"/>
            </w:pPr>
            <w:r>
              <w:t xml:space="preserve">Samson Fish (Sea Kingfish) </w:t>
            </w:r>
            <w:r>
              <w:tab/>
            </w:r>
          </w:p>
        </w:tc>
        <w:tc>
          <w:tcPr>
            <w:tcW w:w="3543" w:type="dxa"/>
            <w:tcMar>
              <w:top w:w="28" w:type="dxa"/>
              <w:left w:w="85" w:type="dxa"/>
            </w:tcMar>
          </w:tcPr>
          <w:p>
            <w:pPr>
              <w:pStyle w:val="yTableNAm"/>
              <w:spacing w:before="0"/>
              <w:rPr>
                <w:i/>
              </w:rPr>
            </w:pPr>
            <w:r>
              <w:rPr>
                <w:i/>
              </w:rPr>
              <w:t>Seriola hippos</w:t>
            </w:r>
          </w:p>
        </w:tc>
      </w:tr>
      <w:tr>
        <w:tc>
          <w:tcPr>
            <w:tcW w:w="3542" w:type="dxa"/>
            <w:tcMar>
              <w:top w:w="28" w:type="dxa"/>
              <w:left w:w="85" w:type="dxa"/>
            </w:tcMar>
          </w:tcPr>
          <w:p>
            <w:pPr>
              <w:pStyle w:val="yTableNAm"/>
              <w:tabs>
                <w:tab w:val="clear" w:pos="567"/>
                <w:tab w:val="right" w:leader="dot" w:pos="3316"/>
              </w:tabs>
              <w:spacing w:before="0"/>
            </w:pPr>
            <w:r>
              <w:t xml:space="preserve">Scad, Yellowtail </w:t>
            </w:r>
            <w:r>
              <w:tab/>
            </w:r>
          </w:p>
        </w:tc>
        <w:tc>
          <w:tcPr>
            <w:tcW w:w="3543" w:type="dxa"/>
            <w:tcMar>
              <w:top w:w="28" w:type="dxa"/>
              <w:left w:w="85" w:type="dxa"/>
            </w:tcMar>
          </w:tcPr>
          <w:p>
            <w:pPr>
              <w:pStyle w:val="yTableNAm"/>
              <w:spacing w:before="0"/>
              <w:rPr>
                <w:i/>
              </w:rPr>
            </w:pPr>
            <w:r>
              <w:rPr>
                <w:i/>
              </w:rPr>
              <w:t>Trachurus novaezelandiae</w:t>
            </w:r>
          </w:p>
        </w:tc>
      </w:tr>
      <w:tr>
        <w:tc>
          <w:tcPr>
            <w:tcW w:w="3542" w:type="dxa"/>
            <w:tcMar>
              <w:top w:w="28" w:type="dxa"/>
              <w:left w:w="85" w:type="dxa"/>
            </w:tcMar>
          </w:tcPr>
          <w:p>
            <w:pPr>
              <w:pStyle w:val="yTableNAm"/>
              <w:tabs>
                <w:tab w:val="clear" w:pos="567"/>
                <w:tab w:val="right" w:leader="dot" w:pos="3316"/>
              </w:tabs>
              <w:spacing w:before="0"/>
            </w:pPr>
            <w:r>
              <w:t xml:space="preserve">Seadragon, Leafy </w:t>
            </w:r>
            <w:r>
              <w:tab/>
            </w:r>
          </w:p>
        </w:tc>
        <w:tc>
          <w:tcPr>
            <w:tcW w:w="3543" w:type="dxa"/>
            <w:tcMar>
              <w:top w:w="28" w:type="dxa"/>
              <w:left w:w="85" w:type="dxa"/>
            </w:tcMar>
          </w:tcPr>
          <w:p>
            <w:pPr>
              <w:pStyle w:val="yTableNAm"/>
              <w:spacing w:before="0"/>
              <w:rPr>
                <w:i/>
              </w:rPr>
            </w:pPr>
            <w:r>
              <w:rPr>
                <w:i/>
              </w:rPr>
              <w:t>Phycodurus eques</w:t>
            </w:r>
          </w:p>
        </w:tc>
      </w:tr>
      <w:tr>
        <w:tc>
          <w:tcPr>
            <w:tcW w:w="3542" w:type="dxa"/>
            <w:tcMar>
              <w:top w:w="28" w:type="dxa"/>
              <w:left w:w="85" w:type="dxa"/>
            </w:tcMar>
          </w:tcPr>
          <w:p>
            <w:pPr>
              <w:pStyle w:val="yTableNAm"/>
              <w:tabs>
                <w:tab w:val="clear" w:pos="567"/>
                <w:tab w:val="right" w:leader="dot" w:pos="3316"/>
              </w:tabs>
              <w:spacing w:before="0"/>
            </w:pPr>
            <w:r>
              <w:t xml:space="preserve">Seadragon, Weedy </w:t>
            </w:r>
            <w:r>
              <w:tab/>
            </w:r>
          </w:p>
        </w:tc>
        <w:tc>
          <w:tcPr>
            <w:tcW w:w="3543" w:type="dxa"/>
            <w:tcMar>
              <w:top w:w="28" w:type="dxa"/>
              <w:left w:w="85" w:type="dxa"/>
            </w:tcMar>
          </w:tcPr>
          <w:p>
            <w:pPr>
              <w:pStyle w:val="yTableNAm"/>
              <w:spacing w:before="0"/>
              <w:rPr>
                <w:i/>
              </w:rPr>
            </w:pPr>
            <w:r>
              <w:rPr>
                <w:i/>
              </w:rPr>
              <w:t>Phyllopteryx taeniolatus</w:t>
            </w:r>
          </w:p>
        </w:tc>
      </w:tr>
      <w:tr>
        <w:tc>
          <w:tcPr>
            <w:tcW w:w="3542" w:type="dxa"/>
            <w:tcMar>
              <w:top w:w="28" w:type="dxa"/>
              <w:left w:w="85" w:type="dxa"/>
            </w:tcMar>
          </w:tcPr>
          <w:p>
            <w:pPr>
              <w:pStyle w:val="yTableNAm"/>
              <w:tabs>
                <w:tab w:val="clear" w:pos="567"/>
                <w:tab w:val="right" w:leader="dot" w:pos="3316"/>
              </w:tabs>
              <w:spacing w:before="0"/>
            </w:pPr>
            <w:r>
              <w:t xml:space="preserve">Sea Perch, Crimson </w:t>
            </w:r>
            <w:r>
              <w:tab/>
            </w:r>
          </w:p>
        </w:tc>
        <w:tc>
          <w:tcPr>
            <w:tcW w:w="3543" w:type="dxa"/>
            <w:tcMar>
              <w:top w:w="28" w:type="dxa"/>
              <w:left w:w="85" w:type="dxa"/>
            </w:tcMar>
          </w:tcPr>
          <w:p>
            <w:pPr>
              <w:pStyle w:val="yTableNAm"/>
              <w:spacing w:before="0"/>
              <w:rPr>
                <w:i/>
              </w:rPr>
            </w:pPr>
            <w:r>
              <w:rPr>
                <w:i/>
              </w:rPr>
              <w:t>Lutjanus erythropterus</w:t>
            </w:r>
          </w:p>
        </w:tc>
      </w:tr>
      <w:tr>
        <w:tc>
          <w:tcPr>
            <w:tcW w:w="3542" w:type="dxa"/>
            <w:tcMar>
              <w:top w:w="28" w:type="dxa"/>
              <w:left w:w="85" w:type="dxa"/>
            </w:tcMar>
          </w:tcPr>
          <w:p>
            <w:pPr>
              <w:pStyle w:val="yTableNAm"/>
              <w:tabs>
                <w:tab w:val="clear" w:pos="567"/>
                <w:tab w:val="right" w:leader="dot" w:pos="3316"/>
              </w:tabs>
              <w:spacing w:before="0"/>
            </w:pPr>
            <w:r>
              <w:t xml:space="preserve">Sea Perch, Scarlett </w:t>
            </w:r>
            <w:r>
              <w:tab/>
            </w:r>
          </w:p>
        </w:tc>
        <w:tc>
          <w:tcPr>
            <w:tcW w:w="3543" w:type="dxa"/>
            <w:tcMar>
              <w:top w:w="28" w:type="dxa"/>
              <w:left w:w="85" w:type="dxa"/>
            </w:tcMar>
          </w:tcPr>
          <w:p>
            <w:pPr>
              <w:pStyle w:val="yTableNAm"/>
              <w:spacing w:before="0"/>
              <w:rPr>
                <w:i/>
              </w:rPr>
            </w:pPr>
            <w:r>
              <w:rPr>
                <w:i/>
              </w:rPr>
              <w:t>Lutjanus malabaricus</w:t>
            </w:r>
          </w:p>
        </w:tc>
      </w:tr>
      <w:tr>
        <w:tc>
          <w:tcPr>
            <w:tcW w:w="3542" w:type="dxa"/>
            <w:tcMar>
              <w:top w:w="28" w:type="dxa"/>
              <w:left w:w="85" w:type="dxa"/>
            </w:tcMar>
          </w:tcPr>
          <w:p>
            <w:pPr>
              <w:pStyle w:val="yTableNAm"/>
              <w:tabs>
                <w:tab w:val="clear" w:pos="567"/>
                <w:tab w:val="right" w:leader="dot" w:pos="3316"/>
              </w:tabs>
              <w:spacing w:before="0"/>
            </w:pPr>
            <w:r>
              <w:t xml:space="preserve">Sea Perch, Stripey </w:t>
            </w:r>
            <w:r>
              <w:tab/>
            </w:r>
          </w:p>
        </w:tc>
        <w:tc>
          <w:tcPr>
            <w:tcW w:w="3543" w:type="dxa"/>
            <w:tcMar>
              <w:top w:w="28" w:type="dxa"/>
              <w:left w:w="85" w:type="dxa"/>
            </w:tcMar>
          </w:tcPr>
          <w:p>
            <w:pPr>
              <w:pStyle w:val="yTableNAm"/>
              <w:spacing w:before="0"/>
              <w:rPr>
                <w:i/>
              </w:rPr>
            </w:pPr>
            <w:r>
              <w:rPr>
                <w:i/>
              </w:rPr>
              <w:t>Lutjanus carponotatus</w:t>
            </w:r>
          </w:p>
        </w:tc>
      </w:tr>
      <w:tr>
        <w:tc>
          <w:tcPr>
            <w:tcW w:w="3542" w:type="dxa"/>
            <w:tcMar>
              <w:top w:w="28" w:type="dxa"/>
              <w:left w:w="85" w:type="dxa"/>
            </w:tcMar>
          </w:tcPr>
          <w:p>
            <w:pPr>
              <w:pStyle w:val="yTableNAm"/>
              <w:tabs>
                <w:tab w:val="clear" w:pos="567"/>
                <w:tab w:val="right" w:leader="dot" w:pos="3316"/>
              </w:tabs>
              <w:spacing w:before="0"/>
            </w:pPr>
            <w:r>
              <w:t xml:space="preserve">Sea Perch, Tropical </w:t>
            </w:r>
            <w:r>
              <w:tab/>
            </w:r>
          </w:p>
        </w:tc>
        <w:tc>
          <w:tcPr>
            <w:tcW w:w="3543" w:type="dxa"/>
            <w:tcMar>
              <w:top w:w="28" w:type="dxa"/>
              <w:left w:w="85" w:type="dxa"/>
            </w:tcMar>
          </w:tcPr>
          <w:p>
            <w:pPr>
              <w:pStyle w:val="yTableNAm"/>
              <w:spacing w:before="0"/>
            </w:pPr>
            <w:r>
              <w:rPr>
                <w:u w:val="single"/>
              </w:rPr>
              <w:t>Family</w:t>
            </w:r>
            <w:r>
              <w:t xml:space="preserve"> Lutjanidae</w:t>
            </w:r>
          </w:p>
        </w:tc>
      </w:tr>
      <w:tr>
        <w:tc>
          <w:tcPr>
            <w:tcW w:w="3542" w:type="dxa"/>
            <w:tcMar>
              <w:top w:w="28" w:type="dxa"/>
              <w:left w:w="85" w:type="dxa"/>
            </w:tcMar>
          </w:tcPr>
          <w:p>
            <w:pPr>
              <w:pStyle w:val="yTableNAm"/>
              <w:tabs>
                <w:tab w:val="clear" w:pos="567"/>
                <w:tab w:val="right" w:leader="dot" w:pos="3316"/>
              </w:tabs>
              <w:spacing w:before="0"/>
            </w:pPr>
            <w:r>
              <w:t xml:space="preserve">Shark, Dusky </w:t>
            </w:r>
            <w:r>
              <w:tab/>
            </w:r>
          </w:p>
        </w:tc>
        <w:tc>
          <w:tcPr>
            <w:tcW w:w="3543" w:type="dxa"/>
            <w:tcMar>
              <w:top w:w="28" w:type="dxa"/>
              <w:left w:w="85" w:type="dxa"/>
            </w:tcMar>
          </w:tcPr>
          <w:p>
            <w:pPr>
              <w:pStyle w:val="yTableNAm"/>
              <w:spacing w:before="0"/>
              <w:rPr>
                <w:i/>
              </w:rPr>
            </w:pPr>
            <w:r>
              <w:rPr>
                <w:i/>
              </w:rPr>
              <w:t>Carcharhinus obscurus</w:t>
            </w:r>
          </w:p>
        </w:tc>
      </w:tr>
      <w:tr>
        <w:tc>
          <w:tcPr>
            <w:tcW w:w="3542" w:type="dxa"/>
            <w:tcMar>
              <w:top w:w="28" w:type="dxa"/>
              <w:left w:w="85" w:type="dxa"/>
            </w:tcMar>
          </w:tcPr>
          <w:p>
            <w:pPr>
              <w:pStyle w:val="yTableNAm"/>
              <w:tabs>
                <w:tab w:val="clear" w:pos="567"/>
                <w:tab w:val="right" w:leader="dot" w:pos="3316"/>
              </w:tabs>
              <w:spacing w:before="0"/>
            </w:pPr>
            <w:r>
              <w:t xml:space="preserve">Shark, Great White </w:t>
            </w:r>
            <w:r>
              <w:tab/>
            </w:r>
          </w:p>
        </w:tc>
        <w:tc>
          <w:tcPr>
            <w:tcW w:w="3543" w:type="dxa"/>
            <w:tcMar>
              <w:top w:w="28" w:type="dxa"/>
              <w:left w:w="85" w:type="dxa"/>
            </w:tcMar>
          </w:tcPr>
          <w:p>
            <w:pPr>
              <w:pStyle w:val="yTableNAm"/>
              <w:spacing w:before="0"/>
              <w:rPr>
                <w:i/>
              </w:rPr>
            </w:pPr>
            <w:r>
              <w:rPr>
                <w:i/>
              </w:rPr>
              <w:t>Carcharodon carcharias</w:t>
            </w:r>
          </w:p>
        </w:tc>
      </w:tr>
      <w:tr>
        <w:tc>
          <w:tcPr>
            <w:tcW w:w="3542" w:type="dxa"/>
            <w:tcMar>
              <w:top w:w="28" w:type="dxa"/>
              <w:left w:w="85" w:type="dxa"/>
            </w:tcMar>
          </w:tcPr>
          <w:p>
            <w:pPr>
              <w:pStyle w:val="yTableNAm"/>
              <w:tabs>
                <w:tab w:val="clear" w:pos="567"/>
                <w:tab w:val="right" w:leader="dot" w:pos="3316"/>
              </w:tabs>
              <w:spacing w:before="0"/>
            </w:pPr>
            <w:r>
              <w:t xml:space="preserve">Shark, Speartooth </w:t>
            </w:r>
            <w:r>
              <w:tab/>
            </w:r>
          </w:p>
        </w:tc>
        <w:tc>
          <w:tcPr>
            <w:tcW w:w="3543" w:type="dxa"/>
            <w:tcMar>
              <w:top w:w="28" w:type="dxa"/>
              <w:left w:w="85" w:type="dxa"/>
            </w:tcMar>
          </w:tcPr>
          <w:p>
            <w:pPr>
              <w:pStyle w:val="yTableNAm"/>
              <w:spacing w:before="0"/>
              <w:rPr>
                <w:i/>
              </w:rPr>
            </w:pPr>
            <w:r>
              <w:rPr>
                <w:i/>
              </w:rPr>
              <w:t xml:space="preserve">Glyphis </w:t>
            </w:r>
            <w:r>
              <w:t>spp.</w:t>
            </w:r>
          </w:p>
        </w:tc>
      </w:tr>
      <w:tr>
        <w:tc>
          <w:tcPr>
            <w:tcW w:w="3542" w:type="dxa"/>
            <w:tcMar>
              <w:top w:w="28" w:type="dxa"/>
              <w:left w:w="85" w:type="dxa"/>
            </w:tcMar>
          </w:tcPr>
          <w:p>
            <w:pPr>
              <w:pStyle w:val="yTableNAm"/>
              <w:tabs>
                <w:tab w:val="clear" w:pos="567"/>
                <w:tab w:val="right" w:leader="dot" w:pos="3316"/>
              </w:tabs>
              <w:spacing w:before="0"/>
            </w:pPr>
            <w:r>
              <w:t xml:space="preserve">Shark, Whale </w:t>
            </w:r>
            <w:r>
              <w:tab/>
            </w:r>
          </w:p>
        </w:tc>
        <w:tc>
          <w:tcPr>
            <w:tcW w:w="3543" w:type="dxa"/>
            <w:tcMar>
              <w:top w:w="28" w:type="dxa"/>
              <w:left w:w="85" w:type="dxa"/>
            </w:tcMar>
          </w:tcPr>
          <w:p>
            <w:pPr>
              <w:pStyle w:val="yTableNAm"/>
              <w:spacing w:before="0"/>
              <w:rPr>
                <w:i/>
              </w:rPr>
            </w:pPr>
            <w:r>
              <w:rPr>
                <w:i/>
              </w:rPr>
              <w:t>Rhiniodon typus</w:t>
            </w:r>
          </w:p>
        </w:tc>
      </w:tr>
      <w:tr>
        <w:tc>
          <w:tcPr>
            <w:tcW w:w="3542" w:type="dxa"/>
            <w:tcMar>
              <w:top w:w="28" w:type="dxa"/>
              <w:left w:w="85" w:type="dxa"/>
            </w:tcMar>
          </w:tcPr>
          <w:p>
            <w:pPr>
              <w:pStyle w:val="yTableNAm"/>
              <w:tabs>
                <w:tab w:val="clear" w:pos="567"/>
                <w:tab w:val="right" w:leader="dot" w:pos="3316"/>
              </w:tabs>
              <w:spacing w:before="0"/>
            </w:pPr>
            <w:r>
              <w:t xml:space="preserve">Shark, Whaler </w:t>
            </w:r>
            <w:r>
              <w:tab/>
            </w:r>
          </w:p>
        </w:tc>
        <w:tc>
          <w:tcPr>
            <w:tcW w:w="3543" w:type="dxa"/>
            <w:tcMar>
              <w:top w:w="28" w:type="dxa"/>
              <w:left w:w="85" w:type="dxa"/>
            </w:tcMar>
          </w:tcPr>
          <w:p>
            <w:pPr>
              <w:pStyle w:val="yTableNAm"/>
              <w:spacing w:before="0"/>
              <w:rPr>
                <w:iCs/>
              </w:rPr>
            </w:pPr>
            <w:r>
              <w:rPr>
                <w:iCs/>
                <w:u w:val="single"/>
              </w:rPr>
              <w:t>Family</w:t>
            </w:r>
            <w:r>
              <w:rPr>
                <w:iCs/>
              </w:rPr>
              <w:t xml:space="preserve"> Carcharhinidae</w:t>
            </w:r>
          </w:p>
        </w:tc>
      </w:tr>
      <w:tr>
        <w:tc>
          <w:tcPr>
            <w:tcW w:w="3542" w:type="dxa"/>
            <w:tcMar>
              <w:top w:w="28" w:type="dxa"/>
              <w:left w:w="85" w:type="dxa"/>
            </w:tcMar>
          </w:tcPr>
          <w:p>
            <w:pPr>
              <w:pStyle w:val="yTableNAm"/>
              <w:tabs>
                <w:tab w:val="clear" w:pos="567"/>
                <w:tab w:val="right" w:leader="dot" w:pos="3316"/>
              </w:tabs>
              <w:spacing w:before="0"/>
            </w:pPr>
            <w:r>
              <w:t xml:space="preserve">Sharks </w:t>
            </w:r>
            <w:r>
              <w:tab/>
            </w:r>
          </w:p>
        </w:tc>
        <w:tc>
          <w:tcPr>
            <w:tcW w:w="3543" w:type="dxa"/>
            <w:tcMar>
              <w:top w:w="28" w:type="dxa"/>
              <w:left w:w="85" w:type="dxa"/>
            </w:tcMar>
          </w:tcPr>
          <w:p>
            <w:pPr>
              <w:pStyle w:val="yTableNAm"/>
              <w:spacing w:before="0"/>
            </w:pPr>
            <w:r>
              <w:rPr>
                <w:u w:val="single"/>
              </w:rPr>
              <w:t>Orders</w:t>
            </w:r>
            <w:r>
              <w:t xml:space="preserve"> Squatiniformes, Pristiophoriformes, Squaliformes, Hexanchiformes, Carcharhiniformes, Lamniformes, Orectolobiformes and Heterodontiformes</w:t>
            </w:r>
          </w:p>
        </w:tc>
      </w:tr>
      <w:tr>
        <w:tc>
          <w:tcPr>
            <w:tcW w:w="3542" w:type="dxa"/>
            <w:tcMar>
              <w:top w:w="28" w:type="dxa"/>
              <w:left w:w="85" w:type="dxa"/>
            </w:tcMar>
          </w:tcPr>
          <w:p>
            <w:pPr>
              <w:pStyle w:val="yTableNAm"/>
              <w:tabs>
                <w:tab w:val="clear" w:pos="567"/>
                <w:tab w:val="right" w:leader="dot" w:pos="3316"/>
              </w:tabs>
              <w:spacing w:before="0"/>
            </w:pPr>
            <w:r>
              <w:t>Snapper, Deep water</w:t>
            </w:r>
            <w:r>
              <w:tab/>
            </w:r>
          </w:p>
        </w:tc>
        <w:tc>
          <w:tcPr>
            <w:tcW w:w="3543" w:type="dxa"/>
            <w:tcMar>
              <w:top w:w="28" w:type="dxa"/>
              <w:left w:w="85" w:type="dxa"/>
            </w:tcMar>
          </w:tcPr>
          <w:p>
            <w:pPr>
              <w:pStyle w:val="yTableNAm"/>
              <w:spacing w:before="0"/>
            </w:pPr>
            <w:r>
              <w:rPr>
                <w:i/>
                <w:iCs/>
              </w:rPr>
              <w:t>Pristipomoides</w:t>
            </w:r>
            <w:r>
              <w:t xml:space="preserve"> spp. and </w:t>
            </w:r>
            <w:r>
              <w:rPr>
                <w:i/>
                <w:iCs/>
              </w:rPr>
              <w:t>Etelis</w:t>
            </w:r>
            <w:r>
              <w:t xml:space="preserve"> spp.</w:t>
            </w:r>
          </w:p>
        </w:tc>
      </w:tr>
      <w:tr>
        <w:tc>
          <w:tcPr>
            <w:tcW w:w="3542" w:type="dxa"/>
            <w:tcMar>
              <w:top w:w="28" w:type="dxa"/>
              <w:left w:w="85" w:type="dxa"/>
            </w:tcMar>
          </w:tcPr>
          <w:p>
            <w:pPr>
              <w:pStyle w:val="yTableNAm"/>
              <w:tabs>
                <w:tab w:val="clear" w:pos="567"/>
                <w:tab w:val="right" w:leader="dot" w:pos="3316"/>
              </w:tabs>
              <w:spacing w:before="0"/>
            </w:pPr>
            <w:r>
              <w:t>Snapper, Goldband</w:t>
            </w:r>
            <w:r>
              <w:tab/>
            </w:r>
          </w:p>
        </w:tc>
        <w:tc>
          <w:tcPr>
            <w:tcW w:w="3543" w:type="dxa"/>
            <w:tcMar>
              <w:top w:w="28" w:type="dxa"/>
              <w:left w:w="85" w:type="dxa"/>
            </w:tcMar>
          </w:tcPr>
          <w:p>
            <w:pPr>
              <w:pStyle w:val="yTableNAm"/>
              <w:spacing w:before="0"/>
              <w:rPr>
                <w:i/>
                <w:iCs/>
              </w:rPr>
            </w:pPr>
            <w:r>
              <w:rPr>
                <w:i/>
                <w:iCs/>
              </w:rPr>
              <w:t>Pristipomoides multidens</w:t>
            </w:r>
          </w:p>
        </w:tc>
      </w:tr>
      <w:tr>
        <w:tc>
          <w:tcPr>
            <w:tcW w:w="3542" w:type="dxa"/>
            <w:tcMar>
              <w:top w:w="28" w:type="dxa"/>
              <w:left w:w="85" w:type="dxa"/>
            </w:tcMar>
          </w:tcPr>
          <w:p>
            <w:pPr>
              <w:pStyle w:val="yTableNAm"/>
              <w:tabs>
                <w:tab w:val="clear" w:pos="567"/>
                <w:tab w:val="right" w:leader="dot" w:pos="3316"/>
              </w:tabs>
              <w:spacing w:before="0"/>
            </w:pPr>
            <w:r>
              <w:t xml:space="preserve">Snapper, Northwest </w:t>
            </w:r>
            <w:r>
              <w:tab/>
            </w:r>
          </w:p>
        </w:tc>
        <w:tc>
          <w:tcPr>
            <w:tcW w:w="3543" w:type="dxa"/>
            <w:tcMar>
              <w:top w:w="28" w:type="dxa"/>
              <w:left w:w="85" w:type="dxa"/>
            </w:tcMar>
          </w:tcPr>
          <w:p>
            <w:pPr>
              <w:pStyle w:val="yTableNAm"/>
              <w:spacing w:before="0"/>
              <w:rPr>
                <w:i/>
              </w:rPr>
            </w:pPr>
            <w:r>
              <w:rPr>
                <w:i/>
              </w:rPr>
              <w:t xml:space="preserve">Lethrinus </w:t>
            </w:r>
            <w:r>
              <w:t xml:space="preserve">spp. excluding </w:t>
            </w:r>
            <w:r>
              <w:rPr>
                <w:i/>
              </w:rPr>
              <w:t>L. nebulosus</w:t>
            </w:r>
            <w:r>
              <w:rPr>
                <w:szCs w:val="22"/>
              </w:rPr>
              <w:t xml:space="preserve"> and</w:t>
            </w:r>
            <w:r>
              <w:rPr>
                <w:i/>
                <w:szCs w:val="22"/>
              </w:rPr>
              <w:t xml:space="preserve"> L. laticaudis</w:t>
            </w:r>
          </w:p>
        </w:tc>
      </w:tr>
      <w:tr>
        <w:tc>
          <w:tcPr>
            <w:tcW w:w="3542" w:type="dxa"/>
            <w:tcMar>
              <w:top w:w="28" w:type="dxa"/>
              <w:left w:w="85" w:type="dxa"/>
            </w:tcMar>
          </w:tcPr>
          <w:p>
            <w:pPr>
              <w:pStyle w:val="yTableNAm"/>
              <w:tabs>
                <w:tab w:val="clear" w:pos="567"/>
                <w:tab w:val="right" w:leader="dot" w:pos="3316"/>
              </w:tabs>
              <w:spacing w:before="0"/>
            </w:pPr>
            <w:r>
              <w:t xml:space="preserve">Snapper, Pink </w:t>
            </w:r>
            <w:r>
              <w:tab/>
            </w:r>
          </w:p>
        </w:tc>
        <w:tc>
          <w:tcPr>
            <w:tcW w:w="3543" w:type="dxa"/>
            <w:tcMar>
              <w:top w:w="28" w:type="dxa"/>
              <w:left w:w="85" w:type="dxa"/>
            </w:tcMar>
          </w:tcPr>
          <w:p>
            <w:pPr>
              <w:pStyle w:val="yTableNAm"/>
              <w:spacing w:before="0"/>
              <w:rPr>
                <w:i/>
              </w:rPr>
            </w:pPr>
            <w:r>
              <w:rPr>
                <w:i/>
              </w:rPr>
              <w:t>Pagrus auratus</w:t>
            </w:r>
          </w:p>
        </w:tc>
      </w:tr>
      <w:tr>
        <w:tc>
          <w:tcPr>
            <w:tcW w:w="3542" w:type="dxa"/>
            <w:tcMar>
              <w:top w:w="28" w:type="dxa"/>
              <w:left w:w="85" w:type="dxa"/>
            </w:tcMar>
          </w:tcPr>
          <w:p>
            <w:pPr>
              <w:pStyle w:val="yTableNAm"/>
              <w:tabs>
                <w:tab w:val="clear" w:pos="567"/>
                <w:tab w:val="right" w:leader="dot" w:pos="3316"/>
              </w:tabs>
              <w:spacing w:before="0"/>
            </w:pPr>
            <w:r>
              <w:t xml:space="preserve">Snapper, Queen (Blue Morwong) </w:t>
            </w:r>
            <w:r>
              <w:tab/>
            </w:r>
          </w:p>
        </w:tc>
        <w:tc>
          <w:tcPr>
            <w:tcW w:w="3543" w:type="dxa"/>
            <w:tcMar>
              <w:top w:w="28" w:type="dxa"/>
              <w:left w:w="85" w:type="dxa"/>
            </w:tcMar>
          </w:tcPr>
          <w:p>
            <w:pPr>
              <w:pStyle w:val="yTableNAm"/>
              <w:spacing w:before="0"/>
              <w:rPr>
                <w:i/>
              </w:rPr>
            </w:pPr>
            <w:r>
              <w:rPr>
                <w:i/>
              </w:rPr>
              <w:t>Nemadactylus valenciennesi</w:t>
            </w:r>
          </w:p>
        </w:tc>
      </w:tr>
      <w:tr>
        <w:tc>
          <w:tcPr>
            <w:tcW w:w="3542" w:type="dxa"/>
            <w:tcMar>
              <w:top w:w="28" w:type="dxa"/>
              <w:left w:w="85" w:type="dxa"/>
            </w:tcMar>
          </w:tcPr>
          <w:p>
            <w:pPr>
              <w:pStyle w:val="yTableNAm"/>
              <w:tabs>
                <w:tab w:val="clear" w:pos="567"/>
                <w:tab w:val="right" w:leader="dot" w:pos="3316"/>
              </w:tabs>
              <w:spacing w:before="0"/>
            </w:pPr>
            <w:r>
              <w:t xml:space="preserve">Snapper, Red (Redfish) </w:t>
            </w:r>
            <w:r>
              <w:tab/>
            </w:r>
          </w:p>
        </w:tc>
        <w:tc>
          <w:tcPr>
            <w:tcW w:w="3543" w:type="dxa"/>
            <w:tcMar>
              <w:top w:w="28" w:type="dxa"/>
              <w:left w:w="85" w:type="dxa"/>
            </w:tcMar>
          </w:tcPr>
          <w:p>
            <w:pPr>
              <w:pStyle w:val="yTableNAm"/>
              <w:spacing w:before="0"/>
              <w:rPr>
                <w:i/>
              </w:rPr>
            </w:pPr>
            <w:r>
              <w:rPr>
                <w:i/>
              </w:rPr>
              <w:t xml:space="preserve">Centroberyx </w:t>
            </w:r>
            <w:r>
              <w:t>spp</w:t>
            </w:r>
            <w:r>
              <w:rPr>
                <w:i/>
              </w:rPr>
              <w:t>.</w:t>
            </w:r>
          </w:p>
        </w:tc>
      </w:tr>
      <w:tr>
        <w:tc>
          <w:tcPr>
            <w:tcW w:w="3542" w:type="dxa"/>
            <w:tcMar>
              <w:top w:w="28" w:type="dxa"/>
              <w:left w:w="85" w:type="dxa"/>
            </w:tcMar>
          </w:tcPr>
          <w:p>
            <w:pPr>
              <w:pStyle w:val="yTableNAm"/>
              <w:tabs>
                <w:tab w:val="clear" w:pos="567"/>
                <w:tab w:val="right" w:leader="dot" w:pos="3316"/>
              </w:tabs>
              <w:spacing w:before="0"/>
            </w:pPr>
            <w:r>
              <w:t xml:space="preserve">Snook </w:t>
            </w:r>
            <w:r>
              <w:tab/>
            </w:r>
          </w:p>
        </w:tc>
        <w:tc>
          <w:tcPr>
            <w:tcW w:w="3543" w:type="dxa"/>
            <w:tcMar>
              <w:top w:w="28" w:type="dxa"/>
              <w:left w:w="85" w:type="dxa"/>
            </w:tcMar>
          </w:tcPr>
          <w:p>
            <w:pPr>
              <w:pStyle w:val="yTableNAm"/>
              <w:spacing w:before="0"/>
              <w:rPr>
                <w:i/>
              </w:rPr>
            </w:pPr>
            <w:r>
              <w:rPr>
                <w:i/>
              </w:rPr>
              <w:t>Sphyraena novaehollandiae</w:t>
            </w:r>
          </w:p>
        </w:tc>
      </w:tr>
      <w:tr>
        <w:tc>
          <w:tcPr>
            <w:tcW w:w="3542" w:type="dxa"/>
            <w:tcMar>
              <w:top w:w="28" w:type="dxa"/>
              <w:left w:w="85" w:type="dxa"/>
            </w:tcMar>
          </w:tcPr>
          <w:p>
            <w:pPr>
              <w:pStyle w:val="yTableNAm"/>
              <w:tabs>
                <w:tab w:val="clear" w:pos="567"/>
                <w:tab w:val="right" w:leader="dot" w:pos="3316"/>
              </w:tabs>
              <w:spacing w:before="0"/>
            </w:pPr>
            <w:r>
              <w:t xml:space="preserve">Sole </w:t>
            </w:r>
            <w:r>
              <w:tab/>
            </w:r>
          </w:p>
        </w:tc>
        <w:tc>
          <w:tcPr>
            <w:tcW w:w="3543" w:type="dxa"/>
            <w:tcMar>
              <w:top w:w="28" w:type="dxa"/>
              <w:left w:w="85" w:type="dxa"/>
            </w:tcMar>
          </w:tcPr>
          <w:p>
            <w:pPr>
              <w:pStyle w:val="yTableNAm"/>
              <w:spacing w:before="0"/>
            </w:pPr>
            <w:r>
              <w:rPr>
                <w:u w:val="single"/>
              </w:rPr>
              <w:t>Families</w:t>
            </w:r>
            <w:r>
              <w:t xml:space="preserve"> Soleidae and Cynoglossidae</w:t>
            </w:r>
          </w:p>
        </w:tc>
      </w:tr>
      <w:tr>
        <w:tc>
          <w:tcPr>
            <w:tcW w:w="3542" w:type="dxa"/>
            <w:tcMar>
              <w:top w:w="28" w:type="dxa"/>
              <w:left w:w="85" w:type="dxa"/>
            </w:tcMar>
          </w:tcPr>
          <w:p>
            <w:pPr>
              <w:pStyle w:val="yTableNAm"/>
              <w:tabs>
                <w:tab w:val="clear" w:pos="567"/>
                <w:tab w:val="right" w:leader="dot" w:pos="3316"/>
              </w:tabs>
              <w:spacing w:before="0"/>
            </w:pPr>
            <w:r>
              <w:t xml:space="preserve">Sprat, Blue </w:t>
            </w:r>
            <w:r>
              <w:tab/>
            </w:r>
          </w:p>
        </w:tc>
        <w:tc>
          <w:tcPr>
            <w:tcW w:w="3543" w:type="dxa"/>
            <w:tcMar>
              <w:top w:w="28" w:type="dxa"/>
              <w:left w:w="85" w:type="dxa"/>
            </w:tcMar>
          </w:tcPr>
          <w:p>
            <w:pPr>
              <w:pStyle w:val="yTableNAm"/>
              <w:spacing w:before="0"/>
              <w:rPr>
                <w:i/>
              </w:rPr>
            </w:pPr>
            <w:r>
              <w:rPr>
                <w:i/>
              </w:rPr>
              <w:t>Spratelloides robustus</w:t>
            </w:r>
          </w:p>
        </w:tc>
      </w:tr>
      <w:tr>
        <w:tc>
          <w:tcPr>
            <w:tcW w:w="3542" w:type="dxa"/>
            <w:tcMar>
              <w:top w:w="28" w:type="dxa"/>
              <w:left w:w="85" w:type="dxa"/>
            </w:tcMar>
          </w:tcPr>
          <w:p>
            <w:pPr>
              <w:pStyle w:val="yTableNAm"/>
              <w:tabs>
                <w:tab w:val="clear" w:pos="567"/>
                <w:tab w:val="right" w:leader="dot" w:pos="3316"/>
              </w:tabs>
              <w:spacing w:before="0"/>
            </w:pPr>
            <w:r>
              <w:t xml:space="preserve">Sprat, </w:t>
            </w:r>
            <w:smartTag w:uri="urn:schemas-microsoft-com:office:smarttags" w:element="place">
              <w:smartTag w:uri="urn:schemas-microsoft-com:office:smarttags" w:element="City">
                <w:r>
                  <w:t>Sandy</w:t>
                </w:r>
              </w:smartTag>
            </w:smartTag>
            <w:r>
              <w:t xml:space="preserve"> (Whitebait) </w:t>
            </w:r>
            <w:r>
              <w:tab/>
            </w:r>
          </w:p>
        </w:tc>
        <w:tc>
          <w:tcPr>
            <w:tcW w:w="3543" w:type="dxa"/>
            <w:tcMar>
              <w:top w:w="28" w:type="dxa"/>
              <w:left w:w="85" w:type="dxa"/>
            </w:tcMar>
          </w:tcPr>
          <w:p>
            <w:pPr>
              <w:pStyle w:val="yTableNAm"/>
              <w:spacing w:before="0"/>
              <w:rPr>
                <w:i/>
              </w:rPr>
            </w:pPr>
            <w:r>
              <w:rPr>
                <w:i/>
              </w:rPr>
              <w:t>Hyperlophus vittatus</w:t>
            </w:r>
          </w:p>
        </w:tc>
      </w:tr>
      <w:tr>
        <w:tc>
          <w:tcPr>
            <w:tcW w:w="3542" w:type="dxa"/>
            <w:tcMar>
              <w:top w:w="28" w:type="dxa"/>
              <w:left w:w="85" w:type="dxa"/>
            </w:tcMar>
          </w:tcPr>
          <w:p>
            <w:pPr>
              <w:pStyle w:val="yTableNAm"/>
              <w:tabs>
                <w:tab w:val="clear" w:pos="567"/>
                <w:tab w:val="right" w:leader="dot" w:pos="3316"/>
              </w:tabs>
              <w:spacing w:before="0"/>
            </w:pPr>
            <w:r>
              <w:t xml:space="preserve">Swallowtail </w:t>
            </w:r>
            <w:r>
              <w:tab/>
            </w:r>
          </w:p>
        </w:tc>
        <w:tc>
          <w:tcPr>
            <w:tcW w:w="3543" w:type="dxa"/>
            <w:tcMar>
              <w:top w:w="28" w:type="dxa"/>
              <w:left w:w="85" w:type="dxa"/>
            </w:tcMar>
          </w:tcPr>
          <w:p>
            <w:pPr>
              <w:pStyle w:val="yTableNAm"/>
              <w:spacing w:before="0"/>
              <w:rPr>
                <w:i/>
              </w:rPr>
            </w:pPr>
            <w:r>
              <w:rPr>
                <w:i/>
              </w:rPr>
              <w:t>Centroberyx lineatus</w:t>
            </w:r>
          </w:p>
        </w:tc>
      </w:tr>
      <w:tr>
        <w:tc>
          <w:tcPr>
            <w:tcW w:w="3542" w:type="dxa"/>
            <w:tcMar>
              <w:top w:w="28" w:type="dxa"/>
              <w:left w:w="85" w:type="dxa"/>
            </w:tcMar>
          </w:tcPr>
          <w:p>
            <w:pPr>
              <w:pStyle w:val="yTableNAm"/>
              <w:tabs>
                <w:tab w:val="clear" w:pos="567"/>
                <w:tab w:val="right" w:leader="dot" w:pos="3316"/>
              </w:tabs>
              <w:spacing w:before="0"/>
            </w:pPr>
            <w:r>
              <w:t xml:space="preserve">Sweep, Banded </w:t>
            </w:r>
            <w:r>
              <w:tab/>
            </w:r>
          </w:p>
        </w:tc>
        <w:tc>
          <w:tcPr>
            <w:tcW w:w="3543" w:type="dxa"/>
            <w:tcMar>
              <w:top w:w="28" w:type="dxa"/>
              <w:left w:w="85" w:type="dxa"/>
            </w:tcMar>
          </w:tcPr>
          <w:p>
            <w:pPr>
              <w:pStyle w:val="yTableNAm"/>
              <w:spacing w:before="0"/>
              <w:rPr>
                <w:i/>
              </w:rPr>
            </w:pPr>
            <w:r>
              <w:rPr>
                <w:i/>
              </w:rPr>
              <w:t>Scorpis georgianus</w:t>
            </w:r>
          </w:p>
        </w:tc>
      </w:tr>
      <w:tr>
        <w:tc>
          <w:tcPr>
            <w:tcW w:w="3542" w:type="dxa"/>
            <w:tcMar>
              <w:top w:w="28" w:type="dxa"/>
              <w:left w:w="85" w:type="dxa"/>
            </w:tcMar>
          </w:tcPr>
          <w:p>
            <w:pPr>
              <w:pStyle w:val="yTableNAm"/>
              <w:tabs>
                <w:tab w:val="clear" w:pos="567"/>
                <w:tab w:val="right" w:leader="dot" w:pos="3316"/>
              </w:tabs>
              <w:spacing w:before="0"/>
            </w:pPr>
            <w:r>
              <w:t xml:space="preserve">Sweep, Sea </w:t>
            </w:r>
            <w:r>
              <w:tab/>
            </w:r>
          </w:p>
        </w:tc>
        <w:tc>
          <w:tcPr>
            <w:tcW w:w="3543" w:type="dxa"/>
            <w:tcMar>
              <w:top w:w="28" w:type="dxa"/>
              <w:left w:w="85" w:type="dxa"/>
            </w:tcMar>
          </w:tcPr>
          <w:p>
            <w:pPr>
              <w:pStyle w:val="yTableNAm"/>
              <w:spacing w:before="0"/>
              <w:rPr>
                <w:i/>
              </w:rPr>
            </w:pPr>
            <w:r>
              <w:rPr>
                <w:i/>
              </w:rPr>
              <w:t>Scorpis aequipinnis</w:t>
            </w:r>
          </w:p>
        </w:tc>
      </w:tr>
      <w:tr>
        <w:tc>
          <w:tcPr>
            <w:tcW w:w="3542" w:type="dxa"/>
            <w:tcMar>
              <w:top w:w="28" w:type="dxa"/>
              <w:left w:w="85" w:type="dxa"/>
            </w:tcMar>
          </w:tcPr>
          <w:p>
            <w:pPr>
              <w:pStyle w:val="yTableNAm"/>
              <w:tabs>
                <w:tab w:val="clear" w:pos="567"/>
                <w:tab w:val="right" w:leader="dot" w:pos="3316"/>
              </w:tabs>
              <w:spacing w:before="0"/>
            </w:pPr>
            <w:r>
              <w:t xml:space="preserve">Swordfish </w:t>
            </w:r>
            <w:r>
              <w:tab/>
            </w:r>
          </w:p>
        </w:tc>
        <w:tc>
          <w:tcPr>
            <w:tcW w:w="3543" w:type="dxa"/>
            <w:tcMar>
              <w:top w:w="28" w:type="dxa"/>
              <w:left w:w="85" w:type="dxa"/>
            </w:tcMar>
          </w:tcPr>
          <w:p>
            <w:pPr>
              <w:pStyle w:val="yTableNAm"/>
              <w:spacing w:before="0"/>
            </w:pPr>
            <w:r>
              <w:rPr>
                <w:u w:val="single"/>
              </w:rPr>
              <w:t>Family</w:t>
            </w:r>
            <w:r>
              <w:t xml:space="preserve"> Xiphiidae</w:t>
            </w:r>
          </w:p>
        </w:tc>
      </w:tr>
      <w:tr>
        <w:tc>
          <w:tcPr>
            <w:tcW w:w="3542" w:type="dxa"/>
            <w:tcMar>
              <w:top w:w="28" w:type="dxa"/>
              <w:left w:w="85" w:type="dxa"/>
            </w:tcMar>
          </w:tcPr>
          <w:p>
            <w:pPr>
              <w:pStyle w:val="yTableNAm"/>
              <w:tabs>
                <w:tab w:val="clear" w:pos="567"/>
                <w:tab w:val="right" w:leader="dot" w:pos="3316"/>
              </w:tabs>
              <w:spacing w:before="0"/>
            </w:pPr>
            <w:r>
              <w:t xml:space="preserve">Tailor </w:t>
            </w:r>
            <w:r>
              <w:tab/>
            </w:r>
          </w:p>
        </w:tc>
        <w:tc>
          <w:tcPr>
            <w:tcW w:w="3543" w:type="dxa"/>
            <w:tcMar>
              <w:top w:w="28" w:type="dxa"/>
              <w:left w:w="85" w:type="dxa"/>
            </w:tcMar>
          </w:tcPr>
          <w:p>
            <w:pPr>
              <w:pStyle w:val="yTableNAm"/>
              <w:spacing w:before="0"/>
              <w:rPr>
                <w:i/>
              </w:rPr>
            </w:pPr>
            <w:r>
              <w:rPr>
                <w:i/>
              </w:rPr>
              <w:t>Pomatomus saltatrix</w:t>
            </w:r>
          </w:p>
        </w:tc>
      </w:tr>
      <w:tr>
        <w:tc>
          <w:tcPr>
            <w:tcW w:w="3542" w:type="dxa"/>
            <w:tcMar>
              <w:top w:w="28" w:type="dxa"/>
              <w:left w:w="85" w:type="dxa"/>
            </w:tcMar>
          </w:tcPr>
          <w:p>
            <w:pPr>
              <w:pStyle w:val="yTableNAm"/>
              <w:tabs>
                <w:tab w:val="clear" w:pos="567"/>
                <w:tab w:val="right" w:leader="dot" w:pos="3316"/>
              </w:tabs>
              <w:spacing w:before="0"/>
            </w:pPr>
            <w:r>
              <w:t xml:space="preserve">Tarwhine (Silver Bream) </w:t>
            </w:r>
            <w:r>
              <w:tab/>
            </w:r>
          </w:p>
        </w:tc>
        <w:tc>
          <w:tcPr>
            <w:tcW w:w="3543" w:type="dxa"/>
            <w:tcMar>
              <w:top w:w="28" w:type="dxa"/>
              <w:left w:w="85" w:type="dxa"/>
            </w:tcMar>
          </w:tcPr>
          <w:p>
            <w:pPr>
              <w:pStyle w:val="yTableNAm"/>
              <w:spacing w:before="0"/>
              <w:rPr>
                <w:i/>
              </w:rPr>
            </w:pPr>
            <w:r>
              <w:rPr>
                <w:i/>
              </w:rPr>
              <w:t>Rhabdosargus sarba</w:t>
            </w:r>
          </w:p>
        </w:tc>
      </w:tr>
      <w:tr>
        <w:tc>
          <w:tcPr>
            <w:tcW w:w="3542" w:type="dxa"/>
            <w:tcMar>
              <w:top w:w="28" w:type="dxa"/>
              <w:left w:w="85" w:type="dxa"/>
            </w:tcMar>
          </w:tcPr>
          <w:p>
            <w:pPr>
              <w:pStyle w:val="yTableNAm"/>
              <w:tabs>
                <w:tab w:val="clear" w:pos="567"/>
                <w:tab w:val="right" w:leader="dot" w:pos="3316"/>
              </w:tabs>
              <w:spacing w:before="0"/>
            </w:pPr>
            <w:r>
              <w:t xml:space="preserve">Threadfin </w:t>
            </w:r>
            <w:r>
              <w:tab/>
            </w:r>
          </w:p>
        </w:tc>
        <w:tc>
          <w:tcPr>
            <w:tcW w:w="3543" w:type="dxa"/>
            <w:tcMar>
              <w:top w:w="28" w:type="dxa"/>
              <w:left w:w="85" w:type="dxa"/>
            </w:tcMar>
          </w:tcPr>
          <w:p>
            <w:pPr>
              <w:pStyle w:val="yTableNAm"/>
              <w:spacing w:before="0"/>
              <w:rPr>
                <w:i/>
              </w:rPr>
            </w:pPr>
            <w:r>
              <w:rPr>
                <w:i/>
              </w:rPr>
              <w:t xml:space="preserve">Polydactylus </w:t>
            </w:r>
            <w:r>
              <w:t>spp.</w:t>
            </w:r>
          </w:p>
        </w:tc>
      </w:tr>
      <w:tr>
        <w:tc>
          <w:tcPr>
            <w:tcW w:w="3542" w:type="dxa"/>
            <w:tcMar>
              <w:top w:w="28" w:type="dxa"/>
              <w:left w:w="85" w:type="dxa"/>
            </w:tcMar>
          </w:tcPr>
          <w:p>
            <w:pPr>
              <w:pStyle w:val="yTableNAm"/>
              <w:tabs>
                <w:tab w:val="clear" w:pos="567"/>
                <w:tab w:val="right" w:leader="dot" w:pos="3316"/>
              </w:tabs>
              <w:spacing w:before="0"/>
            </w:pPr>
            <w:r>
              <w:t xml:space="preserve">Threadfin, Blue </w:t>
            </w:r>
            <w:r>
              <w:tab/>
            </w:r>
          </w:p>
        </w:tc>
        <w:tc>
          <w:tcPr>
            <w:tcW w:w="3543" w:type="dxa"/>
            <w:tcMar>
              <w:top w:w="28" w:type="dxa"/>
              <w:left w:w="85" w:type="dxa"/>
            </w:tcMar>
          </w:tcPr>
          <w:p>
            <w:pPr>
              <w:pStyle w:val="yTableNAm"/>
              <w:spacing w:before="0"/>
              <w:rPr>
                <w:i/>
              </w:rPr>
            </w:pPr>
            <w:r>
              <w:rPr>
                <w:i/>
              </w:rPr>
              <w:t>Eleutheronema tetradactyum</w:t>
            </w:r>
          </w:p>
        </w:tc>
      </w:tr>
      <w:tr>
        <w:tc>
          <w:tcPr>
            <w:tcW w:w="3542" w:type="dxa"/>
            <w:tcMar>
              <w:top w:w="28" w:type="dxa"/>
              <w:left w:w="85" w:type="dxa"/>
            </w:tcMar>
          </w:tcPr>
          <w:p>
            <w:pPr>
              <w:pStyle w:val="yTableNAm"/>
              <w:tabs>
                <w:tab w:val="clear" w:pos="567"/>
                <w:tab w:val="right" w:leader="dot" w:pos="3316"/>
              </w:tabs>
              <w:spacing w:before="0"/>
            </w:pPr>
            <w:r>
              <w:t xml:space="preserve">Threadfin, Giant </w:t>
            </w:r>
            <w:r>
              <w:tab/>
            </w:r>
          </w:p>
        </w:tc>
        <w:tc>
          <w:tcPr>
            <w:tcW w:w="3543" w:type="dxa"/>
            <w:tcMar>
              <w:top w:w="28" w:type="dxa"/>
              <w:left w:w="85" w:type="dxa"/>
            </w:tcMar>
          </w:tcPr>
          <w:p>
            <w:pPr>
              <w:pStyle w:val="yTableNAm"/>
              <w:spacing w:before="0"/>
              <w:rPr>
                <w:i/>
              </w:rPr>
            </w:pPr>
            <w:r>
              <w:rPr>
                <w:i/>
              </w:rPr>
              <w:t>Polydactylus macrochir</w:t>
            </w:r>
          </w:p>
        </w:tc>
      </w:tr>
      <w:tr>
        <w:tc>
          <w:tcPr>
            <w:tcW w:w="3542" w:type="dxa"/>
            <w:tcMar>
              <w:top w:w="28" w:type="dxa"/>
              <w:left w:w="85" w:type="dxa"/>
            </w:tcMar>
          </w:tcPr>
          <w:p>
            <w:pPr>
              <w:pStyle w:val="yTableNAm"/>
              <w:tabs>
                <w:tab w:val="clear" w:pos="567"/>
                <w:tab w:val="right" w:leader="dot" w:pos="3316"/>
              </w:tabs>
              <w:spacing w:before="0"/>
            </w:pPr>
            <w:r>
              <w:t xml:space="preserve">Trevalla </w:t>
            </w:r>
            <w:r>
              <w:tab/>
            </w:r>
          </w:p>
        </w:tc>
        <w:tc>
          <w:tcPr>
            <w:tcW w:w="3543" w:type="dxa"/>
            <w:tcMar>
              <w:top w:w="28" w:type="dxa"/>
              <w:left w:w="85" w:type="dxa"/>
            </w:tcMar>
          </w:tcPr>
          <w:p>
            <w:pPr>
              <w:pStyle w:val="yTableNAm"/>
              <w:spacing w:before="0"/>
              <w:rPr>
                <w:i/>
              </w:rPr>
            </w:pPr>
            <w:r>
              <w:rPr>
                <w:u w:val="single"/>
              </w:rPr>
              <w:t>Family</w:t>
            </w:r>
            <w:r>
              <w:t xml:space="preserve"> Centrolophidae</w:t>
            </w:r>
          </w:p>
        </w:tc>
      </w:tr>
      <w:tr>
        <w:tc>
          <w:tcPr>
            <w:tcW w:w="3542" w:type="dxa"/>
            <w:tcMar>
              <w:top w:w="28" w:type="dxa"/>
              <w:left w:w="85" w:type="dxa"/>
            </w:tcMar>
          </w:tcPr>
          <w:p>
            <w:pPr>
              <w:pStyle w:val="yTableNAm"/>
              <w:tabs>
                <w:tab w:val="clear" w:pos="567"/>
                <w:tab w:val="right" w:leader="dot" w:pos="3316"/>
              </w:tabs>
              <w:spacing w:before="0"/>
            </w:pPr>
            <w:r>
              <w:t xml:space="preserve">Trevally </w:t>
            </w:r>
            <w:r>
              <w:tab/>
            </w:r>
          </w:p>
        </w:tc>
        <w:tc>
          <w:tcPr>
            <w:tcW w:w="3543" w:type="dxa"/>
            <w:tcMar>
              <w:top w:w="28" w:type="dxa"/>
              <w:left w:w="85" w:type="dxa"/>
            </w:tcMar>
          </w:tcPr>
          <w:p>
            <w:pPr>
              <w:pStyle w:val="yTableNAm"/>
              <w:spacing w:before="0"/>
            </w:pPr>
            <w:r>
              <w:rPr>
                <w:u w:val="single"/>
              </w:rPr>
              <w:t>Family</w:t>
            </w:r>
            <w:r>
              <w:t xml:space="preserve"> Carangidae</w:t>
            </w:r>
          </w:p>
        </w:tc>
      </w:tr>
      <w:tr>
        <w:tc>
          <w:tcPr>
            <w:tcW w:w="3542" w:type="dxa"/>
            <w:tcMar>
              <w:top w:w="28" w:type="dxa"/>
              <w:left w:w="85" w:type="dxa"/>
            </w:tcMar>
          </w:tcPr>
          <w:p>
            <w:pPr>
              <w:pStyle w:val="yTableNAm"/>
              <w:tabs>
                <w:tab w:val="clear" w:pos="567"/>
                <w:tab w:val="right" w:leader="dot" w:pos="3316"/>
              </w:tabs>
              <w:spacing w:before="0"/>
            </w:pPr>
            <w:r>
              <w:t xml:space="preserve">Trevally, Diamond </w:t>
            </w:r>
            <w:r>
              <w:tab/>
            </w:r>
          </w:p>
        </w:tc>
        <w:tc>
          <w:tcPr>
            <w:tcW w:w="3543" w:type="dxa"/>
            <w:tcMar>
              <w:top w:w="28" w:type="dxa"/>
              <w:left w:w="85" w:type="dxa"/>
            </w:tcMar>
          </w:tcPr>
          <w:p>
            <w:pPr>
              <w:pStyle w:val="yTableNAm"/>
              <w:spacing w:before="0"/>
              <w:rPr>
                <w:i/>
              </w:rPr>
            </w:pPr>
            <w:r>
              <w:rPr>
                <w:i/>
              </w:rPr>
              <w:t>Alectis indicus</w:t>
            </w:r>
          </w:p>
        </w:tc>
      </w:tr>
      <w:tr>
        <w:tc>
          <w:tcPr>
            <w:tcW w:w="3542" w:type="dxa"/>
            <w:tcMar>
              <w:top w:w="28" w:type="dxa"/>
              <w:left w:w="85" w:type="dxa"/>
            </w:tcMar>
          </w:tcPr>
          <w:p>
            <w:pPr>
              <w:pStyle w:val="yTableNAm"/>
              <w:tabs>
                <w:tab w:val="clear" w:pos="567"/>
                <w:tab w:val="right" w:leader="dot" w:pos="3316"/>
              </w:tabs>
              <w:spacing w:before="0"/>
            </w:pPr>
            <w:r>
              <w:t xml:space="preserve">Trevally, Giant </w:t>
            </w:r>
            <w:r>
              <w:tab/>
            </w:r>
          </w:p>
        </w:tc>
        <w:tc>
          <w:tcPr>
            <w:tcW w:w="3543" w:type="dxa"/>
            <w:tcMar>
              <w:top w:w="28" w:type="dxa"/>
              <w:left w:w="85" w:type="dxa"/>
            </w:tcMar>
          </w:tcPr>
          <w:p>
            <w:pPr>
              <w:pStyle w:val="yTableNAm"/>
              <w:spacing w:before="0"/>
              <w:rPr>
                <w:i/>
              </w:rPr>
            </w:pPr>
            <w:r>
              <w:rPr>
                <w:i/>
              </w:rPr>
              <w:t>Caranx ignobilis</w:t>
            </w:r>
          </w:p>
        </w:tc>
      </w:tr>
      <w:tr>
        <w:tc>
          <w:tcPr>
            <w:tcW w:w="3542" w:type="dxa"/>
            <w:tcMar>
              <w:top w:w="28" w:type="dxa"/>
              <w:left w:w="85" w:type="dxa"/>
            </w:tcMar>
          </w:tcPr>
          <w:p>
            <w:pPr>
              <w:pStyle w:val="yTableNAm"/>
              <w:tabs>
                <w:tab w:val="clear" w:pos="567"/>
                <w:tab w:val="right" w:leader="dot" w:pos="3316"/>
              </w:tabs>
              <w:spacing w:before="0"/>
            </w:pPr>
            <w:r>
              <w:t xml:space="preserve">Trevally, Golden </w:t>
            </w:r>
            <w:r>
              <w:tab/>
            </w:r>
          </w:p>
        </w:tc>
        <w:tc>
          <w:tcPr>
            <w:tcW w:w="3543" w:type="dxa"/>
            <w:tcMar>
              <w:top w:w="28" w:type="dxa"/>
              <w:left w:w="85" w:type="dxa"/>
            </w:tcMar>
          </w:tcPr>
          <w:p>
            <w:pPr>
              <w:pStyle w:val="yTableNAm"/>
              <w:spacing w:before="0"/>
              <w:rPr>
                <w:i/>
              </w:rPr>
            </w:pPr>
            <w:r>
              <w:rPr>
                <w:i/>
              </w:rPr>
              <w:t>Gnathanodon speciosus</w:t>
            </w:r>
          </w:p>
        </w:tc>
      </w:tr>
      <w:tr>
        <w:tc>
          <w:tcPr>
            <w:tcW w:w="3542" w:type="dxa"/>
            <w:tcMar>
              <w:top w:w="28" w:type="dxa"/>
              <w:left w:w="85" w:type="dxa"/>
            </w:tcMar>
          </w:tcPr>
          <w:p>
            <w:pPr>
              <w:pStyle w:val="yTableNAm"/>
              <w:tabs>
                <w:tab w:val="clear" w:pos="567"/>
                <w:tab w:val="right" w:leader="dot" w:pos="3316"/>
              </w:tabs>
              <w:spacing w:before="0"/>
            </w:pPr>
            <w:r>
              <w:t xml:space="preserve">Trevally, Silver (Skipjack) </w:t>
            </w:r>
            <w:r>
              <w:tab/>
            </w:r>
          </w:p>
        </w:tc>
        <w:tc>
          <w:tcPr>
            <w:tcW w:w="3543" w:type="dxa"/>
            <w:tcMar>
              <w:top w:w="28" w:type="dxa"/>
              <w:left w:w="85" w:type="dxa"/>
            </w:tcMar>
          </w:tcPr>
          <w:p>
            <w:pPr>
              <w:pStyle w:val="yTableNAm"/>
              <w:spacing w:before="0"/>
            </w:pPr>
            <w:r>
              <w:rPr>
                <w:i/>
              </w:rPr>
              <w:t>Pseudocaranx</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Tripletail </w:t>
            </w:r>
            <w:r>
              <w:tab/>
            </w:r>
          </w:p>
        </w:tc>
        <w:tc>
          <w:tcPr>
            <w:tcW w:w="3543" w:type="dxa"/>
            <w:tcMar>
              <w:top w:w="28" w:type="dxa"/>
              <w:left w:w="85" w:type="dxa"/>
            </w:tcMar>
          </w:tcPr>
          <w:p>
            <w:pPr>
              <w:pStyle w:val="yTableNAm"/>
              <w:spacing w:before="0"/>
              <w:rPr>
                <w:i/>
              </w:rPr>
            </w:pPr>
            <w:r>
              <w:rPr>
                <w:i/>
              </w:rPr>
              <w:t>Lobotes surinamensis</w:t>
            </w:r>
          </w:p>
        </w:tc>
      </w:tr>
      <w:tr>
        <w:tc>
          <w:tcPr>
            <w:tcW w:w="3542" w:type="dxa"/>
            <w:tcMar>
              <w:top w:w="28" w:type="dxa"/>
              <w:left w:w="85" w:type="dxa"/>
            </w:tcMar>
          </w:tcPr>
          <w:p>
            <w:pPr>
              <w:pStyle w:val="yTableNAm"/>
              <w:tabs>
                <w:tab w:val="clear" w:pos="567"/>
                <w:tab w:val="right" w:leader="dot" w:pos="3316"/>
              </w:tabs>
              <w:spacing w:before="0"/>
            </w:pPr>
            <w:r>
              <w:t xml:space="preserve">Tuna, Albacore </w:t>
            </w:r>
            <w:r>
              <w:tab/>
            </w:r>
          </w:p>
        </w:tc>
        <w:tc>
          <w:tcPr>
            <w:tcW w:w="3543" w:type="dxa"/>
            <w:tcMar>
              <w:top w:w="28" w:type="dxa"/>
              <w:left w:w="85" w:type="dxa"/>
            </w:tcMar>
          </w:tcPr>
          <w:p>
            <w:pPr>
              <w:pStyle w:val="yTableNAm"/>
              <w:spacing w:before="0"/>
              <w:rPr>
                <w:i/>
              </w:rPr>
            </w:pPr>
            <w:r>
              <w:rPr>
                <w:i/>
              </w:rPr>
              <w:t>Thunnus alelunga</w:t>
            </w:r>
          </w:p>
        </w:tc>
      </w:tr>
      <w:tr>
        <w:tc>
          <w:tcPr>
            <w:tcW w:w="3542" w:type="dxa"/>
            <w:tcMar>
              <w:top w:w="28" w:type="dxa"/>
              <w:left w:w="85" w:type="dxa"/>
            </w:tcMar>
          </w:tcPr>
          <w:p>
            <w:pPr>
              <w:pStyle w:val="yTableNAm"/>
              <w:tabs>
                <w:tab w:val="clear" w:pos="567"/>
                <w:tab w:val="right" w:leader="dot" w:pos="3316"/>
              </w:tabs>
              <w:spacing w:before="0"/>
            </w:pPr>
            <w:r>
              <w:t xml:space="preserve">Tuna, Bigeye </w:t>
            </w:r>
            <w:r>
              <w:tab/>
            </w:r>
          </w:p>
        </w:tc>
        <w:tc>
          <w:tcPr>
            <w:tcW w:w="3543" w:type="dxa"/>
            <w:tcMar>
              <w:top w:w="28" w:type="dxa"/>
              <w:left w:w="85" w:type="dxa"/>
            </w:tcMar>
          </w:tcPr>
          <w:p>
            <w:pPr>
              <w:pStyle w:val="yTableNAm"/>
              <w:spacing w:before="0"/>
              <w:rPr>
                <w:i/>
              </w:rPr>
            </w:pPr>
            <w:r>
              <w:rPr>
                <w:i/>
              </w:rPr>
              <w:t>Thunnus obesus</w:t>
            </w:r>
          </w:p>
        </w:tc>
      </w:tr>
      <w:tr>
        <w:tc>
          <w:tcPr>
            <w:tcW w:w="3542" w:type="dxa"/>
            <w:tcMar>
              <w:top w:w="28" w:type="dxa"/>
              <w:left w:w="85" w:type="dxa"/>
            </w:tcMar>
          </w:tcPr>
          <w:p>
            <w:pPr>
              <w:pStyle w:val="yTableNAm"/>
              <w:tabs>
                <w:tab w:val="clear" w:pos="567"/>
                <w:tab w:val="right" w:leader="dot" w:pos="3316"/>
              </w:tabs>
              <w:spacing w:before="0"/>
            </w:pPr>
            <w:r>
              <w:t xml:space="preserve">Tuna, Dogtooth </w:t>
            </w:r>
            <w:r>
              <w:tab/>
            </w:r>
          </w:p>
        </w:tc>
        <w:tc>
          <w:tcPr>
            <w:tcW w:w="3543" w:type="dxa"/>
            <w:tcMar>
              <w:top w:w="28" w:type="dxa"/>
              <w:left w:w="85" w:type="dxa"/>
            </w:tcMar>
          </w:tcPr>
          <w:p>
            <w:pPr>
              <w:pStyle w:val="yTableNAm"/>
              <w:spacing w:before="0"/>
              <w:rPr>
                <w:i/>
              </w:rPr>
            </w:pPr>
            <w:r>
              <w:rPr>
                <w:i/>
              </w:rPr>
              <w:t>Gymnosarda unicolour</w:t>
            </w:r>
          </w:p>
        </w:tc>
      </w:tr>
      <w:tr>
        <w:tc>
          <w:tcPr>
            <w:tcW w:w="3542" w:type="dxa"/>
            <w:tcMar>
              <w:top w:w="28" w:type="dxa"/>
              <w:left w:w="85" w:type="dxa"/>
            </w:tcMar>
          </w:tcPr>
          <w:p>
            <w:pPr>
              <w:pStyle w:val="yTableNAm"/>
              <w:tabs>
                <w:tab w:val="clear" w:pos="567"/>
                <w:tab w:val="right" w:leader="dot" w:pos="3316"/>
              </w:tabs>
              <w:spacing w:before="0"/>
            </w:pPr>
            <w:r>
              <w:t xml:space="preserve">Tuna, Longtail </w:t>
            </w:r>
            <w:r>
              <w:tab/>
            </w:r>
          </w:p>
        </w:tc>
        <w:tc>
          <w:tcPr>
            <w:tcW w:w="3543" w:type="dxa"/>
            <w:tcMar>
              <w:top w:w="28" w:type="dxa"/>
              <w:left w:w="85" w:type="dxa"/>
            </w:tcMar>
          </w:tcPr>
          <w:p>
            <w:pPr>
              <w:pStyle w:val="yTableNAm"/>
              <w:spacing w:before="0"/>
              <w:rPr>
                <w:i/>
              </w:rPr>
            </w:pPr>
            <w:r>
              <w:rPr>
                <w:i/>
              </w:rPr>
              <w:t>Thunnus tonggol</w:t>
            </w:r>
          </w:p>
        </w:tc>
      </w:tr>
      <w:tr>
        <w:tc>
          <w:tcPr>
            <w:tcW w:w="3542" w:type="dxa"/>
            <w:tcMar>
              <w:top w:w="28" w:type="dxa"/>
              <w:left w:w="85" w:type="dxa"/>
            </w:tcMar>
          </w:tcPr>
          <w:p>
            <w:pPr>
              <w:pStyle w:val="yTableNAm"/>
              <w:tabs>
                <w:tab w:val="clear" w:pos="567"/>
                <w:tab w:val="right" w:leader="dot" w:pos="3316"/>
              </w:tabs>
              <w:spacing w:before="0"/>
            </w:pPr>
            <w:r>
              <w:t xml:space="preserve">Tuna, </w:t>
            </w:r>
            <w:smartTag w:uri="urn:schemas-microsoft-com:office:smarttags" w:element="place">
              <w:r>
                <w:t>Northern Bluefin</w:t>
              </w:r>
            </w:smartTag>
            <w:r>
              <w:t xml:space="preserve"> </w:t>
            </w:r>
            <w:r>
              <w:tab/>
            </w:r>
          </w:p>
        </w:tc>
        <w:tc>
          <w:tcPr>
            <w:tcW w:w="3543" w:type="dxa"/>
            <w:tcMar>
              <w:top w:w="28" w:type="dxa"/>
              <w:left w:w="85" w:type="dxa"/>
            </w:tcMar>
          </w:tcPr>
          <w:p>
            <w:pPr>
              <w:pStyle w:val="yTableNAm"/>
              <w:spacing w:before="0"/>
              <w:rPr>
                <w:i/>
              </w:rPr>
            </w:pPr>
            <w:r>
              <w:rPr>
                <w:i/>
              </w:rPr>
              <w:t>Thunnus thynnus</w:t>
            </w:r>
          </w:p>
        </w:tc>
      </w:tr>
      <w:tr>
        <w:tc>
          <w:tcPr>
            <w:tcW w:w="3542" w:type="dxa"/>
            <w:tcMar>
              <w:top w:w="28" w:type="dxa"/>
              <w:left w:w="85" w:type="dxa"/>
            </w:tcMar>
          </w:tcPr>
          <w:p>
            <w:pPr>
              <w:pStyle w:val="yTableNAm"/>
              <w:tabs>
                <w:tab w:val="clear" w:pos="567"/>
                <w:tab w:val="right" w:leader="dot" w:pos="3316"/>
              </w:tabs>
              <w:spacing w:before="0"/>
            </w:pPr>
            <w:r>
              <w:t xml:space="preserve">Tuna, Skipjack </w:t>
            </w:r>
            <w:r>
              <w:tab/>
            </w:r>
          </w:p>
        </w:tc>
        <w:tc>
          <w:tcPr>
            <w:tcW w:w="3543" w:type="dxa"/>
            <w:tcMar>
              <w:top w:w="28" w:type="dxa"/>
              <w:left w:w="85" w:type="dxa"/>
            </w:tcMar>
          </w:tcPr>
          <w:p>
            <w:pPr>
              <w:pStyle w:val="yTableNAm"/>
              <w:spacing w:before="0"/>
              <w:rPr>
                <w:i/>
              </w:rPr>
            </w:pPr>
            <w:r>
              <w:rPr>
                <w:i/>
              </w:rPr>
              <w:t>Katsuwonus pelamis</w:t>
            </w:r>
          </w:p>
        </w:tc>
      </w:tr>
      <w:tr>
        <w:tc>
          <w:tcPr>
            <w:tcW w:w="3542" w:type="dxa"/>
            <w:tcMar>
              <w:top w:w="28" w:type="dxa"/>
              <w:left w:w="85" w:type="dxa"/>
            </w:tcMar>
          </w:tcPr>
          <w:p>
            <w:pPr>
              <w:pStyle w:val="yTableNAm"/>
              <w:tabs>
                <w:tab w:val="clear" w:pos="567"/>
                <w:tab w:val="right" w:leader="dot" w:pos="3316"/>
              </w:tabs>
              <w:spacing w:before="0"/>
            </w:pPr>
            <w:r>
              <w:t xml:space="preserve">Tuna, </w:t>
            </w:r>
            <w:smartTag w:uri="urn:schemas-microsoft-com:office:smarttags" w:element="place">
              <w:r>
                <w:t>Southern Bluefin</w:t>
              </w:r>
            </w:smartTag>
            <w:r>
              <w:t xml:space="preserve"> </w:t>
            </w:r>
            <w:r>
              <w:tab/>
            </w:r>
          </w:p>
        </w:tc>
        <w:tc>
          <w:tcPr>
            <w:tcW w:w="3543" w:type="dxa"/>
            <w:tcMar>
              <w:top w:w="28" w:type="dxa"/>
              <w:left w:w="85" w:type="dxa"/>
            </w:tcMar>
          </w:tcPr>
          <w:p>
            <w:pPr>
              <w:pStyle w:val="yTableNAm"/>
              <w:spacing w:before="0"/>
              <w:rPr>
                <w:i/>
              </w:rPr>
            </w:pPr>
            <w:r>
              <w:rPr>
                <w:i/>
              </w:rPr>
              <w:t>Thunnus maccoyii</w:t>
            </w:r>
          </w:p>
        </w:tc>
      </w:tr>
      <w:tr>
        <w:tc>
          <w:tcPr>
            <w:tcW w:w="3542" w:type="dxa"/>
            <w:tcMar>
              <w:top w:w="28" w:type="dxa"/>
              <w:left w:w="85" w:type="dxa"/>
            </w:tcMar>
          </w:tcPr>
          <w:p>
            <w:pPr>
              <w:pStyle w:val="yTableNAm"/>
              <w:tabs>
                <w:tab w:val="clear" w:pos="567"/>
                <w:tab w:val="right" w:leader="dot" w:pos="3316"/>
              </w:tabs>
              <w:spacing w:before="0"/>
            </w:pPr>
            <w:r>
              <w:t xml:space="preserve">Tuna, Yellowfin </w:t>
            </w:r>
            <w:r>
              <w:tab/>
            </w:r>
          </w:p>
        </w:tc>
        <w:tc>
          <w:tcPr>
            <w:tcW w:w="3543" w:type="dxa"/>
            <w:tcMar>
              <w:top w:w="28" w:type="dxa"/>
              <w:left w:w="85" w:type="dxa"/>
            </w:tcMar>
          </w:tcPr>
          <w:p>
            <w:pPr>
              <w:pStyle w:val="yTableNAm"/>
              <w:spacing w:before="0"/>
              <w:rPr>
                <w:i/>
              </w:rPr>
            </w:pPr>
            <w:r>
              <w:rPr>
                <w:i/>
              </w:rPr>
              <w:t>Thunnus albacares</w:t>
            </w:r>
          </w:p>
        </w:tc>
      </w:tr>
      <w:tr>
        <w:tc>
          <w:tcPr>
            <w:tcW w:w="3542" w:type="dxa"/>
            <w:tcMar>
              <w:top w:w="28" w:type="dxa"/>
              <w:left w:w="85" w:type="dxa"/>
            </w:tcMar>
          </w:tcPr>
          <w:p>
            <w:pPr>
              <w:pStyle w:val="yTableNAm"/>
              <w:tabs>
                <w:tab w:val="clear" w:pos="567"/>
                <w:tab w:val="right" w:leader="dot" w:pos="3316"/>
              </w:tabs>
              <w:spacing w:before="0"/>
            </w:pPr>
            <w:r>
              <w:t xml:space="preserve">Tuskfish </w:t>
            </w:r>
            <w:r>
              <w:tab/>
            </w:r>
          </w:p>
        </w:tc>
        <w:tc>
          <w:tcPr>
            <w:tcW w:w="3543" w:type="dxa"/>
            <w:tcMar>
              <w:top w:w="28" w:type="dxa"/>
              <w:left w:w="85" w:type="dxa"/>
            </w:tcMar>
          </w:tcPr>
          <w:p>
            <w:pPr>
              <w:pStyle w:val="yTableNAm"/>
              <w:spacing w:before="0"/>
              <w:rPr>
                <w:i/>
              </w:rPr>
            </w:pPr>
            <w:r>
              <w:rPr>
                <w:i/>
              </w:rPr>
              <w:t>Choerodon</w:t>
            </w:r>
            <w:r>
              <w:t xml:space="preserve"> spp. excluding</w:t>
            </w:r>
            <w:r>
              <w:rPr>
                <w:i/>
              </w:rPr>
              <w:t xml:space="preserve"> C.rubescens</w:t>
            </w:r>
          </w:p>
        </w:tc>
      </w:tr>
      <w:tr>
        <w:tc>
          <w:tcPr>
            <w:tcW w:w="3542" w:type="dxa"/>
            <w:tcMar>
              <w:top w:w="28" w:type="dxa"/>
              <w:left w:w="85" w:type="dxa"/>
            </w:tcMar>
          </w:tcPr>
          <w:p>
            <w:pPr>
              <w:pStyle w:val="yTableNAm"/>
              <w:tabs>
                <w:tab w:val="clear" w:pos="567"/>
                <w:tab w:val="right" w:leader="dot" w:pos="3316"/>
              </w:tabs>
              <w:spacing w:before="0"/>
            </w:pPr>
            <w:r>
              <w:t xml:space="preserve">Tuskfish, Blackspot </w:t>
            </w:r>
            <w:r>
              <w:tab/>
            </w:r>
          </w:p>
        </w:tc>
        <w:tc>
          <w:tcPr>
            <w:tcW w:w="3543" w:type="dxa"/>
            <w:tcMar>
              <w:top w:w="28" w:type="dxa"/>
              <w:left w:w="85" w:type="dxa"/>
            </w:tcMar>
          </w:tcPr>
          <w:p>
            <w:pPr>
              <w:pStyle w:val="yTableNAm"/>
              <w:spacing w:before="0"/>
              <w:rPr>
                <w:i/>
              </w:rPr>
            </w:pPr>
            <w:r>
              <w:rPr>
                <w:i/>
              </w:rPr>
              <w:t>Choerodon schoenleinii</w:t>
            </w:r>
          </w:p>
        </w:tc>
      </w:tr>
      <w:tr>
        <w:tc>
          <w:tcPr>
            <w:tcW w:w="3542" w:type="dxa"/>
            <w:tcMar>
              <w:top w:w="28" w:type="dxa"/>
              <w:left w:w="85" w:type="dxa"/>
            </w:tcMar>
          </w:tcPr>
          <w:p>
            <w:pPr>
              <w:pStyle w:val="yTableNAm"/>
              <w:tabs>
                <w:tab w:val="clear" w:pos="567"/>
                <w:tab w:val="right" w:leader="dot" w:pos="3316"/>
              </w:tabs>
              <w:spacing w:before="0"/>
            </w:pPr>
            <w:r>
              <w:t xml:space="preserve">Tuskfish, Blue </w:t>
            </w:r>
            <w:r>
              <w:tab/>
            </w:r>
          </w:p>
        </w:tc>
        <w:tc>
          <w:tcPr>
            <w:tcW w:w="3543" w:type="dxa"/>
            <w:tcMar>
              <w:top w:w="28" w:type="dxa"/>
              <w:left w:w="85" w:type="dxa"/>
            </w:tcMar>
          </w:tcPr>
          <w:p>
            <w:pPr>
              <w:pStyle w:val="yTableNAm"/>
              <w:spacing w:before="0"/>
              <w:rPr>
                <w:i/>
              </w:rPr>
            </w:pPr>
            <w:r>
              <w:rPr>
                <w:i/>
              </w:rPr>
              <w:t>Choerodon cyanodus</w:t>
            </w:r>
          </w:p>
        </w:tc>
      </w:tr>
      <w:tr>
        <w:tc>
          <w:tcPr>
            <w:tcW w:w="3542" w:type="dxa"/>
            <w:tcMar>
              <w:top w:w="28" w:type="dxa"/>
              <w:left w:w="85" w:type="dxa"/>
            </w:tcMar>
          </w:tcPr>
          <w:p>
            <w:pPr>
              <w:pStyle w:val="yTableNAm"/>
              <w:tabs>
                <w:tab w:val="clear" w:pos="567"/>
                <w:tab w:val="right" w:leader="dot" w:pos="3316"/>
              </w:tabs>
              <w:spacing w:before="0"/>
            </w:pPr>
            <w:r>
              <w:t xml:space="preserve">Whiting </w:t>
            </w:r>
            <w:r>
              <w:tab/>
            </w:r>
          </w:p>
        </w:tc>
        <w:tc>
          <w:tcPr>
            <w:tcW w:w="3543" w:type="dxa"/>
            <w:tcMar>
              <w:top w:w="28" w:type="dxa"/>
              <w:left w:w="85" w:type="dxa"/>
            </w:tcMar>
          </w:tcPr>
          <w:p>
            <w:pPr>
              <w:pStyle w:val="yTableNAm"/>
              <w:spacing w:before="0"/>
            </w:pPr>
            <w:r>
              <w:rPr>
                <w:i/>
              </w:rPr>
              <w:t>Sillago</w:t>
            </w:r>
            <w:r>
              <w:t xml:space="preserve"> spp.</w:t>
            </w:r>
          </w:p>
        </w:tc>
      </w:tr>
      <w:tr>
        <w:tc>
          <w:tcPr>
            <w:tcW w:w="3542" w:type="dxa"/>
            <w:tcMar>
              <w:top w:w="28" w:type="dxa"/>
              <w:left w:w="85" w:type="dxa"/>
            </w:tcMar>
          </w:tcPr>
          <w:p>
            <w:pPr>
              <w:pStyle w:val="yTableNAm"/>
              <w:tabs>
                <w:tab w:val="clear" w:pos="567"/>
                <w:tab w:val="right" w:leader="dot" w:pos="3316"/>
              </w:tabs>
              <w:spacing w:before="0"/>
              <w:ind w:left="219" w:hanging="219"/>
            </w:pPr>
            <w:r>
              <w:t>Whiting, Golden</w:t>
            </w:r>
            <w:r>
              <w:noBreakHyphen/>
              <w:t xml:space="preserve">lined (Rough Scale) </w:t>
            </w:r>
          </w:p>
        </w:tc>
        <w:tc>
          <w:tcPr>
            <w:tcW w:w="3543" w:type="dxa"/>
            <w:tcMar>
              <w:top w:w="28" w:type="dxa"/>
              <w:left w:w="85" w:type="dxa"/>
            </w:tcMar>
          </w:tcPr>
          <w:p>
            <w:pPr>
              <w:pStyle w:val="yTableNAm"/>
              <w:spacing w:before="0"/>
              <w:rPr>
                <w:i/>
              </w:rPr>
            </w:pPr>
            <w:r>
              <w:rPr>
                <w:i/>
              </w:rPr>
              <w:t>Sillago analis</w:t>
            </w:r>
          </w:p>
        </w:tc>
      </w:tr>
      <w:tr>
        <w:tc>
          <w:tcPr>
            <w:tcW w:w="3542" w:type="dxa"/>
            <w:tcMar>
              <w:top w:w="28" w:type="dxa"/>
              <w:left w:w="85" w:type="dxa"/>
            </w:tcMar>
          </w:tcPr>
          <w:p>
            <w:pPr>
              <w:pStyle w:val="yTableNAm"/>
              <w:tabs>
                <w:tab w:val="clear" w:pos="567"/>
                <w:tab w:val="right" w:leader="dot" w:pos="3316"/>
              </w:tabs>
              <w:spacing w:before="0"/>
            </w:pPr>
            <w:r>
              <w:t xml:space="preserve">Whiting, King George (Spotted) </w:t>
            </w:r>
            <w:r>
              <w:tab/>
            </w:r>
          </w:p>
        </w:tc>
        <w:tc>
          <w:tcPr>
            <w:tcW w:w="3543" w:type="dxa"/>
            <w:tcMar>
              <w:top w:w="28" w:type="dxa"/>
              <w:left w:w="85" w:type="dxa"/>
            </w:tcMar>
          </w:tcPr>
          <w:p>
            <w:pPr>
              <w:pStyle w:val="yTableNAm"/>
              <w:spacing w:before="0"/>
              <w:rPr>
                <w:i/>
              </w:rPr>
            </w:pPr>
            <w:r>
              <w:rPr>
                <w:i/>
              </w:rPr>
              <w:t xml:space="preserve">Sillaginodes punctata </w:t>
            </w:r>
          </w:p>
        </w:tc>
      </w:tr>
      <w:tr>
        <w:tc>
          <w:tcPr>
            <w:tcW w:w="3542" w:type="dxa"/>
            <w:tcMar>
              <w:top w:w="28" w:type="dxa"/>
              <w:left w:w="85" w:type="dxa"/>
            </w:tcMar>
          </w:tcPr>
          <w:p>
            <w:pPr>
              <w:pStyle w:val="yTableNAm"/>
              <w:tabs>
                <w:tab w:val="clear" w:pos="567"/>
                <w:tab w:val="right" w:leader="dot" w:pos="3316"/>
              </w:tabs>
              <w:spacing w:before="0"/>
            </w:pPr>
            <w:r>
              <w:t xml:space="preserve">Whiting, Southern School (Silver) </w:t>
            </w:r>
            <w:r>
              <w:tab/>
            </w:r>
          </w:p>
        </w:tc>
        <w:tc>
          <w:tcPr>
            <w:tcW w:w="3543" w:type="dxa"/>
            <w:tcMar>
              <w:top w:w="28" w:type="dxa"/>
              <w:left w:w="85" w:type="dxa"/>
            </w:tcMar>
          </w:tcPr>
          <w:p>
            <w:pPr>
              <w:pStyle w:val="yTableNAm"/>
              <w:spacing w:before="0"/>
              <w:rPr>
                <w:i/>
              </w:rPr>
            </w:pPr>
            <w:r>
              <w:rPr>
                <w:i/>
              </w:rPr>
              <w:t>Sillago bassensis</w:t>
            </w:r>
          </w:p>
        </w:tc>
      </w:tr>
      <w:tr>
        <w:tc>
          <w:tcPr>
            <w:tcW w:w="3542" w:type="dxa"/>
            <w:tcMar>
              <w:top w:w="28" w:type="dxa"/>
              <w:left w:w="85" w:type="dxa"/>
            </w:tcMar>
          </w:tcPr>
          <w:p>
            <w:pPr>
              <w:pStyle w:val="yTableNAm"/>
              <w:tabs>
                <w:tab w:val="clear" w:pos="567"/>
                <w:tab w:val="right" w:leader="dot" w:pos="3316"/>
              </w:tabs>
              <w:spacing w:before="0"/>
            </w:pPr>
            <w:r>
              <w:t>Whiting, Yellow</w:t>
            </w:r>
            <w:r>
              <w:noBreakHyphen/>
              <w:t xml:space="preserve">finned </w:t>
            </w:r>
            <w:r>
              <w:tab/>
            </w:r>
          </w:p>
        </w:tc>
        <w:tc>
          <w:tcPr>
            <w:tcW w:w="3543" w:type="dxa"/>
            <w:tcMar>
              <w:top w:w="28" w:type="dxa"/>
              <w:left w:w="85" w:type="dxa"/>
            </w:tcMar>
          </w:tcPr>
          <w:p>
            <w:pPr>
              <w:pStyle w:val="yTableNAm"/>
              <w:spacing w:before="0"/>
              <w:rPr>
                <w:i/>
              </w:rPr>
            </w:pPr>
            <w:r>
              <w:rPr>
                <w:i/>
              </w:rPr>
              <w:t>Sillago schomburgkii</w:t>
            </w:r>
          </w:p>
        </w:tc>
      </w:tr>
      <w:tr>
        <w:tc>
          <w:tcPr>
            <w:tcW w:w="3542" w:type="dxa"/>
            <w:tcMar>
              <w:top w:w="28" w:type="dxa"/>
              <w:left w:w="85" w:type="dxa"/>
            </w:tcMar>
          </w:tcPr>
          <w:p>
            <w:pPr>
              <w:pStyle w:val="yTableNAm"/>
              <w:tabs>
                <w:tab w:val="clear" w:pos="567"/>
                <w:tab w:val="right" w:leader="dot" w:pos="3316"/>
              </w:tabs>
              <w:spacing w:before="0"/>
            </w:pPr>
            <w:r>
              <w:t xml:space="preserve">Wrasse </w:t>
            </w:r>
            <w:r>
              <w:tab/>
            </w:r>
          </w:p>
        </w:tc>
        <w:tc>
          <w:tcPr>
            <w:tcW w:w="3543" w:type="dxa"/>
            <w:tcMar>
              <w:top w:w="28" w:type="dxa"/>
              <w:left w:w="85" w:type="dxa"/>
            </w:tcMar>
          </w:tcPr>
          <w:p>
            <w:pPr>
              <w:pStyle w:val="yTableNAm"/>
              <w:spacing w:before="0"/>
            </w:pPr>
            <w:r>
              <w:rPr>
                <w:u w:val="single"/>
              </w:rPr>
              <w:t>Family</w:t>
            </w:r>
            <w:r>
              <w:t xml:space="preserve"> Labridae</w:t>
            </w:r>
          </w:p>
        </w:tc>
      </w:tr>
      <w:tr>
        <w:tc>
          <w:tcPr>
            <w:tcW w:w="3542" w:type="dxa"/>
            <w:tcBorders>
              <w:bottom w:val="single" w:sz="8" w:space="0" w:color="auto"/>
            </w:tcBorders>
            <w:tcMar>
              <w:top w:w="28" w:type="dxa"/>
              <w:left w:w="85" w:type="dxa"/>
            </w:tcMar>
          </w:tcPr>
          <w:p>
            <w:pPr>
              <w:pStyle w:val="yTableNAm"/>
              <w:tabs>
                <w:tab w:val="clear" w:pos="567"/>
                <w:tab w:val="right" w:leader="dot" w:pos="3316"/>
              </w:tabs>
              <w:spacing w:before="0"/>
            </w:pPr>
            <w:r>
              <w:t xml:space="preserve">Wrasse, Humphead Maori </w:t>
            </w:r>
            <w:r>
              <w:tab/>
            </w:r>
          </w:p>
        </w:tc>
        <w:tc>
          <w:tcPr>
            <w:tcW w:w="3543" w:type="dxa"/>
            <w:tcBorders>
              <w:bottom w:val="single" w:sz="8" w:space="0" w:color="auto"/>
            </w:tcBorders>
            <w:tcMar>
              <w:top w:w="28" w:type="dxa"/>
              <w:left w:w="85" w:type="dxa"/>
            </w:tcMar>
          </w:tcPr>
          <w:p>
            <w:pPr>
              <w:pStyle w:val="yTableNAm"/>
              <w:spacing w:before="0"/>
              <w:rPr>
                <w:i/>
              </w:rPr>
            </w:pPr>
            <w:r>
              <w:rPr>
                <w:i/>
              </w:rPr>
              <w:t>Cheilinus undulatus</w:t>
            </w:r>
          </w:p>
        </w:tc>
      </w:tr>
    </w:tbl>
    <w:p>
      <w:pPr>
        <w:pStyle w:val="yFootnotesection"/>
      </w:pPr>
      <w:bookmarkStart w:id="9483" w:name="_Toc189988213"/>
      <w:bookmarkStart w:id="9484" w:name="_Toc192041796"/>
      <w:bookmarkStart w:id="9485" w:name="_Toc199571030"/>
      <w:bookmarkStart w:id="9486" w:name="_Toc199739029"/>
      <w:bookmarkStart w:id="9487" w:name="_Toc199815130"/>
      <w:bookmarkStart w:id="9488" w:name="_Toc215040937"/>
      <w:bookmarkStart w:id="9489" w:name="_Toc215041382"/>
      <w:bookmarkStart w:id="9490" w:name="_Toc222129590"/>
      <w:bookmarkStart w:id="9491" w:name="_Toc222223295"/>
      <w:bookmarkStart w:id="9492" w:name="_Toc225914547"/>
      <w:bookmarkStart w:id="9493" w:name="_Toc231282592"/>
      <w:bookmarkStart w:id="9494" w:name="_Toc231283036"/>
      <w:r>
        <w:tab/>
        <w:t>[Division 1 amended in Gazette 30 Aug 1996 p. 4320</w:t>
      </w:r>
      <w:r>
        <w:noBreakHyphen/>
        <w:t>1; 12 Sep 1997 p. 5154; 19 Jun 1998 p. 3264; 1 Oct 2003 p. 4341</w:t>
      </w:r>
      <w:r>
        <w:noBreakHyphen/>
        <w:t>3; 4 Nov 2005 p. 5317; 22 Dec 2005 p. 6238</w:t>
      </w:r>
      <w:r>
        <w:noBreakHyphen/>
        <w:t>9; 10 Nov 2006 p. 4710; 13 Nov 2007 p. 5693; 13 Feb 2009 p. 299; 29 Sep 2009 p. 3874-5; 8 Dec 2009 p. 4997; 29 Mar 2011 p. 1153; 24 Aug 2011 p. 3409.]</w:t>
      </w:r>
    </w:p>
    <w:p>
      <w:pPr>
        <w:pStyle w:val="yHeading3"/>
        <w:pageBreakBefore/>
      </w:pPr>
      <w:bookmarkStart w:id="9495" w:name="_Toc234899626"/>
      <w:bookmarkStart w:id="9496" w:name="_Toc236632908"/>
      <w:bookmarkStart w:id="9497" w:name="_Toc236720521"/>
      <w:bookmarkStart w:id="9498" w:name="_Toc237764720"/>
      <w:bookmarkStart w:id="9499" w:name="_Toc238356344"/>
      <w:bookmarkStart w:id="9500" w:name="_Toc238369049"/>
      <w:bookmarkStart w:id="9501" w:name="_Toc238376002"/>
      <w:bookmarkStart w:id="9502" w:name="_Toc240339326"/>
      <w:bookmarkStart w:id="9503" w:name="_Toc241993832"/>
      <w:bookmarkStart w:id="9504" w:name="_Toc243192975"/>
      <w:bookmarkStart w:id="9505" w:name="_Toc243295676"/>
      <w:bookmarkStart w:id="9506" w:name="_Toc245113249"/>
      <w:bookmarkStart w:id="9507" w:name="_Toc245198411"/>
      <w:bookmarkStart w:id="9508" w:name="_Toc245198860"/>
      <w:bookmarkStart w:id="9509" w:name="_Toc245199309"/>
      <w:bookmarkStart w:id="9510" w:name="_Toc248122341"/>
      <w:bookmarkStart w:id="9511" w:name="_Toc248122792"/>
      <w:bookmarkStart w:id="9512" w:name="_Toc253670779"/>
      <w:bookmarkStart w:id="9513" w:name="_Toc253671229"/>
      <w:bookmarkStart w:id="9514" w:name="_Toc254943003"/>
      <w:bookmarkStart w:id="9515" w:name="_Toc254943456"/>
      <w:bookmarkStart w:id="9516" w:name="_Toc255476048"/>
      <w:bookmarkStart w:id="9517" w:name="_Toc256432369"/>
      <w:bookmarkStart w:id="9518" w:name="_Toc257720706"/>
      <w:bookmarkStart w:id="9519" w:name="_Toc257722388"/>
      <w:bookmarkStart w:id="9520" w:name="_Toc258336064"/>
      <w:bookmarkStart w:id="9521" w:name="_Toc260406506"/>
      <w:bookmarkStart w:id="9522" w:name="_Toc261271692"/>
      <w:bookmarkStart w:id="9523" w:name="_Toc262808374"/>
      <w:bookmarkStart w:id="9524" w:name="_Toc267572766"/>
      <w:bookmarkStart w:id="9525" w:name="_Toc270684515"/>
      <w:bookmarkStart w:id="9526" w:name="_Toc274214692"/>
      <w:bookmarkStart w:id="9527" w:name="_Toc274215141"/>
      <w:bookmarkStart w:id="9528" w:name="_Toc278976472"/>
      <w:bookmarkStart w:id="9529" w:name="_Toc286760793"/>
      <w:bookmarkStart w:id="9530" w:name="_Toc289081138"/>
      <w:bookmarkStart w:id="9531" w:name="_Toc290284332"/>
      <w:bookmarkStart w:id="9532" w:name="_Toc290643153"/>
      <w:bookmarkStart w:id="9533" w:name="_Toc290643602"/>
      <w:bookmarkStart w:id="9534" w:name="_Toc290644055"/>
      <w:bookmarkStart w:id="9535" w:name="_Toc294701872"/>
      <w:bookmarkStart w:id="9536" w:name="_Toc295200280"/>
      <w:bookmarkStart w:id="9537" w:name="_Toc296954721"/>
      <w:bookmarkStart w:id="9538" w:name="_Toc297276356"/>
      <w:bookmarkStart w:id="9539" w:name="_Toc297276808"/>
      <w:bookmarkStart w:id="9540" w:name="_Toc297277258"/>
      <w:bookmarkStart w:id="9541" w:name="_Toc297726627"/>
      <w:bookmarkStart w:id="9542" w:name="_Toc299980413"/>
      <w:bookmarkStart w:id="9543" w:name="_Toc300235039"/>
      <w:bookmarkStart w:id="9544" w:name="_Toc301961542"/>
      <w:bookmarkStart w:id="9545" w:name="_Toc301967112"/>
      <w:bookmarkStart w:id="9546" w:name="_Toc303253321"/>
      <w:bookmarkStart w:id="9547" w:name="_Toc303257485"/>
      <w:bookmarkStart w:id="9548" w:name="_Toc307993118"/>
      <w:bookmarkStart w:id="9549" w:name="_Toc309030151"/>
      <w:bookmarkStart w:id="9550" w:name="_Toc309304374"/>
      <w:bookmarkStart w:id="9551" w:name="_Toc309309651"/>
      <w:r>
        <w:t>Division 2 — Freshwater fish</w:t>
      </w:r>
      <w:bookmarkEnd w:id="9483"/>
      <w:bookmarkEnd w:id="9484"/>
      <w:bookmarkEnd w:id="9485"/>
      <w:bookmarkEnd w:id="9486"/>
      <w:bookmarkEnd w:id="9487"/>
      <w:bookmarkEnd w:id="9488"/>
      <w:bookmarkEnd w:id="9489"/>
      <w:bookmarkEnd w:id="9490"/>
      <w:bookmarkEnd w:id="9491"/>
      <w:bookmarkEnd w:id="9492"/>
      <w:bookmarkEnd w:id="9493"/>
      <w:bookmarkEnd w:id="9494"/>
      <w:bookmarkEnd w:id="9495"/>
      <w:bookmarkEnd w:id="9496"/>
      <w:bookmarkEnd w:id="9497"/>
      <w:bookmarkEnd w:id="9498"/>
      <w:bookmarkEnd w:id="9499"/>
      <w:bookmarkEnd w:id="9500"/>
      <w:bookmarkEnd w:id="9501"/>
      <w:bookmarkEnd w:id="9502"/>
      <w:bookmarkEnd w:id="9503"/>
      <w:bookmarkEnd w:id="9504"/>
      <w:bookmarkEnd w:id="9505"/>
      <w:bookmarkEnd w:id="9506"/>
      <w:bookmarkEnd w:id="9507"/>
      <w:bookmarkEnd w:id="9508"/>
      <w:bookmarkEnd w:id="9509"/>
      <w:bookmarkEnd w:id="9510"/>
      <w:bookmarkEnd w:id="9511"/>
      <w:bookmarkEnd w:id="9512"/>
      <w:bookmarkEnd w:id="9513"/>
      <w:bookmarkEnd w:id="9514"/>
      <w:bookmarkEnd w:id="9515"/>
      <w:bookmarkEnd w:id="9516"/>
      <w:bookmarkEnd w:id="9517"/>
      <w:bookmarkEnd w:id="9518"/>
      <w:bookmarkEnd w:id="9519"/>
      <w:bookmarkEnd w:id="9520"/>
      <w:bookmarkEnd w:id="9521"/>
      <w:bookmarkEnd w:id="9522"/>
      <w:bookmarkEnd w:id="9523"/>
      <w:bookmarkEnd w:id="9524"/>
      <w:bookmarkEnd w:id="9525"/>
      <w:bookmarkEnd w:id="9526"/>
      <w:bookmarkEnd w:id="9527"/>
      <w:bookmarkEnd w:id="9528"/>
      <w:bookmarkEnd w:id="9529"/>
      <w:bookmarkEnd w:id="9530"/>
      <w:bookmarkEnd w:id="9531"/>
      <w:bookmarkEnd w:id="9532"/>
      <w:bookmarkEnd w:id="9533"/>
      <w:bookmarkEnd w:id="9534"/>
      <w:bookmarkEnd w:id="9535"/>
      <w:bookmarkEnd w:id="9536"/>
      <w:bookmarkEnd w:id="9537"/>
      <w:bookmarkEnd w:id="9538"/>
      <w:bookmarkEnd w:id="9539"/>
      <w:bookmarkEnd w:id="9540"/>
      <w:bookmarkEnd w:id="9541"/>
      <w:bookmarkEnd w:id="9542"/>
      <w:bookmarkEnd w:id="9543"/>
      <w:bookmarkEnd w:id="9544"/>
      <w:bookmarkEnd w:id="9545"/>
      <w:bookmarkEnd w:id="9546"/>
      <w:bookmarkEnd w:id="9547"/>
      <w:bookmarkEnd w:id="9548"/>
      <w:bookmarkEnd w:id="9549"/>
      <w:bookmarkEnd w:id="9550"/>
      <w:bookmarkEnd w:id="9551"/>
    </w:p>
    <w:p>
      <w:pPr>
        <w:pStyle w:val="yFootnoteheading"/>
        <w:spacing w:after="80"/>
        <w:rPr>
          <w:snapToGrid w:val="0"/>
        </w:rPr>
      </w:pPr>
      <w:r>
        <w:rPr>
          <w:snapToGrid w:val="0"/>
        </w:rPr>
        <w:tab/>
        <w:t>[Heading inserted in Gazette 13 Nov 2007 p. 5692.]</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left w:w="85" w:type="dxa"/>
            </w:tcMar>
          </w:tcPr>
          <w:p>
            <w:pPr>
              <w:pStyle w:val="yTableNAm"/>
              <w:tabs>
                <w:tab w:val="clear" w:pos="567"/>
                <w:tab w:val="left" w:leader="dot" w:pos="3339"/>
                <w:tab w:val="right" w:leader="dot" w:pos="3969"/>
              </w:tabs>
              <w:spacing w:before="0"/>
              <w:rPr>
                <w:b/>
                <w:bCs/>
              </w:rPr>
            </w:pPr>
            <w:r>
              <w:rPr>
                <w:b/>
                <w:bCs/>
              </w:rPr>
              <w:t>Common name</w:t>
            </w:r>
          </w:p>
        </w:tc>
        <w:tc>
          <w:tcPr>
            <w:tcW w:w="3544" w:type="dxa"/>
            <w:tcBorders>
              <w:top w:val="single" w:sz="8" w:space="0" w:color="auto"/>
              <w:bottom w:val="single" w:sz="8" w:space="0" w:color="auto"/>
            </w:tcBorders>
            <w:tcMar>
              <w:top w:w="28" w:type="dxa"/>
              <w:left w:w="85" w:type="dxa"/>
            </w:tcMar>
          </w:tcPr>
          <w:p>
            <w:pPr>
              <w:pStyle w:val="yTableNAm"/>
              <w:tabs>
                <w:tab w:val="clear" w:pos="567"/>
                <w:tab w:val="left" w:leader="dot" w:pos="3339"/>
                <w:tab w:val="right" w:pos="3969"/>
              </w:tabs>
              <w:spacing w:before="0"/>
              <w:rPr>
                <w:b/>
                <w:bCs/>
              </w:rPr>
            </w:pPr>
            <w:r>
              <w:rPr>
                <w:b/>
                <w:bCs/>
              </w:rPr>
              <w:t>Scientific name</w:t>
            </w:r>
          </w:p>
        </w:tc>
      </w:tr>
      <w:tr>
        <w:tc>
          <w:tcPr>
            <w:tcW w:w="3541" w:type="dxa"/>
            <w:tcMar>
              <w:top w:w="28" w:type="dxa"/>
              <w:left w:w="85" w:type="dxa"/>
            </w:tcMar>
          </w:tcPr>
          <w:p>
            <w:pPr>
              <w:pStyle w:val="yTableNAm"/>
              <w:tabs>
                <w:tab w:val="clear" w:pos="567"/>
                <w:tab w:val="right" w:leader="dot" w:pos="3315"/>
              </w:tabs>
              <w:spacing w:before="0"/>
            </w:pPr>
            <w:r>
              <w:t xml:space="preserve">Carp, European (Common) </w:t>
            </w:r>
            <w:r>
              <w:tab/>
            </w:r>
          </w:p>
        </w:tc>
        <w:tc>
          <w:tcPr>
            <w:tcW w:w="3544" w:type="dxa"/>
            <w:tcMar>
              <w:top w:w="28" w:type="dxa"/>
              <w:left w:w="85" w:type="dxa"/>
            </w:tcMar>
          </w:tcPr>
          <w:p>
            <w:pPr>
              <w:pStyle w:val="yTableNAm"/>
              <w:tabs>
                <w:tab w:val="clear" w:pos="567"/>
                <w:tab w:val="left" w:leader="dot" w:pos="3339"/>
                <w:tab w:val="right" w:pos="3969"/>
              </w:tabs>
              <w:spacing w:before="0"/>
              <w:rPr>
                <w:i/>
                <w:iCs/>
              </w:rPr>
            </w:pPr>
            <w:r>
              <w:rPr>
                <w:i/>
                <w:iCs/>
              </w:rPr>
              <w:t>Cyprinus carpio</w:t>
            </w:r>
          </w:p>
        </w:tc>
      </w:tr>
      <w:tr>
        <w:tc>
          <w:tcPr>
            <w:tcW w:w="3541" w:type="dxa"/>
            <w:tcMar>
              <w:top w:w="28" w:type="dxa"/>
              <w:left w:w="85" w:type="dxa"/>
            </w:tcMar>
          </w:tcPr>
          <w:p>
            <w:pPr>
              <w:pStyle w:val="yTableNAm"/>
              <w:tabs>
                <w:tab w:val="clear" w:pos="567"/>
                <w:tab w:val="right" w:leader="dot" w:pos="3315"/>
              </w:tabs>
              <w:spacing w:before="0"/>
            </w:pPr>
            <w:r>
              <w:t xml:space="preserve">Cobbler, Freshwater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Tandanus bostocki</w:t>
            </w:r>
          </w:p>
        </w:tc>
      </w:tr>
      <w:tr>
        <w:tc>
          <w:tcPr>
            <w:tcW w:w="3541" w:type="dxa"/>
            <w:tcMar>
              <w:top w:w="28" w:type="dxa"/>
              <w:left w:w="85" w:type="dxa"/>
            </w:tcMar>
          </w:tcPr>
          <w:p>
            <w:pPr>
              <w:pStyle w:val="yTableNAm"/>
              <w:tabs>
                <w:tab w:val="clear" w:pos="567"/>
                <w:tab w:val="right" w:leader="dot" w:pos="3315"/>
              </w:tabs>
              <w:spacing w:before="0"/>
            </w:pPr>
            <w:r>
              <w:t xml:space="preserve">Cod, </w:t>
            </w:r>
            <w:smartTag w:uri="urn:schemas-microsoft-com:office:smarttags" w:element="place">
              <w:smartTag w:uri="urn:schemas-microsoft-com:office:smarttags" w:element="City">
                <w:r>
                  <w:t>Murray</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Maccullochella peeli</w:t>
            </w:r>
          </w:p>
        </w:tc>
      </w:tr>
      <w:tr>
        <w:tc>
          <w:tcPr>
            <w:tcW w:w="3541" w:type="dxa"/>
            <w:tcMar>
              <w:top w:w="28" w:type="dxa"/>
              <w:left w:w="85" w:type="dxa"/>
            </w:tcMar>
          </w:tcPr>
          <w:p>
            <w:pPr>
              <w:pStyle w:val="yTableNAm"/>
              <w:tabs>
                <w:tab w:val="clear" w:pos="567"/>
                <w:tab w:val="right" w:leader="dot" w:pos="3315"/>
              </w:tabs>
              <w:spacing w:before="0"/>
            </w:pPr>
            <w:r>
              <w:t>Eel, Short</w:t>
            </w:r>
            <w:r>
              <w:noBreakHyphen/>
              <w:t xml:space="preserve">finned </w:t>
            </w:r>
            <w:r>
              <w:tab/>
            </w:r>
          </w:p>
        </w:tc>
        <w:tc>
          <w:tcPr>
            <w:tcW w:w="3544" w:type="dxa"/>
            <w:tcMar>
              <w:top w:w="28" w:type="dxa"/>
              <w:left w:w="85" w:type="dxa"/>
            </w:tcMar>
          </w:tcPr>
          <w:p>
            <w:pPr>
              <w:pStyle w:val="yTableNAm"/>
              <w:tabs>
                <w:tab w:val="clear" w:pos="567"/>
                <w:tab w:val="left" w:leader="dot" w:pos="3260"/>
              </w:tabs>
              <w:spacing w:before="0"/>
              <w:rPr>
                <w:i/>
                <w:iCs/>
              </w:rPr>
            </w:pPr>
            <w:smartTag w:uri="urn:schemas-microsoft-com:office:smarttags" w:element="place">
              <w:r>
                <w:rPr>
                  <w:i/>
                  <w:iCs/>
                </w:rPr>
                <w:t>Anguilla</w:t>
              </w:r>
            </w:smartTag>
            <w:r>
              <w:rPr>
                <w:i/>
                <w:iCs/>
              </w:rPr>
              <w:t xml:space="preserve"> australis</w:t>
            </w:r>
          </w:p>
        </w:tc>
      </w:tr>
      <w:tr>
        <w:tc>
          <w:tcPr>
            <w:tcW w:w="3541" w:type="dxa"/>
            <w:tcMar>
              <w:top w:w="28" w:type="dxa"/>
              <w:left w:w="85" w:type="dxa"/>
            </w:tcMar>
          </w:tcPr>
          <w:p>
            <w:pPr>
              <w:pStyle w:val="yTableNAm"/>
              <w:tabs>
                <w:tab w:val="clear" w:pos="567"/>
                <w:tab w:val="right" w:leader="dot" w:pos="3315"/>
              </w:tabs>
              <w:spacing w:before="0"/>
            </w:pPr>
            <w:r>
              <w:t xml:space="preserve">Goldfish </w:t>
            </w:r>
            <w:r>
              <w:tab/>
            </w:r>
          </w:p>
        </w:tc>
        <w:tc>
          <w:tcPr>
            <w:tcW w:w="3544" w:type="dxa"/>
            <w:tcMar>
              <w:top w:w="28" w:type="dxa"/>
              <w:left w:w="85" w:type="dxa"/>
            </w:tcMar>
          </w:tcPr>
          <w:p>
            <w:pPr>
              <w:pStyle w:val="yTableNAm"/>
              <w:tabs>
                <w:tab w:val="clear" w:pos="567"/>
                <w:tab w:val="left" w:leader="dot" w:pos="3260"/>
              </w:tabs>
              <w:spacing w:before="0"/>
              <w:rPr>
                <w:i/>
                <w:iCs/>
              </w:rPr>
            </w:pPr>
            <w:r>
              <w:rPr>
                <w:i/>
                <w:iCs/>
              </w:rPr>
              <w:t>Carassius auratus</w:t>
            </w:r>
          </w:p>
        </w:tc>
      </w:tr>
      <w:tr>
        <w:tc>
          <w:tcPr>
            <w:tcW w:w="3541" w:type="dxa"/>
            <w:tcMar>
              <w:top w:w="28" w:type="dxa"/>
              <w:left w:w="85" w:type="dxa"/>
            </w:tcMar>
          </w:tcPr>
          <w:p>
            <w:pPr>
              <w:pStyle w:val="yTableNAm"/>
              <w:tabs>
                <w:tab w:val="clear" w:pos="567"/>
                <w:tab w:val="right" w:leader="dot" w:pos="3315"/>
              </w:tabs>
              <w:spacing w:before="0"/>
            </w:pPr>
            <w:r>
              <w:t xml:space="preserve">Grunter, Sooty </w:t>
            </w:r>
            <w:r>
              <w:tab/>
            </w:r>
          </w:p>
        </w:tc>
        <w:tc>
          <w:tcPr>
            <w:tcW w:w="3544" w:type="dxa"/>
            <w:tcMar>
              <w:top w:w="28" w:type="dxa"/>
              <w:left w:w="85" w:type="dxa"/>
            </w:tcMar>
          </w:tcPr>
          <w:p>
            <w:pPr>
              <w:pStyle w:val="yTableNAm"/>
              <w:tabs>
                <w:tab w:val="clear" w:pos="567"/>
                <w:tab w:val="left" w:leader="dot" w:pos="3260"/>
              </w:tabs>
              <w:spacing w:before="0"/>
              <w:rPr>
                <w:i/>
                <w:iCs/>
              </w:rPr>
            </w:pPr>
            <w:r>
              <w:rPr>
                <w:i/>
                <w:iCs/>
              </w:rPr>
              <w:t>Hephaestus fuliginasus</w:t>
            </w:r>
          </w:p>
        </w:tc>
      </w:tr>
      <w:tr>
        <w:tc>
          <w:tcPr>
            <w:tcW w:w="3541" w:type="dxa"/>
            <w:tcMar>
              <w:top w:w="28" w:type="dxa"/>
              <w:left w:w="85" w:type="dxa"/>
            </w:tcMar>
          </w:tcPr>
          <w:p>
            <w:pPr>
              <w:pStyle w:val="yTableNAm"/>
              <w:tabs>
                <w:tab w:val="clear" w:pos="567"/>
                <w:tab w:val="right" w:leader="dot" w:pos="3315"/>
              </w:tabs>
              <w:spacing w:before="0"/>
            </w:pPr>
            <w:r>
              <w:t xml:space="preserve">Perch, Golden </w:t>
            </w:r>
            <w:r>
              <w:tab/>
            </w:r>
          </w:p>
        </w:tc>
        <w:tc>
          <w:tcPr>
            <w:tcW w:w="3544" w:type="dxa"/>
            <w:tcMar>
              <w:top w:w="28" w:type="dxa"/>
              <w:left w:w="85" w:type="dxa"/>
            </w:tcMar>
          </w:tcPr>
          <w:p>
            <w:pPr>
              <w:pStyle w:val="yTableNAm"/>
              <w:tabs>
                <w:tab w:val="clear" w:pos="567"/>
                <w:tab w:val="left" w:leader="dot" w:pos="3260"/>
              </w:tabs>
              <w:spacing w:before="0"/>
              <w:rPr>
                <w:i/>
                <w:iCs/>
              </w:rPr>
            </w:pPr>
            <w:r>
              <w:rPr>
                <w:i/>
                <w:iCs/>
              </w:rPr>
              <w:t>Macquaria ambigua</w:t>
            </w:r>
          </w:p>
        </w:tc>
      </w:tr>
      <w:tr>
        <w:tc>
          <w:tcPr>
            <w:tcW w:w="3541" w:type="dxa"/>
            <w:tcMar>
              <w:top w:w="28" w:type="dxa"/>
              <w:left w:w="85" w:type="dxa"/>
            </w:tcMar>
          </w:tcPr>
          <w:p>
            <w:pPr>
              <w:pStyle w:val="yTableNAm"/>
              <w:tabs>
                <w:tab w:val="clear" w:pos="567"/>
                <w:tab w:val="right" w:leader="dot" w:pos="3315"/>
              </w:tabs>
              <w:spacing w:before="0"/>
            </w:pPr>
            <w:r>
              <w:t>Perch, Redfin (English or European)</w:t>
            </w:r>
            <w:r>
              <w:tab/>
            </w:r>
          </w:p>
        </w:tc>
        <w:tc>
          <w:tcPr>
            <w:tcW w:w="3544" w:type="dxa"/>
            <w:tcMar>
              <w:top w:w="28" w:type="dxa"/>
              <w:left w:w="85" w:type="dxa"/>
            </w:tcMar>
          </w:tcPr>
          <w:p>
            <w:pPr>
              <w:pStyle w:val="yTableNAm"/>
              <w:tabs>
                <w:tab w:val="clear" w:pos="567"/>
                <w:tab w:val="left" w:leader="dot" w:pos="3260"/>
              </w:tabs>
              <w:spacing w:before="0"/>
              <w:rPr>
                <w:i/>
                <w:iCs/>
              </w:rPr>
            </w:pPr>
            <w:r>
              <w:rPr>
                <w:i/>
                <w:iCs/>
              </w:rPr>
              <w:t>Perca fluviatilis</w:t>
            </w:r>
          </w:p>
        </w:tc>
      </w:tr>
      <w:tr>
        <w:tc>
          <w:tcPr>
            <w:tcW w:w="3541" w:type="dxa"/>
            <w:tcMar>
              <w:top w:w="28" w:type="dxa"/>
              <w:left w:w="85" w:type="dxa"/>
            </w:tcMar>
          </w:tcPr>
          <w:p>
            <w:pPr>
              <w:pStyle w:val="yTableNAm"/>
              <w:tabs>
                <w:tab w:val="clear" w:pos="567"/>
                <w:tab w:val="right" w:leader="dot" w:pos="3315"/>
              </w:tabs>
              <w:spacing w:before="0"/>
            </w:pPr>
            <w:r>
              <w:t xml:space="preserve">Perch, Silver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Bidyanus bidyanus</w:t>
            </w:r>
          </w:p>
        </w:tc>
      </w:tr>
      <w:tr>
        <w:tc>
          <w:tcPr>
            <w:tcW w:w="3541" w:type="dxa"/>
            <w:tcMar>
              <w:top w:w="28" w:type="dxa"/>
              <w:left w:w="85" w:type="dxa"/>
            </w:tcMar>
          </w:tcPr>
          <w:p>
            <w:pPr>
              <w:pStyle w:val="yTableNAm"/>
              <w:tabs>
                <w:tab w:val="clear" w:pos="567"/>
                <w:tab w:val="right" w:leader="dot" w:pos="3315"/>
              </w:tabs>
              <w:spacing w:before="0"/>
            </w:pPr>
            <w:r>
              <w:t xml:space="preserve">Sawfish </w:t>
            </w:r>
            <w:r>
              <w:tab/>
            </w:r>
          </w:p>
        </w:tc>
        <w:tc>
          <w:tcPr>
            <w:tcW w:w="3544" w:type="dxa"/>
            <w:tcMar>
              <w:top w:w="28" w:type="dxa"/>
              <w:left w:w="85" w:type="dxa"/>
            </w:tcMar>
          </w:tcPr>
          <w:p>
            <w:pPr>
              <w:pStyle w:val="yTableNAm"/>
              <w:tabs>
                <w:tab w:val="clear" w:pos="567"/>
                <w:tab w:val="left" w:leader="dot" w:pos="3260"/>
              </w:tabs>
              <w:spacing w:before="0"/>
            </w:pPr>
            <w:r>
              <w:rPr>
                <w:u w:val="single"/>
              </w:rPr>
              <w:t>Family</w:t>
            </w:r>
            <w:r>
              <w:t xml:space="preserve"> Pristidae</w:t>
            </w:r>
          </w:p>
        </w:tc>
      </w:tr>
      <w:tr>
        <w:tc>
          <w:tcPr>
            <w:tcW w:w="3541" w:type="dxa"/>
            <w:tcMar>
              <w:top w:w="28" w:type="dxa"/>
              <w:left w:w="85" w:type="dxa"/>
            </w:tcMar>
          </w:tcPr>
          <w:p>
            <w:pPr>
              <w:pStyle w:val="yTableNAm"/>
              <w:tabs>
                <w:tab w:val="clear" w:pos="567"/>
                <w:tab w:val="right" w:leader="dot" w:pos="3315"/>
              </w:tabs>
              <w:spacing w:before="0"/>
            </w:pPr>
            <w:r>
              <w:t xml:space="preserve">Trout, Brown </w:t>
            </w:r>
            <w:r>
              <w:tab/>
            </w:r>
          </w:p>
        </w:tc>
        <w:tc>
          <w:tcPr>
            <w:tcW w:w="3544" w:type="dxa"/>
            <w:tcMar>
              <w:top w:w="28" w:type="dxa"/>
              <w:left w:w="85" w:type="dxa"/>
            </w:tcMar>
          </w:tcPr>
          <w:p>
            <w:pPr>
              <w:pStyle w:val="yTableNAm"/>
              <w:tabs>
                <w:tab w:val="clear" w:pos="567"/>
                <w:tab w:val="left" w:leader="dot" w:pos="3260"/>
              </w:tabs>
              <w:spacing w:before="0"/>
              <w:rPr>
                <w:i/>
                <w:iCs/>
              </w:rPr>
            </w:pPr>
            <w:r>
              <w:rPr>
                <w:i/>
                <w:iCs/>
              </w:rPr>
              <w:t>Salmo trutta</w:t>
            </w:r>
          </w:p>
        </w:tc>
      </w:tr>
      <w:tr>
        <w:tc>
          <w:tcPr>
            <w:tcW w:w="3541" w:type="dxa"/>
            <w:tcBorders>
              <w:bottom w:val="single" w:sz="4" w:space="0" w:color="auto"/>
            </w:tcBorders>
            <w:tcMar>
              <w:top w:w="28" w:type="dxa"/>
              <w:left w:w="85" w:type="dxa"/>
            </w:tcMar>
          </w:tcPr>
          <w:p>
            <w:pPr>
              <w:pStyle w:val="yTableNAm"/>
              <w:tabs>
                <w:tab w:val="clear" w:pos="567"/>
                <w:tab w:val="right" w:leader="dot" w:pos="3315"/>
              </w:tabs>
              <w:spacing w:before="0"/>
            </w:pPr>
            <w:r>
              <w:t xml:space="preserve">Trout, Rainbow </w:t>
            </w:r>
            <w:r>
              <w:tab/>
            </w:r>
          </w:p>
        </w:tc>
        <w:tc>
          <w:tcPr>
            <w:tcW w:w="3544" w:type="dxa"/>
            <w:tcBorders>
              <w:bottom w:val="single" w:sz="4" w:space="0" w:color="auto"/>
            </w:tcBorders>
            <w:tcMar>
              <w:top w:w="28" w:type="dxa"/>
              <w:left w:w="85" w:type="dxa"/>
            </w:tcMar>
          </w:tcPr>
          <w:p>
            <w:pPr>
              <w:pStyle w:val="yTableNAm"/>
              <w:tabs>
                <w:tab w:val="clear" w:pos="567"/>
                <w:tab w:val="left" w:leader="dot" w:pos="3260"/>
              </w:tabs>
              <w:spacing w:before="0"/>
              <w:rPr>
                <w:i/>
                <w:iCs/>
              </w:rPr>
            </w:pPr>
            <w:r>
              <w:rPr>
                <w:i/>
                <w:iCs/>
              </w:rPr>
              <w:t>Oncorhynchus mykiss</w:t>
            </w:r>
          </w:p>
        </w:tc>
      </w:tr>
    </w:tbl>
    <w:p>
      <w:pPr>
        <w:pStyle w:val="yFootnotesection"/>
      </w:pPr>
      <w:bookmarkStart w:id="9552" w:name="_Toc189988214"/>
      <w:bookmarkStart w:id="9553" w:name="_Toc192041797"/>
      <w:bookmarkStart w:id="9554" w:name="_Toc199571031"/>
      <w:bookmarkStart w:id="9555" w:name="_Toc199739030"/>
      <w:bookmarkStart w:id="9556" w:name="_Toc199815131"/>
      <w:bookmarkStart w:id="9557" w:name="_Toc215040938"/>
      <w:bookmarkStart w:id="9558" w:name="_Toc215041383"/>
      <w:bookmarkStart w:id="9559" w:name="_Toc222129591"/>
      <w:bookmarkStart w:id="9560" w:name="_Toc222223296"/>
      <w:bookmarkStart w:id="9561" w:name="_Toc225914548"/>
      <w:bookmarkStart w:id="9562" w:name="_Toc231282593"/>
      <w:bookmarkStart w:id="9563" w:name="_Toc231283037"/>
      <w:r>
        <w:tab/>
        <w:t>[Division 2 amended in Gazette 22 Dec 2005 p. 6239; 13 Nov 2007 p. 5693; 23 Jul 2010 p. 3406.]</w:t>
      </w:r>
    </w:p>
    <w:p>
      <w:pPr>
        <w:pStyle w:val="yHeading3"/>
        <w:pageBreakBefore/>
      </w:pPr>
      <w:bookmarkStart w:id="9564" w:name="_Toc234899627"/>
      <w:bookmarkStart w:id="9565" w:name="_Toc236632909"/>
      <w:bookmarkStart w:id="9566" w:name="_Toc236720522"/>
      <w:bookmarkStart w:id="9567" w:name="_Toc237764721"/>
      <w:bookmarkStart w:id="9568" w:name="_Toc238356345"/>
      <w:bookmarkStart w:id="9569" w:name="_Toc238369050"/>
      <w:bookmarkStart w:id="9570" w:name="_Toc238376003"/>
      <w:bookmarkStart w:id="9571" w:name="_Toc240339327"/>
      <w:bookmarkStart w:id="9572" w:name="_Toc241993833"/>
      <w:bookmarkStart w:id="9573" w:name="_Toc243192976"/>
      <w:bookmarkStart w:id="9574" w:name="_Toc243295677"/>
      <w:bookmarkStart w:id="9575" w:name="_Toc245113250"/>
      <w:bookmarkStart w:id="9576" w:name="_Toc245198412"/>
      <w:bookmarkStart w:id="9577" w:name="_Toc245198861"/>
      <w:bookmarkStart w:id="9578" w:name="_Toc245199310"/>
      <w:bookmarkStart w:id="9579" w:name="_Toc248122342"/>
      <w:bookmarkStart w:id="9580" w:name="_Toc248122793"/>
      <w:bookmarkStart w:id="9581" w:name="_Toc253670780"/>
      <w:bookmarkStart w:id="9582" w:name="_Toc253671230"/>
      <w:bookmarkStart w:id="9583" w:name="_Toc254943004"/>
      <w:bookmarkStart w:id="9584" w:name="_Toc254943457"/>
      <w:bookmarkStart w:id="9585" w:name="_Toc255476049"/>
      <w:bookmarkStart w:id="9586" w:name="_Toc256432370"/>
      <w:bookmarkStart w:id="9587" w:name="_Toc257720707"/>
      <w:bookmarkStart w:id="9588" w:name="_Toc257722389"/>
      <w:bookmarkStart w:id="9589" w:name="_Toc258336065"/>
      <w:bookmarkStart w:id="9590" w:name="_Toc260406507"/>
      <w:bookmarkStart w:id="9591" w:name="_Toc261271693"/>
      <w:bookmarkStart w:id="9592" w:name="_Toc262808375"/>
      <w:bookmarkStart w:id="9593" w:name="_Toc267572767"/>
      <w:bookmarkStart w:id="9594" w:name="_Toc270684516"/>
      <w:bookmarkStart w:id="9595" w:name="_Toc274214693"/>
      <w:bookmarkStart w:id="9596" w:name="_Toc274215142"/>
      <w:bookmarkStart w:id="9597" w:name="_Toc278976473"/>
      <w:bookmarkStart w:id="9598" w:name="_Toc286760794"/>
      <w:bookmarkStart w:id="9599" w:name="_Toc289081139"/>
      <w:bookmarkStart w:id="9600" w:name="_Toc290284333"/>
      <w:bookmarkStart w:id="9601" w:name="_Toc290643154"/>
      <w:bookmarkStart w:id="9602" w:name="_Toc290643603"/>
      <w:bookmarkStart w:id="9603" w:name="_Toc290644056"/>
      <w:bookmarkStart w:id="9604" w:name="_Toc294701873"/>
      <w:bookmarkStart w:id="9605" w:name="_Toc295200281"/>
      <w:bookmarkStart w:id="9606" w:name="_Toc296954722"/>
      <w:bookmarkStart w:id="9607" w:name="_Toc297276357"/>
      <w:bookmarkStart w:id="9608" w:name="_Toc297276809"/>
      <w:bookmarkStart w:id="9609" w:name="_Toc297277259"/>
      <w:bookmarkStart w:id="9610" w:name="_Toc297726628"/>
      <w:bookmarkStart w:id="9611" w:name="_Toc299980414"/>
      <w:bookmarkStart w:id="9612" w:name="_Toc300235040"/>
      <w:bookmarkStart w:id="9613" w:name="_Toc301961543"/>
      <w:bookmarkStart w:id="9614" w:name="_Toc301967113"/>
      <w:bookmarkStart w:id="9615" w:name="_Toc303253322"/>
      <w:bookmarkStart w:id="9616" w:name="_Toc303257486"/>
      <w:bookmarkStart w:id="9617" w:name="_Toc307993119"/>
      <w:bookmarkStart w:id="9618" w:name="_Toc309030152"/>
      <w:bookmarkStart w:id="9619" w:name="_Toc309304375"/>
      <w:bookmarkStart w:id="9620" w:name="_Toc309309652"/>
      <w:r>
        <w:t>Division 3 — Crustaceans</w:t>
      </w:r>
      <w:bookmarkEnd w:id="9552"/>
      <w:bookmarkEnd w:id="9553"/>
      <w:bookmarkEnd w:id="9554"/>
      <w:bookmarkEnd w:id="9555"/>
      <w:bookmarkEnd w:id="9556"/>
      <w:bookmarkEnd w:id="9557"/>
      <w:bookmarkEnd w:id="9558"/>
      <w:bookmarkEnd w:id="9559"/>
      <w:bookmarkEnd w:id="9560"/>
      <w:bookmarkEnd w:id="9561"/>
      <w:bookmarkEnd w:id="9562"/>
      <w:bookmarkEnd w:id="9563"/>
      <w:bookmarkEnd w:id="9564"/>
      <w:bookmarkEnd w:id="9565"/>
      <w:bookmarkEnd w:id="9566"/>
      <w:bookmarkEnd w:id="9567"/>
      <w:bookmarkEnd w:id="9568"/>
      <w:bookmarkEnd w:id="9569"/>
      <w:bookmarkEnd w:id="9570"/>
      <w:bookmarkEnd w:id="9571"/>
      <w:bookmarkEnd w:id="9572"/>
      <w:bookmarkEnd w:id="9573"/>
      <w:bookmarkEnd w:id="9574"/>
      <w:bookmarkEnd w:id="9575"/>
      <w:bookmarkEnd w:id="9576"/>
      <w:bookmarkEnd w:id="9577"/>
      <w:bookmarkEnd w:id="9578"/>
      <w:bookmarkEnd w:id="9579"/>
      <w:bookmarkEnd w:id="9580"/>
      <w:bookmarkEnd w:id="9581"/>
      <w:bookmarkEnd w:id="9582"/>
      <w:bookmarkEnd w:id="9583"/>
      <w:bookmarkEnd w:id="9584"/>
      <w:bookmarkEnd w:id="9585"/>
      <w:bookmarkEnd w:id="9586"/>
      <w:bookmarkEnd w:id="9587"/>
      <w:bookmarkEnd w:id="9588"/>
      <w:bookmarkEnd w:id="9589"/>
      <w:bookmarkEnd w:id="9590"/>
      <w:bookmarkEnd w:id="9591"/>
      <w:bookmarkEnd w:id="9592"/>
      <w:bookmarkEnd w:id="9593"/>
      <w:bookmarkEnd w:id="9594"/>
      <w:bookmarkEnd w:id="9595"/>
      <w:bookmarkEnd w:id="9596"/>
      <w:bookmarkEnd w:id="9597"/>
      <w:bookmarkEnd w:id="9598"/>
      <w:bookmarkEnd w:id="9599"/>
      <w:bookmarkEnd w:id="9600"/>
      <w:bookmarkEnd w:id="9601"/>
      <w:bookmarkEnd w:id="9602"/>
      <w:bookmarkEnd w:id="9603"/>
      <w:bookmarkEnd w:id="9604"/>
      <w:bookmarkEnd w:id="9605"/>
      <w:bookmarkEnd w:id="9606"/>
      <w:bookmarkEnd w:id="9607"/>
      <w:bookmarkEnd w:id="9608"/>
      <w:bookmarkEnd w:id="9609"/>
      <w:bookmarkEnd w:id="9610"/>
      <w:bookmarkEnd w:id="9611"/>
      <w:bookmarkEnd w:id="9612"/>
      <w:bookmarkEnd w:id="9613"/>
      <w:bookmarkEnd w:id="9614"/>
      <w:bookmarkEnd w:id="9615"/>
      <w:bookmarkEnd w:id="9616"/>
      <w:bookmarkEnd w:id="9617"/>
      <w:bookmarkEnd w:id="9618"/>
      <w:bookmarkEnd w:id="9619"/>
      <w:bookmarkEnd w:id="9620"/>
    </w:p>
    <w:p>
      <w:pPr>
        <w:pStyle w:val="yFootnoteheading"/>
        <w:spacing w:after="240"/>
        <w:rPr>
          <w:snapToGrid w:val="0"/>
        </w:rPr>
      </w:pPr>
      <w:r>
        <w:rPr>
          <w:snapToGrid w:val="0"/>
        </w:rPr>
        <w:tab/>
        <w:t>[Heading inserted in Gazette 13 Nov 2007 p. 5692.]</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left w:w="85" w:type="dxa"/>
            </w:tcMar>
          </w:tcPr>
          <w:p>
            <w:pPr>
              <w:pStyle w:val="yTableNAm"/>
              <w:tabs>
                <w:tab w:val="clear" w:pos="567"/>
                <w:tab w:val="left" w:leader="dot" w:pos="3260"/>
                <w:tab w:val="right" w:leader="dot" w:pos="3969"/>
              </w:tabs>
              <w:spacing w:before="0"/>
              <w:rPr>
                <w:b/>
                <w:bCs/>
              </w:rPr>
            </w:pPr>
            <w:r>
              <w:rPr>
                <w:b/>
                <w:bCs/>
              </w:rPr>
              <w:t>Common name</w:t>
            </w:r>
          </w:p>
        </w:tc>
        <w:tc>
          <w:tcPr>
            <w:tcW w:w="3544" w:type="dxa"/>
            <w:tcBorders>
              <w:top w:val="single" w:sz="8" w:space="0" w:color="auto"/>
              <w:bottom w:val="single" w:sz="8" w:space="0" w:color="auto"/>
            </w:tcBorders>
            <w:tcMar>
              <w:top w:w="28" w:type="dxa"/>
              <w:left w:w="85" w:type="dxa"/>
            </w:tcMar>
          </w:tcPr>
          <w:p>
            <w:pPr>
              <w:pStyle w:val="yTableNAm"/>
              <w:tabs>
                <w:tab w:val="clear" w:pos="567"/>
                <w:tab w:val="left" w:leader="dot" w:pos="3260"/>
              </w:tabs>
              <w:spacing w:before="0"/>
              <w:rPr>
                <w:b/>
                <w:bCs/>
              </w:rPr>
            </w:pPr>
            <w:r>
              <w:rPr>
                <w:b/>
                <w:bCs/>
              </w:rPr>
              <w:t>Scientific name</w:t>
            </w:r>
          </w:p>
        </w:tc>
      </w:tr>
      <w:tr>
        <w:tc>
          <w:tcPr>
            <w:tcW w:w="3541" w:type="dxa"/>
            <w:tcMar>
              <w:top w:w="28" w:type="dxa"/>
              <w:left w:w="85" w:type="dxa"/>
            </w:tcMar>
          </w:tcPr>
          <w:p>
            <w:pPr>
              <w:pStyle w:val="yTableNAm"/>
              <w:tabs>
                <w:tab w:val="clear" w:pos="567"/>
                <w:tab w:val="right" w:leader="dot" w:pos="3315"/>
              </w:tabs>
              <w:spacing w:before="0"/>
            </w:pPr>
            <w:r>
              <w:t xml:space="preserve">Cherabin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Macrobrachium </w:t>
            </w:r>
            <w:r>
              <w:t>spp</w:t>
            </w:r>
            <w:r>
              <w:rPr>
                <w:i/>
                <w:iCs/>
              </w:rPr>
              <w:t>.</w:t>
            </w:r>
          </w:p>
        </w:tc>
      </w:tr>
      <w:tr>
        <w:tc>
          <w:tcPr>
            <w:tcW w:w="3541" w:type="dxa"/>
            <w:tcMar>
              <w:top w:w="28" w:type="dxa"/>
              <w:left w:w="85" w:type="dxa"/>
            </w:tcMar>
          </w:tcPr>
          <w:p>
            <w:pPr>
              <w:pStyle w:val="yTableNAm"/>
              <w:tabs>
                <w:tab w:val="clear" w:pos="567"/>
                <w:tab w:val="right" w:leader="dot" w:pos="3315"/>
              </w:tabs>
              <w:spacing w:before="0"/>
            </w:pPr>
            <w:r>
              <w:t xml:space="preserve">Crab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Chaceon, Hypothalassia, Ovalipes, Portunus, Pseudocarcinus </w:t>
            </w:r>
            <w:r>
              <w:t>and</w:t>
            </w:r>
            <w:r>
              <w:rPr>
                <w:i/>
                <w:iCs/>
              </w:rPr>
              <w:t xml:space="preserve"> Scylla </w:t>
            </w:r>
            <w:r>
              <w:t>spp.</w:t>
            </w:r>
          </w:p>
        </w:tc>
      </w:tr>
      <w:tr>
        <w:tc>
          <w:tcPr>
            <w:tcW w:w="3541" w:type="dxa"/>
            <w:tcMar>
              <w:top w:w="28" w:type="dxa"/>
              <w:left w:w="85" w:type="dxa"/>
            </w:tcMar>
          </w:tcPr>
          <w:p>
            <w:pPr>
              <w:pStyle w:val="yTableNAm"/>
              <w:tabs>
                <w:tab w:val="clear" w:pos="567"/>
                <w:tab w:val="right" w:leader="dot" w:pos="3315"/>
              </w:tabs>
              <w:spacing w:before="0"/>
            </w:pPr>
            <w:r>
              <w:t xml:space="preserve">Crab, Blue Manna (Blue Swimmer)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Portunus pelagicus</w:t>
            </w:r>
          </w:p>
        </w:tc>
      </w:tr>
      <w:tr>
        <w:tc>
          <w:tcPr>
            <w:tcW w:w="3541" w:type="dxa"/>
            <w:tcMar>
              <w:top w:w="28" w:type="dxa"/>
              <w:left w:w="85" w:type="dxa"/>
            </w:tcMar>
          </w:tcPr>
          <w:p>
            <w:pPr>
              <w:pStyle w:val="yTableNAm"/>
              <w:tabs>
                <w:tab w:val="clear" w:pos="567"/>
                <w:tab w:val="right" w:leader="dot" w:pos="3315"/>
              </w:tabs>
              <w:spacing w:before="0"/>
            </w:pPr>
            <w:r>
              <w:t xml:space="preserve">Crab, Brown Mud </w:t>
            </w:r>
            <w:r>
              <w:tab/>
            </w:r>
          </w:p>
        </w:tc>
        <w:tc>
          <w:tcPr>
            <w:tcW w:w="3544" w:type="dxa"/>
            <w:tcMar>
              <w:top w:w="28" w:type="dxa"/>
              <w:left w:w="85" w:type="dxa"/>
            </w:tcMar>
          </w:tcPr>
          <w:p>
            <w:pPr>
              <w:pStyle w:val="yTableNAm"/>
              <w:tabs>
                <w:tab w:val="clear" w:pos="567"/>
                <w:tab w:val="left" w:leader="dot" w:pos="3260"/>
              </w:tabs>
              <w:spacing w:before="0"/>
              <w:rPr>
                <w:i/>
                <w:iCs/>
              </w:rPr>
            </w:pPr>
            <w:r>
              <w:rPr>
                <w:i/>
                <w:iCs/>
              </w:rPr>
              <w:t>Scylla serrata</w:t>
            </w:r>
          </w:p>
        </w:tc>
      </w:tr>
      <w:tr>
        <w:tc>
          <w:tcPr>
            <w:tcW w:w="3541" w:type="dxa"/>
            <w:tcMar>
              <w:top w:w="28" w:type="dxa"/>
              <w:left w:w="85" w:type="dxa"/>
            </w:tcMar>
          </w:tcPr>
          <w:p>
            <w:pPr>
              <w:pStyle w:val="yTableNAm"/>
              <w:tabs>
                <w:tab w:val="clear" w:pos="567"/>
                <w:tab w:val="right" w:leader="dot" w:pos="3315"/>
              </w:tabs>
              <w:spacing w:before="0"/>
            </w:pPr>
            <w:r>
              <w:t xml:space="preserve">Crab, </w:t>
            </w:r>
            <w:smartTag w:uri="urn:schemas-microsoft-com:office:smarttags" w:element="place">
              <w:smartTag w:uri="urn:schemas-microsoft-com:office:smarttags" w:element="State">
                <w:r>
                  <w:t>Champagne</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Hypothalassia acerba</w:t>
            </w:r>
          </w:p>
        </w:tc>
      </w:tr>
      <w:tr>
        <w:tc>
          <w:tcPr>
            <w:tcW w:w="3541" w:type="dxa"/>
            <w:tcMar>
              <w:top w:w="28" w:type="dxa"/>
              <w:left w:w="85" w:type="dxa"/>
            </w:tcMar>
          </w:tcPr>
          <w:p>
            <w:pPr>
              <w:pStyle w:val="yTableNAm"/>
              <w:tabs>
                <w:tab w:val="clear" w:pos="567"/>
                <w:tab w:val="right" w:leader="dot" w:pos="3315"/>
              </w:tabs>
              <w:spacing w:before="0"/>
            </w:pPr>
            <w:r>
              <w:t xml:space="preserve">Crab, Crystal </w:t>
            </w:r>
            <w:r>
              <w:tab/>
            </w:r>
          </w:p>
        </w:tc>
        <w:tc>
          <w:tcPr>
            <w:tcW w:w="3544" w:type="dxa"/>
            <w:tcMar>
              <w:top w:w="28" w:type="dxa"/>
              <w:left w:w="85" w:type="dxa"/>
            </w:tcMar>
          </w:tcPr>
          <w:p>
            <w:pPr>
              <w:pStyle w:val="yTableNAm"/>
              <w:tabs>
                <w:tab w:val="clear" w:pos="567"/>
                <w:tab w:val="left" w:leader="dot" w:pos="3260"/>
              </w:tabs>
              <w:spacing w:before="0"/>
              <w:rPr>
                <w:i/>
                <w:iCs/>
              </w:rPr>
            </w:pPr>
            <w:r>
              <w:rPr>
                <w:i/>
                <w:iCs/>
              </w:rPr>
              <w:t>Chaceon </w:t>
            </w:r>
            <w:r>
              <w:t>spp.</w:t>
            </w:r>
          </w:p>
        </w:tc>
      </w:tr>
      <w:tr>
        <w:tc>
          <w:tcPr>
            <w:tcW w:w="3541" w:type="dxa"/>
            <w:tcMar>
              <w:top w:w="28" w:type="dxa"/>
              <w:left w:w="85" w:type="dxa"/>
            </w:tcMar>
          </w:tcPr>
          <w:p>
            <w:pPr>
              <w:pStyle w:val="yTableNAm"/>
              <w:tabs>
                <w:tab w:val="clear" w:pos="567"/>
                <w:tab w:val="right" w:leader="dot" w:pos="3315"/>
              </w:tabs>
              <w:spacing w:before="0"/>
            </w:pPr>
            <w:r>
              <w:t xml:space="preserve">Crab, Giant </w:t>
            </w:r>
            <w:r>
              <w:tab/>
            </w:r>
          </w:p>
        </w:tc>
        <w:tc>
          <w:tcPr>
            <w:tcW w:w="3544" w:type="dxa"/>
            <w:tcMar>
              <w:top w:w="28" w:type="dxa"/>
              <w:left w:w="85" w:type="dxa"/>
            </w:tcMar>
          </w:tcPr>
          <w:p>
            <w:pPr>
              <w:pStyle w:val="yTableNAm"/>
              <w:tabs>
                <w:tab w:val="clear" w:pos="567"/>
                <w:tab w:val="left" w:leader="dot" w:pos="3260"/>
              </w:tabs>
              <w:spacing w:before="0"/>
              <w:rPr>
                <w:i/>
                <w:iCs/>
              </w:rPr>
            </w:pPr>
            <w:r>
              <w:rPr>
                <w:i/>
                <w:iCs/>
              </w:rPr>
              <w:t>Pseudocarcinus gigas</w:t>
            </w:r>
          </w:p>
        </w:tc>
      </w:tr>
      <w:tr>
        <w:tc>
          <w:tcPr>
            <w:tcW w:w="3541" w:type="dxa"/>
            <w:tcMar>
              <w:top w:w="28" w:type="dxa"/>
              <w:left w:w="85" w:type="dxa"/>
            </w:tcMar>
          </w:tcPr>
          <w:p>
            <w:pPr>
              <w:pStyle w:val="yTableNAm"/>
              <w:tabs>
                <w:tab w:val="clear" w:pos="567"/>
                <w:tab w:val="right" w:leader="dot" w:pos="3315"/>
              </w:tabs>
              <w:spacing w:before="0"/>
            </w:pPr>
            <w:r>
              <w:t xml:space="preserve">Crab, Green Mud </w:t>
            </w:r>
            <w:r>
              <w:tab/>
            </w:r>
          </w:p>
        </w:tc>
        <w:tc>
          <w:tcPr>
            <w:tcW w:w="3544" w:type="dxa"/>
            <w:tcMar>
              <w:top w:w="28" w:type="dxa"/>
              <w:left w:w="85" w:type="dxa"/>
            </w:tcMar>
          </w:tcPr>
          <w:p>
            <w:pPr>
              <w:pStyle w:val="yTableNAm"/>
              <w:tabs>
                <w:tab w:val="clear" w:pos="567"/>
                <w:tab w:val="left" w:leader="dot" w:pos="3260"/>
              </w:tabs>
              <w:spacing w:before="0"/>
              <w:rPr>
                <w:i/>
                <w:iCs/>
              </w:rPr>
            </w:pPr>
            <w:r>
              <w:rPr>
                <w:i/>
                <w:iCs/>
              </w:rPr>
              <w:t>Scylla paramamosain</w:t>
            </w:r>
          </w:p>
        </w:tc>
      </w:tr>
      <w:tr>
        <w:tc>
          <w:tcPr>
            <w:tcW w:w="3541" w:type="dxa"/>
            <w:tcMar>
              <w:top w:w="28" w:type="dxa"/>
              <w:left w:w="85" w:type="dxa"/>
            </w:tcMar>
          </w:tcPr>
          <w:p>
            <w:pPr>
              <w:pStyle w:val="yTableNAm"/>
              <w:tabs>
                <w:tab w:val="clear" w:pos="567"/>
                <w:tab w:val="right" w:leader="dot" w:pos="3315"/>
              </w:tabs>
              <w:spacing w:before="0"/>
            </w:pPr>
            <w:r>
              <w:t xml:space="preserve">Crab, White Spotted Sand </w:t>
            </w:r>
            <w:r>
              <w:tab/>
            </w:r>
          </w:p>
        </w:tc>
        <w:tc>
          <w:tcPr>
            <w:tcW w:w="3544" w:type="dxa"/>
            <w:tcMar>
              <w:top w:w="28" w:type="dxa"/>
              <w:left w:w="85" w:type="dxa"/>
            </w:tcMar>
          </w:tcPr>
          <w:p>
            <w:pPr>
              <w:pStyle w:val="yTableNAm"/>
              <w:tabs>
                <w:tab w:val="clear" w:pos="567"/>
                <w:tab w:val="left" w:leader="dot" w:pos="3260"/>
              </w:tabs>
              <w:spacing w:before="0"/>
              <w:rPr>
                <w:i/>
                <w:iCs/>
              </w:rPr>
            </w:pPr>
            <w:r>
              <w:rPr>
                <w:i/>
                <w:iCs/>
              </w:rPr>
              <w:t>Ovalipes australiensis</w:t>
            </w:r>
          </w:p>
        </w:tc>
      </w:tr>
      <w:tr>
        <w:tc>
          <w:tcPr>
            <w:tcW w:w="3541" w:type="dxa"/>
            <w:tcMar>
              <w:top w:w="28" w:type="dxa"/>
              <w:left w:w="85" w:type="dxa"/>
            </w:tcMar>
          </w:tcPr>
          <w:p>
            <w:pPr>
              <w:pStyle w:val="yTableNAm"/>
              <w:tabs>
                <w:tab w:val="clear" w:pos="567"/>
                <w:tab w:val="right" w:leader="dot" w:pos="3315"/>
              </w:tabs>
              <w:spacing w:before="0"/>
            </w:pPr>
            <w:r>
              <w:t xml:space="preserve">Freshwater Crayfish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w:t>
            </w:r>
            <w:r>
              <w:t>spp</w:t>
            </w:r>
            <w:r>
              <w:rPr>
                <w:i/>
                <w:iCs/>
              </w:rPr>
              <w:t xml:space="preserve">. </w:t>
            </w:r>
            <w:r>
              <w:t xml:space="preserve">excluding </w:t>
            </w:r>
            <w:r>
              <w:rPr>
                <w:i/>
                <w:iCs/>
              </w:rPr>
              <w:t xml:space="preserve">C. tenuimanus </w:t>
            </w:r>
            <w:r>
              <w:t xml:space="preserve">and </w:t>
            </w:r>
            <w:r>
              <w:rPr>
                <w:i/>
                <w:iCs/>
              </w:rPr>
              <w:t>C. cainii</w:t>
            </w:r>
          </w:p>
        </w:tc>
      </w:tr>
      <w:tr>
        <w:tc>
          <w:tcPr>
            <w:tcW w:w="3541" w:type="dxa"/>
            <w:tcMar>
              <w:top w:w="28" w:type="dxa"/>
              <w:left w:w="85" w:type="dxa"/>
            </w:tcMar>
          </w:tcPr>
          <w:p>
            <w:pPr>
              <w:pStyle w:val="yTableNAm"/>
              <w:tabs>
                <w:tab w:val="clear" w:pos="567"/>
                <w:tab w:val="right" w:leader="dot" w:pos="3315"/>
              </w:tabs>
              <w:spacing w:before="0"/>
            </w:pPr>
            <w:r>
              <w:t xml:space="preserve">Gilgie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quinquecarinatus </w:t>
            </w:r>
            <w:r>
              <w:t xml:space="preserve">and </w:t>
            </w:r>
            <w:r>
              <w:rPr>
                <w:i/>
                <w:iCs/>
              </w:rPr>
              <w:t>crassimanus</w:t>
            </w:r>
          </w:p>
        </w:tc>
      </w:tr>
      <w:tr>
        <w:tc>
          <w:tcPr>
            <w:tcW w:w="3541" w:type="dxa"/>
            <w:tcMar>
              <w:top w:w="28" w:type="dxa"/>
              <w:left w:w="85" w:type="dxa"/>
            </w:tcMar>
          </w:tcPr>
          <w:p>
            <w:pPr>
              <w:pStyle w:val="yTableNAm"/>
              <w:tabs>
                <w:tab w:val="clear" w:pos="567"/>
                <w:tab w:val="right" w:leader="dot" w:pos="3315"/>
              </w:tabs>
              <w:spacing w:before="0"/>
            </w:pPr>
            <w:r>
              <w:t xml:space="preserve">Koonac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plebejus </w:t>
            </w:r>
            <w:r>
              <w:t xml:space="preserve">and </w:t>
            </w:r>
            <w:r>
              <w:rPr>
                <w:i/>
                <w:iCs/>
              </w:rPr>
              <w:t>glaber</w:t>
            </w:r>
          </w:p>
        </w:tc>
      </w:tr>
      <w:tr>
        <w:tc>
          <w:tcPr>
            <w:tcW w:w="3541" w:type="dxa"/>
            <w:tcMar>
              <w:top w:w="28" w:type="dxa"/>
              <w:left w:w="85" w:type="dxa"/>
            </w:tcMar>
          </w:tcPr>
          <w:p>
            <w:pPr>
              <w:pStyle w:val="yTableNAm"/>
              <w:tabs>
                <w:tab w:val="clear" w:pos="567"/>
                <w:tab w:val="right" w:leader="dot" w:pos="3315"/>
              </w:tabs>
              <w:spacing w:before="0"/>
            </w:pPr>
            <w:r>
              <w:t xml:space="preserve">Marron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tenuimanus </w:t>
            </w:r>
            <w:r>
              <w:t xml:space="preserve">and </w:t>
            </w:r>
            <w:r>
              <w:rPr>
                <w:i/>
                <w:iCs/>
              </w:rPr>
              <w:t>C. cainii</w:t>
            </w:r>
          </w:p>
        </w:tc>
      </w:tr>
      <w:tr>
        <w:tc>
          <w:tcPr>
            <w:tcW w:w="3541" w:type="dxa"/>
            <w:tcMar>
              <w:top w:w="28" w:type="dxa"/>
              <w:left w:w="85" w:type="dxa"/>
            </w:tcMar>
          </w:tcPr>
          <w:p>
            <w:pPr>
              <w:pStyle w:val="yTableNAm"/>
              <w:tabs>
                <w:tab w:val="clear" w:pos="567"/>
                <w:tab w:val="right" w:leader="dot" w:pos="3315"/>
              </w:tabs>
              <w:spacing w:before="0"/>
            </w:pPr>
            <w:r>
              <w:t xml:space="preserve">Marron, Blue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tenuimanus </w:t>
            </w:r>
            <w:r>
              <w:t>var.</w:t>
            </w:r>
            <w:r>
              <w:rPr>
                <w:i/>
                <w:iCs/>
              </w:rPr>
              <w:t xml:space="preserve"> caerulens</w:t>
            </w:r>
          </w:p>
        </w:tc>
      </w:tr>
      <w:tr>
        <w:tc>
          <w:tcPr>
            <w:tcW w:w="3541" w:type="dxa"/>
            <w:tcMar>
              <w:top w:w="28" w:type="dxa"/>
              <w:left w:w="85" w:type="dxa"/>
            </w:tcMar>
          </w:tcPr>
          <w:p>
            <w:pPr>
              <w:pStyle w:val="yTableNAm"/>
              <w:tabs>
                <w:tab w:val="clear" w:pos="567"/>
                <w:tab w:val="right" w:leader="dot" w:pos="3315"/>
              </w:tabs>
              <w:spacing w:before="0"/>
            </w:pPr>
            <w:r>
              <w:t xml:space="preserve">Prawn </w:t>
            </w:r>
            <w:r>
              <w:tab/>
            </w:r>
          </w:p>
        </w:tc>
        <w:tc>
          <w:tcPr>
            <w:tcW w:w="3544" w:type="dxa"/>
            <w:tcMar>
              <w:top w:w="28" w:type="dxa"/>
              <w:left w:w="85" w:type="dxa"/>
            </w:tcMar>
          </w:tcPr>
          <w:p>
            <w:pPr>
              <w:pStyle w:val="yTableNAm"/>
              <w:tabs>
                <w:tab w:val="clear" w:pos="567"/>
                <w:tab w:val="left" w:leader="dot" w:pos="3260"/>
              </w:tabs>
              <w:spacing w:before="0"/>
            </w:pPr>
            <w:r>
              <w:rPr>
                <w:u w:val="single"/>
              </w:rPr>
              <w:t>Family</w:t>
            </w:r>
            <w:r>
              <w:t xml:space="preserve"> Penaeidae</w:t>
            </w:r>
          </w:p>
        </w:tc>
      </w:tr>
      <w:tr>
        <w:tc>
          <w:tcPr>
            <w:tcW w:w="3541" w:type="dxa"/>
            <w:tcMar>
              <w:top w:w="28" w:type="dxa"/>
              <w:left w:w="85" w:type="dxa"/>
            </w:tcMar>
          </w:tcPr>
          <w:p>
            <w:pPr>
              <w:pStyle w:val="yTableNAm"/>
              <w:tabs>
                <w:tab w:val="clear" w:pos="567"/>
                <w:tab w:val="right" w:leader="dot" w:pos="3315"/>
              </w:tabs>
              <w:spacing w:before="0"/>
            </w:pPr>
            <w:r>
              <w:t xml:space="preserve">Prawn, Banana </w:t>
            </w:r>
            <w:r>
              <w:tab/>
            </w:r>
          </w:p>
        </w:tc>
        <w:tc>
          <w:tcPr>
            <w:tcW w:w="3544" w:type="dxa"/>
            <w:tcMar>
              <w:top w:w="28" w:type="dxa"/>
              <w:left w:w="85" w:type="dxa"/>
            </w:tcMar>
          </w:tcPr>
          <w:p>
            <w:pPr>
              <w:pStyle w:val="yTableNAm"/>
              <w:tabs>
                <w:tab w:val="clear" w:pos="567"/>
                <w:tab w:val="left" w:leader="dot" w:pos="3260"/>
              </w:tabs>
              <w:spacing w:before="0"/>
              <w:rPr>
                <w:i/>
                <w:iCs/>
              </w:rPr>
            </w:pPr>
            <w:r>
              <w:rPr>
                <w:i/>
                <w:iCs/>
              </w:rPr>
              <w:t>Penaeus merguiensis</w:t>
            </w:r>
          </w:p>
        </w:tc>
      </w:tr>
      <w:tr>
        <w:tc>
          <w:tcPr>
            <w:tcW w:w="3541" w:type="dxa"/>
            <w:tcMar>
              <w:top w:w="28" w:type="dxa"/>
              <w:left w:w="85" w:type="dxa"/>
            </w:tcMar>
          </w:tcPr>
          <w:p>
            <w:pPr>
              <w:pStyle w:val="yTableNAm"/>
              <w:tabs>
                <w:tab w:val="clear" w:pos="567"/>
                <w:tab w:val="right" w:leader="dot" w:pos="3315"/>
              </w:tabs>
              <w:spacing w:before="0"/>
            </w:pPr>
            <w:r>
              <w:t xml:space="preserve">Prawn, Brown Tiger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Penaeus esculentus</w:t>
            </w:r>
          </w:p>
        </w:tc>
      </w:tr>
      <w:tr>
        <w:tc>
          <w:tcPr>
            <w:tcW w:w="3541" w:type="dxa"/>
            <w:tcMar>
              <w:top w:w="28" w:type="dxa"/>
              <w:left w:w="85" w:type="dxa"/>
            </w:tcMar>
          </w:tcPr>
          <w:p>
            <w:pPr>
              <w:pStyle w:val="yTableNAm"/>
              <w:tabs>
                <w:tab w:val="clear" w:pos="567"/>
                <w:tab w:val="right" w:leader="dot" w:pos="3315"/>
              </w:tabs>
              <w:spacing w:before="0"/>
            </w:pPr>
            <w:r>
              <w:t xml:space="preserve">Prawn, Western King </w:t>
            </w:r>
            <w:r>
              <w:tab/>
            </w:r>
          </w:p>
        </w:tc>
        <w:tc>
          <w:tcPr>
            <w:tcW w:w="3544" w:type="dxa"/>
            <w:tcMar>
              <w:top w:w="28" w:type="dxa"/>
              <w:left w:w="85" w:type="dxa"/>
            </w:tcMar>
          </w:tcPr>
          <w:p>
            <w:pPr>
              <w:pStyle w:val="yTableNAm"/>
              <w:tabs>
                <w:tab w:val="clear" w:pos="567"/>
                <w:tab w:val="left" w:leader="dot" w:pos="3260"/>
              </w:tabs>
              <w:spacing w:before="0"/>
              <w:rPr>
                <w:i/>
                <w:iCs/>
              </w:rPr>
            </w:pPr>
            <w:r>
              <w:rPr>
                <w:i/>
                <w:iCs/>
              </w:rPr>
              <w:t>Penaeus latisulcatus</w:t>
            </w:r>
          </w:p>
        </w:tc>
      </w:tr>
      <w:tr>
        <w:tc>
          <w:tcPr>
            <w:tcW w:w="3541" w:type="dxa"/>
            <w:tcMar>
              <w:top w:w="28" w:type="dxa"/>
              <w:left w:w="85" w:type="dxa"/>
            </w:tcMar>
          </w:tcPr>
          <w:p>
            <w:pPr>
              <w:pStyle w:val="yTableNAm"/>
              <w:tabs>
                <w:tab w:val="clear" w:pos="567"/>
                <w:tab w:val="right" w:leader="dot" w:pos="3315"/>
              </w:tabs>
              <w:spacing w:before="0"/>
            </w:pPr>
            <w:r>
              <w:t xml:space="preserve">Prawn, </w:t>
            </w:r>
            <w:smartTag w:uri="urn:schemas-microsoft-com:office:smarttags" w:element="place">
              <w:smartTag w:uri="urn:schemas-microsoft-com:office:smarttags" w:element="PlaceName">
                <w:r>
                  <w:t>Western</w:t>
                </w:r>
              </w:smartTag>
              <w:r>
                <w:t xml:space="preserve"> </w:t>
              </w:r>
              <w:smartTag w:uri="urn:schemas-microsoft-com:office:smarttags" w:element="PlaceType">
                <w:r>
                  <w:t>School</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Metapenaeus dalli</w:t>
            </w:r>
          </w:p>
        </w:tc>
      </w:tr>
      <w:tr>
        <w:tc>
          <w:tcPr>
            <w:tcW w:w="3541" w:type="dxa"/>
            <w:tcMar>
              <w:top w:w="28" w:type="dxa"/>
              <w:left w:w="85" w:type="dxa"/>
            </w:tcMar>
          </w:tcPr>
          <w:p>
            <w:pPr>
              <w:pStyle w:val="yTableNAm"/>
              <w:tabs>
                <w:tab w:val="clear" w:pos="567"/>
                <w:tab w:val="right" w:leader="dot" w:pos="3315"/>
              </w:tabs>
              <w:spacing w:before="0"/>
            </w:pPr>
            <w:smartTag w:uri="urn:schemas-microsoft-com:office:smarttags" w:element="place">
              <w:smartTag w:uri="urn:schemas-microsoft-com:office:smarttags" w:element="City">
                <w:r>
                  <w:t>Redclaw</w:t>
                </w:r>
              </w:smartTag>
              <w:r>
                <w:t xml:space="preserve">, </w:t>
              </w:r>
              <w:smartTag w:uri="urn:schemas-microsoft-com:office:smarttags" w:element="State">
                <w:r>
                  <w:t>Queensland</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Cherax quadricarinatus</w:t>
            </w:r>
          </w:p>
        </w:tc>
      </w:tr>
      <w:tr>
        <w:tc>
          <w:tcPr>
            <w:tcW w:w="3541" w:type="dxa"/>
            <w:tcMar>
              <w:top w:w="28" w:type="dxa"/>
              <w:left w:w="85" w:type="dxa"/>
            </w:tcMar>
          </w:tcPr>
          <w:p>
            <w:pPr>
              <w:pStyle w:val="yTableNAm"/>
              <w:tabs>
                <w:tab w:val="clear" w:pos="567"/>
                <w:tab w:val="right" w:leader="dot" w:pos="3315"/>
              </w:tabs>
              <w:spacing w:before="0"/>
            </w:pPr>
            <w:r>
              <w:t xml:space="preserve">Rock Lobster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Jasus </w:t>
            </w:r>
            <w:r>
              <w:t xml:space="preserve">and </w:t>
            </w:r>
            <w:r>
              <w:rPr>
                <w:i/>
                <w:iCs/>
              </w:rPr>
              <w:t xml:space="preserve">Panulirus </w:t>
            </w:r>
            <w:r>
              <w:t>spp.</w:t>
            </w:r>
          </w:p>
        </w:tc>
      </w:tr>
      <w:tr>
        <w:tc>
          <w:tcPr>
            <w:tcW w:w="3541" w:type="dxa"/>
            <w:tcMar>
              <w:top w:w="28" w:type="dxa"/>
              <w:left w:w="85" w:type="dxa"/>
            </w:tcMar>
          </w:tcPr>
          <w:p>
            <w:pPr>
              <w:pStyle w:val="yTableNAm"/>
              <w:tabs>
                <w:tab w:val="clear" w:pos="567"/>
                <w:tab w:val="right" w:leader="dot" w:pos="3315"/>
              </w:tabs>
              <w:spacing w:before="0"/>
            </w:pPr>
            <w:r>
              <w:t xml:space="preserve">Rock Lobster, Ornate </w:t>
            </w:r>
            <w:r>
              <w:tab/>
            </w:r>
          </w:p>
        </w:tc>
        <w:tc>
          <w:tcPr>
            <w:tcW w:w="3544" w:type="dxa"/>
            <w:tcMar>
              <w:top w:w="28" w:type="dxa"/>
              <w:left w:w="85" w:type="dxa"/>
            </w:tcMar>
          </w:tcPr>
          <w:p>
            <w:pPr>
              <w:pStyle w:val="yTableNAm"/>
              <w:tabs>
                <w:tab w:val="clear" w:pos="567"/>
                <w:tab w:val="left" w:leader="dot" w:pos="3260"/>
              </w:tabs>
              <w:spacing w:before="0"/>
              <w:rPr>
                <w:i/>
                <w:iCs/>
              </w:rPr>
            </w:pPr>
            <w:r>
              <w:rPr>
                <w:i/>
                <w:iCs/>
              </w:rPr>
              <w:t>Panulirus ornatus</w:t>
            </w:r>
          </w:p>
        </w:tc>
      </w:tr>
      <w:tr>
        <w:tc>
          <w:tcPr>
            <w:tcW w:w="3541" w:type="dxa"/>
            <w:tcMar>
              <w:top w:w="28" w:type="dxa"/>
              <w:left w:w="85" w:type="dxa"/>
            </w:tcMar>
          </w:tcPr>
          <w:p>
            <w:pPr>
              <w:pStyle w:val="yTableNAm"/>
              <w:tabs>
                <w:tab w:val="clear" w:pos="567"/>
                <w:tab w:val="right" w:leader="dot" w:pos="3315"/>
              </w:tabs>
              <w:spacing w:before="0"/>
            </w:pPr>
            <w:r>
              <w:t xml:space="preserve">Rock Lobster, Southern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Jasus novaehollandiae </w:t>
            </w:r>
            <w:r>
              <w:t>and</w:t>
            </w:r>
            <w:r>
              <w:rPr>
                <w:i/>
                <w:iCs/>
              </w:rPr>
              <w:t xml:space="preserve"> edwardsii</w:t>
            </w:r>
          </w:p>
        </w:tc>
      </w:tr>
      <w:tr>
        <w:tc>
          <w:tcPr>
            <w:tcW w:w="3541" w:type="dxa"/>
            <w:tcMar>
              <w:top w:w="28" w:type="dxa"/>
              <w:left w:w="85" w:type="dxa"/>
            </w:tcMar>
          </w:tcPr>
          <w:p>
            <w:pPr>
              <w:pStyle w:val="yTableNAm"/>
              <w:tabs>
                <w:tab w:val="clear" w:pos="567"/>
                <w:tab w:val="right" w:leader="dot" w:pos="3315"/>
              </w:tabs>
              <w:spacing w:before="0"/>
            </w:pPr>
            <w:r>
              <w:t xml:space="preserve">Rock Lobster, Tropical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Panulirus </w:t>
            </w:r>
            <w:r>
              <w:t xml:space="preserve">spp. excluding </w:t>
            </w:r>
            <w:r>
              <w:rPr>
                <w:i/>
                <w:iCs/>
              </w:rPr>
              <w:t>P. cygnus</w:t>
            </w:r>
          </w:p>
        </w:tc>
      </w:tr>
      <w:tr>
        <w:tc>
          <w:tcPr>
            <w:tcW w:w="3541" w:type="dxa"/>
            <w:tcMar>
              <w:top w:w="28" w:type="dxa"/>
              <w:left w:w="85" w:type="dxa"/>
            </w:tcMar>
          </w:tcPr>
          <w:p>
            <w:pPr>
              <w:pStyle w:val="yTableNAm"/>
              <w:keepNext/>
              <w:tabs>
                <w:tab w:val="clear" w:pos="567"/>
                <w:tab w:val="right" w:leader="dot" w:pos="3315"/>
              </w:tabs>
              <w:spacing w:before="0"/>
            </w:pPr>
            <w:r>
              <w:t xml:space="preserve">Rock Lobster, Western </w:t>
            </w:r>
            <w:r>
              <w:tab/>
            </w:r>
          </w:p>
        </w:tc>
        <w:tc>
          <w:tcPr>
            <w:tcW w:w="3544" w:type="dxa"/>
            <w:tcMar>
              <w:top w:w="28" w:type="dxa"/>
              <w:left w:w="85" w:type="dxa"/>
            </w:tcMar>
          </w:tcPr>
          <w:p>
            <w:pPr>
              <w:pStyle w:val="yTableNAm"/>
              <w:keepNext/>
              <w:tabs>
                <w:tab w:val="clear" w:pos="567"/>
                <w:tab w:val="left" w:leader="dot" w:pos="3260"/>
              </w:tabs>
              <w:spacing w:before="0"/>
              <w:rPr>
                <w:i/>
                <w:iCs/>
              </w:rPr>
            </w:pPr>
            <w:r>
              <w:rPr>
                <w:i/>
                <w:iCs/>
              </w:rPr>
              <w:t>Panulirus cygnus</w:t>
            </w:r>
          </w:p>
        </w:tc>
      </w:tr>
      <w:tr>
        <w:tc>
          <w:tcPr>
            <w:tcW w:w="3541" w:type="dxa"/>
            <w:tcMar>
              <w:top w:w="28" w:type="dxa"/>
              <w:left w:w="85" w:type="dxa"/>
            </w:tcMar>
          </w:tcPr>
          <w:p>
            <w:pPr>
              <w:pStyle w:val="yTableNAm"/>
              <w:keepNext/>
              <w:tabs>
                <w:tab w:val="clear" w:pos="567"/>
                <w:tab w:val="right" w:leader="dot" w:pos="3315"/>
              </w:tabs>
              <w:spacing w:before="0"/>
            </w:pPr>
            <w:r>
              <w:t xml:space="preserve">Yabbie, Common </w:t>
            </w:r>
            <w:r>
              <w:tab/>
            </w:r>
          </w:p>
        </w:tc>
        <w:tc>
          <w:tcPr>
            <w:tcW w:w="3544" w:type="dxa"/>
            <w:tcMar>
              <w:top w:w="28" w:type="dxa"/>
              <w:left w:w="85" w:type="dxa"/>
            </w:tcMar>
          </w:tcPr>
          <w:p>
            <w:pPr>
              <w:pStyle w:val="yTableNAm"/>
              <w:keepNext/>
              <w:tabs>
                <w:tab w:val="clear" w:pos="567"/>
                <w:tab w:val="left" w:leader="dot" w:pos="3260"/>
              </w:tabs>
              <w:spacing w:before="0"/>
              <w:rPr>
                <w:i/>
                <w:iCs/>
              </w:rPr>
            </w:pPr>
            <w:r>
              <w:rPr>
                <w:i/>
                <w:iCs/>
              </w:rPr>
              <w:t>Cherax destructor</w:t>
            </w:r>
          </w:p>
        </w:tc>
      </w:tr>
      <w:tr>
        <w:tc>
          <w:tcPr>
            <w:tcW w:w="3541" w:type="dxa"/>
            <w:tcBorders>
              <w:bottom w:val="single" w:sz="8" w:space="0" w:color="auto"/>
            </w:tcBorders>
            <w:tcMar>
              <w:top w:w="28" w:type="dxa"/>
              <w:left w:w="85" w:type="dxa"/>
            </w:tcMar>
          </w:tcPr>
          <w:p>
            <w:pPr>
              <w:pStyle w:val="yTableNAm"/>
              <w:keepNext/>
              <w:tabs>
                <w:tab w:val="clear" w:pos="567"/>
                <w:tab w:val="right" w:leader="dot" w:pos="3315"/>
              </w:tabs>
              <w:spacing w:before="0"/>
            </w:pPr>
            <w:r>
              <w:t xml:space="preserve">Yabbie, White </w:t>
            </w:r>
            <w:r>
              <w:tab/>
            </w:r>
          </w:p>
        </w:tc>
        <w:tc>
          <w:tcPr>
            <w:tcW w:w="3544" w:type="dxa"/>
            <w:tcBorders>
              <w:bottom w:val="single" w:sz="8" w:space="0" w:color="auto"/>
            </w:tcBorders>
            <w:tcMar>
              <w:top w:w="28" w:type="dxa"/>
              <w:left w:w="85" w:type="dxa"/>
            </w:tcMar>
          </w:tcPr>
          <w:p>
            <w:pPr>
              <w:pStyle w:val="yTableNAm"/>
              <w:keepNext/>
              <w:tabs>
                <w:tab w:val="clear" w:pos="567"/>
                <w:tab w:val="left" w:leader="dot" w:pos="3260"/>
              </w:tabs>
              <w:spacing w:before="0"/>
              <w:rPr>
                <w:i/>
                <w:iCs/>
              </w:rPr>
            </w:pPr>
            <w:r>
              <w:rPr>
                <w:i/>
                <w:iCs/>
              </w:rPr>
              <w:t>Cherax albidus</w:t>
            </w:r>
          </w:p>
        </w:tc>
      </w:tr>
    </w:tbl>
    <w:p>
      <w:pPr>
        <w:pStyle w:val="yFootnotesection"/>
      </w:pPr>
      <w:bookmarkStart w:id="9621" w:name="_Toc189988215"/>
      <w:bookmarkStart w:id="9622" w:name="_Toc192041798"/>
      <w:bookmarkStart w:id="9623" w:name="_Toc199571032"/>
      <w:bookmarkStart w:id="9624" w:name="_Toc199739031"/>
      <w:bookmarkStart w:id="9625" w:name="_Toc199815132"/>
      <w:bookmarkStart w:id="9626" w:name="_Toc215040939"/>
      <w:bookmarkStart w:id="9627" w:name="_Toc215041384"/>
      <w:bookmarkStart w:id="9628" w:name="_Toc222129592"/>
      <w:bookmarkStart w:id="9629" w:name="_Toc222223297"/>
      <w:bookmarkStart w:id="9630" w:name="_Toc225914549"/>
      <w:bookmarkStart w:id="9631" w:name="_Toc231282594"/>
      <w:bookmarkStart w:id="9632" w:name="_Toc231283038"/>
      <w:r>
        <w:tab/>
        <w:t>[Division 3 amended in Gazette 30 Aug 1996 p. 4321; 15 Jan 1999 p. 113; 21 Dec 1999 p. 6410; 13 Dec 2002 p. 5798; 22 Dec 2005 p. 6239; 13 Nov 2007 p. 5692</w:t>
      </w:r>
      <w:r>
        <w:noBreakHyphen/>
        <w:t>3.]</w:t>
      </w:r>
    </w:p>
    <w:p>
      <w:pPr>
        <w:pStyle w:val="yHeading3"/>
        <w:pageBreakBefore/>
      </w:pPr>
      <w:bookmarkStart w:id="9633" w:name="_Toc234899628"/>
      <w:bookmarkStart w:id="9634" w:name="_Toc236632910"/>
      <w:bookmarkStart w:id="9635" w:name="_Toc236720523"/>
      <w:bookmarkStart w:id="9636" w:name="_Toc237764722"/>
      <w:bookmarkStart w:id="9637" w:name="_Toc238356346"/>
      <w:bookmarkStart w:id="9638" w:name="_Toc238369051"/>
      <w:bookmarkStart w:id="9639" w:name="_Toc238376004"/>
      <w:bookmarkStart w:id="9640" w:name="_Toc240339328"/>
      <w:bookmarkStart w:id="9641" w:name="_Toc241993834"/>
      <w:bookmarkStart w:id="9642" w:name="_Toc243192977"/>
      <w:bookmarkStart w:id="9643" w:name="_Toc243295678"/>
      <w:bookmarkStart w:id="9644" w:name="_Toc245113251"/>
      <w:bookmarkStart w:id="9645" w:name="_Toc245198413"/>
      <w:bookmarkStart w:id="9646" w:name="_Toc245198862"/>
      <w:bookmarkStart w:id="9647" w:name="_Toc245199311"/>
      <w:bookmarkStart w:id="9648" w:name="_Toc248122343"/>
      <w:bookmarkStart w:id="9649" w:name="_Toc248122794"/>
      <w:bookmarkStart w:id="9650" w:name="_Toc253670781"/>
      <w:bookmarkStart w:id="9651" w:name="_Toc253671231"/>
      <w:bookmarkStart w:id="9652" w:name="_Toc254943005"/>
      <w:bookmarkStart w:id="9653" w:name="_Toc254943458"/>
      <w:bookmarkStart w:id="9654" w:name="_Toc255476050"/>
      <w:bookmarkStart w:id="9655" w:name="_Toc256432371"/>
      <w:bookmarkStart w:id="9656" w:name="_Toc257720708"/>
      <w:bookmarkStart w:id="9657" w:name="_Toc257722390"/>
      <w:bookmarkStart w:id="9658" w:name="_Toc258336066"/>
      <w:bookmarkStart w:id="9659" w:name="_Toc260406508"/>
      <w:bookmarkStart w:id="9660" w:name="_Toc261271694"/>
      <w:bookmarkStart w:id="9661" w:name="_Toc262808376"/>
      <w:bookmarkStart w:id="9662" w:name="_Toc267572768"/>
      <w:bookmarkStart w:id="9663" w:name="_Toc270684517"/>
      <w:bookmarkStart w:id="9664" w:name="_Toc274214694"/>
      <w:bookmarkStart w:id="9665" w:name="_Toc274215143"/>
      <w:bookmarkStart w:id="9666" w:name="_Toc278976474"/>
      <w:bookmarkStart w:id="9667" w:name="_Toc286760795"/>
      <w:bookmarkStart w:id="9668" w:name="_Toc289081140"/>
      <w:bookmarkStart w:id="9669" w:name="_Toc290284334"/>
      <w:bookmarkStart w:id="9670" w:name="_Toc290643155"/>
      <w:bookmarkStart w:id="9671" w:name="_Toc290643604"/>
      <w:bookmarkStart w:id="9672" w:name="_Toc290644057"/>
      <w:bookmarkStart w:id="9673" w:name="_Toc294701874"/>
      <w:bookmarkStart w:id="9674" w:name="_Toc295200282"/>
      <w:bookmarkStart w:id="9675" w:name="_Toc296954723"/>
      <w:bookmarkStart w:id="9676" w:name="_Toc297276358"/>
      <w:bookmarkStart w:id="9677" w:name="_Toc297276810"/>
      <w:bookmarkStart w:id="9678" w:name="_Toc297277260"/>
      <w:bookmarkStart w:id="9679" w:name="_Toc297726629"/>
      <w:bookmarkStart w:id="9680" w:name="_Toc299980415"/>
      <w:bookmarkStart w:id="9681" w:name="_Toc300235041"/>
      <w:bookmarkStart w:id="9682" w:name="_Toc301961544"/>
      <w:bookmarkStart w:id="9683" w:name="_Toc301967114"/>
      <w:bookmarkStart w:id="9684" w:name="_Toc303253323"/>
      <w:bookmarkStart w:id="9685" w:name="_Toc303257487"/>
      <w:bookmarkStart w:id="9686" w:name="_Toc307993120"/>
      <w:bookmarkStart w:id="9687" w:name="_Toc309030153"/>
      <w:bookmarkStart w:id="9688" w:name="_Toc309304376"/>
      <w:bookmarkStart w:id="9689" w:name="_Toc309309653"/>
      <w:r>
        <w:t>Division 4 — Molluscs</w:t>
      </w:r>
      <w:bookmarkEnd w:id="9621"/>
      <w:bookmarkEnd w:id="9622"/>
      <w:bookmarkEnd w:id="9623"/>
      <w:bookmarkEnd w:id="9624"/>
      <w:bookmarkEnd w:id="9625"/>
      <w:bookmarkEnd w:id="9626"/>
      <w:bookmarkEnd w:id="9627"/>
      <w:bookmarkEnd w:id="9628"/>
      <w:bookmarkEnd w:id="9629"/>
      <w:bookmarkEnd w:id="9630"/>
      <w:bookmarkEnd w:id="9631"/>
      <w:bookmarkEnd w:id="9632"/>
      <w:bookmarkEnd w:id="9633"/>
      <w:bookmarkEnd w:id="9634"/>
      <w:bookmarkEnd w:id="9635"/>
      <w:bookmarkEnd w:id="9636"/>
      <w:bookmarkEnd w:id="9637"/>
      <w:bookmarkEnd w:id="9638"/>
      <w:bookmarkEnd w:id="9639"/>
      <w:bookmarkEnd w:id="9640"/>
      <w:bookmarkEnd w:id="9641"/>
      <w:bookmarkEnd w:id="9642"/>
      <w:bookmarkEnd w:id="9643"/>
      <w:bookmarkEnd w:id="9644"/>
      <w:bookmarkEnd w:id="9645"/>
      <w:bookmarkEnd w:id="9646"/>
      <w:bookmarkEnd w:id="9647"/>
      <w:bookmarkEnd w:id="9648"/>
      <w:bookmarkEnd w:id="9649"/>
      <w:bookmarkEnd w:id="9650"/>
      <w:bookmarkEnd w:id="9651"/>
      <w:bookmarkEnd w:id="9652"/>
      <w:bookmarkEnd w:id="9653"/>
      <w:bookmarkEnd w:id="9654"/>
      <w:bookmarkEnd w:id="9655"/>
      <w:bookmarkEnd w:id="9656"/>
      <w:bookmarkEnd w:id="9657"/>
      <w:bookmarkEnd w:id="9658"/>
      <w:bookmarkEnd w:id="9659"/>
      <w:bookmarkEnd w:id="9660"/>
      <w:bookmarkEnd w:id="9661"/>
      <w:bookmarkEnd w:id="9662"/>
      <w:bookmarkEnd w:id="9663"/>
      <w:bookmarkEnd w:id="9664"/>
      <w:bookmarkEnd w:id="9665"/>
      <w:bookmarkEnd w:id="9666"/>
      <w:bookmarkEnd w:id="9667"/>
      <w:bookmarkEnd w:id="9668"/>
      <w:bookmarkEnd w:id="9669"/>
      <w:bookmarkEnd w:id="9670"/>
      <w:bookmarkEnd w:id="9671"/>
      <w:bookmarkEnd w:id="9672"/>
      <w:bookmarkEnd w:id="9673"/>
      <w:bookmarkEnd w:id="9674"/>
      <w:bookmarkEnd w:id="9675"/>
      <w:bookmarkEnd w:id="9676"/>
      <w:bookmarkEnd w:id="9677"/>
      <w:bookmarkEnd w:id="9678"/>
      <w:bookmarkEnd w:id="9679"/>
      <w:bookmarkEnd w:id="9680"/>
      <w:bookmarkEnd w:id="9681"/>
      <w:bookmarkEnd w:id="9682"/>
      <w:bookmarkEnd w:id="9683"/>
      <w:bookmarkEnd w:id="9684"/>
      <w:bookmarkEnd w:id="9685"/>
      <w:bookmarkEnd w:id="9686"/>
      <w:bookmarkEnd w:id="9687"/>
      <w:bookmarkEnd w:id="9688"/>
      <w:bookmarkEnd w:id="9689"/>
    </w:p>
    <w:p>
      <w:pPr>
        <w:pStyle w:val="yFootnoteheading"/>
        <w:spacing w:after="80"/>
        <w:rPr>
          <w:snapToGrid w:val="0"/>
        </w:rPr>
      </w:pPr>
      <w:r>
        <w:rPr>
          <w:snapToGrid w:val="0"/>
        </w:rPr>
        <w:tab/>
        <w:t>[Heading inserted in Gazette 13 Nov 2007 p. 5693.]</w:t>
      </w:r>
    </w:p>
    <w:tbl>
      <w:tblPr>
        <w:tblW w:w="0" w:type="auto"/>
        <w:tblInd w:w="113" w:type="dxa"/>
        <w:tblLayout w:type="fixed"/>
        <w:tblCellMar>
          <w:left w:w="141" w:type="dxa"/>
          <w:right w:w="141" w:type="dxa"/>
        </w:tblCellMar>
        <w:tblLook w:val="0000" w:firstRow="0" w:lastRow="0" w:firstColumn="0" w:lastColumn="0" w:noHBand="0" w:noVBand="0"/>
      </w:tblPr>
      <w:tblGrid>
        <w:gridCol w:w="3360"/>
        <w:gridCol w:w="3725"/>
      </w:tblGrid>
      <w:tr>
        <w:trPr>
          <w:tblHeader/>
        </w:trPr>
        <w:tc>
          <w:tcPr>
            <w:tcW w:w="3360" w:type="dxa"/>
            <w:tcBorders>
              <w:top w:val="single" w:sz="8" w:space="0" w:color="auto"/>
              <w:bottom w:val="single" w:sz="8" w:space="0" w:color="auto"/>
            </w:tcBorders>
            <w:tcMar>
              <w:top w:w="28" w:type="dxa"/>
              <w:left w:w="85" w:type="dxa"/>
            </w:tcMar>
          </w:tcPr>
          <w:p>
            <w:pPr>
              <w:pStyle w:val="yTableNAm"/>
              <w:tabs>
                <w:tab w:val="clear" w:pos="567"/>
                <w:tab w:val="right" w:leader="dot" w:pos="3969"/>
              </w:tabs>
              <w:spacing w:before="0"/>
              <w:rPr>
                <w:b/>
                <w:bCs/>
              </w:rPr>
            </w:pPr>
            <w:r>
              <w:rPr>
                <w:b/>
                <w:bCs/>
              </w:rPr>
              <w:t>Common name</w:t>
            </w:r>
          </w:p>
        </w:tc>
        <w:tc>
          <w:tcPr>
            <w:tcW w:w="3725" w:type="dxa"/>
            <w:tcBorders>
              <w:top w:val="single" w:sz="8" w:space="0" w:color="auto"/>
              <w:bottom w:val="single" w:sz="8" w:space="0" w:color="auto"/>
            </w:tcBorders>
            <w:tcMar>
              <w:top w:w="28" w:type="dxa"/>
              <w:left w:w="85" w:type="dxa"/>
            </w:tcMar>
          </w:tcPr>
          <w:p>
            <w:pPr>
              <w:pStyle w:val="yTableNAm"/>
              <w:tabs>
                <w:tab w:val="clear" w:pos="567"/>
                <w:tab w:val="left" w:leader="dot" w:pos="3260"/>
              </w:tabs>
              <w:spacing w:before="0"/>
              <w:rPr>
                <w:b/>
                <w:bCs/>
              </w:rPr>
            </w:pPr>
            <w:r>
              <w:rPr>
                <w:b/>
                <w:bCs/>
              </w:rPr>
              <w:t>Scientific name</w:t>
            </w:r>
          </w:p>
        </w:tc>
      </w:tr>
      <w:tr>
        <w:tc>
          <w:tcPr>
            <w:tcW w:w="3360" w:type="dxa"/>
            <w:tcMar>
              <w:top w:w="28" w:type="dxa"/>
              <w:left w:w="85" w:type="dxa"/>
            </w:tcMar>
          </w:tcPr>
          <w:p>
            <w:pPr>
              <w:pStyle w:val="yTableNAm"/>
              <w:tabs>
                <w:tab w:val="clear" w:pos="567"/>
                <w:tab w:val="right" w:leader="dot" w:pos="3969"/>
              </w:tabs>
              <w:spacing w:before="0"/>
            </w:pPr>
            <w:r>
              <w:t>CEPHALOPODS</w:t>
            </w: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099"/>
              </w:tabs>
              <w:spacing w:before="0"/>
            </w:pPr>
            <w:r>
              <w:t xml:space="preserve">Cuttlefish </w:t>
            </w:r>
            <w:r>
              <w:tab/>
            </w:r>
          </w:p>
        </w:tc>
        <w:tc>
          <w:tcPr>
            <w:tcW w:w="3725" w:type="dxa"/>
            <w:tcMar>
              <w:top w:w="28" w:type="dxa"/>
              <w:left w:w="85"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xml:space="preserve"> Sepioidea</w:t>
            </w:r>
          </w:p>
        </w:tc>
      </w:tr>
      <w:tr>
        <w:tc>
          <w:tcPr>
            <w:tcW w:w="3360" w:type="dxa"/>
            <w:tcMar>
              <w:top w:w="28" w:type="dxa"/>
              <w:left w:w="85" w:type="dxa"/>
            </w:tcMar>
          </w:tcPr>
          <w:p>
            <w:pPr>
              <w:pStyle w:val="yTableNAm"/>
              <w:tabs>
                <w:tab w:val="clear" w:pos="567"/>
                <w:tab w:val="right" w:leader="dot" w:pos="3099"/>
              </w:tabs>
              <w:spacing w:before="0"/>
            </w:pPr>
            <w:r>
              <w:t xml:space="preserve">Octopus </w:t>
            </w:r>
            <w:r>
              <w:tab/>
            </w:r>
          </w:p>
        </w:tc>
        <w:tc>
          <w:tcPr>
            <w:tcW w:w="3725" w:type="dxa"/>
            <w:tcMar>
              <w:top w:w="28" w:type="dxa"/>
              <w:left w:w="85"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xml:space="preserve"> Octopoda</w:t>
            </w:r>
          </w:p>
        </w:tc>
      </w:tr>
      <w:tr>
        <w:tc>
          <w:tcPr>
            <w:tcW w:w="3360" w:type="dxa"/>
            <w:tcMar>
              <w:top w:w="28" w:type="dxa"/>
              <w:left w:w="85" w:type="dxa"/>
            </w:tcMar>
          </w:tcPr>
          <w:p>
            <w:pPr>
              <w:pStyle w:val="yTableNAm"/>
              <w:tabs>
                <w:tab w:val="clear" w:pos="567"/>
                <w:tab w:val="right" w:leader="dot" w:pos="3099"/>
              </w:tabs>
              <w:spacing w:before="0"/>
            </w:pPr>
            <w:r>
              <w:t xml:space="preserve">Squid </w:t>
            </w:r>
            <w:r>
              <w:tab/>
            </w:r>
          </w:p>
        </w:tc>
        <w:tc>
          <w:tcPr>
            <w:tcW w:w="3725" w:type="dxa"/>
            <w:tcMar>
              <w:top w:w="28" w:type="dxa"/>
              <w:left w:w="85"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Teuthoidea</w:t>
            </w:r>
          </w:p>
        </w:tc>
      </w:tr>
      <w:tr>
        <w:tc>
          <w:tcPr>
            <w:tcW w:w="3360" w:type="dxa"/>
            <w:tcMar>
              <w:top w:w="28" w:type="dxa"/>
              <w:left w:w="85" w:type="dxa"/>
            </w:tcMar>
          </w:tcPr>
          <w:p>
            <w:pPr>
              <w:pStyle w:val="yTableNAm"/>
              <w:tabs>
                <w:tab w:val="clear" w:pos="567"/>
                <w:tab w:val="right" w:leader="dot" w:pos="3969"/>
              </w:tabs>
              <w:spacing w:before="0"/>
            </w:pP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969"/>
              </w:tabs>
              <w:spacing w:before="0"/>
            </w:pPr>
            <w:r>
              <w:t>GASTROPODS</w:t>
            </w: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099"/>
              </w:tabs>
              <w:spacing w:before="0"/>
            </w:pPr>
            <w:r>
              <w:t xml:space="preserve">Abalone (all species) </w:t>
            </w:r>
            <w:r>
              <w:tab/>
            </w:r>
          </w:p>
        </w:tc>
        <w:tc>
          <w:tcPr>
            <w:tcW w:w="3725" w:type="dxa"/>
            <w:tcMar>
              <w:top w:w="28" w:type="dxa"/>
              <w:left w:w="85" w:type="dxa"/>
            </w:tcMar>
          </w:tcPr>
          <w:p>
            <w:pPr>
              <w:pStyle w:val="yTableNAm"/>
              <w:tabs>
                <w:tab w:val="clear" w:pos="567"/>
                <w:tab w:val="left" w:leader="dot" w:pos="3260"/>
              </w:tabs>
              <w:spacing w:before="0"/>
              <w:rPr>
                <w:i/>
                <w:iCs/>
              </w:rPr>
            </w:pPr>
            <w:r>
              <w:rPr>
                <w:i/>
                <w:iCs/>
              </w:rPr>
              <w:t xml:space="preserve">Haliotis </w:t>
            </w:r>
            <w:r>
              <w:t>spp.</w:t>
            </w:r>
          </w:p>
        </w:tc>
      </w:tr>
      <w:tr>
        <w:tc>
          <w:tcPr>
            <w:tcW w:w="3360" w:type="dxa"/>
            <w:tcMar>
              <w:top w:w="28" w:type="dxa"/>
              <w:left w:w="85" w:type="dxa"/>
            </w:tcMar>
          </w:tcPr>
          <w:p>
            <w:pPr>
              <w:pStyle w:val="yTableNAm"/>
              <w:tabs>
                <w:tab w:val="clear" w:pos="567"/>
                <w:tab w:val="right" w:leader="dot" w:pos="3099"/>
              </w:tabs>
              <w:spacing w:before="0"/>
            </w:pPr>
            <w:r>
              <w:t xml:space="preserve">Abalone, Brownlip </w:t>
            </w:r>
            <w:r>
              <w:tab/>
            </w:r>
          </w:p>
        </w:tc>
        <w:tc>
          <w:tcPr>
            <w:tcW w:w="3725" w:type="dxa"/>
            <w:tcMar>
              <w:top w:w="28" w:type="dxa"/>
              <w:left w:w="85" w:type="dxa"/>
            </w:tcMar>
          </w:tcPr>
          <w:p>
            <w:pPr>
              <w:pStyle w:val="yTableNAm"/>
              <w:tabs>
                <w:tab w:val="clear" w:pos="567"/>
                <w:tab w:val="left" w:leader="dot" w:pos="3260"/>
              </w:tabs>
              <w:spacing w:before="0"/>
              <w:rPr>
                <w:i/>
                <w:iCs/>
              </w:rPr>
            </w:pPr>
            <w:r>
              <w:rPr>
                <w:i/>
                <w:iCs/>
              </w:rPr>
              <w:t>Haliotis conicopora</w:t>
            </w:r>
          </w:p>
        </w:tc>
      </w:tr>
      <w:tr>
        <w:tc>
          <w:tcPr>
            <w:tcW w:w="3360" w:type="dxa"/>
            <w:tcMar>
              <w:top w:w="28" w:type="dxa"/>
              <w:left w:w="85" w:type="dxa"/>
            </w:tcMar>
          </w:tcPr>
          <w:p>
            <w:pPr>
              <w:pStyle w:val="yTableNAm"/>
              <w:tabs>
                <w:tab w:val="clear" w:pos="567"/>
                <w:tab w:val="right" w:leader="dot" w:pos="3099"/>
              </w:tabs>
              <w:spacing w:before="0"/>
            </w:pPr>
            <w:r>
              <w:t xml:space="preserve">Abalone, Greenlip </w:t>
            </w:r>
            <w:r>
              <w:tab/>
            </w:r>
          </w:p>
        </w:tc>
        <w:tc>
          <w:tcPr>
            <w:tcW w:w="3725" w:type="dxa"/>
            <w:tcMar>
              <w:top w:w="28" w:type="dxa"/>
              <w:left w:w="85" w:type="dxa"/>
            </w:tcMar>
          </w:tcPr>
          <w:p>
            <w:pPr>
              <w:pStyle w:val="yTableNAm"/>
              <w:tabs>
                <w:tab w:val="clear" w:pos="567"/>
                <w:tab w:val="left" w:leader="dot" w:pos="3260"/>
              </w:tabs>
              <w:spacing w:before="0"/>
              <w:rPr>
                <w:i/>
                <w:iCs/>
              </w:rPr>
            </w:pPr>
            <w:r>
              <w:rPr>
                <w:i/>
                <w:iCs/>
              </w:rPr>
              <w:t>Haliotis laevigata</w:t>
            </w:r>
          </w:p>
        </w:tc>
      </w:tr>
      <w:tr>
        <w:tc>
          <w:tcPr>
            <w:tcW w:w="3360" w:type="dxa"/>
            <w:tcMar>
              <w:top w:w="28" w:type="dxa"/>
              <w:left w:w="85" w:type="dxa"/>
            </w:tcMar>
          </w:tcPr>
          <w:p>
            <w:pPr>
              <w:pStyle w:val="yTableNAm"/>
              <w:tabs>
                <w:tab w:val="clear" w:pos="567"/>
                <w:tab w:val="right" w:leader="dot" w:pos="3099"/>
              </w:tabs>
              <w:spacing w:before="0"/>
            </w:pPr>
            <w:r>
              <w:t xml:space="preserve">Abalone, Roe’s </w:t>
            </w:r>
            <w:r>
              <w:tab/>
            </w:r>
          </w:p>
        </w:tc>
        <w:tc>
          <w:tcPr>
            <w:tcW w:w="3725" w:type="dxa"/>
            <w:tcMar>
              <w:top w:w="28" w:type="dxa"/>
              <w:left w:w="85" w:type="dxa"/>
            </w:tcMar>
          </w:tcPr>
          <w:p>
            <w:pPr>
              <w:pStyle w:val="yTableNAm"/>
              <w:tabs>
                <w:tab w:val="clear" w:pos="567"/>
                <w:tab w:val="left" w:leader="dot" w:pos="3260"/>
              </w:tabs>
              <w:spacing w:before="0"/>
              <w:rPr>
                <w:i/>
                <w:iCs/>
              </w:rPr>
            </w:pPr>
            <w:r>
              <w:rPr>
                <w:i/>
                <w:iCs/>
              </w:rPr>
              <w:t>Haliotis roei</w:t>
            </w:r>
          </w:p>
        </w:tc>
      </w:tr>
      <w:tr>
        <w:tc>
          <w:tcPr>
            <w:tcW w:w="3360" w:type="dxa"/>
            <w:tcMar>
              <w:top w:w="28" w:type="dxa"/>
              <w:left w:w="85" w:type="dxa"/>
            </w:tcMar>
          </w:tcPr>
          <w:p>
            <w:pPr>
              <w:pStyle w:val="yTableNAm"/>
              <w:tabs>
                <w:tab w:val="clear" w:pos="567"/>
                <w:tab w:val="right" w:leader="dot" w:pos="3099"/>
              </w:tabs>
              <w:spacing w:before="0"/>
            </w:pPr>
            <w:r>
              <w:t xml:space="preserve">Trochus </w:t>
            </w:r>
            <w:r>
              <w:tab/>
            </w:r>
          </w:p>
        </w:tc>
        <w:tc>
          <w:tcPr>
            <w:tcW w:w="3725" w:type="dxa"/>
            <w:tcMar>
              <w:top w:w="28" w:type="dxa"/>
              <w:left w:w="85" w:type="dxa"/>
            </w:tcMar>
          </w:tcPr>
          <w:p>
            <w:pPr>
              <w:pStyle w:val="yTableNAm"/>
              <w:tabs>
                <w:tab w:val="clear" w:pos="567"/>
                <w:tab w:val="left" w:leader="dot" w:pos="3260"/>
              </w:tabs>
              <w:spacing w:before="0"/>
              <w:rPr>
                <w:i/>
                <w:iCs/>
              </w:rPr>
            </w:pPr>
            <w:r>
              <w:rPr>
                <w:i/>
                <w:iCs/>
              </w:rPr>
              <w:t>Tectus niloticus</w:t>
            </w:r>
          </w:p>
        </w:tc>
      </w:tr>
      <w:tr>
        <w:tc>
          <w:tcPr>
            <w:tcW w:w="3360" w:type="dxa"/>
            <w:tcMar>
              <w:top w:w="28" w:type="dxa"/>
              <w:left w:w="85" w:type="dxa"/>
            </w:tcMar>
          </w:tcPr>
          <w:p>
            <w:pPr>
              <w:pStyle w:val="yTableNAm"/>
              <w:tabs>
                <w:tab w:val="clear" w:pos="567"/>
                <w:tab w:val="right" w:leader="dot" w:pos="3099"/>
              </w:tabs>
              <w:spacing w:before="0"/>
            </w:pPr>
            <w:r>
              <w:t xml:space="preserve">Volute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Volutidae</w:t>
            </w:r>
          </w:p>
        </w:tc>
      </w:tr>
      <w:tr>
        <w:tc>
          <w:tcPr>
            <w:tcW w:w="3360" w:type="dxa"/>
            <w:tcMar>
              <w:top w:w="28" w:type="dxa"/>
              <w:left w:w="85" w:type="dxa"/>
            </w:tcMar>
          </w:tcPr>
          <w:p>
            <w:pPr>
              <w:pStyle w:val="yTableNAm"/>
              <w:tabs>
                <w:tab w:val="clear" w:pos="567"/>
                <w:tab w:val="right" w:leader="dot" w:pos="3099"/>
              </w:tabs>
              <w:spacing w:before="0"/>
            </w:pPr>
            <w:r>
              <w:t xml:space="preserve">Zoila Cowry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Cypraeidae</w:t>
            </w:r>
          </w:p>
        </w:tc>
      </w:tr>
      <w:tr>
        <w:tc>
          <w:tcPr>
            <w:tcW w:w="3360" w:type="dxa"/>
            <w:tcMar>
              <w:top w:w="28" w:type="dxa"/>
              <w:left w:w="85" w:type="dxa"/>
            </w:tcMar>
          </w:tcPr>
          <w:p>
            <w:pPr>
              <w:pStyle w:val="yTableNAm"/>
              <w:tabs>
                <w:tab w:val="clear" w:pos="567"/>
                <w:tab w:val="right" w:leader="dot" w:pos="3969"/>
              </w:tabs>
              <w:spacing w:before="0"/>
            </w:pPr>
          </w:p>
        </w:tc>
        <w:tc>
          <w:tcPr>
            <w:tcW w:w="3725" w:type="dxa"/>
            <w:tcMar>
              <w:top w:w="28" w:type="dxa"/>
              <w:left w:w="85" w:type="dxa"/>
            </w:tcMar>
          </w:tcPr>
          <w:p>
            <w:pPr>
              <w:pStyle w:val="yTableNAm"/>
              <w:tabs>
                <w:tab w:val="clear" w:pos="567"/>
                <w:tab w:val="left" w:leader="dot" w:pos="3260"/>
              </w:tabs>
              <w:spacing w:before="0"/>
              <w:rPr>
                <w:u w:val="single"/>
              </w:rPr>
            </w:pPr>
          </w:p>
        </w:tc>
      </w:tr>
      <w:tr>
        <w:tc>
          <w:tcPr>
            <w:tcW w:w="3360" w:type="dxa"/>
            <w:tcMar>
              <w:top w:w="28" w:type="dxa"/>
              <w:left w:w="85" w:type="dxa"/>
            </w:tcMar>
          </w:tcPr>
          <w:p>
            <w:pPr>
              <w:pStyle w:val="yTableNAm"/>
              <w:keepNext/>
              <w:tabs>
                <w:tab w:val="clear" w:pos="567"/>
                <w:tab w:val="right" w:leader="dot" w:pos="3969"/>
              </w:tabs>
              <w:spacing w:before="0"/>
            </w:pPr>
            <w:r>
              <w:t>BIVALVES</w:t>
            </w: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099"/>
              </w:tabs>
              <w:spacing w:before="0"/>
            </w:pPr>
            <w:smartTag w:uri="urn:schemas-microsoft-com:office:smarttags" w:element="place">
              <w:smartTag w:uri="urn:schemas-microsoft-com:office:smarttags" w:element="State">
                <w:r>
                  <w:t>Ark</w:t>
                </w:r>
              </w:smartTag>
            </w:smartTag>
            <w:r>
              <w:t xml:space="preserve"> Shell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Arcidae</w:t>
            </w:r>
          </w:p>
        </w:tc>
      </w:tr>
      <w:tr>
        <w:tc>
          <w:tcPr>
            <w:tcW w:w="3360" w:type="dxa"/>
            <w:tcMar>
              <w:top w:w="28" w:type="dxa"/>
              <w:left w:w="85" w:type="dxa"/>
            </w:tcMar>
          </w:tcPr>
          <w:p>
            <w:pPr>
              <w:pStyle w:val="yTableNAm"/>
              <w:tabs>
                <w:tab w:val="clear" w:pos="567"/>
                <w:tab w:val="right" w:leader="dot" w:pos="3099"/>
              </w:tabs>
              <w:spacing w:before="0"/>
            </w:pPr>
            <w:r>
              <w:t xml:space="preserve">Clam, Venus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Veneridae, Katelysia spp.</w:t>
            </w:r>
          </w:p>
        </w:tc>
      </w:tr>
      <w:tr>
        <w:tc>
          <w:tcPr>
            <w:tcW w:w="3360" w:type="dxa"/>
            <w:tcMar>
              <w:top w:w="28" w:type="dxa"/>
              <w:left w:w="85" w:type="dxa"/>
            </w:tcMar>
          </w:tcPr>
          <w:p>
            <w:pPr>
              <w:pStyle w:val="yTableNAm"/>
              <w:tabs>
                <w:tab w:val="clear" w:pos="567"/>
                <w:tab w:val="right" w:leader="dot" w:pos="3099"/>
              </w:tabs>
              <w:spacing w:before="0"/>
            </w:pPr>
            <w:r>
              <w:t xml:space="preserve">Cockle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Cardiidae</w:t>
            </w:r>
          </w:p>
        </w:tc>
      </w:tr>
      <w:tr>
        <w:tc>
          <w:tcPr>
            <w:tcW w:w="3360" w:type="dxa"/>
            <w:tcMar>
              <w:top w:w="28" w:type="dxa"/>
              <w:left w:w="85" w:type="dxa"/>
            </w:tcMar>
          </w:tcPr>
          <w:p>
            <w:pPr>
              <w:pStyle w:val="yTableNAm"/>
              <w:tabs>
                <w:tab w:val="clear" w:pos="567"/>
                <w:tab w:val="right" w:leader="dot" w:pos="3099"/>
              </w:tabs>
              <w:spacing w:before="0"/>
            </w:pPr>
            <w:r>
              <w:t xml:space="preserve">Mussel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Mytilidae</w:t>
            </w:r>
          </w:p>
        </w:tc>
      </w:tr>
      <w:tr>
        <w:tc>
          <w:tcPr>
            <w:tcW w:w="3360" w:type="dxa"/>
            <w:tcMar>
              <w:top w:w="28" w:type="dxa"/>
              <w:left w:w="85" w:type="dxa"/>
            </w:tcMar>
          </w:tcPr>
          <w:p>
            <w:pPr>
              <w:pStyle w:val="yTableNAm"/>
              <w:tabs>
                <w:tab w:val="clear" w:pos="567"/>
                <w:tab w:val="right" w:leader="dot" w:pos="3099"/>
              </w:tabs>
              <w:spacing w:before="0"/>
            </w:pPr>
            <w:r>
              <w:t xml:space="preserve">Mussel, Blue </w:t>
            </w:r>
            <w:r>
              <w:tab/>
            </w:r>
          </w:p>
        </w:tc>
        <w:tc>
          <w:tcPr>
            <w:tcW w:w="3725" w:type="dxa"/>
            <w:tcMar>
              <w:top w:w="28" w:type="dxa"/>
              <w:left w:w="85" w:type="dxa"/>
            </w:tcMar>
          </w:tcPr>
          <w:p>
            <w:pPr>
              <w:pStyle w:val="yTableNAm"/>
              <w:tabs>
                <w:tab w:val="clear" w:pos="567"/>
                <w:tab w:val="left" w:leader="dot" w:pos="3260"/>
              </w:tabs>
              <w:spacing w:before="0"/>
            </w:pPr>
            <w:r>
              <w:rPr>
                <w:i/>
                <w:iCs/>
              </w:rPr>
              <w:t>Mytilus</w:t>
            </w:r>
            <w:r>
              <w:t xml:space="preserve"> </w:t>
            </w:r>
            <w:r>
              <w:rPr>
                <w:i/>
                <w:iCs/>
              </w:rPr>
              <w:t>edulis</w:t>
            </w:r>
          </w:p>
        </w:tc>
      </w:tr>
      <w:tr>
        <w:tc>
          <w:tcPr>
            <w:tcW w:w="3360" w:type="dxa"/>
            <w:tcMar>
              <w:top w:w="28" w:type="dxa"/>
              <w:left w:w="85" w:type="dxa"/>
            </w:tcMar>
          </w:tcPr>
          <w:p>
            <w:pPr>
              <w:pStyle w:val="yTableNAm"/>
              <w:tabs>
                <w:tab w:val="clear" w:pos="567"/>
                <w:tab w:val="right" w:leader="dot" w:pos="3099"/>
              </w:tabs>
              <w:spacing w:before="0"/>
            </w:pPr>
            <w:r>
              <w:t xml:space="preserve">Oyster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Ostreidae</w:t>
            </w:r>
          </w:p>
        </w:tc>
      </w:tr>
      <w:tr>
        <w:tc>
          <w:tcPr>
            <w:tcW w:w="3360" w:type="dxa"/>
            <w:tcMar>
              <w:top w:w="28" w:type="dxa"/>
              <w:left w:w="85" w:type="dxa"/>
            </w:tcMar>
          </w:tcPr>
          <w:p>
            <w:pPr>
              <w:pStyle w:val="yTableNAm"/>
              <w:tabs>
                <w:tab w:val="clear" w:pos="567"/>
                <w:tab w:val="right" w:leader="dot" w:pos="3099"/>
              </w:tabs>
              <w:spacing w:before="0"/>
            </w:pPr>
            <w:r>
              <w:t xml:space="preserve">Pipis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Donacidae</w:t>
            </w:r>
          </w:p>
        </w:tc>
      </w:tr>
      <w:tr>
        <w:tc>
          <w:tcPr>
            <w:tcW w:w="3360" w:type="dxa"/>
            <w:tcMar>
              <w:top w:w="28" w:type="dxa"/>
              <w:left w:w="85" w:type="dxa"/>
            </w:tcMar>
          </w:tcPr>
          <w:p>
            <w:pPr>
              <w:pStyle w:val="yTableNAm"/>
              <w:tabs>
                <w:tab w:val="clear" w:pos="567"/>
                <w:tab w:val="right" w:leader="dot" w:pos="3099"/>
              </w:tabs>
              <w:spacing w:before="0"/>
            </w:pPr>
            <w:r>
              <w:t>Razor shell</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Pinnidae</w:t>
            </w:r>
          </w:p>
        </w:tc>
      </w:tr>
      <w:tr>
        <w:tc>
          <w:tcPr>
            <w:tcW w:w="3360" w:type="dxa"/>
            <w:tcBorders>
              <w:bottom w:val="single" w:sz="8" w:space="0" w:color="auto"/>
            </w:tcBorders>
            <w:tcMar>
              <w:top w:w="28" w:type="dxa"/>
              <w:left w:w="85" w:type="dxa"/>
            </w:tcMar>
          </w:tcPr>
          <w:p>
            <w:pPr>
              <w:pStyle w:val="yTableNAm"/>
              <w:tabs>
                <w:tab w:val="clear" w:pos="567"/>
                <w:tab w:val="right" w:leader="dot" w:pos="3099"/>
              </w:tabs>
              <w:spacing w:before="0"/>
            </w:pPr>
            <w:r>
              <w:t xml:space="preserve">Scallop </w:t>
            </w:r>
            <w:r>
              <w:tab/>
            </w:r>
          </w:p>
        </w:tc>
        <w:tc>
          <w:tcPr>
            <w:tcW w:w="3725" w:type="dxa"/>
            <w:tcBorders>
              <w:bottom w:val="single" w:sz="8" w:space="0" w:color="auto"/>
            </w:tcBorders>
            <w:tcMar>
              <w:top w:w="28" w:type="dxa"/>
              <w:left w:w="85" w:type="dxa"/>
            </w:tcMar>
          </w:tcPr>
          <w:p>
            <w:pPr>
              <w:pStyle w:val="yTableNAm"/>
              <w:tabs>
                <w:tab w:val="clear" w:pos="567"/>
                <w:tab w:val="left" w:leader="dot" w:pos="3260"/>
              </w:tabs>
              <w:spacing w:before="0"/>
            </w:pPr>
            <w:r>
              <w:rPr>
                <w:u w:val="single"/>
              </w:rPr>
              <w:t>Family</w:t>
            </w:r>
            <w:r>
              <w:t xml:space="preserve"> Pectinidae</w:t>
            </w:r>
          </w:p>
        </w:tc>
      </w:tr>
    </w:tbl>
    <w:p>
      <w:pPr>
        <w:pStyle w:val="yFootnotesection"/>
      </w:pPr>
      <w:r>
        <w:tab/>
        <w:t>[Division 4 amended in Gazette 23 Apr 1999 p. 1716; 4 Jun 1999 p. 2271; 1 Oct 2003 p. 4343; 30 Sep 2004 p. 4187; 13 Nov 2007 p. 5693</w:t>
      </w:r>
      <w:r>
        <w:noBreakHyphen/>
        <w:t>4; 29 Sep 2009 p. 3875; 23 Jul 2010 p. 3406.]</w:t>
      </w:r>
    </w:p>
    <w:p>
      <w:pPr>
        <w:pStyle w:val="yHeading3"/>
        <w:pageBreakBefore/>
        <w:rPr>
          <w:snapToGrid w:val="0"/>
        </w:rPr>
      </w:pPr>
      <w:bookmarkStart w:id="9690" w:name="_Toc236632911"/>
      <w:bookmarkStart w:id="9691" w:name="_Toc236720524"/>
      <w:bookmarkStart w:id="9692" w:name="_Toc237764723"/>
      <w:bookmarkStart w:id="9693" w:name="_Toc238356347"/>
      <w:bookmarkStart w:id="9694" w:name="_Toc238369052"/>
      <w:bookmarkStart w:id="9695" w:name="_Toc238376005"/>
      <w:bookmarkStart w:id="9696" w:name="_Toc240339329"/>
      <w:bookmarkStart w:id="9697" w:name="_Toc241993835"/>
      <w:bookmarkStart w:id="9698" w:name="_Toc243192978"/>
      <w:bookmarkStart w:id="9699" w:name="_Toc243295679"/>
      <w:bookmarkStart w:id="9700" w:name="_Toc245113252"/>
      <w:bookmarkStart w:id="9701" w:name="_Toc245198414"/>
      <w:bookmarkStart w:id="9702" w:name="_Toc245198863"/>
      <w:bookmarkStart w:id="9703" w:name="_Toc245199312"/>
      <w:bookmarkStart w:id="9704" w:name="_Toc248122344"/>
      <w:bookmarkStart w:id="9705" w:name="_Toc248122795"/>
      <w:bookmarkStart w:id="9706" w:name="_Toc253670782"/>
      <w:bookmarkStart w:id="9707" w:name="_Toc253671232"/>
      <w:bookmarkStart w:id="9708" w:name="_Toc254943006"/>
      <w:bookmarkStart w:id="9709" w:name="_Toc254943459"/>
      <w:bookmarkStart w:id="9710" w:name="_Toc255476051"/>
      <w:bookmarkStart w:id="9711" w:name="_Toc256432372"/>
      <w:bookmarkStart w:id="9712" w:name="_Toc257720709"/>
      <w:bookmarkStart w:id="9713" w:name="_Toc257722391"/>
      <w:bookmarkStart w:id="9714" w:name="_Toc258336067"/>
      <w:bookmarkStart w:id="9715" w:name="_Toc260406509"/>
      <w:bookmarkStart w:id="9716" w:name="_Toc261271695"/>
      <w:bookmarkStart w:id="9717" w:name="_Toc262808377"/>
      <w:bookmarkStart w:id="9718" w:name="_Toc267572769"/>
      <w:bookmarkStart w:id="9719" w:name="_Toc270684518"/>
      <w:bookmarkStart w:id="9720" w:name="_Toc274214695"/>
      <w:bookmarkStart w:id="9721" w:name="_Toc274215144"/>
      <w:bookmarkStart w:id="9722" w:name="_Toc278976475"/>
      <w:bookmarkStart w:id="9723" w:name="_Toc286760796"/>
      <w:bookmarkStart w:id="9724" w:name="_Toc289081141"/>
      <w:bookmarkStart w:id="9725" w:name="_Toc290284335"/>
      <w:bookmarkStart w:id="9726" w:name="_Toc290643156"/>
      <w:bookmarkStart w:id="9727" w:name="_Toc290643605"/>
      <w:bookmarkStart w:id="9728" w:name="_Toc290644058"/>
      <w:bookmarkStart w:id="9729" w:name="_Toc294701875"/>
      <w:bookmarkStart w:id="9730" w:name="_Toc295200283"/>
      <w:bookmarkStart w:id="9731" w:name="_Toc296954724"/>
      <w:bookmarkStart w:id="9732" w:name="_Toc297276359"/>
      <w:bookmarkStart w:id="9733" w:name="_Toc297276811"/>
      <w:bookmarkStart w:id="9734" w:name="_Toc297277261"/>
      <w:bookmarkStart w:id="9735" w:name="_Toc297726630"/>
      <w:bookmarkStart w:id="9736" w:name="_Toc299980416"/>
      <w:bookmarkStart w:id="9737" w:name="_Toc300235042"/>
      <w:bookmarkStart w:id="9738" w:name="_Toc301961545"/>
      <w:bookmarkStart w:id="9739" w:name="_Toc301967115"/>
      <w:bookmarkStart w:id="9740" w:name="_Toc303253324"/>
      <w:bookmarkStart w:id="9741" w:name="_Toc303257488"/>
      <w:bookmarkStart w:id="9742" w:name="_Toc307993121"/>
      <w:bookmarkStart w:id="9743" w:name="_Toc309030154"/>
      <w:bookmarkStart w:id="9744" w:name="_Toc309304377"/>
      <w:bookmarkStart w:id="9745" w:name="_Toc309309654"/>
      <w:r>
        <w:t>Division 5 — Other</w:t>
      </w:r>
      <w:bookmarkEnd w:id="9690"/>
      <w:bookmarkEnd w:id="9691"/>
      <w:bookmarkEnd w:id="9692"/>
      <w:bookmarkEnd w:id="9693"/>
      <w:bookmarkEnd w:id="9694"/>
      <w:bookmarkEnd w:id="9695"/>
      <w:bookmarkEnd w:id="9696"/>
      <w:bookmarkEnd w:id="9697"/>
      <w:bookmarkEnd w:id="9698"/>
      <w:bookmarkEnd w:id="9699"/>
      <w:bookmarkEnd w:id="9700"/>
      <w:bookmarkEnd w:id="9701"/>
      <w:bookmarkEnd w:id="9702"/>
      <w:bookmarkEnd w:id="9703"/>
      <w:bookmarkEnd w:id="9704"/>
      <w:bookmarkEnd w:id="9705"/>
      <w:bookmarkEnd w:id="9706"/>
      <w:bookmarkEnd w:id="9707"/>
      <w:bookmarkEnd w:id="9708"/>
      <w:bookmarkEnd w:id="9709"/>
      <w:bookmarkEnd w:id="9710"/>
      <w:bookmarkEnd w:id="9711"/>
      <w:bookmarkEnd w:id="9712"/>
      <w:bookmarkEnd w:id="9713"/>
      <w:bookmarkEnd w:id="9714"/>
      <w:bookmarkEnd w:id="9715"/>
      <w:bookmarkEnd w:id="9716"/>
      <w:bookmarkEnd w:id="9717"/>
      <w:bookmarkEnd w:id="9718"/>
      <w:bookmarkEnd w:id="9719"/>
      <w:bookmarkEnd w:id="9720"/>
      <w:bookmarkEnd w:id="9721"/>
      <w:bookmarkEnd w:id="9722"/>
      <w:bookmarkEnd w:id="9723"/>
      <w:bookmarkEnd w:id="9724"/>
      <w:bookmarkEnd w:id="9725"/>
      <w:bookmarkEnd w:id="9726"/>
      <w:bookmarkEnd w:id="9727"/>
      <w:bookmarkEnd w:id="9728"/>
      <w:bookmarkEnd w:id="9729"/>
      <w:bookmarkEnd w:id="9730"/>
      <w:bookmarkEnd w:id="9731"/>
      <w:bookmarkEnd w:id="9732"/>
      <w:bookmarkEnd w:id="9733"/>
      <w:bookmarkEnd w:id="9734"/>
      <w:bookmarkEnd w:id="9735"/>
      <w:bookmarkEnd w:id="9736"/>
      <w:bookmarkEnd w:id="9737"/>
      <w:bookmarkEnd w:id="9738"/>
      <w:bookmarkEnd w:id="9739"/>
      <w:bookmarkEnd w:id="9740"/>
      <w:bookmarkEnd w:id="9741"/>
      <w:bookmarkEnd w:id="9742"/>
      <w:bookmarkEnd w:id="9743"/>
      <w:bookmarkEnd w:id="9744"/>
      <w:bookmarkEnd w:id="9745"/>
    </w:p>
    <w:p>
      <w:pPr>
        <w:pStyle w:val="yFootnoteheading"/>
        <w:spacing w:after="80"/>
        <w:rPr>
          <w:snapToGrid w:val="0"/>
        </w:rPr>
      </w:pPr>
      <w:r>
        <w:rPr>
          <w:snapToGrid w:val="0"/>
        </w:rPr>
        <w:tab/>
        <w:t>[Heading inserted in Gazette 13 Nov 2007 p. 5693.]</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left w:w="85" w:type="dxa"/>
            </w:tcMar>
          </w:tcPr>
          <w:p>
            <w:pPr>
              <w:pStyle w:val="yTableNAm"/>
              <w:tabs>
                <w:tab w:val="clear" w:pos="567"/>
                <w:tab w:val="right" w:leader="dot" w:pos="3969"/>
              </w:tabs>
              <w:spacing w:before="0"/>
              <w:rPr>
                <w:b/>
                <w:bCs/>
              </w:rPr>
            </w:pPr>
            <w:r>
              <w:rPr>
                <w:b/>
                <w:bCs/>
              </w:rPr>
              <w:t>Common name</w:t>
            </w:r>
          </w:p>
        </w:tc>
        <w:tc>
          <w:tcPr>
            <w:tcW w:w="3544" w:type="dxa"/>
            <w:tcBorders>
              <w:top w:val="single" w:sz="8" w:space="0" w:color="auto"/>
              <w:bottom w:val="single" w:sz="8" w:space="0" w:color="auto"/>
            </w:tcBorders>
            <w:tcMar>
              <w:top w:w="28" w:type="dxa"/>
              <w:left w:w="85" w:type="dxa"/>
            </w:tcMar>
          </w:tcPr>
          <w:p>
            <w:pPr>
              <w:pStyle w:val="yTableNAm"/>
              <w:tabs>
                <w:tab w:val="clear" w:pos="567"/>
                <w:tab w:val="left" w:leader="dot" w:pos="3260"/>
              </w:tabs>
              <w:spacing w:before="0"/>
              <w:rPr>
                <w:b/>
                <w:bCs/>
              </w:rPr>
            </w:pPr>
            <w:r>
              <w:rPr>
                <w:b/>
                <w:bCs/>
              </w:rPr>
              <w:t>Scientific name</w:t>
            </w:r>
          </w:p>
        </w:tc>
      </w:tr>
      <w:tr>
        <w:tc>
          <w:tcPr>
            <w:tcW w:w="3541" w:type="dxa"/>
            <w:tcMar>
              <w:top w:w="28" w:type="dxa"/>
              <w:left w:w="85" w:type="dxa"/>
            </w:tcMar>
          </w:tcPr>
          <w:p>
            <w:pPr>
              <w:pStyle w:val="yTableNAm"/>
              <w:tabs>
                <w:tab w:val="clear" w:pos="567"/>
                <w:tab w:val="right" w:leader="dot" w:pos="3315"/>
              </w:tabs>
              <w:spacing w:before="0"/>
              <w:ind w:left="219" w:hanging="219"/>
            </w:pPr>
            <w:r>
              <w:t xml:space="preserve">Coral </w:t>
            </w:r>
            <w:r>
              <w:tab/>
            </w:r>
          </w:p>
        </w:tc>
        <w:tc>
          <w:tcPr>
            <w:tcW w:w="3544" w:type="dxa"/>
            <w:tcMar>
              <w:top w:w="28" w:type="dxa"/>
              <w:left w:w="85" w:type="dxa"/>
            </w:tcMar>
          </w:tcPr>
          <w:p>
            <w:pPr>
              <w:pStyle w:val="yTableNAm"/>
              <w:tabs>
                <w:tab w:val="clear" w:pos="567"/>
                <w:tab w:val="left" w:leader="dot" w:pos="3260"/>
              </w:tabs>
              <w:spacing w:before="0"/>
              <w:rPr>
                <w:u w:val="single"/>
              </w:rPr>
            </w:pPr>
            <w:r>
              <w:rPr>
                <w:u w:val="single"/>
              </w:rPr>
              <w:t>Class</w:t>
            </w:r>
            <w:r>
              <w:t xml:space="preserve"> Anthozoa and </w:t>
            </w:r>
            <w:r>
              <w:rPr>
                <w:u w:val="single"/>
              </w:rPr>
              <w:t>Class</w:t>
            </w:r>
            <w:r>
              <w:t> Hydrozoa</w:t>
            </w:r>
          </w:p>
        </w:tc>
      </w:tr>
      <w:tr>
        <w:tc>
          <w:tcPr>
            <w:tcW w:w="3541" w:type="dxa"/>
            <w:tcMar>
              <w:top w:w="28" w:type="dxa"/>
              <w:left w:w="85" w:type="dxa"/>
            </w:tcMar>
          </w:tcPr>
          <w:p>
            <w:pPr>
              <w:pStyle w:val="yTableNAm"/>
              <w:tabs>
                <w:tab w:val="clear" w:pos="567"/>
                <w:tab w:val="right" w:leader="dot" w:pos="3315"/>
              </w:tabs>
              <w:spacing w:before="0"/>
              <w:ind w:left="219" w:hanging="219"/>
            </w:pPr>
            <w:r>
              <w:t xml:space="preserve">Live Rock </w:t>
            </w:r>
            <w:r>
              <w:tab/>
            </w:r>
          </w:p>
        </w:tc>
        <w:tc>
          <w:tcPr>
            <w:tcW w:w="3544" w:type="dxa"/>
            <w:tcMar>
              <w:top w:w="28" w:type="dxa"/>
              <w:left w:w="85" w:type="dxa"/>
            </w:tcMar>
          </w:tcPr>
          <w:p>
            <w:pPr>
              <w:pStyle w:val="yTableNAm"/>
              <w:tabs>
                <w:tab w:val="clear" w:pos="567"/>
                <w:tab w:val="left" w:leader="dot" w:pos="3260"/>
              </w:tabs>
              <w:spacing w:before="0"/>
              <w:rPr>
                <w:u w:val="single"/>
              </w:rPr>
            </w:pPr>
            <w:r>
              <w:rPr>
                <w:u w:val="single"/>
              </w:rPr>
              <w:t>Family</w:t>
            </w:r>
            <w:r>
              <w:t xml:space="preserve"> Corallinaceae, </w:t>
            </w:r>
            <w:r>
              <w:rPr>
                <w:u w:val="single"/>
              </w:rPr>
              <w:t>Class</w:t>
            </w:r>
            <w:r>
              <w:t xml:space="preserve"> Polychaeta, </w:t>
            </w:r>
            <w:r>
              <w:rPr>
                <w:u w:val="single"/>
              </w:rPr>
              <w:t>Class</w:t>
            </w:r>
            <w:r>
              <w:t xml:space="preserve"> Crinoidea, </w:t>
            </w:r>
            <w:r>
              <w:rPr>
                <w:u w:val="single"/>
              </w:rPr>
              <w:t>Class</w:t>
            </w:r>
            <w:r>
              <w:t xml:space="preserve"> Ascidiacea, </w:t>
            </w:r>
            <w:r>
              <w:rPr>
                <w:u w:val="single"/>
              </w:rPr>
              <w:t>Class</w:t>
            </w:r>
            <w:r>
              <w:t xml:space="preserve"> Ophiuroidea, </w:t>
            </w:r>
            <w:r>
              <w:rPr>
                <w:u w:val="single"/>
              </w:rPr>
              <w:t>Phylum</w:t>
            </w:r>
            <w:r>
              <w:t xml:space="preserve"> Bryozoa and </w:t>
            </w:r>
            <w:r>
              <w:rPr>
                <w:u w:val="single"/>
              </w:rPr>
              <w:t>Phylum</w:t>
            </w:r>
            <w:r>
              <w:t xml:space="preserve"> Porifera and dead fish of </w:t>
            </w:r>
            <w:r>
              <w:rPr>
                <w:u w:val="single"/>
              </w:rPr>
              <w:t>Class</w:t>
            </w:r>
            <w:r>
              <w:t xml:space="preserve"> Anthozoa and </w:t>
            </w:r>
            <w:r>
              <w:rPr>
                <w:u w:val="single"/>
              </w:rPr>
              <w:t>Class</w:t>
            </w:r>
            <w:r>
              <w:t> Hydrozoa</w:t>
            </w:r>
          </w:p>
        </w:tc>
      </w:tr>
      <w:tr>
        <w:tc>
          <w:tcPr>
            <w:tcW w:w="3541" w:type="dxa"/>
            <w:tcMar>
              <w:top w:w="28" w:type="dxa"/>
              <w:left w:w="85" w:type="dxa"/>
            </w:tcMar>
          </w:tcPr>
          <w:p>
            <w:pPr>
              <w:pStyle w:val="yTableNAm"/>
              <w:tabs>
                <w:tab w:val="clear" w:pos="567"/>
                <w:tab w:val="right" w:leader="dot" w:pos="3315"/>
              </w:tabs>
              <w:spacing w:before="0"/>
              <w:ind w:left="219" w:hanging="219"/>
            </w:pPr>
            <w:r>
              <w:t>Sea Cucumber (Beche</w:t>
            </w:r>
            <w:r>
              <w:noBreakHyphen/>
              <w:t>de</w:t>
            </w:r>
            <w:r>
              <w:noBreakHyphen/>
              <w:t>mer, Trepang)</w:t>
            </w:r>
            <w:r>
              <w:tab/>
            </w:r>
          </w:p>
        </w:tc>
        <w:tc>
          <w:tcPr>
            <w:tcW w:w="3544" w:type="dxa"/>
            <w:tcMar>
              <w:top w:w="28" w:type="dxa"/>
              <w:left w:w="85" w:type="dxa"/>
            </w:tcMar>
          </w:tcPr>
          <w:p>
            <w:pPr>
              <w:pStyle w:val="yTableNAm"/>
              <w:tabs>
                <w:tab w:val="clear" w:pos="567"/>
                <w:tab w:val="left" w:leader="dot" w:pos="3260"/>
              </w:tabs>
              <w:spacing w:before="0"/>
            </w:pPr>
            <w:r>
              <w:rPr>
                <w:u w:val="single"/>
              </w:rPr>
              <w:br/>
              <w:t>Class</w:t>
            </w:r>
            <w:r>
              <w:t xml:space="preserve"> Holothurioidae</w:t>
            </w:r>
          </w:p>
        </w:tc>
      </w:tr>
      <w:tr>
        <w:tc>
          <w:tcPr>
            <w:tcW w:w="3541" w:type="dxa"/>
            <w:tcBorders>
              <w:bottom w:val="single" w:sz="8" w:space="0" w:color="auto"/>
            </w:tcBorders>
            <w:tcMar>
              <w:top w:w="28" w:type="dxa"/>
              <w:left w:w="85" w:type="dxa"/>
            </w:tcMar>
          </w:tcPr>
          <w:p>
            <w:pPr>
              <w:pStyle w:val="yTableNAm"/>
              <w:tabs>
                <w:tab w:val="clear" w:pos="567"/>
                <w:tab w:val="right" w:leader="dot" w:pos="3315"/>
              </w:tabs>
              <w:spacing w:before="0"/>
            </w:pPr>
            <w:r>
              <w:t xml:space="preserve">Sea Urchin </w:t>
            </w:r>
            <w:r>
              <w:tab/>
            </w:r>
          </w:p>
        </w:tc>
        <w:tc>
          <w:tcPr>
            <w:tcW w:w="3544" w:type="dxa"/>
            <w:tcBorders>
              <w:bottom w:val="single" w:sz="8" w:space="0" w:color="auto"/>
            </w:tcBorders>
            <w:tcMar>
              <w:top w:w="28" w:type="dxa"/>
              <w:left w:w="85" w:type="dxa"/>
            </w:tcMar>
          </w:tcPr>
          <w:p>
            <w:pPr>
              <w:pStyle w:val="yTableNAm"/>
              <w:tabs>
                <w:tab w:val="clear" w:pos="567"/>
                <w:tab w:val="left" w:leader="dot" w:pos="3260"/>
              </w:tabs>
              <w:spacing w:before="0"/>
            </w:pPr>
            <w:r>
              <w:rPr>
                <w:u w:val="single"/>
              </w:rPr>
              <w:t>Class</w:t>
            </w:r>
            <w:r>
              <w:t xml:space="preserve"> Echinoidea</w:t>
            </w:r>
          </w:p>
        </w:tc>
      </w:tr>
    </w:tbl>
    <w:p>
      <w:pPr>
        <w:pStyle w:val="yFootnotesection"/>
      </w:pPr>
      <w:r>
        <w:tab/>
        <w:t>[Division 5 amended in Gazette  13 Nov 2007 p. 5694; 13 Feb 2009 p. 300; 29 Sep 2009 p. 3875.]</w:t>
      </w:r>
    </w:p>
    <w:p>
      <w:pPr>
        <w:tabs>
          <w:tab w:val="right" w:leader="dot" w:pos="3969"/>
        </w:tabs>
        <w:sectPr>
          <w:headerReference w:type="even" r:id="rId30"/>
          <w:headerReference w:type="default" r:id="rId31"/>
          <w:pgSz w:w="11906" w:h="16838" w:code="9"/>
          <w:pgMar w:top="2381" w:right="2409" w:bottom="3543" w:left="2409" w:header="720" w:footer="3380" w:gutter="0"/>
          <w:cols w:space="720"/>
          <w:noEndnote/>
          <w:docGrid w:linePitch="326"/>
        </w:sectPr>
      </w:pPr>
    </w:p>
    <w:p>
      <w:pPr>
        <w:pStyle w:val="yScheduleHeading"/>
      </w:pPr>
      <w:bookmarkStart w:id="9746" w:name="_Toc189988216"/>
      <w:bookmarkStart w:id="9747" w:name="_Toc192041799"/>
      <w:bookmarkStart w:id="9748" w:name="_Toc199571033"/>
      <w:bookmarkStart w:id="9749" w:name="_Toc199739032"/>
      <w:bookmarkStart w:id="9750" w:name="_Toc199815133"/>
      <w:bookmarkStart w:id="9751" w:name="_Toc215040940"/>
      <w:bookmarkStart w:id="9752" w:name="_Toc215041385"/>
      <w:bookmarkStart w:id="9753" w:name="_Toc222129593"/>
      <w:bookmarkStart w:id="9754" w:name="_Toc222223298"/>
      <w:bookmarkStart w:id="9755" w:name="_Toc225914550"/>
      <w:bookmarkStart w:id="9756" w:name="_Toc231282595"/>
      <w:bookmarkStart w:id="9757" w:name="_Toc231283039"/>
      <w:bookmarkStart w:id="9758" w:name="_Toc234899629"/>
      <w:bookmarkStart w:id="9759" w:name="_Toc236632912"/>
      <w:bookmarkStart w:id="9760" w:name="_Toc236720525"/>
      <w:bookmarkStart w:id="9761" w:name="_Toc237764724"/>
      <w:bookmarkStart w:id="9762" w:name="_Toc238356348"/>
      <w:bookmarkStart w:id="9763" w:name="_Toc238369053"/>
      <w:bookmarkStart w:id="9764" w:name="_Toc238376006"/>
      <w:bookmarkStart w:id="9765" w:name="_Toc240339330"/>
      <w:bookmarkStart w:id="9766" w:name="_Toc241993836"/>
      <w:bookmarkStart w:id="9767" w:name="_Toc243192979"/>
      <w:bookmarkStart w:id="9768" w:name="_Toc243295680"/>
      <w:bookmarkStart w:id="9769" w:name="_Toc245113253"/>
      <w:bookmarkStart w:id="9770" w:name="_Toc245198415"/>
      <w:bookmarkStart w:id="9771" w:name="_Toc245198864"/>
      <w:bookmarkStart w:id="9772" w:name="_Toc245199313"/>
      <w:bookmarkStart w:id="9773" w:name="_Toc248122345"/>
      <w:bookmarkStart w:id="9774" w:name="_Toc248122796"/>
      <w:bookmarkStart w:id="9775" w:name="_Toc253670783"/>
      <w:bookmarkStart w:id="9776" w:name="_Toc253671233"/>
      <w:bookmarkStart w:id="9777" w:name="_Toc254943007"/>
      <w:bookmarkStart w:id="9778" w:name="_Toc254943460"/>
      <w:bookmarkStart w:id="9779" w:name="_Toc255476052"/>
      <w:bookmarkStart w:id="9780" w:name="_Toc256432373"/>
      <w:bookmarkStart w:id="9781" w:name="_Toc257720710"/>
      <w:bookmarkStart w:id="9782" w:name="_Toc257722392"/>
      <w:bookmarkStart w:id="9783" w:name="_Toc258336068"/>
      <w:bookmarkStart w:id="9784" w:name="_Toc260406510"/>
      <w:bookmarkStart w:id="9785" w:name="_Toc261271696"/>
      <w:bookmarkStart w:id="9786" w:name="_Toc262808378"/>
      <w:bookmarkStart w:id="9787" w:name="_Toc267572770"/>
      <w:bookmarkStart w:id="9788" w:name="_Toc270684519"/>
      <w:bookmarkStart w:id="9789" w:name="_Toc274214696"/>
      <w:bookmarkStart w:id="9790" w:name="_Toc274215145"/>
      <w:bookmarkStart w:id="9791" w:name="_Toc278976476"/>
      <w:bookmarkStart w:id="9792" w:name="_Toc286760797"/>
      <w:bookmarkStart w:id="9793" w:name="_Toc289081142"/>
      <w:bookmarkStart w:id="9794" w:name="_Toc290284336"/>
      <w:bookmarkStart w:id="9795" w:name="_Toc290643157"/>
      <w:bookmarkStart w:id="9796" w:name="_Toc290643606"/>
      <w:bookmarkStart w:id="9797" w:name="_Toc290644059"/>
      <w:bookmarkStart w:id="9798" w:name="_Toc294701876"/>
      <w:bookmarkStart w:id="9799" w:name="_Toc295200284"/>
      <w:bookmarkStart w:id="9800" w:name="_Toc296954725"/>
      <w:bookmarkStart w:id="9801" w:name="_Toc297276360"/>
      <w:bookmarkStart w:id="9802" w:name="_Toc297276812"/>
      <w:bookmarkStart w:id="9803" w:name="_Toc297277262"/>
      <w:bookmarkStart w:id="9804" w:name="_Toc297726631"/>
      <w:bookmarkStart w:id="9805" w:name="_Toc299980417"/>
      <w:bookmarkStart w:id="9806" w:name="_Toc300235043"/>
      <w:bookmarkStart w:id="9807" w:name="_Toc301961546"/>
      <w:bookmarkStart w:id="9808" w:name="_Toc301967116"/>
      <w:bookmarkStart w:id="9809" w:name="_Toc303253325"/>
      <w:bookmarkStart w:id="9810" w:name="_Toc303257489"/>
      <w:bookmarkStart w:id="9811" w:name="_Toc307993122"/>
      <w:bookmarkStart w:id="9812" w:name="_Toc309030155"/>
      <w:bookmarkStart w:id="9813" w:name="_Toc309304378"/>
      <w:bookmarkStart w:id="9814" w:name="_Toc309309655"/>
      <w:r>
        <w:rPr>
          <w:rStyle w:val="CharSchNo"/>
        </w:rPr>
        <w:t>Schedule 8</w:t>
      </w:r>
      <w:bookmarkEnd w:id="9746"/>
      <w:bookmarkEnd w:id="9747"/>
      <w:bookmarkEnd w:id="9748"/>
      <w:bookmarkEnd w:id="9749"/>
      <w:bookmarkEnd w:id="9750"/>
      <w:bookmarkEnd w:id="9751"/>
      <w:bookmarkEnd w:id="9752"/>
      <w:bookmarkEnd w:id="9753"/>
      <w:bookmarkEnd w:id="9754"/>
      <w:bookmarkEnd w:id="9755"/>
      <w:bookmarkEnd w:id="9756"/>
      <w:bookmarkEnd w:id="9757"/>
      <w:bookmarkEnd w:id="9758"/>
      <w:bookmarkEnd w:id="9759"/>
      <w:bookmarkEnd w:id="9760"/>
      <w:bookmarkEnd w:id="9761"/>
      <w:bookmarkEnd w:id="9762"/>
      <w:bookmarkEnd w:id="9763"/>
      <w:bookmarkEnd w:id="9764"/>
      <w:bookmarkEnd w:id="9765"/>
      <w:bookmarkEnd w:id="9766"/>
      <w:bookmarkEnd w:id="9767"/>
      <w:bookmarkEnd w:id="9768"/>
      <w:bookmarkEnd w:id="9769"/>
      <w:bookmarkEnd w:id="9770"/>
      <w:bookmarkEnd w:id="9771"/>
      <w:bookmarkEnd w:id="9772"/>
      <w:bookmarkEnd w:id="9773"/>
      <w:bookmarkEnd w:id="9774"/>
      <w:bookmarkEnd w:id="9775"/>
      <w:bookmarkEnd w:id="9776"/>
      <w:bookmarkEnd w:id="9777"/>
      <w:bookmarkEnd w:id="9778"/>
      <w:bookmarkEnd w:id="9779"/>
      <w:bookmarkEnd w:id="9780"/>
      <w:bookmarkEnd w:id="9781"/>
      <w:bookmarkEnd w:id="9782"/>
      <w:bookmarkEnd w:id="9783"/>
      <w:bookmarkEnd w:id="9784"/>
      <w:bookmarkEnd w:id="9785"/>
      <w:bookmarkEnd w:id="9786"/>
      <w:bookmarkEnd w:id="9787"/>
      <w:bookmarkEnd w:id="9788"/>
      <w:bookmarkEnd w:id="9789"/>
      <w:bookmarkEnd w:id="9790"/>
      <w:bookmarkEnd w:id="9791"/>
      <w:bookmarkEnd w:id="9792"/>
      <w:bookmarkEnd w:id="9793"/>
      <w:bookmarkEnd w:id="9794"/>
      <w:bookmarkEnd w:id="9795"/>
      <w:bookmarkEnd w:id="9796"/>
      <w:bookmarkEnd w:id="9797"/>
      <w:bookmarkEnd w:id="9798"/>
      <w:bookmarkEnd w:id="9799"/>
      <w:bookmarkEnd w:id="9800"/>
      <w:bookmarkEnd w:id="9801"/>
      <w:bookmarkEnd w:id="9802"/>
      <w:bookmarkEnd w:id="9803"/>
      <w:bookmarkEnd w:id="9804"/>
      <w:bookmarkEnd w:id="9805"/>
      <w:bookmarkEnd w:id="9806"/>
      <w:bookmarkEnd w:id="9807"/>
      <w:bookmarkEnd w:id="9808"/>
      <w:bookmarkEnd w:id="9809"/>
      <w:bookmarkEnd w:id="9810"/>
      <w:bookmarkEnd w:id="9811"/>
      <w:bookmarkEnd w:id="9812"/>
      <w:bookmarkEnd w:id="9813"/>
      <w:bookmarkEnd w:id="9814"/>
    </w:p>
    <w:p>
      <w:pPr>
        <w:pStyle w:val="yShoulderClause"/>
        <w:rPr>
          <w:snapToGrid w:val="0"/>
        </w:rPr>
      </w:pPr>
      <w:r>
        <w:rPr>
          <w:snapToGrid w:val="0"/>
        </w:rPr>
        <w:t>[reg. 151]</w:t>
      </w:r>
    </w:p>
    <w:p>
      <w:pPr>
        <w:pStyle w:val="yHeading2"/>
      </w:pPr>
      <w:bookmarkStart w:id="9815" w:name="_Toc189988217"/>
      <w:bookmarkStart w:id="9816" w:name="_Toc192041800"/>
      <w:bookmarkStart w:id="9817" w:name="_Toc199571034"/>
      <w:bookmarkStart w:id="9818" w:name="_Toc199739033"/>
      <w:bookmarkStart w:id="9819" w:name="_Toc199815134"/>
      <w:bookmarkStart w:id="9820" w:name="_Toc215040941"/>
      <w:bookmarkStart w:id="9821" w:name="_Toc215041386"/>
      <w:bookmarkStart w:id="9822" w:name="_Toc222129594"/>
      <w:bookmarkStart w:id="9823" w:name="_Toc222223299"/>
      <w:bookmarkStart w:id="9824" w:name="_Toc225914551"/>
      <w:bookmarkStart w:id="9825" w:name="_Toc231282596"/>
      <w:bookmarkStart w:id="9826" w:name="_Toc231283040"/>
      <w:bookmarkStart w:id="9827" w:name="_Toc234899630"/>
      <w:bookmarkStart w:id="9828" w:name="_Toc236632913"/>
      <w:bookmarkStart w:id="9829" w:name="_Toc236720526"/>
      <w:bookmarkStart w:id="9830" w:name="_Toc237764725"/>
      <w:bookmarkStart w:id="9831" w:name="_Toc238356349"/>
      <w:bookmarkStart w:id="9832" w:name="_Toc238369054"/>
      <w:bookmarkStart w:id="9833" w:name="_Toc238376007"/>
      <w:bookmarkStart w:id="9834" w:name="_Toc240339331"/>
      <w:bookmarkStart w:id="9835" w:name="_Toc241993837"/>
      <w:bookmarkStart w:id="9836" w:name="_Toc243192980"/>
      <w:bookmarkStart w:id="9837" w:name="_Toc243295681"/>
      <w:bookmarkStart w:id="9838" w:name="_Toc245113254"/>
      <w:bookmarkStart w:id="9839" w:name="_Toc245198416"/>
      <w:bookmarkStart w:id="9840" w:name="_Toc245198865"/>
      <w:bookmarkStart w:id="9841" w:name="_Toc245199314"/>
      <w:bookmarkStart w:id="9842" w:name="_Toc248122346"/>
      <w:bookmarkStart w:id="9843" w:name="_Toc248122797"/>
      <w:bookmarkStart w:id="9844" w:name="_Toc253670784"/>
      <w:bookmarkStart w:id="9845" w:name="_Toc253671234"/>
      <w:bookmarkStart w:id="9846" w:name="_Toc254943008"/>
      <w:bookmarkStart w:id="9847" w:name="_Toc254943461"/>
      <w:bookmarkStart w:id="9848" w:name="_Toc255476053"/>
      <w:bookmarkStart w:id="9849" w:name="_Toc256432374"/>
      <w:bookmarkStart w:id="9850" w:name="_Toc257720711"/>
      <w:bookmarkStart w:id="9851" w:name="_Toc257722393"/>
      <w:bookmarkStart w:id="9852" w:name="_Toc258336069"/>
      <w:bookmarkStart w:id="9853" w:name="_Toc260406511"/>
      <w:bookmarkStart w:id="9854" w:name="_Toc261271697"/>
      <w:bookmarkStart w:id="9855" w:name="_Toc262808379"/>
      <w:bookmarkStart w:id="9856" w:name="_Toc267572771"/>
      <w:bookmarkStart w:id="9857" w:name="_Toc270684520"/>
      <w:bookmarkStart w:id="9858" w:name="_Toc274214697"/>
      <w:bookmarkStart w:id="9859" w:name="_Toc274215146"/>
      <w:bookmarkStart w:id="9860" w:name="_Toc278976477"/>
      <w:bookmarkStart w:id="9861" w:name="_Toc286760798"/>
      <w:bookmarkStart w:id="9862" w:name="_Toc289081143"/>
      <w:bookmarkStart w:id="9863" w:name="_Toc290284337"/>
      <w:bookmarkStart w:id="9864" w:name="_Toc290643158"/>
      <w:bookmarkStart w:id="9865" w:name="_Toc290643607"/>
      <w:bookmarkStart w:id="9866" w:name="_Toc290644060"/>
      <w:bookmarkStart w:id="9867" w:name="_Toc294701877"/>
      <w:bookmarkStart w:id="9868" w:name="_Toc295200285"/>
      <w:bookmarkStart w:id="9869" w:name="_Toc296954726"/>
      <w:bookmarkStart w:id="9870" w:name="_Toc297276361"/>
      <w:bookmarkStart w:id="9871" w:name="_Toc297276813"/>
      <w:bookmarkStart w:id="9872" w:name="_Toc297277263"/>
      <w:bookmarkStart w:id="9873" w:name="_Toc297726632"/>
      <w:bookmarkStart w:id="9874" w:name="_Toc299980418"/>
      <w:bookmarkStart w:id="9875" w:name="_Toc300235044"/>
      <w:bookmarkStart w:id="9876" w:name="_Toc301961547"/>
      <w:bookmarkStart w:id="9877" w:name="_Toc301967117"/>
      <w:bookmarkStart w:id="9878" w:name="_Toc303253326"/>
      <w:bookmarkStart w:id="9879" w:name="_Toc303257490"/>
      <w:bookmarkStart w:id="9880" w:name="_Toc307993123"/>
      <w:bookmarkStart w:id="9881" w:name="_Toc309030156"/>
      <w:bookmarkStart w:id="9882" w:name="_Toc309304379"/>
      <w:bookmarkStart w:id="9883" w:name="_Toc309309656"/>
      <w:r>
        <w:rPr>
          <w:rStyle w:val="CharSchText"/>
        </w:rPr>
        <w:t>Determination of characteristics of fish</w:t>
      </w:r>
      <w:bookmarkEnd w:id="9815"/>
      <w:bookmarkEnd w:id="9816"/>
      <w:bookmarkEnd w:id="9817"/>
      <w:bookmarkEnd w:id="9818"/>
      <w:bookmarkEnd w:id="9819"/>
      <w:bookmarkEnd w:id="9820"/>
      <w:bookmarkEnd w:id="9821"/>
      <w:bookmarkEnd w:id="9822"/>
      <w:bookmarkEnd w:id="9823"/>
      <w:bookmarkEnd w:id="9824"/>
      <w:bookmarkEnd w:id="9825"/>
      <w:bookmarkEnd w:id="9826"/>
      <w:bookmarkEnd w:id="9827"/>
      <w:bookmarkEnd w:id="9828"/>
      <w:bookmarkEnd w:id="9829"/>
      <w:bookmarkEnd w:id="9830"/>
      <w:bookmarkEnd w:id="9831"/>
      <w:bookmarkEnd w:id="9832"/>
      <w:bookmarkEnd w:id="9833"/>
      <w:bookmarkEnd w:id="9834"/>
      <w:bookmarkEnd w:id="9835"/>
      <w:bookmarkEnd w:id="9836"/>
      <w:bookmarkEnd w:id="9837"/>
      <w:bookmarkEnd w:id="9838"/>
      <w:bookmarkEnd w:id="9839"/>
      <w:bookmarkEnd w:id="9840"/>
      <w:bookmarkEnd w:id="9841"/>
      <w:bookmarkEnd w:id="9842"/>
      <w:bookmarkEnd w:id="9843"/>
      <w:bookmarkEnd w:id="9844"/>
      <w:bookmarkEnd w:id="9845"/>
      <w:bookmarkEnd w:id="9846"/>
      <w:bookmarkEnd w:id="9847"/>
      <w:bookmarkEnd w:id="9848"/>
      <w:bookmarkEnd w:id="9849"/>
      <w:bookmarkEnd w:id="9850"/>
      <w:bookmarkEnd w:id="9851"/>
      <w:bookmarkEnd w:id="9852"/>
      <w:bookmarkEnd w:id="9853"/>
      <w:bookmarkEnd w:id="9854"/>
      <w:bookmarkEnd w:id="9855"/>
      <w:bookmarkEnd w:id="9856"/>
      <w:bookmarkEnd w:id="9857"/>
      <w:bookmarkEnd w:id="9858"/>
      <w:bookmarkEnd w:id="9859"/>
      <w:bookmarkEnd w:id="9860"/>
      <w:bookmarkEnd w:id="9861"/>
      <w:bookmarkEnd w:id="9862"/>
      <w:bookmarkEnd w:id="9863"/>
      <w:bookmarkEnd w:id="9864"/>
      <w:bookmarkEnd w:id="9865"/>
      <w:bookmarkEnd w:id="9866"/>
      <w:bookmarkEnd w:id="9867"/>
      <w:bookmarkEnd w:id="9868"/>
      <w:bookmarkEnd w:id="9869"/>
      <w:bookmarkEnd w:id="9870"/>
      <w:bookmarkEnd w:id="9871"/>
      <w:bookmarkEnd w:id="9872"/>
      <w:bookmarkEnd w:id="9873"/>
      <w:bookmarkEnd w:id="9874"/>
      <w:bookmarkEnd w:id="9875"/>
      <w:bookmarkEnd w:id="9876"/>
      <w:bookmarkEnd w:id="9877"/>
      <w:bookmarkEnd w:id="9878"/>
      <w:bookmarkEnd w:id="9879"/>
      <w:bookmarkEnd w:id="9880"/>
      <w:bookmarkEnd w:id="9881"/>
      <w:bookmarkEnd w:id="9882"/>
      <w:bookmarkEnd w:id="9883"/>
    </w:p>
    <w:p>
      <w:pPr>
        <w:pStyle w:val="yHeading2"/>
        <w:spacing w:after="120"/>
      </w:pPr>
      <w:bookmarkStart w:id="9884" w:name="_Toc189988218"/>
      <w:bookmarkStart w:id="9885" w:name="_Toc192041801"/>
      <w:bookmarkStart w:id="9886" w:name="_Toc199571035"/>
      <w:bookmarkStart w:id="9887" w:name="_Toc199739034"/>
      <w:bookmarkStart w:id="9888" w:name="_Toc199815135"/>
      <w:bookmarkStart w:id="9889" w:name="_Toc215040942"/>
      <w:bookmarkStart w:id="9890" w:name="_Toc215041387"/>
      <w:bookmarkStart w:id="9891" w:name="_Toc222129595"/>
      <w:bookmarkStart w:id="9892" w:name="_Toc222223300"/>
      <w:bookmarkStart w:id="9893" w:name="_Toc225914552"/>
      <w:bookmarkStart w:id="9894" w:name="_Toc231282597"/>
      <w:bookmarkStart w:id="9895" w:name="_Toc231283041"/>
      <w:bookmarkStart w:id="9896" w:name="_Toc234899631"/>
      <w:bookmarkStart w:id="9897" w:name="_Toc236632914"/>
      <w:bookmarkStart w:id="9898" w:name="_Toc236720527"/>
      <w:bookmarkStart w:id="9899" w:name="_Toc237764726"/>
      <w:bookmarkStart w:id="9900" w:name="_Toc238356350"/>
      <w:bookmarkStart w:id="9901" w:name="_Toc238369055"/>
      <w:bookmarkStart w:id="9902" w:name="_Toc238376008"/>
      <w:bookmarkStart w:id="9903" w:name="_Toc240339332"/>
      <w:bookmarkStart w:id="9904" w:name="_Toc241993838"/>
      <w:bookmarkStart w:id="9905" w:name="_Toc243192981"/>
      <w:bookmarkStart w:id="9906" w:name="_Toc243295682"/>
      <w:bookmarkStart w:id="9907" w:name="_Toc245113255"/>
      <w:bookmarkStart w:id="9908" w:name="_Toc245198417"/>
      <w:bookmarkStart w:id="9909" w:name="_Toc245198866"/>
      <w:bookmarkStart w:id="9910" w:name="_Toc245199315"/>
      <w:bookmarkStart w:id="9911" w:name="_Toc248122347"/>
      <w:bookmarkStart w:id="9912" w:name="_Toc248122798"/>
      <w:bookmarkStart w:id="9913" w:name="_Toc253670785"/>
      <w:bookmarkStart w:id="9914" w:name="_Toc253671235"/>
      <w:bookmarkStart w:id="9915" w:name="_Toc254943009"/>
      <w:bookmarkStart w:id="9916" w:name="_Toc254943462"/>
      <w:bookmarkStart w:id="9917" w:name="_Toc255476054"/>
      <w:bookmarkStart w:id="9918" w:name="_Toc256432375"/>
      <w:bookmarkStart w:id="9919" w:name="_Toc257720712"/>
      <w:bookmarkStart w:id="9920" w:name="_Toc257722394"/>
      <w:bookmarkStart w:id="9921" w:name="_Toc258336070"/>
      <w:bookmarkStart w:id="9922" w:name="_Toc260406512"/>
      <w:bookmarkStart w:id="9923" w:name="_Toc261271698"/>
      <w:bookmarkStart w:id="9924" w:name="_Toc262808380"/>
      <w:bookmarkStart w:id="9925" w:name="_Toc267572772"/>
      <w:bookmarkStart w:id="9926" w:name="_Toc270684521"/>
      <w:bookmarkStart w:id="9927" w:name="_Toc274214698"/>
      <w:bookmarkStart w:id="9928" w:name="_Toc274215147"/>
      <w:bookmarkStart w:id="9929" w:name="_Toc278976478"/>
      <w:bookmarkStart w:id="9930" w:name="_Toc286760799"/>
      <w:bookmarkStart w:id="9931" w:name="_Toc289081144"/>
      <w:bookmarkStart w:id="9932" w:name="_Toc290284338"/>
      <w:bookmarkStart w:id="9933" w:name="_Toc290643159"/>
      <w:bookmarkStart w:id="9934" w:name="_Toc290643608"/>
      <w:bookmarkStart w:id="9935" w:name="_Toc290644061"/>
      <w:bookmarkStart w:id="9936" w:name="_Toc294701878"/>
      <w:bookmarkStart w:id="9937" w:name="_Toc295200286"/>
      <w:bookmarkStart w:id="9938" w:name="_Toc296954727"/>
      <w:bookmarkStart w:id="9939" w:name="_Toc297276362"/>
      <w:bookmarkStart w:id="9940" w:name="_Toc297276814"/>
      <w:bookmarkStart w:id="9941" w:name="_Toc297277264"/>
      <w:bookmarkStart w:id="9942" w:name="_Toc297726633"/>
      <w:bookmarkStart w:id="9943" w:name="_Toc299980419"/>
      <w:bookmarkStart w:id="9944" w:name="_Toc300235045"/>
      <w:bookmarkStart w:id="9945" w:name="_Toc301961548"/>
      <w:bookmarkStart w:id="9946" w:name="_Toc301967118"/>
      <w:bookmarkStart w:id="9947" w:name="_Toc303253327"/>
      <w:bookmarkStart w:id="9948" w:name="_Toc303257491"/>
      <w:bookmarkStart w:id="9949" w:name="_Toc307993124"/>
      <w:bookmarkStart w:id="9950" w:name="_Toc309030157"/>
      <w:bookmarkStart w:id="9951" w:name="_Toc309304380"/>
      <w:bookmarkStart w:id="9952" w:name="_Toc309309657"/>
      <w:r>
        <w:rPr>
          <w:rStyle w:val="CharSDivNo"/>
          <w:sz w:val="28"/>
        </w:rPr>
        <w:t>Part 1</w:t>
      </w:r>
      <w:r>
        <w:t> — </w:t>
      </w:r>
      <w:r>
        <w:rPr>
          <w:rStyle w:val="CharSDivText"/>
          <w:sz w:val="28"/>
        </w:rPr>
        <w:t>Length</w:t>
      </w:r>
      <w:bookmarkEnd w:id="9884"/>
      <w:bookmarkEnd w:id="9885"/>
      <w:bookmarkEnd w:id="9886"/>
      <w:bookmarkEnd w:id="9887"/>
      <w:bookmarkEnd w:id="9888"/>
      <w:bookmarkEnd w:id="9889"/>
      <w:bookmarkEnd w:id="9890"/>
      <w:bookmarkEnd w:id="9891"/>
      <w:bookmarkEnd w:id="9892"/>
      <w:bookmarkEnd w:id="9893"/>
      <w:bookmarkEnd w:id="9894"/>
      <w:bookmarkEnd w:id="9895"/>
      <w:bookmarkEnd w:id="9896"/>
      <w:bookmarkEnd w:id="9897"/>
      <w:bookmarkEnd w:id="9898"/>
      <w:bookmarkEnd w:id="9899"/>
      <w:bookmarkEnd w:id="9900"/>
      <w:bookmarkEnd w:id="9901"/>
      <w:bookmarkEnd w:id="9902"/>
      <w:bookmarkEnd w:id="9903"/>
      <w:bookmarkEnd w:id="9904"/>
      <w:bookmarkEnd w:id="9905"/>
      <w:bookmarkEnd w:id="9906"/>
      <w:bookmarkEnd w:id="9907"/>
      <w:bookmarkEnd w:id="9908"/>
      <w:bookmarkEnd w:id="9909"/>
      <w:bookmarkEnd w:id="9910"/>
      <w:bookmarkEnd w:id="9911"/>
      <w:bookmarkEnd w:id="9912"/>
      <w:bookmarkEnd w:id="9913"/>
      <w:bookmarkEnd w:id="9914"/>
      <w:bookmarkEnd w:id="9915"/>
      <w:bookmarkEnd w:id="9916"/>
      <w:bookmarkEnd w:id="9917"/>
      <w:bookmarkEnd w:id="9918"/>
      <w:bookmarkEnd w:id="9919"/>
      <w:bookmarkEnd w:id="9920"/>
      <w:bookmarkEnd w:id="9921"/>
      <w:bookmarkEnd w:id="9922"/>
      <w:bookmarkEnd w:id="9923"/>
      <w:bookmarkEnd w:id="9924"/>
      <w:bookmarkEnd w:id="9925"/>
      <w:bookmarkEnd w:id="9926"/>
      <w:bookmarkEnd w:id="9927"/>
      <w:bookmarkEnd w:id="9928"/>
      <w:bookmarkEnd w:id="9929"/>
      <w:bookmarkEnd w:id="9930"/>
      <w:bookmarkEnd w:id="9931"/>
      <w:bookmarkEnd w:id="9932"/>
      <w:bookmarkEnd w:id="9933"/>
      <w:bookmarkEnd w:id="9934"/>
      <w:bookmarkEnd w:id="9935"/>
      <w:bookmarkEnd w:id="9936"/>
      <w:bookmarkEnd w:id="9937"/>
      <w:bookmarkEnd w:id="9938"/>
      <w:bookmarkEnd w:id="9939"/>
      <w:bookmarkEnd w:id="9940"/>
      <w:bookmarkEnd w:id="9941"/>
      <w:bookmarkEnd w:id="9942"/>
      <w:bookmarkEnd w:id="9943"/>
      <w:bookmarkEnd w:id="9944"/>
      <w:bookmarkEnd w:id="9945"/>
      <w:bookmarkEnd w:id="9946"/>
      <w:bookmarkEnd w:id="9947"/>
      <w:bookmarkEnd w:id="9948"/>
      <w:bookmarkEnd w:id="9949"/>
      <w:bookmarkEnd w:id="9950"/>
      <w:bookmarkEnd w:id="9951"/>
      <w:bookmarkEnd w:id="9952"/>
    </w:p>
    <w:tbl>
      <w:tblPr>
        <w:tblW w:w="0" w:type="auto"/>
        <w:tblInd w:w="170" w:type="dxa"/>
        <w:tblLayout w:type="fixed"/>
        <w:tblCellMar>
          <w:left w:w="142" w:type="dxa"/>
          <w:right w:w="142" w:type="dxa"/>
        </w:tblCellMar>
        <w:tblLook w:val="0000" w:firstRow="0" w:lastRow="0" w:firstColumn="0" w:lastColumn="0" w:noHBand="0" w:noVBand="0"/>
      </w:tblPr>
      <w:tblGrid>
        <w:gridCol w:w="2132"/>
        <w:gridCol w:w="4928"/>
      </w:tblGrid>
      <w:tr>
        <w:trPr>
          <w:tblHeader/>
        </w:trPr>
        <w:tc>
          <w:tcPr>
            <w:tcW w:w="2132" w:type="dxa"/>
            <w:tcBorders>
              <w:top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Column 1</w:t>
            </w:r>
          </w:p>
        </w:tc>
        <w:tc>
          <w:tcPr>
            <w:tcW w:w="4928" w:type="dxa"/>
            <w:tcBorders>
              <w:top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Column 2</w:t>
            </w:r>
          </w:p>
        </w:tc>
      </w:tr>
      <w:tr>
        <w:trPr>
          <w:tblHeader/>
        </w:trPr>
        <w:tc>
          <w:tcPr>
            <w:tcW w:w="2132"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Name of fish</w:t>
            </w:r>
          </w:p>
        </w:tc>
        <w:tc>
          <w:tcPr>
            <w:tcW w:w="4928"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Method of determining length</w:t>
            </w:r>
          </w:p>
        </w:tc>
      </w:tr>
      <w:tr>
        <w:tc>
          <w:tcPr>
            <w:tcW w:w="2132" w:type="dxa"/>
            <w:tcMar>
              <w:top w:w="57" w:type="dxa"/>
            </w:tcMar>
          </w:tcPr>
          <w:p>
            <w:pPr>
              <w:pStyle w:val="yTableNAm"/>
              <w:tabs>
                <w:tab w:val="clear" w:pos="567"/>
                <w:tab w:val="left" w:pos="310"/>
                <w:tab w:val="left" w:leader="dot" w:pos="3260"/>
              </w:tabs>
              <w:spacing w:before="0"/>
              <w:ind w:left="310" w:hanging="310"/>
            </w:pPr>
            <w:r>
              <w:t>1.</w:t>
            </w:r>
            <w:r>
              <w:tab/>
              <w:t>Cobbler (Estuary Catfish) and Freshwater Cobbler</w:t>
            </w:r>
          </w:p>
        </w:tc>
        <w:tc>
          <w:tcPr>
            <w:tcW w:w="4928" w:type="dxa"/>
            <w:tcMar>
              <w:top w:w="57" w:type="dxa"/>
            </w:tcMar>
          </w:tcPr>
          <w:p>
            <w:pPr>
              <w:pStyle w:val="yTableNAm"/>
              <w:tabs>
                <w:tab w:val="clear" w:pos="567"/>
                <w:tab w:val="left" w:pos="310"/>
                <w:tab w:val="left" w:leader="dot" w:pos="3260"/>
              </w:tabs>
              <w:spacing w:before="0"/>
              <w:ind w:left="310" w:hanging="310"/>
            </w:pPr>
            <w:r>
              <w:t>By measuring in a direct line —</w:t>
            </w:r>
          </w:p>
          <w:p>
            <w:pPr>
              <w:pStyle w:val="yTableNAm"/>
              <w:tabs>
                <w:tab w:val="clear" w:pos="567"/>
                <w:tab w:val="left" w:pos="310"/>
                <w:tab w:val="left" w:leader="dot" w:pos="3260"/>
              </w:tabs>
              <w:spacing w:before="0"/>
              <w:ind w:left="310" w:hanging="310"/>
            </w:pPr>
            <w:r>
              <w:t>(a)</w:t>
            </w:r>
            <w:r>
              <w:tab/>
              <w:t>for partial length, from the base of the anterior edge of the caudo dorsal fin to the tip of the tail; and</w:t>
            </w:r>
          </w:p>
          <w:p>
            <w:pPr>
              <w:pStyle w:val="yTableNAm"/>
              <w:tabs>
                <w:tab w:val="clear" w:pos="567"/>
                <w:tab w:val="left" w:pos="310"/>
                <w:tab w:val="left" w:leader="dot" w:pos="3260"/>
              </w:tabs>
              <w:spacing w:before="0"/>
              <w:ind w:left="310" w:hanging="310"/>
            </w:pPr>
            <w:r>
              <w:t>(b)</w:t>
            </w:r>
            <w:r>
              <w:tab/>
              <w:t>for total length, from the point of the snout, excluding the barbels,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2.</w:t>
            </w:r>
            <w:r>
              <w:tab/>
            </w:r>
            <w:smartTag w:uri="urn:schemas-microsoft-com:office:smarttags" w:element="place">
              <w:smartTag w:uri="urn:schemas-microsoft-com:office:smarttags" w:element="City">
                <w:r>
                  <w:t>Crab</w:t>
                </w:r>
              </w:smartTag>
              <w:r>
                <w:t xml:space="preserve">, </w:t>
              </w:r>
              <w:smartTag w:uri="urn:schemas-microsoft-com:office:smarttags" w:element="State">
                <w:r>
                  <w:t>Champagne</w:t>
                </w:r>
              </w:smartTag>
            </w:smartTag>
            <w:r>
              <w:t xml:space="preserve"> Crab, Giant</w:t>
            </w:r>
          </w:p>
        </w:tc>
        <w:tc>
          <w:tcPr>
            <w:tcW w:w="4928" w:type="dxa"/>
            <w:tcMar>
              <w:top w:w="57" w:type="dxa"/>
            </w:tcMar>
          </w:tcPr>
          <w:p>
            <w:pPr>
              <w:pStyle w:val="yTableNAm"/>
              <w:tabs>
                <w:tab w:val="clear" w:pos="567"/>
                <w:tab w:val="left" w:pos="753"/>
                <w:tab w:val="left" w:leader="dot" w:pos="3260"/>
              </w:tabs>
              <w:spacing w:before="0"/>
            </w:pPr>
            <w:r>
              <w:t>By measuring from the inside of the frontal groove midway between the eyes on the anterior margin of the carapace along the mid</w:t>
            </w:r>
            <w:r>
              <w:noBreakHyphen/>
              <w:t>ventral line of the carapace to the posterior margin where it joins the abdomen.</w:t>
            </w:r>
          </w:p>
        </w:tc>
      </w:tr>
      <w:tr>
        <w:tc>
          <w:tcPr>
            <w:tcW w:w="2132" w:type="dxa"/>
            <w:tcMar>
              <w:top w:w="57" w:type="dxa"/>
            </w:tcMar>
          </w:tcPr>
          <w:p>
            <w:pPr>
              <w:pStyle w:val="yTableNAm"/>
              <w:tabs>
                <w:tab w:val="clear" w:pos="567"/>
                <w:tab w:val="left" w:pos="310"/>
                <w:tab w:val="left" w:leader="dot" w:pos="3260"/>
              </w:tabs>
              <w:spacing w:before="0"/>
              <w:ind w:left="310" w:hanging="310"/>
            </w:pPr>
            <w:r>
              <w:t>2a.</w:t>
            </w:r>
            <w:r>
              <w:tab/>
              <w:t>Crab, Crystal</w:t>
            </w:r>
          </w:p>
        </w:tc>
        <w:tc>
          <w:tcPr>
            <w:tcW w:w="4928" w:type="dxa"/>
            <w:tcMar>
              <w:top w:w="57" w:type="dxa"/>
            </w:tcMar>
          </w:tcPr>
          <w:p>
            <w:pPr>
              <w:pStyle w:val="yTableNAm"/>
              <w:tabs>
                <w:tab w:val="clear" w:pos="567"/>
                <w:tab w:val="left" w:pos="310"/>
                <w:tab w:val="left" w:leader="dot" w:pos="3260"/>
              </w:tabs>
              <w:spacing w:before="0"/>
            </w:pPr>
            <w:r>
              <w:t>By measuring across the carapace at the widest point.</w:t>
            </w:r>
          </w:p>
        </w:tc>
      </w:tr>
      <w:tr>
        <w:tc>
          <w:tcPr>
            <w:tcW w:w="2132" w:type="dxa"/>
            <w:tcMar>
              <w:top w:w="57" w:type="dxa"/>
            </w:tcMar>
          </w:tcPr>
          <w:p>
            <w:pPr>
              <w:pStyle w:val="yTableNAm"/>
              <w:tabs>
                <w:tab w:val="clear" w:pos="567"/>
                <w:tab w:val="left" w:pos="310"/>
                <w:tab w:val="left" w:leader="dot" w:pos="3260"/>
              </w:tabs>
              <w:spacing w:before="0"/>
              <w:ind w:left="310" w:hanging="310"/>
            </w:pPr>
            <w:r>
              <w:t>2b.</w:t>
            </w:r>
            <w:r>
              <w:tab/>
              <w:t>Crab, any other</w:t>
            </w:r>
          </w:p>
        </w:tc>
        <w:tc>
          <w:tcPr>
            <w:tcW w:w="4928" w:type="dxa"/>
            <w:tcMar>
              <w:top w:w="57" w:type="dxa"/>
            </w:tcMar>
          </w:tcPr>
          <w:p>
            <w:pPr>
              <w:pStyle w:val="yTableNAm"/>
              <w:tabs>
                <w:tab w:val="clear" w:pos="567"/>
                <w:tab w:val="left" w:pos="310"/>
                <w:tab w:val="left" w:leader="dot" w:pos="3260"/>
              </w:tabs>
              <w:spacing w:before="0"/>
            </w:pPr>
            <w:r>
              <w:t>By measuring from tip to tip of the posterior carapace spikes.</w:t>
            </w:r>
          </w:p>
        </w:tc>
      </w:tr>
      <w:tr>
        <w:tc>
          <w:tcPr>
            <w:tcW w:w="2132" w:type="dxa"/>
            <w:tcMar>
              <w:top w:w="57" w:type="dxa"/>
            </w:tcMar>
          </w:tcPr>
          <w:p>
            <w:pPr>
              <w:pStyle w:val="yTableNAm"/>
              <w:tabs>
                <w:tab w:val="clear" w:pos="567"/>
                <w:tab w:val="left" w:pos="310"/>
                <w:tab w:val="left" w:leader="dot" w:pos="3260"/>
              </w:tabs>
              <w:spacing w:before="0"/>
              <w:ind w:left="310" w:hanging="310"/>
            </w:pPr>
            <w:r>
              <w:t>3.</w:t>
            </w:r>
            <w:r>
              <w:tab/>
              <w:t>Garfish</w:t>
            </w:r>
          </w:p>
        </w:tc>
        <w:tc>
          <w:tcPr>
            <w:tcW w:w="4928" w:type="dxa"/>
            <w:tcMar>
              <w:top w:w="57" w:type="dxa"/>
            </w:tcMar>
          </w:tcPr>
          <w:p>
            <w:pPr>
              <w:pStyle w:val="yTableNAm"/>
              <w:tabs>
                <w:tab w:val="clear" w:pos="567"/>
                <w:tab w:val="left" w:pos="310"/>
                <w:tab w:val="left" w:leader="dot" w:pos="3260"/>
              </w:tabs>
              <w:spacing w:before="0"/>
            </w:pPr>
            <w:r>
              <w:t>By measuring from the tip of the upper jaw to the tip of the upper half of the tail.</w:t>
            </w:r>
          </w:p>
        </w:tc>
      </w:tr>
      <w:tr>
        <w:tc>
          <w:tcPr>
            <w:tcW w:w="2132" w:type="dxa"/>
            <w:tcMar>
              <w:top w:w="57" w:type="dxa"/>
            </w:tcMar>
          </w:tcPr>
          <w:p>
            <w:pPr>
              <w:pStyle w:val="yTableNAm"/>
              <w:tabs>
                <w:tab w:val="clear" w:pos="567"/>
                <w:tab w:val="left" w:pos="310"/>
                <w:tab w:val="left" w:leader="dot" w:pos="3260"/>
              </w:tabs>
              <w:spacing w:before="0"/>
              <w:ind w:left="310" w:hanging="310"/>
            </w:pPr>
            <w:r>
              <w:t>4.</w:t>
            </w:r>
            <w:r>
              <w:tab/>
              <w:t>Marron</w:t>
            </w:r>
          </w:p>
        </w:tc>
        <w:tc>
          <w:tcPr>
            <w:tcW w:w="4928" w:type="dxa"/>
            <w:tcMar>
              <w:top w:w="57" w:type="dxa"/>
            </w:tcMar>
          </w:tcPr>
          <w:p>
            <w:pPr>
              <w:pStyle w:val="yTableNAm"/>
              <w:tabs>
                <w:tab w:val="clear" w:pos="567"/>
                <w:tab w:val="left" w:pos="310"/>
                <w:tab w:val="left" w:leader="dot" w:pos="3260"/>
              </w:tabs>
              <w:spacing w:before="0"/>
            </w:pPr>
            <w:r>
              <w:t>By measuring from the tip of the rostrum to the posterior margin of the carapace along the mid</w:t>
            </w:r>
            <w:r>
              <w:noBreakHyphen/>
              <w:t>dorsal line.</w:t>
            </w:r>
          </w:p>
        </w:tc>
      </w:tr>
      <w:tr>
        <w:tc>
          <w:tcPr>
            <w:tcW w:w="2132" w:type="dxa"/>
            <w:tcMar>
              <w:top w:w="57" w:type="dxa"/>
            </w:tcMar>
          </w:tcPr>
          <w:p>
            <w:pPr>
              <w:pStyle w:val="yTableNAm"/>
              <w:tabs>
                <w:tab w:val="clear" w:pos="567"/>
                <w:tab w:val="left" w:pos="310"/>
                <w:tab w:val="left" w:leader="dot" w:pos="3260"/>
              </w:tabs>
              <w:spacing w:before="0"/>
              <w:ind w:left="310" w:hanging="310"/>
            </w:pPr>
            <w:r>
              <w:t>5.</w:t>
            </w:r>
            <w:r>
              <w:tab/>
              <w:t>Prawn</w:t>
            </w:r>
          </w:p>
        </w:tc>
        <w:tc>
          <w:tcPr>
            <w:tcW w:w="4928" w:type="dxa"/>
            <w:tcMar>
              <w:top w:w="57" w:type="dxa"/>
            </w:tcMar>
          </w:tcPr>
          <w:p>
            <w:pPr>
              <w:pStyle w:val="yTableNAm"/>
              <w:tabs>
                <w:tab w:val="clear" w:pos="567"/>
                <w:tab w:val="left" w:pos="310"/>
                <w:tab w:val="left" w:leader="dot" w:pos="3260"/>
              </w:tabs>
              <w:spacing w:before="0"/>
            </w:pPr>
            <w:r>
              <w:t>By measuring along the body from the eye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6.</w:t>
            </w:r>
            <w:r>
              <w:tab/>
              <w:t>Southern Rock Lobster</w:t>
            </w:r>
          </w:p>
        </w:tc>
        <w:tc>
          <w:tcPr>
            <w:tcW w:w="4928" w:type="dxa"/>
            <w:tcMar>
              <w:top w:w="57" w:type="dxa"/>
            </w:tcMar>
          </w:tcPr>
          <w:p>
            <w:pPr>
              <w:pStyle w:val="yTableNAm"/>
              <w:tabs>
                <w:tab w:val="clear" w:pos="567"/>
                <w:tab w:val="left" w:pos="310"/>
                <w:tab w:val="left" w:leader="dot" w:pos="3260"/>
              </w:tabs>
              <w:spacing w:before="0"/>
            </w:pPr>
            <w:r>
              <w:t>By measuring from the anterior surface of the median suture of the frontal tubercle to the mid point of the posterior edge of the dorsal region of the carapace.</w:t>
            </w:r>
          </w:p>
        </w:tc>
      </w:tr>
      <w:tr>
        <w:tc>
          <w:tcPr>
            <w:tcW w:w="2132" w:type="dxa"/>
            <w:tcMar>
              <w:top w:w="57" w:type="dxa"/>
            </w:tcMar>
          </w:tcPr>
          <w:p>
            <w:pPr>
              <w:pStyle w:val="yTableNAm"/>
              <w:keepNext/>
              <w:keepLines/>
              <w:tabs>
                <w:tab w:val="clear" w:pos="567"/>
                <w:tab w:val="left" w:pos="310"/>
                <w:tab w:val="left" w:leader="dot" w:pos="3260"/>
              </w:tabs>
              <w:spacing w:before="0"/>
              <w:ind w:left="310" w:hanging="310"/>
            </w:pPr>
            <w:r>
              <w:t>7.</w:t>
            </w:r>
            <w:r>
              <w:tab/>
              <w:t>Western and Tropical Rock Lobster</w:t>
            </w:r>
          </w:p>
        </w:tc>
        <w:tc>
          <w:tcPr>
            <w:tcW w:w="4928" w:type="dxa"/>
            <w:tcMar>
              <w:top w:w="57" w:type="dxa"/>
            </w:tcMar>
          </w:tcPr>
          <w:p>
            <w:pPr>
              <w:pStyle w:val="yTableNAm"/>
              <w:keepNext/>
              <w:keepLines/>
              <w:tabs>
                <w:tab w:val="clear" w:pos="567"/>
                <w:tab w:val="left" w:pos="310"/>
                <w:tab w:val="left" w:leader="dot" w:pos="3260"/>
              </w:tabs>
              <w:spacing w:before="0"/>
            </w:pPr>
            <w:r>
              <w:t>By measuring along the mid</w:t>
            </w:r>
            <w:r>
              <w:noBreakHyphen/>
              <w:t>dorsal line from the anterior edge of the pronounced ridge which joins the front edges of the rostral horns (immediately posterior to the eye stalks) to the posterior margin of the carapace.</w:t>
            </w:r>
          </w:p>
        </w:tc>
      </w:tr>
      <w:tr>
        <w:tc>
          <w:tcPr>
            <w:tcW w:w="2132" w:type="dxa"/>
            <w:tcMar>
              <w:top w:w="57" w:type="dxa"/>
            </w:tcMar>
          </w:tcPr>
          <w:p>
            <w:pPr>
              <w:pStyle w:val="yTableNAm"/>
              <w:tabs>
                <w:tab w:val="clear" w:pos="567"/>
                <w:tab w:val="left" w:pos="310"/>
                <w:tab w:val="left" w:leader="dot" w:pos="3260"/>
              </w:tabs>
              <w:spacing w:before="0"/>
              <w:ind w:left="310" w:hanging="310"/>
            </w:pPr>
            <w:r>
              <w:t>8.</w:t>
            </w:r>
            <w:r>
              <w:tab/>
              <w:t>Abalone</w:t>
            </w:r>
          </w:p>
        </w:tc>
        <w:tc>
          <w:tcPr>
            <w:tcW w:w="4928" w:type="dxa"/>
            <w:tcMar>
              <w:top w:w="57" w:type="dxa"/>
            </w:tcMar>
          </w:tcPr>
          <w:p>
            <w:pPr>
              <w:pStyle w:val="yTableNAm"/>
              <w:tabs>
                <w:tab w:val="clear" w:pos="567"/>
                <w:tab w:val="left" w:pos="310"/>
                <w:tab w:val="left" w:leader="dot" w:pos="3260"/>
              </w:tabs>
              <w:spacing w:before="0"/>
            </w:pPr>
            <w:r>
              <w:t>By measuring the shell from edge to edge across the longest diameter.</w:t>
            </w:r>
          </w:p>
        </w:tc>
      </w:tr>
      <w:tr>
        <w:tc>
          <w:tcPr>
            <w:tcW w:w="2132" w:type="dxa"/>
            <w:tcMar>
              <w:top w:w="57" w:type="dxa"/>
            </w:tcMar>
          </w:tcPr>
          <w:p>
            <w:pPr>
              <w:pStyle w:val="yTableNAm"/>
              <w:tabs>
                <w:tab w:val="clear" w:pos="567"/>
                <w:tab w:val="left" w:pos="310"/>
                <w:tab w:val="left" w:leader="dot" w:pos="3260"/>
              </w:tabs>
              <w:spacing w:before="0"/>
              <w:ind w:left="310" w:hanging="310"/>
            </w:pPr>
            <w:r>
              <w:t>9.</w:t>
            </w:r>
            <w:r>
              <w:tab/>
              <w:t>Trochus</w:t>
            </w:r>
          </w:p>
        </w:tc>
        <w:tc>
          <w:tcPr>
            <w:tcW w:w="4928" w:type="dxa"/>
            <w:tcMar>
              <w:top w:w="57" w:type="dxa"/>
            </w:tcMar>
          </w:tcPr>
          <w:p>
            <w:pPr>
              <w:pStyle w:val="yTableNAm"/>
              <w:tabs>
                <w:tab w:val="clear" w:pos="567"/>
                <w:tab w:val="left" w:pos="310"/>
                <w:tab w:val="left" w:leader="dot" w:pos="3260"/>
              </w:tabs>
              <w:spacing w:before="0"/>
            </w:pPr>
            <w:r>
              <w:t>By measuring the base from edge to edge across the longest diameter.</w:t>
            </w:r>
          </w:p>
        </w:tc>
      </w:tr>
      <w:tr>
        <w:tc>
          <w:tcPr>
            <w:tcW w:w="2132" w:type="dxa"/>
            <w:tcBorders>
              <w:bottom w:val="single" w:sz="4" w:space="0" w:color="auto"/>
            </w:tcBorders>
            <w:tcMar>
              <w:top w:w="57" w:type="dxa"/>
            </w:tcMar>
          </w:tcPr>
          <w:p>
            <w:pPr>
              <w:pStyle w:val="yTableNAm"/>
              <w:tabs>
                <w:tab w:val="clear" w:pos="567"/>
                <w:tab w:val="left" w:pos="310"/>
                <w:tab w:val="left" w:leader="dot" w:pos="3260"/>
              </w:tabs>
              <w:spacing w:before="0"/>
              <w:ind w:left="310" w:hanging="310"/>
            </w:pPr>
            <w:r>
              <w:t>10.</w:t>
            </w:r>
            <w:r>
              <w:tab/>
              <w:t>Any other fish</w:t>
            </w:r>
          </w:p>
        </w:tc>
        <w:tc>
          <w:tcPr>
            <w:tcW w:w="4928" w:type="dxa"/>
            <w:tcBorders>
              <w:bottom w:val="single" w:sz="4" w:space="0" w:color="auto"/>
            </w:tcBorders>
            <w:tcMar>
              <w:top w:w="57" w:type="dxa"/>
            </w:tcMar>
          </w:tcPr>
          <w:p>
            <w:pPr>
              <w:pStyle w:val="yTableNAm"/>
              <w:tabs>
                <w:tab w:val="clear" w:pos="567"/>
                <w:tab w:val="left" w:pos="310"/>
                <w:tab w:val="left" w:leader="dot" w:pos="3260"/>
              </w:tabs>
              <w:spacing w:before="0"/>
            </w:pPr>
            <w:r>
              <w:t>By measuring from the point of the snout to the tip of the tail.</w:t>
            </w:r>
          </w:p>
        </w:tc>
      </w:tr>
    </w:tbl>
    <w:p>
      <w:pPr>
        <w:pStyle w:val="yFootnotesection"/>
      </w:pPr>
      <w:r>
        <w:tab/>
        <w:t>[Part 1 amended in Gazette 15 Jan 1999 p. 113; 13 Nov 2007 p. 5694.]</w:t>
      </w:r>
    </w:p>
    <w:p>
      <w:pPr>
        <w:pStyle w:val="yHeading2"/>
      </w:pPr>
      <w:bookmarkStart w:id="9953" w:name="_Toc189988219"/>
      <w:bookmarkStart w:id="9954" w:name="_Toc192041802"/>
      <w:bookmarkStart w:id="9955" w:name="_Toc199571036"/>
      <w:bookmarkStart w:id="9956" w:name="_Toc199739035"/>
      <w:bookmarkStart w:id="9957" w:name="_Toc199815136"/>
      <w:bookmarkStart w:id="9958" w:name="_Toc215040943"/>
      <w:bookmarkStart w:id="9959" w:name="_Toc215041388"/>
      <w:bookmarkStart w:id="9960" w:name="_Toc222129596"/>
      <w:bookmarkStart w:id="9961" w:name="_Toc222223301"/>
      <w:bookmarkStart w:id="9962" w:name="_Toc225914553"/>
      <w:bookmarkStart w:id="9963" w:name="_Toc231282598"/>
      <w:bookmarkStart w:id="9964" w:name="_Toc231283042"/>
      <w:bookmarkStart w:id="9965" w:name="_Toc234899632"/>
      <w:bookmarkStart w:id="9966" w:name="_Toc236632915"/>
      <w:bookmarkStart w:id="9967" w:name="_Toc236720528"/>
      <w:bookmarkStart w:id="9968" w:name="_Toc237764727"/>
      <w:bookmarkStart w:id="9969" w:name="_Toc238356351"/>
      <w:bookmarkStart w:id="9970" w:name="_Toc238369056"/>
      <w:bookmarkStart w:id="9971" w:name="_Toc238376009"/>
      <w:bookmarkStart w:id="9972" w:name="_Toc240339333"/>
      <w:bookmarkStart w:id="9973" w:name="_Toc241993839"/>
      <w:bookmarkStart w:id="9974" w:name="_Toc243192982"/>
      <w:bookmarkStart w:id="9975" w:name="_Toc243295683"/>
      <w:bookmarkStart w:id="9976" w:name="_Toc245113256"/>
      <w:bookmarkStart w:id="9977" w:name="_Toc245198418"/>
      <w:bookmarkStart w:id="9978" w:name="_Toc245198867"/>
      <w:bookmarkStart w:id="9979" w:name="_Toc245199316"/>
      <w:bookmarkStart w:id="9980" w:name="_Toc248122348"/>
      <w:bookmarkStart w:id="9981" w:name="_Toc248122799"/>
      <w:bookmarkStart w:id="9982" w:name="_Toc253670786"/>
      <w:bookmarkStart w:id="9983" w:name="_Toc253671236"/>
      <w:bookmarkStart w:id="9984" w:name="_Toc254943010"/>
      <w:bookmarkStart w:id="9985" w:name="_Toc254943463"/>
      <w:bookmarkStart w:id="9986" w:name="_Toc255476055"/>
      <w:bookmarkStart w:id="9987" w:name="_Toc256432376"/>
      <w:bookmarkStart w:id="9988" w:name="_Toc257720713"/>
      <w:bookmarkStart w:id="9989" w:name="_Toc257722395"/>
      <w:bookmarkStart w:id="9990" w:name="_Toc258336071"/>
      <w:bookmarkStart w:id="9991" w:name="_Toc260406513"/>
      <w:bookmarkStart w:id="9992" w:name="_Toc261271699"/>
      <w:bookmarkStart w:id="9993" w:name="_Toc262808381"/>
      <w:bookmarkStart w:id="9994" w:name="_Toc267572773"/>
      <w:bookmarkStart w:id="9995" w:name="_Toc270684522"/>
      <w:bookmarkStart w:id="9996" w:name="_Toc274214699"/>
      <w:bookmarkStart w:id="9997" w:name="_Toc274215148"/>
      <w:bookmarkStart w:id="9998" w:name="_Toc278976479"/>
      <w:bookmarkStart w:id="9999" w:name="_Toc286760800"/>
      <w:bookmarkStart w:id="10000" w:name="_Toc289081145"/>
      <w:bookmarkStart w:id="10001" w:name="_Toc290284339"/>
      <w:bookmarkStart w:id="10002" w:name="_Toc290643160"/>
      <w:bookmarkStart w:id="10003" w:name="_Toc290643609"/>
      <w:bookmarkStart w:id="10004" w:name="_Toc290644062"/>
      <w:bookmarkStart w:id="10005" w:name="_Toc294701879"/>
      <w:bookmarkStart w:id="10006" w:name="_Toc295200287"/>
      <w:bookmarkStart w:id="10007" w:name="_Toc296954728"/>
      <w:bookmarkStart w:id="10008" w:name="_Toc297276363"/>
      <w:bookmarkStart w:id="10009" w:name="_Toc297276815"/>
      <w:bookmarkStart w:id="10010" w:name="_Toc297277265"/>
      <w:bookmarkStart w:id="10011" w:name="_Toc297726634"/>
      <w:bookmarkStart w:id="10012" w:name="_Toc299980420"/>
      <w:bookmarkStart w:id="10013" w:name="_Toc300235046"/>
      <w:bookmarkStart w:id="10014" w:name="_Toc301961549"/>
      <w:bookmarkStart w:id="10015" w:name="_Toc301967119"/>
      <w:bookmarkStart w:id="10016" w:name="_Toc303253328"/>
      <w:bookmarkStart w:id="10017" w:name="_Toc303257492"/>
      <w:bookmarkStart w:id="10018" w:name="_Toc307993125"/>
      <w:bookmarkStart w:id="10019" w:name="_Toc309030158"/>
      <w:bookmarkStart w:id="10020" w:name="_Toc309304381"/>
      <w:bookmarkStart w:id="10021" w:name="_Toc309309658"/>
      <w:r>
        <w:rPr>
          <w:rStyle w:val="CharSDivNo"/>
          <w:sz w:val="28"/>
        </w:rPr>
        <w:t>Part 2</w:t>
      </w:r>
      <w:r>
        <w:t> — </w:t>
      </w:r>
      <w:r>
        <w:rPr>
          <w:rStyle w:val="CharSDivText"/>
          <w:sz w:val="28"/>
        </w:rPr>
        <w:t>Method of determining the volume of fish</w:t>
      </w:r>
      <w:bookmarkEnd w:id="9953"/>
      <w:bookmarkEnd w:id="9954"/>
      <w:bookmarkEnd w:id="9955"/>
      <w:bookmarkEnd w:id="9956"/>
      <w:bookmarkEnd w:id="9957"/>
      <w:bookmarkEnd w:id="9958"/>
      <w:bookmarkEnd w:id="9959"/>
      <w:bookmarkEnd w:id="9960"/>
      <w:bookmarkEnd w:id="9961"/>
      <w:bookmarkEnd w:id="9962"/>
      <w:bookmarkEnd w:id="9963"/>
      <w:bookmarkEnd w:id="9964"/>
      <w:bookmarkEnd w:id="9965"/>
      <w:bookmarkEnd w:id="9966"/>
      <w:bookmarkEnd w:id="9967"/>
      <w:bookmarkEnd w:id="9968"/>
      <w:bookmarkEnd w:id="9969"/>
      <w:bookmarkEnd w:id="9970"/>
      <w:bookmarkEnd w:id="9971"/>
      <w:bookmarkEnd w:id="9972"/>
      <w:bookmarkEnd w:id="9973"/>
      <w:bookmarkEnd w:id="9974"/>
      <w:bookmarkEnd w:id="9975"/>
      <w:bookmarkEnd w:id="9976"/>
      <w:bookmarkEnd w:id="9977"/>
      <w:bookmarkEnd w:id="9978"/>
      <w:bookmarkEnd w:id="9979"/>
      <w:bookmarkEnd w:id="9980"/>
      <w:bookmarkEnd w:id="9981"/>
      <w:bookmarkEnd w:id="9982"/>
      <w:bookmarkEnd w:id="9983"/>
      <w:bookmarkEnd w:id="9984"/>
      <w:bookmarkEnd w:id="9985"/>
      <w:bookmarkEnd w:id="9986"/>
      <w:bookmarkEnd w:id="9987"/>
      <w:bookmarkEnd w:id="9988"/>
      <w:bookmarkEnd w:id="9989"/>
      <w:bookmarkEnd w:id="9990"/>
      <w:bookmarkEnd w:id="9991"/>
      <w:bookmarkEnd w:id="9992"/>
      <w:bookmarkEnd w:id="9993"/>
      <w:bookmarkEnd w:id="9994"/>
      <w:bookmarkEnd w:id="9995"/>
      <w:bookmarkEnd w:id="9996"/>
      <w:bookmarkEnd w:id="9997"/>
      <w:bookmarkEnd w:id="9998"/>
      <w:bookmarkEnd w:id="9999"/>
      <w:bookmarkEnd w:id="10000"/>
      <w:bookmarkEnd w:id="10001"/>
      <w:bookmarkEnd w:id="10002"/>
      <w:bookmarkEnd w:id="10003"/>
      <w:bookmarkEnd w:id="10004"/>
      <w:bookmarkEnd w:id="10005"/>
      <w:bookmarkEnd w:id="10006"/>
      <w:bookmarkEnd w:id="10007"/>
      <w:bookmarkEnd w:id="10008"/>
      <w:bookmarkEnd w:id="10009"/>
      <w:bookmarkEnd w:id="10010"/>
      <w:bookmarkEnd w:id="10011"/>
      <w:bookmarkEnd w:id="10012"/>
      <w:bookmarkEnd w:id="10013"/>
      <w:bookmarkEnd w:id="10014"/>
      <w:bookmarkEnd w:id="10015"/>
      <w:bookmarkEnd w:id="10016"/>
      <w:bookmarkEnd w:id="10017"/>
      <w:bookmarkEnd w:id="10018"/>
      <w:bookmarkEnd w:id="10019"/>
      <w:bookmarkEnd w:id="10020"/>
      <w:bookmarkEnd w:id="10021"/>
    </w:p>
    <w:p>
      <w:pPr>
        <w:pStyle w:val="ySubsection"/>
      </w:pPr>
      <w:r>
        <w:tab/>
      </w:r>
      <w:r>
        <w:tab/>
        <w:t>The volume of space which is filled by whole, undamaged fish without compressing those fish.</w:t>
      </w:r>
    </w:p>
    <w:p>
      <w:pPr>
        <w:pStyle w:val="yHeading2"/>
      </w:pPr>
      <w:bookmarkStart w:id="10022" w:name="_Toc189988220"/>
      <w:bookmarkStart w:id="10023" w:name="_Toc192041803"/>
      <w:bookmarkStart w:id="10024" w:name="_Toc199571037"/>
      <w:bookmarkStart w:id="10025" w:name="_Toc199739036"/>
      <w:bookmarkStart w:id="10026" w:name="_Toc199815137"/>
      <w:bookmarkStart w:id="10027" w:name="_Toc215040944"/>
      <w:bookmarkStart w:id="10028" w:name="_Toc215041389"/>
      <w:bookmarkStart w:id="10029" w:name="_Toc222129597"/>
      <w:bookmarkStart w:id="10030" w:name="_Toc222223302"/>
      <w:bookmarkStart w:id="10031" w:name="_Toc225914554"/>
      <w:bookmarkStart w:id="10032" w:name="_Toc231282599"/>
      <w:bookmarkStart w:id="10033" w:name="_Toc231283043"/>
      <w:bookmarkStart w:id="10034" w:name="_Toc234899633"/>
      <w:bookmarkStart w:id="10035" w:name="_Toc236632916"/>
      <w:bookmarkStart w:id="10036" w:name="_Toc236720529"/>
      <w:bookmarkStart w:id="10037" w:name="_Toc237764728"/>
      <w:bookmarkStart w:id="10038" w:name="_Toc238356352"/>
      <w:bookmarkStart w:id="10039" w:name="_Toc238369057"/>
      <w:bookmarkStart w:id="10040" w:name="_Toc238376010"/>
      <w:bookmarkStart w:id="10041" w:name="_Toc240339334"/>
      <w:bookmarkStart w:id="10042" w:name="_Toc241993840"/>
      <w:bookmarkStart w:id="10043" w:name="_Toc243192983"/>
      <w:bookmarkStart w:id="10044" w:name="_Toc243295684"/>
      <w:bookmarkStart w:id="10045" w:name="_Toc245113257"/>
      <w:bookmarkStart w:id="10046" w:name="_Toc245198419"/>
      <w:bookmarkStart w:id="10047" w:name="_Toc245198868"/>
      <w:bookmarkStart w:id="10048" w:name="_Toc245199317"/>
      <w:bookmarkStart w:id="10049" w:name="_Toc248122349"/>
      <w:bookmarkStart w:id="10050" w:name="_Toc248122800"/>
      <w:bookmarkStart w:id="10051" w:name="_Toc253670787"/>
      <w:bookmarkStart w:id="10052" w:name="_Toc253671237"/>
      <w:bookmarkStart w:id="10053" w:name="_Toc254943011"/>
      <w:bookmarkStart w:id="10054" w:name="_Toc254943464"/>
      <w:bookmarkStart w:id="10055" w:name="_Toc255476056"/>
      <w:bookmarkStart w:id="10056" w:name="_Toc256432377"/>
      <w:bookmarkStart w:id="10057" w:name="_Toc257720714"/>
      <w:bookmarkStart w:id="10058" w:name="_Toc257722396"/>
      <w:bookmarkStart w:id="10059" w:name="_Toc258336072"/>
      <w:bookmarkStart w:id="10060" w:name="_Toc260406514"/>
      <w:bookmarkStart w:id="10061" w:name="_Toc261271700"/>
      <w:bookmarkStart w:id="10062" w:name="_Toc262808382"/>
      <w:bookmarkStart w:id="10063" w:name="_Toc267572774"/>
      <w:bookmarkStart w:id="10064" w:name="_Toc270684523"/>
      <w:bookmarkStart w:id="10065" w:name="_Toc274214700"/>
      <w:bookmarkStart w:id="10066" w:name="_Toc274215149"/>
      <w:bookmarkStart w:id="10067" w:name="_Toc278976480"/>
      <w:bookmarkStart w:id="10068" w:name="_Toc286760801"/>
      <w:bookmarkStart w:id="10069" w:name="_Toc289081146"/>
      <w:bookmarkStart w:id="10070" w:name="_Toc290284340"/>
      <w:bookmarkStart w:id="10071" w:name="_Toc290643161"/>
      <w:bookmarkStart w:id="10072" w:name="_Toc290643610"/>
      <w:bookmarkStart w:id="10073" w:name="_Toc290644063"/>
      <w:bookmarkStart w:id="10074" w:name="_Toc294701880"/>
      <w:bookmarkStart w:id="10075" w:name="_Toc295200288"/>
      <w:bookmarkStart w:id="10076" w:name="_Toc296954729"/>
      <w:bookmarkStart w:id="10077" w:name="_Toc297276364"/>
      <w:bookmarkStart w:id="10078" w:name="_Toc297276816"/>
      <w:bookmarkStart w:id="10079" w:name="_Toc297277266"/>
      <w:bookmarkStart w:id="10080" w:name="_Toc297726635"/>
      <w:bookmarkStart w:id="10081" w:name="_Toc299980421"/>
      <w:bookmarkStart w:id="10082" w:name="_Toc300235047"/>
      <w:bookmarkStart w:id="10083" w:name="_Toc301961550"/>
      <w:bookmarkStart w:id="10084" w:name="_Toc301967120"/>
      <w:bookmarkStart w:id="10085" w:name="_Toc303253329"/>
      <w:bookmarkStart w:id="10086" w:name="_Toc303257493"/>
      <w:bookmarkStart w:id="10087" w:name="_Toc307993126"/>
      <w:bookmarkStart w:id="10088" w:name="_Toc309030159"/>
      <w:bookmarkStart w:id="10089" w:name="_Toc309304382"/>
      <w:bookmarkStart w:id="10090" w:name="_Toc309309659"/>
      <w:r>
        <w:rPr>
          <w:rStyle w:val="CharSDivNo"/>
          <w:sz w:val="28"/>
        </w:rPr>
        <w:t>Part 3</w:t>
      </w:r>
      <w:r>
        <w:t> — </w:t>
      </w:r>
      <w:r>
        <w:rPr>
          <w:rStyle w:val="CharSDivText"/>
          <w:sz w:val="28"/>
        </w:rPr>
        <w:t>Method of determining the length of fish trunks and fillets</w:t>
      </w:r>
      <w:bookmarkEnd w:id="10022"/>
      <w:bookmarkEnd w:id="10023"/>
      <w:bookmarkEnd w:id="10024"/>
      <w:bookmarkEnd w:id="10025"/>
      <w:bookmarkEnd w:id="10026"/>
      <w:bookmarkEnd w:id="10027"/>
      <w:bookmarkEnd w:id="10028"/>
      <w:bookmarkEnd w:id="10029"/>
      <w:bookmarkEnd w:id="10030"/>
      <w:bookmarkEnd w:id="10031"/>
      <w:bookmarkEnd w:id="10032"/>
      <w:bookmarkEnd w:id="10033"/>
      <w:bookmarkEnd w:id="10034"/>
      <w:bookmarkEnd w:id="10035"/>
      <w:bookmarkEnd w:id="10036"/>
      <w:bookmarkEnd w:id="10037"/>
      <w:bookmarkEnd w:id="10038"/>
      <w:bookmarkEnd w:id="10039"/>
      <w:bookmarkEnd w:id="10040"/>
      <w:bookmarkEnd w:id="10041"/>
      <w:bookmarkEnd w:id="10042"/>
      <w:bookmarkEnd w:id="10043"/>
      <w:bookmarkEnd w:id="10044"/>
      <w:bookmarkEnd w:id="10045"/>
      <w:bookmarkEnd w:id="10046"/>
      <w:bookmarkEnd w:id="10047"/>
      <w:bookmarkEnd w:id="10048"/>
      <w:bookmarkEnd w:id="10049"/>
      <w:bookmarkEnd w:id="10050"/>
      <w:bookmarkEnd w:id="10051"/>
      <w:bookmarkEnd w:id="10052"/>
      <w:bookmarkEnd w:id="10053"/>
      <w:bookmarkEnd w:id="10054"/>
      <w:bookmarkEnd w:id="10055"/>
      <w:bookmarkEnd w:id="10056"/>
      <w:bookmarkEnd w:id="10057"/>
      <w:bookmarkEnd w:id="10058"/>
      <w:bookmarkEnd w:id="10059"/>
      <w:bookmarkEnd w:id="10060"/>
      <w:bookmarkEnd w:id="10061"/>
      <w:bookmarkEnd w:id="10062"/>
      <w:bookmarkEnd w:id="10063"/>
      <w:bookmarkEnd w:id="10064"/>
      <w:bookmarkEnd w:id="10065"/>
      <w:bookmarkEnd w:id="10066"/>
      <w:bookmarkEnd w:id="10067"/>
      <w:bookmarkEnd w:id="10068"/>
      <w:bookmarkEnd w:id="10069"/>
      <w:bookmarkEnd w:id="10070"/>
      <w:bookmarkEnd w:id="10071"/>
      <w:bookmarkEnd w:id="10072"/>
      <w:bookmarkEnd w:id="10073"/>
      <w:bookmarkEnd w:id="10074"/>
      <w:bookmarkEnd w:id="10075"/>
      <w:bookmarkEnd w:id="10076"/>
      <w:bookmarkEnd w:id="10077"/>
      <w:bookmarkEnd w:id="10078"/>
      <w:bookmarkEnd w:id="10079"/>
      <w:bookmarkEnd w:id="10080"/>
      <w:bookmarkEnd w:id="10081"/>
      <w:bookmarkEnd w:id="10082"/>
      <w:bookmarkEnd w:id="10083"/>
      <w:bookmarkEnd w:id="10084"/>
      <w:bookmarkEnd w:id="10085"/>
      <w:bookmarkEnd w:id="10086"/>
      <w:bookmarkEnd w:id="10087"/>
      <w:bookmarkEnd w:id="10088"/>
      <w:bookmarkEnd w:id="10089"/>
      <w:bookmarkEnd w:id="10090"/>
    </w:p>
    <w:p>
      <w:pPr>
        <w:pStyle w:val="yFootnoteheading"/>
      </w:pPr>
      <w:r>
        <w:tab/>
        <w:t>[Heading inserted in Gazette 4 Nov 2005 p. 5317.]</w:t>
      </w:r>
    </w:p>
    <w:p>
      <w:pPr>
        <w:pStyle w:val="ySubsection"/>
      </w:pPr>
      <w:r>
        <w:tab/>
      </w:r>
      <w:r>
        <w:tab/>
        <w:t>A fish trunk or fillet is to be measured —</w:t>
      </w:r>
    </w:p>
    <w:p>
      <w:pPr>
        <w:pStyle w:val="yIndenta"/>
      </w:pPr>
      <w:r>
        <w:tab/>
        <w:t>(a)</w:t>
      </w:r>
      <w:r>
        <w:tab/>
        <w:t>when the fish is lying flat; and</w:t>
      </w:r>
    </w:p>
    <w:p>
      <w:pPr>
        <w:pStyle w:val="yIndenta"/>
      </w:pPr>
      <w:r>
        <w:tab/>
        <w:t>(b)</w:t>
      </w:r>
      <w:r>
        <w:tab/>
        <w:t>without being held; and</w:t>
      </w:r>
    </w:p>
    <w:p>
      <w:pPr>
        <w:pStyle w:val="yIndenta"/>
      </w:pPr>
      <w:r>
        <w:tab/>
        <w:t>(c)</w:t>
      </w:r>
      <w:r>
        <w:tab/>
        <w:t>lengthwise along the longest part of the fish to which both the skin and the flesh of the fish extends; and</w:t>
      </w:r>
    </w:p>
    <w:p>
      <w:pPr>
        <w:pStyle w:val="yIndenta"/>
      </w:pPr>
      <w:r>
        <w:tab/>
        <w:t>(d)</w:t>
      </w:r>
      <w:r>
        <w:tab/>
        <w:t>in the case of a fillet, the measurement is not to include any part of the head or tail of the fish still attached.</w:t>
      </w:r>
    </w:p>
    <w:p>
      <w:pPr>
        <w:pStyle w:val="yFootnotesection"/>
      </w:pPr>
      <w:r>
        <w:tab/>
        <w:t>[Part 3 inserted in Gazette 4 Nov 2005 p. 5317.]</w:t>
      </w:r>
    </w:p>
    <w:p>
      <w:pPr>
        <w:pStyle w:val="yScheduleHeading"/>
      </w:pPr>
      <w:bookmarkStart w:id="10091" w:name="_Toc243295685"/>
      <w:bookmarkStart w:id="10092" w:name="_Toc245113258"/>
      <w:bookmarkStart w:id="10093" w:name="_Toc245198420"/>
      <w:bookmarkStart w:id="10094" w:name="_Toc245198869"/>
      <w:bookmarkStart w:id="10095" w:name="_Toc245199318"/>
      <w:bookmarkStart w:id="10096" w:name="_Toc248122350"/>
      <w:bookmarkStart w:id="10097" w:name="_Toc248122801"/>
      <w:bookmarkStart w:id="10098" w:name="_Toc253670788"/>
      <w:bookmarkStart w:id="10099" w:name="_Toc253671238"/>
      <w:bookmarkStart w:id="10100" w:name="_Toc254943012"/>
      <w:bookmarkStart w:id="10101" w:name="_Toc254943465"/>
      <w:bookmarkStart w:id="10102" w:name="_Toc255476057"/>
      <w:bookmarkStart w:id="10103" w:name="_Toc256432378"/>
      <w:bookmarkStart w:id="10104" w:name="_Toc257720715"/>
      <w:bookmarkStart w:id="10105" w:name="_Toc257722397"/>
      <w:bookmarkStart w:id="10106" w:name="_Toc258336073"/>
      <w:bookmarkStart w:id="10107" w:name="_Toc260406515"/>
      <w:bookmarkStart w:id="10108" w:name="_Toc261271701"/>
      <w:bookmarkStart w:id="10109" w:name="_Toc262808383"/>
      <w:bookmarkStart w:id="10110" w:name="_Toc267572775"/>
      <w:bookmarkStart w:id="10111" w:name="_Toc270684524"/>
      <w:bookmarkStart w:id="10112" w:name="_Toc274214701"/>
      <w:bookmarkStart w:id="10113" w:name="_Toc274215150"/>
      <w:bookmarkStart w:id="10114" w:name="_Toc278976481"/>
      <w:bookmarkStart w:id="10115" w:name="_Toc286760802"/>
      <w:bookmarkStart w:id="10116" w:name="_Toc289081147"/>
      <w:bookmarkStart w:id="10117" w:name="_Toc290284341"/>
      <w:bookmarkStart w:id="10118" w:name="_Toc290643162"/>
      <w:bookmarkStart w:id="10119" w:name="_Toc290643611"/>
      <w:bookmarkStart w:id="10120" w:name="_Toc290644064"/>
      <w:bookmarkStart w:id="10121" w:name="_Toc294701881"/>
      <w:bookmarkStart w:id="10122" w:name="_Toc295200289"/>
      <w:bookmarkStart w:id="10123" w:name="_Toc296954730"/>
      <w:bookmarkStart w:id="10124" w:name="_Toc297276365"/>
      <w:bookmarkStart w:id="10125" w:name="_Toc297276817"/>
      <w:bookmarkStart w:id="10126" w:name="_Toc297277267"/>
      <w:bookmarkStart w:id="10127" w:name="_Toc297726636"/>
      <w:bookmarkStart w:id="10128" w:name="_Toc299980422"/>
      <w:bookmarkStart w:id="10129" w:name="_Toc300235048"/>
      <w:bookmarkStart w:id="10130" w:name="_Toc301961551"/>
      <w:bookmarkStart w:id="10131" w:name="_Toc301967121"/>
      <w:bookmarkStart w:id="10132" w:name="_Toc303253330"/>
      <w:bookmarkStart w:id="10133" w:name="_Toc303257494"/>
      <w:bookmarkStart w:id="10134" w:name="_Toc307993127"/>
      <w:bookmarkStart w:id="10135" w:name="_Toc309030160"/>
      <w:bookmarkStart w:id="10136" w:name="_Toc309304383"/>
      <w:bookmarkStart w:id="10137" w:name="_Toc309309660"/>
      <w:bookmarkStart w:id="10138" w:name="_Toc189988223"/>
      <w:bookmarkStart w:id="10139" w:name="_Toc192041806"/>
      <w:bookmarkStart w:id="10140" w:name="_Toc199571040"/>
      <w:bookmarkStart w:id="10141" w:name="_Toc199739039"/>
      <w:bookmarkStart w:id="10142" w:name="_Toc199815140"/>
      <w:bookmarkStart w:id="10143" w:name="_Toc215040947"/>
      <w:bookmarkStart w:id="10144" w:name="_Toc215041392"/>
      <w:bookmarkStart w:id="10145" w:name="_Toc222129600"/>
      <w:bookmarkStart w:id="10146" w:name="_Toc222223305"/>
      <w:bookmarkStart w:id="10147" w:name="_Toc225914557"/>
      <w:bookmarkStart w:id="10148" w:name="_Toc231282602"/>
      <w:bookmarkStart w:id="10149" w:name="_Toc231283046"/>
      <w:bookmarkStart w:id="10150" w:name="_Toc234899636"/>
      <w:bookmarkStart w:id="10151" w:name="_Toc236632919"/>
      <w:bookmarkStart w:id="10152" w:name="_Toc236720532"/>
      <w:bookmarkStart w:id="10153" w:name="_Toc237764731"/>
      <w:bookmarkStart w:id="10154" w:name="_Toc238356355"/>
      <w:bookmarkStart w:id="10155" w:name="_Toc238369060"/>
      <w:bookmarkStart w:id="10156" w:name="_Toc238376013"/>
      <w:bookmarkStart w:id="10157" w:name="_Toc240339337"/>
      <w:bookmarkStart w:id="10158" w:name="_Toc241993843"/>
      <w:bookmarkStart w:id="10159" w:name="_Toc243192986"/>
      <w:r>
        <w:rPr>
          <w:rStyle w:val="CharSchNo"/>
        </w:rPr>
        <w:t>Schedule 9</w:t>
      </w:r>
      <w:r>
        <w:rPr>
          <w:rStyle w:val="CharSDivNo"/>
        </w:rPr>
        <w:t> </w:t>
      </w:r>
      <w:r>
        <w:t>—</w:t>
      </w:r>
      <w:r>
        <w:rPr>
          <w:rStyle w:val="CharSDivText"/>
        </w:rPr>
        <w:t> </w:t>
      </w:r>
      <w:r>
        <w:rPr>
          <w:rStyle w:val="CharSchText"/>
        </w:rPr>
        <w:t>Determining the value of fish</w:t>
      </w:r>
      <w:bookmarkEnd w:id="10091"/>
      <w:bookmarkEnd w:id="10092"/>
      <w:bookmarkEnd w:id="10093"/>
      <w:bookmarkEnd w:id="10094"/>
      <w:bookmarkEnd w:id="10095"/>
      <w:bookmarkEnd w:id="10096"/>
      <w:bookmarkEnd w:id="10097"/>
      <w:bookmarkEnd w:id="10098"/>
      <w:bookmarkEnd w:id="10099"/>
      <w:bookmarkEnd w:id="10100"/>
      <w:bookmarkEnd w:id="10101"/>
      <w:bookmarkEnd w:id="10102"/>
      <w:bookmarkEnd w:id="10103"/>
      <w:bookmarkEnd w:id="10104"/>
      <w:bookmarkEnd w:id="10105"/>
      <w:bookmarkEnd w:id="10106"/>
      <w:bookmarkEnd w:id="10107"/>
      <w:bookmarkEnd w:id="10108"/>
      <w:bookmarkEnd w:id="10109"/>
      <w:bookmarkEnd w:id="10110"/>
      <w:bookmarkEnd w:id="10111"/>
      <w:bookmarkEnd w:id="10112"/>
      <w:bookmarkEnd w:id="10113"/>
      <w:bookmarkEnd w:id="10114"/>
      <w:bookmarkEnd w:id="10115"/>
      <w:bookmarkEnd w:id="10116"/>
      <w:bookmarkEnd w:id="10117"/>
      <w:bookmarkEnd w:id="10118"/>
      <w:bookmarkEnd w:id="10119"/>
      <w:bookmarkEnd w:id="10120"/>
      <w:bookmarkEnd w:id="10121"/>
      <w:bookmarkEnd w:id="10122"/>
      <w:bookmarkEnd w:id="10123"/>
      <w:bookmarkEnd w:id="10124"/>
      <w:bookmarkEnd w:id="10125"/>
      <w:bookmarkEnd w:id="10126"/>
      <w:bookmarkEnd w:id="10127"/>
      <w:bookmarkEnd w:id="10128"/>
      <w:bookmarkEnd w:id="10129"/>
      <w:bookmarkEnd w:id="10130"/>
      <w:bookmarkEnd w:id="10131"/>
      <w:bookmarkEnd w:id="10132"/>
      <w:bookmarkEnd w:id="10133"/>
      <w:bookmarkEnd w:id="10134"/>
      <w:bookmarkEnd w:id="10135"/>
      <w:bookmarkEnd w:id="10136"/>
      <w:bookmarkEnd w:id="10137"/>
    </w:p>
    <w:p>
      <w:pPr>
        <w:pStyle w:val="yShoulderClause"/>
      </w:pPr>
      <w:r>
        <w:t>[s. 222(2) and r. 157]</w:t>
      </w:r>
    </w:p>
    <w:p>
      <w:pPr>
        <w:pStyle w:val="yFootnoteheading"/>
        <w:spacing w:after="120"/>
      </w:pPr>
      <w:r>
        <w:tab/>
        <w:t>[Heading inserted in Gazette 29 Sep 2009 p. 3875.]</w:t>
      </w:r>
    </w:p>
    <w:tbl>
      <w:tblPr>
        <w:tblW w:w="0" w:type="auto"/>
        <w:tblInd w:w="141" w:type="dxa"/>
        <w:tblLayout w:type="fixed"/>
        <w:tblCellMar>
          <w:left w:w="141" w:type="dxa"/>
          <w:right w:w="141" w:type="dxa"/>
        </w:tblCellMar>
        <w:tblLook w:val="0000" w:firstRow="0" w:lastRow="0" w:firstColumn="0" w:lastColumn="0" w:noHBand="0" w:noVBand="0"/>
      </w:tblPr>
      <w:tblGrid>
        <w:gridCol w:w="4320"/>
        <w:gridCol w:w="1384"/>
        <w:gridCol w:w="1384"/>
      </w:tblGrid>
      <w:tr>
        <w:trPr>
          <w:tblHeader/>
        </w:trPr>
        <w:tc>
          <w:tcPr>
            <w:tcW w:w="4320" w:type="dxa"/>
            <w:tcBorders>
              <w:top w:val="single" w:sz="8" w:space="0" w:color="auto"/>
              <w:bottom w:val="single" w:sz="8" w:space="0" w:color="auto"/>
            </w:tcBorders>
            <w:vAlign w:val="center"/>
          </w:tcPr>
          <w:p>
            <w:pPr>
              <w:pStyle w:val="yTableNAm"/>
              <w:spacing w:before="0"/>
              <w:rPr>
                <w:b/>
                <w:bCs/>
              </w:rPr>
            </w:pPr>
            <w:r>
              <w:rPr>
                <w:b/>
                <w:bCs/>
              </w:rPr>
              <w:t>Species of fish</w:t>
            </w:r>
          </w:p>
        </w:tc>
        <w:tc>
          <w:tcPr>
            <w:tcW w:w="1384" w:type="dxa"/>
            <w:tcBorders>
              <w:top w:val="single" w:sz="8" w:space="0" w:color="auto"/>
              <w:bottom w:val="single" w:sz="8" w:space="0" w:color="auto"/>
            </w:tcBorders>
            <w:vAlign w:val="center"/>
          </w:tcPr>
          <w:p>
            <w:pPr>
              <w:pStyle w:val="yTableNAm"/>
              <w:spacing w:before="0"/>
              <w:ind w:left="46"/>
              <w:rPr>
                <w:b/>
                <w:bCs/>
              </w:rPr>
            </w:pPr>
            <w:r>
              <w:rPr>
                <w:b/>
                <w:bCs/>
              </w:rPr>
              <w:t>Value per unit of weight</w:t>
            </w:r>
          </w:p>
          <w:p>
            <w:pPr>
              <w:pStyle w:val="yTableNAm"/>
              <w:spacing w:before="0"/>
              <w:ind w:left="46" w:right="219"/>
              <w:rPr>
                <w:b/>
                <w:bCs/>
              </w:rPr>
            </w:pPr>
            <w:r>
              <w:rPr>
                <w:b/>
                <w:bCs/>
              </w:rPr>
              <w:t>($/kgm)</w:t>
            </w:r>
          </w:p>
        </w:tc>
        <w:tc>
          <w:tcPr>
            <w:tcW w:w="1384" w:type="dxa"/>
            <w:tcBorders>
              <w:top w:val="single" w:sz="8" w:space="0" w:color="auto"/>
              <w:bottom w:val="single" w:sz="8" w:space="0" w:color="auto"/>
            </w:tcBorders>
            <w:vAlign w:val="center"/>
          </w:tcPr>
          <w:p>
            <w:pPr>
              <w:pStyle w:val="yTableNAm"/>
              <w:tabs>
                <w:tab w:val="clear" w:pos="567"/>
              </w:tabs>
              <w:spacing w:before="0"/>
              <w:ind w:left="275"/>
              <w:rPr>
                <w:b/>
                <w:bCs/>
              </w:rPr>
            </w:pPr>
            <w:r>
              <w:rPr>
                <w:b/>
                <w:bCs/>
              </w:rPr>
              <w:br/>
              <w:t xml:space="preserve">Value </w:t>
            </w:r>
            <w:r>
              <w:rPr>
                <w:b/>
                <w:bCs/>
              </w:rPr>
              <w:br/>
              <w:t>per fish</w:t>
            </w:r>
          </w:p>
          <w:p>
            <w:pPr>
              <w:pStyle w:val="yTableNAm"/>
              <w:tabs>
                <w:tab w:val="clear" w:pos="567"/>
              </w:tabs>
              <w:spacing w:before="0"/>
              <w:ind w:left="275"/>
              <w:rPr>
                <w:b/>
                <w:bCs/>
              </w:rPr>
            </w:pPr>
            <w:r>
              <w:rPr>
                <w:b/>
                <w:bCs/>
              </w:rPr>
              <w:t>($)</w:t>
            </w:r>
          </w:p>
        </w:tc>
      </w:tr>
      <w:tr>
        <w:tc>
          <w:tcPr>
            <w:tcW w:w="4320" w:type="dxa"/>
          </w:tcPr>
          <w:p>
            <w:pPr>
              <w:pStyle w:val="yTableNAm"/>
              <w:spacing w:before="0"/>
            </w:pPr>
            <w:r>
              <w:t>Abalone, Brownlip (shucked) .......................</w:t>
            </w:r>
          </w:p>
        </w:tc>
        <w:tc>
          <w:tcPr>
            <w:tcW w:w="1384" w:type="dxa"/>
          </w:tcPr>
          <w:p>
            <w:pPr>
              <w:pStyle w:val="yTableNAm"/>
              <w:spacing w:before="0"/>
              <w:ind w:right="284"/>
              <w:jc w:val="right"/>
            </w:pPr>
            <w:r>
              <w:t>90.00</w:t>
            </w:r>
          </w:p>
        </w:tc>
        <w:tc>
          <w:tcPr>
            <w:tcW w:w="1384" w:type="dxa"/>
          </w:tcPr>
          <w:p>
            <w:pPr>
              <w:pStyle w:val="yTableNAm"/>
              <w:spacing w:before="0"/>
              <w:ind w:right="284"/>
              <w:jc w:val="right"/>
            </w:pPr>
            <w:r>
              <w:t>24.00</w:t>
            </w:r>
          </w:p>
        </w:tc>
      </w:tr>
      <w:tr>
        <w:tc>
          <w:tcPr>
            <w:tcW w:w="4320" w:type="dxa"/>
          </w:tcPr>
          <w:p>
            <w:pPr>
              <w:pStyle w:val="yTableNAm"/>
              <w:spacing w:before="0"/>
            </w:pPr>
            <w:r>
              <w:t>Abalone, Brownlip (whole weight) ...............</w:t>
            </w:r>
          </w:p>
        </w:tc>
        <w:tc>
          <w:tcPr>
            <w:tcW w:w="1384" w:type="dxa"/>
          </w:tcPr>
          <w:p>
            <w:pPr>
              <w:pStyle w:val="yTableNAm"/>
              <w:spacing w:before="0"/>
              <w:ind w:right="284"/>
              <w:jc w:val="right"/>
            </w:pPr>
            <w:r>
              <w:t>36.00</w:t>
            </w:r>
          </w:p>
        </w:tc>
        <w:tc>
          <w:tcPr>
            <w:tcW w:w="1384" w:type="dxa"/>
          </w:tcPr>
          <w:p>
            <w:pPr>
              <w:pStyle w:val="yTableNAm"/>
              <w:spacing w:before="0"/>
              <w:ind w:right="284"/>
              <w:jc w:val="right"/>
            </w:pPr>
            <w:r>
              <w:t>24.00</w:t>
            </w:r>
          </w:p>
        </w:tc>
      </w:tr>
      <w:tr>
        <w:tc>
          <w:tcPr>
            <w:tcW w:w="4320" w:type="dxa"/>
          </w:tcPr>
          <w:p>
            <w:pPr>
              <w:pStyle w:val="yTableNAm"/>
              <w:spacing w:before="0"/>
            </w:pPr>
            <w:r>
              <w:t>Abalone, Greenlip (shucked) ........................</w:t>
            </w:r>
          </w:p>
        </w:tc>
        <w:tc>
          <w:tcPr>
            <w:tcW w:w="1384" w:type="dxa"/>
          </w:tcPr>
          <w:p>
            <w:pPr>
              <w:pStyle w:val="yTableNAm"/>
              <w:spacing w:before="0"/>
              <w:ind w:right="284"/>
              <w:jc w:val="right"/>
            </w:pPr>
            <w:r>
              <w:t>110.00</w:t>
            </w:r>
          </w:p>
        </w:tc>
        <w:tc>
          <w:tcPr>
            <w:tcW w:w="1384" w:type="dxa"/>
          </w:tcPr>
          <w:p>
            <w:pPr>
              <w:pStyle w:val="yTableNAm"/>
              <w:spacing w:before="0"/>
              <w:ind w:right="284"/>
              <w:jc w:val="right"/>
            </w:pPr>
            <w:r>
              <w:t>25.00</w:t>
            </w:r>
          </w:p>
        </w:tc>
      </w:tr>
      <w:tr>
        <w:tc>
          <w:tcPr>
            <w:tcW w:w="4320" w:type="dxa"/>
          </w:tcPr>
          <w:p>
            <w:pPr>
              <w:pStyle w:val="yTableNAm"/>
              <w:spacing w:before="0"/>
            </w:pPr>
            <w:r>
              <w:t>Abalone, Greenlip (whole weight) ................</w:t>
            </w:r>
          </w:p>
        </w:tc>
        <w:tc>
          <w:tcPr>
            <w:tcW w:w="1384" w:type="dxa"/>
          </w:tcPr>
          <w:p>
            <w:pPr>
              <w:pStyle w:val="yTableNAm"/>
              <w:spacing w:before="0"/>
              <w:ind w:right="284"/>
              <w:jc w:val="right"/>
            </w:pPr>
            <w:r>
              <w:t>40.00</w:t>
            </w:r>
          </w:p>
        </w:tc>
        <w:tc>
          <w:tcPr>
            <w:tcW w:w="1384" w:type="dxa"/>
          </w:tcPr>
          <w:p>
            <w:pPr>
              <w:pStyle w:val="yTableNAm"/>
              <w:spacing w:before="0"/>
              <w:ind w:right="284"/>
              <w:jc w:val="right"/>
            </w:pPr>
            <w:r>
              <w:t>25.00</w:t>
            </w:r>
          </w:p>
        </w:tc>
      </w:tr>
      <w:tr>
        <w:tc>
          <w:tcPr>
            <w:tcW w:w="4320" w:type="dxa"/>
          </w:tcPr>
          <w:p>
            <w:pPr>
              <w:pStyle w:val="yTableNAm"/>
              <w:spacing w:before="0"/>
            </w:pPr>
            <w:r>
              <w:t>Abalone, Roe’s (shucked) .............................</w:t>
            </w:r>
          </w:p>
        </w:tc>
        <w:tc>
          <w:tcPr>
            <w:tcW w:w="1384" w:type="dxa"/>
          </w:tcPr>
          <w:p>
            <w:pPr>
              <w:pStyle w:val="yTableNAm"/>
              <w:spacing w:before="0"/>
              <w:ind w:right="284"/>
              <w:jc w:val="right"/>
            </w:pPr>
            <w:r>
              <w:t>60.00</w:t>
            </w:r>
          </w:p>
        </w:tc>
        <w:tc>
          <w:tcPr>
            <w:tcW w:w="1384" w:type="dxa"/>
          </w:tcPr>
          <w:p>
            <w:pPr>
              <w:pStyle w:val="yTableNAm"/>
              <w:spacing w:before="0"/>
              <w:ind w:right="284"/>
              <w:jc w:val="right"/>
            </w:pPr>
            <w:r>
              <w:t>3.00</w:t>
            </w:r>
          </w:p>
        </w:tc>
      </w:tr>
      <w:tr>
        <w:tc>
          <w:tcPr>
            <w:tcW w:w="4320" w:type="dxa"/>
          </w:tcPr>
          <w:p>
            <w:pPr>
              <w:pStyle w:val="yTableNAm"/>
              <w:spacing w:before="0"/>
            </w:pPr>
            <w:r>
              <w:t>Abalone, Roe’s (whole weight) ....................</w:t>
            </w:r>
          </w:p>
        </w:tc>
        <w:tc>
          <w:tcPr>
            <w:tcW w:w="1384" w:type="dxa"/>
          </w:tcPr>
          <w:p>
            <w:pPr>
              <w:pStyle w:val="yTableNAm"/>
              <w:spacing w:before="0"/>
              <w:ind w:right="284"/>
              <w:jc w:val="right"/>
            </w:pPr>
            <w:r>
              <w:t>25.00</w:t>
            </w:r>
          </w:p>
        </w:tc>
        <w:tc>
          <w:tcPr>
            <w:tcW w:w="1384" w:type="dxa"/>
          </w:tcPr>
          <w:p>
            <w:pPr>
              <w:pStyle w:val="yTableNAm"/>
              <w:spacing w:before="0"/>
              <w:ind w:right="284"/>
              <w:jc w:val="right"/>
            </w:pPr>
            <w:r>
              <w:t>3.00</w:t>
            </w:r>
          </w:p>
        </w:tc>
      </w:tr>
      <w:tr>
        <w:tc>
          <w:tcPr>
            <w:tcW w:w="4320" w:type="dxa"/>
          </w:tcPr>
          <w:p>
            <w:pPr>
              <w:pStyle w:val="yTableNAm"/>
              <w:spacing w:before="0"/>
            </w:pPr>
            <w:r>
              <w:t>Amberjack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w:t>
            </w:r>
          </w:p>
        </w:tc>
      </w:tr>
      <w:tr>
        <w:tc>
          <w:tcPr>
            <w:tcW w:w="4320" w:type="dxa"/>
          </w:tcPr>
          <w:p>
            <w:pPr>
              <w:pStyle w:val="yTableNAm"/>
              <w:spacing w:before="0"/>
            </w:pPr>
            <w:smartTag w:uri="urn:schemas-microsoft-com:office:smarttags" w:element="place">
              <w:smartTag w:uri="urn:schemas-microsoft-com:office:smarttags" w:element="State">
                <w:r>
                  <w:t>Ark</w:t>
                </w:r>
              </w:smartTag>
            </w:smartTag>
            <w:r>
              <w:t xml:space="preserve"> Shell .......................................................</w:t>
            </w:r>
          </w:p>
        </w:tc>
        <w:tc>
          <w:tcPr>
            <w:tcW w:w="1384" w:type="dxa"/>
          </w:tcPr>
          <w:p>
            <w:pPr>
              <w:pStyle w:val="yTableNAm"/>
              <w:spacing w:before="0"/>
              <w:ind w:right="284"/>
              <w:jc w:val="right"/>
            </w:pPr>
            <w:r>
              <w:t>10.00</w:t>
            </w:r>
          </w:p>
        </w:tc>
        <w:tc>
          <w:tcPr>
            <w:tcW w:w="1384" w:type="dxa"/>
          </w:tcPr>
          <w:p>
            <w:pPr>
              <w:pStyle w:val="yTableNAm"/>
              <w:spacing w:before="0"/>
              <w:ind w:right="284"/>
              <w:jc w:val="right"/>
            </w:pPr>
            <w:r>
              <w:t>0.25</w:t>
            </w:r>
          </w:p>
        </w:tc>
      </w:tr>
      <w:tr>
        <w:tc>
          <w:tcPr>
            <w:tcW w:w="4320" w:type="dxa"/>
          </w:tcPr>
          <w:p>
            <w:pPr>
              <w:pStyle w:val="yTableNAm"/>
              <w:spacing w:before="0"/>
            </w:pPr>
            <w:r>
              <w:t>Barracuda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w:t>
            </w:r>
          </w:p>
        </w:tc>
      </w:tr>
      <w:tr>
        <w:tc>
          <w:tcPr>
            <w:tcW w:w="4320" w:type="dxa"/>
          </w:tcPr>
          <w:p>
            <w:pPr>
              <w:pStyle w:val="yTableNAm"/>
              <w:spacing w:before="0"/>
            </w:pPr>
            <w:r>
              <w:t>Barramundi ....................................................</w:t>
            </w:r>
          </w:p>
        </w:tc>
        <w:tc>
          <w:tcPr>
            <w:tcW w:w="1384" w:type="dxa"/>
          </w:tcPr>
          <w:p>
            <w:pPr>
              <w:pStyle w:val="yTableNAm"/>
              <w:spacing w:before="0"/>
              <w:ind w:right="284"/>
              <w:jc w:val="right"/>
            </w:pPr>
            <w:r>
              <w:t>14.50</w:t>
            </w:r>
          </w:p>
        </w:tc>
        <w:tc>
          <w:tcPr>
            <w:tcW w:w="1384" w:type="dxa"/>
          </w:tcPr>
          <w:p>
            <w:pPr>
              <w:pStyle w:val="yTableNAm"/>
              <w:spacing w:before="0"/>
              <w:ind w:right="284"/>
              <w:jc w:val="right"/>
            </w:pPr>
            <w:r>
              <w:t>58.00</w:t>
            </w:r>
          </w:p>
        </w:tc>
      </w:tr>
      <w:tr>
        <w:tc>
          <w:tcPr>
            <w:tcW w:w="4320" w:type="dxa"/>
          </w:tcPr>
          <w:p>
            <w:pPr>
              <w:pStyle w:val="yTableNAm"/>
              <w:spacing w:before="0"/>
            </w:pPr>
            <w:r>
              <w:t>Boarfish .........................................................</w:t>
            </w:r>
          </w:p>
        </w:tc>
        <w:tc>
          <w:tcPr>
            <w:tcW w:w="1384" w:type="dxa"/>
          </w:tcPr>
          <w:p>
            <w:pPr>
              <w:pStyle w:val="yTableNAm"/>
              <w:spacing w:before="0"/>
              <w:ind w:right="284"/>
              <w:jc w:val="right"/>
            </w:pPr>
            <w:r>
              <w:t>8.00</w:t>
            </w:r>
          </w:p>
        </w:tc>
        <w:tc>
          <w:tcPr>
            <w:tcW w:w="1384" w:type="dxa"/>
          </w:tcPr>
          <w:p>
            <w:pPr>
              <w:pStyle w:val="yTableNAm"/>
              <w:spacing w:before="0"/>
              <w:ind w:right="284"/>
              <w:jc w:val="right"/>
            </w:pPr>
            <w:r>
              <w:t>24.00</w:t>
            </w:r>
          </w:p>
        </w:tc>
      </w:tr>
      <w:tr>
        <w:tc>
          <w:tcPr>
            <w:tcW w:w="4320" w:type="dxa"/>
          </w:tcPr>
          <w:p>
            <w:pPr>
              <w:pStyle w:val="yTableNAm"/>
              <w:spacing w:before="0"/>
            </w:pPr>
            <w:r>
              <w:t>Bonito ............................................................</w:t>
            </w:r>
          </w:p>
        </w:tc>
        <w:tc>
          <w:tcPr>
            <w:tcW w:w="1384" w:type="dxa"/>
          </w:tcPr>
          <w:p>
            <w:pPr>
              <w:pStyle w:val="yTableNAm"/>
              <w:spacing w:before="0"/>
              <w:ind w:right="284"/>
              <w:jc w:val="right"/>
            </w:pPr>
            <w:r>
              <w:t>1.50</w:t>
            </w:r>
          </w:p>
        </w:tc>
        <w:tc>
          <w:tcPr>
            <w:tcW w:w="1384" w:type="dxa"/>
          </w:tcPr>
          <w:p>
            <w:pPr>
              <w:pStyle w:val="yTableNAm"/>
              <w:spacing w:before="0"/>
              <w:ind w:right="284"/>
              <w:jc w:val="right"/>
            </w:pPr>
            <w:r>
              <w:t>5.00</w:t>
            </w:r>
          </w:p>
        </w:tc>
      </w:tr>
      <w:tr>
        <w:tc>
          <w:tcPr>
            <w:tcW w:w="4320" w:type="dxa"/>
          </w:tcPr>
          <w:p>
            <w:pPr>
              <w:pStyle w:val="yTableNAm"/>
              <w:spacing w:before="0"/>
            </w:pPr>
            <w:r>
              <w:t>Bream, Black .................................................</w:t>
            </w:r>
          </w:p>
        </w:tc>
        <w:tc>
          <w:tcPr>
            <w:tcW w:w="1384" w:type="dxa"/>
          </w:tcPr>
          <w:p>
            <w:pPr>
              <w:pStyle w:val="yTableNAm"/>
              <w:spacing w:before="0"/>
              <w:ind w:right="284"/>
              <w:jc w:val="right"/>
            </w:pPr>
            <w:r>
              <w:t>9.00</w:t>
            </w:r>
          </w:p>
        </w:tc>
        <w:tc>
          <w:tcPr>
            <w:tcW w:w="1384" w:type="dxa"/>
          </w:tcPr>
          <w:p>
            <w:pPr>
              <w:pStyle w:val="yTableNAm"/>
              <w:spacing w:before="0"/>
              <w:ind w:right="284"/>
              <w:jc w:val="right"/>
            </w:pPr>
            <w:r>
              <w:t>5.00</w:t>
            </w:r>
          </w:p>
        </w:tc>
      </w:tr>
      <w:tr>
        <w:tc>
          <w:tcPr>
            <w:tcW w:w="4320" w:type="dxa"/>
          </w:tcPr>
          <w:p>
            <w:pPr>
              <w:pStyle w:val="yTableNAm"/>
              <w:spacing w:before="0"/>
            </w:pPr>
            <w:r>
              <w:t>Bream, Fingermark .......................................</w:t>
            </w:r>
          </w:p>
        </w:tc>
        <w:tc>
          <w:tcPr>
            <w:tcW w:w="1384" w:type="dxa"/>
          </w:tcPr>
          <w:p>
            <w:pPr>
              <w:pStyle w:val="yTableNAm"/>
              <w:spacing w:before="0"/>
              <w:ind w:right="284"/>
              <w:jc w:val="right"/>
            </w:pPr>
            <w:r>
              <w:t>5.00</w:t>
            </w:r>
          </w:p>
        </w:tc>
        <w:tc>
          <w:tcPr>
            <w:tcW w:w="1384" w:type="dxa"/>
          </w:tcPr>
          <w:p>
            <w:pPr>
              <w:pStyle w:val="yTableNAm"/>
              <w:spacing w:before="0"/>
              <w:ind w:right="284"/>
              <w:jc w:val="right"/>
            </w:pPr>
            <w:r>
              <w:t>10.00</w:t>
            </w:r>
          </w:p>
        </w:tc>
      </w:tr>
      <w:tr>
        <w:tc>
          <w:tcPr>
            <w:tcW w:w="4320" w:type="dxa"/>
          </w:tcPr>
          <w:p>
            <w:pPr>
              <w:pStyle w:val="yTableNAm"/>
              <w:spacing w:before="0"/>
            </w:pPr>
            <w:r>
              <w:t>Bream, Northwest</w:t>
            </w:r>
            <w:r>
              <w:noBreakHyphen/>
              <w:t>Black ...............................</w:t>
            </w:r>
          </w:p>
        </w:tc>
        <w:tc>
          <w:tcPr>
            <w:tcW w:w="1384" w:type="dxa"/>
          </w:tcPr>
          <w:p>
            <w:pPr>
              <w:pStyle w:val="yTableNAm"/>
              <w:spacing w:before="0"/>
              <w:ind w:right="284"/>
              <w:jc w:val="right"/>
            </w:pPr>
            <w:r>
              <w:t>6.00</w:t>
            </w:r>
          </w:p>
        </w:tc>
        <w:tc>
          <w:tcPr>
            <w:tcW w:w="1384" w:type="dxa"/>
          </w:tcPr>
          <w:p>
            <w:pPr>
              <w:pStyle w:val="yTableNAm"/>
              <w:spacing w:before="0"/>
              <w:ind w:right="284"/>
              <w:jc w:val="right"/>
            </w:pPr>
            <w:r>
              <w:t>12.00</w:t>
            </w:r>
          </w:p>
        </w:tc>
      </w:tr>
      <w:tr>
        <w:tc>
          <w:tcPr>
            <w:tcW w:w="4320" w:type="dxa"/>
          </w:tcPr>
          <w:p>
            <w:pPr>
              <w:pStyle w:val="yTableNAm"/>
              <w:spacing w:before="0"/>
            </w:pPr>
            <w:r>
              <w:t>Bream, Yellowfin ..........................................</w:t>
            </w:r>
          </w:p>
        </w:tc>
        <w:tc>
          <w:tcPr>
            <w:tcW w:w="1384" w:type="dxa"/>
          </w:tcPr>
          <w:p>
            <w:pPr>
              <w:pStyle w:val="yTableNAm"/>
              <w:spacing w:before="0"/>
              <w:ind w:right="284"/>
              <w:jc w:val="right"/>
            </w:pPr>
            <w:r>
              <w:t>6.50</w:t>
            </w:r>
          </w:p>
        </w:tc>
        <w:tc>
          <w:tcPr>
            <w:tcW w:w="1384" w:type="dxa"/>
          </w:tcPr>
          <w:p>
            <w:pPr>
              <w:pStyle w:val="yTableNAm"/>
              <w:spacing w:before="0"/>
              <w:ind w:right="284"/>
              <w:jc w:val="right"/>
            </w:pPr>
            <w:r>
              <w:t>3.00</w:t>
            </w:r>
          </w:p>
        </w:tc>
      </w:tr>
      <w:tr>
        <w:tc>
          <w:tcPr>
            <w:tcW w:w="4320" w:type="dxa"/>
          </w:tcPr>
          <w:p>
            <w:pPr>
              <w:pStyle w:val="yTableNAm"/>
              <w:spacing w:before="0"/>
            </w:pPr>
            <w:r>
              <w:t>Catfish ...........................................................</w:t>
            </w:r>
          </w:p>
        </w:tc>
        <w:tc>
          <w:tcPr>
            <w:tcW w:w="1384" w:type="dxa"/>
          </w:tcPr>
          <w:p>
            <w:pPr>
              <w:pStyle w:val="yTableNAm"/>
              <w:spacing w:before="0"/>
              <w:ind w:right="284"/>
              <w:jc w:val="right"/>
            </w:pPr>
            <w:r>
              <w:t>5.00</w:t>
            </w:r>
          </w:p>
        </w:tc>
        <w:tc>
          <w:tcPr>
            <w:tcW w:w="1384" w:type="dxa"/>
          </w:tcPr>
          <w:p>
            <w:pPr>
              <w:pStyle w:val="yTableNAm"/>
              <w:spacing w:before="0"/>
              <w:ind w:right="284"/>
              <w:jc w:val="right"/>
            </w:pPr>
            <w:r>
              <w:t>3.00</w:t>
            </w:r>
          </w:p>
        </w:tc>
      </w:tr>
      <w:tr>
        <w:tc>
          <w:tcPr>
            <w:tcW w:w="4320" w:type="dxa"/>
          </w:tcPr>
          <w:p>
            <w:pPr>
              <w:pStyle w:val="yTableNAm"/>
              <w:spacing w:before="0"/>
            </w:pPr>
            <w:r>
              <w:t>Cherabin ........................................................</w:t>
            </w:r>
          </w:p>
        </w:tc>
        <w:tc>
          <w:tcPr>
            <w:tcW w:w="1384" w:type="dxa"/>
          </w:tcPr>
          <w:p>
            <w:pPr>
              <w:pStyle w:val="yTableNAm"/>
              <w:spacing w:before="0"/>
              <w:ind w:right="284"/>
              <w:jc w:val="right"/>
            </w:pPr>
            <w:r>
              <w:t>7.00</w:t>
            </w:r>
          </w:p>
        </w:tc>
        <w:tc>
          <w:tcPr>
            <w:tcW w:w="1384" w:type="dxa"/>
          </w:tcPr>
          <w:p>
            <w:pPr>
              <w:pStyle w:val="yTableNAm"/>
              <w:spacing w:before="0"/>
              <w:ind w:right="284"/>
              <w:jc w:val="right"/>
            </w:pPr>
            <w:r>
              <w:t>0.30</w:t>
            </w:r>
          </w:p>
        </w:tc>
      </w:tr>
      <w:tr>
        <w:tc>
          <w:tcPr>
            <w:tcW w:w="4320" w:type="dxa"/>
          </w:tcPr>
          <w:p>
            <w:pPr>
              <w:pStyle w:val="yTableNAm"/>
              <w:spacing w:before="0"/>
            </w:pPr>
            <w:r>
              <w:t>Clam, Venus ..................................................</w:t>
            </w:r>
          </w:p>
        </w:tc>
        <w:tc>
          <w:tcPr>
            <w:tcW w:w="1384" w:type="dxa"/>
          </w:tcPr>
          <w:p>
            <w:pPr>
              <w:pStyle w:val="yTableNAm"/>
              <w:spacing w:before="0"/>
              <w:ind w:right="284"/>
              <w:jc w:val="right"/>
            </w:pPr>
            <w:r>
              <w:t>8.00</w:t>
            </w:r>
          </w:p>
        </w:tc>
        <w:tc>
          <w:tcPr>
            <w:tcW w:w="1384" w:type="dxa"/>
          </w:tcPr>
          <w:p>
            <w:pPr>
              <w:pStyle w:val="yTableNAm"/>
              <w:spacing w:before="0"/>
              <w:ind w:right="284"/>
              <w:jc w:val="right"/>
            </w:pPr>
            <w:r>
              <w:t>0.20</w:t>
            </w:r>
          </w:p>
        </w:tc>
      </w:tr>
      <w:tr>
        <w:tc>
          <w:tcPr>
            <w:tcW w:w="4320" w:type="dxa"/>
          </w:tcPr>
          <w:p>
            <w:pPr>
              <w:pStyle w:val="yTableNAm"/>
              <w:spacing w:before="0"/>
            </w:pPr>
            <w:r>
              <w:t>Cobbler (Estuary Catfish) .............................</w:t>
            </w:r>
          </w:p>
        </w:tc>
        <w:tc>
          <w:tcPr>
            <w:tcW w:w="1384" w:type="dxa"/>
          </w:tcPr>
          <w:p>
            <w:pPr>
              <w:pStyle w:val="yTableNAm"/>
              <w:spacing w:before="0"/>
              <w:ind w:right="284"/>
              <w:jc w:val="right"/>
            </w:pPr>
            <w:r>
              <w:t>6.50</w:t>
            </w:r>
          </w:p>
        </w:tc>
        <w:tc>
          <w:tcPr>
            <w:tcW w:w="1384" w:type="dxa"/>
          </w:tcPr>
          <w:p>
            <w:pPr>
              <w:pStyle w:val="yTableNAm"/>
              <w:spacing w:before="0"/>
              <w:ind w:right="284"/>
              <w:jc w:val="right"/>
            </w:pPr>
            <w:r>
              <w:t>4.00</w:t>
            </w:r>
          </w:p>
        </w:tc>
      </w:tr>
      <w:tr>
        <w:tc>
          <w:tcPr>
            <w:tcW w:w="4320" w:type="dxa"/>
          </w:tcPr>
          <w:p>
            <w:pPr>
              <w:pStyle w:val="yTableNAm"/>
              <w:spacing w:before="0"/>
            </w:pPr>
            <w:r>
              <w:t>Cobia .............................................................</w:t>
            </w:r>
          </w:p>
        </w:tc>
        <w:tc>
          <w:tcPr>
            <w:tcW w:w="1384" w:type="dxa"/>
          </w:tcPr>
          <w:p>
            <w:pPr>
              <w:pStyle w:val="yTableNAm"/>
              <w:spacing w:before="0"/>
              <w:ind w:right="284"/>
              <w:jc w:val="right"/>
            </w:pPr>
            <w:r>
              <w:t>3.50</w:t>
            </w:r>
          </w:p>
        </w:tc>
        <w:tc>
          <w:tcPr>
            <w:tcW w:w="1384" w:type="dxa"/>
          </w:tcPr>
          <w:p>
            <w:pPr>
              <w:pStyle w:val="yTableNAm"/>
              <w:spacing w:before="0"/>
              <w:ind w:right="284"/>
              <w:jc w:val="right"/>
            </w:pPr>
            <w:r>
              <w:t>35.00</w:t>
            </w:r>
          </w:p>
        </w:tc>
      </w:tr>
      <w:tr>
        <w:tc>
          <w:tcPr>
            <w:tcW w:w="4320" w:type="dxa"/>
          </w:tcPr>
          <w:p>
            <w:pPr>
              <w:pStyle w:val="yTableNAm"/>
              <w:spacing w:before="0"/>
            </w:pPr>
            <w:r>
              <w:t>Cockle Shell ..................................................</w:t>
            </w:r>
          </w:p>
        </w:tc>
        <w:tc>
          <w:tcPr>
            <w:tcW w:w="1384" w:type="dxa"/>
          </w:tcPr>
          <w:p>
            <w:pPr>
              <w:pStyle w:val="yTableNAm"/>
              <w:spacing w:before="0"/>
              <w:ind w:right="284"/>
              <w:jc w:val="right"/>
            </w:pPr>
            <w:r>
              <w:t>3.00</w:t>
            </w:r>
          </w:p>
        </w:tc>
        <w:tc>
          <w:tcPr>
            <w:tcW w:w="1384" w:type="dxa"/>
          </w:tcPr>
          <w:p>
            <w:pPr>
              <w:pStyle w:val="yTableNAm"/>
              <w:spacing w:before="0"/>
              <w:ind w:right="284"/>
              <w:jc w:val="right"/>
            </w:pPr>
            <w:r>
              <w:t>0.10</w:t>
            </w:r>
          </w:p>
        </w:tc>
      </w:tr>
      <w:tr>
        <w:tc>
          <w:tcPr>
            <w:tcW w:w="4320" w:type="dxa"/>
          </w:tcPr>
          <w:p>
            <w:pPr>
              <w:pStyle w:val="yTableNAm"/>
              <w:spacing w:before="0"/>
            </w:pPr>
            <w:r>
              <w:t>Cod, Breaksea ...............................................</w:t>
            </w:r>
          </w:p>
        </w:tc>
        <w:tc>
          <w:tcPr>
            <w:tcW w:w="1384" w:type="dxa"/>
          </w:tcPr>
          <w:p>
            <w:pPr>
              <w:pStyle w:val="yTableNAm"/>
              <w:spacing w:before="0"/>
              <w:ind w:right="284"/>
              <w:jc w:val="right"/>
            </w:pPr>
            <w:r>
              <w:t>7.00</w:t>
            </w:r>
          </w:p>
        </w:tc>
        <w:tc>
          <w:tcPr>
            <w:tcW w:w="1384" w:type="dxa"/>
          </w:tcPr>
          <w:p>
            <w:pPr>
              <w:pStyle w:val="yTableNAm"/>
              <w:spacing w:before="0"/>
              <w:ind w:right="284"/>
              <w:jc w:val="right"/>
            </w:pPr>
            <w:r>
              <w:t>14.00</w:t>
            </w:r>
          </w:p>
        </w:tc>
      </w:tr>
      <w:tr>
        <w:tc>
          <w:tcPr>
            <w:tcW w:w="4320" w:type="dxa"/>
          </w:tcPr>
          <w:p>
            <w:pPr>
              <w:pStyle w:val="yTableNAm"/>
              <w:spacing w:before="0"/>
            </w:pPr>
            <w:r>
              <w:t>Cod, Estuary ..................................................</w:t>
            </w:r>
          </w:p>
        </w:tc>
        <w:tc>
          <w:tcPr>
            <w:tcW w:w="1384" w:type="dxa"/>
          </w:tcPr>
          <w:p>
            <w:pPr>
              <w:pStyle w:val="yTableNAm"/>
              <w:spacing w:before="0"/>
              <w:ind w:right="284"/>
              <w:jc w:val="right"/>
            </w:pPr>
            <w:r>
              <w:t>7.00</w:t>
            </w:r>
          </w:p>
        </w:tc>
        <w:tc>
          <w:tcPr>
            <w:tcW w:w="1384" w:type="dxa"/>
          </w:tcPr>
          <w:p>
            <w:pPr>
              <w:pStyle w:val="yTableNAm"/>
              <w:spacing w:before="0"/>
              <w:ind w:right="284"/>
              <w:jc w:val="right"/>
            </w:pPr>
            <w:r>
              <w:t>42.00</w:t>
            </w:r>
          </w:p>
        </w:tc>
      </w:tr>
      <w:tr>
        <w:tc>
          <w:tcPr>
            <w:tcW w:w="4320" w:type="dxa"/>
          </w:tcPr>
          <w:p>
            <w:pPr>
              <w:pStyle w:val="yTableNAm"/>
              <w:spacing w:before="0"/>
            </w:pPr>
            <w:r>
              <w:t>Cod, Grey Banded Rock ...............................</w:t>
            </w:r>
          </w:p>
        </w:tc>
        <w:tc>
          <w:tcPr>
            <w:tcW w:w="1384" w:type="dxa"/>
          </w:tcPr>
          <w:p>
            <w:pPr>
              <w:pStyle w:val="yTableNAm"/>
              <w:spacing w:before="0"/>
              <w:ind w:right="284"/>
              <w:jc w:val="right"/>
            </w:pPr>
            <w:r>
              <w:t>9.00</w:t>
            </w:r>
          </w:p>
        </w:tc>
        <w:tc>
          <w:tcPr>
            <w:tcW w:w="1384" w:type="dxa"/>
          </w:tcPr>
          <w:p>
            <w:pPr>
              <w:pStyle w:val="yTableNAm"/>
              <w:spacing w:before="0"/>
              <w:ind w:right="284"/>
              <w:jc w:val="right"/>
            </w:pPr>
            <w:r>
              <w:t>54.00</w:t>
            </w:r>
          </w:p>
        </w:tc>
      </w:tr>
      <w:tr>
        <w:tc>
          <w:tcPr>
            <w:tcW w:w="4320" w:type="dxa"/>
          </w:tcPr>
          <w:p>
            <w:pPr>
              <w:pStyle w:val="yTableNAm"/>
              <w:spacing w:before="0"/>
            </w:pPr>
            <w:r>
              <w:t>Cod, Potato ....................................................</w:t>
            </w:r>
          </w:p>
        </w:tc>
        <w:tc>
          <w:tcPr>
            <w:tcW w:w="1384" w:type="dxa"/>
          </w:tcPr>
          <w:p>
            <w:pPr>
              <w:pStyle w:val="yTableNAm"/>
              <w:spacing w:before="0"/>
              <w:ind w:right="284"/>
              <w:jc w:val="right"/>
            </w:pPr>
            <w:r>
              <w:t>10.00</w:t>
            </w:r>
          </w:p>
        </w:tc>
        <w:tc>
          <w:tcPr>
            <w:tcW w:w="1384" w:type="dxa"/>
          </w:tcPr>
          <w:p>
            <w:pPr>
              <w:pStyle w:val="yTableNAm"/>
              <w:spacing w:before="0"/>
              <w:ind w:right="284"/>
              <w:jc w:val="right"/>
            </w:pPr>
            <w:r>
              <w:t>100.00</w:t>
            </w:r>
          </w:p>
        </w:tc>
      </w:tr>
      <w:tr>
        <w:tc>
          <w:tcPr>
            <w:tcW w:w="4320" w:type="dxa"/>
          </w:tcPr>
          <w:p>
            <w:pPr>
              <w:pStyle w:val="yTableNAm"/>
              <w:spacing w:before="0"/>
            </w:pPr>
            <w:r>
              <w:t>Cod, Rankin ..................................................</w:t>
            </w:r>
          </w:p>
        </w:tc>
        <w:tc>
          <w:tcPr>
            <w:tcW w:w="1384" w:type="dxa"/>
          </w:tcPr>
          <w:p>
            <w:pPr>
              <w:pStyle w:val="yTableNAm"/>
              <w:spacing w:before="0"/>
              <w:ind w:right="284"/>
              <w:jc w:val="right"/>
            </w:pPr>
            <w:r>
              <w:t>9.50</w:t>
            </w:r>
          </w:p>
        </w:tc>
        <w:tc>
          <w:tcPr>
            <w:tcW w:w="1384" w:type="dxa"/>
          </w:tcPr>
          <w:p>
            <w:pPr>
              <w:pStyle w:val="yTableNAm"/>
              <w:spacing w:before="0"/>
              <w:ind w:right="284"/>
              <w:jc w:val="right"/>
            </w:pPr>
            <w:r>
              <w:t>38.00</w:t>
            </w:r>
          </w:p>
        </w:tc>
      </w:tr>
      <w:tr>
        <w:tc>
          <w:tcPr>
            <w:tcW w:w="4320" w:type="dxa"/>
          </w:tcPr>
          <w:p>
            <w:pPr>
              <w:pStyle w:val="yTableNAm"/>
              <w:spacing w:before="0"/>
            </w:pPr>
            <w:r>
              <w:t>Coral ..............................................................</w:t>
            </w:r>
          </w:p>
        </w:tc>
        <w:tc>
          <w:tcPr>
            <w:tcW w:w="1384" w:type="dxa"/>
          </w:tcPr>
          <w:p>
            <w:pPr>
              <w:pStyle w:val="yTableNAm"/>
              <w:spacing w:before="0"/>
              <w:ind w:right="284"/>
              <w:jc w:val="right"/>
            </w:pPr>
            <w:r>
              <w:t>80.00</w:t>
            </w:r>
          </w:p>
        </w:tc>
        <w:tc>
          <w:tcPr>
            <w:tcW w:w="1384" w:type="dxa"/>
          </w:tcPr>
          <w:p>
            <w:pPr>
              <w:pStyle w:val="yTableNAm"/>
              <w:spacing w:before="0"/>
              <w:ind w:right="284"/>
              <w:jc w:val="right"/>
            </w:pPr>
            <w:r>
              <w:noBreakHyphen/>
            </w:r>
          </w:p>
        </w:tc>
      </w:tr>
      <w:tr>
        <w:tc>
          <w:tcPr>
            <w:tcW w:w="4320" w:type="dxa"/>
          </w:tcPr>
          <w:p>
            <w:pPr>
              <w:pStyle w:val="yTableNAm"/>
              <w:spacing w:before="0"/>
            </w:pPr>
            <w:r>
              <w:t>Coral Trout ....................................................</w:t>
            </w:r>
          </w:p>
        </w:tc>
        <w:tc>
          <w:tcPr>
            <w:tcW w:w="1384" w:type="dxa"/>
          </w:tcPr>
          <w:p>
            <w:pPr>
              <w:pStyle w:val="yTableNAm"/>
              <w:spacing w:before="0"/>
              <w:ind w:right="284"/>
              <w:jc w:val="right"/>
            </w:pPr>
            <w:r>
              <w:t>20.00</w:t>
            </w:r>
          </w:p>
        </w:tc>
        <w:tc>
          <w:tcPr>
            <w:tcW w:w="1384" w:type="dxa"/>
          </w:tcPr>
          <w:p>
            <w:pPr>
              <w:pStyle w:val="yTableNAm"/>
              <w:spacing w:before="0"/>
              <w:ind w:right="284"/>
              <w:jc w:val="right"/>
            </w:pPr>
            <w:r>
              <w:t>45.00</w:t>
            </w:r>
          </w:p>
        </w:tc>
      </w:tr>
      <w:tr>
        <w:tc>
          <w:tcPr>
            <w:tcW w:w="4320" w:type="dxa"/>
          </w:tcPr>
          <w:p>
            <w:pPr>
              <w:pStyle w:val="yTableNAm"/>
              <w:spacing w:before="0"/>
            </w:pPr>
            <w:r>
              <w:t>Crab, Blue Manna (Blue Swimmer) .............</w:t>
            </w:r>
          </w:p>
        </w:tc>
        <w:tc>
          <w:tcPr>
            <w:tcW w:w="1384" w:type="dxa"/>
          </w:tcPr>
          <w:p>
            <w:pPr>
              <w:pStyle w:val="yTableNAm"/>
              <w:spacing w:before="0"/>
              <w:ind w:right="284"/>
              <w:jc w:val="right"/>
            </w:pPr>
            <w:r>
              <w:t>10.00</w:t>
            </w:r>
          </w:p>
        </w:tc>
        <w:tc>
          <w:tcPr>
            <w:tcW w:w="1384" w:type="dxa"/>
          </w:tcPr>
          <w:p>
            <w:pPr>
              <w:pStyle w:val="yTableNAm"/>
              <w:spacing w:before="0"/>
              <w:ind w:right="284"/>
              <w:jc w:val="right"/>
            </w:pPr>
            <w:r>
              <w:t>4.00</w:t>
            </w:r>
          </w:p>
        </w:tc>
      </w:tr>
      <w:tr>
        <w:tc>
          <w:tcPr>
            <w:tcW w:w="4320" w:type="dxa"/>
          </w:tcPr>
          <w:p>
            <w:pPr>
              <w:pStyle w:val="yTableNAm"/>
              <w:spacing w:before="0"/>
            </w:pPr>
            <w:r>
              <w:t>Crab, Brown Mud .........................................</w:t>
            </w:r>
          </w:p>
        </w:tc>
        <w:tc>
          <w:tcPr>
            <w:tcW w:w="1384" w:type="dxa"/>
          </w:tcPr>
          <w:p>
            <w:pPr>
              <w:pStyle w:val="yTableNAm"/>
              <w:spacing w:before="0"/>
              <w:ind w:right="284"/>
              <w:jc w:val="right"/>
            </w:pPr>
            <w:r>
              <w:t>25.00</w:t>
            </w:r>
          </w:p>
        </w:tc>
        <w:tc>
          <w:tcPr>
            <w:tcW w:w="1384" w:type="dxa"/>
          </w:tcPr>
          <w:p>
            <w:pPr>
              <w:pStyle w:val="yTableNAm"/>
              <w:spacing w:before="0"/>
              <w:ind w:right="284"/>
              <w:jc w:val="right"/>
            </w:pPr>
            <w:r>
              <w:t>14.00</w:t>
            </w:r>
          </w:p>
        </w:tc>
      </w:tr>
      <w:tr>
        <w:tc>
          <w:tcPr>
            <w:tcW w:w="4320" w:type="dxa"/>
          </w:tcPr>
          <w:p>
            <w:pPr>
              <w:pStyle w:val="yTableNAm"/>
              <w:spacing w:before="0"/>
            </w:pPr>
            <w:r>
              <w:t xml:space="preserve">Crab, </w:t>
            </w:r>
            <w:smartTag w:uri="urn:schemas-microsoft-com:office:smarttags" w:element="place">
              <w:smartTag w:uri="urn:schemas-microsoft-com:office:smarttags" w:element="State">
                <w:r>
                  <w:t>Champagne</w:t>
                </w:r>
              </w:smartTag>
            </w:smartTag>
            <w:r>
              <w:t xml:space="preserve"> ..........................................</w:t>
            </w:r>
          </w:p>
        </w:tc>
        <w:tc>
          <w:tcPr>
            <w:tcW w:w="1384" w:type="dxa"/>
          </w:tcPr>
          <w:p>
            <w:pPr>
              <w:pStyle w:val="yTableNAm"/>
              <w:spacing w:before="0"/>
              <w:ind w:right="284"/>
              <w:jc w:val="right"/>
            </w:pPr>
            <w:r>
              <w:t>15.00</w:t>
            </w:r>
          </w:p>
        </w:tc>
        <w:tc>
          <w:tcPr>
            <w:tcW w:w="1384" w:type="dxa"/>
          </w:tcPr>
          <w:p>
            <w:pPr>
              <w:pStyle w:val="yTableNAm"/>
              <w:spacing w:before="0"/>
              <w:ind w:right="284"/>
              <w:jc w:val="right"/>
            </w:pPr>
            <w:r>
              <w:t>30.00</w:t>
            </w:r>
          </w:p>
        </w:tc>
      </w:tr>
      <w:tr>
        <w:tc>
          <w:tcPr>
            <w:tcW w:w="4320" w:type="dxa"/>
          </w:tcPr>
          <w:p>
            <w:pPr>
              <w:pStyle w:val="yTableNAm"/>
              <w:spacing w:before="0"/>
            </w:pPr>
            <w:r>
              <w:t>Crab, Crystal .................................................</w:t>
            </w:r>
          </w:p>
        </w:tc>
        <w:tc>
          <w:tcPr>
            <w:tcW w:w="1384" w:type="dxa"/>
          </w:tcPr>
          <w:p>
            <w:pPr>
              <w:pStyle w:val="yTableNAm"/>
              <w:spacing w:before="0"/>
              <w:ind w:right="284"/>
              <w:jc w:val="right"/>
            </w:pPr>
            <w:r>
              <w:t>20.00</w:t>
            </w:r>
          </w:p>
        </w:tc>
        <w:tc>
          <w:tcPr>
            <w:tcW w:w="1384" w:type="dxa"/>
          </w:tcPr>
          <w:p>
            <w:pPr>
              <w:pStyle w:val="yTableNAm"/>
              <w:spacing w:before="0"/>
              <w:ind w:right="284"/>
              <w:jc w:val="right"/>
            </w:pPr>
            <w:r>
              <w:t>50.00</w:t>
            </w:r>
          </w:p>
        </w:tc>
      </w:tr>
      <w:tr>
        <w:tc>
          <w:tcPr>
            <w:tcW w:w="4320" w:type="dxa"/>
          </w:tcPr>
          <w:p>
            <w:pPr>
              <w:pStyle w:val="yTableNAm"/>
              <w:spacing w:before="0"/>
            </w:pPr>
            <w:r>
              <w:t>Crab, Giant ....................................................</w:t>
            </w:r>
          </w:p>
        </w:tc>
        <w:tc>
          <w:tcPr>
            <w:tcW w:w="1384" w:type="dxa"/>
          </w:tcPr>
          <w:p>
            <w:pPr>
              <w:pStyle w:val="yTableNAm"/>
              <w:spacing w:before="0"/>
              <w:ind w:right="284"/>
              <w:jc w:val="right"/>
            </w:pPr>
            <w:r>
              <w:t>35.00</w:t>
            </w:r>
          </w:p>
        </w:tc>
        <w:tc>
          <w:tcPr>
            <w:tcW w:w="1384" w:type="dxa"/>
          </w:tcPr>
          <w:p>
            <w:pPr>
              <w:pStyle w:val="yTableNAm"/>
              <w:spacing w:before="0"/>
              <w:ind w:right="284"/>
              <w:jc w:val="right"/>
            </w:pPr>
            <w:r>
              <w:t>115.00</w:t>
            </w:r>
          </w:p>
        </w:tc>
      </w:tr>
      <w:tr>
        <w:tc>
          <w:tcPr>
            <w:tcW w:w="4320" w:type="dxa"/>
          </w:tcPr>
          <w:p>
            <w:pPr>
              <w:pStyle w:val="yTableNAm"/>
              <w:spacing w:before="0"/>
            </w:pPr>
            <w:r>
              <w:t>Crab, Green Mud ...........................................</w:t>
            </w:r>
          </w:p>
        </w:tc>
        <w:tc>
          <w:tcPr>
            <w:tcW w:w="1384" w:type="dxa"/>
          </w:tcPr>
          <w:p>
            <w:pPr>
              <w:pStyle w:val="yTableNAm"/>
              <w:spacing w:before="0"/>
              <w:ind w:right="284"/>
              <w:jc w:val="right"/>
            </w:pPr>
            <w:r>
              <w:t>25.00</w:t>
            </w:r>
          </w:p>
        </w:tc>
        <w:tc>
          <w:tcPr>
            <w:tcW w:w="1384" w:type="dxa"/>
          </w:tcPr>
          <w:p>
            <w:pPr>
              <w:pStyle w:val="yTableNAm"/>
              <w:spacing w:before="0"/>
              <w:ind w:right="284"/>
              <w:jc w:val="right"/>
            </w:pPr>
            <w:r>
              <w:t>14.00</w:t>
            </w:r>
          </w:p>
        </w:tc>
      </w:tr>
      <w:tr>
        <w:tc>
          <w:tcPr>
            <w:tcW w:w="4320" w:type="dxa"/>
          </w:tcPr>
          <w:p>
            <w:pPr>
              <w:pStyle w:val="yTableNAm"/>
              <w:spacing w:before="0"/>
            </w:pPr>
            <w:r>
              <w:t>Cuttlefish .......................................................</w:t>
            </w:r>
          </w:p>
        </w:tc>
        <w:tc>
          <w:tcPr>
            <w:tcW w:w="1384" w:type="dxa"/>
          </w:tcPr>
          <w:p>
            <w:pPr>
              <w:pStyle w:val="yTableNAm"/>
              <w:spacing w:before="0"/>
              <w:ind w:right="284"/>
              <w:jc w:val="right"/>
            </w:pPr>
            <w:r>
              <w:t>5.00</w:t>
            </w:r>
          </w:p>
        </w:tc>
        <w:tc>
          <w:tcPr>
            <w:tcW w:w="1384" w:type="dxa"/>
          </w:tcPr>
          <w:p>
            <w:pPr>
              <w:pStyle w:val="yTableNAm"/>
              <w:spacing w:before="0"/>
              <w:ind w:right="284"/>
              <w:jc w:val="right"/>
            </w:pPr>
            <w:r>
              <w:t>3.00</w:t>
            </w:r>
          </w:p>
        </w:tc>
      </w:tr>
      <w:tr>
        <w:tc>
          <w:tcPr>
            <w:tcW w:w="4320" w:type="dxa"/>
          </w:tcPr>
          <w:p>
            <w:pPr>
              <w:pStyle w:val="yTableNAm"/>
              <w:spacing w:before="0"/>
            </w:pPr>
            <w:r>
              <w:t>Dart ................................................................</w:t>
            </w:r>
          </w:p>
        </w:tc>
        <w:tc>
          <w:tcPr>
            <w:tcW w:w="1384" w:type="dxa"/>
          </w:tcPr>
          <w:p>
            <w:pPr>
              <w:pStyle w:val="yTableNAm"/>
              <w:spacing w:before="0"/>
              <w:ind w:right="284"/>
              <w:jc w:val="right"/>
            </w:pPr>
            <w:r>
              <w:t>1.00</w:t>
            </w:r>
          </w:p>
        </w:tc>
        <w:tc>
          <w:tcPr>
            <w:tcW w:w="1384" w:type="dxa"/>
          </w:tcPr>
          <w:p>
            <w:pPr>
              <w:pStyle w:val="yTableNAm"/>
              <w:spacing w:before="0"/>
              <w:ind w:right="284"/>
              <w:jc w:val="right"/>
            </w:pPr>
            <w:r>
              <w:t>1.00</w:t>
            </w:r>
          </w:p>
        </w:tc>
      </w:tr>
      <w:tr>
        <w:tc>
          <w:tcPr>
            <w:tcW w:w="4320" w:type="dxa"/>
          </w:tcPr>
          <w:p>
            <w:pPr>
              <w:pStyle w:val="yTableNAm"/>
              <w:spacing w:before="0"/>
            </w:pPr>
            <w:r>
              <w:t>Dhufish, West Australian ..............................</w:t>
            </w:r>
          </w:p>
        </w:tc>
        <w:tc>
          <w:tcPr>
            <w:tcW w:w="1384" w:type="dxa"/>
          </w:tcPr>
          <w:p>
            <w:pPr>
              <w:pStyle w:val="yTableNAm"/>
              <w:spacing w:before="0"/>
              <w:ind w:right="284"/>
              <w:jc w:val="right"/>
            </w:pPr>
            <w:r>
              <w:t>18.00</w:t>
            </w:r>
          </w:p>
        </w:tc>
        <w:tc>
          <w:tcPr>
            <w:tcW w:w="1384" w:type="dxa"/>
          </w:tcPr>
          <w:p>
            <w:pPr>
              <w:pStyle w:val="yTableNAm"/>
              <w:spacing w:before="0"/>
              <w:ind w:right="284"/>
              <w:jc w:val="right"/>
            </w:pPr>
            <w:r>
              <w:t>72.00</w:t>
            </w:r>
          </w:p>
        </w:tc>
      </w:tr>
      <w:tr>
        <w:tc>
          <w:tcPr>
            <w:tcW w:w="4320" w:type="dxa"/>
          </w:tcPr>
          <w:p>
            <w:pPr>
              <w:pStyle w:val="yTableNAm"/>
              <w:spacing w:before="0"/>
            </w:pPr>
            <w:r>
              <w:t>Dolphinfish (Mahi Mahi) ..............................</w:t>
            </w:r>
          </w:p>
        </w:tc>
        <w:tc>
          <w:tcPr>
            <w:tcW w:w="1384" w:type="dxa"/>
          </w:tcPr>
          <w:p>
            <w:pPr>
              <w:pStyle w:val="yTableNAm"/>
              <w:spacing w:before="0"/>
              <w:ind w:right="284"/>
              <w:jc w:val="right"/>
            </w:pPr>
            <w:r>
              <w:t>2.00</w:t>
            </w:r>
          </w:p>
        </w:tc>
        <w:tc>
          <w:tcPr>
            <w:tcW w:w="1384" w:type="dxa"/>
          </w:tcPr>
          <w:p>
            <w:pPr>
              <w:pStyle w:val="yTableNAm"/>
              <w:spacing w:before="0"/>
              <w:ind w:right="284"/>
              <w:jc w:val="right"/>
            </w:pPr>
            <w:r>
              <w:t>4.00</w:t>
            </w:r>
          </w:p>
        </w:tc>
      </w:tr>
      <w:tr>
        <w:tc>
          <w:tcPr>
            <w:tcW w:w="4320" w:type="dxa"/>
          </w:tcPr>
          <w:p>
            <w:pPr>
              <w:pStyle w:val="yTableNAm"/>
              <w:spacing w:before="0"/>
            </w:pPr>
            <w:r>
              <w:t>Dory, John .....................................................</w:t>
            </w:r>
          </w:p>
        </w:tc>
        <w:tc>
          <w:tcPr>
            <w:tcW w:w="1384" w:type="dxa"/>
          </w:tcPr>
          <w:p>
            <w:pPr>
              <w:pStyle w:val="yTableNAm"/>
              <w:spacing w:before="0"/>
              <w:ind w:right="284"/>
              <w:jc w:val="right"/>
            </w:pPr>
            <w:r>
              <w:t>9.00</w:t>
            </w:r>
          </w:p>
        </w:tc>
        <w:tc>
          <w:tcPr>
            <w:tcW w:w="1384" w:type="dxa"/>
          </w:tcPr>
          <w:p>
            <w:pPr>
              <w:pStyle w:val="yTableNAm"/>
              <w:spacing w:before="0"/>
              <w:ind w:right="284"/>
              <w:jc w:val="right"/>
            </w:pPr>
            <w:r>
              <w:t>18.00</w:t>
            </w:r>
          </w:p>
        </w:tc>
      </w:tr>
      <w:tr>
        <w:tc>
          <w:tcPr>
            <w:tcW w:w="4320" w:type="dxa"/>
          </w:tcPr>
          <w:p>
            <w:pPr>
              <w:pStyle w:val="yTableNAm"/>
              <w:spacing w:before="0"/>
            </w:pPr>
            <w:r>
              <w:t>Emperor, Bluespotted ....................................</w:t>
            </w:r>
          </w:p>
        </w:tc>
        <w:tc>
          <w:tcPr>
            <w:tcW w:w="1384" w:type="dxa"/>
          </w:tcPr>
          <w:p>
            <w:pPr>
              <w:pStyle w:val="yTableNAm"/>
              <w:spacing w:before="0"/>
              <w:ind w:right="284"/>
              <w:jc w:val="right"/>
            </w:pPr>
            <w:r>
              <w:t>5.00</w:t>
            </w:r>
          </w:p>
        </w:tc>
        <w:tc>
          <w:tcPr>
            <w:tcW w:w="1384" w:type="dxa"/>
          </w:tcPr>
          <w:p>
            <w:pPr>
              <w:pStyle w:val="yTableNAm"/>
              <w:spacing w:before="0"/>
              <w:ind w:right="284"/>
              <w:jc w:val="right"/>
            </w:pPr>
            <w:r>
              <w:t>12.00</w:t>
            </w:r>
          </w:p>
        </w:tc>
      </w:tr>
      <w:tr>
        <w:tc>
          <w:tcPr>
            <w:tcW w:w="4320" w:type="dxa"/>
          </w:tcPr>
          <w:p>
            <w:pPr>
              <w:pStyle w:val="yTableNAm"/>
              <w:spacing w:before="0"/>
            </w:pPr>
            <w:r>
              <w:t>Emperor, Blue</w:t>
            </w:r>
            <w:r>
              <w:noBreakHyphen/>
              <w:t>lined ......................................</w:t>
            </w:r>
          </w:p>
        </w:tc>
        <w:tc>
          <w:tcPr>
            <w:tcW w:w="1384" w:type="dxa"/>
          </w:tcPr>
          <w:p>
            <w:pPr>
              <w:pStyle w:val="yTableNAm"/>
              <w:spacing w:before="0"/>
              <w:ind w:right="284"/>
              <w:jc w:val="right"/>
            </w:pPr>
            <w:r>
              <w:t>4.00</w:t>
            </w:r>
          </w:p>
        </w:tc>
        <w:tc>
          <w:tcPr>
            <w:tcW w:w="1384" w:type="dxa"/>
          </w:tcPr>
          <w:p>
            <w:pPr>
              <w:pStyle w:val="yTableNAm"/>
              <w:spacing w:before="0"/>
              <w:ind w:right="284"/>
              <w:jc w:val="right"/>
            </w:pPr>
            <w:r>
              <w:t>10.00</w:t>
            </w:r>
          </w:p>
        </w:tc>
      </w:tr>
      <w:tr>
        <w:tc>
          <w:tcPr>
            <w:tcW w:w="4320" w:type="dxa"/>
          </w:tcPr>
          <w:p>
            <w:pPr>
              <w:pStyle w:val="yTableNAm"/>
              <w:spacing w:before="0"/>
            </w:pPr>
            <w:r>
              <w:t>Emperor, Red ................................................</w:t>
            </w:r>
          </w:p>
        </w:tc>
        <w:tc>
          <w:tcPr>
            <w:tcW w:w="1384" w:type="dxa"/>
          </w:tcPr>
          <w:p>
            <w:pPr>
              <w:pStyle w:val="yTableNAm"/>
              <w:spacing w:before="0"/>
              <w:ind w:right="284"/>
              <w:jc w:val="right"/>
            </w:pPr>
            <w:r>
              <w:t>13.00</w:t>
            </w:r>
          </w:p>
        </w:tc>
        <w:tc>
          <w:tcPr>
            <w:tcW w:w="1384" w:type="dxa"/>
          </w:tcPr>
          <w:p>
            <w:pPr>
              <w:pStyle w:val="yTableNAm"/>
              <w:spacing w:before="0"/>
              <w:ind w:right="284"/>
              <w:jc w:val="right"/>
            </w:pPr>
            <w:r>
              <w:t>39.00</w:t>
            </w:r>
          </w:p>
        </w:tc>
      </w:tr>
      <w:tr>
        <w:tc>
          <w:tcPr>
            <w:tcW w:w="4320" w:type="dxa"/>
          </w:tcPr>
          <w:p>
            <w:pPr>
              <w:pStyle w:val="yTableNAm"/>
              <w:spacing w:before="0"/>
            </w:pPr>
            <w:r>
              <w:t>Emperor, Spangled ........................................</w:t>
            </w:r>
          </w:p>
        </w:tc>
        <w:tc>
          <w:tcPr>
            <w:tcW w:w="1384" w:type="dxa"/>
          </w:tcPr>
          <w:p>
            <w:pPr>
              <w:pStyle w:val="yTableNAm"/>
              <w:spacing w:before="0"/>
              <w:ind w:right="284"/>
              <w:jc w:val="right"/>
            </w:pPr>
            <w:r>
              <w:t>7.00</w:t>
            </w:r>
          </w:p>
        </w:tc>
        <w:tc>
          <w:tcPr>
            <w:tcW w:w="1384" w:type="dxa"/>
          </w:tcPr>
          <w:p>
            <w:pPr>
              <w:pStyle w:val="yTableNAm"/>
              <w:spacing w:before="0"/>
              <w:ind w:right="284"/>
              <w:jc w:val="right"/>
            </w:pPr>
            <w:r>
              <w:t>17.50</w:t>
            </w:r>
          </w:p>
        </w:tc>
      </w:tr>
      <w:tr>
        <w:tc>
          <w:tcPr>
            <w:tcW w:w="4320" w:type="dxa"/>
          </w:tcPr>
          <w:p>
            <w:pPr>
              <w:pStyle w:val="yTableNAm"/>
              <w:spacing w:before="0"/>
            </w:pPr>
            <w:r>
              <w:t>Flathead .........................................................</w:t>
            </w:r>
          </w:p>
        </w:tc>
        <w:tc>
          <w:tcPr>
            <w:tcW w:w="1384" w:type="dxa"/>
          </w:tcPr>
          <w:p>
            <w:pPr>
              <w:pStyle w:val="yTableNAm"/>
              <w:spacing w:before="0"/>
              <w:ind w:right="284"/>
              <w:jc w:val="right"/>
            </w:pPr>
            <w:r>
              <w:t>6.00</w:t>
            </w:r>
          </w:p>
        </w:tc>
        <w:tc>
          <w:tcPr>
            <w:tcW w:w="1384" w:type="dxa"/>
          </w:tcPr>
          <w:p>
            <w:pPr>
              <w:pStyle w:val="yTableNAm"/>
              <w:spacing w:before="0"/>
              <w:ind w:right="284"/>
              <w:jc w:val="right"/>
            </w:pPr>
            <w:r>
              <w:t>5.00</w:t>
            </w:r>
          </w:p>
        </w:tc>
      </w:tr>
      <w:tr>
        <w:tc>
          <w:tcPr>
            <w:tcW w:w="4320" w:type="dxa"/>
          </w:tcPr>
          <w:p>
            <w:pPr>
              <w:pStyle w:val="yTableNAm"/>
              <w:spacing w:before="0"/>
            </w:pPr>
            <w:r>
              <w:t>Flounder ........................................................</w:t>
            </w:r>
          </w:p>
        </w:tc>
        <w:tc>
          <w:tcPr>
            <w:tcW w:w="1384" w:type="dxa"/>
          </w:tcPr>
          <w:p>
            <w:pPr>
              <w:pStyle w:val="yTableNAm"/>
              <w:spacing w:before="0"/>
              <w:ind w:right="284"/>
              <w:jc w:val="right"/>
            </w:pPr>
            <w:r>
              <w:t>11.00</w:t>
            </w:r>
          </w:p>
        </w:tc>
        <w:tc>
          <w:tcPr>
            <w:tcW w:w="1384" w:type="dxa"/>
          </w:tcPr>
          <w:p>
            <w:pPr>
              <w:pStyle w:val="yTableNAm"/>
              <w:spacing w:before="0"/>
              <w:ind w:right="284"/>
              <w:jc w:val="right"/>
            </w:pPr>
            <w:r>
              <w:t>5.00</w:t>
            </w:r>
          </w:p>
        </w:tc>
      </w:tr>
      <w:tr>
        <w:tc>
          <w:tcPr>
            <w:tcW w:w="4320" w:type="dxa"/>
          </w:tcPr>
          <w:p>
            <w:pPr>
              <w:pStyle w:val="yTableNAm"/>
              <w:spacing w:before="0"/>
            </w:pPr>
            <w:r>
              <w:t>Foxfish, Western ...........................................</w:t>
            </w:r>
          </w:p>
        </w:tc>
        <w:tc>
          <w:tcPr>
            <w:tcW w:w="1384" w:type="dxa"/>
          </w:tcPr>
          <w:p>
            <w:pPr>
              <w:pStyle w:val="yTableNAm"/>
              <w:spacing w:before="0"/>
              <w:ind w:right="284"/>
              <w:jc w:val="right"/>
            </w:pPr>
            <w:r>
              <w:t>5.50</w:t>
            </w:r>
          </w:p>
        </w:tc>
        <w:tc>
          <w:tcPr>
            <w:tcW w:w="1384" w:type="dxa"/>
          </w:tcPr>
          <w:p>
            <w:pPr>
              <w:pStyle w:val="yTableNAm"/>
              <w:spacing w:before="0"/>
              <w:ind w:right="284"/>
              <w:jc w:val="right"/>
            </w:pPr>
            <w:r>
              <w:t>3.00</w:t>
            </w:r>
          </w:p>
        </w:tc>
      </w:tr>
      <w:tr>
        <w:tc>
          <w:tcPr>
            <w:tcW w:w="4320" w:type="dxa"/>
          </w:tcPr>
          <w:p>
            <w:pPr>
              <w:pStyle w:val="yTableNAm"/>
              <w:spacing w:before="0"/>
            </w:pPr>
            <w:r>
              <w:t>Garfish ...........................................................</w:t>
            </w:r>
          </w:p>
        </w:tc>
        <w:tc>
          <w:tcPr>
            <w:tcW w:w="1384" w:type="dxa"/>
          </w:tcPr>
          <w:p>
            <w:pPr>
              <w:pStyle w:val="yTableNAm"/>
              <w:spacing w:before="0"/>
              <w:ind w:right="284"/>
              <w:jc w:val="right"/>
            </w:pPr>
            <w:r>
              <w:t>7.00</w:t>
            </w:r>
          </w:p>
        </w:tc>
        <w:tc>
          <w:tcPr>
            <w:tcW w:w="1384" w:type="dxa"/>
          </w:tcPr>
          <w:p>
            <w:pPr>
              <w:pStyle w:val="yTableNAm"/>
              <w:spacing w:before="0"/>
              <w:ind w:right="284"/>
              <w:jc w:val="right"/>
            </w:pPr>
            <w:r>
              <w:t>2.50</w:t>
            </w:r>
          </w:p>
        </w:tc>
      </w:tr>
      <w:tr>
        <w:tc>
          <w:tcPr>
            <w:tcW w:w="4320" w:type="dxa"/>
          </w:tcPr>
          <w:p>
            <w:pPr>
              <w:pStyle w:val="yTableNAm"/>
              <w:spacing w:before="0"/>
            </w:pPr>
            <w:r>
              <w:t>Goatfish .........................................................</w:t>
            </w:r>
          </w:p>
        </w:tc>
        <w:tc>
          <w:tcPr>
            <w:tcW w:w="1384" w:type="dxa"/>
          </w:tcPr>
          <w:p>
            <w:pPr>
              <w:pStyle w:val="yTableNAm"/>
              <w:spacing w:before="0"/>
              <w:ind w:right="284"/>
              <w:jc w:val="right"/>
            </w:pPr>
            <w:r>
              <w:t>4.00</w:t>
            </w:r>
          </w:p>
        </w:tc>
        <w:tc>
          <w:tcPr>
            <w:tcW w:w="1384" w:type="dxa"/>
          </w:tcPr>
          <w:p>
            <w:pPr>
              <w:pStyle w:val="yTableNAm"/>
              <w:spacing w:before="0"/>
              <w:ind w:right="284"/>
              <w:jc w:val="right"/>
            </w:pPr>
            <w:r>
              <w:t>2.00</w:t>
            </w:r>
          </w:p>
        </w:tc>
      </w:tr>
      <w:tr>
        <w:tc>
          <w:tcPr>
            <w:tcW w:w="4320" w:type="dxa"/>
          </w:tcPr>
          <w:p>
            <w:pPr>
              <w:pStyle w:val="yTableNAm"/>
              <w:spacing w:before="0"/>
            </w:pPr>
            <w:r>
              <w:t>Groper, Baldchin ...........................................</w:t>
            </w:r>
          </w:p>
        </w:tc>
        <w:tc>
          <w:tcPr>
            <w:tcW w:w="1384" w:type="dxa"/>
          </w:tcPr>
          <w:p>
            <w:pPr>
              <w:pStyle w:val="yTableNAm"/>
              <w:spacing w:before="0"/>
              <w:ind w:right="284"/>
              <w:jc w:val="right"/>
            </w:pPr>
            <w:r>
              <w:t>12.00</w:t>
            </w:r>
          </w:p>
        </w:tc>
        <w:tc>
          <w:tcPr>
            <w:tcW w:w="1384" w:type="dxa"/>
          </w:tcPr>
          <w:p>
            <w:pPr>
              <w:pStyle w:val="yTableNAm"/>
              <w:spacing w:before="0"/>
              <w:ind w:right="284"/>
              <w:jc w:val="right"/>
            </w:pPr>
            <w:r>
              <w:t>36.00</w:t>
            </w:r>
          </w:p>
        </w:tc>
      </w:tr>
      <w:tr>
        <w:tc>
          <w:tcPr>
            <w:tcW w:w="4320" w:type="dxa"/>
          </w:tcPr>
          <w:p>
            <w:pPr>
              <w:pStyle w:val="yTableNAm"/>
              <w:spacing w:before="0"/>
            </w:pPr>
            <w:r>
              <w:t>Groper, Bass ..................................................</w:t>
            </w:r>
          </w:p>
        </w:tc>
        <w:tc>
          <w:tcPr>
            <w:tcW w:w="1384" w:type="dxa"/>
          </w:tcPr>
          <w:p>
            <w:pPr>
              <w:pStyle w:val="yTableNAm"/>
              <w:spacing w:before="0"/>
              <w:ind w:right="284"/>
              <w:jc w:val="right"/>
            </w:pPr>
            <w:r>
              <w:t>8.50</w:t>
            </w:r>
          </w:p>
        </w:tc>
        <w:tc>
          <w:tcPr>
            <w:tcW w:w="1384" w:type="dxa"/>
          </w:tcPr>
          <w:p>
            <w:pPr>
              <w:pStyle w:val="yTableNAm"/>
              <w:spacing w:before="0"/>
              <w:ind w:right="284"/>
              <w:jc w:val="right"/>
            </w:pPr>
            <w:r>
              <w:t>51.00</w:t>
            </w:r>
          </w:p>
        </w:tc>
      </w:tr>
      <w:tr>
        <w:tc>
          <w:tcPr>
            <w:tcW w:w="4320" w:type="dxa"/>
          </w:tcPr>
          <w:p>
            <w:pPr>
              <w:pStyle w:val="yTableNAm"/>
              <w:spacing w:before="0"/>
            </w:pPr>
            <w:r>
              <w:t xml:space="preserve">Groper, </w:t>
            </w:r>
            <w:smartTag w:uri="urn:schemas-microsoft-com:office:smarttags" w:element="place">
              <w:smartTag w:uri="urn:schemas-microsoft-com:office:smarttags" w:element="State">
                <w:r>
                  <w:t>Queensland</w:t>
                </w:r>
              </w:smartTag>
            </w:smartTag>
            <w:r>
              <w:t xml:space="preserv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100.00</w:t>
            </w:r>
          </w:p>
        </w:tc>
      </w:tr>
      <w:tr>
        <w:tc>
          <w:tcPr>
            <w:tcW w:w="4320" w:type="dxa"/>
          </w:tcPr>
          <w:p>
            <w:pPr>
              <w:pStyle w:val="yTableNAm"/>
              <w:spacing w:before="0"/>
            </w:pPr>
            <w:r>
              <w:t>Groper, Western Blue ...................................</w:t>
            </w:r>
          </w:p>
        </w:tc>
        <w:tc>
          <w:tcPr>
            <w:tcW w:w="1384" w:type="dxa"/>
          </w:tcPr>
          <w:p>
            <w:pPr>
              <w:pStyle w:val="yTableNAm"/>
              <w:spacing w:before="0"/>
              <w:ind w:right="284"/>
              <w:jc w:val="right"/>
            </w:pPr>
            <w:r>
              <w:t>6.00</w:t>
            </w:r>
          </w:p>
        </w:tc>
        <w:tc>
          <w:tcPr>
            <w:tcW w:w="1384" w:type="dxa"/>
          </w:tcPr>
          <w:p>
            <w:pPr>
              <w:pStyle w:val="yTableNAm"/>
              <w:spacing w:before="0"/>
              <w:ind w:right="284"/>
              <w:jc w:val="right"/>
            </w:pPr>
            <w:r>
              <w:t>48.00</w:t>
            </w:r>
          </w:p>
        </w:tc>
      </w:tr>
      <w:tr>
        <w:tc>
          <w:tcPr>
            <w:tcW w:w="4320" w:type="dxa"/>
          </w:tcPr>
          <w:p>
            <w:pPr>
              <w:pStyle w:val="yTableNAm"/>
              <w:spacing w:before="0"/>
            </w:pPr>
            <w:r>
              <w:t>Grunter, Sooty................................................</w:t>
            </w:r>
          </w:p>
        </w:tc>
        <w:tc>
          <w:tcPr>
            <w:tcW w:w="1384" w:type="dxa"/>
          </w:tcPr>
          <w:p>
            <w:pPr>
              <w:pStyle w:val="yTableNAm"/>
              <w:spacing w:before="0"/>
              <w:ind w:right="284"/>
              <w:jc w:val="right"/>
            </w:pPr>
            <w:r>
              <w:t>5.00</w:t>
            </w:r>
          </w:p>
        </w:tc>
        <w:tc>
          <w:tcPr>
            <w:tcW w:w="1384" w:type="dxa"/>
          </w:tcPr>
          <w:p>
            <w:pPr>
              <w:pStyle w:val="yTableNAm"/>
              <w:spacing w:before="0"/>
              <w:ind w:right="284"/>
              <w:jc w:val="right"/>
            </w:pPr>
            <w:r>
              <w:t>2.50</w:t>
            </w:r>
          </w:p>
        </w:tc>
      </w:tr>
      <w:tr>
        <w:tc>
          <w:tcPr>
            <w:tcW w:w="4320" w:type="dxa"/>
          </w:tcPr>
          <w:p>
            <w:pPr>
              <w:pStyle w:val="yTableNAm"/>
              <w:spacing w:before="0"/>
            </w:pPr>
            <w:r>
              <w:t>Hapuku ..........................................................</w:t>
            </w:r>
          </w:p>
        </w:tc>
        <w:tc>
          <w:tcPr>
            <w:tcW w:w="1384" w:type="dxa"/>
          </w:tcPr>
          <w:p>
            <w:pPr>
              <w:pStyle w:val="yTableNAm"/>
              <w:spacing w:before="0"/>
              <w:ind w:right="284"/>
              <w:jc w:val="right"/>
            </w:pPr>
            <w:r>
              <w:t>6.00</w:t>
            </w:r>
          </w:p>
        </w:tc>
        <w:tc>
          <w:tcPr>
            <w:tcW w:w="1384" w:type="dxa"/>
          </w:tcPr>
          <w:p>
            <w:pPr>
              <w:pStyle w:val="yTableNAm"/>
              <w:spacing w:before="0"/>
              <w:ind w:right="284"/>
              <w:jc w:val="right"/>
            </w:pPr>
            <w:r>
              <w:t>48.00</w:t>
            </w:r>
          </w:p>
        </w:tc>
      </w:tr>
      <w:tr>
        <w:tc>
          <w:tcPr>
            <w:tcW w:w="4320" w:type="dxa"/>
          </w:tcPr>
          <w:p>
            <w:pPr>
              <w:pStyle w:val="yTableNAm"/>
              <w:spacing w:before="0"/>
            </w:pPr>
            <w:r>
              <w:t>Hardyhead .....................................................</w:t>
            </w:r>
          </w:p>
        </w:tc>
        <w:tc>
          <w:tcPr>
            <w:tcW w:w="1384" w:type="dxa"/>
          </w:tcPr>
          <w:p>
            <w:pPr>
              <w:pStyle w:val="yTableNAm"/>
              <w:spacing w:before="0"/>
              <w:ind w:right="284"/>
              <w:jc w:val="right"/>
            </w:pPr>
            <w:r>
              <w:t>3.00</w:t>
            </w:r>
          </w:p>
        </w:tc>
        <w:tc>
          <w:tcPr>
            <w:tcW w:w="1384" w:type="dxa"/>
          </w:tcPr>
          <w:p>
            <w:pPr>
              <w:pStyle w:val="yTableNAm"/>
              <w:spacing w:before="0"/>
              <w:ind w:right="284"/>
              <w:jc w:val="right"/>
            </w:pPr>
            <w:r>
              <w:t>0.50</w:t>
            </w:r>
          </w:p>
        </w:tc>
      </w:tr>
      <w:tr>
        <w:tc>
          <w:tcPr>
            <w:tcW w:w="4320" w:type="dxa"/>
          </w:tcPr>
          <w:p>
            <w:pPr>
              <w:pStyle w:val="yTableNAm"/>
              <w:spacing w:before="0"/>
            </w:pPr>
            <w:r>
              <w:t>Harlequin Fish ...............................................</w:t>
            </w:r>
          </w:p>
        </w:tc>
        <w:tc>
          <w:tcPr>
            <w:tcW w:w="1384" w:type="dxa"/>
          </w:tcPr>
          <w:p>
            <w:pPr>
              <w:pStyle w:val="yTableNAm"/>
              <w:spacing w:before="0"/>
              <w:ind w:right="284"/>
              <w:jc w:val="right"/>
            </w:pPr>
            <w:r>
              <w:t>7.00</w:t>
            </w:r>
          </w:p>
        </w:tc>
        <w:tc>
          <w:tcPr>
            <w:tcW w:w="1384" w:type="dxa"/>
          </w:tcPr>
          <w:p>
            <w:pPr>
              <w:pStyle w:val="yTableNAm"/>
              <w:spacing w:before="0"/>
              <w:ind w:right="284"/>
              <w:jc w:val="right"/>
            </w:pPr>
            <w:r>
              <w:t>7.00</w:t>
            </w:r>
          </w:p>
        </w:tc>
      </w:tr>
      <w:tr>
        <w:tc>
          <w:tcPr>
            <w:tcW w:w="4320" w:type="dxa"/>
          </w:tcPr>
          <w:p>
            <w:pPr>
              <w:pStyle w:val="yTableNAm"/>
              <w:spacing w:before="0"/>
            </w:pPr>
            <w:r>
              <w:t>Herring, Australian (Tommy Ruff) ...............</w:t>
            </w:r>
          </w:p>
        </w:tc>
        <w:tc>
          <w:tcPr>
            <w:tcW w:w="1384" w:type="dxa"/>
          </w:tcPr>
          <w:p>
            <w:pPr>
              <w:pStyle w:val="yTableNAm"/>
              <w:spacing w:before="0"/>
              <w:ind w:right="284"/>
              <w:jc w:val="right"/>
            </w:pPr>
            <w:r>
              <w:t>4.50</w:t>
            </w:r>
          </w:p>
        </w:tc>
        <w:tc>
          <w:tcPr>
            <w:tcW w:w="1384" w:type="dxa"/>
          </w:tcPr>
          <w:p>
            <w:pPr>
              <w:pStyle w:val="yTableNAm"/>
              <w:spacing w:before="0"/>
              <w:ind w:right="284"/>
              <w:jc w:val="right"/>
            </w:pPr>
            <w:r>
              <w:t>2.00</w:t>
            </w:r>
          </w:p>
        </w:tc>
      </w:tr>
      <w:tr>
        <w:tc>
          <w:tcPr>
            <w:tcW w:w="4320" w:type="dxa"/>
          </w:tcPr>
          <w:p>
            <w:pPr>
              <w:pStyle w:val="yTableNAm"/>
              <w:spacing w:before="0"/>
            </w:pPr>
            <w:r>
              <w:t>Javelinfish .....................................................</w:t>
            </w:r>
          </w:p>
        </w:tc>
        <w:tc>
          <w:tcPr>
            <w:tcW w:w="1384" w:type="dxa"/>
          </w:tcPr>
          <w:p>
            <w:pPr>
              <w:pStyle w:val="yTableNAm"/>
              <w:spacing w:before="0"/>
              <w:ind w:right="284"/>
              <w:jc w:val="right"/>
            </w:pPr>
            <w:r>
              <w:t>5.00</w:t>
            </w:r>
          </w:p>
        </w:tc>
        <w:tc>
          <w:tcPr>
            <w:tcW w:w="1384" w:type="dxa"/>
          </w:tcPr>
          <w:p>
            <w:pPr>
              <w:pStyle w:val="yTableNAm"/>
              <w:spacing w:before="0"/>
              <w:ind w:right="284"/>
              <w:jc w:val="right"/>
            </w:pPr>
            <w:r>
              <w:t>5.00</w:t>
            </w:r>
          </w:p>
        </w:tc>
      </w:tr>
      <w:tr>
        <w:tc>
          <w:tcPr>
            <w:tcW w:w="4320" w:type="dxa"/>
          </w:tcPr>
          <w:p>
            <w:pPr>
              <w:pStyle w:val="yTableNAm"/>
              <w:spacing w:before="0"/>
            </w:pPr>
            <w:r>
              <w:t>Kingfish, Yellowtail ......................................</w:t>
            </w:r>
          </w:p>
        </w:tc>
        <w:tc>
          <w:tcPr>
            <w:tcW w:w="1384" w:type="dxa"/>
          </w:tcPr>
          <w:p>
            <w:pPr>
              <w:pStyle w:val="yTableNAm"/>
              <w:spacing w:before="0"/>
              <w:ind w:right="284"/>
              <w:jc w:val="right"/>
            </w:pPr>
            <w:r>
              <w:t>1.50</w:t>
            </w:r>
          </w:p>
        </w:tc>
        <w:tc>
          <w:tcPr>
            <w:tcW w:w="1384" w:type="dxa"/>
          </w:tcPr>
          <w:p>
            <w:pPr>
              <w:pStyle w:val="yTableNAm"/>
              <w:spacing w:before="0"/>
              <w:ind w:right="284"/>
              <w:jc w:val="right"/>
            </w:pPr>
            <w:r>
              <w:t>7.50</w:t>
            </w:r>
          </w:p>
        </w:tc>
      </w:tr>
      <w:tr>
        <w:tc>
          <w:tcPr>
            <w:tcW w:w="4320" w:type="dxa"/>
          </w:tcPr>
          <w:p>
            <w:pPr>
              <w:pStyle w:val="yTableNAm"/>
              <w:spacing w:before="0"/>
            </w:pPr>
            <w:r>
              <w:t>Leafy Seadragon ...........................................</w:t>
            </w:r>
          </w:p>
        </w:tc>
        <w:tc>
          <w:tcPr>
            <w:tcW w:w="1384" w:type="dxa"/>
          </w:tcPr>
          <w:p>
            <w:pPr>
              <w:pStyle w:val="yTableNAm"/>
              <w:spacing w:before="0"/>
              <w:ind w:right="284"/>
              <w:jc w:val="right"/>
            </w:pPr>
            <w:r>
              <w:noBreakHyphen/>
            </w:r>
          </w:p>
        </w:tc>
        <w:tc>
          <w:tcPr>
            <w:tcW w:w="1384" w:type="dxa"/>
          </w:tcPr>
          <w:p>
            <w:pPr>
              <w:pStyle w:val="yTableNAm"/>
              <w:spacing w:before="0"/>
              <w:ind w:right="284"/>
              <w:jc w:val="right"/>
            </w:pPr>
            <w:r>
              <w:t>100.00</w:t>
            </w:r>
          </w:p>
        </w:tc>
      </w:tr>
      <w:tr>
        <w:tc>
          <w:tcPr>
            <w:tcW w:w="4320" w:type="dxa"/>
          </w:tcPr>
          <w:p>
            <w:pPr>
              <w:pStyle w:val="yTableNAm"/>
              <w:spacing w:before="0"/>
            </w:pPr>
            <w:r>
              <w:t>Leatherjacket .................................................</w:t>
            </w:r>
          </w:p>
        </w:tc>
        <w:tc>
          <w:tcPr>
            <w:tcW w:w="1384" w:type="dxa"/>
          </w:tcPr>
          <w:p>
            <w:pPr>
              <w:pStyle w:val="yTableNAm"/>
              <w:spacing w:before="0"/>
              <w:ind w:right="284"/>
              <w:jc w:val="right"/>
            </w:pPr>
            <w:r>
              <w:t>2.00</w:t>
            </w:r>
          </w:p>
        </w:tc>
        <w:tc>
          <w:tcPr>
            <w:tcW w:w="1384" w:type="dxa"/>
          </w:tcPr>
          <w:p>
            <w:pPr>
              <w:pStyle w:val="yTableNAm"/>
              <w:spacing w:before="0"/>
              <w:ind w:right="284"/>
              <w:jc w:val="right"/>
            </w:pPr>
            <w:r>
              <w:t>2.00</w:t>
            </w:r>
          </w:p>
        </w:tc>
      </w:tr>
      <w:tr>
        <w:tc>
          <w:tcPr>
            <w:tcW w:w="4320" w:type="dxa"/>
          </w:tcPr>
          <w:p>
            <w:pPr>
              <w:pStyle w:val="yTableNAm"/>
              <w:spacing w:before="0"/>
            </w:pPr>
            <w:r>
              <w:t>Live Rock ......................................................</w:t>
            </w:r>
          </w:p>
        </w:tc>
        <w:tc>
          <w:tcPr>
            <w:tcW w:w="1384" w:type="dxa"/>
          </w:tcPr>
          <w:p>
            <w:pPr>
              <w:pStyle w:val="yTableNAm"/>
              <w:spacing w:before="0"/>
              <w:ind w:right="284"/>
              <w:jc w:val="right"/>
            </w:pPr>
            <w:r>
              <w:t>8.00</w:t>
            </w:r>
          </w:p>
        </w:tc>
        <w:tc>
          <w:tcPr>
            <w:tcW w:w="1384" w:type="dxa"/>
          </w:tcPr>
          <w:p>
            <w:pPr>
              <w:pStyle w:val="yTableNAm"/>
              <w:spacing w:before="0"/>
              <w:ind w:right="284"/>
              <w:jc w:val="right"/>
            </w:pPr>
            <w:r>
              <w:noBreakHyphen/>
            </w:r>
          </w:p>
        </w:tc>
      </w:tr>
      <w:tr>
        <w:tc>
          <w:tcPr>
            <w:tcW w:w="4320" w:type="dxa"/>
          </w:tcPr>
          <w:p>
            <w:pPr>
              <w:pStyle w:val="yTableNAm"/>
              <w:spacing w:before="0"/>
            </w:pPr>
            <w:r>
              <w:t>Longtom ........................................................</w:t>
            </w:r>
          </w:p>
        </w:tc>
        <w:tc>
          <w:tcPr>
            <w:tcW w:w="1384" w:type="dxa"/>
          </w:tcPr>
          <w:p>
            <w:pPr>
              <w:pStyle w:val="yTableNAm"/>
              <w:spacing w:before="0"/>
              <w:ind w:right="284"/>
              <w:jc w:val="right"/>
            </w:pPr>
            <w:r>
              <w:t>1.00</w:t>
            </w:r>
          </w:p>
        </w:tc>
        <w:tc>
          <w:tcPr>
            <w:tcW w:w="1384" w:type="dxa"/>
          </w:tcPr>
          <w:p>
            <w:pPr>
              <w:pStyle w:val="yTableNAm"/>
              <w:spacing w:before="0"/>
              <w:ind w:right="284"/>
              <w:jc w:val="right"/>
            </w:pPr>
            <w:r>
              <w:t>0.50</w:t>
            </w:r>
          </w:p>
        </w:tc>
      </w:tr>
      <w:tr>
        <w:tc>
          <w:tcPr>
            <w:tcW w:w="4320" w:type="dxa"/>
          </w:tcPr>
          <w:p>
            <w:pPr>
              <w:pStyle w:val="yTableNAm"/>
              <w:spacing w:before="0"/>
            </w:pPr>
            <w:r>
              <w:t>Mackerel, Blue (Common) ...........................</w:t>
            </w:r>
          </w:p>
        </w:tc>
        <w:tc>
          <w:tcPr>
            <w:tcW w:w="1384" w:type="dxa"/>
          </w:tcPr>
          <w:p>
            <w:pPr>
              <w:pStyle w:val="yTableNAm"/>
              <w:spacing w:before="0"/>
              <w:ind w:right="284"/>
              <w:jc w:val="right"/>
            </w:pPr>
            <w:r>
              <w:t>3.00</w:t>
            </w:r>
          </w:p>
        </w:tc>
        <w:tc>
          <w:tcPr>
            <w:tcW w:w="1384" w:type="dxa"/>
          </w:tcPr>
          <w:p>
            <w:pPr>
              <w:pStyle w:val="yTableNAm"/>
              <w:spacing w:before="0"/>
              <w:ind w:right="284"/>
              <w:jc w:val="right"/>
            </w:pPr>
            <w:r>
              <w:t>2.00</w:t>
            </w:r>
          </w:p>
        </w:tc>
      </w:tr>
      <w:tr>
        <w:tc>
          <w:tcPr>
            <w:tcW w:w="4320" w:type="dxa"/>
          </w:tcPr>
          <w:p>
            <w:pPr>
              <w:pStyle w:val="yTableNAm"/>
              <w:spacing w:before="0"/>
            </w:pPr>
            <w:r>
              <w:t>Mackerel, Broad</w:t>
            </w:r>
            <w:r>
              <w:noBreakHyphen/>
              <w:t>barred Spanish ...................</w:t>
            </w:r>
          </w:p>
        </w:tc>
        <w:tc>
          <w:tcPr>
            <w:tcW w:w="1384" w:type="dxa"/>
          </w:tcPr>
          <w:p>
            <w:pPr>
              <w:pStyle w:val="yTableNAm"/>
              <w:spacing w:before="0"/>
              <w:ind w:right="284"/>
              <w:jc w:val="right"/>
            </w:pPr>
            <w:r>
              <w:t>11.00</w:t>
            </w:r>
          </w:p>
        </w:tc>
        <w:tc>
          <w:tcPr>
            <w:tcW w:w="1384" w:type="dxa"/>
          </w:tcPr>
          <w:p>
            <w:pPr>
              <w:pStyle w:val="yTableNAm"/>
              <w:spacing w:before="0"/>
              <w:ind w:right="284"/>
              <w:jc w:val="right"/>
            </w:pPr>
            <w:r>
              <w:t>44.00</w:t>
            </w:r>
          </w:p>
        </w:tc>
      </w:tr>
      <w:tr>
        <w:tc>
          <w:tcPr>
            <w:tcW w:w="4320" w:type="dxa"/>
          </w:tcPr>
          <w:p>
            <w:pPr>
              <w:pStyle w:val="yTableNAm"/>
              <w:spacing w:before="0"/>
            </w:pPr>
            <w:r>
              <w:t>Mackerel, Narrow</w:t>
            </w:r>
            <w:r>
              <w:noBreakHyphen/>
              <w:t>barred Spanish ................</w:t>
            </w:r>
          </w:p>
        </w:tc>
        <w:tc>
          <w:tcPr>
            <w:tcW w:w="1384" w:type="dxa"/>
          </w:tcPr>
          <w:p>
            <w:pPr>
              <w:pStyle w:val="yTableNAm"/>
              <w:spacing w:before="0"/>
              <w:ind w:right="284"/>
              <w:jc w:val="right"/>
            </w:pPr>
            <w:r>
              <w:t>11.00</w:t>
            </w:r>
          </w:p>
        </w:tc>
        <w:tc>
          <w:tcPr>
            <w:tcW w:w="1384" w:type="dxa"/>
          </w:tcPr>
          <w:p>
            <w:pPr>
              <w:pStyle w:val="yTableNAm"/>
              <w:spacing w:before="0"/>
              <w:ind w:right="284"/>
              <w:jc w:val="right"/>
            </w:pPr>
            <w:r>
              <w:t>44.00</w:t>
            </w:r>
          </w:p>
        </w:tc>
      </w:tr>
      <w:tr>
        <w:tc>
          <w:tcPr>
            <w:tcW w:w="4320" w:type="dxa"/>
          </w:tcPr>
          <w:p>
            <w:pPr>
              <w:pStyle w:val="yTableNAm"/>
              <w:spacing w:before="0"/>
            </w:pPr>
            <w:r>
              <w:t>Mackerel, Shark ............................................</w:t>
            </w:r>
          </w:p>
        </w:tc>
        <w:tc>
          <w:tcPr>
            <w:tcW w:w="1384" w:type="dxa"/>
          </w:tcPr>
          <w:p>
            <w:pPr>
              <w:pStyle w:val="yTableNAm"/>
              <w:spacing w:before="0"/>
              <w:ind w:right="284"/>
              <w:jc w:val="right"/>
            </w:pPr>
            <w:r>
              <w:t>1.00</w:t>
            </w:r>
          </w:p>
        </w:tc>
        <w:tc>
          <w:tcPr>
            <w:tcW w:w="1384" w:type="dxa"/>
          </w:tcPr>
          <w:p>
            <w:pPr>
              <w:pStyle w:val="yTableNAm"/>
              <w:spacing w:before="0"/>
              <w:ind w:right="284"/>
              <w:jc w:val="right"/>
            </w:pPr>
            <w:r>
              <w:t>4.00</w:t>
            </w:r>
          </w:p>
        </w:tc>
      </w:tr>
      <w:tr>
        <w:tc>
          <w:tcPr>
            <w:tcW w:w="4320" w:type="dxa"/>
          </w:tcPr>
          <w:p>
            <w:pPr>
              <w:pStyle w:val="yTableNAm"/>
              <w:spacing w:before="0"/>
            </w:pPr>
            <w:r>
              <w:t>Mackerel, Wahoo ..........................................</w:t>
            </w:r>
          </w:p>
        </w:tc>
        <w:tc>
          <w:tcPr>
            <w:tcW w:w="1384" w:type="dxa"/>
          </w:tcPr>
          <w:p>
            <w:pPr>
              <w:pStyle w:val="yTableNAm"/>
              <w:spacing w:before="0"/>
              <w:ind w:right="284"/>
              <w:jc w:val="right"/>
            </w:pPr>
            <w:r>
              <w:t>7.00</w:t>
            </w:r>
          </w:p>
        </w:tc>
        <w:tc>
          <w:tcPr>
            <w:tcW w:w="1384" w:type="dxa"/>
          </w:tcPr>
          <w:p>
            <w:pPr>
              <w:pStyle w:val="yTableNAm"/>
              <w:spacing w:before="0"/>
              <w:ind w:right="284"/>
              <w:jc w:val="right"/>
            </w:pPr>
            <w:r>
              <w:t>28.00</w:t>
            </w:r>
          </w:p>
        </w:tc>
      </w:tr>
      <w:tr>
        <w:tc>
          <w:tcPr>
            <w:tcW w:w="4320" w:type="dxa"/>
          </w:tcPr>
          <w:p>
            <w:pPr>
              <w:pStyle w:val="yTableNAm"/>
              <w:spacing w:before="0"/>
            </w:pPr>
            <w:r>
              <w:t>Mangrove Jack ..............................................</w:t>
            </w:r>
          </w:p>
        </w:tc>
        <w:tc>
          <w:tcPr>
            <w:tcW w:w="1384" w:type="dxa"/>
          </w:tcPr>
          <w:p>
            <w:pPr>
              <w:pStyle w:val="yTableNAm"/>
              <w:spacing w:before="0"/>
              <w:ind w:right="284"/>
              <w:jc w:val="right"/>
            </w:pPr>
            <w:r>
              <w:t>5.50</w:t>
            </w:r>
          </w:p>
        </w:tc>
        <w:tc>
          <w:tcPr>
            <w:tcW w:w="1384" w:type="dxa"/>
          </w:tcPr>
          <w:p>
            <w:pPr>
              <w:pStyle w:val="yTableNAm"/>
              <w:spacing w:before="0"/>
              <w:ind w:right="284"/>
              <w:jc w:val="right"/>
            </w:pPr>
            <w:r>
              <w:t>14.00</w:t>
            </w:r>
          </w:p>
        </w:tc>
      </w:tr>
      <w:tr>
        <w:tc>
          <w:tcPr>
            <w:tcW w:w="4320" w:type="dxa"/>
          </w:tcPr>
          <w:p>
            <w:pPr>
              <w:pStyle w:val="yTableNAm"/>
              <w:spacing w:before="0"/>
            </w:pPr>
            <w:r>
              <w:t>Marlin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100.00</w:t>
            </w:r>
          </w:p>
        </w:tc>
      </w:tr>
      <w:tr>
        <w:tc>
          <w:tcPr>
            <w:tcW w:w="4320" w:type="dxa"/>
          </w:tcPr>
          <w:p>
            <w:pPr>
              <w:pStyle w:val="yTableNAm"/>
              <w:spacing w:before="0"/>
            </w:pPr>
            <w:r>
              <w:t>Marron ...........................................................</w:t>
            </w:r>
          </w:p>
        </w:tc>
        <w:tc>
          <w:tcPr>
            <w:tcW w:w="1384" w:type="dxa"/>
          </w:tcPr>
          <w:p>
            <w:pPr>
              <w:pStyle w:val="yTableNAm"/>
              <w:spacing w:before="0"/>
              <w:ind w:right="284"/>
              <w:jc w:val="right"/>
            </w:pPr>
            <w:r>
              <w:t>36.00</w:t>
            </w:r>
          </w:p>
        </w:tc>
        <w:tc>
          <w:tcPr>
            <w:tcW w:w="1384" w:type="dxa"/>
          </w:tcPr>
          <w:p>
            <w:pPr>
              <w:pStyle w:val="yTableNAm"/>
              <w:spacing w:before="0"/>
              <w:ind w:right="284"/>
              <w:jc w:val="right"/>
            </w:pPr>
            <w:r>
              <w:t>5.00</w:t>
            </w:r>
          </w:p>
        </w:tc>
      </w:tr>
      <w:tr>
        <w:tc>
          <w:tcPr>
            <w:tcW w:w="4320" w:type="dxa"/>
          </w:tcPr>
          <w:p>
            <w:pPr>
              <w:pStyle w:val="yTableNAm"/>
              <w:spacing w:before="0"/>
            </w:pPr>
            <w:r>
              <w:t>Mullet ............................................................</w:t>
            </w:r>
          </w:p>
        </w:tc>
        <w:tc>
          <w:tcPr>
            <w:tcW w:w="1384" w:type="dxa"/>
          </w:tcPr>
          <w:p>
            <w:pPr>
              <w:pStyle w:val="yTableNAm"/>
              <w:spacing w:before="0"/>
              <w:ind w:right="284"/>
              <w:jc w:val="right"/>
            </w:pPr>
            <w:r>
              <w:t>4.50</w:t>
            </w:r>
          </w:p>
        </w:tc>
        <w:tc>
          <w:tcPr>
            <w:tcW w:w="1384" w:type="dxa"/>
          </w:tcPr>
          <w:p>
            <w:pPr>
              <w:pStyle w:val="yTableNAm"/>
              <w:spacing w:before="0"/>
              <w:ind w:right="284"/>
              <w:jc w:val="right"/>
            </w:pPr>
            <w:r>
              <w:t>3.00</w:t>
            </w:r>
          </w:p>
        </w:tc>
      </w:tr>
      <w:tr>
        <w:tc>
          <w:tcPr>
            <w:tcW w:w="4320" w:type="dxa"/>
          </w:tcPr>
          <w:p>
            <w:pPr>
              <w:pStyle w:val="yTableNAm"/>
              <w:spacing w:before="0"/>
            </w:pPr>
            <w:r>
              <w:t>Mulloway ......................................................</w:t>
            </w:r>
          </w:p>
        </w:tc>
        <w:tc>
          <w:tcPr>
            <w:tcW w:w="1384" w:type="dxa"/>
          </w:tcPr>
          <w:p>
            <w:pPr>
              <w:pStyle w:val="yTableNAm"/>
              <w:spacing w:before="0"/>
              <w:ind w:right="284"/>
              <w:jc w:val="right"/>
            </w:pPr>
            <w:r>
              <w:t>6.00</w:t>
            </w:r>
          </w:p>
        </w:tc>
        <w:tc>
          <w:tcPr>
            <w:tcW w:w="1384" w:type="dxa"/>
          </w:tcPr>
          <w:p>
            <w:pPr>
              <w:pStyle w:val="yTableNAm"/>
              <w:spacing w:before="0"/>
              <w:ind w:right="284"/>
              <w:jc w:val="right"/>
            </w:pPr>
            <w:r>
              <w:t>15.00</w:t>
            </w:r>
          </w:p>
        </w:tc>
      </w:tr>
      <w:tr>
        <w:tc>
          <w:tcPr>
            <w:tcW w:w="4320" w:type="dxa"/>
          </w:tcPr>
          <w:p>
            <w:pPr>
              <w:pStyle w:val="yTableNAm"/>
              <w:spacing w:before="0"/>
            </w:pPr>
            <w:r>
              <w:t>Mulloway, Northern ......................................</w:t>
            </w:r>
          </w:p>
        </w:tc>
        <w:tc>
          <w:tcPr>
            <w:tcW w:w="1384" w:type="dxa"/>
          </w:tcPr>
          <w:p>
            <w:pPr>
              <w:pStyle w:val="yTableNAm"/>
              <w:spacing w:before="0"/>
              <w:ind w:right="284"/>
              <w:jc w:val="right"/>
            </w:pPr>
            <w:r>
              <w:t>6.00</w:t>
            </w:r>
          </w:p>
        </w:tc>
        <w:tc>
          <w:tcPr>
            <w:tcW w:w="1384" w:type="dxa"/>
          </w:tcPr>
          <w:p>
            <w:pPr>
              <w:pStyle w:val="yTableNAm"/>
              <w:spacing w:before="0"/>
              <w:ind w:right="284"/>
              <w:jc w:val="right"/>
            </w:pPr>
            <w:r>
              <w:t>15.00</w:t>
            </w:r>
          </w:p>
        </w:tc>
      </w:tr>
      <w:tr>
        <w:tc>
          <w:tcPr>
            <w:tcW w:w="4320" w:type="dxa"/>
          </w:tcPr>
          <w:p>
            <w:pPr>
              <w:pStyle w:val="yTableNAm"/>
              <w:spacing w:before="0"/>
            </w:pPr>
            <w:r>
              <w:t>Mussel ...........................................................</w:t>
            </w:r>
          </w:p>
        </w:tc>
        <w:tc>
          <w:tcPr>
            <w:tcW w:w="1384" w:type="dxa"/>
          </w:tcPr>
          <w:p>
            <w:pPr>
              <w:pStyle w:val="yTableNAm"/>
              <w:spacing w:before="0"/>
              <w:ind w:right="284"/>
              <w:jc w:val="right"/>
            </w:pPr>
            <w:r>
              <w:t>3.00</w:t>
            </w:r>
          </w:p>
        </w:tc>
        <w:tc>
          <w:tcPr>
            <w:tcW w:w="1384" w:type="dxa"/>
          </w:tcPr>
          <w:p>
            <w:pPr>
              <w:pStyle w:val="yTableNAm"/>
              <w:spacing w:before="0"/>
              <w:ind w:right="284"/>
              <w:jc w:val="right"/>
            </w:pPr>
            <w:r>
              <w:t>0.10</w:t>
            </w:r>
          </w:p>
        </w:tc>
      </w:tr>
      <w:tr>
        <w:tc>
          <w:tcPr>
            <w:tcW w:w="4320" w:type="dxa"/>
          </w:tcPr>
          <w:p>
            <w:pPr>
              <w:pStyle w:val="yTableNAm"/>
              <w:spacing w:before="0"/>
            </w:pPr>
            <w:r>
              <w:t>Nannygai .......................................................</w:t>
            </w:r>
          </w:p>
        </w:tc>
        <w:tc>
          <w:tcPr>
            <w:tcW w:w="1384" w:type="dxa"/>
          </w:tcPr>
          <w:p>
            <w:pPr>
              <w:pStyle w:val="yTableNAm"/>
              <w:spacing w:before="0"/>
              <w:ind w:right="284"/>
              <w:jc w:val="right"/>
            </w:pPr>
            <w:r>
              <w:t>9.50</w:t>
            </w:r>
          </w:p>
        </w:tc>
        <w:tc>
          <w:tcPr>
            <w:tcW w:w="1384" w:type="dxa"/>
          </w:tcPr>
          <w:p>
            <w:pPr>
              <w:pStyle w:val="yTableNAm"/>
              <w:spacing w:before="0"/>
              <w:ind w:right="284"/>
              <w:jc w:val="right"/>
            </w:pPr>
            <w:r>
              <w:t>20.00</w:t>
            </w:r>
          </w:p>
        </w:tc>
      </w:tr>
      <w:tr>
        <w:tc>
          <w:tcPr>
            <w:tcW w:w="4320" w:type="dxa"/>
          </w:tcPr>
          <w:p>
            <w:pPr>
              <w:pStyle w:val="yTableNAm"/>
              <w:spacing w:before="0"/>
            </w:pPr>
            <w:r>
              <w:t>Octopus .........................................................</w:t>
            </w:r>
          </w:p>
        </w:tc>
        <w:tc>
          <w:tcPr>
            <w:tcW w:w="1384" w:type="dxa"/>
          </w:tcPr>
          <w:p>
            <w:pPr>
              <w:pStyle w:val="yTableNAm"/>
              <w:spacing w:before="0"/>
              <w:ind w:right="284"/>
              <w:jc w:val="right"/>
            </w:pPr>
            <w:r>
              <w:t>12.00</w:t>
            </w:r>
          </w:p>
        </w:tc>
        <w:tc>
          <w:tcPr>
            <w:tcW w:w="1384" w:type="dxa"/>
          </w:tcPr>
          <w:p>
            <w:pPr>
              <w:pStyle w:val="yTableNAm"/>
              <w:spacing w:before="0"/>
              <w:ind w:right="284"/>
              <w:jc w:val="right"/>
            </w:pPr>
            <w:r>
              <w:t>6.00</w:t>
            </w:r>
          </w:p>
        </w:tc>
      </w:tr>
      <w:tr>
        <w:tc>
          <w:tcPr>
            <w:tcW w:w="4320" w:type="dxa"/>
          </w:tcPr>
          <w:p>
            <w:pPr>
              <w:pStyle w:val="yTableNAm"/>
              <w:spacing w:before="0"/>
            </w:pPr>
            <w:r>
              <w:t>Oyster ............................................................</w:t>
            </w:r>
          </w:p>
        </w:tc>
        <w:tc>
          <w:tcPr>
            <w:tcW w:w="1384" w:type="dxa"/>
          </w:tcPr>
          <w:p>
            <w:pPr>
              <w:pStyle w:val="yTableNAm"/>
              <w:spacing w:before="0"/>
              <w:ind w:right="284"/>
              <w:jc w:val="right"/>
            </w:pPr>
            <w:r>
              <w:t>10.00</w:t>
            </w:r>
          </w:p>
        </w:tc>
        <w:tc>
          <w:tcPr>
            <w:tcW w:w="1384" w:type="dxa"/>
          </w:tcPr>
          <w:p>
            <w:pPr>
              <w:pStyle w:val="yTableNAm"/>
              <w:spacing w:before="0"/>
              <w:ind w:right="284"/>
              <w:jc w:val="right"/>
            </w:pPr>
            <w:r>
              <w:t>0.60</w:t>
            </w:r>
          </w:p>
        </w:tc>
      </w:tr>
      <w:tr>
        <w:tc>
          <w:tcPr>
            <w:tcW w:w="4320" w:type="dxa"/>
          </w:tcPr>
          <w:p>
            <w:pPr>
              <w:pStyle w:val="yTableNAm"/>
              <w:spacing w:before="0"/>
            </w:pPr>
            <w:r>
              <w:t>Parrot Fish .....................................................</w:t>
            </w:r>
          </w:p>
        </w:tc>
        <w:tc>
          <w:tcPr>
            <w:tcW w:w="1384" w:type="dxa"/>
          </w:tcPr>
          <w:p>
            <w:pPr>
              <w:pStyle w:val="yTableNAm"/>
              <w:spacing w:before="0"/>
              <w:ind w:right="284"/>
              <w:jc w:val="right"/>
            </w:pPr>
            <w:r>
              <w:t>6.00</w:t>
            </w:r>
          </w:p>
        </w:tc>
        <w:tc>
          <w:tcPr>
            <w:tcW w:w="1384" w:type="dxa"/>
          </w:tcPr>
          <w:p>
            <w:pPr>
              <w:pStyle w:val="yTableNAm"/>
              <w:spacing w:before="0"/>
              <w:ind w:right="284"/>
              <w:jc w:val="right"/>
            </w:pPr>
            <w:r>
              <w:t>12.00</w:t>
            </w:r>
          </w:p>
        </w:tc>
      </w:tr>
      <w:tr>
        <w:tc>
          <w:tcPr>
            <w:tcW w:w="4320" w:type="dxa"/>
          </w:tcPr>
          <w:p>
            <w:pPr>
              <w:pStyle w:val="yTableNAm"/>
              <w:spacing w:before="0"/>
            </w:pPr>
            <w:r>
              <w:t>Pearl Perch ....................................................</w:t>
            </w:r>
          </w:p>
        </w:tc>
        <w:tc>
          <w:tcPr>
            <w:tcW w:w="1384" w:type="dxa"/>
          </w:tcPr>
          <w:p>
            <w:pPr>
              <w:pStyle w:val="yTableNAm"/>
              <w:spacing w:before="0"/>
              <w:ind w:right="284"/>
              <w:jc w:val="right"/>
            </w:pPr>
            <w:r>
              <w:t>9.00</w:t>
            </w:r>
          </w:p>
        </w:tc>
        <w:tc>
          <w:tcPr>
            <w:tcW w:w="1384" w:type="dxa"/>
          </w:tcPr>
          <w:p>
            <w:pPr>
              <w:pStyle w:val="yTableNAm"/>
              <w:spacing w:before="0"/>
              <w:ind w:right="284"/>
              <w:jc w:val="right"/>
            </w:pPr>
            <w:r>
              <w:t>18.00</w:t>
            </w:r>
          </w:p>
        </w:tc>
      </w:tr>
      <w:tr>
        <w:tc>
          <w:tcPr>
            <w:tcW w:w="4320" w:type="dxa"/>
          </w:tcPr>
          <w:p>
            <w:pPr>
              <w:pStyle w:val="yTableNAm"/>
              <w:spacing w:before="0"/>
            </w:pPr>
            <w:r>
              <w:t>Pigfish ...........................................................</w:t>
            </w:r>
          </w:p>
        </w:tc>
        <w:tc>
          <w:tcPr>
            <w:tcW w:w="1384" w:type="dxa"/>
          </w:tcPr>
          <w:p>
            <w:pPr>
              <w:pStyle w:val="yTableNAm"/>
              <w:spacing w:before="0"/>
              <w:ind w:right="284"/>
              <w:jc w:val="right"/>
            </w:pPr>
            <w:r>
              <w:t>3.00</w:t>
            </w:r>
          </w:p>
        </w:tc>
        <w:tc>
          <w:tcPr>
            <w:tcW w:w="1384" w:type="dxa"/>
          </w:tcPr>
          <w:p>
            <w:pPr>
              <w:pStyle w:val="yTableNAm"/>
              <w:spacing w:before="0"/>
              <w:ind w:right="284"/>
              <w:jc w:val="right"/>
            </w:pPr>
            <w:r>
              <w:t>1.50</w:t>
            </w:r>
          </w:p>
        </w:tc>
      </w:tr>
      <w:tr>
        <w:tc>
          <w:tcPr>
            <w:tcW w:w="4320" w:type="dxa"/>
          </w:tcPr>
          <w:p>
            <w:pPr>
              <w:pStyle w:val="yTableNAm"/>
              <w:spacing w:before="0"/>
            </w:pPr>
            <w:r>
              <w:t>Pike ................................................................</w:t>
            </w:r>
          </w:p>
        </w:tc>
        <w:tc>
          <w:tcPr>
            <w:tcW w:w="1384" w:type="dxa"/>
          </w:tcPr>
          <w:p>
            <w:pPr>
              <w:pStyle w:val="yTableNAm"/>
              <w:spacing w:before="0"/>
              <w:ind w:right="284"/>
              <w:jc w:val="right"/>
            </w:pPr>
            <w:r>
              <w:t>6.00</w:t>
            </w:r>
          </w:p>
        </w:tc>
        <w:tc>
          <w:tcPr>
            <w:tcW w:w="1384" w:type="dxa"/>
          </w:tcPr>
          <w:p>
            <w:pPr>
              <w:pStyle w:val="yTableNAm"/>
              <w:spacing w:before="0"/>
              <w:ind w:right="284"/>
              <w:jc w:val="right"/>
            </w:pPr>
            <w:r>
              <w:t>2.00</w:t>
            </w:r>
          </w:p>
        </w:tc>
      </w:tr>
      <w:tr>
        <w:tc>
          <w:tcPr>
            <w:tcW w:w="4320" w:type="dxa"/>
          </w:tcPr>
          <w:p>
            <w:pPr>
              <w:pStyle w:val="yTableNAm"/>
              <w:spacing w:before="0"/>
            </w:pPr>
            <w:r>
              <w:t>Pilchard .........................................................</w:t>
            </w:r>
          </w:p>
        </w:tc>
        <w:tc>
          <w:tcPr>
            <w:tcW w:w="1384" w:type="dxa"/>
          </w:tcPr>
          <w:p>
            <w:pPr>
              <w:pStyle w:val="yTableNAm"/>
              <w:spacing w:before="0"/>
              <w:ind w:right="284"/>
              <w:jc w:val="right"/>
            </w:pPr>
            <w:r>
              <w:t>3.00</w:t>
            </w:r>
          </w:p>
        </w:tc>
        <w:tc>
          <w:tcPr>
            <w:tcW w:w="1384" w:type="dxa"/>
          </w:tcPr>
          <w:p>
            <w:pPr>
              <w:pStyle w:val="yTableNAm"/>
              <w:spacing w:before="0"/>
              <w:ind w:right="284"/>
              <w:jc w:val="right"/>
            </w:pPr>
            <w:r>
              <w:t>0.50</w:t>
            </w:r>
          </w:p>
        </w:tc>
      </w:tr>
      <w:tr>
        <w:tc>
          <w:tcPr>
            <w:tcW w:w="4320" w:type="dxa"/>
          </w:tcPr>
          <w:p>
            <w:pPr>
              <w:pStyle w:val="yTableNAm"/>
              <w:spacing w:before="0"/>
            </w:pPr>
            <w:r>
              <w:t>Pipi ................................................................</w:t>
            </w:r>
          </w:p>
        </w:tc>
        <w:tc>
          <w:tcPr>
            <w:tcW w:w="1384" w:type="dxa"/>
          </w:tcPr>
          <w:p>
            <w:pPr>
              <w:pStyle w:val="yTableNAm"/>
              <w:spacing w:before="0"/>
              <w:ind w:right="284"/>
              <w:jc w:val="right"/>
            </w:pPr>
            <w:r>
              <w:t>3.00</w:t>
            </w:r>
          </w:p>
        </w:tc>
        <w:tc>
          <w:tcPr>
            <w:tcW w:w="1384" w:type="dxa"/>
          </w:tcPr>
          <w:p>
            <w:pPr>
              <w:pStyle w:val="yTableNAm"/>
              <w:spacing w:before="0"/>
              <w:ind w:right="284"/>
              <w:jc w:val="right"/>
            </w:pPr>
            <w:r>
              <w:t>0.10</w:t>
            </w:r>
          </w:p>
        </w:tc>
      </w:tr>
      <w:tr>
        <w:tc>
          <w:tcPr>
            <w:tcW w:w="4320" w:type="dxa"/>
          </w:tcPr>
          <w:p>
            <w:pPr>
              <w:pStyle w:val="yTableNAm"/>
              <w:spacing w:before="0"/>
            </w:pPr>
            <w:r>
              <w:t>Prawn, Brown Tiger ......................................</w:t>
            </w:r>
          </w:p>
        </w:tc>
        <w:tc>
          <w:tcPr>
            <w:tcW w:w="1384" w:type="dxa"/>
          </w:tcPr>
          <w:p>
            <w:pPr>
              <w:pStyle w:val="yTableNAm"/>
              <w:spacing w:before="0"/>
              <w:ind w:right="284"/>
              <w:jc w:val="right"/>
            </w:pPr>
            <w:r>
              <w:t>15.00</w:t>
            </w:r>
          </w:p>
        </w:tc>
        <w:tc>
          <w:tcPr>
            <w:tcW w:w="1384" w:type="dxa"/>
          </w:tcPr>
          <w:p>
            <w:pPr>
              <w:pStyle w:val="yTableNAm"/>
              <w:spacing w:before="0"/>
              <w:ind w:right="284"/>
              <w:jc w:val="right"/>
            </w:pPr>
            <w:r>
              <w:t>1.00</w:t>
            </w:r>
          </w:p>
        </w:tc>
      </w:tr>
      <w:tr>
        <w:tc>
          <w:tcPr>
            <w:tcW w:w="4320" w:type="dxa"/>
          </w:tcPr>
          <w:p>
            <w:pPr>
              <w:pStyle w:val="yTableNAm"/>
              <w:spacing w:before="0"/>
            </w:pPr>
            <w:r>
              <w:t>Prawn, Western King ....................................</w:t>
            </w:r>
          </w:p>
        </w:tc>
        <w:tc>
          <w:tcPr>
            <w:tcW w:w="1384" w:type="dxa"/>
          </w:tcPr>
          <w:p>
            <w:pPr>
              <w:pStyle w:val="yTableNAm"/>
              <w:spacing w:before="0"/>
              <w:ind w:right="284"/>
              <w:jc w:val="right"/>
            </w:pPr>
            <w:r>
              <w:t>13.00</w:t>
            </w:r>
          </w:p>
        </w:tc>
        <w:tc>
          <w:tcPr>
            <w:tcW w:w="1384" w:type="dxa"/>
          </w:tcPr>
          <w:p>
            <w:pPr>
              <w:pStyle w:val="yTableNAm"/>
              <w:spacing w:before="0"/>
              <w:ind w:right="284"/>
              <w:jc w:val="right"/>
            </w:pPr>
            <w:r>
              <w:t>1.00</w:t>
            </w:r>
          </w:p>
        </w:tc>
      </w:tr>
      <w:tr>
        <w:tc>
          <w:tcPr>
            <w:tcW w:w="4320" w:type="dxa"/>
          </w:tcPr>
          <w:p>
            <w:pPr>
              <w:pStyle w:val="yTableNAm"/>
              <w:spacing w:before="0"/>
            </w:pPr>
            <w:r>
              <w:t xml:space="preserve">Prawn, </w:t>
            </w:r>
            <w:smartTag w:uri="urn:schemas-microsoft-com:office:smarttags" w:element="place">
              <w:smartTag w:uri="urn:schemas-microsoft-com:office:smarttags" w:element="PlaceName">
                <w:r>
                  <w:t>Western</w:t>
                </w:r>
              </w:smartTag>
              <w:r>
                <w:t xml:space="preserve"> </w:t>
              </w:r>
              <w:smartTag w:uri="urn:schemas-microsoft-com:office:smarttags" w:element="PlaceType">
                <w:r>
                  <w:t>School</w:t>
                </w:r>
              </w:smartTag>
            </w:smartTag>
            <w:r>
              <w:t xml:space="preserve"> .................................</w:t>
            </w:r>
          </w:p>
        </w:tc>
        <w:tc>
          <w:tcPr>
            <w:tcW w:w="1384" w:type="dxa"/>
          </w:tcPr>
          <w:p>
            <w:pPr>
              <w:pStyle w:val="yTableNAm"/>
              <w:spacing w:before="0"/>
              <w:ind w:right="284"/>
              <w:jc w:val="right"/>
            </w:pPr>
            <w:r>
              <w:t>4.00</w:t>
            </w:r>
          </w:p>
        </w:tc>
        <w:tc>
          <w:tcPr>
            <w:tcW w:w="1384" w:type="dxa"/>
          </w:tcPr>
          <w:p>
            <w:pPr>
              <w:pStyle w:val="yTableNAm"/>
              <w:spacing w:before="0"/>
              <w:ind w:right="284"/>
              <w:jc w:val="right"/>
            </w:pPr>
            <w:r>
              <w:t>0.50</w:t>
            </w:r>
          </w:p>
        </w:tc>
      </w:tr>
      <w:tr>
        <w:tc>
          <w:tcPr>
            <w:tcW w:w="4320" w:type="dxa"/>
          </w:tcPr>
          <w:p>
            <w:pPr>
              <w:pStyle w:val="yTableNAm"/>
              <w:spacing w:before="0"/>
            </w:pPr>
            <w:r>
              <w:t>Prawn (other) .................................................</w:t>
            </w:r>
          </w:p>
        </w:tc>
        <w:tc>
          <w:tcPr>
            <w:tcW w:w="1384" w:type="dxa"/>
          </w:tcPr>
          <w:p>
            <w:pPr>
              <w:pStyle w:val="yTableNAm"/>
              <w:spacing w:before="0"/>
              <w:ind w:right="284"/>
              <w:jc w:val="right"/>
            </w:pPr>
            <w:r>
              <w:t>8.00</w:t>
            </w:r>
          </w:p>
        </w:tc>
        <w:tc>
          <w:tcPr>
            <w:tcW w:w="1384" w:type="dxa"/>
          </w:tcPr>
          <w:p>
            <w:pPr>
              <w:pStyle w:val="yTableNAm"/>
              <w:spacing w:before="0"/>
              <w:ind w:right="284"/>
              <w:jc w:val="right"/>
            </w:pPr>
            <w:r>
              <w:t>0.50</w:t>
            </w:r>
          </w:p>
        </w:tc>
      </w:tr>
      <w:tr>
        <w:tc>
          <w:tcPr>
            <w:tcW w:w="4320" w:type="dxa"/>
          </w:tcPr>
          <w:p>
            <w:pPr>
              <w:pStyle w:val="yTableNAm"/>
              <w:spacing w:before="0"/>
            </w:pPr>
            <w:r>
              <w:t>Queenfish ......................................................</w:t>
            </w:r>
          </w:p>
        </w:tc>
        <w:tc>
          <w:tcPr>
            <w:tcW w:w="1384" w:type="dxa"/>
          </w:tcPr>
          <w:p>
            <w:pPr>
              <w:pStyle w:val="yTableNAm"/>
              <w:spacing w:before="0"/>
              <w:ind w:right="284"/>
              <w:jc w:val="right"/>
            </w:pPr>
            <w:r>
              <w:t>3.00</w:t>
            </w:r>
          </w:p>
        </w:tc>
        <w:tc>
          <w:tcPr>
            <w:tcW w:w="1384" w:type="dxa"/>
          </w:tcPr>
          <w:p>
            <w:pPr>
              <w:pStyle w:val="yTableNAm"/>
              <w:spacing w:before="0"/>
              <w:ind w:right="284"/>
              <w:jc w:val="right"/>
            </w:pPr>
            <w:r>
              <w:t>10.00</w:t>
            </w:r>
          </w:p>
        </w:tc>
      </w:tr>
      <w:tr>
        <w:tc>
          <w:tcPr>
            <w:tcW w:w="4320" w:type="dxa"/>
          </w:tcPr>
          <w:p>
            <w:pPr>
              <w:pStyle w:val="yTableNAm"/>
              <w:spacing w:before="0"/>
            </w:pPr>
            <w:r>
              <w:t>Rays ...............................................................</w:t>
            </w:r>
          </w:p>
        </w:tc>
        <w:tc>
          <w:tcPr>
            <w:tcW w:w="1384" w:type="dxa"/>
          </w:tcPr>
          <w:p>
            <w:pPr>
              <w:pStyle w:val="yTableNAm"/>
              <w:spacing w:before="0"/>
              <w:ind w:right="284"/>
              <w:jc w:val="right"/>
            </w:pPr>
            <w:r>
              <w:t>4.00</w:t>
            </w:r>
          </w:p>
        </w:tc>
        <w:tc>
          <w:tcPr>
            <w:tcW w:w="1384" w:type="dxa"/>
          </w:tcPr>
          <w:p>
            <w:pPr>
              <w:pStyle w:val="yTableNAm"/>
              <w:spacing w:before="0"/>
              <w:ind w:right="284"/>
              <w:jc w:val="right"/>
            </w:pPr>
            <w:r>
              <w:t>60.00</w:t>
            </w:r>
          </w:p>
        </w:tc>
      </w:tr>
      <w:tr>
        <w:tc>
          <w:tcPr>
            <w:tcW w:w="4320" w:type="dxa"/>
          </w:tcPr>
          <w:p>
            <w:pPr>
              <w:pStyle w:val="yTableNAm"/>
              <w:spacing w:before="0"/>
            </w:pPr>
            <w:r>
              <w:t>Razor shell .....................................................</w:t>
            </w:r>
          </w:p>
        </w:tc>
        <w:tc>
          <w:tcPr>
            <w:tcW w:w="1384" w:type="dxa"/>
          </w:tcPr>
          <w:p>
            <w:pPr>
              <w:pStyle w:val="yTableNAm"/>
              <w:spacing w:before="0"/>
              <w:ind w:right="284"/>
              <w:jc w:val="right"/>
            </w:pPr>
            <w:r>
              <w:t>5.00</w:t>
            </w:r>
          </w:p>
        </w:tc>
        <w:tc>
          <w:tcPr>
            <w:tcW w:w="1384" w:type="dxa"/>
          </w:tcPr>
          <w:p>
            <w:pPr>
              <w:pStyle w:val="yTableNAm"/>
              <w:spacing w:before="0"/>
              <w:ind w:right="284"/>
              <w:jc w:val="right"/>
            </w:pPr>
            <w:r>
              <w:t>1.00</w:t>
            </w:r>
          </w:p>
        </w:tc>
      </w:tr>
      <w:tr>
        <w:tc>
          <w:tcPr>
            <w:tcW w:w="4320" w:type="dxa"/>
          </w:tcPr>
          <w:p>
            <w:pPr>
              <w:pStyle w:val="yTableNAm"/>
              <w:spacing w:before="0"/>
            </w:pPr>
            <w:r>
              <w:t>Rock Lobster .................................................</w:t>
            </w:r>
          </w:p>
        </w:tc>
        <w:tc>
          <w:tcPr>
            <w:tcW w:w="1384" w:type="dxa"/>
          </w:tcPr>
          <w:p>
            <w:pPr>
              <w:pStyle w:val="yTableNAm"/>
              <w:spacing w:before="0"/>
              <w:ind w:right="284"/>
              <w:jc w:val="right"/>
            </w:pPr>
            <w:r>
              <w:t>30.00</w:t>
            </w:r>
          </w:p>
        </w:tc>
        <w:tc>
          <w:tcPr>
            <w:tcW w:w="1384" w:type="dxa"/>
          </w:tcPr>
          <w:p>
            <w:pPr>
              <w:pStyle w:val="yTableNAm"/>
              <w:spacing w:before="0"/>
              <w:ind w:right="284"/>
              <w:jc w:val="right"/>
            </w:pPr>
            <w:r>
              <w:t>15.00</w:t>
            </w:r>
          </w:p>
        </w:tc>
      </w:tr>
      <w:tr>
        <w:tc>
          <w:tcPr>
            <w:tcW w:w="4320" w:type="dxa"/>
          </w:tcPr>
          <w:p>
            <w:pPr>
              <w:pStyle w:val="yTableNAm"/>
              <w:spacing w:before="0"/>
            </w:pPr>
            <w:r>
              <w:t>Rock Lobster (tail weight) ............................</w:t>
            </w:r>
          </w:p>
        </w:tc>
        <w:tc>
          <w:tcPr>
            <w:tcW w:w="1384" w:type="dxa"/>
          </w:tcPr>
          <w:p>
            <w:pPr>
              <w:pStyle w:val="yTableNAm"/>
              <w:spacing w:before="0"/>
              <w:ind w:right="284"/>
              <w:jc w:val="right"/>
            </w:pPr>
            <w:r>
              <w:t>60.00</w:t>
            </w:r>
          </w:p>
        </w:tc>
        <w:tc>
          <w:tcPr>
            <w:tcW w:w="1384" w:type="dxa"/>
          </w:tcPr>
          <w:p>
            <w:pPr>
              <w:pStyle w:val="yTableNAm"/>
              <w:spacing w:before="0"/>
              <w:ind w:right="284"/>
              <w:jc w:val="right"/>
            </w:pPr>
            <w:r>
              <w:t>15.00</w:t>
            </w:r>
          </w:p>
        </w:tc>
      </w:tr>
      <w:tr>
        <w:tc>
          <w:tcPr>
            <w:tcW w:w="4320" w:type="dxa"/>
          </w:tcPr>
          <w:p>
            <w:pPr>
              <w:pStyle w:val="yTableNAm"/>
              <w:spacing w:before="0"/>
            </w:pPr>
            <w:r>
              <w:t>Sailfish ..........................................................</w:t>
            </w:r>
          </w:p>
        </w:tc>
        <w:tc>
          <w:tcPr>
            <w:tcW w:w="1384" w:type="dxa"/>
          </w:tcPr>
          <w:p>
            <w:pPr>
              <w:pStyle w:val="yTableNAm"/>
              <w:spacing w:before="0"/>
              <w:ind w:right="284"/>
              <w:jc w:val="right"/>
            </w:pPr>
            <w:r>
              <w:t>1.00</w:t>
            </w:r>
          </w:p>
        </w:tc>
        <w:tc>
          <w:tcPr>
            <w:tcW w:w="1384" w:type="dxa"/>
          </w:tcPr>
          <w:p>
            <w:pPr>
              <w:pStyle w:val="yTableNAm"/>
              <w:spacing w:before="0"/>
              <w:ind w:right="284"/>
              <w:jc w:val="right"/>
            </w:pPr>
            <w:r>
              <w:t>40.00</w:t>
            </w:r>
          </w:p>
        </w:tc>
      </w:tr>
      <w:tr>
        <w:tc>
          <w:tcPr>
            <w:tcW w:w="4320" w:type="dxa"/>
          </w:tcPr>
          <w:p>
            <w:pPr>
              <w:pStyle w:val="yTableNAm"/>
              <w:spacing w:before="0"/>
            </w:pPr>
            <w:r>
              <w:t>Salmon, Australian ........................................</w:t>
            </w:r>
          </w:p>
        </w:tc>
        <w:tc>
          <w:tcPr>
            <w:tcW w:w="1384" w:type="dxa"/>
          </w:tcPr>
          <w:p>
            <w:pPr>
              <w:pStyle w:val="yTableNAm"/>
              <w:spacing w:before="0"/>
              <w:ind w:right="284"/>
              <w:jc w:val="right"/>
            </w:pPr>
            <w:r>
              <w:t>1.50</w:t>
            </w:r>
          </w:p>
        </w:tc>
        <w:tc>
          <w:tcPr>
            <w:tcW w:w="1384" w:type="dxa"/>
          </w:tcPr>
          <w:p>
            <w:pPr>
              <w:pStyle w:val="yTableNAm"/>
              <w:spacing w:before="0"/>
              <w:ind w:right="284"/>
              <w:jc w:val="right"/>
            </w:pPr>
            <w:r>
              <w:t>3.75</w:t>
            </w:r>
          </w:p>
        </w:tc>
      </w:tr>
      <w:tr>
        <w:tc>
          <w:tcPr>
            <w:tcW w:w="4320" w:type="dxa"/>
          </w:tcPr>
          <w:p>
            <w:pPr>
              <w:pStyle w:val="yTableNAm"/>
              <w:spacing w:before="0"/>
            </w:pPr>
            <w:r>
              <w:t>Samson Fish (Sea Kingfish)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w:t>
            </w:r>
          </w:p>
        </w:tc>
      </w:tr>
      <w:tr>
        <w:tc>
          <w:tcPr>
            <w:tcW w:w="4320" w:type="dxa"/>
          </w:tcPr>
          <w:p>
            <w:pPr>
              <w:pStyle w:val="yTableNAm"/>
              <w:spacing w:before="0"/>
            </w:pPr>
            <w:r>
              <w:t>Sawfish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spacing w:before="0"/>
            </w:pPr>
            <w:r>
              <w:t>Scallop (shucked) ..........................................</w:t>
            </w:r>
          </w:p>
        </w:tc>
        <w:tc>
          <w:tcPr>
            <w:tcW w:w="1384" w:type="dxa"/>
          </w:tcPr>
          <w:p>
            <w:pPr>
              <w:pStyle w:val="yTableNAm"/>
              <w:spacing w:before="0"/>
              <w:ind w:right="284"/>
              <w:jc w:val="right"/>
            </w:pPr>
            <w:r>
              <w:t>18.00</w:t>
            </w:r>
          </w:p>
        </w:tc>
        <w:tc>
          <w:tcPr>
            <w:tcW w:w="1384" w:type="dxa"/>
          </w:tcPr>
          <w:p>
            <w:pPr>
              <w:pStyle w:val="yTableNAm"/>
              <w:spacing w:before="0"/>
              <w:ind w:right="284"/>
              <w:jc w:val="right"/>
            </w:pPr>
            <w:r>
              <w:t>0.50</w:t>
            </w:r>
          </w:p>
        </w:tc>
      </w:tr>
      <w:tr>
        <w:tc>
          <w:tcPr>
            <w:tcW w:w="4320" w:type="dxa"/>
          </w:tcPr>
          <w:p>
            <w:pPr>
              <w:pStyle w:val="yTableNAm"/>
              <w:spacing w:before="0"/>
            </w:pPr>
            <w:r>
              <w:t>Scallop (whole weight) .................................</w:t>
            </w:r>
          </w:p>
        </w:tc>
        <w:tc>
          <w:tcPr>
            <w:tcW w:w="1384" w:type="dxa"/>
          </w:tcPr>
          <w:p>
            <w:pPr>
              <w:pStyle w:val="yTableNAm"/>
              <w:spacing w:before="0"/>
              <w:ind w:right="284"/>
              <w:jc w:val="right"/>
            </w:pPr>
            <w:r>
              <w:t>3.60</w:t>
            </w:r>
          </w:p>
        </w:tc>
        <w:tc>
          <w:tcPr>
            <w:tcW w:w="1384" w:type="dxa"/>
          </w:tcPr>
          <w:p>
            <w:pPr>
              <w:pStyle w:val="yTableNAm"/>
              <w:spacing w:before="0"/>
              <w:ind w:right="284"/>
              <w:jc w:val="right"/>
            </w:pPr>
            <w:r>
              <w:t>0.50</w:t>
            </w:r>
          </w:p>
        </w:tc>
      </w:tr>
      <w:tr>
        <w:tc>
          <w:tcPr>
            <w:tcW w:w="4320" w:type="dxa"/>
          </w:tcPr>
          <w:p>
            <w:pPr>
              <w:pStyle w:val="yTableNAm"/>
              <w:spacing w:before="0"/>
            </w:pPr>
            <w:r>
              <w:t>Sea Cucumber (Beche</w:t>
            </w:r>
            <w:r>
              <w:noBreakHyphen/>
              <w:t>de</w:t>
            </w:r>
            <w:r>
              <w:noBreakHyphen/>
              <w:t>mer, Trepang) ......</w:t>
            </w:r>
          </w:p>
        </w:tc>
        <w:tc>
          <w:tcPr>
            <w:tcW w:w="1384" w:type="dxa"/>
          </w:tcPr>
          <w:p>
            <w:pPr>
              <w:pStyle w:val="yTableNAm"/>
              <w:spacing w:before="0"/>
              <w:ind w:right="284"/>
              <w:jc w:val="right"/>
            </w:pPr>
            <w:r>
              <w:t>9.50</w:t>
            </w:r>
          </w:p>
        </w:tc>
        <w:tc>
          <w:tcPr>
            <w:tcW w:w="1384" w:type="dxa"/>
          </w:tcPr>
          <w:p>
            <w:pPr>
              <w:pStyle w:val="yTableNAm"/>
              <w:spacing w:before="0"/>
              <w:ind w:right="284"/>
              <w:jc w:val="right"/>
            </w:pPr>
            <w:r>
              <w:t>4.00</w:t>
            </w:r>
          </w:p>
        </w:tc>
      </w:tr>
      <w:tr>
        <w:tc>
          <w:tcPr>
            <w:tcW w:w="4320" w:type="dxa"/>
          </w:tcPr>
          <w:p>
            <w:pPr>
              <w:pStyle w:val="yTableNAm"/>
              <w:spacing w:before="0"/>
            </w:pPr>
            <w:r>
              <w:t>Sea Urchin .....................................................</w:t>
            </w:r>
          </w:p>
        </w:tc>
        <w:tc>
          <w:tcPr>
            <w:tcW w:w="1384" w:type="dxa"/>
          </w:tcPr>
          <w:p>
            <w:pPr>
              <w:pStyle w:val="yTableNAm"/>
              <w:spacing w:before="0"/>
              <w:ind w:right="284"/>
              <w:jc w:val="right"/>
            </w:pPr>
            <w:r>
              <w:t>20.00</w:t>
            </w:r>
          </w:p>
        </w:tc>
        <w:tc>
          <w:tcPr>
            <w:tcW w:w="1384" w:type="dxa"/>
          </w:tcPr>
          <w:p>
            <w:pPr>
              <w:pStyle w:val="yTableNAm"/>
              <w:spacing w:before="0"/>
              <w:ind w:right="284"/>
              <w:jc w:val="right"/>
            </w:pPr>
            <w:r>
              <w:t>2.00</w:t>
            </w:r>
          </w:p>
        </w:tc>
      </w:tr>
      <w:tr>
        <w:tc>
          <w:tcPr>
            <w:tcW w:w="4320" w:type="dxa"/>
          </w:tcPr>
          <w:p>
            <w:pPr>
              <w:pStyle w:val="yTableNAm"/>
              <w:spacing w:before="0"/>
            </w:pPr>
            <w:r>
              <w:t>Shark, Great White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spacing w:before="0"/>
            </w:pPr>
            <w:r>
              <w:t>Shark, Speartooth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spacing w:before="0"/>
            </w:pPr>
            <w:r>
              <w:t>Shark, Whale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spacing w:before="0"/>
            </w:pPr>
            <w:r>
              <w:t>Sharks (other) ................................................</w:t>
            </w:r>
          </w:p>
        </w:tc>
        <w:tc>
          <w:tcPr>
            <w:tcW w:w="1384" w:type="dxa"/>
          </w:tcPr>
          <w:p>
            <w:pPr>
              <w:pStyle w:val="yTableNAm"/>
              <w:spacing w:before="0"/>
              <w:ind w:right="284"/>
              <w:jc w:val="right"/>
            </w:pPr>
            <w:r>
              <w:t>6.00</w:t>
            </w:r>
          </w:p>
        </w:tc>
        <w:tc>
          <w:tcPr>
            <w:tcW w:w="1384" w:type="dxa"/>
          </w:tcPr>
          <w:p>
            <w:pPr>
              <w:pStyle w:val="yTableNAm"/>
              <w:spacing w:before="0"/>
              <w:ind w:right="284"/>
              <w:jc w:val="right"/>
            </w:pPr>
            <w:r>
              <w:t>90.00</w:t>
            </w:r>
          </w:p>
        </w:tc>
      </w:tr>
      <w:tr>
        <w:tc>
          <w:tcPr>
            <w:tcW w:w="4320" w:type="dxa"/>
          </w:tcPr>
          <w:p>
            <w:pPr>
              <w:pStyle w:val="yTableNAm"/>
              <w:spacing w:before="0"/>
            </w:pPr>
            <w:r>
              <w:t>Snapper, Deep water .....................................</w:t>
            </w:r>
          </w:p>
        </w:tc>
        <w:tc>
          <w:tcPr>
            <w:tcW w:w="1384" w:type="dxa"/>
          </w:tcPr>
          <w:p>
            <w:pPr>
              <w:pStyle w:val="yTableNAm"/>
              <w:spacing w:before="0"/>
              <w:ind w:right="284"/>
              <w:jc w:val="right"/>
            </w:pPr>
            <w:r>
              <w:t>8.00</w:t>
            </w:r>
          </w:p>
        </w:tc>
        <w:tc>
          <w:tcPr>
            <w:tcW w:w="1384" w:type="dxa"/>
          </w:tcPr>
          <w:p>
            <w:pPr>
              <w:pStyle w:val="yTableNAm"/>
              <w:spacing w:before="0"/>
              <w:ind w:right="284"/>
              <w:jc w:val="right"/>
            </w:pPr>
            <w:r>
              <w:t>24.00</w:t>
            </w:r>
          </w:p>
        </w:tc>
      </w:tr>
      <w:tr>
        <w:tc>
          <w:tcPr>
            <w:tcW w:w="4320" w:type="dxa"/>
          </w:tcPr>
          <w:p>
            <w:pPr>
              <w:pStyle w:val="yTableNAm"/>
              <w:spacing w:before="0"/>
            </w:pPr>
            <w:r>
              <w:t>Snapper, Goldband ........................................</w:t>
            </w:r>
          </w:p>
        </w:tc>
        <w:tc>
          <w:tcPr>
            <w:tcW w:w="1384" w:type="dxa"/>
          </w:tcPr>
          <w:p>
            <w:pPr>
              <w:pStyle w:val="yTableNAm"/>
              <w:spacing w:before="0"/>
              <w:ind w:right="284"/>
              <w:jc w:val="right"/>
            </w:pPr>
            <w:r>
              <w:t>8.00</w:t>
            </w:r>
          </w:p>
        </w:tc>
        <w:tc>
          <w:tcPr>
            <w:tcW w:w="1384" w:type="dxa"/>
          </w:tcPr>
          <w:p>
            <w:pPr>
              <w:pStyle w:val="yTableNAm"/>
              <w:spacing w:before="0"/>
              <w:ind w:right="284"/>
              <w:jc w:val="right"/>
            </w:pPr>
            <w:r>
              <w:t>24.00</w:t>
            </w:r>
          </w:p>
        </w:tc>
      </w:tr>
      <w:tr>
        <w:tc>
          <w:tcPr>
            <w:tcW w:w="4320" w:type="dxa"/>
          </w:tcPr>
          <w:p>
            <w:pPr>
              <w:pStyle w:val="yTableNAm"/>
              <w:spacing w:before="0"/>
            </w:pPr>
            <w:r>
              <w:t>Snapper, Northwest .......................................</w:t>
            </w:r>
          </w:p>
        </w:tc>
        <w:tc>
          <w:tcPr>
            <w:tcW w:w="1384" w:type="dxa"/>
          </w:tcPr>
          <w:p>
            <w:pPr>
              <w:pStyle w:val="yTableNAm"/>
              <w:spacing w:before="0"/>
              <w:ind w:right="284"/>
              <w:jc w:val="right"/>
            </w:pPr>
            <w:r>
              <w:t>7.00</w:t>
            </w:r>
          </w:p>
        </w:tc>
        <w:tc>
          <w:tcPr>
            <w:tcW w:w="1384" w:type="dxa"/>
          </w:tcPr>
          <w:p>
            <w:pPr>
              <w:pStyle w:val="yTableNAm"/>
              <w:spacing w:before="0"/>
              <w:ind w:right="284"/>
              <w:jc w:val="right"/>
            </w:pPr>
            <w:r>
              <w:t>14.00</w:t>
            </w:r>
          </w:p>
        </w:tc>
      </w:tr>
      <w:tr>
        <w:tc>
          <w:tcPr>
            <w:tcW w:w="4320" w:type="dxa"/>
          </w:tcPr>
          <w:p>
            <w:pPr>
              <w:pStyle w:val="yTableNAm"/>
              <w:spacing w:before="0"/>
            </w:pPr>
            <w:r>
              <w:t>Snapper, Pink ................................................</w:t>
            </w:r>
          </w:p>
        </w:tc>
        <w:tc>
          <w:tcPr>
            <w:tcW w:w="1384" w:type="dxa"/>
          </w:tcPr>
          <w:p>
            <w:pPr>
              <w:pStyle w:val="yTableNAm"/>
              <w:spacing w:before="0"/>
              <w:ind w:right="284"/>
              <w:jc w:val="right"/>
            </w:pPr>
            <w:r>
              <w:t>9.50</w:t>
            </w:r>
          </w:p>
        </w:tc>
        <w:tc>
          <w:tcPr>
            <w:tcW w:w="1384" w:type="dxa"/>
          </w:tcPr>
          <w:p>
            <w:pPr>
              <w:pStyle w:val="yTableNAm"/>
              <w:spacing w:before="0"/>
              <w:ind w:right="284"/>
              <w:jc w:val="right"/>
            </w:pPr>
            <w:r>
              <w:t>28.50</w:t>
            </w:r>
          </w:p>
        </w:tc>
      </w:tr>
      <w:tr>
        <w:tc>
          <w:tcPr>
            <w:tcW w:w="4320" w:type="dxa"/>
          </w:tcPr>
          <w:p>
            <w:pPr>
              <w:pStyle w:val="yTableNAm"/>
              <w:spacing w:before="0"/>
              <w:rPr>
                <w:iCs/>
              </w:rPr>
            </w:pPr>
            <w:r>
              <w:rPr>
                <w:iCs/>
              </w:rPr>
              <w:t>Snapper, Queen (Blue Morwong) .................</w:t>
            </w:r>
          </w:p>
        </w:tc>
        <w:tc>
          <w:tcPr>
            <w:tcW w:w="1384" w:type="dxa"/>
          </w:tcPr>
          <w:p>
            <w:pPr>
              <w:pStyle w:val="yTableNAm"/>
              <w:spacing w:before="0"/>
              <w:ind w:right="284"/>
              <w:jc w:val="right"/>
            </w:pPr>
            <w:r>
              <w:t>3.50</w:t>
            </w:r>
          </w:p>
        </w:tc>
        <w:tc>
          <w:tcPr>
            <w:tcW w:w="1384" w:type="dxa"/>
          </w:tcPr>
          <w:p>
            <w:pPr>
              <w:pStyle w:val="yTableNAm"/>
              <w:spacing w:before="0"/>
              <w:ind w:right="284"/>
              <w:jc w:val="right"/>
            </w:pPr>
            <w:r>
              <w:t>8.75</w:t>
            </w:r>
          </w:p>
        </w:tc>
      </w:tr>
      <w:tr>
        <w:tc>
          <w:tcPr>
            <w:tcW w:w="4320" w:type="dxa"/>
          </w:tcPr>
          <w:p>
            <w:pPr>
              <w:pStyle w:val="yTableNAm"/>
              <w:spacing w:before="0"/>
              <w:rPr>
                <w:iCs/>
              </w:rPr>
            </w:pPr>
            <w:r>
              <w:rPr>
                <w:iCs/>
              </w:rPr>
              <w:t>Snapper, Red .................................................</w:t>
            </w:r>
          </w:p>
        </w:tc>
        <w:tc>
          <w:tcPr>
            <w:tcW w:w="1384" w:type="dxa"/>
          </w:tcPr>
          <w:p>
            <w:pPr>
              <w:pStyle w:val="yTableNAm"/>
              <w:spacing w:before="0"/>
              <w:ind w:right="284"/>
              <w:jc w:val="right"/>
            </w:pPr>
            <w:r>
              <w:t>6.00</w:t>
            </w:r>
          </w:p>
        </w:tc>
        <w:tc>
          <w:tcPr>
            <w:tcW w:w="1384" w:type="dxa"/>
          </w:tcPr>
          <w:p>
            <w:pPr>
              <w:pStyle w:val="yTableNAm"/>
              <w:spacing w:before="0"/>
              <w:ind w:right="284"/>
              <w:jc w:val="right"/>
            </w:pPr>
            <w:r>
              <w:t>6.00</w:t>
            </w:r>
          </w:p>
        </w:tc>
      </w:tr>
      <w:tr>
        <w:tc>
          <w:tcPr>
            <w:tcW w:w="4320" w:type="dxa"/>
          </w:tcPr>
          <w:p>
            <w:pPr>
              <w:pStyle w:val="yTableNAm"/>
              <w:spacing w:before="0"/>
              <w:rPr>
                <w:iCs/>
              </w:rPr>
            </w:pPr>
            <w:r>
              <w:rPr>
                <w:iCs/>
              </w:rPr>
              <w:t>Snook ............................................................</w:t>
            </w:r>
          </w:p>
        </w:tc>
        <w:tc>
          <w:tcPr>
            <w:tcW w:w="1384" w:type="dxa"/>
          </w:tcPr>
          <w:p>
            <w:pPr>
              <w:pStyle w:val="yTableNAm"/>
              <w:spacing w:before="0"/>
              <w:ind w:right="284"/>
              <w:jc w:val="right"/>
            </w:pPr>
            <w:r>
              <w:t>3.00</w:t>
            </w:r>
          </w:p>
        </w:tc>
        <w:tc>
          <w:tcPr>
            <w:tcW w:w="1384" w:type="dxa"/>
          </w:tcPr>
          <w:p>
            <w:pPr>
              <w:pStyle w:val="yTableNAm"/>
              <w:spacing w:before="0"/>
              <w:ind w:right="284"/>
              <w:jc w:val="right"/>
            </w:pPr>
            <w:r>
              <w:t>1.50</w:t>
            </w:r>
          </w:p>
        </w:tc>
      </w:tr>
      <w:tr>
        <w:tc>
          <w:tcPr>
            <w:tcW w:w="4320" w:type="dxa"/>
          </w:tcPr>
          <w:p>
            <w:pPr>
              <w:pStyle w:val="yTableNAm"/>
              <w:spacing w:before="0"/>
              <w:rPr>
                <w:iCs/>
              </w:rPr>
            </w:pPr>
            <w:r>
              <w:rPr>
                <w:iCs/>
              </w:rPr>
              <w:t>Sole ................................................................</w:t>
            </w:r>
          </w:p>
        </w:tc>
        <w:tc>
          <w:tcPr>
            <w:tcW w:w="1384" w:type="dxa"/>
          </w:tcPr>
          <w:p>
            <w:pPr>
              <w:pStyle w:val="yTableNAm"/>
              <w:spacing w:before="0"/>
              <w:ind w:right="284"/>
              <w:jc w:val="right"/>
            </w:pPr>
            <w:r>
              <w:t>6.00</w:t>
            </w:r>
          </w:p>
        </w:tc>
        <w:tc>
          <w:tcPr>
            <w:tcW w:w="1384" w:type="dxa"/>
          </w:tcPr>
          <w:p>
            <w:pPr>
              <w:pStyle w:val="yTableNAm"/>
              <w:spacing w:before="0"/>
              <w:ind w:right="284"/>
              <w:jc w:val="right"/>
            </w:pPr>
            <w:r>
              <w:t>2.50</w:t>
            </w:r>
          </w:p>
        </w:tc>
      </w:tr>
      <w:tr>
        <w:tc>
          <w:tcPr>
            <w:tcW w:w="4320" w:type="dxa"/>
          </w:tcPr>
          <w:p>
            <w:pPr>
              <w:pStyle w:val="yTableNAm"/>
              <w:spacing w:before="0"/>
              <w:rPr>
                <w:iCs/>
              </w:rPr>
            </w:pPr>
            <w:r>
              <w:rPr>
                <w:iCs/>
              </w:rPr>
              <w:t>Spearfish ........................................................</w:t>
            </w:r>
          </w:p>
        </w:tc>
        <w:tc>
          <w:tcPr>
            <w:tcW w:w="1384" w:type="dxa"/>
          </w:tcPr>
          <w:p>
            <w:pPr>
              <w:pStyle w:val="yTableNAm"/>
              <w:spacing w:before="0"/>
              <w:ind w:right="284"/>
              <w:jc w:val="right"/>
            </w:pPr>
            <w:r>
              <w:t>1.00</w:t>
            </w:r>
          </w:p>
        </w:tc>
        <w:tc>
          <w:tcPr>
            <w:tcW w:w="1384" w:type="dxa"/>
          </w:tcPr>
          <w:p>
            <w:pPr>
              <w:pStyle w:val="yTableNAm"/>
              <w:spacing w:before="0"/>
              <w:ind w:right="284"/>
              <w:jc w:val="right"/>
            </w:pPr>
            <w:r>
              <w:t>25.00</w:t>
            </w:r>
          </w:p>
        </w:tc>
      </w:tr>
      <w:tr>
        <w:tc>
          <w:tcPr>
            <w:tcW w:w="4320" w:type="dxa"/>
          </w:tcPr>
          <w:p>
            <w:pPr>
              <w:pStyle w:val="yTableNAm"/>
              <w:spacing w:before="0"/>
              <w:rPr>
                <w:iCs/>
              </w:rPr>
            </w:pPr>
            <w:r>
              <w:rPr>
                <w:iCs/>
              </w:rPr>
              <w:t xml:space="preserve">Sprat, </w:t>
            </w:r>
            <w:smartTag w:uri="urn:schemas-microsoft-com:office:smarttags" w:element="place">
              <w:smartTag w:uri="urn:schemas-microsoft-com:office:smarttags" w:element="City">
                <w:r>
                  <w:rPr>
                    <w:iCs/>
                  </w:rPr>
                  <w:t>Sandy</w:t>
                </w:r>
              </w:smartTag>
            </w:smartTag>
            <w:r>
              <w:rPr>
                <w:iCs/>
              </w:rPr>
              <w:t xml:space="preserve"> (Whitebait) ...............................</w:t>
            </w:r>
          </w:p>
        </w:tc>
        <w:tc>
          <w:tcPr>
            <w:tcW w:w="1384" w:type="dxa"/>
          </w:tcPr>
          <w:p>
            <w:pPr>
              <w:pStyle w:val="yTableNAm"/>
              <w:spacing w:before="0"/>
              <w:ind w:right="284"/>
              <w:jc w:val="right"/>
            </w:pPr>
            <w:r>
              <w:t>3.00</w:t>
            </w:r>
          </w:p>
        </w:tc>
        <w:tc>
          <w:tcPr>
            <w:tcW w:w="1384" w:type="dxa"/>
          </w:tcPr>
          <w:p>
            <w:pPr>
              <w:pStyle w:val="yTableNAm"/>
              <w:spacing w:before="0"/>
              <w:ind w:right="284"/>
              <w:jc w:val="right"/>
            </w:pPr>
            <w:r>
              <w:t>0.50</w:t>
            </w:r>
          </w:p>
        </w:tc>
      </w:tr>
      <w:tr>
        <w:tc>
          <w:tcPr>
            <w:tcW w:w="4320" w:type="dxa"/>
          </w:tcPr>
          <w:p>
            <w:pPr>
              <w:pStyle w:val="yTableNAm"/>
              <w:spacing w:before="0"/>
              <w:rPr>
                <w:iCs/>
              </w:rPr>
            </w:pPr>
            <w:r>
              <w:rPr>
                <w:iCs/>
              </w:rPr>
              <w:t>Squid .............................................................</w:t>
            </w:r>
          </w:p>
        </w:tc>
        <w:tc>
          <w:tcPr>
            <w:tcW w:w="1384" w:type="dxa"/>
          </w:tcPr>
          <w:p>
            <w:pPr>
              <w:pStyle w:val="yTableNAm"/>
              <w:spacing w:before="0"/>
              <w:ind w:right="284"/>
              <w:jc w:val="right"/>
            </w:pPr>
            <w:r>
              <w:t>9.00</w:t>
            </w:r>
          </w:p>
        </w:tc>
        <w:tc>
          <w:tcPr>
            <w:tcW w:w="1384" w:type="dxa"/>
          </w:tcPr>
          <w:p>
            <w:pPr>
              <w:pStyle w:val="yTableNAm"/>
              <w:spacing w:before="0"/>
              <w:ind w:right="284"/>
              <w:jc w:val="right"/>
            </w:pPr>
            <w:r>
              <w:t>2.50</w:t>
            </w:r>
          </w:p>
        </w:tc>
      </w:tr>
      <w:tr>
        <w:tc>
          <w:tcPr>
            <w:tcW w:w="4320" w:type="dxa"/>
          </w:tcPr>
          <w:p>
            <w:pPr>
              <w:pStyle w:val="yTableNAm"/>
              <w:spacing w:before="0"/>
              <w:rPr>
                <w:iCs/>
              </w:rPr>
            </w:pPr>
            <w:r>
              <w:rPr>
                <w:iCs/>
              </w:rPr>
              <w:t>Swallowtail ....................................................</w:t>
            </w:r>
          </w:p>
        </w:tc>
        <w:tc>
          <w:tcPr>
            <w:tcW w:w="1384" w:type="dxa"/>
          </w:tcPr>
          <w:p>
            <w:pPr>
              <w:pStyle w:val="yTableNAm"/>
              <w:spacing w:before="0"/>
              <w:ind w:right="284"/>
              <w:jc w:val="right"/>
            </w:pPr>
            <w:r>
              <w:t>3.50</w:t>
            </w:r>
          </w:p>
        </w:tc>
        <w:tc>
          <w:tcPr>
            <w:tcW w:w="1384" w:type="dxa"/>
          </w:tcPr>
          <w:p>
            <w:pPr>
              <w:pStyle w:val="yTableNAm"/>
              <w:spacing w:before="0"/>
              <w:ind w:right="284"/>
              <w:jc w:val="right"/>
            </w:pPr>
            <w:r>
              <w:t>3.00</w:t>
            </w:r>
          </w:p>
        </w:tc>
      </w:tr>
      <w:tr>
        <w:tc>
          <w:tcPr>
            <w:tcW w:w="4320" w:type="dxa"/>
          </w:tcPr>
          <w:p>
            <w:pPr>
              <w:pStyle w:val="yTableNAm"/>
              <w:spacing w:before="0"/>
              <w:rPr>
                <w:iCs/>
              </w:rPr>
            </w:pPr>
            <w:r>
              <w:rPr>
                <w:iCs/>
              </w:rPr>
              <w:t>Sweep, Banded ..............................................</w:t>
            </w:r>
          </w:p>
        </w:tc>
        <w:tc>
          <w:tcPr>
            <w:tcW w:w="1384" w:type="dxa"/>
          </w:tcPr>
          <w:p>
            <w:pPr>
              <w:pStyle w:val="yTableNAm"/>
              <w:spacing w:before="0"/>
              <w:ind w:right="284"/>
              <w:jc w:val="right"/>
            </w:pPr>
            <w:r>
              <w:t>1.00</w:t>
            </w:r>
          </w:p>
        </w:tc>
        <w:tc>
          <w:tcPr>
            <w:tcW w:w="1384" w:type="dxa"/>
          </w:tcPr>
          <w:p>
            <w:pPr>
              <w:pStyle w:val="yTableNAm"/>
              <w:spacing w:before="0"/>
              <w:ind w:right="284"/>
              <w:jc w:val="right"/>
            </w:pPr>
            <w:r>
              <w:t>0.50</w:t>
            </w:r>
          </w:p>
        </w:tc>
      </w:tr>
      <w:tr>
        <w:tc>
          <w:tcPr>
            <w:tcW w:w="4320" w:type="dxa"/>
          </w:tcPr>
          <w:p>
            <w:pPr>
              <w:pStyle w:val="yTableNAm"/>
              <w:spacing w:before="0"/>
              <w:rPr>
                <w:iCs/>
              </w:rPr>
            </w:pPr>
            <w:r>
              <w:rPr>
                <w:iCs/>
              </w:rPr>
              <w:t>Sweep, Sea ....................................................</w:t>
            </w:r>
          </w:p>
        </w:tc>
        <w:tc>
          <w:tcPr>
            <w:tcW w:w="1384" w:type="dxa"/>
          </w:tcPr>
          <w:p>
            <w:pPr>
              <w:pStyle w:val="yTableNAm"/>
              <w:spacing w:before="0"/>
              <w:ind w:right="284"/>
              <w:jc w:val="right"/>
            </w:pPr>
            <w:r>
              <w:t>3.00</w:t>
            </w:r>
          </w:p>
        </w:tc>
        <w:tc>
          <w:tcPr>
            <w:tcW w:w="1384" w:type="dxa"/>
          </w:tcPr>
          <w:p>
            <w:pPr>
              <w:pStyle w:val="yTableNAm"/>
              <w:spacing w:before="0"/>
              <w:ind w:right="284"/>
              <w:jc w:val="right"/>
            </w:pPr>
            <w:r>
              <w:t>2.00</w:t>
            </w:r>
          </w:p>
        </w:tc>
      </w:tr>
      <w:tr>
        <w:tc>
          <w:tcPr>
            <w:tcW w:w="4320" w:type="dxa"/>
          </w:tcPr>
          <w:p>
            <w:pPr>
              <w:pStyle w:val="yTableNAm"/>
              <w:spacing w:before="0"/>
              <w:rPr>
                <w:iCs/>
              </w:rPr>
            </w:pPr>
            <w:r>
              <w:rPr>
                <w:iCs/>
              </w:rPr>
              <w:t>Sweetlips .......................................................</w:t>
            </w:r>
          </w:p>
        </w:tc>
        <w:tc>
          <w:tcPr>
            <w:tcW w:w="1384" w:type="dxa"/>
          </w:tcPr>
          <w:p>
            <w:pPr>
              <w:pStyle w:val="yTableNAm"/>
              <w:spacing w:before="0"/>
              <w:ind w:right="284"/>
              <w:jc w:val="right"/>
            </w:pPr>
            <w:r>
              <w:t>4.50</w:t>
            </w:r>
          </w:p>
        </w:tc>
        <w:tc>
          <w:tcPr>
            <w:tcW w:w="1384" w:type="dxa"/>
          </w:tcPr>
          <w:p>
            <w:pPr>
              <w:pStyle w:val="yTableNAm"/>
              <w:spacing w:before="0"/>
              <w:ind w:right="284"/>
              <w:jc w:val="right"/>
            </w:pPr>
            <w:r>
              <w:t>4.50</w:t>
            </w:r>
          </w:p>
        </w:tc>
      </w:tr>
      <w:tr>
        <w:tc>
          <w:tcPr>
            <w:tcW w:w="4320" w:type="dxa"/>
          </w:tcPr>
          <w:p>
            <w:pPr>
              <w:pStyle w:val="yTableNAm"/>
              <w:spacing w:before="0"/>
              <w:rPr>
                <w:iCs/>
              </w:rPr>
            </w:pPr>
            <w:r>
              <w:rPr>
                <w:iCs/>
              </w:rPr>
              <w:t>Swordfish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w:t>
            </w:r>
          </w:p>
        </w:tc>
      </w:tr>
      <w:tr>
        <w:tc>
          <w:tcPr>
            <w:tcW w:w="4320" w:type="dxa"/>
          </w:tcPr>
          <w:p>
            <w:pPr>
              <w:pStyle w:val="yTableNAm"/>
              <w:spacing w:before="0"/>
              <w:rPr>
                <w:iCs/>
              </w:rPr>
            </w:pPr>
            <w:r>
              <w:rPr>
                <w:iCs/>
              </w:rPr>
              <w:t>Tailor .............................................................</w:t>
            </w:r>
          </w:p>
        </w:tc>
        <w:tc>
          <w:tcPr>
            <w:tcW w:w="1384" w:type="dxa"/>
          </w:tcPr>
          <w:p>
            <w:pPr>
              <w:pStyle w:val="yTableNAm"/>
              <w:spacing w:before="0"/>
              <w:ind w:right="284"/>
              <w:jc w:val="right"/>
            </w:pPr>
            <w:r>
              <w:t>7.00</w:t>
            </w:r>
          </w:p>
        </w:tc>
        <w:tc>
          <w:tcPr>
            <w:tcW w:w="1384" w:type="dxa"/>
          </w:tcPr>
          <w:p>
            <w:pPr>
              <w:pStyle w:val="yTableNAm"/>
              <w:spacing w:before="0"/>
              <w:ind w:right="284"/>
              <w:jc w:val="right"/>
            </w:pPr>
            <w:r>
              <w:t>5.00</w:t>
            </w:r>
          </w:p>
        </w:tc>
      </w:tr>
      <w:tr>
        <w:tc>
          <w:tcPr>
            <w:tcW w:w="4320" w:type="dxa"/>
          </w:tcPr>
          <w:p>
            <w:pPr>
              <w:pStyle w:val="yTableNAm"/>
              <w:spacing w:before="0"/>
              <w:rPr>
                <w:iCs/>
              </w:rPr>
            </w:pPr>
            <w:r>
              <w:rPr>
                <w:iCs/>
              </w:rPr>
              <w:t>Tarwhine (Silver Bream) ..............................</w:t>
            </w:r>
          </w:p>
        </w:tc>
        <w:tc>
          <w:tcPr>
            <w:tcW w:w="1384" w:type="dxa"/>
          </w:tcPr>
          <w:p>
            <w:pPr>
              <w:pStyle w:val="yTableNAm"/>
              <w:spacing w:before="0"/>
              <w:ind w:right="284"/>
              <w:jc w:val="right"/>
            </w:pPr>
            <w:r>
              <w:t>6.00</w:t>
            </w:r>
          </w:p>
        </w:tc>
        <w:tc>
          <w:tcPr>
            <w:tcW w:w="1384" w:type="dxa"/>
          </w:tcPr>
          <w:p>
            <w:pPr>
              <w:pStyle w:val="yTableNAm"/>
              <w:spacing w:before="0"/>
              <w:ind w:right="284"/>
              <w:jc w:val="right"/>
            </w:pPr>
            <w:r>
              <w:t>3.00</w:t>
            </w:r>
          </w:p>
        </w:tc>
      </w:tr>
      <w:tr>
        <w:tc>
          <w:tcPr>
            <w:tcW w:w="4320" w:type="dxa"/>
          </w:tcPr>
          <w:p>
            <w:pPr>
              <w:pStyle w:val="yTableNAm"/>
              <w:spacing w:before="0"/>
              <w:rPr>
                <w:iCs/>
              </w:rPr>
            </w:pPr>
            <w:r>
              <w:rPr>
                <w:iCs/>
              </w:rPr>
              <w:t>Threadfin, Blue .............................................</w:t>
            </w:r>
          </w:p>
        </w:tc>
        <w:tc>
          <w:tcPr>
            <w:tcW w:w="1384" w:type="dxa"/>
          </w:tcPr>
          <w:p>
            <w:pPr>
              <w:pStyle w:val="yTableNAm"/>
              <w:spacing w:before="0"/>
              <w:ind w:right="284"/>
              <w:jc w:val="right"/>
            </w:pPr>
            <w:r>
              <w:t>4.00</w:t>
            </w:r>
          </w:p>
        </w:tc>
        <w:tc>
          <w:tcPr>
            <w:tcW w:w="1384" w:type="dxa"/>
          </w:tcPr>
          <w:p>
            <w:pPr>
              <w:pStyle w:val="yTableNAm"/>
              <w:spacing w:before="0"/>
              <w:ind w:right="284"/>
              <w:jc w:val="right"/>
            </w:pPr>
            <w:r>
              <w:t>12.00</w:t>
            </w:r>
          </w:p>
        </w:tc>
      </w:tr>
      <w:tr>
        <w:tc>
          <w:tcPr>
            <w:tcW w:w="4320" w:type="dxa"/>
          </w:tcPr>
          <w:p>
            <w:pPr>
              <w:pStyle w:val="yTableNAm"/>
              <w:spacing w:before="0"/>
              <w:rPr>
                <w:iCs/>
              </w:rPr>
            </w:pPr>
            <w:r>
              <w:rPr>
                <w:iCs/>
              </w:rPr>
              <w:t>Threadfin, Giant ............................................</w:t>
            </w:r>
          </w:p>
        </w:tc>
        <w:tc>
          <w:tcPr>
            <w:tcW w:w="1384" w:type="dxa"/>
          </w:tcPr>
          <w:p>
            <w:pPr>
              <w:pStyle w:val="yTableNAm"/>
              <w:spacing w:before="0"/>
              <w:ind w:right="284"/>
              <w:jc w:val="right"/>
            </w:pPr>
            <w:r>
              <w:t>11.00</w:t>
            </w:r>
          </w:p>
        </w:tc>
        <w:tc>
          <w:tcPr>
            <w:tcW w:w="1384" w:type="dxa"/>
          </w:tcPr>
          <w:p>
            <w:pPr>
              <w:pStyle w:val="yTableNAm"/>
              <w:spacing w:before="0"/>
              <w:ind w:right="284"/>
              <w:jc w:val="right"/>
            </w:pPr>
            <w:r>
              <w:t>33.00</w:t>
            </w:r>
          </w:p>
        </w:tc>
      </w:tr>
      <w:tr>
        <w:tc>
          <w:tcPr>
            <w:tcW w:w="4320" w:type="dxa"/>
          </w:tcPr>
          <w:p>
            <w:pPr>
              <w:pStyle w:val="yTableNAm"/>
              <w:spacing w:before="0"/>
              <w:rPr>
                <w:iCs/>
              </w:rPr>
            </w:pPr>
            <w:r>
              <w:rPr>
                <w:iCs/>
              </w:rPr>
              <w:t>Trevalla .........................................................</w:t>
            </w:r>
          </w:p>
        </w:tc>
        <w:tc>
          <w:tcPr>
            <w:tcW w:w="1384" w:type="dxa"/>
          </w:tcPr>
          <w:p>
            <w:pPr>
              <w:pStyle w:val="yTableNAm"/>
              <w:spacing w:before="0"/>
              <w:ind w:right="284"/>
              <w:jc w:val="right"/>
            </w:pPr>
            <w:r>
              <w:t>6.00</w:t>
            </w:r>
          </w:p>
        </w:tc>
        <w:tc>
          <w:tcPr>
            <w:tcW w:w="1384" w:type="dxa"/>
          </w:tcPr>
          <w:p>
            <w:pPr>
              <w:pStyle w:val="yTableNAm"/>
              <w:spacing w:before="0"/>
              <w:ind w:right="284"/>
              <w:jc w:val="right"/>
            </w:pPr>
            <w:r>
              <w:t>24.00</w:t>
            </w:r>
          </w:p>
        </w:tc>
      </w:tr>
      <w:tr>
        <w:tc>
          <w:tcPr>
            <w:tcW w:w="4320" w:type="dxa"/>
          </w:tcPr>
          <w:p>
            <w:pPr>
              <w:pStyle w:val="yTableNAm"/>
              <w:spacing w:before="0"/>
              <w:rPr>
                <w:iCs/>
              </w:rPr>
            </w:pPr>
            <w:r>
              <w:rPr>
                <w:iCs/>
              </w:rPr>
              <w:t>Trevally, Giant ..............................................</w:t>
            </w:r>
          </w:p>
        </w:tc>
        <w:tc>
          <w:tcPr>
            <w:tcW w:w="1384" w:type="dxa"/>
          </w:tcPr>
          <w:p>
            <w:pPr>
              <w:pStyle w:val="yTableNAm"/>
              <w:spacing w:before="0"/>
              <w:ind w:right="284"/>
              <w:jc w:val="right"/>
            </w:pPr>
            <w:r>
              <w:t>3.50</w:t>
            </w:r>
          </w:p>
        </w:tc>
        <w:tc>
          <w:tcPr>
            <w:tcW w:w="1384" w:type="dxa"/>
          </w:tcPr>
          <w:p>
            <w:pPr>
              <w:pStyle w:val="yTableNAm"/>
              <w:spacing w:before="0"/>
              <w:ind w:right="284"/>
              <w:jc w:val="right"/>
            </w:pPr>
            <w:r>
              <w:t>8.00</w:t>
            </w:r>
          </w:p>
        </w:tc>
      </w:tr>
      <w:tr>
        <w:tc>
          <w:tcPr>
            <w:tcW w:w="4320" w:type="dxa"/>
          </w:tcPr>
          <w:p>
            <w:pPr>
              <w:pStyle w:val="yTableNAm"/>
              <w:spacing w:before="0"/>
              <w:rPr>
                <w:iCs/>
              </w:rPr>
            </w:pPr>
            <w:r>
              <w:rPr>
                <w:iCs/>
              </w:rPr>
              <w:t>Trevally, Golden ...........................................</w:t>
            </w:r>
          </w:p>
        </w:tc>
        <w:tc>
          <w:tcPr>
            <w:tcW w:w="1384" w:type="dxa"/>
          </w:tcPr>
          <w:p>
            <w:pPr>
              <w:pStyle w:val="yTableNAm"/>
              <w:spacing w:before="0"/>
              <w:ind w:right="284"/>
              <w:jc w:val="right"/>
            </w:pPr>
            <w:r>
              <w:t>3.50</w:t>
            </w:r>
          </w:p>
        </w:tc>
        <w:tc>
          <w:tcPr>
            <w:tcW w:w="1384" w:type="dxa"/>
          </w:tcPr>
          <w:p>
            <w:pPr>
              <w:pStyle w:val="yTableNAm"/>
              <w:spacing w:before="0"/>
              <w:ind w:right="284"/>
              <w:jc w:val="right"/>
            </w:pPr>
            <w:r>
              <w:t>8.00</w:t>
            </w:r>
          </w:p>
        </w:tc>
      </w:tr>
      <w:tr>
        <w:tc>
          <w:tcPr>
            <w:tcW w:w="4320" w:type="dxa"/>
          </w:tcPr>
          <w:p>
            <w:pPr>
              <w:pStyle w:val="yTableNAm"/>
              <w:spacing w:before="0"/>
              <w:rPr>
                <w:iCs/>
              </w:rPr>
            </w:pPr>
            <w:r>
              <w:rPr>
                <w:iCs/>
              </w:rPr>
              <w:t>Trevally, Silver (Skipjack) ............................</w:t>
            </w:r>
          </w:p>
        </w:tc>
        <w:tc>
          <w:tcPr>
            <w:tcW w:w="1384" w:type="dxa"/>
          </w:tcPr>
          <w:p>
            <w:pPr>
              <w:pStyle w:val="yTableNAm"/>
              <w:spacing w:before="0"/>
              <w:ind w:right="284"/>
              <w:jc w:val="right"/>
            </w:pPr>
            <w:r>
              <w:t>3.50</w:t>
            </w:r>
          </w:p>
        </w:tc>
        <w:tc>
          <w:tcPr>
            <w:tcW w:w="1384" w:type="dxa"/>
          </w:tcPr>
          <w:p>
            <w:pPr>
              <w:pStyle w:val="yTableNAm"/>
              <w:spacing w:before="0"/>
              <w:ind w:right="284"/>
              <w:jc w:val="right"/>
            </w:pPr>
            <w:r>
              <w:t>1.00</w:t>
            </w:r>
          </w:p>
        </w:tc>
      </w:tr>
      <w:tr>
        <w:tc>
          <w:tcPr>
            <w:tcW w:w="4320" w:type="dxa"/>
          </w:tcPr>
          <w:p>
            <w:pPr>
              <w:pStyle w:val="yTableNAm"/>
              <w:spacing w:before="0"/>
              <w:rPr>
                <w:iCs/>
              </w:rPr>
            </w:pPr>
            <w:r>
              <w:rPr>
                <w:iCs/>
              </w:rPr>
              <w:t>Trochus ..........................................................</w:t>
            </w:r>
          </w:p>
        </w:tc>
        <w:tc>
          <w:tcPr>
            <w:tcW w:w="1384" w:type="dxa"/>
          </w:tcPr>
          <w:p>
            <w:pPr>
              <w:pStyle w:val="yTableNAm"/>
              <w:spacing w:before="0"/>
              <w:ind w:right="284"/>
              <w:jc w:val="right"/>
            </w:pPr>
            <w:r>
              <w:t>9.50</w:t>
            </w:r>
          </w:p>
        </w:tc>
        <w:tc>
          <w:tcPr>
            <w:tcW w:w="1384" w:type="dxa"/>
          </w:tcPr>
          <w:p>
            <w:pPr>
              <w:pStyle w:val="yTableNAm"/>
              <w:spacing w:before="0"/>
              <w:ind w:right="284"/>
              <w:jc w:val="right"/>
            </w:pPr>
            <w:r>
              <w:t>2.00</w:t>
            </w:r>
          </w:p>
        </w:tc>
      </w:tr>
      <w:tr>
        <w:tc>
          <w:tcPr>
            <w:tcW w:w="4320" w:type="dxa"/>
          </w:tcPr>
          <w:p>
            <w:pPr>
              <w:pStyle w:val="yTableNAm"/>
              <w:spacing w:before="0"/>
              <w:rPr>
                <w:iCs/>
              </w:rPr>
            </w:pPr>
            <w:r>
              <w:rPr>
                <w:iCs/>
              </w:rPr>
              <w:t>Trout, Brown .................................................</w:t>
            </w:r>
          </w:p>
        </w:tc>
        <w:tc>
          <w:tcPr>
            <w:tcW w:w="1384" w:type="dxa"/>
          </w:tcPr>
          <w:p>
            <w:pPr>
              <w:pStyle w:val="yTableNAm"/>
              <w:spacing w:before="0"/>
              <w:ind w:right="284"/>
              <w:jc w:val="right"/>
            </w:pPr>
            <w:r>
              <w:t>7.00</w:t>
            </w:r>
          </w:p>
        </w:tc>
        <w:tc>
          <w:tcPr>
            <w:tcW w:w="1384" w:type="dxa"/>
          </w:tcPr>
          <w:p>
            <w:pPr>
              <w:pStyle w:val="yTableNAm"/>
              <w:spacing w:before="0"/>
              <w:ind w:right="284"/>
              <w:jc w:val="right"/>
            </w:pPr>
            <w:r>
              <w:t>3.00</w:t>
            </w:r>
          </w:p>
        </w:tc>
      </w:tr>
      <w:tr>
        <w:tc>
          <w:tcPr>
            <w:tcW w:w="4320" w:type="dxa"/>
          </w:tcPr>
          <w:p>
            <w:pPr>
              <w:pStyle w:val="yTableNAm"/>
              <w:spacing w:before="0"/>
              <w:rPr>
                <w:iCs/>
              </w:rPr>
            </w:pPr>
            <w:r>
              <w:rPr>
                <w:iCs/>
              </w:rPr>
              <w:t>Trout, Rainbow .............................................</w:t>
            </w:r>
          </w:p>
        </w:tc>
        <w:tc>
          <w:tcPr>
            <w:tcW w:w="1384" w:type="dxa"/>
          </w:tcPr>
          <w:p>
            <w:pPr>
              <w:pStyle w:val="yTableNAm"/>
              <w:spacing w:before="0"/>
              <w:ind w:right="284"/>
              <w:jc w:val="right"/>
            </w:pPr>
            <w:r>
              <w:t>7.00</w:t>
            </w:r>
          </w:p>
        </w:tc>
        <w:tc>
          <w:tcPr>
            <w:tcW w:w="1384" w:type="dxa"/>
          </w:tcPr>
          <w:p>
            <w:pPr>
              <w:pStyle w:val="yTableNAm"/>
              <w:spacing w:before="0"/>
              <w:ind w:right="284"/>
              <w:jc w:val="right"/>
            </w:pPr>
            <w:r>
              <w:t>3.00</w:t>
            </w:r>
          </w:p>
        </w:tc>
      </w:tr>
      <w:tr>
        <w:tc>
          <w:tcPr>
            <w:tcW w:w="4320" w:type="dxa"/>
          </w:tcPr>
          <w:p>
            <w:pPr>
              <w:pStyle w:val="yTableNAm"/>
              <w:spacing w:before="0"/>
              <w:rPr>
                <w:iCs/>
              </w:rPr>
            </w:pPr>
            <w:r>
              <w:rPr>
                <w:iCs/>
              </w:rPr>
              <w:t>Tripletail ........................................................</w:t>
            </w:r>
          </w:p>
        </w:tc>
        <w:tc>
          <w:tcPr>
            <w:tcW w:w="1384" w:type="dxa"/>
          </w:tcPr>
          <w:p>
            <w:pPr>
              <w:pStyle w:val="yTableNAm"/>
              <w:spacing w:before="0"/>
              <w:ind w:right="284"/>
              <w:jc w:val="right"/>
            </w:pPr>
            <w:r>
              <w:t>8.00</w:t>
            </w:r>
          </w:p>
        </w:tc>
        <w:tc>
          <w:tcPr>
            <w:tcW w:w="1384" w:type="dxa"/>
          </w:tcPr>
          <w:p>
            <w:pPr>
              <w:pStyle w:val="yTableNAm"/>
              <w:spacing w:before="0"/>
              <w:ind w:right="284"/>
              <w:jc w:val="right"/>
            </w:pPr>
            <w:r>
              <w:t>20.00</w:t>
            </w:r>
          </w:p>
        </w:tc>
      </w:tr>
      <w:tr>
        <w:tc>
          <w:tcPr>
            <w:tcW w:w="4320" w:type="dxa"/>
          </w:tcPr>
          <w:p>
            <w:pPr>
              <w:pStyle w:val="yTableNAm"/>
              <w:spacing w:before="0"/>
              <w:rPr>
                <w:iCs/>
              </w:rPr>
            </w:pPr>
            <w:r>
              <w:rPr>
                <w:iCs/>
              </w:rPr>
              <w:t>Tuna, Albacore ..............................................</w:t>
            </w:r>
          </w:p>
        </w:tc>
        <w:tc>
          <w:tcPr>
            <w:tcW w:w="1384" w:type="dxa"/>
          </w:tcPr>
          <w:p>
            <w:pPr>
              <w:pStyle w:val="yTableNAm"/>
              <w:spacing w:before="0"/>
              <w:ind w:right="284"/>
              <w:jc w:val="right"/>
            </w:pPr>
            <w:r>
              <w:t>3.50</w:t>
            </w:r>
          </w:p>
        </w:tc>
        <w:tc>
          <w:tcPr>
            <w:tcW w:w="1384" w:type="dxa"/>
          </w:tcPr>
          <w:p>
            <w:pPr>
              <w:pStyle w:val="yTableNAm"/>
              <w:spacing w:before="0"/>
              <w:ind w:right="284"/>
              <w:jc w:val="right"/>
            </w:pPr>
            <w:r>
              <w:t>14.00</w:t>
            </w:r>
          </w:p>
        </w:tc>
      </w:tr>
      <w:tr>
        <w:tc>
          <w:tcPr>
            <w:tcW w:w="4320" w:type="dxa"/>
          </w:tcPr>
          <w:p>
            <w:pPr>
              <w:pStyle w:val="yTableNAm"/>
              <w:spacing w:before="0"/>
              <w:rPr>
                <w:iCs/>
              </w:rPr>
            </w:pPr>
            <w:r>
              <w:rPr>
                <w:iCs/>
              </w:rPr>
              <w:t>Tuna, Bigeye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30.00</w:t>
            </w:r>
          </w:p>
        </w:tc>
      </w:tr>
      <w:tr>
        <w:tc>
          <w:tcPr>
            <w:tcW w:w="4320" w:type="dxa"/>
          </w:tcPr>
          <w:p>
            <w:pPr>
              <w:pStyle w:val="yTableNAm"/>
              <w:spacing w:before="0"/>
              <w:rPr>
                <w:iCs/>
              </w:rPr>
            </w:pPr>
            <w:r>
              <w:rPr>
                <w:iCs/>
              </w:rPr>
              <w:t>Tuna, Dogtooth .............................................</w:t>
            </w:r>
          </w:p>
        </w:tc>
        <w:tc>
          <w:tcPr>
            <w:tcW w:w="1384" w:type="dxa"/>
          </w:tcPr>
          <w:p>
            <w:pPr>
              <w:pStyle w:val="yTableNAm"/>
              <w:spacing w:before="0"/>
              <w:ind w:right="284"/>
              <w:jc w:val="right"/>
            </w:pPr>
            <w:r>
              <w:t>2.00</w:t>
            </w:r>
          </w:p>
        </w:tc>
        <w:tc>
          <w:tcPr>
            <w:tcW w:w="1384" w:type="dxa"/>
          </w:tcPr>
          <w:p>
            <w:pPr>
              <w:pStyle w:val="yTableNAm"/>
              <w:spacing w:before="0"/>
              <w:ind w:right="284"/>
              <w:jc w:val="right"/>
            </w:pPr>
            <w:r>
              <w:t>20.00</w:t>
            </w:r>
          </w:p>
        </w:tc>
      </w:tr>
      <w:tr>
        <w:tc>
          <w:tcPr>
            <w:tcW w:w="4320" w:type="dxa"/>
          </w:tcPr>
          <w:p>
            <w:pPr>
              <w:pStyle w:val="yTableNAm"/>
              <w:spacing w:before="0"/>
              <w:rPr>
                <w:iCs/>
              </w:rPr>
            </w:pPr>
            <w:r>
              <w:rPr>
                <w:iCs/>
              </w:rPr>
              <w:t xml:space="preserve">Tuna, </w:t>
            </w:r>
            <w:smartTag w:uri="urn:schemas-microsoft-com:office:smarttags" w:element="place">
              <w:r>
                <w:rPr>
                  <w:iCs/>
                </w:rPr>
                <w:t>Northern Bluefin</w:t>
              </w:r>
            </w:smartTag>
            <w:r>
              <w:rPr>
                <w:iCs/>
              </w:rPr>
              <w:t xml:space="preserve"> .................................</w:t>
            </w:r>
          </w:p>
        </w:tc>
        <w:tc>
          <w:tcPr>
            <w:tcW w:w="1384" w:type="dxa"/>
          </w:tcPr>
          <w:p>
            <w:pPr>
              <w:pStyle w:val="yTableNAm"/>
              <w:spacing w:before="0"/>
              <w:ind w:right="284"/>
              <w:jc w:val="right"/>
            </w:pPr>
            <w:r>
              <w:t>5.00</w:t>
            </w:r>
          </w:p>
        </w:tc>
        <w:tc>
          <w:tcPr>
            <w:tcW w:w="1384" w:type="dxa"/>
          </w:tcPr>
          <w:p>
            <w:pPr>
              <w:pStyle w:val="yTableNAm"/>
              <w:spacing w:before="0"/>
              <w:ind w:right="284"/>
              <w:jc w:val="right"/>
            </w:pPr>
            <w:r>
              <w:t>25.00</w:t>
            </w:r>
          </w:p>
        </w:tc>
      </w:tr>
      <w:tr>
        <w:tc>
          <w:tcPr>
            <w:tcW w:w="4320" w:type="dxa"/>
          </w:tcPr>
          <w:p>
            <w:pPr>
              <w:pStyle w:val="yTableNAm"/>
              <w:spacing w:before="0"/>
              <w:rPr>
                <w:iCs/>
              </w:rPr>
            </w:pPr>
            <w:r>
              <w:rPr>
                <w:iCs/>
              </w:rPr>
              <w:t>Tuna, Skipjack ..............................................</w:t>
            </w:r>
          </w:p>
        </w:tc>
        <w:tc>
          <w:tcPr>
            <w:tcW w:w="1384" w:type="dxa"/>
          </w:tcPr>
          <w:p>
            <w:pPr>
              <w:pStyle w:val="yTableNAm"/>
              <w:spacing w:before="0"/>
              <w:ind w:right="284"/>
              <w:jc w:val="right"/>
            </w:pPr>
            <w:r>
              <w:t>1.00</w:t>
            </w:r>
          </w:p>
        </w:tc>
        <w:tc>
          <w:tcPr>
            <w:tcW w:w="1384" w:type="dxa"/>
          </w:tcPr>
          <w:p>
            <w:pPr>
              <w:pStyle w:val="yTableNAm"/>
              <w:spacing w:before="0"/>
              <w:ind w:right="284"/>
              <w:jc w:val="right"/>
            </w:pPr>
            <w:r>
              <w:t>3.00</w:t>
            </w:r>
          </w:p>
        </w:tc>
      </w:tr>
      <w:tr>
        <w:tc>
          <w:tcPr>
            <w:tcW w:w="4320" w:type="dxa"/>
          </w:tcPr>
          <w:p>
            <w:pPr>
              <w:pStyle w:val="yTableNAm"/>
              <w:spacing w:before="0"/>
              <w:rPr>
                <w:iCs/>
              </w:rPr>
            </w:pPr>
            <w:r>
              <w:rPr>
                <w:iCs/>
              </w:rPr>
              <w:t xml:space="preserve">Tuna, </w:t>
            </w:r>
            <w:smartTag w:uri="urn:schemas-microsoft-com:office:smarttags" w:element="place">
              <w:r>
                <w:rPr>
                  <w:iCs/>
                </w:rPr>
                <w:t>Southern Bluefin</w:t>
              </w:r>
            </w:smartTag>
            <w:r>
              <w:rPr>
                <w:iCs/>
              </w:rPr>
              <w:t xml:space="preserve"> .................................</w:t>
            </w:r>
          </w:p>
        </w:tc>
        <w:tc>
          <w:tcPr>
            <w:tcW w:w="1384" w:type="dxa"/>
          </w:tcPr>
          <w:p>
            <w:pPr>
              <w:pStyle w:val="yTableNAm"/>
              <w:spacing w:before="0"/>
              <w:ind w:right="284"/>
              <w:jc w:val="right"/>
            </w:pPr>
            <w:r>
              <w:t>9.00</w:t>
            </w:r>
          </w:p>
        </w:tc>
        <w:tc>
          <w:tcPr>
            <w:tcW w:w="1384" w:type="dxa"/>
          </w:tcPr>
          <w:p>
            <w:pPr>
              <w:pStyle w:val="yTableNAm"/>
              <w:spacing w:before="0"/>
              <w:ind w:right="284"/>
              <w:jc w:val="right"/>
            </w:pPr>
            <w:r>
              <w:t>18.00</w:t>
            </w:r>
          </w:p>
        </w:tc>
      </w:tr>
      <w:tr>
        <w:tc>
          <w:tcPr>
            <w:tcW w:w="4320" w:type="dxa"/>
          </w:tcPr>
          <w:p>
            <w:pPr>
              <w:pStyle w:val="yTableNAm"/>
              <w:spacing w:before="0"/>
              <w:rPr>
                <w:iCs/>
              </w:rPr>
            </w:pPr>
            <w:r>
              <w:rPr>
                <w:iCs/>
              </w:rPr>
              <w:t>Tuna, Yellowfin ............................................</w:t>
            </w:r>
          </w:p>
        </w:tc>
        <w:tc>
          <w:tcPr>
            <w:tcW w:w="1384" w:type="dxa"/>
          </w:tcPr>
          <w:p>
            <w:pPr>
              <w:pStyle w:val="yTableNAm"/>
              <w:spacing w:before="0"/>
              <w:ind w:right="284"/>
              <w:jc w:val="right"/>
            </w:pPr>
            <w:r>
              <w:t>9.50</w:t>
            </w:r>
          </w:p>
        </w:tc>
        <w:tc>
          <w:tcPr>
            <w:tcW w:w="1384" w:type="dxa"/>
          </w:tcPr>
          <w:p>
            <w:pPr>
              <w:pStyle w:val="yTableNAm"/>
              <w:spacing w:before="0"/>
              <w:ind w:right="284"/>
              <w:jc w:val="right"/>
            </w:pPr>
            <w:r>
              <w:t>19.00</w:t>
            </w:r>
          </w:p>
        </w:tc>
      </w:tr>
      <w:tr>
        <w:tc>
          <w:tcPr>
            <w:tcW w:w="4320" w:type="dxa"/>
          </w:tcPr>
          <w:p>
            <w:pPr>
              <w:pStyle w:val="yTableNAm"/>
              <w:spacing w:before="0"/>
              <w:rPr>
                <w:iCs/>
              </w:rPr>
            </w:pPr>
            <w:r>
              <w:rPr>
                <w:iCs/>
              </w:rPr>
              <w:t>Tuskfish .........................................................</w:t>
            </w:r>
          </w:p>
        </w:tc>
        <w:tc>
          <w:tcPr>
            <w:tcW w:w="1384" w:type="dxa"/>
          </w:tcPr>
          <w:p>
            <w:pPr>
              <w:pStyle w:val="yTableNAm"/>
              <w:spacing w:before="0"/>
              <w:ind w:right="284"/>
              <w:jc w:val="right"/>
            </w:pPr>
            <w:r>
              <w:t>6.00</w:t>
            </w:r>
          </w:p>
        </w:tc>
        <w:tc>
          <w:tcPr>
            <w:tcW w:w="1384" w:type="dxa"/>
          </w:tcPr>
          <w:p>
            <w:pPr>
              <w:pStyle w:val="yTableNAm"/>
              <w:spacing w:before="0"/>
              <w:ind w:right="284"/>
              <w:jc w:val="right"/>
            </w:pPr>
            <w:r>
              <w:t>18.00</w:t>
            </w:r>
          </w:p>
        </w:tc>
      </w:tr>
      <w:tr>
        <w:tc>
          <w:tcPr>
            <w:tcW w:w="4320" w:type="dxa"/>
          </w:tcPr>
          <w:p>
            <w:pPr>
              <w:pStyle w:val="yTableNAm"/>
              <w:spacing w:before="0"/>
              <w:rPr>
                <w:iCs/>
              </w:rPr>
            </w:pPr>
            <w:r>
              <w:t>Weedy Seadragon ..........................................</w:t>
            </w:r>
          </w:p>
        </w:tc>
        <w:tc>
          <w:tcPr>
            <w:tcW w:w="1384" w:type="dxa"/>
          </w:tcPr>
          <w:p>
            <w:pPr>
              <w:pStyle w:val="yTableNAm"/>
              <w:spacing w:before="0"/>
              <w:ind w:right="284"/>
              <w:jc w:val="right"/>
            </w:pPr>
            <w:r>
              <w:noBreakHyphen/>
            </w:r>
          </w:p>
        </w:tc>
        <w:tc>
          <w:tcPr>
            <w:tcW w:w="1384" w:type="dxa"/>
          </w:tcPr>
          <w:p>
            <w:pPr>
              <w:pStyle w:val="yTableNAm"/>
              <w:spacing w:before="0"/>
              <w:ind w:right="284"/>
              <w:jc w:val="right"/>
            </w:pPr>
            <w:r>
              <w:t>100.00</w:t>
            </w:r>
          </w:p>
        </w:tc>
      </w:tr>
      <w:tr>
        <w:tc>
          <w:tcPr>
            <w:tcW w:w="4320" w:type="dxa"/>
          </w:tcPr>
          <w:p>
            <w:pPr>
              <w:pStyle w:val="yTableNAm"/>
              <w:spacing w:before="0"/>
            </w:pPr>
            <w:r>
              <w:t>Whiting, King George (Spotted) ...................</w:t>
            </w:r>
          </w:p>
        </w:tc>
        <w:tc>
          <w:tcPr>
            <w:tcW w:w="1384" w:type="dxa"/>
          </w:tcPr>
          <w:p>
            <w:pPr>
              <w:pStyle w:val="yTableNAm"/>
              <w:spacing w:before="0"/>
              <w:ind w:right="284"/>
              <w:jc w:val="right"/>
            </w:pPr>
            <w:r>
              <w:t>20.00</w:t>
            </w:r>
          </w:p>
        </w:tc>
        <w:tc>
          <w:tcPr>
            <w:tcW w:w="1384" w:type="dxa"/>
          </w:tcPr>
          <w:p>
            <w:pPr>
              <w:pStyle w:val="yTableNAm"/>
              <w:spacing w:before="0"/>
              <w:ind w:right="284"/>
              <w:jc w:val="right"/>
            </w:pPr>
            <w:r>
              <w:t>8.00</w:t>
            </w:r>
          </w:p>
        </w:tc>
      </w:tr>
      <w:tr>
        <w:tc>
          <w:tcPr>
            <w:tcW w:w="4320" w:type="dxa"/>
          </w:tcPr>
          <w:p>
            <w:pPr>
              <w:pStyle w:val="yTableNAm"/>
              <w:spacing w:before="0"/>
              <w:rPr>
                <w:iCs/>
              </w:rPr>
            </w:pPr>
            <w:r>
              <w:rPr>
                <w:iCs/>
              </w:rPr>
              <w:t>Whiting, Yellow</w:t>
            </w:r>
            <w:r>
              <w:rPr>
                <w:iCs/>
              </w:rPr>
              <w:noBreakHyphen/>
              <w:t>finned</w:t>
            </w:r>
            <w:r>
              <w:t xml:space="preserve"> ................................</w:t>
            </w:r>
          </w:p>
        </w:tc>
        <w:tc>
          <w:tcPr>
            <w:tcW w:w="1384" w:type="dxa"/>
          </w:tcPr>
          <w:p>
            <w:pPr>
              <w:pStyle w:val="yTableNAm"/>
              <w:spacing w:before="0"/>
              <w:ind w:right="284"/>
              <w:jc w:val="right"/>
            </w:pPr>
            <w:r>
              <w:t>6.00</w:t>
            </w:r>
          </w:p>
        </w:tc>
        <w:tc>
          <w:tcPr>
            <w:tcW w:w="1384" w:type="dxa"/>
          </w:tcPr>
          <w:p>
            <w:pPr>
              <w:pStyle w:val="yTableNAm"/>
              <w:spacing w:before="0"/>
              <w:ind w:right="284"/>
              <w:jc w:val="right"/>
            </w:pPr>
            <w:r>
              <w:t>1.50</w:t>
            </w:r>
          </w:p>
        </w:tc>
      </w:tr>
      <w:tr>
        <w:tc>
          <w:tcPr>
            <w:tcW w:w="4320" w:type="dxa"/>
          </w:tcPr>
          <w:p>
            <w:pPr>
              <w:pStyle w:val="yTableNAm"/>
              <w:spacing w:before="0"/>
              <w:rPr>
                <w:iCs/>
              </w:rPr>
            </w:pPr>
            <w:r>
              <w:rPr>
                <w:iCs/>
              </w:rPr>
              <w:t>Whiting (other)</w:t>
            </w:r>
            <w:r>
              <w:t xml:space="preserve"> ..............................................</w:t>
            </w:r>
          </w:p>
        </w:tc>
        <w:tc>
          <w:tcPr>
            <w:tcW w:w="1384" w:type="dxa"/>
          </w:tcPr>
          <w:p>
            <w:pPr>
              <w:pStyle w:val="yTableNAm"/>
              <w:spacing w:before="0"/>
              <w:ind w:right="284"/>
              <w:jc w:val="right"/>
            </w:pPr>
            <w:r>
              <w:t>6.50</w:t>
            </w:r>
          </w:p>
        </w:tc>
        <w:tc>
          <w:tcPr>
            <w:tcW w:w="1384" w:type="dxa"/>
          </w:tcPr>
          <w:p>
            <w:pPr>
              <w:pStyle w:val="yTableNAm"/>
              <w:spacing w:before="0"/>
              <w:ind w:right="284"/>
              <w:jc w:val="right"/>
            </w:pPr>
            <w:r>
              <w:t>1.70</w:t>
            </w:r>
          </w:p>
        </w:tc>
      </w:tr>
      <w:tr>
        <w:tc>
          <w:tcPr>
            <w:tcW w:w="4320" w:type="dxa"/>
          </w:tcPr>
          <w:p>
            <w:pPr>
              <w:pStyle w:val="yTableNAm"/>
              <w:spacing w:before="0"/>
              <w:rPr>
                <w:iCs/>
              </w:rPr>
            </w:pPr>
            <w:r>
              <w:rPr>
                <w:iCs/>
              </w:rPr>
              <w:t xml:space="preserve">Wrasse, Brown spot </w:t>
            </w:r>
            <w:r>
              <w:t>......................................</w:t>
            </w:r>
          </w:p>
        </w:tc>
        <w:tc>
          <w:tcPr>
            <w:tcW w:w="1384" w:type="dxa"/>
          </w:tcPr>
          <w:p>
            <w:pPr>
              <w:pStyle w:val="yTableNAm"/>
              <w:spacing w:before="0"/>
              <w:ind w:right="284"/>
              <w:jc w:val="right"/>
            </w:pPr>
            <w:r>
              <w:t>5.00</w:t>
            </w:r>
          </w:p>
        </w:tc>
        <w:tc>
          <w:tcPr>
            <w:tcW w:w="1384" w:type="dxa"/>
          </w:tcPr>
          <w:p>
            <w:pPr>
              <w:pStyle w:val="yTableNAm"/>
              <w:spacing w:before="0"/>
              <w:ind w:right="284"/>
              <w:jc w:val="right"/>
            </w:pPr>
            <w:r>
              <w:t>2.00</w:t>
            </w:r>
          </w:p>
        </w:tc>
      </w:tr>
      <w:tr>
        <w:tc>
          <w:tcPr>
            <w:tcW w:w="4320" w:type="dxa"/>
          </w:tcPr>
          <w:p>
            <w:pPr>
              <w:pStyle w:val="yTableNAm"/>
              <w:spacing w:before="0"/>
              <w:rPr>
                <w:iCs/>
              </w:rPr>
            </w:pPr>
            <w:r>
              <w:rPr>
                <w:iCs/>
              </w:rPr>
              <w:t>Wrasse, Humphead Maori .............................</w:t>
            </w:r>
          </w:p>
        </w:tc>
        <w:tc>
          <w:tcPr>
            <w:tcW w:w="1384" w:type="dxa"/>
          </w:tcPr>
          <w:p>
            <w:pPr>
              <w:pStyle w:val="yTableNAm"/>
              <w:spacing w:before="0"/>
              <w:ind w:right="284"/>
              <w:jc w:val="right"/>
            </w:pPr>
            <w:r>
              <w:t>25.00</w:t>
            </w:r>
          </w:p>
        </w:tc>
        <w:tc>
          <w:tcPr>
            <w:tcW w:w="1384" w:type="dxa"/>
          </w:tcPr>
          <w:p>
            <w:pPr>
              <w:pStyle w:val="yTableNAm"/>
              <w:spacing w:before="0"/>
              <w:ind w:right="284"/>
              <w:jc w:val="right"/>
            </w:pPr>
            <w:r>
              <w:t>100.00</w:t>
            </w:r>
          </w:p>
        </w:tc>
      </w:tr>
      <w:tr>
        <w:tc>
          <w:tcPr>
            <w:tcW w:w="4320" w:type="dxa"/>
          </w:tcPr>
          <w:p>
            <w:pPr>
              <w:pStyle w:val="yTableNAm"/>
              <w:spacing w:before="0"/>
              <w:rPr>
                <w:iCs/>
              </w:rPr>
            </w:pPr>
            <w:r>
              <w:rPr>
                <w:iCs/>
              </w:rPr>
              <w:t xml:space="preserve">Wrasse, King </w:t>
            </w:r>
            <w:r>
              <w:t>.................................................</w:t>
            </w:r>
          </w:p>
        </w:tc>
        <w:tc>
          <w:tcPr>
            <w:tcW w:w="1384" w:type="dxa"/>
          </w:tcPr>
          <w:p>
            <w:pPr>
              <w:pStyle w:val="yTableNAm"/>
              <w:spacing w:before="0"/>
              <w:ind w:right="284"/>
              <w:jc w:val="right"/>
            </w:pPr>
            <w:r>
              <w:t>3.00</w:t>
            </w:r>
          </w:p>
        </w:tc>
        <w:tc>
          <w:tcPr>
            <w:tcW w:w="1384" w:type="dxa"/>
          </w:tcPr>
          <w:p>
            <w:pPr>
              <w:pStyle w:val="yTableNAm"/>
              <w:spacing w:before="0"/>
              <w:ind w:right="284"/>
              <w:jc w:val="right"/>
            </w:pPr>
            <w:r>
              <w:t>2.00</w:t>
            </w:r>
          </w:p>
        </w:tc>
      </w:tr>
      <w:tr>
        <w:tc>
          <w:tcPr>
            <w:tcW w:w="4320" w:type="dxa"/>
          </w:tcPr>
          <w:p>
            <w:pPr>
              <w:pStyle w:val="yTableNAm"/>
              <w:spacing w:before="0"/>
              <w:rPr>
                <w:iCs/>
              </w:rPr>
            </w:pPr>
            <w:r>
              <w:rPr>
                <w:iCs/>
              </w:rPr>
              <w:t xml:space="preserve">Yabbie </w:t>
            </w:r>
            <w:r>
              <w:t>...........................................................</w:t>
            </w:r>
          </w:p>
        </w:tc>
        <w:tc>
          <w:tcPr>
            <w:tcW w:w="1384" w:type="dxa"/>
          </w:tcPr>
          <w:p>
            <w:pPr>
              <w:pStyle w:val="yTableNAm"/>
              <w:spacing w:before="0"/>
              <w:ind w:right="284"/>
              <w:jc w:val="right"/>
            </w:pPr>
            <w:r>
              <w:t>12.00</w:t>
            </w:r>
          </w:p>
        </w:tc>
        <w:tc>
          <w:tcPr>
            <w:tcW w:w="1384" w:type="dxa"/>
          </w:tcPr>
          <w:p>
            <w:pPr>
              <w:pStyle w:val="yTableNAm"/>
              <w:spacing w:before="0"/>
              <w:ind w:right="284"/>
              <w:jc w:val="right"/>
            </w:pPr>
            <w:r>
              <w:t>2.00</w:t>
            </w:r>
          </w:p>
        </w:tc>
      </w:tr>
      <w:tr>
        <w:tc>
          <w:tcPr>
            <w:tcW w:w="4320" w:type="dxa"/>
          </w:tcPr>
          <w:p>
            <w:pPr>
              <w:pStyle w:val="yTableNAm"/>
              <w:spacing w:before="0"/>
              <w:rPr>
                <w:iCs/>
              </w:rPr>
            </w:pPr>
            <w:r>
              <w:rPr>
                <w:iCs/>
              </w:rPr>
              <w:t xml:space="preserve">Zoila Cowry </w:t>
            </w:r>
            <w:r>
              <w:t>..................................................</w:t>
            </w:r>
          </w:p>
        </w:tc>
        <w:tc>
          <w:tcPr>
            <w:tcW w:w="1384" w:type="dxa"/>
          </w:tcPr>
          <w:p>
            <w:pPr>
              <w:pStyle w:val="yTableNAm"/>
              <w:spacing w:before="0"/>
              <w:ind w:right="284"/>
              <w:jc w:val="right"/>
            </w:pPr>
            <w:r>
              <w:noBreakHyphen/>
            </w:r>
          </w:p>
        </w:tc>
        <w:tc>
          <w:tcPr>
            <w:tcW w:w="1384" w:type="dxa"/>
          </w:tcPr>
          <w:p>
            <w:pPr>
              <w:pStyle w:val="yTableNAm"/>
              <w:spacing w:before="0"/>
              <w:ind w:right="284"/>
              <w:jc w:val="right"/>
            </w:pPr>
            <w:r>
              <w:t>50.00</w:t>
            </w:r>
          </w:p>
        </w:tc>
      </w:tr>
      <w:tr>
        <w:tc>
          <w:tcPr>
            <w:tcW w:w="4320" w:type="dxa"/>
            <w:tcBorders>
              <w:bottom w:val="single" w:sz="8" w:space="0" w:color="auto"/>
            </w:tcBorders>
          </w:tcPr>
          <w:p>
            <w:pPr>
              <w:pStyle w:val="yTableNAm"/>
              <w:spacing w:before="0"/>
            </w:pPr>
            <w:r>
              <w:t xml:space="preserve">All fish not otherwise listed in this Schedule </w:t>
            </w:r>
          </w:p>
        </w:tc>
        <w:tc>
          <w:tcPr>
            <w:tcW w:w="1384" w:type="dxa"/>
            <w:tcBorders>
              <w:bottom w:val="single" w:sz="8" w:space="0" w:color="auto"/>
            </w:tcBorders>
          </w:tcPr>
          <w:p>
            <w:pPr>
              <w:pStyle w:val="yTableNAm"/>
              <w:spacing w:before="0"/>
              <w:ind w:right="284"/>
              <w:jc w:val="right"/>
            </w:pPr>
            <w:r>
              <w:t>1.00</w:t>
            </w:r>
          </w:p>
        </w:tc>
        <w:tc>
          <w:tcPr>
            <w:tcW w:w="1384" w:type="dxa"/>
            <w:tcBorders>
              <w:bottom w:val="single" w:sz="8" w:space="0" w:color="auto"/>
            </w:tcBorders>
          </w:tcPr>
          <w:p>
            <w:pPr>
              <w:pStyle w:val="yTableNAm"/>
              <w:spacing w:before="0"/>
              <w:ind w:right="284"/>
              <w:jc w:val="right"/>
            </w:pPr>
            <w:r>
              <w:t>1.00</w:t>
            </w:r>
          </w:p>
        </w:tc>
      </w:tr>
    </w:tbl>
    <w:p>
      <w:pPr>
        <w:pStyle w:val="yFootnotesection"/>
      </w:pPr>
      <w:r>
        <w:tab/>
        <w:t>[Schedule 9 inserted in Gazette 29 Sep 2009 p. 3875</w:t>
      </w:r>
      <w:r>
        <w:noBreakHyphen/>
        <w:t>82; amended in Gazette 1 Mar 2011 p. 675; 24 Aug 2011 p. 3409.]</w:t>
      </w:r>
    </w:p>
    <w:p>
      <w:pPr>
        <w:pStyle w:val="yScheduleHeading"/>
      </w:pPr>
      <w:bookmarkStart w:id="10160" w:name="_Toc243295686"/>
      <w:bookmarkStart w:id="10161" w:name="_Toc245113259"/>
      <w:bookmarkStart w:id="10162" w:name="_Toc245198421"/>
      <w:bookmarkStart w:id="10163" w:name="_Toc245198870"/>
      <w:bookmarkStart w:id="10164" w:name="_Toc245199319"/>
      <w:bookmarkStart w:id="10165" w:name="_Toc248122351"/>
      <w:bookmarkStart w:id="10166" w:name="_Toc248122802"/>
      <w:bookmarkStart w:id="10167" w:name="_Toc253670789"/>
      <w:bookmarkStart w:id="10168" w:name="_Toc253671239"/>
      <w:bookmarkStart w:id="10169" w:name="_Toc254943013"/>
      <w:bookmarkStart w:id="10170" w:name="_Toc254943466"/>
      <w:bookmarkStart w:id="10171" w:name="_Toc255476058"/>
      <w:bookmarkStart w:id="10172" w:name="_Toc256432379"/>
      <w:bookmarkStart w:id="10173" w:name="_Toc257720716"/>
      <w:bookmarkStart w:id="10174" w:name="_Toc257722398"/>
      <w:bookmarkStart w:id="10175" w:name="_Toc258336074"/>
      <w:bookmarkStart w:id="10176" w:name="_Toc260406516"/>
      <w:bookmarkStart w:id="10177" w:name="_Toc261271702"/>
      <w:bookmarkStart w:id="10178" w:name="_Toc262808384"/>
      <w:bookmarkStart w:id="10179" w:name="_Toc267572776"/>
      <w:bookmarkStart w:id="10180" w:name="_Toc270684525"/>
      <w:bookmarkStart w:id="10181" w:name="_Toc274214702"/>
      <w:bookmarkStart w:id="10182" w:name="_Toc274215151"/>
      <w:bookmarkStart w:id="10183" w:name="_Toc278976482"/>
      <w:bookmarkStart w:id="10184" w:name="_Toc286760803"/>
      <w:bookmarkStart w:id="10185" w:name="_Toc289081148"/>
      <w:bookmarkStart w:id="10186" w:name="_Toc290284342"/>
      <w:bookmarkStart w:id="10187" w:name="_Toc290643163"/>
      <w:bookmarkStart w:id="10188" w:name="_Toc290643612"/>
      <w:bookmarkStart w:id="10189" w:name="_Toc290644065"/>
      <w:bookmarkStart w:id="10190" w:name="_Toc294701882"/>
      <w:bookmarkStart w:id="10191" w:name="_Toc295200290"/>
      <w:bookmarkStart w:id="10192" w:name="_Toc296954731"/>
      <w:bookmarkStart w:id="10193" w:name="_Toc297276366"/>
      <w:bookmarkStart w:id="10194" w:name="_Toc297276818"/>
      <w:bookmarkStart w:id="10195" w:name="_Toc297277268"/>
      <w:bookmarkStart w:id="10196" w:name="_Toc297726637"/>
      <w:bookmarkStart w:id="10197" w:name="_Toc299980423"/>
      <w:bookmarkStart w:id="10198" w:name="_Toc300235049"/>
      <w:bookmarkStart w:id="10199" w:name="_Toc301961552"/>
      <w:bookmarkStart w:id="10200" w:name="_Toc301967122"/>
      <w:bookmarkStart w:id="10201" w:name="_Toc303253331"/>
      <w:bookmarkStart w:id="10202" w:name="_Toc303257495"/>
      <w:bookmarkStart w:id="10203" w:name="_Toc307993128"/>
      <w:bookmarkStart w:id="10204" w:name="_Toc309030161"/>
      <w:bookmarkStart w:id="10205" w:name="_Toc309304384"/>
      <w:bookmarkStart w:id="10206" w:name="_Toc309309661"/>
      <w:r>
        <w:rPr>
          <w:rStyle w:val="CharSchNo"/>
        </w:rPr>
        <w:t>Schedule 10</w:t>
      </w:r>
      <w:bookmarkEnd w:id="10138"/>
      <w:bookmarkEnd w:id="10139"/>
      <w:bookmarkEnd w:id="10140"/>
      <w:bookmarkEnd w:id="10141"/>
      <w:bookmarkEnd w:id="10142"/>
      <w:bookmarkEnd w:id="10143"/>
      <w:bookmarkEnd w:id="10144"/>
      <w:bookmarkEnd w:id="10145"/>
      <w:bookmarkEnd w:id="10146"/>
      <w:bookmarkEnd w:id="10147"/>
      <w:bookmarkEnd w:id="10148"/>
      <w:bookmarkEnd w:id="10149"/>
      <w:bookmarkEnd w:id="10150"/>
      <w:bookmarkEnd w:id="10151"/>
      <w:bookmarkEnd w:id="10152"/>
      <w:bookmarkEnd w:id="10153"/>
      <w:bookmarkEnd w:id="10154"/>
      <w:bookmarkEnd w:id="10155"/>
      <w:bookmarkEnd w:id="10156"/>
      <w:bookmarkEnd w:id="10157"/>
      <w:bookmarkEnd w:id="10158"/>
      <w:bookmarkEnd w:id="10159"/>
      <w:bookmarkEnd w:id="10160"/>
      <w:bookmarkEnd w:id="10161"/>
      <w:bookmarkEnd w:id="10162"/>
      <w:bookmarkEnd w:id="10163"/>
      <w:bookmarkEnd w:id="10164"/>
      <w:bookmarkEnd w:id="10165"/>
      <w:bookmarkEnd w:id="10166"/>
      <w:bookmarkEnd w:id="10167"/>
      <w:bookmarkEnd w:id="10168"/>
      <w:bookmarkEnd w:id="10169"/>
      <w:bookmarkEnd w:id="10170"/>
      <w:bookmarkEnd w:id="10171"/>
      <w:bookmarkEnd w:id="10172"/>
      <w:bookmarkEnd w:id="10173"/>
      <w:bookmarkEnd w:id="10174"/>
      <w:bookmarkEnd w:id="10175"/>
      <w:bookmarkEnd w:id="10176"/>
      <w:bookmarkEnd w:id="10177"/>
      <w:bookmarkEnd w:id="10178"/>
      <w:bookmarkEnd w:id="10179"/>
      <w:bookmarkEnd w:id="10180"/>
      <w:bookmarkEnd w:id="10181"/>
      <w:bookmarkEnd w:id="10182"/>
      <w:bookmarkEnd w:id="10183"/>
      <w:bookmarkEnd w:id="10184"/>
      <w:bookmarkEnd w:id="10185"/>
      <w:bookmarkEnd w:id="10186"/>
      <w:bookmarkEnd w:id="10187"/>
      <w:bookmarkEnd w:id="10188"/>
      <w:bookmarkEnd w:id="10189"/>
      <w:bookmarkEnd w:id="10190"/>
      <w:bookmarkEnd w:id="10191"/>
      <w:bookmarkEnd w:id="10192"/>
      <w:bookmarkEnd w:id="10193"/>
      <w:bookmarkEnd w:id="10194"/>
      <w:bookmarkEnd w:id="10195"/>
      <w:bookmarkEnd w:id="10196"/>
      <w:bookmarkEnd w:id="10197"/>
      <w:bookmarkEnd w:id="10198"/>
      <w:bookmarkEnd w:id="10199"/>
      <w:bookmarkEnd w:id="10200"/>
      <w:bookmarkEnd w:id="10201"/>
      <w:bookmarkEnd w:id="10202"/>
      <w:bookmarkEnd w:id="10203"/>
      <w:bookmarkEnd w:id="10204"/>
      <w:bookmarkEnd w:id="10205"/>
      <w:bookmarkEnd w:id="10206"/>
    </w:p>
    <w:p>
      <w:pPr>
        <w:pStyle w:val="yShoulderClause"/>
        <w:rPr>
          <w:snapToGrid w:val="0"/>
        </w:rPr>
      </w:pPr>
      <w:r>
        <w:rPr>
          <w:snapToGrid w:val="0"/>
        </w:rPr>
        <w:t>[reg. 176]</w:t>
      </w:r>
    </w:p>
    <w:p>
      <w:pPr>
        <w:pStyle w:val="yHeading2"/>
      </w:pPr>
      <w:bookmarkStart w:id="10207" w:name="_Toc189988224"/>
      <w:bookmarkStart w:id="10208" w:name="_Toc192041807"/>
      <w:bookmarkStart w:id="10209" w:name="_Toc199571041"/>
      <w:bookmarkStart w:id="10210" w:name="_Toc199739040"/>
      <w:bookmarkStart w:id="10211" w:name="_Toc199815141"/>
      <w:bookmarkStart w:id="10212" w:name="_Toc215040948"/>
      <w:bookmarkStart w:id="10213" w:name="_Toc215041393"/>
      <w:bookmarkStart w:id="10214" w:name="_Toc222129601"/>
      <w:bookmarkStart w:id="10215" w:name="_Toc222223306"/>
      <w:bookmarkStart w:id="10216" w:name="_Toc225914558"/>
      <w:bookmarkStart w:id="10217" w:name="_Toc231282603"/>
      <w:bookmarkStart w:id="10218" w:name="_Toc231283047"/>
      <w:bookmarkStart w:id="10219" w:name="_Toc234899637"/>
      <w:bookmarkStart w:id="10220" w:name="_Toc236632920"/>
      <w:bookmarkStart w:id="10221" w:name="_Toc236720533"/>
      <w:bookmarkStart w:id="10222" w:name="_Toc237764732"/>
      <w:bookmarkStart w:id="10223" w:name="_Toc238356356"/>
      <w:bookmarkStart w:id="10224" w:name="_Toc238369061"/>
      <w:bookmarkStart w:id="10225" w:name="_Toc238376014"/>
      <w:bookmarkStart w:id="10226" w:name="_Toc240339338"/>
      <w:bookmarkStart w:id="10227" w:name="_Toc241993844"/>
      <w:bookmarkStart w:id="10228" w:name="_Toc243192987"/>
      <w:bookmarkStart w:id="10229" w:name="_Toc243295687"/>
      <w:bookmarkStart w:id="10230" w:name="_Toc245113260"/>
      <w:bookmarkStart w:id="10231" w:name="_Toc245198422"/>
      <w:bookmarkStart w:id="10232" w:name="_Toc245198871"/>
      <w:bookmarkStart w:id="10233" w:name="_Toc245199320"/>
      <w:bookmarkStart w:id="10234" w:name="_Toc248122352"/>
      <w:bookmarkStart w:id="10235" w:name="_Toc248122803"/>
      <w:bookmarkStart w:id="10236" w:name="_Toc253670790"/>
      <w:bookmarkStart w:id="10237" w:name="_Toc253671240"/>
      <w:bookmarkStart w:id="10238" w:name="_Toc254943014"/>
      <w:bookmarkStart w:id="10239" w:name="_Toc254943467"/>
      <w:bookmarkStart w:id="10240" w:name="_Toc255476059"/>
      <w:bookmarkStart w:id="10241" w:name="_Toc256432380"/>
      <w:bookmarkStart w:id="10242" w:name="_Toc257720717"/>
      <w:bookmarkStart w:id="10243" w:name="_Toc257722399"/>
      <w:bookmarkStart w:id="10244" w:name="_Toc258336075"/>
      <w:bookmarkStart w:id="10245" w:name="_Toc260406517"/>
      <w:bookmarkStart w:id="10246" w:name="_Toc261271703"/>
      <w:bookmarkStart w:id="10247" w:name="_Toc262808385"/>
      <w:bookmarkStart w:id="10248" w:name="_Toc267572777"/>
      <w:bookmarkStart w:id="10249" w:name="_Toc270684526"/>
      <w:bookmarkStart w:id="10250" w:name="_Toc274214703"/>
      <w:bookmarkStart w:id="10251" w:name="_Toc274215152"/>
      <w:bookmarkStart w:id="10252" w:name="_Toc278976483"/>
      <w:bookmarkStart w:id="10253" w:name="_Toc286760804"/>
      <w:bookmarkStart w:id="10254" w:name="_Toc289081149"/>
      <w:bookmarkStart w:id="10255" w:name="_Toc290284343"/>
      <w:bookmarkStart w:id="10256" w:name="_Toc290643164"/>
      <w:bookmarkStart w:id="10257" w:name="_Toc290643613"/>
      <w:bookmarkStart w:id="10258" w:name="_Toc290644066"/>
      <w:bookmarkStart w:id="10259" w:name="_Toc294701883"/>
      <w:bookmarkStart w:id="10260" w:name="_Toc295200291"/>
      <w:bookmarkStart w:id="10261" w:name="_Toc296954732"/>
      <w:bookmarkStart w:id="10262" w:name="_Toc297276367"/>
      <w:bookmarkStart w:id="10263" w:name="_Toc297276819"/>
      <w:bookmarkStart w:id="10264" w:name="_Toc297277269"/>
      <w:bookmarkStart w:id="10265" w:name="_Toc297726638"/>
      <w:bookmarkStart w:id="10266" w:name="_Toc299980424"/>
      <w:bookmarkStart w:id="10267" w:name="_Toc300235050"/>
      <w:bookmarkStart w:id="10268" w:name="_Toc301961553"/>
      <w:bookmarkStart w:id="10269" w:name="_Toc301967123"/>
      <w:bookmarkStart w:id="10270" w:name="_Toc303253332"/>
      <w:bookmarkStart w:id="10271" w:name="_Toc303257496"/>
      <w:bookmarkStart w:id="10272" w:name="_Toc307993129"/>
      <w:bookmarkStart w:id="10273" w:name="_Toc309030162"/>
      <w:bookmarkStart w:id="10274" w:name="_Toc309304385"/>
      <w:bookmarkStart w:id="10275" w:name="_Toc309309662"/>
      <w:r>
        <w:rPr>
          <w:rStyle w:val="CharSchText"/>
        </w:rPr>
        <w:t>Non</w:t>
      </w:r>
      <w:r>
        <w:rPr>
          <w:rStyle w:val="CharSchText"/>
        </w:rPr>
        <w:noBreakHyphen/>
        <w:t>endemic species of fish permitted to be brought into the State</w:t>
      </w:r>
      <w:bookmarkEnd w:id="10207"/>
      <w:bookmarkEnd w:id="10208"/>
      <w:bookmarkEnd w:id="10209"/>
      <w:bookmarkEnd w:id="10210"/>
      <w:bookmarkEnd w:id="10211"/>
      <w:bookmarkEnd w:id="10212"/>
      <w:bookmarkEnd w:id="10213"/>
      <w:bookmarkEnd w:id="10214"/>
      <w:bookmarkEnd w:id="10215"/>
      <w:bookmarkEnd w:id="10216"/>
      <w:bookmarkEnd w:id="10217"/>
      <w:bookmarkEnd w:id="10218"/>
      <w:bookmarkEnd w:id="10219"/>
      <w:bookmarkEnd w:id="10220"/>
      <w:bookmarkEnd w:id="10221"/>
      <w:bookmarkEnd w:id="10222"/>
      <w:bookmarkEnd w:id="10223"/>
      <w:bookmarkEnd w:id="10224"/>
      <w:bookmarkEnd w:id="10225"/>
      <w:bookmarkEnd w:id="10226"/>
      <w:bookmarkEnd w:id="10227"/>
      <w:bookmarkEnd w:id="10228"/>
      <w:bookmarkEnd w:id="10229"/>
      <w:bookmarkEnd w:id="10230"/>
      <w:bookmarkEnd w:id="10231"/>
      <w:bookmarkEnd w:id="10232"/>
      <w:bookmarkEnd w:id="10233"/>
      <w:bookmarkEnd w:id="10234"/>
      <w:bookmarkEnd w:id="10235"/>
      <w:bookmarkEnd w:id="10236"/>
      <w:bookmarkEnd w:id="10237"/>
      <w:bookmarkEnd w:id="10238"/>
      <w:bookmarkEnd w:id="10239"/>
      <w:bookmarkEnd w:id="10240"/>
      <w:bookmarkEnd w:id="10241"/>
      <w:bookmarkEnd w:id="10242"/>
      <w:bookmarkEnd w:id="10243"/>
      <w:bookmarkEnd w:id="10244"/>
      <w:bookmarkEnd w:id="10245"/>
      <w:bookmarkEnd w:id="10246"/>
      <w:bookmarkEnd w:id="10247"/>
      <w:bookmarkEnd w:id="10248"/>
      <w:bookmarkEnd w:id="10249"/>
      <w:bookmarkEnd w:id="10250"/>
      <w:bookmarkEnd w:id="10251"/>
      <w:bookmarkEnd w:id="10252"/>
      <w:bookmarkEnd w:id="10253"/>
      <w:bookmarkEnd w:id="10254"/>
      <w:bookmarkEnd w:id="10255"/>
      <w:bookmarkEnd w:id="10256"/>
      <w:bookmarkEnd w:id="10257"/>
      <w:bookmarkEnd w:id="10258"/>
      <w:bookmarkEnd w:id="10259"/>
      <w:bookmarkEnd w:id="10260"/>
      <w:bookmarkEnd w:id="10261"/>
      <w:bookmarkEnd w:id="10262"/>
      <w:bookmarkEnd w:id="10263"/>
      <w:bookmarkEnd w:id="10264"/>
      <w:bookmarkEnd w:id="10265"/>
      <w:bookmarkEnd w:id="10266"/>
      <w:bookmarkEnd w:id="10267"/>
      <w:bookmarkEnd w:id="10268"/>
      <w:bookmarkEnd w:id="10269"/>
      <w:bookmarkEnd w:id="10270"/>
      <w:bookmarkEnd w:id="10271"/>
      <w:bookmarkEnd w:id="10272"/>
      <w:bookmarkEnd w:id="10273"/>
      <w:bookmarkEnd w:id="10274"/>
      <w:bookmarkEnd w:id="10275"/>
    </w:p>
    <w:p>
      <w:pPr>
        <w:pStyle w:val="yHeading2"/>
      </w:pPr>
      <w:bookmarkStart w:id="10276" w:name="_Toc189988225"/>
      <w:bookmarkStart w:id="10277" w:name="_Toc192041808"/>
      <w:bookmarkStart w:id="10278" w:name="_Toc199571042"/>
      <w:bookmarkStart w:id="10279" w:name="_Toc199739041"/>
      <w:bookmarkStart w:id="10280" w:name="_Toc199815142"/>
      <w:bookmarkStart w:id="10281" w:name="_Toc215040949"/>
      <w:bookmarkStart w:id="10282" w:name="_Toc215041394"/>
      <w:bookmarkStart w:id="10283" w:name="_Toc222129602"/>
      <w:bookmarkStart w:id="10284" w:name="_Toc222223307"/>
      <w:bookmarkStart w:id="10285" w:name="_Toc225914559"/>
      <w:bookmarkStart w:id="10286" w:name="_Toc231282604"/>
      <w:bookmarkStart w:id="10287" w:name="_Toc231283048"/>
      <w:bookmarkStart w:id="10288" w:name="_Toc234899638"/>
      <w:bookmarkStart w:id="10289" w:name="_Toc236632921"/>
      <w:bookmarkStart w:id="10290" w:name="_Toc236720534"/>
      <w:bookmarkStart w:id="10291" w:name="_Toc237764733"/>
      <w:bookmarkStart w:id="10292" w:name="_Toc238356357"/>
      <w:bookmarkStart w:id="10293" w:name="_Toc238369062"/>
      <w:bookmarkStart w:id="10294" w:name="_Toc238376015"/>
      <w:bookmarkStart w:id="10295" w:name="_Toc240339339"/>
      <w:bookmarkStart w:id="10296" w:name="_Toc241993845"/>
      <w:bookmarkStart w:id="10297" w:name="_Toc243192988"/>
      <w:bookmarkStart w:id="10298" w:name="_Toc243295688"/>
      <w:bookmarkStart w:id="10299" w:name="_Toc245113261"/>
      <w:bookmarkStart w:id="10300" w:name="_Toc245198423"/>
      <w:bookmarkStart w:id="10301" w:name="_Toc245198872"/>
      <w:bookmarkStart w:id="10302" w:name="_Toc245199321"/>
      <w:bookmarkStart w:id="10303" w:name="_Toc248122353"/>
      <w:bookmarkStart w:id="10304" w:name="_Toc248122804"/>
      <w:bookmarkStart w:id="10305" w:name="_Toc253670791"/>
      <w:bookmarkStart w:id="10306" w:name="_Toc253671241"/>
      <w:bookmarkStart w:id="10307" w:name="_Toc254943015"/>
      <w:bookmarkStart w:id="10308" w:name="_Toc254943468"/>
      <w:bookmarkStart w:id="10309" w:name="_Toc255476060"/>
      <w:bookmarkStart w:id="10310" w:name="_Toc256432381"/>
      <w:bookmarkStart w:id="10311" w:name="_Toc257720718"/>
      <w:bookmarkStart w:id="10312" w:name="_Toc257722400"/>
      <w:bookmarkStart w:id="10313" w:name="_Toc258336076"/>
      <w:bookmarkStart w:id="10314" w:name="_Toc260406518"/>
      <w:bookmarkStart w:id="10315" w:name="_Toc261271704"/>
      <w:bookmarkStart w:id="10316" w:name="_Toc262808386"/>
      <w:bookmarkStart w:id="10317" w:name="_Toc267572778"/>
      <w:bookmarkStart w:id="10318" w:name="_Toc270684527"/>
      <w:bookmarkStart w:id="10319" w:name="_Toc274214704"/>
      <w:bookmarkStart w:id="10320" w:name="_Toc274215153"/>
      <w:bookmarkStart w:id="10321" w:name="_Toc278976484"/>
      <w:bookmarkStart w:id="10322" w:name="_Toc286760805"/>
      <w:bookmarkStart w:id="10323" w:name="_Toc289081150"/>
      <w:bookmarkStart w:id="10324" w:name="_Toc290284344"/>
      <w:bookmarkStart w:id="10325" w:name="_Toc290643165"/>
      <w:bookmarkStart w:id="10326" w:name="_Toc290643614"/>
      <w:bookmarkStart w:id="10327" w:name="_Toc290644067"/>
      <w:bookmarkStart w:id="10328" w:name="_Toc294701884"/>
      <w:bookmarkStart w:id="10329" w:name="_Toc295200292"/>
      <w:bookmarkStart w:id="10330" w:name="_Toc296954733"/>
      <w:bookmarkStart w:id="10331" w:name="_Toc297276368"/>
      <w:bookmarkStart w:id="10332" w:name="_Toc297276820"/>
      <w:bookmarkStart w:id="10333" w:name="_Toc297277270"/>
      <w:bookmarkStart w:id="10334" w:name="_Toc297726639"/>
      <w:bookmarkStart w:id="10335" w:name="_Toc299980425"/>
      <w:bookmarkStart w:id="10336" w:name="_Toc300235051"/>
      <w:bookmarkStart w:id="10337" w:name="_Toc301961554"/>
      <w:bookmarkStart w:id="10338" w:name="_Toc301967124"/>
      <w:bookmarkStart w:id="10339" w:name="_Toc303253333"/>
      <w:bookmarkStart w:id="10340" w:name="_Toc303257497"/>
      <w:bookmarkStart w:id="10341" w:name="_Toc307993130"/>
      <w:bookmarkStart w:id="10342" w:name="_Toc309030163"/>
      <w:bookmarkStart w:id="10343" w:name="_Toc309304386"/>
      <w:bookmarkStart w:id="10344" w:name="_Toc309309663"/>
      <w:r>
        <w:rPr>
          <w:rStyle w:val="CharSDivNo"/>
          <w:sz w:val="28"/>
        </w:rPr>
        <w:t>Part 1</w:t>
      </w:r>
      <w:r>
        <w:t> — </w:t>
      </w:r>
      <w:r>
        <w:rPr>
          <w:rStyle w:val="CharSDivText"/>
          <w:sz w:val="28"/>
        </w:rPr>
        <w:t>Species of fish endemic to areas of Australia outside the State</w:t>
      </w:r>
      <w:bookmarkEnd w:id="10276"/>
      <w:bookmarkEnd w:id="10277"/>
      <w:bookmarkEnd w:id="10278"/>
      <w:bookmarkEnd w:id="10279"/>
      <w:bookmarkEnd w:id="10280"/>
      <w:bookmarkEnd w:id="10281"/>
      <w:bookmarkEnd w:id="10282"/>
      <w:bookmarkEnd w:id="10283"/>
      <w:bookmarkEnd w:id="10284"/>
      <w:bookmarkEnd w:id="10285"/>
      <w:bookmarkEnd w:id="10286"/>
      <w:bookmarkEnd w:id="10287"/>
      <w:bookmarkEnd w:id="10288"/>
      <w:bookmarkEnd w:id="10289"/>
      <w:bookmarkEnd w:id="10290"/>
      <w:bookmarkEnd w:id="10291"/>
      <w:bookmarkEnd w:id="10292"/>
      <w:bookmarkEnd w:id="10293"/>
      <w:bookmarkEnd w:id="10294"/>
      <w:bookmarkEnd w:id="10295"/>
      <w:bookmarkEnd w:id="10296"/>
      <w:bookmarkEnd w:id="10297"/>
      <w:bookmarkEnd w:id="10298"/>
      <w:bookmarkEnd w:id="10299"/>
      <w:bookmarkEnd w:id="10300"/>
      <w:bookmarkEnd w:id="10301"/>
      <w:bookmarkEnd w:id="10302"/>
      <w:bookmarkEnd w:id="10303"/>
      <w:bookmarkEnd w:id="10304"/>
      <w:bookmarkEnd w:id="10305"/>
      <w:bookmarkEnd w:id="10306"/>
      <w:bookmarkEnd w:id="10307"/>
      <w:bookmarkEnd w:id="10308"/>
      <w:bookmarkEnd w:id="10309"/>
      <w:bookmarkEnd w:id="10310"/>
      <w:bookmarkEnd w:id="10311"/>
      <w:bookmarkEnd w:id="10312"/>
      <w:bookmarkEnd w:id="10313"/>
      <w:bookmarkEnd w:id="10314"/>
      <w:bookmarkEnd w:id="10315"/>
      <w:bookmarkEnd w:id="10316"/>
      <w:bookmarkEnd w:id="10317"/>
      <w:bookmarkEnd w:id="10318"/>
      <w:bookmarkEnd w:id="10319"/>
      <w:bookmarkEnd w:id="10320"/>
      <w:bookmarkEnd w:id="10321"/>
      <w:bookmarkEnd w:id="10322"/>
      <w:bookmarkEnd w:id="10323"/>
      <w:bookmarkEnd w:id="10324"/>
      <w:bookmarkEnd w:id="10325"/>
      <w:bookmarkEnd w:id="10326"/>
      <w:bookmarkEnd w:id="10327"/>
      <w:bookmarkEnd w:id="10328"/>
      <w:bookmarkEnd w:id="10329"/>
      <w:bookmarkEnd w:id="10330"/>
      <w:bookmarkEnd w:id="10331"/>
      <w:bookmarkEnd w:id="10332"/>
      <w:bookmarkEnd w:id="10333"/>
      <w:bookmarkEnd w:id="10334"/>
      <w:bookmarkEnd w:id="10335"/>
      <w:bookmarkEnd w:id="10336"/>
      <w:bookmarkEnd w:id="10337"/>
      <w:bookmarkEnd w:id="10338"/>
      <w:bookmarkEnd w:id="10339"/>
      <w:bookmarkEnd w:id="10340"/>
      <w:bookmarkEnd w:id="10341"/>
      <w:bookmarkEnd w:id="10342"/>
      <w:bookmarkEnd w:id="10343"/>
      <w:bookmarkEnd w:id="10344"/>
    </w:p>
    <w:p>
      <w:pPr>
        <w:pStyle w:val="yNumberedItem"/>
        <w:rPr>
          <w:snapToGrid w:val="0"/>
        </w:rPr>
      </w:pPr>
      <w:r>
        <w:rPr>
          <w:snapToGrid w:val="0"/>
        </w:rPr>
        <w:t>1.</w:t>
      </w:r>
      <w:r>
        <w:rPr>
          <w:snapToGrid w:val="0"/>
        </w:rPr>
        <w:tab/>
        <w:t xml:space="preserve">Cod, </w:t>
      </w:r>
      <w:smartTag w:uri="urn:schemas-microsoft-com:office:smarttags" w:element="place">
        <w:smartTag w:uri="urn:schemas-microsoft-com:office:smarttags" w:element="City">
          <w:r>
            <w:rPr>
              <w:snapToGrid w:val="0"/>
            </w:rPr>
            <w:t>Murray</w:t>
          </w:r>
        </w:smartTag>
      </w:smartTag>
    </w:p>
    <w:p>
      <w:pPr>
        <w:pStyle w:val="yNumberedItem"/>
        <w:spacing w:before="0"/>
        <w:rPr>
          <w:snapToGrid w:val="0"/>
        </w:rPr>
      </w:pPr>
      <w:r>
        <w:rPr>
          <w:snapToGrid w:val="0"/>
        </w:rPr>
        <w:t>2.</w:t>
      </w:r>
      <w:r>
        <w:rPr>
          <w:snapToGrid w:val="0"/>
        </w:rPr>
        <w:tab/>
        <w:t>Eel, Short</w:t>
      </w:r>
      <w:r>
        <w:rPr>
          <w:snapToGrid w:val="0"/>
        </w:rPr>
        <w:noBreakHyphen/>
        <w:t>finned</w:t>
      </w:r>
    </w:p>
    <w:p>
      <w:pPr>
        <w:pStyle w:val="yNumberedItem"/>
        <w:spacing w:before="0"/>
        <w:rPr>
          <w:snapToGrid w:val="0"/>
        </w:rPr>
      </w:pPr>
      <w:r>
        <w:rPr>
          <w:snapToGrid w:val="0"/>
        </w:rPr>
        <w:t>3.</w:t>
      </w:r>
      <w:r>
        <w:rPr>
          <w:snapToGrid w:val="0"/>
        </w:rPr>
        <w:tab/>
        <w:t>Perch, Golden</w:t>
      </w:r>
    </w:p>
    <w:p>
      <w:pPr>
        <w:pStyle w:val="yNumberedItem"/>
        <w:spacing w:before="0"/>
        <w:rPr>
          <w:snapToGrid w:val="0"/>
        </w:rPr>
      </w:pPr>
      <w:r>
        <w:rPr>
          <w:snapToGrid w:val="0"/>
        </w:rPr>
        <w:t>4.</w:t>
      </w:r>
      <w:r>
        <w:rPr>
          <w:snapToGrid w:val="0"/>
        </w:rPr>
        <w:tab/>
        <w:t>Perch, Silver</w:t>
      </w:r>
    </w:p>
    <w:p>
      <w:pPr>
        <w:pStyle w:val="yNumberedItem"/>
        <w:spacing w:before="0"/>
        <w:rPr>
          <w:snapToGrid w:val="0"/>
        </w:rPr>
      </w:pPr>
      <w:r>
        <w:rPr>
          <w:snapToGrid w:val="0"/>
        </w:rPr>
        <w:t>5.</w:t>
      </w:r>
      <w:r>
        <w:rPr>
          <w:snapToGrid w:val="0"/>
        </w:rPr>
        <w:tab/>
      </w:r>
      <w:smartTag w:uri="urn:schemas-microsoft-com:office:smarttags" w:element="place">
        <w:smartTag w:uri="urn:schemas-microsoft-com:office:smarttags" w:element="City">
          <w:r>
            <w:rPr>
              <w:snapToGrid w:val="0"/>
            </w:rPr>
            <w:t>Redclaw</w:t>
          </w:r>
        </w:smartTag>
        <w:r>
          <w:rPr>
            <w:snapToGrid w:val="0"/>
          </w:rPr>
          <w:t xml:space="preserve">, </w:t>
        </w:r>
        <w:smartTag w:uri="urn:schemas-microsoft-com:office:smarttags" w:element="State">
          <w:r>
            <w:rPr>
              <w:snapToGrid w:val="0"/>
            </w:rPr>
            <w:t>Queensland</w:t>
          </w:r>
        </w:smartTag>
      </w:smartTag>
    </w:p>
    <w:p>
      <w:pPr>
        <w:pStyle w:val="yNumberedItem"/>
        <w:spacing w:before="0"/>
        <w:rPr>
          <w:snapToGrid w:val="0"/>
        </w:rPr>
      </w:pPr>
      <w:r>
        <w:rPr>
          <w:snapToGrid w:val="0"/>
        </w:rPr>
        <w:t>6.</w:t>
      </w:r>
      <w:r>
        <w:rPr>
          <w:snapToGrid w:val="0"/>
        </w:rPr>
        <w:tab/>
        <w:t>Yabbie, Common</w:t>
      </w:r>
    </w:p>
    <w:p>
      <w:pPr>
        <w:pStyle w:val="yNumberedItem"/>
        <w:spacing w:before="0"/>
        <w:rPr>
          <w:snapToGrid w:val="0"/>
        </w:rPr>
      </w:pPr>
      <w:r>
        <w:rPr>
          <w:snapToGrid w:val="0"/>
        </w:rPr>
        <w:t>7.</w:t>
      </w:r>
      <w:r>
        <w:rPr>
          <w:snapToGrid w:val="0"/>
        </w:rPr>
        <w:tab/>
        <w:t>Yabbie, White</w:t>
      </w:r>
    </w:p>
    <w:p>
      <w:pPr>
        <w:pStyle w:val="yHeading2"/>
      </w:pPr>
      <w:bookmarkStart w:id="10345" w:name="_Toc189988226"/>
      <w:bookmarkStart w:id="10346" w:name="_Toc192041809"/>
      <w:bookmarkStart w:id="10347" w:name="_Toc199571043"/>
      <w:bookmarkStart w:id="10348" w:name="_Toc199739042"/>
      <w:bookmarkStart w:id="10349" w:name="_Toc199815143"/>
      <w:bookmarkStart w:id="10350" w:name="_Toc215040950"/>
      <w:bookmarkStart w:id="10351" w:name="_Toc215041395"/>
      <w:bookmarkStart w:id="10352" w:name="_Toc222129603"/>
      <w:bookmarkStart w:id="10353" w:name="_Toc222223308"/>
      <w:bookmarkStart w:id="10354" w:name="_Toc225914560"/>
      <w:bookmarkStart w:id="10355" w:name="_Toc231282605"/>
      <w:bookmarkStart w:id="10356" w:name="_Toc231283049"/>
      <w:bookmarkStart w:id="10357" w:name="_Toc234899639"/>
      <w:bookmarkStart w:id="10358" w:name="_Toc236632922"/>
      <w:bookmarkStart w:id="10359" w:name="_Toc236720535"/>
      <w:bookmarkStart w:id="10360" w:name="_Toc237764734"/>
      <w:bookmarkStart w:id="10361" w:name="_Toc238356358"/>
      <w:bookmarkStart w:id="10362" w:name="_Toc238369063"/>
      <w:bookmarkStart w:id="10363" w:name="_Toc238376016"/>
      <w:bookmarkStart w:id="10364" w:name="_Toc240339340"/>
      <w:bookmarkStart w:id="10365" w:name="_Toc241993846"/>
      <w:bookmarkStart w:id="10366" w:name="_Toc243192989"/>
      <w:bookmarkStart w:id="10367" w:name="_Toc243295689"/>
      <w:bookmarkStart w:id="10368" w:name="_Toc245113262"/>
      <w:bookmarkStart w:id="10369" w:name="_Toc245198424"/>
      <w:bookmarkStart w:id="10370" w:name="_Toc245198873"/>
      <w:bookmarkStart w:id="10371" w:name="_Toc245199322"/>
      <w:bookmarkStart w:id="10372" w:name="_Toc248122354"/>
      <w:bookmarkStart w:id="10373" w:name="_Toc248122805"/>
      <w:bookmarkStart w:id="10374" w:name="_Toc253670792"/>
      <w:bookmarkStart w:id="10375" w:name="_Toc253671242"/>
      <w:bookmarkStart w:id="10376" w:name="_Toc254943016"/>
      <w:bookmarkStart w:id="10377" w:name="_Toc254943469"/>
      <w:bookmarkStart w:id="10378" w:name="_Toc255476061"/>
      <w:bookmarkStart w:id="10379" w:name="_Toc256432382"/>
      <w:bookmarkStart w:id="10380" w:name="_Toc257720719"/>
      <w:bookmarkStart w:id="10381" w:name="_Toc257722401"/>
      <w:bookmarkStart w:id="10382" w:name="_Toc258336077"/>
      <w:bookmarkStart w:id="10383" w:name="_Toc260406519"/>
      <w:bookmarkStart w:id="10384" w:name="_Toc261271705"/>
      <w:bookmarkStart w:id="10385" w:name="_Toc262808387"/>
      <w:bookmarkStart w:id="10386" w:name="_Toc267572779"/>
      <w:bookmarkStart w:id="10387" w:name="_Toc270684528"/>
      <w:bookmarkStart w:id="10388" w:name="_Toc274214705"/>
      <w:bookmarkStart w:id="10389" w:name="_Toc274215154"/>
      <w:bookmarkStart w:id="10390" w:name="_Toc278976485"/>
      <w:bookmarkStart w:id="10391" w:name="_Toc286760806"/>
      <w:bookmarkStart w:id="10392" w:name="_Toc289081151"/>
      <w:bookmarkStart w:id="10393" w:name="_Toc290284345"/>
      <w:bookmarkStart w:id="10394" w:name="_Toc290643166"/>
      <w:bookmarkStart w:id="10395" w:name="_Toc290643615"/>
      <w:bookmarkStart w:id="10396" w:name="_Toc290644068"/>
      <w:bookmarkStart w:id="10397" w:name="_Toc294701885"/>
      <w:bookmarkStart w:id="10398" w:name="_Toc295200293"/>
      <w:bookmarkStart w:id="10399" w:name="_Toc296954734"/>
      <w:bookmarkStart w:id="10400" w:name="_Toc297276369"/>
      <w:bookmarkStart w:id="10401" w:name="_Toc297276821"/>
      <w:bookmarkStart w:id="10402" w:name="_Toc297277271"/>
      <w:bookmarkStart w:id="10403" w:name="_Toc297726640"/>
      <w:bookmarkStart w:id="10404" w:name="_Toc299980426"/>
      <w:bookmarkStart w:id="10405" w:name="_Toc300235052"/>
      <w:bookmarkStart w:id="10406" w:name="_Toc301961555"/>
      <w:bookmarkStart w:id="10407" w:name="_Toc301967125"/>
      <w:bookmarkStart w:id="10408" w:name="_Toc303253334"/>
      <w:bookmarkStart w:id="10409" w:name="_Toc303257498"/>
      <w:bookmarkStart w:id="10410" w:name="_Toc307993131"/>
      <w:bookmarkStart w:id="10411" w:name="_Toc309030164"/>
      <w:bookmarkStart w:id="10412" w:name="_Toc309304387"/>
      <w:bookmarkStart w:id="10413" w:name="_Toc309309664"/>
      <w:r>
        <w:rPr>
          <w:rStyle w:val="CharSDivNo"/>
          <w:sz w:val="28"/>
        </w:rPr>
        <w:t>Part 2</w:t>
      </w:r>
      <w:r>
        <w:t> — </w:t>
      </w:r>
      <w:r>
        <w:rPr>
          <w:rStyle w:val="CharSDivText"/>
          <w:sz w:val="28"/>
        </w:rPr>
        <w:t>Species of fish not endemic to Australia</w:t>
      </w:r>
      <w:bookmarkEnd w:id="10345"/>
      <w:bookmarkEnd w:id="10346"/>
      <w:bookmarkEnd w:id="10347"/>
      <w:bookmarkEnd w:id="10348"/>
      <w:bookmarkEnd w:id="10349"/>
      <w:bookmarkEnd w:id="10350"/>
      <w:bookmarkEnd w:id="10351"/>
      <w:bookmarkEnd w:id="10352"/>
      <w:bookmarkEnd w:id="10353"/>
      <w:bookmarkEnd w:id="10354"/>
      <w:bookmarkEnd w:id="10355"/>
      <w:bookmarkEnd w:id="10356"/>
      <w:bookmarkEnd w:id="10357"/>
      <w:bookmarkEnd w:id="10358"/>
      <w:bookmarkEnd w:id="10359"/>
      <w:bookmarkEnd w:id="10360"/>
      <w:bookmarkEnd w:id="10361"/>
      <w:bookmarkEnd w:id="10362"/>
      <w:bookmarkEnd w:id="10363"/>
      <w:bookmarkEnd w:id="10364"/>
      <w:bookmarkEnd w:id="10365"/>
      <w:bookmarkEnd w:id="10366"/>
      <w:bookmarkEnd w:id="10367"/>
      <w:bookmarkEnd w:id="10368"/>
      <w:bookmarkEnd w:id="10369"/>
      <w:bookmarkEnd w:id="10370"/>
      <w:bookmarkEnd w:id="10371"/>
      <w:bookmarkEnd w:id="10372"/>
      <w:bookmarkEnd w:id="10373"/>
      <w:bookmarkEnd w:id="10374"/>
      <w:bookmarkEnd w:id="10375"/>
      <w:bookmarkEnd w:id="10376"/>
      <w:bookmarkEnd w:id="10377"/>
      <w:bookmarkEnd w:id="10378"/>
      <w:bookmarkEnd w:id="10379"/>
      <w:bookmarkEnd w:id="10380"/>
      <w:bookmarkEnd w:id="10381"/>
      <w:bookmarkEnd w:id="10382"/>
      <w:bookmarkEnd w:id="10383"/>
      <w:bookmarkEnd w:id="10384"/>
      <w:bookmarkEnd w:id="10385"/>
      <w:bookmarkEnd w:id="10386"/>
      <w:bookmarkEnd w:id="10387"/>
      <w:bookmarkEnd w:id="10388"/>
      <w:bookmarkEnd w:id="10389"/>
      <w:bookmarkEnd w:id="10390"/>
      <w:bookmarkEnd w:id="10391"/>
      <w:bookmarkEnd w:id="10392"/>
      <w:bookmarkEnd w:id="10393"/>
      <w:bookmarkEnd w:id="10394"/>
      <w:bookmarkEnd w:id="10395"/>
      <w:bookmarkEnd w:id="10396"/>
      <w:bookmarkEnd w:id="10397"/>
      <w:bookmarkEnd w:id="10398"/>
      <w:bookmarkEnd w:id="10399"/>
      <w:bookmarkEnd w:id="10400"/>
      <w:bookmarkEnd w:id="10401"/>
      <w:bookmarkEnd w:id="10402"/>
      <w:bookmarkEnd w:id="10403"/>
      <w:bookmarkEnd w:id="10404"/>
      <w:bookmarkEnd w:id="10405"/>
      <w:bookmarkEnd w:id="10406"/>
      <w:bookmarkEnd w:id="10407"/>
      <w:bookmarkEnd w:id="10408"/>
      <w:bookmarkEnd w:id="10409"/>
      <w:bookmarkEnd w:id="10410"/>
      <w:bookmarkEnd w:id="10411"/>
      <w:bookmarkEnd w:id="10412"/>
      <w:bookmarkEnd w:id="10413"/>
    </w:p>
    <w:p>
      <w:pPr>
        <w:pStyle w:val="yNumberedItem"/>
        <w:rPr>
          <w:snapToGrid w:val="0"/>
        </w:rPr>
      </w:pPr>
      <w:r>
        <w:rPr>
          <w:snapToGrid w:val="0"/>
        </w:rPr>
        <w:t>1.</w:t>
      </w:r>
      <w:r>
        <w:rPr>
          <w:snapToGrid w:val="0"/>
        </w:rPr>
        <w:tab/>
        <w:t>Perch, Redfin</w:t>
      </w:r>
    </w:p>
    <w:p>
      <w:pPr>
        <w:pStyle w:val="yNumberedItem"/>
        <w:spacing w:before="0"/>
        <w:rPr>
          <w:snapToGrid w:val="0"/>
        </w:rPr>
      </w:pPr>
      <w:r>
        <w:rPr>
          <w:snapToGrid w:val="0"/>
        </w:rPr>
        <w:t>2.</w:t>
      </w:r>
      <w:r>
        <w:rPr>
          <w:snapToGrid w:val="0"/>
        </w:rPr>
        <w:tab/>
        <w:t xml:space="preserve">Salmon, </w:t>
      </w:r>
      <w:smartTag w:uri="urn:schemas-microsoft-com:office:smarttags" w:element="place">
        <w:r>
          <w:rPr>
            <w:snapToGrid w:val="0"/>
          </w:rPr>
          <w:t>Atlantic</w:t>
        </w:r>
      </w:smartTag>
    </w:p>
    <w:p>
      <w:pPr>
        <w:pStyle w:val="yNumberedItem"/>
        <w:spacing w:before="0"/>
        <w:rPr>
          <w:snapToGrid w:val="0"/>
        </w:rPr>
      </w:pPr>
      <w:r>
        <w:rPr>
          <w:snapToGrid w:val="0"/>
        </w:rPr>
        <w:t>3.</w:t>
      </w:r>
      <w:r>
        <w:rPr>
          <w:snapToGrid w:val="0"/>
        </w:rPr>
        <w:tab/>
        <w:t>Trout, Brown</w:t>
      </w:r>
    </w:p>
    <w:p>
      <w:pPr>
        <w:pStyle w:val="yNumberedItem"/>
        <w:spacing w:before="0"/>
        <w:rPr>
          <w:snapToGrid w:val="0"/>
        </w:rPr>
      </w:pPr>
      <w:r>
        <w:rPr>
          <w:snapToGrid w:val="0"/>
        </w:rPr>
        <w:t>4.</w:t>
      </w:r>
      <w:r>
        <w:rPr>
          <w:snapToGrid w:val="0"/>
        </w:rPr>
        <w:tab/>
        <w:t>Trout, Rainbow</w:t>
      </w:r>
    </w:p>
    <w:p>
      <w:pPr>
        <w:tabs>
          <w:tab w:val="left" w:pos="219"/>
          <w:tab w:val="decimal" w:pos="568"/>
          <w:tab w:val="right" w:leader="dot" w:pos="4539"/>
        </w:tabs>
        <w:spacing w:before="80"/>
        <w:ind w:left="99" w:right="347"/>
        <w:jc w:val="right"/>
        <w:sectPr>
          <w:headerReference w:type="even" r:id="rId32"/>
          <w:headerReference w:type="default" r:id="rId33"/>
          <w:pgSz w:w="11906" w:h="16838" w:code="9"/>
          <w:pgMar w:top="2381" w:right="2409" w:bottom="3543" w:left="2409" w:header="720" w:footer="3380" w:gutter="0"/>
          <w:cols w:space="720"/>
          <w:noEndnote/>
          <w:docGrid w:linePitch="326"/>
        </w:sectPr>
      </w:pPr>
    </w:p>
    <w:p>
      <w:pPr>
        <w:pStyle w:val="yScheduleHeading"/>
      </w:pPr>
      <w:bookmarkStart w:id="10414" w:name="_Toc189988227"/>
      <w:bookmarkStart w:id="10415" w:name="_Toc192041810"/>
      <w:bookmarkStart w:id="10416" w:name="_Toc199571044"/>
      <w:bookmarkStart w:id="10417" w:name="_Toc199739043"/>
      <w:bookmarkStart w:id="10418" w:name="_Toc199815144"/>
      <w:bookmarkStart w:id="10419" w:name="_Toc215040951"/>
      <w:bookmarkStart w:id="10420" w:name="_Toc215041396"/>
      <w:bookmarkStart w:id="10421" w:name="_Toc222129604"/>
      <w:bookmarkStart w:id="10422" w:name="_Toc222223309"/>
      <w:bookmarkStart w:id="10423" w:name="_Toc225914561"/>
      <w:bookmarkStart w:id="10424" w:name="_Toc231282606"/>
      <w:bookmarkStart w:id="10425" w:name="_Toc231283050"/>
      <w:bookmarkStart w:id="10426" w:name="_Toc234899640"/>
      <w:bookmarkStart w:id="10427" w:name="_Toc236632923"/>
      <w:bookmarkStart w:id="10428" w:name="_Toc236720536"/>
      <w:bookmarkStart w:id="10429" w:name="_Toc237764735"/>
      <w:bookmarkStart w:id="10430" w:name="_Toc238356359"/>
      <w:bookmarkStart w:id="10431" w:name="_Toc238369064"/>
      <w:bookmarkStart w:id="10432" w:name="_Toc238376017"/>
      <w:bookmarkStart w:id="10433" w:name="_Toc240339341"/>
      <w:bookmarkStart w:id="10434" w:name="_Toc241993847"/>
      <w:bookmarkStart w:id="10435" w:name="_Toc243192990"/>
      <w:bookmarkStart w:id="10436" w:name="_Toc243295690"/>
      <w:bookmarkStart w:id="10437" w:name="_Toc245113263"/>
      <w:bookmarkStart w:id="10438" w:name="_Toc245198425"/>
      <w:bookmarkStart w:id="10439" w:name="_Toc245198874"/>
      <w:bookmarkStart w:id="10440" w:name="_Toc245199323"/>
      <w:bookmarkStart w:id="10441" w:name="_Toc248122355"/>
      <w:bookmarkStart w:id="10442" w:name="_Toc248122806"/>
      <w:bookmarkStart w:id="10443" w:name="_Toc253670793"/>
      <w:bookmarkStart w:id="10444" w:name="_Toc253671243"/>
      <w:bookmarkStart w:id="10445" w:name="_Toc254943017"/>
      <w:bookmarkStart w:id="10446" w:name="_Toc254943470"/>
      <w:bookmarkStart w:id="10447" w:name="_Toc255476062"/>
      <w:bookmarkStart w:id="10448" w:name="_Toc256432383"/>
      <w:bookmarkStart w:id="10449" w:name="_Toc257720720"/>
      <w:bookmarkStart w:id="10450" w:name="_Toc257722402"/>
      <w:bookmarkStart w:id="10451" w:name="_Toc258336078"/>
      <w:bookmarkStart w:id="10452" w:name="_Toc260406520"/>
      <w:bookmarkStart w:id="10453" w:name="_Toc261271706"/>
      <w:bookmarkStart w:id="10454" w:name="_Toc262808388"/>
      <w:bookmarkStart w:id="10455" w:name="_Toc267572780"/>
      <w:bookmarkStart w:id="10456" w:name="_Toc270684529"/>
      <w:bookmarkStart w:id="10457" w:name="_Toc274214706"/>
      <w:bookmarkStart w:id="10458" w:name="_Toc274215155"/>
      <w:bookmarkStart w:id="10459" w:name="_Toc278976486"/>
      <w:bookmarkStart w:id="10460" w:name="_Toc286760807"/>
      <w:bookmarkStart w:id="10461" w:name="_Toc289081152"/>
      <w:bookmarkStart w:id="10462" w:name="_Toc290284346"/>
      <w:bookmarkStart w:id="10463" w:name="_Toc290643167"/>
      <w:bookmarkStart w:id="10464" w:name="_Toc290643616"/>
      <w:bookmarkStart w:id="10465" w:name="_Toc290644069"/>
      <w:bookmarkStart w:id="10466" w:name="_Toc294701886"/>
      <w:bookmarkStart w:id="10467" w:name="_Toc295200294"/>
      <w:bookmarkStart w:id="10468" w:name="_Toc296954735"/>
      <w:bookmarkStart w:id="10469" w:name="_Toc297276370"/>
      <w:bookmarkStart w:id="10470" w:name="_Toc297276822"/>
      <w:bookmarkStart w:id="10471" w:name="_Toc297277272"/>
      <w:bookmarkStart w:id="10472" w:name="_Toc297726641"/>
      <w:bookmarkStart w:id="10473" w:name="_Toc299980427"/>
      <w:bookmarkStart w:id="10474" w:name="_Toc300235053"/>
      <w:bookmarkStart w:id="10475" w:name="_Toc301961556"/>
      <w:bookmarkStart w:id="10476" w:name="_Toc301967126"/>
      <w:bookmarkStart w:id="10477" w:name="_Toc303253335"/>
      <w:bookmarkStart w:id="10478" w:name="_Toc303257499"/>
      <w:bookmarkStart w:id="10479" w:name="_Toc307993132"/>
      <w:bookmarkStart w:id="10480" w:name="_Toc309030165"/>
      <w:bookmarkStart w:id="10481" w:name="_Toc309304388"/>
      <w:bookmarkStart w:id="10482" w:name="_Toc309309665"/>
      <w:r>
        <w:rPr>
          <w:rStyle w:val="CharSchNo"/>
        </w:rPr>
        <w:t>Schedule 11</w:t>
      </w:r>
      <w:bookmarkEnd w:id="10414"/>
      <w:bookmarkEnd w:id="10415"/>
      <w:bookmarkEnd w:id="10416"/>
      <w:bookmarkEnd w:id="10417"/>
      <w:bookmarkEnd w:id="10418"/>
      <w:bookmarkEnd w:id="10419"/>
      <w:bookmarkEnd w:id="10420"/>
      <w:bookmarkEnd w:id="10421"/>
      <w:bookmarkEnd w:id="10422"/>
      <w:bookmarkEnd w:id="10423"/>
      <w:bookmarkEnd w:id="10424"/>
      <w:bookmarkEnd w:id="10425"/>
      <w:bookmarkEnd w:id="10426"/>
      <w:bookmarkEnd w:id="10427"/>
      <w:bookmarkEnd w:id="10428"/>
      <w:bookmarkEnd w:id="10429"/>
      <w:bookmarkEnd w:id="10430"/>
      <w:bookmarkEnd w:id="10431"/>
      <w:bookmarkEnd w:id="10432"/>
      <w:bookmarkEnd w:id="10433"/>
      <w:bookmarkEnd w:id="10434"/>
      <w:bookmarkEnd w:id="10435"/>
      <w:bookmarkEnd w:id="10436"/>
      <w:bookmarkEnd w:id="10437"/>
      <w:bookmarkEnd w:id="10438"/>
      <w:bookmarkEnd w:id="10439"/>
      <w:bookmarkEnd w:id="10440"/>
      <w:bookmarkEnd w:id="10441"/>
      <w:bookmarkEnd w:id="10442"/>
      <w:bookmarkEnd w:id="10443"/>
      <w:bookmarkEnd w:id="10444"/>
      <w:bookmarkEnd w:id="10445"/>
      <w:bookmarkEnd w:id="10446"/>
      <w:bookmarkEnd w:id="10447"/>
      <w:bookmarkEnd w:id="10448"/>
      <w:bookmarkEnd w:id="10449"/>
      <w:bookmarkEnd w:id="10450"/>
      <w:bookmarkEnd w:id="10451"/>
      <w:bookmarkEnd w:id="10452"/>
      <w:bookmarkEnd w:id="10453"/>
      <w:bookmarkEnd w:id="10454"/>
      <w:bookmarkEnd w:id="10455"/>
      <w:bookmarkEnd w:id="10456"/>
      <w:bookmarkEnd w:id="10457"/>
      <w:bookmarkEnd w:id="10458"/>
      <w:bookmarkEnd w:id="10459"/>
      <w:bookmarkEnd w:id="10460"/>
      <w:bookmarkEnd w:id="10461"/>
      <w:bookmarkEnd w:id="10462"/>
      <w:bookmarkEnd w:id="10463"/>
      <w:bookmarkEnd w:id="10464"/>
      <w:bookmarkEnd w:id="10465"/>
      <w:bookmarkEnd w:id="10466"/>
      <w:bookmarkEnd w:id="10467"/>
      <w:bookmarkEnd w:id="10468"/>
      <w:bookmarkEnd w:id="10469"/>
      <w:bookmarkEnd w:id="10470"/>
      <w:bookmarkEnd w:id="10471"/>
      <w:bookmarkEnd w:id="10472"/>
      <w:bookmarkEnd w:id="10473"/>
      <w:bookmarkEnd w:id="10474"/>
      <w:bookmarkEnd w:id="10475"/>
      <w:bookmarkEnd w:id="10476"/>
      <w:bookmarkEnd w:id="10477"/>
      <w:bookmarkEnd w:id="10478"/>
      <w:bookmarkEnd w:id="10479"/>
      <w:bookmarkEnd w:id="10480"/>
      <w:bookmarkEnd w:id="10481"/>
      <w:bookmarkEnd w:id="10482"/>
    </w:p>
    <w:p>
      <w:pPr>
        <w:pStyle w:val="yShoulderClause"/>
        <w:rPr>
          <w:snapToGrid w:val="0"/>
        </w:rPr>
      </w:pPr>
      <w:r>
        <w:rPr>
          <w:snapToGrid w:val="0"/>
        </w:rPr>
        <w:t>[reg. 59]</w:t>
      </w:r>
    </w:p>
    <w:p>
      <w:pPr>
        <w:pStyle w:val="yHeading2"/>
        <w:spacing w:after="120"/>
      </w:pPr>
      <w:bookmarkStart w:id="10483" w:name="_Toc189988228"/>
      <w:bookmarkStart w:id="10484" w:name="_Toc192041811"/>
      <w:bookmarkStart w:id="10485" w:name="_Toc199571045"/>
      <w:bookmarkStart w:id="10486" w:name="_Toc199739044"/>
      <w:bookmarkStart w:id="10487" w:name="_Toc199815145"/>
      <w:bookmarkStart w:id="10488" w:name="_Toc215040952"/>
      <w:bookmarkStart w:id="10489" w:name="_Toc215041397"/>
      <w:bookmarkStart w:id="10490" w:name="_Toc222129605"/>
      <w:bookmarkStart w:id="10491" w:name="_Toc222223310"/>
      <w:bookmarkStart w:id="10492" w:name="_Toc225914562"/>
      <w:bookmarkStart w:id="10493" w:name="_Toc231282607"/>
      <w:bookmarkStart w:id="10494" w:name="_Toc231283051"/>
      <w:bookmarkStart w:id="10495" w:name="_Toc234899641"/>
      <w:bookmarkStart w:id="10496" w:name="_Toc236632924"/>
      <w:bookmarkStart w:id="10497" w:name="_Toc236720537"/>
      <w:bookmarkStart w:id="10498" w:name="_Toc237764736"/>
      <w:bookmarkStart w:id="10499" w:name="_Toc238356360"/>
      <w:bookmarkStart w:id="10500" w:name="_Toc238369065"/>
      <w:bookmarkStart w:id="10501" w:name="_Toc238376018"/>
      <w:bookmarkStart w:id="10502" w:name="_Toc240339342"/>
      <w:bookmarkStart w:id="10503" w:name="_Toc241993848"/>
      <w:bookmarkStart w:id="10504" w:name="_Toc243192991"/>
      <w:bookmarkStart w:id="10505" w:name="_Toc243295691"/>
      <w:bookmarkStart w:id="10506" w:name="_Toc245113264"/>
      <w:bookmarkStart w:id="10507" w:name="_Toc245198426"/>
      <w:bookmarkStart w:id="10508" w:name="_Toc245198875"/>
      <w:bookmarkStart w:id="10509" w:name="_Toc245199324"/>
      <w:bookmarkStart w:id="10510" w:name="_Toc248122356"/>
      <w:bookmarkStart w:id="10511" w:name="_Toc248122807"/>
      <w:bookmarkStart w:id="10512" w:name="_Toc253670794"/>
      <w:bookmarkStart w:id="10513" w:name="_Toc253671244"/>
      <w:bookmarkStart w:id="10514" w:name="_Toc254943018"/>
      <w:bookmarkStart w:id="10515" w:name="_Toc254943471"/>
      <w:bookmarkStart w:id="10516" w:name="_Toc255476063"/>
      <w:bookmarkStart w:id="10517" w:name="_Toc256432384"/>
      <w:bookmarkStart w:id="10518" w:name="_Toc257720721"/>
      <w:bookmarkStart w:id="10519" w:name="_Toc257722403"/>
      <w:bookmarkStart w:id="10520" w:name="_Toc258336079"/>
      <w:bookmarkStart w:id="10521" w:name="_Toc260406521"/>
      <w:bookmarkStart w:id="10522" w:name="_Toc261271707"/>
      <w:bookmarkStart w:id="10523" w:name="_Toc262808389"/>
      <w:bookmarkStart w:id="10524" w:name="_Toc267572781"/>
      <w:bookmarkStart w:id="10525" w:name="_Toc270684530"/>
      <w:bookmarkStart w:id="10526" w:name="_Toc274214707"/>
      <w:bookmarkStart w:id="10527" w:name="_Toc274215156"/>
      <w:bookmarkStart w:id="10528" w:name="_Toc278976487"/>
      <w:bookmarkStart w:id="10529" w:name="_Toc286760808"/>
      <w:bookmarkStart w:id="10530" w:name="_Toc289081153"/>
      <w:bookmarkStart w:id="10531" w:name="_Toc290284347"/>
      <w:bookmarkStart w:id="10532" w:name="_Toc290643168"/>
      <w:bookmarkStart w:id="10533" w:name="_Toc290643617"/>
      <w:bookmarkStart w:id="10534" w:name="_Toc290644070"/>
      <w:bookmarkStart w:id="10535" w:name="_Toc294701887"/>
      <w:bookmarkStart w:id="10536" w:name="_Toc295200295"/>
      <w:bookmarkStart w:id="10537" w:name="_Toc296954736"/>
      <w:bookmarkStart w:id="10538" w:name="_Toc297276371"/>
      <w:bookmarkStart w:id="10539" w:name="_Toc297276823"/>
      <w:bookmarkStart w:id="10540" w:name="_Toc297277273"/>
      <w:bookmarkStart w:id="10541" w:name="_Toc297726642"/>
      <w:bookmarkStart w:id="10542" w:name="_Toc299980428"/>
      <w:bookmarkStart w:id="10543" w:name="_Toc300235054"/>
      <w:bookmarkStart w:id="10544" w:name="_Toc301961557"/>
      <w:bookmarkStart w:id="10545" w:name="_Toc301967127"/>
      <w:bookmarkStart w:id="10546" w:name="_Toc303253336"/>
      <w:bookmarkStart w:id="10547" w:name="_Toc303257500"/>
      <w:bookmarkStart w:id="10548" w:name="_Toc307993133"/>
      <w:bookmarkStart w:id="10549" w:name="_Toc309030166"/>
      <w:bookmarkStart w:id="10550" w:name="_Toc309304389"/>
      <w:bookmarkStart w:id="10551" w:name="_Toc309309666"/>
      <w:r>
        <w:rPr>
          <w:rStyle w:val="CharSchText"/>
        </w:rPr>
        <w:t>Authorised trade names of fish</w:t>
      </w:r>
      <w:bookmarkEnd w:id="10483"/>
      <w:bookmarkEnd w:id="10484"/>
      <w:bookmarkEnd w:id="10485"/>
      <w:bookmarkEnd w:id="10486"/>
      <w:bookmarkEnd w:id="10487"/>
      <w:bookmarkEnd w:id="10488"/>
      <w:bookmarkEnd w:id="10489"/>
      <w:bookmarkEnd w:id="10490"/>
      <w:bookmarkEnd w:id="10491"/>
      <w:bookmarkEnd w:id="10492"/>
      <w:bookmarkEnd w:id="10493"/>
      <w:bookmarkEnd w:id="10494"/>
      <w:bookmarkEnd w:id="10495"/>
      <w:bookmarkEnd w:id="10496"/>
      <w:bookmarkEnd w:id="10497"/>
      <w:bookmarkEnd w:id="10498"/>
      <w:bookmarkEnd w:id="10499"/>
      <w:bookmarkEnd w:id="10500"/>
      <w:bookmarkEnd w:id="10501"/>
      <w:bookmarkEnd w:id="10502"/>
      <w:bookmarkEnd w:id="10503"/>
      <w:bookmarkEnd w:id="10504"/>
      <w:bookmarkEnd w:id="10505"/>
      <w:bookmarkEnd w:id="10506"/>
      <w:bookmarkEnd w:id="10507"/>
      <w:bookmarkEnd w:id="10508"/>
      <w:bookmarkEnd w:id="10509"/>
      <w:bookmarkEnd w:id="10510"/>
      <w:bookmarkEnd w:id="10511"/>
      <w:bookmarkEnd w:id="10512"/>
      <w:bookmarkEnd w:id="10513"/>
      <w:bookmarkEnd w:id="10514"/>
      <w:bookmarkEnd w:id="10515"/>
      <w:bookmarkEnd w:id="10516"/>
      <w:bookmarkEnd w:id="10517"/>
      <w:bookmarkEnd w:id="10518"/>
      <w:bookmarkEnd w:id="10519"/>
      <w:bookmarkEnd w:id="10520"/>
      <w:bookmarkEnd w:id="10521"/>
      <w:bookmarkEnd w:id="10522"/>
      <w:bookmarkEnd w:id="10523"/>
      <w:bookmarkEnd w:id="10524"/>
      <w:bookmarkEnd w:id="10525"/>
      <w:bookmarkEnd w:id="10526"/>
      <w:bookmarkEnd w:id="10527"/>
      <w:bookmarkEnd w:id="10528"/>
      <w:bookmarkEnd w:id="10529"/>
      <w:bookmarkEnd w:id="10530"/>
      <w:bookmarkEnd w:id="10531"/>
      <w:bookmarkEnd w:id="10532"/>
      <w:bookmarkEnd w:id="10533"/>
      <w:bookmarkEnd w:id="10534"/>
      <w:bookmarkEnd w:id="10535"/>
      <w:bookmarkEnd w:id="10536"/>
      <w:bookmarkEnd w:id="10537"/>
      <w:bookmarkEnd w:id="10538"/>
      <w:bookmarkEnd w:id="10539"/>
      <w:bookmarkEnd w:id="10540"/>
      <w:bookmarkEnd w:id="10541"/>
      <w:bookmarkEnd w:id="10542"/>
      <w:bookmarkEnd w:id="10543"/>
      <w:bookmarkEnd w:id="10544"/>
      <w:bookmarkEnd w:id="10545"/>
      <w:bookmarkEnd w:id="10546"/>
      <w:bookmarkEnd w:id="10547"/>
      <w:bookmarkEnd w:id="10548"/>
      <w:bookmarkEnd w:id="10549"/>
      <w:bookmarkEnd w:id="10550"/>
      <w:bookmarkEnd w:id="10551"/>
    </w:p>
    <w:tbl>
      <w:tblPr>
        <w:tblW w:w="0" w:type="auto"/>
        <w:tblInd w:w="283" w:type="dxa"/>
        <w:tblLayout w:type="fixed"/>
        <w:tblCellMar>
          <w:left w:w="283" w:type="dxa"/>
          <w:right w:w="283" w:type="dxa"/>
        </w:tblCellMar>
        <w:tblLook w:val="0000" w:firstRow="0" w:lastRow="0" w:firstColumn="0" w:lastColumn="0" w:noHBand="0" w:noVBand="0"/>
      </w:tblPr>
      <w:tblGrid>
        <w:gridCol w:w="3683"/>
        <w:gridCol w:w="3405"/>
      </w:tblGrid>
      <w:tr>
        <w:trPr>
          <w:tblHeader/>
        </w:trPr>
        <w:tc>
          <w:tcPr>
            <w:tcW w:w="3683"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rPr>
                <w:b/>
                <w:bCs/>
              </w:rPr>
            </w:pPr>
            <w:r>
              <w:rPr>
                <w:b/>
                <w:bCs/>
              </w:rPr>
              <w:tab/>
              <w:t>Fish</w:t>
            </w:r>
          </w:p>
        </w:tc>
        <w:tc>
          <w:tcPr>
            <w:tcW w:w="3405"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rPr>
                <w:b/>
                <w:bCs/>
              </w:rPr>
            </w:pPr>
            <w:r>
              <w:rPr>
                <w:b/>
                <w:bCs/>
              </w:rPr>
              <w:tab/>
              <w:t>Trade name</w:t>
            </w:r>
          </w:p>
        </w:tc>
      </w:tr>
      <w:tr>
        <w:tc>
          <w:tcPr>
            <w:tcW w:w="3683" w:type="dxa"/>
            <w:tcMar>
              <w:top w:w="28" w:type="dxa"/>
            </w:tcMar>
          </w:tcPr>
          <w:p>
            <w:pPr>
              <w:pStyle w:val="yTableNAm"/>
              <w:tabs>
                <w:tab w:val="clear" w:pos="567"/>
                <w:tab w:val="left" w:pos="317"/>
                <w:tab w:val="left" w:leader="dot" w:pos="3260"/>
              </w:tabs>
              <w:spacing w:before="0"/>
            </w:pPr>
            <w:r>
              <w:tab/>
              <w:t>Barramundi</w:t>
            </w:r>
          </w:p>
        </w:tc>
        <w:tc>
          <w:tcPr>
            <w:tcW w:w="3405" w:type="dxa"/>
            <w:tcMar>
              <w:top w:w="28" w:type="dxa"/>
            </w:tcMar>
          </w:tcPr>
          <w:p>
            <w:pPr>
              <w:pStyle w:val="yTableNAm"/>
              <w:tabs>
                <w:tab w:val="clear" w:pos="567"/>
                <w:tab w:val="left" w:pos="317"/>
                <w:tab w:val="left" w:leader="dot" w:pos="3260"/>
              </w:tabs>
              <w:spacing w:before="0"/>
            </w:pPr>
            <w:r>
              <w:tab/>
              <w:t>Barramundi</w:t>
            </w:r>
          </w:p>
        </w:tc>
      </w:tr>
      <w:tr>
        <w:tc>
          <w:tcPr>
            <w:tcW w:w="3683" w:type="dxa"/>
            <w:tcBorders>
              <w:bottom w:val="single" w:sz="4" w:space="0" w:color="auto"/>
            </w:tcBorders>
            <w:tcMar>
              <w:top w:w="28" w:type="dxa"/>
            </w:tcMar>
          </w:tcPr>
          <w:p>
            <w:pPr>
              <w:pStyle w:val="yTableNAm"/>
              <w:tabs>
                <w:tab w:val="clear" w:pos="567"/>
                <w:tab w:val="left" w:pos="317"/>
                <w:tab w:val="left" w:leader="dot" w:pos="3260"/>
              </w:tabs>
              <w:spacing w:before="0"/>
            </w:pPr>
            <w:r>
              <w:tab/>
              <w:t>Dhufish, West Australian</w:t>
            </w:r>
          </w:p>
        </w:tc>
        <w:tc>
          <w:tcPr>
            <w:tcW w:w="3405" w:type="dxa"/>
            <w:tcBorders>
              <w:bottom w:val="single" w:sz="4" w:space="0" w:color="auto"/>
            </w:tcBorders>
            <w:tcMar>
              <w:top w:w="28" w:type="dxa"/>
            </w:tcMar>
          </w:tcPr>
          <w:p>
            <w:pPr>
              <w:pStyle w:val="yTableNAm"/>
              <w:tabs>
                <w:tab w:val="clear" w:pos="567"/>
                <w:tab w:val="left" w:pos="317"/>
                <w:tab w:val="left" w:leader="dot" w:pos="3260"/>
              </w:tabs>
              <w:spacing w:before="0"/>
            </w:pPr>
            <w:r>
              <w:tab/>
              <w:t>Dhufish</w:t>
            </w:r>
          </w:p>
        </w:tc>
      </w:tr>
    </w:tbl>
    <w:p>
      <w:pPr>
        <w:pStyle w:val="yFootnotesection"/>
      </w:pPr>
      <w:r>
        <w:tab/>
        <w:t>[Schedule 11 amended in Gazette 1 Oct 2003 p. 4345.]</w:t>
      </w:r>
    </w:p>
    <w:p>
      <w:pPr>
        <w:pStyle w:val="yScheduleHeading"/>
      </w:pPr>
      <w:bookmarkStart w:id="10552" w:name="_Toc189988229"/>
      <w:bookmarkStart w:id="10553" w:name="_Toc192041812"/>
      <w:bookmarkStart w:id="10554" w:name="_Toc199571046"/>
      <w:bookmarkStart w:id="10555" w:name="_Toc199739045"/>
      <w:bookmarkStart w:id="10556" w:name="_Toc199815146"/>
      <w:bookmarkStart w:id="10557" w:name="_Toc215040953"/>
      <w:bookmarkStart w:id="10558" w:name="_Toc215041398"/>
      <w:bookmarkStart w:id="10559" w:name="_Toc222129606"/>
      <w:bookmarkStart w:id="10560" w:name="_Toc222223311"/>
      <w:bookmarkStart w:id="10561" w:name="_Toc225914563"/>
      <w:bookmarkStart w:id="10562" w:name="_Toc231282608"/>
      <w:bookmarkStart w:id="10563" w:name="_Toc231283052"/>
      <w:bookmarkStart w:id="10564" w:name="_Toc234899642"/>
      <w:bookmarkStart w:id="10565" w:name="_Toc236632925"/>
      <w:bookmarkStart w:id="10566" w:name="_Toc236720538"/>
      <w:bookmarkStart w:id="10567" w:name="_Toc237764737"/>
      <w:bookmarkStart w:id="10568" w:name="_Toc238356361"/>
      <w:bookmarkStart w:id="10569" w:name="_Toc238369066"/>
      <w:bookmarkStart w:id="10570" w:name="_Toc238376019"/>
      <w:bookmarkStart w:id="10571" w:name="_Toc240339343"/>
      <w:bookmarkStart w:id="10572" w:name="_Toc241993849"/>
      <w:bookmarkStart w:id="10573" w:name="_Toc243192992"/>
      <w:bookmarkStart w:id="10574" w:name="_Toc243295692"/>
      <w:bookmarkStart w:id="10575" w:name="_Toc245113265"/>
      <w:bookmarkStart w:id="10576" w:name="_Toc245198427"/>
      <w:bookmarkStart w:id="10577" w:name="_Toc245198876"/>
      <w:bookmarkStart w:id="10578" w:name="_Toc245199325"/>
      <w:bookmarkStart w:id="10579" w:name="_Toc248122357"/>
      <w:bookmarkStart w:id="10580" w:name="_Toc248122808"/>
      <w:bookmarkStart w:id="10581" w:name="_Toc253670795"/>
      <w:bookmarkStart w:id="10582" w:name="_Toc253671245"/>
      <w:bookmarkStart w:id="10583" w:name="_Toc254943019"/>
      <w:bookmarkStart w:id="10584" w:name="_Toc254943472"/>
      <w:bookmarkStart w:id="10585" w:name="_Toc255476064"/>
      <w:bookmarkStart w:id="10586" w:name="_Toc256432385"/>
      <w:bookmarkStart w:id="10587" w:name="_Toc257720722"/>
      <w:bookmarkStart w:id="10588" w:name="_Toc257722404"/>
      <w:bookmarkStart w:id="10589" w:name="_Toc258336080"/>
      <w:bookmarkStart w:id="10590" w:name="_Toc260406522"/>
      <w:bookmarkStart w:id="10591" w:name="_Toc261271708"/>
      <w:bookmarkStart w:id="10592" w:name="_Toc262808390"/>
      <w:bookmarkStart w:id="10593" w:name="_Toc267572782"/>
      <w:bookmarkStart w:id="10594" w:name="_Toc270684531"/>
      <w:bookmarkStart w:id="10595" w:name="_Toc274214708"/>
      <w:bookmarkStart w:id="10596" w:name="_Toc274215157"/>
      <w:bookmarkStart w:id="10597" w:name="_Toc278976488"/>
      <w:bookmarkStart w:id="10598" w:name="_Toc286760809"/>
      <w:bookmarkStart w:id="10599" w:name="_Toc289081154"/>
      <w:bookmarkStart w:id="10600" w:name="_Toc290284348"/>
      <w:bookmarkStart w:id="10601" w:name="_Toc290643169"/>
      <w:bookmarkStart w:id="10602" w:name="_Toc290643618"/>
      <w:bookmarkStart w:id="10603" w:name="_Toc290644071"/>
      <w:bookmarkStart w:id="10604" w:name="_Toc294701888"/>
      <w:bookmarkStart w:id="10605" w:name="_Toc295200296"/>
      <w:bookmarkStart w:id="10606" w:name="_Toc296954737"/>
      <w:bookmarkStart w:id="10607" w:name="_Toc297276372"/>
      <w:bookmarkStart w:id="10608" w:name="_Toc297276824"/>
      <w:bookmarkStart w:id="10609" w:name="_Toc297277274"/>
      <w:bookmarkStart w:id="10610" w:name="_Toc297726643"/>
      <w:bookmarkStart w:id="10611" w:name="_Toc299980429"/>
      <w:bookmarkStart w:id="10612" w:name="_Toc300235055"/>
      <w:bookmarkStart w:id="10613" w:name="_Toc301961558"/>
      <w:bookmarkStart w:id="10614" w:name="_Toc301967128"/>
      <w:bookmarkStart w:id="10615" w:name="_Toc303253337"/>
      <w:bookmarkStart w:id="10616" w:name="_Toc303257501"/>
      <w:bookmarkStart w:id="10617" w:name="_Toc307993134"/>
      <w:bookmarkStart w:id="10618" w:name="_Toc309030167"/>
      <w:bookmarkStart w:id="10619" w:name="_Toc309304390"/>
      <w:bookmarkStart w:id="10620" w:name="_Toc309309667"/>
      <w:r>
        <w:rPr>
          <w:rStyle w:val="CharSchNo"/>
        </w:rPr>
        <w:t>Schedule 12</w:t>
      </w:r>
      <w:bookmarkEnd w:id="10552"/>
      <w:bookmarkEnd w:id="10553"/>
      <w:bookmarkEnd w:id="10554"/>
      <w:bookmarkEnd w:id="10555"/>
      <w:bookmarkEnd w:id="10556"/>
      <w:bookmarkEnd w:id="10557"/>
      <w:bookmarkEnd w:id="10558"/>
      <w:bookmarkEnd w:id="10559"/>
      <w:bookmarkEnd w:id="10560"/>
      <w:bookmarkEnd w:id="10561"/>
      <w:bookmarkEnd w:id="10562"/>
      <w:bookmarkEnd w:id="10563"/>
      <w:bookmarkEnd w:id="10564"/>
      <w:bookmarkEnd w:id="10565"/>
      <w:bookmarkEnd w:id="10566"/>
      <w:bookmarkEnd w:id="10567"/>
      <w:bookmarkEnd w:id="10568"/>
      <w:bookmarkEnd w:id="10569"/>
      <w:bookmarkEnd w:id="10570"/>
      <w:bookmarkEnd w:id="10571"/>
      <w:bookmarkEnd w:id="10572"/>
      <w:bookmarkEnd w:id="10573"/>
      <w:bookmarkEnd w:id="10574"/>
      <w:bookmarkEnd w:id="10575"/>
      <w:bookmarkEnd w:id="10576"/>
      <w:bookmarkEnd w:id="10577"/>
      <w:bookmarkEnd w:id="10578"/>
      <w:bookmarkEnd w:id="10579"/>
      <w:bookmarkEnd w:id="10580"/>
      <w:bookmarkEnd w:id="10581"/>
      <w:bookmarkEnd w:id="10582"/>
      <w:bookmarkEnd w:id="10583"/>
      <w:bookmarkEnd w:id="10584"/>
      <w:bookmarkEnd w:id="10585"/>
      <w:bookmarkEnd w:id="10586"/>
      <w:bookmarkEnd w:id="10587"/>
      <w:bookmarkEnd w:id="10588"/>
      <w:bookmarkEnd w:id="10589"/>
      <w:bookmarkEnd w:id="10590"/>
      <w:bookmarkEnd w:id="10591"/>
      <w:bookmarkEnd w:id="10592"/>
      <w:bookmarkEnd w:id="10593"/>
      <w:bookmarkEnd w:id="10594"/>
      <w:bookmarkEnd w:id="10595"/>
      <w:bookmarkEnd w:id="10596"/>
      <w:bookmarkEnd w:id="10597"/>
      <w:bookmarkEnd w:id="10598"/>
      <w:bookmarkEnd w:id="10599"/>
      <w:bookmarkEnd w:id="10600"/>
      <w:bookmarkEnd w:id="10601"/>
      <w:bookmarkEnd w:id="10602"/>
      <w:bookmarkEnd w:id="10603"/>
      <w:bookmarkEnd w:id="10604"/>
      <w:bookmarkEnd w:id="10605"/>
      <w:bookmarkEnd w:id="10606"/>
      <w:bookmarkEnd w:id="10607"/>
      <w:bookmarkEnd w:id="10608"/>
      <w:bookmarkEnd w:id="10609"/>
      <w:bookmarkEnd w:id="10610"/>
      <w:bookmarkEnd w:id="10611"/>
      <w:bookmarkEnd w:id="10612"/>
      <w:bookmarkEnd w:id="10613"/>
      <w:bookmarkEnd w:id="10614"/>
      <w:bookmarkEnd w:id="10615"/>
      <w:bookmarkEnd w:id="10616"/>
      <w:bookmarkEnd w:id="10617"/>
      <w:bookmarkEnd w:id="10618"/>
      <w:bookmarkEnd w:id="10619"/>
      <w:bookmarkEnd w:id="10620"/>
    </w:p>
    <w:p>
      <w:pPr>
        <w:pStyle w:val="yHeading2"/>
        <w:spacing w:before="120"/>
      </w:pPr>
      <w:bookmarkStart w:id="10621" w:name="_Toc189988230"/>
      <w:bookmarkStart w:id="10622" w:name="_Toc192041813"/>
      <w:bookmarkStart w:id="10623" w:name="_Toc199571047"/>
      <w:bookmarkStart w:id="10624" w:name="_Toc199739046"/>
      <w:bookmarkStart w:id="10625" w:name="_Toc199815147"/>
      <w:bookmarkStart w:id="10626" w:name="_Toc215040954"/>
      <w:bookmarkStart w:id="10627" w:name="_Toc215041399"/>
      <w:bookmarkStart w:id="10628" w:name="_Toc222129607"/>
      <w:bookmarkStart w:id="10629" w:name="_Toc222223312"/>
      <w:bookmarkStart w:id="10630" w:name="_Toc225914564"/>
      <w:bookmarkStart w:id="10631" w:name="_Toc231282609"/>
      <w:bookmarkStart w:id="10632" w:name="_Toc231283053"/>
      <w:bookmarkStart w:id="10633" w:name="_Toc234899643"/>
      <w:bookmarkStart w:id="10634" w:name="_Toc236632926"/>
      <w:bookmarkStart w:id="10635" w:name="_Toc236720539"/>
      <w:bookmarkStart w:id="10636" w:name="_Toc237764738"/>
      <w:bookmarkStart w:id="10637" w:name="_Toc238356362"/>
      <w:bookmarkStart w:id="10638" w:name="_Toc238369067"/>
      <w:bookmarkStart w:id="10639" w:name="_Toc238376020"/>
      <w:bookmarkStart w:id="10640" w:name="_Toc240339344"/>
      <w:bookmarkStart w:id="10641" w:name="_Toc241993850"/>
      <w:bookmarkStart w:id="10642" w:name="_Toc243192993"/>
      <w:bookmarkStart w:id="10643" w:name="_Toc243295693"/>
      <w:bookmarkStart w:id="10644" w:name="_Toc245113266"/>
      <w:bookmarkStart w:id="10645" w:name="_Toc245198428"/>
      <w:bookmarkStart w:id="10646" w:name="_Toc245198877"/>
      <w:bookmarkStart w:id="10647" w:name="_Toc245199326"/>
      <w:bookmarkStart w:id="10648" w:name="_Toc248122358"/>
      <w:bookmarkStart w:id="10649" w:name="_Toc248122809"/>
      <w:bookmarkStart w:id="10650" w:name="_Toc253670796"/>
      <w:bookmarkStart w:id="10651" w:name="_Toc253671246"/>
      <w:bookmarkStart w:id="10652" w:name="_Toc254943020"/>
      <w:bookmarkStart w:id="10653" w:name="_Toc254943473"/>
      <w:bookmarkStart w:id="10654" w:name="_Toc255476065"/>
      <w:bookmarkStart w:id="10655" w:name="_Toc256432386"/>
      <w:bookmarkStart w:id="10656" w:name="_Toc257720723"/>
      <w:bookmarkStart w:id="10657" w:name="_Toc257722405"/>
      <w:bookmarkStart w:id="10658" w:name="_Toc258336081"/>
      <w:bookmarkStart w:id="10659" w:name="_Toc260406523"/>
      <w:bookmarkStart w:id="10660" w:name="_Toc261271709"/>
      <w:bookmarkStart w:id="10661" w:name="_Toc262808391"/>
      <w:bookmarkStart w:id="10662" w:name="_Toc267572783"/>
      <w:bookmarkStart w:id="10663" w:name="_Toc270684532"/>
      <w:bookmarkStart w:id="10664" w:name="_Toc274214709"/>
      <w:bookmarkStart w:id="10665" w:name="_Toc274215158"/>
      <w:bookmarkStart w:id="10666" w:name="_Toc278976489"/>
      <w:bookmarkStart w:id="10667" w:name="_Toc286760810"/>
      <w:bookmarkStart w:id="10668" w:name="_Toc289081155"/>
      <w:bookmarkStart w:id="10669" w:name="_Toc290284349"/>
      <w:bookmarkStart w:id="10670" w:name="_Toc290643170"/>
      <w:bookmarkStart w:id="10671" w:name="_Toc290643619"/>
      <w:bookmarkStart w:id="10672" w:name="_Toc290644072"/>
      <w:bookmarkStart w:id="10673" w:name="_Toc294701889"/>
      <w:bookmarkStart w:id="10674" w:name="_Toc295200297"/>
      <w:bookmarkStart w:id="10675" w:name="_Toc296954738"/>
      <w:bookmarkStart w:id="10676" w:name="_Toc297276373"/>
      <w:bookmarkStart w:id="10677" w:name="_Toc297276825"/>
      <w:bookmarkStart w:id="10678" w:name="_Toc297277275"/>
      <w:bookmarkStart w:id="10679" w:name="_Toc297726644"/>
      <w:bookmarkStart w:id="10680" w:name="_Toc299980430"/>
      <w:bookmarkStart w:id="10681" w:name="_Toc300235056"/>
      <w:bookmarkStart w:id="10682" w:name="_Toc301961559"/>
      <w:bookmarkStart w:id="10683" w:name="_Toc301967129"/>
      <w:bookmarkStart w:id="10684" w:name="_Toc303253338"/>
      <w:bookmarkStart w:id="10685" w:name="_Toc303257502"/>
      <w:bookmarkStart w:id="10686" w:name="_Toc307993135"/>
      <w:bookmarkStart w:id="10687" w:name="_Toc309030168"/>
      <w:bookmarkStart w:id="10688" w:name="_Toc309304391"/>
      <w:bookmarkStart w:id="10689" w:name="_Toc309309668"/>
      <w:r>
        <w:rPr>
          <w:rStyle w:val="CharSchText"/>
        </w:rPr>
        <w:t>Modified penalties</w:t>
      </w:r>
      <w:bookmarkEnd w:id="10621"/>
      <w:bookmarkEnd w:id="10622"/>
      <w:bookmarkEnd w:id="10623"/>
      <w:bookmarkEnd w:id="10624"/>
      <w:bookmarkEnd w:id="10625"/>
      <w:bookmarkEnd w:id="10626"/>
      <w:bookmarkEnd w:id="10627"/>
      <w:bookmarkEnd w:id="10628"/>
      <w:bookmarkEnd w:id="10629"/>
      <w:bookmarkEnd w:id="10630"/>
      <w:bookmarkEnd w:id="10631"/>
      <w:bookmarkEnd w:id="10632"/>
      <w:bookmarkEnd w:id="10633"/>
      <w:bookmarkEnd w:id="10634"/>
      <w:bookmarkEnd w:id="10635"/>
      <w:bookmarkEnd w:id="10636"/>
      <w:bookmarkEnd w:id="10637"/>
      <w:bookmarkEnd w:id="10638"/>
      <w:bookmarkEnd w:id="10639"/>
      <w:bookmarkEnd w:id="10640"/>
      <w:bookmarkEnd w:id="10641"/>
      <w:bookmarkEnd w:id="10642"/>
      <w:bookmarkEnd w:id="10643"/>
      <w:bookmarkEnd w:id="10644"/>
      <w:bookmarkEnd w:id="10645"/>
      <w:bookmarkEnd w:id="10646"/>
      <w:bookmarkEnd w:id="10647"/>
      <w:bookmarkEnd w:id="10648"/>
      <w:bookmarkEnd w:id="10649"/>
      <w:bookmarkEnd w:id="10650"/>
      <w:bookmarkEnd w:id="10651"/>
      <w:bookmarkEnd w:id="10652"/>
      <w:bookmarkEnd w:id="10653"/>
      <w:bookmarkEnd w:id="10654"/>
      <w:bookmarkEnd w:id="10655"/>
      <w:bookmarkEnd w:id="10656"/>
      <w:bookmarkEnd w:id="10657"/>
      <w:bookmarkEnd w:id="10658"/>
      <w:bookmarkEnd w:id="10659"/>
      <w:bookmarkEnd w:id="10660"/>
      <w:bookmarkEnd w:id="10661"/>
      <w:bookmarkEnd w:id="10662"/>
      <w:bookmarkEnd w:id="10663"/>
      <w:bookmarkEnd w:id="10664"/>
      <w:bookmarkEnd w:id="10665"/>
      <w:bookmarkEnd w:id="10666"/>
      <w:bookmarkEnd w:id="10667"/>
      <w:bookmarkEnd w:id="10668"/>
      <w:bookmarkEnd w:id="10669"/>
      <w:bookmarkEnd w:id="10670"/>
      <w:bookmarkEnd w:id="10671"/>
      <w:bookmarkEnd w:id="10672"/>
      <w:bookmarkEnd w:id="10673"/>
      <w:bookmarkEnd w:id="10674"/>
      <w:bookmarkEnd w:id="10675"/>
      <w:bookmarkEnd w:id="10676"/>
      <w:bookmarkEnd w:id="10677"/>
      <w:bookmarkEnd w:id="10678"/>
      <w:bookmarkEnd w:id="10679"/>
      <w:bookmarkEnd w:id="10680"/>
      <w:bookmarkEnd w:id="10681"/>
      <w:bookmarkEnd w:id="10682"/>
      <w:bookmarkEnd w:id="10683"/>
      <w:bookmarkEnd w:id="10684"/>
      <w:bookmarkEnd w:id="10685"/>
      <w:bookmarkEnd w:id="10686"/>
      <w:bookmarkEnd w:id="10687"/>
      <w:bookmarkEnd w:id="10688"/>
      <w:bookmarkEnd w:id="10689"/>
    </w:p>
    <w:p>
      <w:pPr>
        <w:pStyle w:val="yShoulderClause"/>
        <w:spacing w:before="80" w:after="80"/>
        <w:rPr>
          <w:snapToGrid w:val="0"/>
        </w:rPr>
      </w:pPr>
      <w:r>
        <w:rPr>
          <w:snapToGrid w:val="0"/>
        </w:rPr>
        <w:t>[s. 229(2) and reg. 162]</w:t>
      </w:r>
    </w:p>
    <w:tbl>
      <w:tblPr>
        <w:tblW w:w="7205" w:type="dxa"/>
        <w:tblInd w:w="142" w:type="dxa"/>
        <w:tblLayout w:type="fixed"/>
        <w:tblCellMar>
          <w:left w:w="142" w:type="dxa"/>
          <w:right w:w="142" w:type="dxa"/>
        </w:tblCellMar>
        <w:tblLook w:val="0000" w:firstRow="0" w:lastRow="0" w:firstColumn="0" w:lastColumn="0" w:noHBand="0" w:noVBand="0"/>
      </w:tblPr>
      <w:tblGrid>
        <w:gridCol w:w="5971"/>
        <w:gridCol w:w="1234"/>
      </w:tblGrid>
      <w:tr>
        <w:trPr>
          <w:tblHeader/>
        </w:trPr>
        <w:tc>
          <w:tcPr>
            <w:tcW w:w="5971" w:type="dxa"/>
            <w:tcBorders>
              <w:top w:val="single" w:sz="8" w:space="0" w:color="auto"/>
              <w:bottom w:val="single" w:sz="8" w:space="0" w:color="auto"/>
            </w:tcBorders>
            <w:tcMar>
              <w:left w:w="113" w:type="dxa"/>
              <w:right w:w="113" w:type="dxa"/>
            </w:tcMar>
          </w:tcPr>
          <w:p>
            <w:pPr>
              <w:pStyle w:val="yTableNAm"/>
              <w:tabs>
                <w:tab w:val="clear" w:pos="567"/>
                <w:tab w:val="left" w:pos="338"/>
                <w:tab w:val="left" w:pos="938"/>
                <w:tab w:val="left" w:leader="dot" w:pos="3260"/>
              </w:tabs>
              <w:spacing w:before="0"/>
              <w:ind w:left="578"/>
              <w:rPr>
                <w:b/>
                <w:bCs/>
              </w:rPr>
            </w:pPr>
            <w:r>
              <w:rPr>
                <w:b/>
                <w:bCs/>
              </w:rPr>
              <w:t>Offence</w:t>
            </w:r>
          </w:p>
          <w:p>
            <w:pPr>
              <w:pStyle w:val="yTableNAm"/>
              <w:tabs>
                <w:tab w:val="clear" w:pos="567"/>
                <w:tab w:val="left" w:pos="338"/>
                <w:tab w:val="left" w:pos="938"/>
                <w:tab w:val="left" w:leader="dot" w:pos="3260"/>
              </w:tabs>
              <w:ind w:left="578"/>
              <w:rPr>
                <w:b/>
                <w:bCs/>
              </w:rPr>
            </w:pPr>
            <w:r>
              <w:rPr>
                <w:b/>
                <w:bCs/>
              </w:rPr>
              <w:t>Part 1 — Sections of the Act</w:t>
            </w:r>
          </w:p>
        </w:tc>
        <w:tc>
          <w:tcPr>
            <w:tcW w:w="1234" w:type="dxa"/>
            <w:tcBorders>
              <w:top w:val="single" w:sz="8" w:space="0" w:color="auto"/>
              <w:bottom w:val="single" w:sz="8" w:space="0" w:color="auto"/>
            </w:tcBorders>
            <w:tcMar>
              <w:left w:w="113" w:type="dxa"/>
              <w:right w:w="113" w:type="dxa"/>
            </w:tcMar>
          </w:tcPr>
          <w:p>
            <w:pPr>
              <w:pStyle w:val="yTableNAm"/>
              <w:tabs>
                <w:tab w:val="clear" w:pos="567"/>
                <w:tab w:val="left" w:leader="dot" w:pos="3260"/>
              </w:tabs>
              <w:spacing w:before="0"/>
              <w:ind w:right="98"/>
              <w:rPr>
                <w:b/>
                <w:bCs/>
              </w:rPr>
            </w:pPr>
            <w:r>
              <w:rPr>
                <w:b/>
                <w:bCs/>
              </w:rPr>
              <w:t>Modified</w:t>
            </w:r>
          </w:p>
          <w:p>
            <w:pPr>
              <w:pStyle w:val="yTableNAm"/>
              <w:tabs>
                <w:tab w:val="clear" w:pos="567"/>
                <w:tab w:val="left" w:leader="dot" w:pos="3260"/>
              </w:tabs>
              <w:spacing w:before="0"/>
              <w:ind w:right="98"/>
              <w:rPr>
                <w:b/>
                <w:bCs/>
              </w:rPr>
            </w:pPr>
            <w:r>
              <w:rPr>
                <w:b/>
                <w:bCs/>
              </w:rPr>
              <w:t>penalty $</w:t>
            </w:r>
          </w:p>
        </w:tc>
      </w:tr>
      <w:tr>
        <w:tc>
          <w:tcPr>
            <w:tcW w:w="5971" w:type="dxa"/>
            <w:tcBorders>
              <w:top w:val="single" w:sz="8" w:space="0" w:color="auto"/>
            </w:tcBorders>
            <w:tcMar>
              <w:top w:w="28" w:type="dxa"/>
              <w:left w:w="113" w:type="dxa"/>
              <w:right w:w="113" w:type="dxa"/>
            </w:tcMar>
          </w:tcPr>
          <w:p>
            <w:pPr>
              <w:pStyle w:val="yTableNAm"/>
              <w:tabs>
                <w:tab w:val="clear" w:pos="567"/>
                <w:tab w:val="left" w:pos="578"/>
                <w:tab w:val="left" w:pos="1058"/>
                <w:tab w:val="left" w:leader="dot" w:pos="3260"/>
                <w:tab w:val="right" w:leader="dot" w:pos="3969"/>
              </w:tabs>
              <w:spacing w:before="0"/>
            </w:pPr>
            <w:r>
              <w:t>1.</w:t>
            </w:r>
            <w:r>
              <w:tab/>
              <w:t>Section 43(3), relating to — </w:t>
            </w:r>
          </w:p>
        </w:tc>
        <w:tc>
          <w:tcPr>
            <w:tcW w:w="1234" w:type="dxa"/>
            <w:tcBorders>
              <w:top w:val="single" w:sz="8" w:space="0" w:color="auto"/>
            </w:tcBorders>
            <w:tcMar>
              <w:top w:w="28" w:type="dxa"/>
              <w:left w:w="113" w:type="dxa"/>
              <w:right w:w="113" w:type="dxa"/>
            </w:tcMar>
          </w:tcPr>
          <w:p>
            <w:pPr>
              <w:pStyle w:val="yTableNAm"/>
              <w:tabs>
                <w:tab w:val="clear" w:pos="567"/>
                <w:tab w:val="left" w:pos="0"/>
                <w:tab w:val="left" w:pos="578"/>
                <w:tab w:val="left" w:pos="1058"/>
                <w:tab w:val="left" w:leader="dot" w:pos="3260"/>
              </w:tabs>
              <w:spacing w:before="0"/>
              <w:jc w:val="right"/>
            </w:pP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(a)</w:t>
            </w:r>
            <w:r>
              <w:tab/>
              <w:t xml:space="preserve">category 1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400.00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(b)</w:t>
            </w:r>
            <w:r>
              <w:tab/>
              <w:t xml:space="preserve">category 2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(c)</w:t>
            </w:r>
            <w:r>
              <w:tab/>
              <w:t xml:space="preserve">category 3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(d)</w:t>
            </w:r>
            <w:r>
              <w:tab/>
              <w:t xml:space="preserve">category 4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2.</w:t>
            </w:r>
            <w:r>
              <w:tab/>
              <w:t>Section 46,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(a)</w:t>
            </w:r>
            <w:r>
              <w:tab/>
              <w:t xml:space="preserve">category 1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(b)</w:t>
            </w:r>
            <w:r>
              <w:tab/>
              <w:t xml:space="preserve">category 2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(c)</w:t>
            </w:r>
            <w:r>
              <w:tab/>
              <w:t xml:space="preserve">category 3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75.00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(d)</w:t>
            </w:r>
            <w:r>
              <w:tab/>
              <w:t xml:space="preserve">category 4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3.</w:t>
            </w:r>
            <w:r>
              <w:tab/>
              <w:t xml:space="preserve">Section 47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4.</w:t>
            </w:r>
            <w:r>
              <w:tab/>
              <w:t xml:space="preserve">Section 49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5.</w:t>
            </w:r>
            <w:r>
              <w:tab/>
              <w:t>Section 50(3),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(a)</w:t>
            </w:r>
            <w:r>
              <w:tab/>
              <w:t xml:space="preserve">category 1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(b)</w:t>
            </w:r>
            <w:r>
              <w:tab/>
              <w:t xml:space="preserve">category 2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(c)</w:t>
            </w:r>
            <w:r>
              <w:tab/>
              <w:t xml:space="preserve">category 3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75.00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(d)</w:t>
            </w:r>
            <w:r>
              <w:tab/>
              <w:t xml:space="preserve">category 4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6.</w:t>
            </w:r>
            <w:r>
              <w:tab/>
              <w:t>Section 51(2),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(a)</w:t>
            </w:r>
            <w:r>
              <w:tab/>
              <w:t xml:space="preserve">category 1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(b)</w:t>
            </w:r>
            <w:r>
              <w:tab/>
              <w:t>category 2 fish</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(c)</w:t>
            </w:r>
            <w:r>
              <w:tab/>
              <w:t xml:space="preserve">category 3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75.00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(d)</w:t>
            </w:r>
            <w:r>
              <w:tab/>
              <w:t xml:space="preserve">category 4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7A.</w:t>
            </w:r>
            <w:r>
              <w:tab/>
              <w:t xml:space="preserve">Section 96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400.00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7.</w:t>
            </w:r>
            <w:r>
              <w:tab/>
              <w:t xml:space="preserve">Section 104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8.</w:t>
            </w:r>
            <w:r>
              <w:tab/>
              <w:t xml:space="preserve">Section 105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9.</w:t>
            </w:r>
            <w:r>
              <w:tab/>
              <w:t xml:space="preserve">Section 106(2)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10.</w:t>
            </w:r>
            <w:r>
              <w:tab/>
              <w:t xml:space="preserve">Section 170(1)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11.</w:t>
            </w:r>
            <w:r>
              <w:tab/>
              <w:t xml:space="preserve">Section 171(1)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12.</w:t>
            </w:r>
            <w:r>
              <w:tab/>
              <w:t xml:space="preserve">Section 172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Borders>
              <w:bottom w:val="single" w:sz="8" w:space="0" w:color="auto"/>
            </w:tcBorders>
            <w:tcMar>
              <w:top w:w="28" w:type="dxa"/>
              <w:left w:w="113" w:type="dxa"/>
              <w:right w:w="113" w:type="dxa"/>
            </w:tcMar>
          </w:tcPr>
          <w:p>
            <w:pPr>
              <w:pStyle w:val="yTableNAm"/>
              <w:tabs>
                <w:tab w:val="clear" w:pos="567"/>
                <w:tab w:val="left" w:pos="578"/>
                <w:tab w:val="left" w:pos="938"/>
                <w:tab w:val="right" w:leader="dot" w:pos="5618"/>
              </w:tabs>
              <w:spacing w:before="0"/>
            </w:pPr>
            <w:r>
              <w:t>13.</w:t>
            </w:r>
            <w:r>
              <w:tab/>
              <w:t xml:space="preserve">Section 190(2) </w:t>
            </w:r>
            <w:r>
              <w:tab/>
            </w:r>
          </w:p>
        </w:tc>
        <w:tc>
          <w:tcPr>
            <w:tcW w:w="1234" w:type="dxa"/>
            <w:tcBorders>
              <w:bottom w:val="single" w:sz="8" w:space="0" w:color="auto"/>
            </w:tcBorders>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bl>
    <w:p>
      <w:pPr>
        <w:pStyle w:val="yFootnotesection"/>
      </w:pPr>
      <w:r>
        <w:tab/>
        <w:t>[Part 1 amended in Gazette 13 Feb 2009 p. 300.]</w:t>
      </w:r>
    </w:p>
    <w:p>
      <w:pPr>
        <w:rPr>
          <w:sz w:val="16"/>
        </w:rPr>
      </w:pPr>
    </w:p>
    <w:tbl>
      <w:tblPr>
        <w:tblW w:w="0" w:type="auto"/>
        <w:tblInd w:w="142" w:type="dxa"/>
        <w:tblLayout w:type="fixed"/>
        <w:tblCellMar>
          <w:left w:w="142" w:type="dxa"/>
          <w:right w:w="142" w:type="dxa"/>
        </w:tblCellMar>
        <w:tblLook w:val="0000" w:firstRow="0" w:lastRow="0" w:firstColumn="0" w:lastColumn="0" w:noHBand="0" w:noVBand="0"/>
      </w:tblPr>
      <w:tblGrid>
        <w:gridCol w:w="5954"/>
        <w:gridCol w:w="1251"/>
      </w:tblGrid>
      <w:tr>
        <w:trPr>
          <w:tblHeader/>
        </w:trPr>
        <w:tc>
          <w:tcPr>
            <w:tcW w:w="5954" w:type="dxa"/>
            <w:tcBorders>
              <w:top w:val="single" w:sz="8" w:space="0" w:color="auto"/>
              <w:bottom w:val="single" w:sz="8" w:space="0" w:color="auto"/>
            </w:tcBorders>
            <w:tcMar>
              <w:top w:w="28" w:type="dxa"/>
              <w:left w:w="113" w:type="dxa"/>
              <w:right w:w="113" w:type="dxa"/>
            </w:tcMar>
          </w:tcPr>
          <w:p>
            <w:pPr>
              <w:pStyle w:val="yTableNAm"/>
              <w:tabs>
                <w:tab w:val="clear" w:pos="567"/>
                <w:tab w:val="left" w:leader="dot" w:pos="3260"/>
              </w:tabs>
              <w:spacing w:before="0"/>
              <w:ind w:left="578"/>
              <w:rPr>
                <w:b/>
                <w:bCs/>
              </w:rPr>
            </w:pPr>
            <w:r>
              <w:rPr>
                <w:b/>
                <w:bCs/>
              </w:rPr>
              <w:t>Offence</w:t>
            </w:r>
          </w:p>
          <w:p>
            <w:pPr>
              <w:pStyle w:val="yTableNAm"/>
              <w:tabs>
                <w:tab w:val="clear" w:pos="567"/>
                <w:tab w:val="left" w:leader="dot" w:pos="3260"/>
              </w:tabs>
              <w:ind w:left="578"/>
              <w:rPr>
                <w:b/>
                <w:bCs/>
              </w:rPr>
            </w:pPr>
            <w:r>
              <w:rPr>
                <w:b/>
                <w:bCs/>
              </w:rPr>
              <w:t>Part 2 — Regulations</w:t>
            </w:r>
          </w:p>
        </w:tc>
        <w:tc>
          <w:tcPr>
            <w:tcW w:w="1246" w:type="dxa"/>
            <w:tcBorders>
              <w:top w:val="single" w:sz="8" w:space="0" w:color="auto"/>
              <w:bottom w:val="single" w:sz="8" w:space="0" w:color="auto"/>
            </w:tcBorders>
            <w:tcMar>
              <w:top w:w="28" w:type="dxa"/>
              <w:left w:w="113" w:type="dxa"/>
              <w:right w:w="113" w:type="dxa"/>
            </w:tcMar>
          </w:tcPr>
          <w:p>
            <w:pPr>
              <w:pStyle w:val="yTableNAm"/>
              <w:tabs>
                <w:tab w:val="clear" w:pos="567"/>
                <w:tab w:val="left" w:leader="dot" w:pos="3260"/>
              </w:tabs>
              <w:spacing w:before="0"/>
              <w:rPr>
                <w:b/>
                <w:bCs/>
              </w:rPr>
            </w:pPr>
            <w:r>
              <w:rPr>
                <w:b/>
                <w:bCs/>
              </w:rPr>
              <w:t>Modified</w:t>
            </w:r>
          </w:p>
          <w:p>
            <w:pPr>
              <w:pStyle w:val="yTableNAm"/>
              <w:tabs>
                <w:tab w:val="clear" w:pos="567"/>
                <w:tab w:val="left" w:leader="dot" w:pos="3260"/>
              </w:tabs>
              <w:spacing w:before="0"/>
              <w:rPr>
                <w:b/>
                <w:bCs/>
              </w:rPr>
            </w:pPr>
            <w:r>
              <w:rPr>
                <w:b/>
                <w:bCs/>
              </w:rPr>
              <w:t>penalty $</w:t>
            </w:r>
          </w:p>
        </w:tc>
      </w:tr>
      <w:tr>
        <w:tc>
          <w:tcPr>
            <w:tcW w:w="5949" w:type="dxa"/>
            <w:tcBorders>
              <w:top w:val="single" w:sz="8" w:space="0" w:color="auto"/>
            </w:tcBorders>
            <w:tcMar>
              <w:top w:w="28" w:type="dxa"/>
              <w:left w:w="113" w:type="dxa"/>
              <w:right w:w="113" w:type="dxa"/>
            </w:tcMar>
          </w:tcPr>
          <w:p>
            <w:pPr>
              <w:pStyle w:val="yTableNAm"/>
              <w:tabs>
                <w:tab w:val="clear" w:pos="567"/>
                <w:tab w:val="left" w:pos="578"/>
                <w:tab w:val="left" w:pos="1058"/>
                <w:tab w:val="right" w:leader="dot" w:pos="5978"/>
              </w:tabs>
              <w:spacing w:before="0"/>
            </w:pPr>
            <w:r>
              <w:t>1.</w:t>
            </w:r>
            <w:r>
              <w:tab/>
              <w:t>Regulation 108</w:t>
            </w:r>
            <w:r>
              <w:tab/>
            </w:r>
          </w:p>
        </w:tc>
        <w:tc>
          <w:tcPr>
            <w:tcW w:w="1251" w:type="dxa"/>
            <w:tcBorders>
              <w:top w:val="single" w:sz="8" w:space="0" w:color="auto"/>
            </w:tcBorders>
            <w:tcMar>
              <w:top w:w="28" w:type="dxa"/>
              <w:left w:w="113" w:type="dxa"/>
              <w:right w:w="113" w:type="dxa"/>
            </w:tcMar>
          </w:tcPr>
          <w:p>
            <w:pPr>
              <w:pStyle w:val="yTableNAm"/>
              <w:tabs>
                <w:tab w:val="clear" w:pos="567"/>
                <w:tab w:val="left" w:leader="dot" w:pos="3260"/>
              </w:tabs>
              <w:spacing w:before="0"/>
              <w:jc w:val="center"/>
            </w:pPr>
            <w:r>
              <w:t>50</w:t>
            </w:r>
          </w:p>
        </w:tc>
      </w:tr>
      <w:tr>
        <w:tc>
          <w:tcPr>
            <w:tcW w:w="5949" w:type="dxa"/>
            <w:tcMar>
              <w:top w:w="28" w:type="dxa"/>
              <w:left w:w="113" w:type="dxa"/>
              <w:right w:w="113" w:type="dxa"/>
            </w:tcMar>
          </w:tcPr>
          <w:p>
            <w:pPr>
              <w:pStyle w:val="yTableNAm"/>
              <w:tabs>
                <w:tab w:val="clear" w:pos="567"/>
                <w:tab w:val="left" w:pos="578"/>
                <w:tab w:val="left" w:pos="1058"/>
                <w:tab w:val="right" w:leader="dot" w:pos="5978"/>
              </w:tabs>
              <w:spacing w:before="0"/>
            </w:pPr>
            <w:r>
              <w:t>2.</w:t>
            </w:r>
            <w:r>
              <w:tab/>
              <w:t xml:space="preserve">Regulations 12(3), 16B, 39, 40, 42, 43, 44 and 64L </w:t>
            </w:r>
            <w:r>
              <w:tab/>
            </w:r>
          </w:p>
        </w:tc>
        <w:tc>
          <w:tcPr>
            <w:tcW w:w="1251" w:type="dxa"/>
            <w:tcMar>
              <w:top w:w="28" w:type="dxa"/>
              <w:left w:w="113" w:type="dxa"/>
              <w:right w:w="113" w:type="dxa"/>
            </w:tcMar>
          </w:tcPr>
          <w:p>
            <w:pPr>
              <w:pStyle w:val="yTableNAm"/>
              <w:tabs>
                <w:tab w:val="clear" w:pos="567"/>
                <w:tab w:val="left" w:leader="dot" w:pos="3260"/>
              </w:tabs>
              <w:spacing w:before="0"/>
              <w:jc w:val="center"/>
            </w:pPr>
            <w:r>
              <w:t>75</w:t>
            </w:r>
          </w:p>
        </w:tc>
      </w:tr>
      <w:tr>
        <w:tc>
          <w:tcPr>
            <w:tcW w:w="5949" w:type="dxa"/>
            <w:tcMar>
              <w:top w:w="28" w:type="dxa"/>
              <w:left w:w="113" w:type="dxa"/>
              <w:right w:w="113" w:type="dxa"/>
            </w:tcMar>
          </w:tcPr>
          <w:p>
            <w:pPr>
              <w:pStyle w:val="yTableNAm"/>
              <w:tabs>
                <w:tab w:val="clear" w:pos="567"/>
                <w:tab w:val="left" w:pos="578"/>
                <w:tab w:val="right" w:leader="dot" w:pos="5978"/>
              </w:tabs>
              <w:spacing w:before="0"/>
              <w:ind w:left="578" w:hanging="578"/>
            </w:pPr>
            <w:r>
              <w:t>3.</w:t>
            </w:r>
            <w:r>
              <w:tab/>
              <w:t xml:space="preserve">Regulations 14, 15, 16, 16A, 22, 32(1), </w:t>
            </w:r>
            <w:r>
              <w:rPr>
                <w:szCs w:val="22"/>
              </w:rPr>
              <w:t>44A(2), 55F(1),</w:t>
            </w:r>
            <w:r>
              <w:t xml:space="preserve"> 56, 60, 61, 64F, 64G, 64H, 64I(5), 64J, 64K, 64Q, 74, 75, 77, 79, 80, 81, 84, 85, 86, 91, 96, 97, 98, 99, 100, 101, 102, 103, 104, 105, 106, 107, 109, 110, 111, 112, 113, 113A(5), 113A(6), 113B(2), 113B(3), 113C(2), 113E(3), 117, 119(2), 121(1), 123(1), 124B(2), 125(1), 128D, 128E(2) (in the case of an individual), 128L(3), 130, 130A and 144 </w:t>
            </w:r>
            <w:r>
              <w:tab/>
            </w:r>
          </w:p>
        </w:tc>
        <w:tc>
          <w:tcPr>
            <w:tcW w:w="1251" w:type="dxa"/>
            <w:tcMar>
              <w:top w:w="28" w:type="dxa"/>
              <w:left w:w="113" w:type="dxa"/>
              <w:right w:w="113"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br/>
            </w:r>
            <w:r>
              <w:br/>
              <w:t>100</w:t>
            </w:r>
          </w:p>
        </w:tc>
      </w:tr>
      <w:tr>
        <w:tc>
          <w:tcPr>
            <w:tcW w:w="5949" w:type="dxa"/>
            <w:tcMar>
              <w:top w:w="28" w:type="dxa"/>
              <w:left w:w="113" w:type="dxa"/>
              <w:right w:w="113" w:type="dxa"/>
            </w:tcMar>
          </w:tcPr>
          <w:p>
            <w:pPr>
              <w:pStyle w:val="yTableNAm"/>
              <w:tabs>
                <w:tab w:val="clear" w:pos="567"/>
                <w:tab w:val="left" w:pos="578"/>
                <w:tab w:val="right" w:leader="dot" w:pos="5978"/>
              </w:tabs>
              <w:spacing w:before="0"/>
              <w:ind w:left="578" w:hanging="578"/>
            </w:pPr>
            <w:r>
              <w:t>4.</w:t>
            </w:r>
            <w:r>
              <w:tab/>
              <w:t xml:space="preserve">Regulations 12(1) and (2), 16E(3C), 16L, 17A(3), 31, 31A(1), 35, 36(1), 38, 38B, 38C, 38D(2), 38E, </w:t>
            </w:r>
            <w:r>
              <w:rPr>
                <w:szCs w:val="22"/>
              </w:rPr>
              <w:t xml:space="preserve">38F, 38GA, </w:t>
            </w:r>
            <w:r>
              <w:t xml:space="preserve">41, 56A, 57(1), 62, 63, 64, 64C(1), 64DA, 64E, 64NA, 64O, 64OAA(2), 64OAA(3), 64OB, 64OD, 64OE, 64P, 71, 113A(1), 113A(2), 113A(4), 113B(1), 113C(1), 113E(1), 121(2), 128A(1), 128C, 128E(1), 128E(2) (in the case of a body corporate), 128E(4), 128E(6), 128H, 128L(1), 128M, 128S(2) and 145 </w:t>
            </w:r>
            <w:r>
              <w:tab/>
            </w:r>
          </w:p>
        </w:tc>
        <w:tc>
          <w:tcPr>
            <w:tcW w:w="1251" w:type="dxa"/>
            <w:tcMar>
              <w:top w:w="28" w:type="dxa"/>
              <w:left w:w="113" w:type="dxa"/>
              <w:right w:w="113"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br/>
            </w:r>
            <w:r>
              <w:br/>
              <w:t>200</w:t>
            </w:r>
          </w:p>
        </w:tc>
      </w:tr>
      <w:tr>
        <w:tc>
          <w:tcPr>
            <w:tcW w:w="5949" w:type="dxa"/>
            <w:tcMar>
              <w:top w:w="28" w:type="dxa"/>
              <w:left w:w="113" w:type="dxa"/>
              <w:right w:w="113" w:type="dxa"/>
            </w:tcMar>
          </w:tcPr>
          <w:p>
            <w:pPr>
              <w:pStyle w:val="yTableNAm"/>
              <w:tabs>
                <w:tab w:val="clear" w:pos="567"/>
                <w:tab w:val="left" w:pos="578"/>
                <w:tab w:val="right" w:leader="dot" w:pos="5978"/>
              </w:tabs>
              <w:spacing w:before="0"/>
              <w:ind w:left="578" w:hanging="578"/>
            </w:pPr>
            <w:r>
              <w:t>5.</w:t>
            </w:r>
            <w:r>
              <w:tab/>
              <w:t xml:space="preserve">Regulations 16E(3E), 38H, 38I(1), 38J, 38K, 38L, 38M, 38N(1), 38O(1), 45(2), 64S(1), 64S(3), 64T, 128G(1), 128G(2), 128I, 128K, 128R, 128S(3), 128S(4) and 128P </w:t>
            </w:r>
            <w:r>
              <w:tab/>
            </w:r>
          </w:p>
        </w:tc>
        <w:tc>
          <w:tcPr>
            <w:tcW w:w="1251" w:type="dxa"/>
            <w:tcMar>
              <w:top w:w="28" w:type="dxa"/>
              <w:left w:w="113" w:type="dxa"/>
              <w:right w:w="113"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t>400</w:t>
            </w:r>
          </w:p>
        </w:tc>
      </w:tr>
      <w:tr>
        <w:tc>
          <w:tcPr>
            <w:tcW w:w="5949" w:type="dxa"/>
            <w:tcMar>
              <w:top w:w="28" w:type="dxa"/>
              <w:left w:w="113" w:type="dxa"/>
              <w:right w:w="113" w:type="dxa"/>
            </w:tcMar>
          </w:tcPr>
          <w:p>
            <w:pPr>
              <w:pStyle w:val="yTableNAm"/>
              <w:tabs>
                <w:tab w:val="clear" w:pos="567"/>
                <w:tab w:val="left" w:pos="578"/>
                <w:tab w:val="right" w:leader="dot" w:pos="5978"/>
              </w:tabs>
              <w:spacing w:before="0"/>
              <w:ind w:left="578" w:hanging="578"/>
            </w:pPr>
            <w:r>
              <w:t>6.</w:t>
            </w:r>
            <w:r>
              <w:tab/>
              <w:t>Regulation 128O, relating to —</w:t>
            </w:r>
          </w:p>
        </w:tc>
        <w:tc>
          <w:tcPr>
            <w:tcW w:w="1251" w:type="dxa"/>
            <w:tcMar>
              <w:top w:w="28" w:type="dxa"/>
              <w:left w:w="113" w:type="dxa"/>
              <w:right w:w="113" w:type="dxa"/>
            </w:tcMar>
          </w:tcPr>
          <w:p>
            <w:pPr>
              <w:pStyle w:val="yTableNAm"/>
              <w:tabs>
                <w:tab w:val="clear" w:pos="567"/>
                <w:tab w:val="left" w:leader="dot" w:pos="3260"/>
              </w:tabs>
              <w:spacing w:before="0"/>
              <w:jc w:val="center"/>
            </w:pPr>
          </w:p>
        </w:tc>
      </w:tr>
      <w:tr>
        <w:tc>
          <w:tcPr>
            <w:tcW w:w="5949" w:type="dxa"/>
            <w:tcMar>
              <w:top w:w="28" w:type="dxa"/>
              <w:left w:w="113" w:type="dxa"/>
              <w:right w:w="113" w:type="dxa"/>
            </w:tcMar>
          </w:tcPr>
          <w:p>
            <w:pPr>
              <w:pStyle w:val="yTableNAm"/>
              <w:tabs>
                <w:tab w:val="clear" w:pos="567"/>
                <w:tab w:val="left" w:pos="1058"/>
                <w:tab w:val="right" w:leader="dot" w:pos="5978"/>
              </w:tabs>
              <w:spacing w:before="0"/>
              <w:ind w:left="578" w:hanging="578"/>
            </w:pPr>
            <w:r>
              <w:tab/>
              <w:t>(a)</w:t>
            </w:r>
            <w:r>
              <w:tab/>
              <w:t xml:space="preserve">category 1 fish </w:t>
            </w:r>
            <w:r>
              <w:tab/>
            </w:r>
          </w:p>
        </w:tc>
        <w:tc>
          <w:tcPr>
            <w:tcW w:w="1251" w:type="dxa"/>
            <w:tcMar>
              <w:top w:w="28" w:type="dxa"/>
              <w:left w:w="113" w:type="dxa"/>
              <w:right w:w="113" w:type="dxa"/>
            </w:tcMar>
          </w:tcPr>
          <w:p>
            <w:pPr>
              <w:pStyle w:val="yTableNAm"/>
              <w:tabs>
                <w:tab w:val="clear" w:pos="567"/>
                <w:tab w:val="left" w:leader="dot" w:pos="3260"/>
              </w:tabs>
              <w:spacing w:before="0"/>
              <w:jc w:val="center"/>
            </w:pPr>
            <w:r>
              <w:t>400</w:t>
            </w:r>
          </w:p>
        </w:tc>
      </w:tr>
      <w:tr>
        <w:tc>
          <w:tcPr>
            <w:tcW w:w="5949" w:type="dxa"/>
            <w:tcMar>
              <w:top w:w="28" w:type="dxa"/>
              <w:left w:w="113" w:type="dxa"/>
              <w:right w:w="113" w:type="dxa"/>
            </w:tcMar>
          </w:tcPr>
          <w:p>
            <w:pPr>
              <w:pStyle w:val="yTableNAm"/>
              <w:tabs>
                <w:tab w:val="clear" w:pos="567"/>
                <w:tab w:val="left" w:pos="1058"/>
                <w:tab w:val="right" w:leader="dot" w:pos="5978"/>
              </w:tabs>
              <w:spacing w:before="0"/>
              <w:ind w:left="578" w:hanging="578"/>
            </w:pPr>
            <w:r>
              <w:tab/>
              <w:t>(b)</w:t>
            </w:r>
            <w:r>
              <w:tab/>
              <w:t xml:space="preserve">category 2 fish </w:t>
            </w:r>
            <w:r>
              <w:tab/>
            </w:r>
          </w:p>
        </w:tc>
        <w:tc>
          <w:tcPr>
            <w:tcW w:w="1251" w:type="dxa"/>
            <w:tcMar>
              <w:top w:w="28" w:type="dxa"/>
              <w:left w:w="113" w:type="dxa"/>
              <w:right w:w="113" w:type="dxa"/>
            </w:tcMar>
          </w:tcPr>
          <w:p>
            <w:pPr>
              <w:pStyle w:val="yTableNAm"/>
              <w:tabs>
                <w:tab w:val="clear" w:pos="567"/>
                <w:tab w:val="left" w:leader="dot" w:pos="3260"/>
              </w:tabs>
              <w:spacing w:before="0"/>
              <w:jc w:val="center"/>
            </w:pPr>
            <w:r>
              <w:t>200</w:t>
            </w:r>
          </w:p>
        </w:tc>
      </w:tr>
      <w:tr>
        <w:tc>
          <w:tcPr>
            <w:tcW w:w="5949" w:type="dxa"/>
            <w:tcMar>
              <w:top w:w="28" w:type="dxa"/>
              <w:left w:w="113" w:type="dxa"/>
              <w:right w:w="113" w:type="dxa"/>
            </w:tcMar>
          </w:tcPr>
          <w:p>
            <w:pPr>
              <w:pStyle w:val="yTableNAm"/>
              <w:tabs>
                <w:tab w:val="clear" w:pos="567"/>
                <w:tab w:val="left" w:pos="1058"/>
                <w:tab w:val="right" w:leader="dot" w:pos="5978"/>
              </w:tabs>
              <w:spacing w:before="0"/>
              <w:ind w:left="578" w:hanging="578"/>
            </w:pPr>
            <w:r>
              <w:tab/>
              <w:t>(c)</w:t>
            </w:r>
            <w:r>
              <w:tab/>
              <w:t xml:space="preserve">category 3 fish </w:t>
            </w:r>
            <w:r>
              <w:tab/>
            </w:r>
          </w:p>
        </w:tc>
        <w:tc>
          <w:tcPr>
            <w:tcW w:w="1251" w:type="dxa"/>
            <w:tcMar>
              <w:top w:w="28" w:type="dxa"/>
              <w:left w:w="113" w:type="dxa"/>
              <w:right w:w="113" w:type="dxa"/>
            </w:tcMar>
          </w:tcPr>
          <w:p>
            <w:pPr>
              <w:pStyle w:val="yTableNAm"/>
              <w:tabs>
                <w:tab w:val="clear" w:pos="567"/>
                <w:tab w:val="left" w:leader="dot" w:pos="3260"/>
              </w:tabs>
              <w:spacing w:before="0"/>
              <w:jc w:val="center"/>
            </w:pPr>
            <w:r>
              <w:t>100</w:t>
            </w:r>
          </w:p>
        </w:tc>
      </w:tr>
      <w:tr>
        <w:tc>
          <w:tcPr>
            <w:tcW w:w="5949" w:type="dxa"/>
            <w:tcBorders>
              <w:bottom w:val="single" w:sz="8" w:space="0" w:color="auto"/>
            </w:tcBorders>
            <w:tcMar>
              <w:top w:w="28" w:type="dxa"/>
              <w:left w:w="113" w:type="dxa"/>
              <w:right w:w="113" w:type="dxa"/>
            </w:tcMar>
          </w:tcPr>
          <w:p>
            <w:pPr>
              <w:pStyle w:val="yTableNAm"/>
              <w:tabs>
                <w:tab w:val="clear" w:pos="567"/>
                <w:tab w:val="left" w:pos="1058"/>
                <w:tab w:val="right" w:leader="dot" w:pos="5978"/>
              </w:tabs>
              <w:spacing w:before="0"/>
              <w:ind w:left="578" w:hanging="578"/>
            </w:pPr>
            <w:r>
              <w:tab/>
              <w:t>(d)</w:t>
            </w:r>
            <w:r>
              <w:tab/>
              <w:t xml:space="preserve">category 4 fish </w:t>
            </w:r>
            <w:r>
              <w:tab/>
            </w:r>
          </w:p>
        </w:tc>
        <w:tc>
          <w:tcPr>
            <w:tcW w:w="1251" w:type="dxa"/>
            <w:tcBorders>
              <w:bottom w:val="single" w:sz="8" w:space="0" w:color="auto"/>
            </w:tcBorders>
            <w:tcMar>
              <w:top w:w="28" w:type="dxa"/>
              <w:left w:w="113" w:type="dxa"/>
              <w:right w:w="113" w:type="dxa"/>
            </w:tcMar>
          </w:tcPr>
          <w:p>
            <w:pPr>
              <w:pStyle w:val="yTableNAm"/>
              <w:tabs>
                <w:tab w:val="clear" w:pos="567"/>
                <w:tab w:val="left" w:leader="dot" w:pos="3260"/>
              </w:tabs>
              <w:spacing w:before="0"/>
              <w:jc w:val="center"/>
            </w:pPr>
            <w:r>
              <w:t>100</w:t>
            </w:r>
          </w:p>
        </w:tc>
      </w:tr>
    </w:tbl>
    <w:p>
      <w:pPr>
        <w:pStyle w:val="yFootnotesection"/>
      </w:pPr>
      <w:r>
        <w:tab/>
        <w:t>[Part 2 amended in Gazette 8 Sep 2000 p. 5188; 29 Dec 2000 p. 7979; 29 Jun 2001 p. 3179</w:t>
      </w:r>
      <w:r>
        <w:noBreakHyphen/>
        <w:t>80; 14 Nov 2001 p. 5979; 29 Nov 2002 p. 5655; 27 Jun 2003 p. 2394</w:t>
      </w:r>
      <w:r>
        <w:noBreakHyphen/>
        <w:t>5; 1 Oct 2003 p. 4345</w:t>
      </w:r>
      <w:r>
        <w:noBreakHyphen/>
        <w:t>6; 28 Nov 2003 p. 4776; 23 Dec 2003 p. 5206; 4 Nov 2005 p. 5317; 11 Nov 2005 p. 5566; 22 Dec 2005 p. 6239; 23 May 2006 p. 1861; 29 Dec 2006 p. 5892; 6 Jul 2007 p. 3389; 4 Sep 2007 p. 4521; 21 Dec 2007 p. 6326; 19 Dec 2008 p. 5363; 3 Jul 2009 p. 2680; 29 Sep 2009 p. 3882; 8 Dec 2009 p. 4997</w:t>
      </w:r>
      <w:r>
        <w:noBreakHyphen/>
        <w:t>8; 12 Feb 2010 p. 587; 27 Aug 2010 p. 4107; 1 Mar 2011 p. 672</w:t>
      </w:r>
      <w:r>
        <w:noBreakHyphen/>
        <w:t>3; 2 Nov 2011 p. 4625.]</w:t>
      </w:r>
    </w:p>
    <w:p>
      <w:pPr>
        <w:tabs>
          <w:tab w:val="left" w:pos="938"/>
          <w:tab w:val="left" w:pos="1058"/>
          <w:tab w:val="right" w:leader="dot" w:pos="5978"/>
        </w:tabs>
        <w:spacing w:before="60"/>
        <w:sectPr>
          <w:headerReference w:type="even" r:id="rId34"/>
          <w:headerReference w:type="default" r:id="rId35"/>
          <w:pgSz w:w="11906" w:h="16838" w:code="9"/>
          <w:pgMar w:top="2381" w:right="2409" w:bottom="3543" w:left="2409" w:header="720" w:footer="3380" w:gutter="0"/>
          <w:cols w:space="720"/>
          <w:noEndnote/>
          <w:docGrid w:linePitch="326"/>
        </w:sectPr>
      </w:pPr>
    </w:p>
    <w:p>
      <w:pPr>
        <w:pStyle w:val="yScheduleHeading"/>
      </w:pPr>
      <w:bookmarkStart w:id="10690" w:name="_Toc189988231"/>
      <w:bookmarkStart w:id="10691" w:name="_Toc192041814"/>
      <w:bookmarkStart w:id="10692" w:name="_Toc199571048"/>
      <w:bookmarkStart w:id="10693" w:name="_Toc199739047"/>
      <w:bookmarkStart w:id="10694" w:name="_Toc199815148"/>
      <w:bookmarkStart w:id="10695" w:name="_Toc215040955"/>
      <w:bookmarkStart w:id="10696" w:name="_Toc215041400"/>
      <w:bookmarkStart w:id="10697" w:name="_Toc222129608"/>
      <w:bookmarkStart w:id="10698" w:name="_Toc222223313"/>
      <w:bookmarkStart w:id="10699" w:name="_Toc225914565"/>
      <w:bookmarkStart w:id="10700" w:name="_Toc231282610"/>
      <w:bookmarkStart w:id="10701" w:name="_Toc231283054"/>
      <w:bookmarkStart w:id="10702" w:name="_Toc234899644"/>
      <w:bookmarkStart w:id="10703" w:name="_Toc236632927"/>
      <w:bookmarkStart w:id="10704" w:name="_Toc236720540"/>
      <w:bookmarkStart w:id="10705" w:name="_Toc237764739"/>
      <w:bookmarkStart w:id="10706" w:name="_Toc238356363"/>
      <w:bookmarkStart w:id="10707" w:name="_Toc238369068"/>
      <w:bookmarkStart w:id="10708" w:name="_Toc238376021"/>
      <w:bookmarkStart w:id="10709" w:name="_Toc240339345"/>
      <w:bookmarkStart w:id="10710" w:name="_Toc241993851"/>
      <w:bookmarkStart w:id="10711" w:name="_Toc243192994"/>
      <w:bookmarkStart w:id="10712" w:name="_Toc243295694"/>
      <w:bookmarkStart w:id="10713" w:name="_Toc245113267"/>
      <w:bookmarkStart w:id="10714" w:name="_Toc245198429"/>
      <w:bookmarkStart w:id="10715" w:name="_Toc245198878"/>
      <w:bookmarkStart w:id="10716" w:name="_Toc245199327"/>
      <w:bookmarkStart w:id="10717" w:name="_Toc248122359"/>
      <w:bookmarkStart w:id="10718" w:name="_Toc248122810"/>
      <w:bookmarkStart w:id="10719" w:name="_Toc253670797"/>
      <w:bookmarkStart w:id="10720" w:name="_Toc253671247"/>
      <w:bookmarkStart w:id="10721" w:name="_Toc254943021"/>
      <w:bookmarkStart w:id="10722" w:name="_Toc254943474"/>
      <w:bookmarkStart w:id="10723" w:name="_Toc255476066"/>
      <w:bookmarkStart w:id="10724" w:name="_Toc256432387"/>
      <w:bookmarkStart w:id="10725" w:name="_Toc257720724"/>
      <w:bookmarkStart w:id="10726" w:name="_Toc257722406"/>
      <w:bookmarkStart w:id="10727" w:name="_Toc258336082"/>
      <w:bookmarkStart w:id="10728" w:name="_Toc260406524"/>
      <w:bookmarkStart w:id="10729" w:name="_Toc261271710"/>
      <w:bookmarkStart w:id="10730" w:name="_Toc262808392"/>
      <w:bookmarkStart w:id="10731" w:name="_Toc267572784"/>
      <w:bookmarkStart w:id="10732" w:name="_Toc270684533"/>
      <w:bookmarkStart w:id="10733" w:name="_Toc274214710"/>
      <w:bookmarkStart w:id="10734" w:name="_Toc274215159"/>
      <w:bookmarkStart w:id="10735" w:name="_Toc278976490"/>
      <w:bookmarkStart w:id="10736" w:name="_Toc286760811"/>
      <w:bookmarkStart w:id="10737" w:name="_Toc289081156"/>
      <w:bookmarkStart w:id="10738" w:name="_Toc290284350"/>
      <w:bookmarkStart w:id="10739" w:name="_Toc290643171"/>
      <w:bookmarkStart w:id="10740" w:name="_Toc290643620"/>
      <w:bookmarkStart w:id="10741" w:name="_Toc290644073"/>
      <w:bookmarkStart w:id="10742" w:name="_Toc294701890"/>
      <w:bookmarkStart w:id="10743" w:name="_Toc295200298"/>
      <w:bookmarkStart w:id="10744" w:name="_Toc296954739"/>
      <w:bookmarkStart w:id="10745" w:name="_Toc297276374"/>
      <w:bookmarkStart w:id="10746" w:name="_Toc297276826"/>
      <w:bookmarkStart w:id="10747" w:name="_Toc297277276"/>
      <w:bookmarkStart w:id="10748" w:name="_Toc297726645"/>
      <w:bookmarkStart w:id="10749" w:name="_Toc299980431"/>
      <w:bookmarkStart w:id="10750" w:name="_Toc300235057"/>
      <w:bookmarkStart w:id="10751" w:name="_Toc301961560"/>
      <w:bookmarkStart w:id="10752" w:name="_Toc301967130"/>
      <w:bookmarkStart w:id="10753" w:name="_Toc303253339"/>
      <w:bookmarkStart w:id="10754" w:name="_Toc303257503"/>
      <w:bookmarkStart w:id="10755" w:name="_Toc307993136"/>
      <w:bookmarkStart w:id="10756" w:name="_Toc309030169"/>
      <w:bookmarkStart w:id="10757" w:name="_Toc309304392"/>
      <w:bookmarkStart w:id="10758" w:name="_Toc309309669"/>
      <w:r>
        <w:rPr>
          <w:rStyle w:val="CharSchNo"/>
        </w:rPr>
        <w:t>Schedule 13</w:t>
      </w:r>
      <w:bookmarkEnd w:id="10690"/>
      <w:bookmarkEnd w:id="10691"/>
      <w:bookmarkEnd w:id="10692"/>
      <w:bookmarkEnd w:id="10693"/>
      <w:bookmarkEnd w:id="10694"/>
      <w:bookmarkEnd w:id="10695"/>
      <w:bookmarkEnd w:id="10696"/>
      <w:bookmarkEnd w:id="10697"/>
      <w:bookmarkEnd w:id="10698"/>
      <w:bookmarkEnd w:id="10699"/>
      <w:bookmarkEnd w:id="10700"/>
      <w:bookmarkEnd w:id="10701"/>
      <w:bookmarkEnd w:id="10702"/>
      <w:bookmarkEnd w:id="10703"/>
      <w:bookmarkEnd w:id="10704"/>
      <w:bookmarkEnd w:id="10705"/>
      <w:bookmarkEnd w:id="10706"/>
      <w:bookmarkEnd w:id="10707"/>
      <w:bookmarkEnd w:id="10708"/>
      <w:bookmarkEnd w:id="10709"/>
      <w:bookmarkEnd w:id="10710"/>
      <w:bookmarkEnd w:id="10711"/>
      <w:bookmarkEnd w:id="10712"/>
      <w:bookmarkEnd w:id="10713"/>
      <w:bookmarkEnd w:id="10714"/>
      <w:bookmarkEnd w:id="10715"/>
      <w:bookmarkEnd w:id="10716"/>
      <w:bookmarkEnd w:id="10717"/>
      <w:bookmarkEnd w:id="10718"/>
      <w:bookmarkEnd w:id="10719"/>
      <w:bookmarkEnd w:id="10720"/>
      <w:bookmarkEnd w:id="10721"/>
      <w:bookmarkEnd w:id="10722"/>
      <w:bookmarkEnd w:id="10723"/>
      <w:bookmarkEnd w:id="10724"/>
      <w:bookmarkEnd w:id="10725"/>
      <w:bookmarkEnd w:id="10726"/>
      <w:bookmarkEnd w:id="10727"/>
      <w:bookmarkEnd w:id="10728"/>
      <w:bookmarkEnd w:id="10729"/>
      <w:bookmarkEnd w:id="10730"/>
      <w:bookmarkEnd w:id="10731"/>
      <w:bookmarkEnd w:id="10732"/>
      <w:bookmarkEnd w:id="10733"/>
      <w:bookmarkEnd w:id="10734"/>
      <w:bookmarkEnd w:id="10735"/>
      <w:bookmarkEnd w:id="10736"/>
      <w:bookmarkEnd w:id="10737"/>
      <w:bookmarkEnd w:id="10738"/>
      <w:bookmarkEnd w:id="10739"/>
      <w:bookmarkEnd w:id="10740"/>
      <w:bookmarkEnd w:id="10741"/>
      <w:bookmarkEnd w:id="10742"/>
      <w:bookmarkEnd w:id="10743"/>
      <w:bookmarkEnd w:id="10744"/>
      <w:bookmarkEnd w:id="10745"/>
      <w:bookmarkEnd w:id="10746"/>
      <w:bookmarkEnd w:id="10747"/>
      <w:bookmarkEnd w:id="10748"/>
      <w:bookmarkEnd w:id="10749"/>
      <w:bookmarkEnd w:id="10750"/>
      <w:bookmarkEnd w:id="10751"/>
      <w:bookmarkEnd w:id="10752"/>
      <w:bookmarkEnd w:id="10753"/>
      <w:bookmarkEnd w:id="10754"/>
      <w:bookmarkEnd w:id="10755"/>
      <w:bookmarkEnd w:id="10756"/>
      <w:bookmarkEnd w:id="10757"/>
      <w:bookmarkEnd w:id="10758"/>
    </w:p>
    <w:p>
      <w:pPr>
        <w:pStyle w:val="yShoulderClause"/>
        <w:rPr>
          <w:snapToGrid w:val="0"/>
        </w:rPr>
      </w:pPr>
      <w:r>
        <w:rPr>
          <w:snapToGrid w:val="0"/>
        </w:rPr>
        <w:t>[reg. 38]</w:t>
      </w:r>
    </w:p>
    <w:p>
      <w:pPr>
        <w:pStyle w:val="yHeading2"/>
        <w:spacing w:before="120"/>
      </w:pPr>
      <w:bookmarkStart w:id="10759" w:name="_Toc189988232"/>
      <w:bookmarkStart w:id="10760" w:name="_Toc192041815"/>
      <w:bookmarkStart w:id="10761" w:name="_Toc199571049"/>
      <w:bookmarkStart w:id="10762" w:name="_Toc199739048"/>
      <w:bookmarkStart w:id="10763" w:name="_Toc199815149"/>
      <w:bookmarkStart w:id="10764" w:name="_Toc215040956"/>
      <w:bookmarkStart w:id="10765" w:name="_Toc215041401"/>
      <w:bookmarkStart w:id="10766" w:name="_Toc222129609"/>
      <w:bookmarkStart w:id="10767" w:name="_Toc222223314"/>
      <w:bookmarkStart w:id="10768" w:name="_Toc225914566"/>
      <w:bookmarkStart w:id="10769" w:name="_Toc231282611"/>
      <w:bookmarkStart w:id="10770" w:name="_Toc231283055"/>
      <w:bookmarkStart w:id="10771" w:name="_Toc234899645"/>
      <w:bookmarkStart w:id="10772" w:name="_Toc236632928"/>
      <w:bookmarkStart w:id="10773" w:name="_Toc236720541"/>
      <w:bookmarkStart w:id="10774" w:name="_Toc237764740"/>
      <w:bookmarkStart w:id="10775" w:name="_Toc238356364"/>
      <w:bookmarkStart w:id="10776" w:name="_Toc238369069"/>
      <w:bookmarkStart w:id="10777" w:name="_Toc238376022"/>
      <w:bookmarkStart w:id="10778" w:name="_Toc240339346"/>
      <w:bookmarkStart w:id="10779" w:name="_Toc241993852"/>
      <w:bookmarkStart w:id="10780" w:name="_Toc243192995"/>
      <w:bookmarkStart w:id="10781" w:name="_Toc243295695"/>
      <w:bookmarkStart w:id="10782" w:name="_Toc245113268"/>
      <w:bookmarkStart w:id="10783" w:name="_Toc245198430"/>
      <w:bookmarkStart w:id="10784" w:name="_Toc245198879"/>
      <w:bookmarkStart w:id="10785" w:name="_Toc245199328"/>
      <w:bookmarkStart w:id="10786" w:name="_Toc248122360"/>
      <w:bookmarkStart w:id="10787" w:name="_Toc248122811"/>
      <w:bookmarkStart w:id="10788" w:name="_Toc253670798"/>
      <w:bookmarkStart w:id="10789" w:name="_Toc253671248"/>
      <w:bookmarkStart w:id="10790" w:name="_Toc254943022"/>
      <w:bookmarkStart w:id="10791" w:name="_Toc254943475"/>
      <w:bookmarkStart w:id="10792" w:name="_Toc255476067"/>
      <w:bookmarkStart w:id="10793" w:name="_Toc256432388"/>
      <w:bookmarkStart w:id="10794" w:name="_Toc257720725"/>
      <w:bookmarkStart w:id="10795" w:name="_Toc257722407"/>
      <w:bookmarkStart w:id="10796" w:name="_Toc258336083"/>
      <w:bookmarkStart w:id="10797" w:name="_Toc260406525"/>
      <w:bookmarkStart w:id="10798" w:name="_Toc261271711"/>
      <w:bookmarkStart w:id="10799" w:name="_Toc262808393"/>
      <w:bookmarkStart w:id="10800" w:name="_Toc267572785"/>
      <w:bookmarkStart w:id="10801" w:name="_Toc270684534"/>
      <w:bookmarkStart w:id="10802" w:name="_Toc274214711"/>
      <w:bookmarkStart w:id="10803" w:name="_Toc274215160"/>
      <w:bookmarkStart w:id="10804" w:name="_Toc278976491"/>
      <w:bookmarkStart w:id="10805" w:name="_Toc286760812"/>
      <w:bookmarkStart w:id="10806" w:name="_Toc289081157"/>
      <w:bookmarkStart w:id="10807" w:name="_Toc290284351"/>
      <w:bookmarkStart w:id="10808" w:name="_Toc290643172"/>
      <w:bookmarkStart w:id="10809" w:name="_Toc290643621"/>
      <w:bookmarkStart w:id="10810" w:name="_Toc290644074"/>
      <w:bookmarkStart w:id="10811" w:name="_Toc294701891"/>
      <w:bookmarkStart w:id="10812" w:name="_Toc295200299"/>
      <w:bookmarkStart w:id="10813" w:name="_Toc296954740"/>
      <w:bookmarkStart w:id="10814" w:name="_Toc297276375"/>
      <w:bookmarkStart w:id="10815" w:name="_Toc297276827"/>
      <w:bookmarkStart w:id="10816" w:name="_Toc297277277"/>
      <w:bookmarkStart w:id="10817" w:name="_Toc297726646"/>
      <w:bookmarkStart w:id="10818" w:name="_Toc299980432"/>
      <w:bookmarkStart w:id="10819" w:name="_Toc300235058"/>
      <w:bookmarkStart w:id="10820" w:name="_Toc301961561"/>
      <w:bookmarkStart w:id="10821" w:name="_Toc301967131"/>
      <w:bookmarkStart w:id="10822" w:name="_Toc303253340"/>
      <w:bookmarkStart w:id="10823" w:name="_Toc303257504"/>
      <w:bookmarkStart w:id="10824" w:name="_Toc307993137"/>
      <w:bookmarkStart w:id="10825" w:name="_Toc309030170"/>
      <w:bookmarkStart w:id="10826" w:name="_Toc309304393"/>
      <w:bookmarkStart w:id="10827" w:name="_Toc309309670"/>
      <w:r>
        <w:rPr>
          <w:rStyle w:val="CharSchText"/>
        </w:rPr>
        <w:t>Specifications for rock lobster pots</w:t>
      </w:r>
      <w:bookmarkEnd w:id="10759"/>
      <w:bookmarkEnd w:id="10760"/>
      <w:bookmarkEnd w:id="10761"/>
      <w:bookmarkEnd w:id="10762"/>
      <w:bookmarkEnd w:id="10763"/>
      <w:bookmarkEnd w:id="10764"/>
      <w:bookmarkEnd w:id="10765"/>
      <w:bookmarkEnd w:id="10766"/>
      <w:bookmarkEnd w:id="10767"/>
      <w:bookmarkEnd w:id="10768"/>
      <w:bookmarkEnd w:id="10769"/>
      <w:bookmarkEnd w:id="10770"/>
      <w:bookmarkEnd w:id="10771"/>
      <w:bookmarkEnd w:id="10772"/>
      <w:bookmarkEnd w:id="10773"/>
      <w:bookmarkEnd w:id="10774"/>
      <w:bookmarkEnd w:id="10775"/>
      <w:bookmarkEnd w:id="10776"/>
      <w:bookmarkEnd w:id="10777"/>
      <w:bookmarkEnd w:id="10778"/>
      <w:bookmarkEnd w:id="10779"/>
      <w:bookmarkEnd w:id="10780"/>
      <w:bookmarkEnd w:id="10781"/>
      <w:bookmarkEnd w:id="10782"/>
      <w:bookmarkEnd w:id="10783"/>
      <w:bookmarkEnd w:id="10784"/>
      <w:bookmarkEnd w:id="10785"/>
      <w:bookmarkEnd w:id="10786"/>
      <w:bookmarkEnd w:id="10787"/>
      <w:bookmarkEnd w:id="10788"/>
      <w:bookmarkEnd w:id="10789"/>
      <w:bookmarkEnd w:id="10790"/>
      <w:bookmarkEnd w:id="10791"/>
      <w:bookmarkEnd w:id="10792"/>
      <w:bookmarkEnd w:id="10793"/>
      <w:bookmarkEnd w:id="10794"/>
      <w:bookmarkEnd w:id="10795"/>
      <w:bookmarkEnd w:id="10796"/>
      <w:bookmarkEnd w:id="10797"/>
      <w:bookmarkEnd w:id="10798"/>
      <w:bookmarkEnd w:id="10799"/>
      <w:bookmarkEnd w:id="10800"/>
      <w:bookmarkEnd w:id="10801"/>
      <w:bookmarkEnd w:id="10802"/>
      <w:bookmarkEnd w:id="10803"/>
      <w:bookmarkEnd w:id="10804"/>
      <w:bookmarkEnd w:id="10805"/>
      <w:bookmarkEnd w:id="10806"/>
      <w:bookmarkEnd w:id="10807"/>
      <w:bookmarkEnd w:id="10808"/>
      <w:bookmarkEnd w:id="10809"/>
      <w:bookmarkEnd w:id="10810"/>
      <w:bookmarkEnd w:id="10811"/>
      <w:bookmarkEnd w:id="10812"/>
      <w:bookmarkEnd w:id="10813"/>
      <w:bookmarkEnd w:id="10814"/>
      <w:bookmarkEnd w:id="10815"/>
      <w:bookmarkEnd w:id="10816"/>
      <w:bookmarkEnd w:id="10817"/>
      <w:bookmarkEnd w:id="10818"/>
      <w:bookmarkEnd w:id="10819"/>
      <w:bookmarkEnd w:id="10820"/>
      <w:bookmarkEnd w:id="10821"/>
      <w:bookmarkEnd w:id="10822"/>
      <w:bookmarkEnd w:id="10823"/>
      <w:bookmarkEnd w:id="10824"/>
      <w:bookmarkEnd w:id="10825"/>
      <w:bookmarkEnd w:id="10826"/>
      <w:bookmarkEnd w:id="10827"/>
    </w:p>
    <w:p>
      <w:pPr>
        <w:pStyle w:val="yHeading2"/>
        <w:spacing w:before="120"/>
      </w:pPr>
      <w:bookmarkStart w:id="10828" w:name="_Toc189988233"/>
      <w:bookmarkStart w:id="10829" w:name="_Toc192041816"/>
      <w:bookmarkStart w:id="10830" w:name="_Toc199571050"/>
      <w:bookmarkStart w:id="10831" w:name="_Toc199739049"/>
      <w:bookmarkStart w:id="10832" w:name="_Toc199815150"/>
      <w:bookmarkStart w:id="10833" w:name="_Toc215040957"/>
      <w:bookmarkStart w:id="10834" w:name="_Toc215041402"/>
      <w:bookmarkStart w:id="10835" w:name="_Toc222129610"/>
      <w:bookmarkStart w:id="10836" w:name="_Toc222223315"/>
      <w:bookmarkStart w:id="10837" w:name="_Toc225914567"/>
      <w:bookmarkStart w:id="10838" w:name="_Toc231282612"/>
      <w:bookmarkStart w:id="10839" w:name="_Toc231283056"/>
      <w:bookmarkStart w:id="10840" w:name="_Toc234899646"/>
      <w:bookmarkStart w:id="10841" w:name="_Toc236632929"/>
      <w:bookmarkStart w:id="10842" w:name="_Toc236720542"/>
      <w:bookmarkStart w:id="10843" w:name="_Toc237764741"/>
      <w:bookmarkStart w:id="10844" w:name="_Toc238356365"/>
      <w:bookmarkStart w:id="10845" w:name="_Toc238369070"/>
      <w:bookmarkStart w:id="10846" w:name="_Toc238376023"/>
      <w:bookmarkStart w:id="10847" w:name="_Toc240339347"/>
      <w:bookmarkStart w:id="10848" w:name="_Toc241993853"/>
      <w:bookmarkStart w:id="10849" w:name="_Toc243192996"/>
      <w:bookmarkStart w:id="10850" w:name="_Toc243295696"/>
      <w:bookmarkStart w:id="10851" w:name="_Toc245113269"/>
      <w:bookmarkStart w:id="10852" w:name="_Toc245198431"/>
      <w:bookmarkStart w:id="10853" w:name="_Toc245198880"/>
      <w:bookmarkStart w:id="10854" w:name="_Toc245199329"/>
      <w:bookmarkStart w:id="10855" w:name="_Toc248122361"/>
      <w:bookmarkStart w:id="10856" w:name="_Toc248122812"/>
      <w:bookmarkStart w:id="10857" w:name="_Toc253670799"/>
      <w:bookmarkStart w:id="10858" w:name="_Toc253671249"/>
      <w:bookmarkStart w:id="10859" w:name="_Toc254943023"/>
      <w:bookmarkStart w:id="10860" w:name="_Toc254943476"/>
      <w:bookmarkStart w:id="10861" w:name="_Toc255476068"/>
      <w:bookmarkStart w:id="10862" w:name="_Toc256432389"/>
      <w:bookmarkStart w:id="10863" w:name="_Toc257720726"/>
      <w:bookmarkStart w:id="10864" w:name="_Toc257722408"/>
      <w:bookmarkStart w:id="10865" w:name="_Toc258336084"/>
      <w:bookmarkStart w:id="10866" w:name="_Toc260406526"/>
      <w:bookmarkStart w:id="10867" w:name="_Toc261271712"/>
      <w:bookmarkStart w:id="10868" w:name="_Toc262808394"/>
      <w:bookmarkStart w:id="10869" w:name="_Toc267572786"/>
      <w:bookmarkStart w:id="10870" w:name="_Toc270684535"/>
      <w:bookmarkStart w:id="10871" w:name="_Toc274214712"/>
      <w:bookmarkStart w:id="10872" w:name="_Toc274215161"/>
      <w:bookmarkStart w:id="10873" w:name="_Toc278976492"/>
      <w:bookmarkStart w:id="10874" w:name="_Toc286760813"/>
      <w:bookmarkStart w:id="10875" w:name="_Toc289081158"/>
      <w:bookmarkStart w:id="10876" w:name="_Toc290284352"/>
      <w:bookmarkStart w:id="10877" w:name="_Toc290643173"/>
      <w:bookmarkStart w:id="10878" w:name="_Toc290643622"/>
      <w:bookmarkStart w:id="10879" w:name="_Toc290644075"/>
      <w:bookmarkStart w:id="10880" w:name="_Toc294701892"/>
      <w:bookmarkStart w:id="10881" w:name="_Toc295200300"/>
      <w:bookmarkStart w:id="10882" w:name="_Toc296954741"/>
      <w:bookmarkStart w:id="10883" w:name="_Toc297276376"/>
      <w:bookmarkStart w:id="10884" w:name="_Toc297276828"/>
      <w:bookmarkStart w:id="10885" w:name="_Toc297277278"/>
      <w:bookmarkStart w:id="10886" w:name="_Toc297726647"/>
      <w:bookmarkStart w:id="10887" w:name="_Toc299980433"/>
      <w:bookmarkStart w:id="10888" w:name="_Toc300235059"/>
      <w:bookmarkStart w:id="10889" w:name="_Toc301961562"/>
      <w:bookmarkStart w:id="10890" w:name="_Toc301967132"/>
      <w:bookmarkStart w:id="10891" w:name="_Toc303253341"/>
      <w:bookmarkStart w:id="10892" w:name="_Toc303257505"/>
      <w:bookmarkStart w:id="10893" w:name="_Toc307993138"/>
      <w:bookmarkStart w:id="10894" w:name="_Toc309030171"/>
      <w:bookmarkStart w:id="10895" w:name="_Toc309304394"/>
      <w:bookmarkStart w:id="10896" w:name="_Toc309309671"/>
      <w:r>
        <w:rPr>
          <w:rStyle w:val="CharSDivNo"/>
          <w:sz w:val="28"/>
        </w:rPr>
        <w:t>Part 1</w:t>
      </w:r>
      <w:r>
        <w:t> — </w:t>
      </w:r>
      <w:r>
        <w:rPr>
          <w:rStyle w:val="CharSDivText"/>
          <w:sz w:val="28"/>
        </w:rPr>
        <w:t>Waters north of 21˚ 44′ south latitude</w:t>
      </w:r>
      <w:bookmarkEnd w:id="10828"/>
      <w:bookmarkEnd w:id="10829"/>
      <w:bookmarkEnd w:id="10830"/>
      <w:bookmarkEnd w:id="10831"/>
      <w:bookmarkEnd w:id="10832"/>
      <w:bookmarkEnd w:id="10833"/>
      <w:bookmarkEnd w:id="10834"/>
      <w:bookmarkEnd w:id="10835"/>
      <w:bookmarkEnd w:id="10836"/>
      <w:bookmarkEnd w:id="10837"/>
      <w:bookmarkEnd w:id="10838"/>
      <w:bookmarkEnd w:id="10839"/>
      <w:bookmarkEnd w:id="10840"/>
      <w:bookmarkEnd w:id="10841"/>
      <w:bookmarkEnd w:id="10842"/>
      <w:bookmarkEnd w:id="10843"/>
      <w:bookmarkEnd w:id="10844"/>
      <w:bookmarkEnd w:id="10845"/>
      <w:bookmarkEnd w:id="10846"/>
      <w:bookmarkEnd w:id="10847"/>
      <w:bookmarkEnd w:id="10848"/>
      <w:bookmarkEnd w:id="10849"/>
      <w:bookmarkEnd w:id="10850"/>
      <w:bookmarkEnd w:id="10851"/>
      <w:bookmarkEnd w:id="10852"/>
      <w:bookmarkEnd w:id="10853"/>
      <w:bookmarkEnd w:id="10854"/>
      <w:bookmarkEnd w:id="10855"/>
      <w:bookmarkEnd w:id="10856"/>
      <w:bookmarkEnd w:id="10857"/>
      <w:bookmarkEnd w:id="10858"/>
      <w:bookmarkEnd w:id="10859"/>
      <w:bookmarkEnd w:id="10860"/>
      <w:bookmarkEnd w:id="10861"/>
      <w:bookmarkEnd w:id="10862"/>
      <w:bookmarkEnd w:id="10863"/>
      <w:bookmarkEnd w:id="10864"/>
      <w:bookmarkEnd w:id="10865"/>
      <w:bookmarkEnd w:id="10866"/>
      <w:bookmarkEnd w:id="10867"/>
      <w:bookmarkEnd w:id="10868"/>
      <w:bookmarkEnd w:id="10869"/>
      <w:bookmarkEnd w:id="10870"/>
      <w:bookmarkEnd w:id="10871"/>
      <w:bookmarkEnd w:id="10872"/>
      <w:bookmarkEnd w:id="10873"/>
      <w:bookmarkEnd w:id="10874"/>
      <w:bookmarkEnd w:id="10875"/>
      <w:bookmarkEnd w:id="10876"/>
      <w:bookmarkEnd w:id="10877"/>
      <w:bookmarkEnd w:id="10878"/>
      <w:bookmarkEnd w:id="10879"/>
      <w:bookmarkEnd w:id="10880"/>
      <w:bookmarkEnd w:id="10881"/>
      <w:bookmarkEnd w:id="10882"/>
      <w:bookmarkEnd w:id="10883"/>
      <w:bookmarkEnd w:id="10884"/>
      <w:bookmarkEnd w:id="10885"/>
      <w:bookmarkEnd w:id="10886"/>
      <w:bookmarkEnd w:id="10887"/>
      <w:bookmarkEnd w:id="10888"/>
      <w:bookmarkEnd w:id="10889"/>
      <w:bookmarkEnd w:id="10890"/>
      <w:bookmarkEnd w:id="10891"/>
      <w:bookmarkEnd w:id="10892"/>
      <w:bookmarkEnd w:id="10893"/>
      <w:bookmarkEnd w:id="10894"/>
      <w:bookmarkEnd w:id="10895"/>
      <w:bookmarkEnd w:id="10896"/>
    </w:p>
    <w:p>
      <w:pPr>
        <w:pStyle w:val="yHeading5"/>
      </w:pPr>
      <w:bookmarkStart w:id="10897" w:name="_Toc309309672"/>
      <w:r>
        <w:rPr>
          <w:rStyle w:val="CharSClsNo"/>
        </w:rPr>
        <w:t>1</w:t>
      </w:r>
      <w:r>
        <w:t>.</w:t>
      </w:r>
      <w:r>
        <w:tab/>
        <w:t>Entrance or neck of pot</w:t>
      </w:r>
      <w:bookmarkEnd w:id="10897"/>
    </w:p>
    <w:p>
      <w:pPr>
        <w:pStyle w:val="ySubsection"/>
        <w:rPr>
          <w:snapToGrid w:val="0"/>
        </w:rPr>
      </w:pPr>
      <w:r>
        <w:rPr>
          <w:snapToGrid w:val="0"/>
        </w:rPr>
        <w:tab/>
      </w:r>
      <w:r>
        <w:rPr>
          <w:snapToGrid w:val="0"/>
        </w:rPr>
        <w:tab/>
        <w:t>Every rock lobster pot must —</w:t>
      </w:r>
    </w:p>
    <w:p>
      <w:pPr>
        <w:pStyle w:val="yIndenta"/>
        <w:rPr>
          <w:snapToGrid w:val="0"/>
        </w:rPr>
      </w:pPr>
      <w:r>
        <w:rPr>
          <w:snapToGrid w:val="0"/>
        </w:rPr>
        <w:tab/>
        <w:t>(a)</w:t>
      </w:r>
      <w:r>
        <w:rPr>
          <w:snapToGrid w:val="0"/>
        </w:rPr>
        <w:tab/>
        <w:t>have only one entrance or neck; and</w:t>
      </w:r>
    </w:p>
    <w:p>
      <w:pPr>
        <w:pStyle w:val="yIndenta"/>
        <w:rPr>
          <w:snapToGrid w:val="0"/>
        </w:rPr>
      </w:pPr>
      <w:r>
        <w:rPr>
          <w:snapToGrid w:val="0"/>
        </w:rPr>
        <w:tab/>
        <w:t>(b)</w:t>
      </w:r>
      <w:r>
        <w:rPr>
          <w:snapToGrid w:val="0"/>
        </w:rPr>
        <w:tab/>
        <w:t>not contain any device capable of restricting the egress of fish.</w:t>
      </w:r>
    </w:p>
    <w:p>
      <w:pPr>
        <w:pStyle w:val="yHeading2"/>
        <w:spacing w:before="120"/>
      </w:pPr>
      <w:bookmarkStart w:id="10898" w:name="_Toc189988235"/>
      <w:bookmarkStart w:id="10899" w:name="_Toc192041818"/>
      <w:bookmarkStart w:id="10900" w:name="_Toc199571052"/>
      <w:bookmarkStart w:id="10901" w:name="_Toc199739051"/>
      <w:bookmarkStart w:id="10902" w:name="_Toc199815152"/>
      <w:bookmarkStart w:id="10903" w:name="_Toc215040959"/>
      <w:bookmarkStart w:id="10904" w:name="_Toc215041404"/>
      <w:bookmarkStart w:id="10905" w:name="_Toc222129612"/>
      <w:bookmarkStart w:id="10906" w:name="_Toc222223317"/>
      <w:bookmarkStart w:id="10907" w:name="_Toc225914569"/>
      <w:bookmarkStart w:id="10908" w:name="_Toc231282614"/>
      <w:bookmarkStart w:id="10909" w:name="_Toc231283058"/>
      <w:bookmarkStart w:id="10910" w:name="_Toc234899648"/>
      <w:bookmarkStart w:id="10911" w:name="_Toc236632931"/>
      <w:bookmarkStart w:id="10912" w:name="_Toc236720544"/>
      <w:bookmarkStart w:id="10913" w:name="_Toc237764743"/>
      <w:bookmarkStart w:id="10914" w:name="_Toc238356367"/>
      <w:bookmarkStart w:id="10915" w:name="_Toc238369072"/>
      <w:bookmarkStart w:id="10916" w:name="_Toc238376025"/>
      <w:bookmarkStart w:id="10917" w:name="_Toc240339349"/>
      <w:bookmarkStart w:id="10918" w:name="_Toc241993855"/>
      <w:bookmarkStart w:id="10919" w:name="_Toc243192998"/>
      <w:bookmarkStart w:id="10920" w:name="_Toc243295698"/>
      <w:bookmarkStart w:id="10921" w:name="_Toc245113271"/>
      <w:bookmarkStart w:id="10922" w:name="_Toc245198433"/>
      <w:bookmarkStart w:id="10923" w:name="_Toc245198882"/>
      <w:bookmarkStart w:id="10924" w:name="_Toc245199331"/>
      <w:bookmarkStart w:id="10925" w:name="_Toc248122363"/>
      <w:bookmarkStart w:id="10926" w:name="_Toc248122814"/>
      <w:bookmarkStart w:id="10927" w:name="_Toc253670801"/>
      <w:bookmarkStart w:id="10928" w:name="_Toc253671251"/>
      <w:bookmarkStart w:id="10929" w:name="_Toc254943025"/>
      <w:bookmarkStart w:id="10930" w:name="_Toc254943478"/>
      <w:bookmarkStart w:id="10931" w:name="_Toc255476070"/>
      <w:bookmarkStart w:id="10932" w:name="_Toc256432391"/>
      <w:bookmarkStart w:id="10933" w:name="_Toc257720728"/>
      <w:bookmarkStart w:id="10934" w:name="_Toc257722410"/>
      <w:bookmarkStart w:id="10935" w:name="_Toc258336086"/>
      <w:bookmarkStart w:id="10936" w:name="_Toc260406528"/>
      <w:bookmarkStart w:id="10937" w:name="_Toc261271714"/>
      <w:bookmarkStart w:id="10938" w:name="_Toc262808396"/>
      <w:bookmarkStart w:id="10939" w:name="_Toc267572788"/>
      <w:bookmarkStart w:id="10940" w:name="_Toc270684537"/>
      <w:bookmarkStart w:id="10941" w:name="_Toc274214714"/>
      <w:bookmarkStart w:id="10942" w:name="_Toc274215163"/>
      <w:bookmarkStart w:id="10943" w:name="_Toc278976494"/>
      <w:bookmarkStart w:id="10944" w:name="_Toc286760815"/>
      <w:bookmarkStart w:id="10945" w:name="_Toc289081160"/>
      <w:bookmarkStart w:id="10946" w:name="_Toc290284354"/>
      <w:bookmarkStart w:id="10947" w:name="_Toc290643175"/>
      <w:bookmarkStart w:id="10948" w:name="_Toc290643624"/>
      <w:bookmarkStart w:id="10949" w:name="_Toc290644077"/>
      <w:bookmarkStart w:id="10950" w:name="_Toc294701894"/>
      <w:bookmarkStart w:id="10951" w:name="_Toc295200302"/>
      <w:bookmarkStart w:id="10952" w:name="_Toc296954743"/>
      <w:bookmarkStart w:id="10953" w:name="_Toc297276378"/>
      <w:bookmarkStart w:id="10954" w:name="_Toc297276830"/>
      <w:bookmarkStart w:id="10955" w:name="_Toc297277280"/>
      <w:bookmarkStart w:id="10956" w:name="_Toc297726649"/>
      <w:bookmarkStart w:id="10957" w:name="_Toc299980435"/>
      <w:bookmarkStart w:id="10958" w:name="_Toc300235061"/>
      <w:bookmarkStart w:id="10959" w:name="_Toc301961564"/>
      <w:bookmarkStart w:id="10960" w:name="_Toc301967134"/>
      <w:bookmarkStart w:id="10961" w:name="_Toc303253343"/>
      <w:bookmarkStart w:id="10962" w:name="_Toc303257507"/>
      <w:bookmarkStart w:id="10963" w:name="_Toc307993140"/>
      <w:bookmarkStart w:id="10964" w:name="_Toc309030173"/>
      <w:bookmarkStart w:id="10965" w:name="_Toc309304396"/>
      <w:bookmarkStart w:id="10966" w:name="_Toc309309673"/>
      <w:r>
        <w:rPr>
          <w:rStyle w:val="CharSDivNo"/>
          <w:sz w:val="28"/>
        </w:rPr>
        <w:t>Part 2 </w:t>
      </w:r>
      <w:r>
        <w:t>— </w:t>
      </w:r>
      <w:r>
        <w:rPr>
          <w:rStyle w:val="CharSDivText"/>
          <w:sz w:val="28"/>
        </w:rPr>
        <w:t xml:space="preserve">Waters between 21˚ 44′ south latitude and 34˚ 24′ south latitude (excluding some waters off the </w:t>
      </w:r>
      <w:smartTag w:uri="urn:schemas-microsoft-com:office:smarttags" w:element="place">
        <w:smartTag w:uri="urn:schemas-microsoft-com:office:smarttags" w:element="PlaceName">
          <w:r>
            <w:rPr>
              <w:rStyle w:val="CharSDivText"/>
              <w:sz w:val="28"/>
            </w:rPr>
            <w:t>South</w:t>
          </w:r>
        </w:smartTag>
        <w:r>
          <w:rPr>
            <w:rStyle w:val="CharSDivText"/>
            <w:sz w:val="28"/>
          </w:rPr>
          <w:t> </w:t>
        </w:r>
        <w:smartTag w:uri="urn:schemas-microsoft-com:office:smarttags" w:element="PlaceType">
          <w:r>
            <w:rPr>
              <w:rStyle w:val="CharSDivText"/>
              <w:sz w:val="28"/>
            </w:rPr>
            <w:t>Coast</w:t>
          </w:r>
        </w:smartTag>
      </w:smartTag>
      <w:r>
        <w:rPr>
          <w:rStyle w:val="CharSDivText"/>
          <w:sz w:val="28"/>
        </w:rPr>
        <w:t>)</w:t>
      </w:r>
      <w:bookmarkEnd w:id="10898"/>
      <w:bookmarkEnd w:id="10899"/>
      <w:bookmarkEnd w:id="10900"/>
      <w:bookmarkEnd w:id="10901"/>
      <w:bookmarkEnd w:id="10902"/>
      <w:bookmarkEnd w:id="10903"/>
      <w:bookmarkEnd w:id="10904"/>
      <w:bookmarkEnd w:id="10905"/>
      <w:bookmarkEnd w:id="10906"/>
      <w:bookmarkEnd w:id="10907"/>
      <w:bookmarkEnd w:id="10908"/>
      <w:bookmarkEnd w:id="10909"/>
      <w:bookmarkEnd w:id="10910"/>
      <w:bookmarkEnd w:id="10911"/>
      <w:bookmarkEnd w:id="10912"/>
      <w:bookmarkEnd w:id="10913"/>
      <w:bookmarkEnd w:id="10914"/>
      <w:bookmarkEnd w:id="10915"/>
      <w:bookmarkEnd w:id="10916"/>
      <w:bookmarkEnd w:id="10917"/>
      <w:bookmarkEnd w:id="10918"/>
      <w:bookmarkEnd w:id="10919"/>
      <w:bookmarkEnd w:id="10920"/>
      <w:bookmarkEnd w:id="10921"/>
      <w:bookmarkEnd w:id="10922"/>
      <w:bookmarkEnd w:id="10923"/>
      <w:bookmarkEnd w:id="10924"/>
      <w:bookmarkEnd w:id="10925"/>
      <w:bookmarkEnd w:id="10926"/>
      <w:bookmarkEnd w:id="10927"/>
      <w:bookmarkEnd w:id="10928"/>
      <w:bookmarkEnd w:id="10929"/>
      <w:bookmarkEnd w:id="10930"/>
      <w:bookmarkEnd w:id="10931"/>
      <w:bookmarkEnd w:id="10932"/>
      <w:bookmarkEnd w:id="10933"/>
      <w:bookmarkEnd w:id="10934"/>
      <w:bookmarkEnd w:id="10935"/>
      <w:bookmarkEnd w:id="10936"/>
      <w:bookmarkEnd w:id="10937"/>
      <w:bookmarkEnd w:id="10938"/>
      <w:bookmarkEnd w:id="10939"/>
      <w:bookmarkEnd w:id="10940"/>
      <w:bookmarkEnd w:id="10941"/>
      <w:bookmarkEnd w:id="10942"/>
      <w:bookmarkEnd w:id="10943"/>
      <w:bookmarkEnd w:id="10944"/>
      <w:bookmarkEnd w:id="10945"/>
      <w:bookmarkEnd w:id="10946"/>
      <w:bookmarkEnd w:id="10947"/>
      <w:bookmarkEnd w:id="10948"/>
      <w:bookmarkEnd w:id="10949"/>
      <w:bookmarkEnd w:id="10950"/>
      <w:bookmarkEnd w:id="10951"/>
      <w:bookmarkEnd w:id="10952"/>
      <w:bookmarkEnd w:id="10953"/>
      <w:bookmarkEnd w:id="10954"/>
      <w:bookmarkEnd w:id="10955"/>
      <w:bookmarkEnd w:id="10956"/>
      <w:bookmarkEnd w:id="10957"/>
      <w:bookmarkEnd w:id="10958"/>
      <w:bookmarkEnd w:id="10959"/>
      <w:bookmarkEnd w:id="10960"/>
      <w:bookmarkEnd w:id="10961"/>
      <w:bookmarkEnd w:id="10962"/>
      <w:bookmarkEnd w:id="10963"/>
      <w:bookmarkEnd w:id="10964"/>
      <w:bookmarkEnd w:id="10965"/>
      <w:bookmarkEnd w:id="10966"/>
    </w:p>
    <w:p>
      <w:pPr>
        <w:pStyle w:val="yEdnotesection"/>
      </w:pPr>
      <w:r>
        <w:t>[</w:t>
      </w:r>
      <w:r>
        <w:rPr>
          <w:b/>
        </w:rPr>
        <w:t>2A.</w:t>
      </w:r>
      <w:r>
        <w:tab/>
        <w:t>Deleted in Gazette 27 Aug 2010 p. 4107.]</w:t>
      </w:r>
    </w:p>
    <w:p>
      <w:pPr>
        <w:pStyle w:val="yHeading5"/>
      </w:pPr>
      <w:bookmarkStart w:id="10967" w:name="_Toc309309674"/>
      <w:r>
        <w:rPr>
          <w:rStyle w:val="CharSClsNo"/>
        </w:rPr>
        <w:t>2</w:t>
      </w:r>
      <w:r>
        <w:t>.</w:t>
      </w:r>
      <w:r>
        <w:tab/>
        <w:t>Entrance or neck of pot</w:t>
      </w:r>
      <w:bookmarkEnd w:id="10967"/>
    </w:p>
    <w:p>
      <w:pPr>
        <w:pStyle w:val="ySubsection"/>
        <w:rPr>
          <w:snapToGrid w:val="0"/>
        </w:rPr>
      </w:pPr>
      <w:r>
        <w:rPr>
          <w:snapToGrid w:val="0"/>
        </w:rPr>
        <w:tab/>
        <w:t>(1)</w:t>
      </w:r>
      <w:r>
        <w:rPr>
          <w:snapToGrid w:val="0"/>
        </w:rPr>
        <w:tab/>
        <w:t>A rock lobster pot is to have only one entrance or neck which is to be positioned on the upper surface of the pot with the entrance or neck parallel to the base of the pot and is to be constructed wholly of a rigid material and with an opening throughout of not less than —</w:t>
      </w:r>
    </w:p>
    <w:p>
      <w:pPr>
        <w:pStyle w:val="yIndenta"/>
        <w:rPr>
          <w:snapToGrid w:val="0"/>
        </w:rPr>
      </w:pPr>
      <w:r>
        <w:rPr>
          <w:snapToGrid w:val="0"/>
        </w:rPr>
        <w:tab/>
        <w:t>(a)</w:t>
      </w:r>
      <w:r>
        <w:rPr>
          <w:snapToGrid w:val="0"/>
        </w:rPr>
        <w:tab/>
        <w:t>where the entrance or neck is circular, 160 mm diameter; or</w:t>
      </w:r>
    </w:p>
    <w:p>
      <w:pPr>
        <w:pStyle w:val="yIndenta"/>
        <w:rPr>
          <w:snapToGrid w:val="0"/>
        </w:rPr>
      </w:pPr>
      <w:r>
        <w:rPr>
          <w:snapToGrid w:val="0"/>
        </w:rPr>
        <w:tab/>
        <w:t>(b)</w:t>
      </w:r>
      <w:r>
        <w:rPr>
          <w:snapToGrid w:val="0"/>
        </w:rPr>
        <w:tab/>
        <w:t>where the entrance or neck is rectangular, 160 mm by 160 mm,</w:t>
      </w:r>
    </w:p>
    <w:p>
      <w:pPr>
        <w:pStyle w:val="ySubsection"/>
        <w:rPr>
          <w:snapToGrid w:val="0"/>
        </w:rPr>
      </w:pPr>
      <w:r>
        <w:rPr>
          <w:snapToGrid w:val="0"/>
        </w:rPr>
        <w:tab/>
      </w:r>
      <w:r>
        <w:rPr>
          <w:snapToGrid w:val="0"/>
        </w:rPr>
        <w:tab/>
        <w:t>and must not contain any device capable of restricting the egress of fish.</w:t>
      </w:r>
    </w:p>
    <w:p>
      <w:pPr>
        <w:pStyle w:val="ySubsection"/>
      </w:pPr>
      <w:r>
        <w:tab/>
        <w:t>(2)</w:t>
      </w:r>
      <w:r>
        <w:tab/>
        <w:t>A rock lobster pot does not fail to comply with the specification set out in this clause by reason only that it is constructed with, or has fitted to it, a sea lion exclusion device (as defined in regulation 38).</w:t>
      </w:r>
    </w:p>
    <w:p>
      <w:pPr>
        <w:pStyle w:val="yFootnotesection"/>
      </w:pPr>
      <w:r>
        <w:tab/>
        <w:t>[Clause 2 amended in Gazette 10 Nov 2006 p. 4710.]</w:t>
      </w:r>
    </w:p>
    <w:p>
      <w:pPr>
        <w:pStyle w:val="yHeading5"/>
      </w:pPr>
      <w:bookmarkStart w:id="10968" w:name="_Toc309309675"/>
      <w:r>
        <w:rPr>
          <w:rStyle w:val="CharSClsNo"/>
        </w:rPr>
        <w:t>3</w:t>
      </w:r>
      <w:r>
        <w:t>.</w:t>
      </w:r>
      <w:r>
        <w:tab/>
        <w:t>Beehive pots</w:t>
      </w:r>
      <w:bookmarkEnd w:id="10968"/>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w:t>
      </w:r>
    </w:p>
    <w:p>
      <w:pPr>
        <w:pStyle w:val="yIndenta"/>
      </w:pPr>
      <w:r>
        <w:rPr>
          <w:snapToGrid w:val="0"/>
        </w:rPr>
        <w:tab/>
        <w:t>(a)</w:t>
      </w:r>
      <w:r>
        <w:rPr>
          <w:snapToGrid w:val="0"/>
        </w:rPr>
        <w:tab/>
        <w:t>is to have inserted in it a device or devices to create 3 escape gaps that are as nearly as practicable rectangular in shape and when measured internally each is to measure not less than 305 mm in length</w:t>
      </w:r>
      <w:r>
        <w:t xml:space="preserve"> and not less than 55 mm in height (see Diagram 1(a) in the Table); and</w:t>
      </w:r>
    </w:p>
    <w:p>
      <w:pPr>
        <w:pStyle w:val="yEdnotepara"/>
        <w:rPr>
          <w:snapToGrid w:val="0"/>
        </w:rPr>
      </w:pPr>
      <w:r>
        <w:rPr>
          <w:snapToGrid w:val="0"/>
        </w:rPr>
        <w:tab/>
        <w:t>[(b)</w:t>
      </w:r>
      <w:r>
        <w:rPr>
          <w:snapToGrid w:val="0"/>
        </w:rPr>
        <w:tab/>
        <w:t>deleted]</w:t>
      </w:r>
    </w:p>
    <w:p>
      <w:pPr>
        <w:pStyle w:val="yIndenta"/>
        <w:rPr>
          <w:snapToGrid w:val="0"/>
        </w:rPr>
      </w:pPr>
      <w:r>
        <w:rPr>
          <w:snapToGrid w:val="0"/>
        </w:rPr>
        <w:tab/>
        <w:t>(c)</w:t>
      </w:r>
      <w:r>
        <w:rPr>
          <w:snapToGrid w:val="0"/>
        </w:rPr>
        <w:tab/>
        <w:t>is not to have any obstruction positioned so as to restrict the movement of rock lobsters through the escape gaps or to reduce the internal measurement of the escape gaps, other than in the case of a pot constructed of cane or sticks, where one wire may pass vertically across each escape gap.</w:t>
      </w:r>
    </w:p>
    <w:p>
      <w:pPr>
        <w:pStyle w:val="ySubsection"/>
        <w:rPr>
          <w:snapToGrid w:val="0"/>
        </w:rPr>
      </w:pPr>
      <w:r>
        <w:rPr>
          <w:snapToGrid w:val="0"/>
        </w:rPr>
        <w:tab/>
        <w:t>(3)</w:t>
      </w:r>
      <w:r>
        <w:rPr>
          <w:snapToGrid w:val="0"/>
        </w:rPr>
        <w:tab/>
        <w:t>The escape gaps in a beehive rock lobster pot are to be —</w:t>
      </w:r>
    </w:p>
    <w:p>
      <w:pPr>
        <w:pStyle w:val="yIndenta"/>
        <w:rPr>
          <w:snapToGrid w:val="0"/>
        </w:rPr>
      </w:pPr>
      <w:r>
        <w:rPr>
          <w:snapToGrid w:val="0"/>
        </w:rPr>
        <w:tab/>
        <w:t>(a)</w:t>
      </w:r>
      <w:r>
        <w:rPr>
          <w:snapToGrid w:val="0"/>
        </w:rPr>
        <w:tab/>
        <w:t>positioned on the side of the pot so that the longer sides of the gaps are generally parallel to the base of the pot and the lower internal edge of the escape gaps are not more than 110 mm from the base of the pot and are to be positioned in accordance with Diagram 2(a) in the Table; and</w:t>
      </w:r>
    </w:p>
    <w:p>
      <w:pPr>
        <w:pStyle w:val="yIndenta"/>
        <w:rPr>
          <w:snapToGrid w:val="0"/>
        </w:rPr>
      </w:pPr>
      <w:r>
        <w:rPr>
          <w:snapToGrid w:val="0"/>
        </w:rPr>
        <w:tab/>
        <w:t>(b)</w:t>
      </w:r>
      <w:r>
        <w:rPr>
          <w:snapToGrid w:val="0"/>
        </w:rPr>
        <w:tab/>
        <w:t>located at least 150 mm away from the attachment point or points of the hauling rope and, where there are 2 attachment points, not between those points; and</w:t>
      </w:r>
    </w:p>
    <w:p>
      <w:pPr>
        <w:pStyle w:val="yIndenta"/>
        <w:rPr>
          <w:snapToGrid w:val="0"/>
        </w:rPr>
      </w:pPr>
      <w:r>
        <w:rPr>
          <w:snapToGrid w:val="0"/>
        </w:rPr>
        <w:tab/>
        <w:t>(c)</w:t>
      </w:r>
      <w:r>
        <w:rPr>
          <w:snapToGrid w:val="0"/>
        </w:rPr>
        <w:tab/>
        <w:t>of —</w:t>
      </w:r>
    </w:p>
    <w:p>
      <w:pPr>
        <w:pStyle w:val="yIndenti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rPr>
          <w:snapToGrid w:val="0"/>
        </w:rPr>
      </w:pPr>
      <w:r>
        <w:rPr>
          <w:snapToGrid w:val="0"/>
        </w:rPr>
        <w:tab/>
        <w:t>(ii)</w:t>
      </w:r>
      <w:r>
        <w:rPr>
          <w:snapToGrid w:val="0"/>
        </w:rPr>
        <w:tab/>
        <w:t>pressed steel or aluminium and constructed to the specifications set out in clause 4(7)(d).</w:t>
      </w:r>
    </w:p>
    <w:p>
      <w:pPr>
        <w:pStyle w:val="ySubsection"/>
      </w:pPr>
      <w:r>
        <w:tab/>
        <w:t>(4)</w:t>
      </w:r>
      <w:r>
        <w:tab/>
        <w:t>A beehive rock lobster pot that is constructed using stick or cane or both stick and cane, unless approved by the CEO, is not to exceed, when measured externally —</w:t>
      </w:r>
    </w:p>
    <w:p>
      <w:pPr>
        <w:pStyle w:val="yIndenta"/>
      </w:pPr>
      <w:r>
        <w:tab/>
        <w:t>(a)</w:t>
      </w:r>
      <w:r>
        <w:tab/>
        <w:t>975 mm in diameter; and</w:t>
      </w:r>
    </w:p>
    <w:p>
      <w:pPr>
        <w:pStyle w:val="yIndenta"/>
      </w:pPr>
      <w:r>
        <w:tab/>
        <w:t>(b)</w:t>
      </w:r>
      <w:r>
        <w:tab/>
        <w:t>470 mm in height.</w:t>
      </w:r>
    </w:p>
    <w:p>
      <w:pPr>
        <w:pStyle w:val="ySubsection"/>
      </w:pPr>
      <w:r>
        <w:tab/>
        <w:t>(5)</w:t>
      </w:r>
      <w:r>
        <w:tab/>
        <w:t>In determining the external dimensions under subclause (4) the measuring points are those specified in Diagram 10 in the Table.</w:t>
      </w:r>
    </w:p>
    <w:p>
      <w:pPr>
        <w:pStyle w:val="ySubsection"/>
        <w:keepNext/>
      </w:pPr>
      <w:r>
        <w:tab/>
        <w:t>(6)</w:t>
      </w:r>
      <w:r>
        <w:tab/>
        <w:t>A beehive rock lobster pot that is constructed using a material other than stick or cane, is not to exceed, when measured internally —</w:t>
      </w:r>
    </w:p>
    <w:p>
      <w:pPr>
        <w:pStyle w:val="yIndenta"/>
      </w:pPr>
      <w:r>
        <w:tab/>
        <w:t>(a)</w:t>
      </w:r>
      <w:r>
        <w:tab/>
        <w:t>925 mm in diameter; and</w:t>
      </w:r>
    </w:p>
    <w:p>
      <w:pPr>
        <w:pStyle w:val="yIndenta"/>
      </w:pPr>
      <w:r>
        <w:tab/>
        <w:t>(b)</w:t>
      </w:r>
      <w:r>
        <w:tab/>
        <w:t>420 mm in height.</w:t>
      </w:r>
    </w:p>
    <w:p>
      <w:pPr>
        <w:pStyle w:val="ySubsection"/>
        <w:spacing w:before="120"/>
      </w:pPr>
      <w:r>
        <w:tab/>
        <w:t>(7)</w:t>
      </w:r>
      <w:r>
        <w:tab/>
        <w:t>In determining the internal dimensions under subclause (6) the measuring points are those specified in Diagram 11 in the Table.</w:t>
      </w:r>
    </w:p>
    <w:p>
      <w:pPr>
        <w:pStyle w:val="yFootnotesection"/>
      </w:pPr>
      <w:r>
        <w:tab/>
        <w:t>[Clause 3 amended in Gazette 29 Nov 2002 p. 5656; 6 Jul 2007 p. 3389</w:t>
      </w:r>
      <w:r>
        <w:noBreakHyphen/>
        <w:t>90; 5 Nov 2009 p. 4414; 27 Aug 2010 p. 4107.]</w:t>
      </w:r>
    </w:p>
    <w:p>
      <w:pPr>
        <w:pStyle w:val="yHeading5"/>
      </w:pPr>
      <w:bookmarkStart w:id="10969" w:name="_Toc309309676"/>
      <w:r>
        <w:rPr>
          <w:rStyle w:val="CharSClsNo"/>
        </w:rPr>
        <w:t>4</w:t>
      </w:r>
      <w:r>
        <w:t>.</w:t>
      </w:r>
      <w:r>
        <w:tab/>
        <w:t>Batten pots</w:t>
      </w:r>
      <w:bookmarkEnd w:id="10969"/>
    </w:p>
    <w:p>
      <w:pPr>
        <w:pStyle w:val="ySubsection"/>
        <w:rPr>
          <w:snapToGrid w:val="0"/>
        </w:rPr>
      </w:pPr>
      <w:r>
        <w:rPr>
          <w:snapToGrid w:val="0"/>
        </w:rPr>
        <w:tab/>
        <w:t>(1)</w:t>
      </w:r>
      <w:r>
        <w:rPr>
          <w:snapToGrid w:val="0"/>
        </w:rPr>
        <w:tab/>
        <w:t>This clause applies to batten rock lobster pots.</w:t>
      </w:r>
    </w:p>
    <w:p>
      <w:pPr>
        <w:pStyle w:val="ySubsection"/>
      </w:pPr>
      <w:r>
        <w:tab/>
        <w:t>(2)</w:t>
      </w:r>
      <w:r>
        <w:tab/>
        <w:t>Subject to this clause, every batten rock lobster pot is to have inserted in it a device or devices to create a minimum of 3 escape gaps that are as nearly as practicable rectangular in shape, and when measured internally each measures not less than 305 mm in length and not less than 55 mm in height.</w:t>
      </w:r>
    </w:p>
    <w:p>
      <w:pPr>
        <w:pStyle w:val="ySubsection"/>
        <w:keepNext/>
        <w:rPr>
          <w:snapToGrid w:val="0"/>
        </w:rPr>
      </w:pPr>
      <w:r>
        <w:rPr>
          <w:snapToGrid w:val="0"/>
        </w:rPr>
        <w:tab/>
        <w:t>(3)</w:t>
      </w:r>
      <w:r>
        <w:rPr>
          <w:snapToGrid w:val="0"/>
        </w:rPr>
        <w:tab/>
        <w:t>Where —</w:t>
      </w:r>
    </w:p>
    <w:p>
      <w:pPr>
        <w:pStyle w:val="yIndenta"/>
        <w:spacing w:before="60"/>
        <w:rPr>
          <w:snapToGrid w:val="0"/>
        </w:rPr>
      </w:pPr>
      <w:r>
        <w:rPr>
          <w:snapToGrid w:val="0"/>
        </w:rPr>
        <w:tab/>
        <w:t>(a)</w:t>
      </w:r>
      <w:r>
        <w:rPr>
          <w:snapToGrid w:val="0"/>
        </w:rPr>
        <w:tab/>
        <w:t>escape gaps are fitted to 3 sides of the rock lobster pot in accordance with this clause, the combined length of those gaps is to be not less than 915 mm, unless otherwise permitted under this clause; or</w:t>
      </w:r>
    </w:p>
    <w:p>
      <w:pPr>
        <w:pStyle w:val="yIndenta"/>
        <w:spacing w:before="60"/>
        <w:rPr>
          <w:snapToGrid w:val="0"/>
        </w:rPr>
      </w:pPr>
      <w:r>
        <w:rPr>
          <w:snapToGrid w:val="0"/>
        </w:rPr>
        <w:tab/>
        <w:t>(b)</w:t>
      </w:r>
      <w:r>
        <w:rPr>
          <w:snapToGrid w:val="0"/>
        </w:rPr>
        <w:tab/>
        <w:t>escape gaps are fitted to only 2 sides of the rock lobster pot the combined length of those gaps is to be not less than 1 220 mm, except as otherwise permitted under this clause.</w:t>
      </w:r>
    </w:p>
    <w:p>
      <w:pPr>
        <w:pStyle w:val="ySubsection"/>
        <w:rPr>
          <w:snapToGrid w:val="0"/>
        </w:rPr>
      </w:pPr>
      <w:r>
        <w:rPr>
          <w:snapToGrid w:val="0"/>
        </w:rPr>
        <w:tab/>
        <w:t>(4)</w:t>
      </w:r>
      <w:r>
        <w:rPr>
          <w:snapToGrid w:val="0"/>
        </w:rPr>
        <w:tab/>
        <w:t>Where —</w:t>
      </w:r>
    </w:p>
    <w:p>
      <w:pPr>
        <w:pStyle w:val="yIndenta"/>
        <w:spacing w:before="60"/>
        <w:rPr>
          <w:snapToGrid w:val="0"/>
        </w:rPr>
      </w:pPr>
      <w:r>
        <w:rPr>
          <w:snapToGrid w:val="0"/>
        </w:rPr>
        <w:tab/>
        <w:t>(a)</w:t>
      </w:r>
      <w:r>
        <w:rPr>
          <w:snapToGrid w:val="0"/>
        </w:rPr>
        <w:tab/>
        <w:t xml:space="preserve">3 escape gaps are fitted, those gaps are to be positioned one on each side of the rock lobster pot, other than the base of the pot, in the rear half of the pot and one at the end of the pot opposite the hauling rope attachment point or points and are to be positioned in accordance with </w:t>
      </w:r>
      <w:r>
        <w:t xml:space="preserve">Diagram 3(a) </w:t>
      </w:r>
      <w:r>
        <w:rPr>
          <w:snapToGrid w:val="0"/>
        </w:rPr>
        <w:t>in the Table; or</w:t>
      </w:r>
    </w:p>
    <w:p>
      <w:pPr>
        <w:pStyle w:val="yIndenta"/>
        <w:spacing w:before="60"/>
        <w:rPr>
          <w:snapToGrid w:val="0"/>
        </w:rPr>
      </w:pPr>
      <w:r>
        <w:rPr>
          <w:snapToGrid w:val="0"/>
        </w:rPr>
        <w:tab/>
        <w:t>(b)</w:t>
      </w:r>
      <w:r>
        <w:rPr>
          <w:snapToGrid w:val="0"/>
        </w:rPr>
        <w:tab/>
        <w:t>3 escape gaps are fitted, and the length of the rock lobster pot does not exceed 770 mm, those gaps are to be positioned one on each side of the pot, other than the base of the pot, and one at the end of the pot opposite the hauling rope attachment point or points.</w:t>
      </w:r>
    </w:p>
    <w:p>
      <w:pPr>
        <w:pStyle w:val="ySubsection"/>
        <w:rPr>
          <w:snapToGrid w:val="0"/>
        </w:rPr>
      </w:pPr>
      <w:r>
        <w:rPr>
          <w:snapToGrid w:val="0"/>
        </w:rPr>
        <w:tab/>
        <w:t>(5)</w:t>
      </w:r>
      <w:r>
        <w:rPr>
          <w:snapToGrid w:val="0"/>
        </w:rPr>
        <w:tab/>
        <w:t>Where —</w:t>
      </w:r>
    </w:p>
    <w:p>
      <w:pPr>
        <w:pStyle w:val="yIndenta"/>
        <w:rPr>
          <w:snapToGrid w:val="0"/>
        </w:rPr>
      </w:pPr>
      <w:r>
        <w:rPr>
          <w:snapToGrid w:val="0"/>
        </w:rPr>
        <w:tab/>
        <w:t>(a)</w:t>
      </w:r>
      <w:r>
        <w:rPr>
          <w:snapToGrid w:val="0"/>
        </w:rPr>
        <w:tab/>
        <w:t>4 or more escape gaps are fitted, those gaps are to be positioned 2 on each side, other than the base of the pot or the end of the pot to which the hauling rope is attached, and the length of one of the gaps fitted to each side of the pot may be less than 305 mm provided that —</w:t>
      </w:r>
    </w:p>
    <w:p>
      <w:pPr>
        <w:pStyle w:val="yIndenti0"/>
        <w:spacing w:before="60"/>
        <w:rPr>
          <w:snapToGrid w:val="0"/>
        </w:rPr>
      </w:pPr>
      <w:r>
        <w:rPr>
          <w:snapToGrid w:val="0"/>
        </w:rPr>
        <w:tab/>
        <w:t>(i)</w:t>
      </w:r>
      <w:r>
        <w:rPr>
          <w:snapToGrid w:val="0"/>
        </w:rPr>
        <w:tab/>
        <w:t>the combined length of the 2 escape gaps on each side of the pot is not less than 610 mm; and</w:t>
      </w:r>
    </w:p>
    <w:p>
      <w:pPr>
        <w:pStyle w:val="yIndenti0"/>
        <w:spacing w:before="60"/>
        <w:rPr>
          <w:snapToGrid w:val="0"/>
        </w:rPr>
      </w:pPr>
      <w:r>
        <w:rPr>
          <w:snapToGrid w:val="0"/>
        </w:rPr>
        <w:tab/>
        <w:t>(ii)</w:t>
      </w:r>
      <w:r>
        <w:rPr>
          <w:snapToGrid w:val="0"/>
        </w:rPr>
        <w:tab/>
        <w:t>the smallest gap on each side of the pot is not less than 200 mm;</w:t>
      </w:r>
    </w:p>
    <w:p>
      <w:pPr>
        <w:pStyle w:val="yIndenta"/>
        <w:spacing w:before="60"/>
        <w:rPr>
          <w:snapToGrid w:val="0"/>
        </w:rPr>
      </w:pPr>
      <w:r>
        <w:rPr>
          <w:snapToGrid w:val="0"/>
        </w:rPr>
        <w:tab/>
      </w:r>
      <w:r>
        <w:rPr>
          <w:snapToGrid w:val="0"/>
        </w:rPr>
        <w:tab/>
        <w:t>or</w:t>
      </w:r>
    </w:p>
    <w:p>
      <w:pPr>
        <w:pStyle w:val="yIndenta"/>
        <w:spacing w:before="60"/>
        <w:rPr>
          <w:snapToGrid w:val="0"/>
        </w:rPr>
      </w:pPr>
      <w:r>
        <w:rPr>
          <w:snapToGrid w:val="0"/>
        </w:rPr>
        <w:tab/>
        <w:t>(b)</w:t>
      </w:r>
      <w:r>
        <w:rPr>
          <w:snapToGrid w:val="0"/>
        </w:rPr>
        <w:tab/>
        <w:t>4 or more escape gaps are fitted and 2 of those gaps are positioned across the entire width of the end of the rock lobster pot opposite the hauling rope attachment point or points, then the combined length of those gaps may be less than 610 mm provided that —</w:t>
      </w:r>
    </w:p>
    <w:p>
      <w:pPr>
        <w:pStyle w:val="yIndenti0"/>
        <w:spacing w:before="60"/>
        <w:rPr>
          <w:snapToGrid w:val="0"/>
        </w:rPr>
      </w:pPr>
      <w:r>
        <w:rPr>
          <w:snapToGrid w:val="0"/>
        </w:rPr>
        <w:tab/>
        <w:t>(i)</w:t>
      </w:r>
      <w:r>
        <w:rPr>
          <w:snapToGrid w:val="0"/>
        </w:rPr>
        <w:tab/>
        <w:t>the centre support of the end of the pot to which the escape gap is attached does not exceed 50 mm in width; and</w:t>
      </w:r>
    </w:p>
    <w:p>
      <w:pPr>
        <w:pStyle w:val="yIndenti0"/>
        <w:spacing w:before="60"/>
        <w:rPr>
          <w:snapToGrid w:val="0"/>
        </w:rPr>
      </w:pPr>
      <w:r>
        <w:rPr>
          <w:snapToGrid w:val="0"/>
        </w:rPr>
        <w:tab/>
        <w:t>(ii)</w:t>
      </w:r>
      <w:r>
        <w:rPr>
          <w:snapToGrid w:val="0"/>
        </w:rPr>
        <w:tab/>
        <w:t>the smallest gap is not less than 250 mm.</w:t>
      </w:r>
    </w:p>
    <w:p>
      <w:pPr>
        <w:pStyle w:val="ySubsection"/>
        <w:rPr>
          <w:snapToGrid w:val="0"/>
        </w:rPr>
      </w:pPr>
      <w:r>
        <w:rPr>
          <w:snapToGrid w:val="0"/>
        </w:rPr>
        <w:tab/>
        <w:t>(6)</w:t>
      </w:r>
      <w:r>
        <w:rPr>
          <w:snapToGrid w:val="0"/>
        </w:rPr>
        <w:tab/>
        <w:t>When fitted to the rock lobster pot, the longer sides of the escape gaps are to be generally parallel to the base of the pot and the lower internal edges of the escape gaps are to be not more than 110 mm from the base of the pot.</w:t>
      </w:r>
    </w:p>
    <w:p>
      <w:pPr>
        <w:pStyle w:val="ySubsection"/>
        <w:keepNext/>
        <w:rPr>
          <w:snapToGrid w:val="0"/>
        </w:rPr>
      </w:pPr>
      <w:r>
        <w:rPr>
          <w:snapToGrid w:val="0"/>
        </w:rPr>
        <w:tab/>
        <w:t>(7)</w:t>
      </w:r>
      <w:r>
        <w:rPr>
          <w:snapToGrid w:val="0"/>
        </w:rPr>
        <w:tab/>
        <w:t>Escape gaps are to be of —</w:t>
      </w:r>
    </w:p>
    <w:p>
      <w:pPr>
        <w:pStyle w:val="yIndenta"/>
        <w:spacing w:before="60"/>
        <w:rPr>
          <w:snapToGrid w:val="0"/>
        </w:rPr>
      </w:pPr>
      <w:r>
        <w:rPr>
          <w:snapToGrid w:val="0"/>
        </w:rPr>
        <w:tab/>
        <w:t>(a)</w:t>
      </w:r>
      <w:r>
        <w:rPr>
          <w:snapToGrid w:val="0"/>
        </w:rPr>
        <w:tab/>
        <w:t>steel flat</w:t>
      </w:r>
      <w:r>
        <w:rPr>
          <w:snapToGrid w:val="0"/>
        </w:rPr>
        <w:noBreakHyphen/>
        <w:t>bar with a width of not less than 20 mm and a thickness of not less than 3 mm and not more than 6 mm and are to be constructed in accordance with Diagram 4 in the Table; or</w:t>
      </w:r>
    </w:p>
    <w:p>
      <w:pPr>
        <w:pStyle w:val="yIndenta"/>
        <w:spacing w:before="60"/>
        <w:rPr>
          <w:snapToGrid w:val="0"/>
        </w:rPr>
      </w:pPr>
      <w:r>
        <w:rPr>
          <w:snapToGrid w:val="0"/>
        </w:rPr>
        <w:tab/>
        <w:t>(b)</w:t>
      </w:r>
      <w:r>
        <w:rPr>
          <w:snapToGrid w:val="0"/>
        </w:rPr>
        <w:tab/>
        <w:t>aluminium with a width of not less than 20 mm and a thickness of not less than 4 mm and not more than 6 mm and are to be constructed in accordance with Diagram 5 in the Table; or</w:t>
      </w:r>
    </w:p>
    <w:p>
      <w:pPr>
        <w:pStyle w:val="yIndenta"/>
        <w:spacing w:before="60"/>
        <w:rPr>
          <w:snapToGrid w:val="0"/>
        </w:rPr>
      </w:pPr>
      <w:r>
        <w:rPr>
          <w:snapToGrid w:val="0"/>
        </w:rPr>
        <w:tab/>
        <w:t>(c)</w:t>
      </w:r>
      <w:r>
        <w:rPr>
          <w:snapToGrid w:val="0"/>
        </w:rPr>
        <w:tab/>
        <w:t>fibreglass with a thickness of not less than 3 mm and not more than 6 mm with reinforcing on the lip of the gap with a thickness of not less than 5 mm and not more than 8 mm and the widest measurement of the lip of the gap is not to exceed 12 mm and are to be constructed in accordance with Diagram 6 in the Table; or</w:t>
      </w:r>
    </w:p>
    <w:p>
      <w:pPr>
        <w:pStyle w:val="yIndenta"/>
        <w:rPr>
          <w:snapToGrid w:val="0"/>
        </w:rPr>
      </w:pPr>
      <w:r>
        <w:rPr>
          <w:snapToGrid w:val="0"/>
        </w:rPr>
        <w:tab/>
        <w:t>(d)</w:t>
      </w:r>
      <w:r>
        <w:rPr>
          <w:snapToGrid w:val="0"/>
        </w:rPr>
        <w:tab/>
        <w:t>pressed steel or aluminium with a width of not less than 20 mm and a thickness of not less than 2 mm and not more than 3 mm, when incorporating an internal pressed lip of a depth not less than 6 mm or more than 10 mm and are to be constructed in accordance with Diagram 7 in the Table.</w:t>
      </w:r>
    </w:p>
    <w:p>
      <w:pPr>
        <w:pStyle w:val="ySubsection"/>
        <w:rPr>
          <w:snapToGrid w:val="0"/>
        </w:rPr>
      </w:pPr>
      <w:r>
        <w:rPr>
          <w:snapToGrid w:val="0"/>
        </w:rPr>
        <w:tab/>
        <w:t>(8)</w:t>
      </w:r>
      <w:r>
        <w:rPr>
          <w:snapToGrid w:val="0"/>
        </w:rPr>
        <w:tab/>
        <w:t>The material to which an escape gap is attached in the horizontal plane is not to be —</w:t>
      </w:r>
    </w:p>
    <w:p>
      <w:pPr>
        <w:pStyle w:val="yIndenta"/>
        <w:rPr>
          <w:snapToGrid w:val="0"/>
        </w:rPr>
      </w:pPr>
      <w:r>
        <w:rPr>
          <w:snapToGrid w:val="0"/>
        </w:rPr>
        <w:tab/>
        <w:t>(a)</w:t>
      </w:r>
      <w:r>
        <w:rPr>
          <w:snapToGrid w:val="0"/>
        </w:rPr>
        <w:tab/>
        <w:t>constructed of a material thicker than 13 mm; or</w:t>
      </w:r>
    </w:p>
    <w:p>
      <w:pPr>
        <w:pStyle w:val="yIndenta"/>
        <w:rPr>
          <w:snapToGrid w:val="0"/>
        </w:rPr>
      </w:pPr>
      <w:r>
        <w:rPr>
          <w:snapToGrid w:val="0"/>
        </w:rPr>
        <w:tab/>
        <w:t>(b)</w:t>
      </w:r>
      <w:r>
        <w:rPr>
          <w:snapToGrid w:val="0"/>
        </w:rPr>
        <w:tab/>
        <w:t>in the horizontal plane, within 5 mm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mm of the attachment material, then the material to which the gap is attached may be greater than 13 mm but not more than 25 mm in thickness.</w:t>
      </w:r>
    </w:p>
    <w:p>
      <w:pPr>
        <w:pStyle w:val="ySubsection"/>
        <w:spacing w:before="120"/>
        <w:rPr>
          <w:snapToGrid w:val="0"/>
        </w:rPr>
      </w:pPr>
      <w:r>
        <w:rPr>
          <w:snapToGrid w:val="0"/>
        </w:rPr>
        <w:tab/>
        <w:t>(9)</w:t>
      </w:r>
      <w:r>
        <w:rPr>
          <w:snapToGrid w:val="0"/>
        </w:rPr>
        <w:tab/>
        <w:t>A batten rock lobster pot, unless otherwise approved by the CEO, is not to exceed, when measured internally —</w:t>
      </w:r>
    </w:p>
    <w:p>
      <w:pPr>
        <w:pStyle w:val="yIndenta"/>
        <w:rPr>
          <w:snapToGrid w:val="0"/>
        </w:rPr>
      </w:pPr>
      <w:r>
        <w:rPr>
          <w:snapToGrid w:val="0"/>
        </w:rPr>
        <w:tab/>
        <w:t>(a)</w:t>
      </w:r>
      <w:r>
        <w:rPr>
          <w:snapToGrid w:val="0"/>
        </w:rPr>
        <w:tab/>
        <w:t>915 mm in length; or</w:t>
      </w:r>
    </w:p>
    <w:p>
      <w:pPr>
        <w:pStyle w:val="yIndenta"/>
        <w:rPr>
          <w:snapToGrid w:val="0"/>
        </w:rPr>
      </w:pPr>
      <w:r>
        <w:rPr>
          <w:snapToGrid w:val="0"/>
        </w:rPr>
        <w:tab/>
        <w:t>(b)</w:t>
      </w:r>
      <w:r>
        <w:rPr>
          <w:snapToGrid w:val="0"/>
        </w:rPr>
        <w:tab/>
        <w:t>420 mm in height; or</w:t>
      </w:r>
    </w:p>
    <w:p>
      <w:pPr>
        <w:pStyle w:val="yIndenta"/>
        <w:rPr>
          <w:snapToGrid w:val="0"/>
        </w:rPr>
      </w:pPr>
      <w:r>
        <w:rPr>
          <w:snapToGrid w:val="0"/>
        </w:rPr>
        <w:tab/>
        <w:t>(c)</w:t>
      </w:r>
      <w:r>
        <w:rPr>
          <w:snapToGrid w:val="0"/>
        </w:rPr>
        <w:tab/>
        <w:t>800 mm base width; or</w:t>
      </w:r>
    </w:p>
    <w:p>
      <w:pPr>
        <w:pStyle w:val="yIndenta"/>
        <w:rPr>
          <w:snapToGrid w:val="0"/>
        </w:rPr>
      </w:pPr>
      <w:r>
        <w:rPr>
          <w:snapToGrid w:val="0"/>
        </w:rPr>
        <w:tab/>
        <w:t>(d)</w:t>
      </w:r>
      <w:r>
        <w:rPr>
          <w:snapToGrid w:val="0"/>
        </w:rPr>
        <w:tab/>
        <w:t>540 mm top width,</w:t>
      </w:r>
    </w:p>
    <w:p>
      <w:pPr>
        <w:pStyle w:val="ySubsection"/>
        <w:spacing w:before="120"/>
        <w:rPr>
          <w:snapToGrid w:val="0"/>
        </w:rPr>
      </w:pPr>
      <w:r>
        <w:rPr>
          <w:snapToGrid w:val="0"/>
        </w:rPr>
        <w:tab/>
      </w:r>
      <w:r>
        <w:rPr>
          <w:snapToGrid w:val="0"/>
        </w:rPr>
        <w:tab/>
        <w:t>except that where the height of the pot is less than 420 mm, the top width of the pot may be increased by 5 mm for every 10 mm by which the height is reduced.</w:t>
      </w:r>
    </w:p>
    <w:p>
      <w:pPr>
        <w:pStyle w:val="ySubsection"/>
        <w:spacing w:before="120"/>
        <w:rPr>
          <w:snapToGrid w:val="0"/>
        </w:rPr>
      </w:pPr>
      <w:r>
        <w:rPr>
          <w:snapToGrid w:val="0"/>
        </w:rPr>
        <w:tab/>
        <w:t>(10)</w:t>
      </w:r>
      <w:r>
        <w:rPr>
          <w:snapToGrid w:val="0"/>
        </w:rPr>
        <w:tab/>
        <w:t>When determining the internal dimensions of a batten pot, the measuring points are those specified in Diagram 9 in the Table and if the end frames have been modified by cutting the corners of the frame to the pot or modified in some other way, the measuring points are to be projected points as if the end and side frames were not cut or modified and were in accordance with those of Diagram 9.</w:t>
      </w:r>
    </w:p>
    <w:p>
      <w:pPr>
        <w:pStyle w:val="yFootnotesection"/>
      </w:pPr>
      <w:r>
        <w:tab/>
        <w:t>[Clause 4 amended in Gazette 6 Jul 2007 p. 3389</w:t>
      </w:r>
      <w:r>
        <w:noBreakHyphen/>
        <w:t>90; 5 Nov 2009 p. 4414; 27 Aug 2010 p. 4107.]</w:t>
      </w:r>
    </w:p>
    <w:p>
      <w:pPr>
        <w:pStyle w:val="yHeading5"/>
      </w:pPr>
      <w:bookmarkStart w:id="10970" w:name="_Toc309309677"/>
      <w:r>
        <w:rPr>
          <w:rStyle w:val="CharSClsNo"/>
        </w:rPr>
        <w:t>5</w:t>
      </w:r>
      <w:r>
        <w:t>.</w:t>
      </w:r>
      <w:r>
        <w:tab/>
        <w:t>Other pots</w:t>
      </w:r>
      <w:bookmarkEnd w:id="10970"/>
    </w:p>
    <w:p>
      <w:pPr>
        <w:pStyle w:val="ySubsection"/>
      </w:pPr>
      <w:r>
        <w:tab/>
        <w:t>(1)</w:t>
      </w:r>
      <w:r>
        <w:tab/>
        <w:t>This clause applies to rock lobster pots that are not beehive pots or batten pots.</w:t>
      </w:r>
    </w:p>
    <w:p>
      <w:pPr>
        <w:pStyle w:val="ySubsection"/>
        <w:rPr>
          <w:snapToGrid w:val="0"/>
        </w:rPr>
      </w:pPr>
      <w:r>
        <w:tab/>
        <w:t>(2)</w:t>
      </w:r>
      <w:r>
        <w:tab/>
      </w:r>
      <w:r>
        <w:rPr>
          <w:snapToGrid w:val="0"/>
        </w:rPr>
        <w:t xml:space="preserve">A rock lobster pot is to have inserted in it a device or devices </w:t>
      </w:r>
      <w:r>
        <w:t>to create a minimum of 3 escape gaps</w:t>
      </w:r>
      <w:r>
        <w:rPr>
          <w:snapToGrid w:val="0"/>
        </w:rPr>
        <w:t xml:space="preserve"> that are as nearly as practicable rectangular in shape and when measured internally each is to measure not less than 305 mm in length and not less than 55 mm in height.</w:t>
      </w:r>
    </w:p>
    <w:p>
      <w:pPr>
        <w:pStyle w:val="ySubsection"/>
        <w:spacing w:before="120"/>
        <w:rPr>
          <w:snapToGrid w:val="0"/>
        </w:rPr>
      </w:pPr>
      <w:r>
        <w:rPr>
          <w:snapToGrid w:val="0"/>
        </w:rPr>
        <w:tab/>
        <w:t>(3)</w:t>
      </w:r>
      <w:r>
        <w:rPr>
          <w:snapToGrid w:val="0"/>
        </w:rPr>
        <w:tab/>
        <w:t>The escape gaps are to be positioned —</w:t>
      </w:r>
    </w:p>
    <w:p>
      <w:pPr>
        <w:pStyle w:val="yIndenta"/>
        <w:rPr>
          <w:snapToGrid w:val="0"/>
        </w:rPr>
      </w:pPr>
      <w:r>
        <w:rPr>
          <w:snapToGrid w:val="0"/>
        </w:rPr>
        <w:tab/>
        <w:t>(a)</w:t>
      </w:r>
      <w:r>
        <w:rPr>
          <w:snapToGrid w:val="0"/>
        </w:rPr>
        <w:tab/>
        <w:t>one on each side, other than the base, in the rear half of the pot and one at the end of the pot opposite the hauling rope attachment point or points; and</w:t>
      </w:r>
    </w:p>
    <w:p>
      <w:pPr>
        <w:pStyle w:val="yIndenta"/>
        <w:rPr>
          <w:snapToGrid w:val="0"/>
        </w:rPr>
      </w:pPr>
      <w:r>
        <w:rPr>
          <w:snapToGrid w:val="0"/>
        </w:rPr>
        <w:tab/>
        <w:t>(b)</w:t>
      </w:r>
      <w:r>
        <w:rPr>
          <w:snapToGrid w:val="0"/>
        </w:rPr>
        <w:tab/>
        <w:t>so that the longer sides of the gaps are generally parallel to the base of the pot and the lower internal edge of the escape gaps are no more than 110 mm from the base of the pot.</w:t>
      </w:r>
    </w:p>
    <w:p>
      <w:pPr>
        <w:pStyle w:val="ySubsection"/>
        <w:rPr>
          <w:snapToGrid w:val="0"/>
        </w:rPr>
      </w:pPr>
      <w:r>
        <w:rPr>
          <w:snapToGrid w:val="0"/>
        </w:rPr>
        <w:tab/>
        <w:t>(4)</w:t>
      </w:r>
      <w:r>
        <w:rPr>
          <w:snapToGrid w:val="0"/>
        </w:rPr>
        <w:tab/>
        <w:t>Escape gaps are to be constructed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mm and not more than 6 mm.</w:t>
      </w:r>
    </w:p>
    <w:p>
      <w:pPr>
        <w:pStyle w:val="ySubsection"/>
        <w:rPr>
          <w:snapToGrid w:val="0"/>
        </w:rPr>
      </w:pPr>
      <w:r>
        <w:rPr>
          <w:snapToGrid w:val="0"/>
        </w:rPr>
        <w:tab/>
        <w:t>(5)</w:t>
      </w:r>
      <w:r>
        <w:rPr>
          <w:snapToGrid w:val="0"/>
        </w:rPr>
        <w:tab/>
        <w:t>The material to which the escape gaps is attached in the horizontal plane is not to be —</w:t>
      </w:r>
    </w:p>
    <w:p>
      <w:pPr>
        <w:pStyle w:val="yIndenta"/>
        <w:rPr>
          <w:snapToGrid w:val="0"/>
        </w:rPr>
      </w:pPr>
      <w:r>
        <w:rPr>
          <w:snapToGrid w:val="0"/>
        </w:rPr>
        <w:tab/>
        <w:t>(a)</w:t>
      </w:r>
      <w:r>
        <w:rPr>
          <w:snapToGrid w:val="0"/>
        </w:rPr>
        <w:tab/>
        <w:t>constructed of material thicker than 13 mm; or</w:t>
      </w:r>
    </w:p>
    <w:p>
      <w:pPr>
        <w:pStyle w:val="yIndenta"/>
        <w:rPr>
          <w:snapToGrid w:val="0"/>
        </w:rPr>
      </w:pPr>
      <w:r>
        <w:rPr>
          <w:snapToGrid w:val="0"/>
        </w:rPr>
        <w:tab/>
        <w:t>(b)</w:t>
      </w:r>
      <w:r>
        <w:rPr>
          <w:snapToGrid w:val="0"/>
        </w:rPr>
        <w:tab/>
        <w:t>in the horizontal plane, within 5 mm of the internal edge of the escape gap.</w:t>
      </w:r>
    </w:p>
    <w:p>
      <w:pPr>
        <w:pStyle w:val="yFootnotesection"/>
      </w:pPr>
      <w:r>
        <w:tab/>
        <w:t>[Clause 5 amended in Gazette 29 Nov 2002 p. 5656; 5 Nov 2009 p. 4414; 12 Feb 2010 p. 588; 27 Aug 2010 p. 4107.]</w:t>
      </w:r>
    </w:p>
    <w:p>
      <w:pPr>
        <w:pStyle w:val="yEdnotesection"/>
      </w:pPr>
      <w:r>
        <w:t>[</w:t>
      </w:r>
      <w:r>
        <w:rPr>
          <w:b/>
          <w:bCs/>
        </w:rPr>
        <w:t>6.</w:t>
      </w:r>
      <w:r>
        <w:tab/>
        <w:t>Deleted in Gazette 12 Feb 2010 p. 588.]</w:t>
      </w:r>
    </w:p>
    <w:p>
      <w:pPr>
        <w:pStyle w:val="yHeading5"/>
      </w:pPr>
      <w:bookmarkStart w:id="10971" w:name="_Toc309309678"/>
      <w:r>
        <w:rPr>
          <w:rStyle w:val="CharSClsNo"/>
        </w:rPr>
        <w:t>7</w:t>
      </w:r>
      <w:r>
        <w:t>.</w:t>
      </w:r>
      <w:r>
        <w:tab/>
        <w:t>All pots</w:t>
      </w:r>
      <w:bookmarkEnd w:id="10971"/>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 rock lobster pot is not to have an internal volume, including that of any object enclosed in a pot such as a bait basket and neck and ballast in the frame of the pot, which is greater than 0.257 m</w:t>
      </w:r>
      <w:r>
        <w:rPr>
          <w:snapToGrid w:val="0"/>
          <w:vertAlign w:val="superscript"/>
        </w:rPr>
        <w:t>3</w:t>
      </w:r>
      <w:r>
        <w:rPr>
          <w:snapToGrid w:val="0"/>
        </w:rPr>
        <w:t>.</w:t>
      </w:r>
    </w:p>
    <w:p>
      <w:pPr>
        <w:pStyle w:val="ySubsection"/>
        <w:rPr>
          <w:snapToGrid w:val="0"/>
        </w:rPr>
      </w:pPr>
      <w:r>
        <w:rPr>
          <w:snapToGrid w:val="0"/>
        </w:rPr>
        <w:tab/>
        <w:t>(4)</w:t>
      </w:r>
      <w:r>
        <w:rPr>
          <w:snapToGrid w:val="0"/>
        </w:rPr>
        <w:tab/>
        <w:t>An escape gap is not to have any obstruction positioned in such a way as to restrict the movement of rock lobsters through the escape gap or to reduce the internal measurements of the escape gap, except as provided in clause 3(2)(c).</w:t>
      </w:r>
    </w:p>
    <w:p>
      <w:pPr>
        <w:pStyle w:val="yHeading2"/>
      </w:pPr>
      <w:bookmarkStart w:id="10972" w:name="_Toc189988242"/>
      <w:bookmarkStart w:id="10973" w:name="_Toc192041825"/>
      <w:bookmarkStart w:id="10974" w:name="_Toc199571059"/>
      <w:bookmarkStart w:id="10975" w:name="_Toc199739058"/>
      <w:bookmarkStart w:id="10976" w:name="_Toc199815159"/>
      <w:bookmarkStart w:id="10977" w:name="_Toc215040966"/>
      <w:bookmarkStart w:id="10978" w:name="_Toc215041411"/>
      <w:bookmarkStart w:id="10979" w:name="_Toc222129619"/>
      <w:bookmarkStart w:id="10980" w:name="_Toc222223324"/>
      <w:bookmarkStart w:id="10981" w:name="_Toc225914576"/>
      <w:bookmarkStart w:id="10982" w:name="_Toc231282621"/>
      <w:bookmarkStart w:id="10983" w:name="_Toc231283065"/>
      <w:bookmarkStart w:id="10984" w:name="_Toc234899655"/>
      <w:bookmarkStart w:id="10985" w:name="_Toc236632938"/>
      <w:bookmarkStart w:id="10986" w:name="_Toc236720551"/>
      <w:bookmarkStart w:id="10987" w:name="_Toc237764750"/>
      <w:bookmarkStart w:id="10988" w:name="_Toc238356374"/>
      <w:bookmarkStart w:id="10989" w:name="_Toc238369079"/>
      <w:bookmarkStart w:id="10990" w:name="_Toc238376032"/>
      <w:bookmarkStart w:id="10991" w:name="_Toc240339356"/>
      <w:bookmarkStart w:id="10992" w:name="_Toc241993862"/>
      <w:bookmarkStart w:id="10993" w:name="_Toc243193005"/>
      <w:bookmarkStart w:id="10994" w:name="_Toc243295705"/>
      <w:bookmarkStart w:id="10995" w:name="_Toc245113279"/>
      <w:bookmarkStart w:id="10996" w:name="_Toc245198441"/>
      <w:bookmarkStart w:id="10997" w:name="_Toc245198890"/>
      <w:bookmarkStart w:id="10998" w:name="_Toc245199339"/>
      <w:bookmarkStart w:id="10999" w:name="_Toc248122371"/>
      <w:bookmarkStart w:id="11000" w:name="_Toc248122822"/>
      <w:bookmarkStart w:id="11001" w:name="_Toc253670808"/>
      <w:bookmarkStart w:id="11002" w:name="_Toc253671258"/>
      <w:bookmarkStart w:id="11003" w:name="_Toc254943032"/>
      <w:bookmarkStart w:id="11004" w:name="_Toc254943485"/>
      <w:bookmarkStart w:id="11005" w:name="_Toc255476077"/>
      <w:bookmarkStart w:id="11006" w:name="_Toc256432398"/>
      <w:bookmarkStart w:id="11007" w:name="_Toc257720735"/>
      <w:bookmarkStart w:id="11008" w:name="_Toc257722417"/>
      <w:bookmarkStart w:id="11009" w:name="_Toc258336093"/>
      <w:bookmarkStart w:id="11010" w:name="_Toc260406535"/>
      <w:bookmarkStart w:id="11011" w:name="_Toc261271721"/>
      <w:bookmarkStart w:id="11012" w:name="_Toc262808403"/>
      <w:bookmarkStart w:id="11013" w:name="_Toc267572795"/>
      <w:bookmarkStart w:id="11014" w:name="_Toc270684543"/>
      <w:bookmarkStart w:id="11015" w:name="_Toc274214720"/>
      <w:bookmarkStart w:id="11016" w:name="_Toc274215169"/>
      <w:bookmarkStart w:id="11017" w:name="_Toc278976500"/>
      <w:bookmarkStart w:id="11018" w:name="_Toc286760821"/>
      <w:bookmarkStart w:id="11019" w:name="_Toc289081166"/>
      <w:bookmarkStart w:id="11020" w:name="_Toc290284360"/>
      <w:bookmarkStart w:id="11021" w:name="_Toc290643181"/>
      <w:bookmarkStart w:id="11022" w:name="_Toc290643630"/>
      <w:bookmarkStart w:id="11023" w:name="_Toc290644083"/>
      <w:bookmarkStart w:id="11024" w:name="_Toc294701900"/>
      <w:bookmarkStart w:id="11025" w:name="_Toc295200308"/>
      <w:bookmarkStart w:id="11026" w:name="_Toc296954749"/>
      <w:bookmarkStart w:id="11027" w:name="_Toc297276384"/>
      <w:bookmarkStart w:id="11028" w:name="_Toc297276836"/>
      <w:bookmarkStart w:id="11029" w:name="_Toc297277286"/>
      <w:bookmarkStart w:id="11030" w:name="_Toc297726655"/>
      <w:bookmarkStart w:id="11031" w:name="_Toc299980441"/>
      <w:bookmarkStart w:id="11032" w:name="_Toc300235067"/>
      <w:bookmarkStart w:id="11033" w:name="_Toc301961570"/>
      <w:bookmarkStart w:id="11034" w:name="_Toc301967140"/>
      <w:bookmarkStart w:id="11035" w:name="_Toc303253349"/>
      <w:bookmarkStart w:id="11036" w:name="_Toc303257513"/>
      <w:bookmarkStart w:id="11037" w:name="_Toc307993146"/>
      <w:bookmarkStart w:id="11038" w:name="_Toc309030179"/>
      <w:bookmarkStart w:id="11039" w:name="_Toc309304402"/>
      <w:bookmarkStart w:id="11040" w:name="_Toc309309679"/>
      <w:r>
        <w:rPr>
          <w:rStyle w:val="CharSDivNo"/>
          <w:sz w:val="28"/>
        </w:rPr>
        <w:t>Part 3</w:t>
      </w:r>
      <w:r>
        <w:t> — </w:t>
      </w:r>
      <w:r>
        <w:rPr>
          <w:rStyle w:val="CharSDivText"/>
          <w:sz w:val="28"/>
        </w:rPr>
        <w:t>All other waters</w:t>
      </w:r>
      <w:bookmarkEnd w:id="10972"/>
      <w:bookmarkEnd w:id="10973"/>
      <w:bookmarkEnd w:id="10974"/>
      <w:bookmarkEnd w:id="10975"/>
      <w:bookmarkEnd w:id="10976"/>
      <w:bookmarkEnd w:id="10977"/>
      <w:bookmarkEnd w:id="10978"/>
      <w:bookmarkEnd w:id="10979"/>
      <w:bookmarkEnd w:id="10980"/>
      <w:bookmarkEnd w:id="10981"/>
      <w:bookmarkEnd w:id="10982"/>
      <w:bookmarkEnd w:id="10983"/>
      <w:bookmarkEnd w:id="10984"/>
      <w:bookmarkEnd w:id="10985"/>
      <w:bookmarkEnd w:id="10986"/>
      <w:bookmarkEnd w:id="10987"/>
      <w:bookmarkEnd w:id="10988"/>
      <w:bookmarkEnd w:id="10989"/>
      <w:bookmarkEnd w:id="10990"/>
      <w:bookmarkEnd w:id="10991"/>
      <w:bookmarkEnd w:id="10992"/>
      <w:bookmarkEnd w:id="10993"/>
      <w:bookmarkEnd w:id="10994"/>
      <w:bookmarkEnd w:id="10995"/>
      <w:bookmarkEnd w:id="10996"/>
      <w:bookmarkEnd w:id="10997"/>
      <w:bookmarkEnd w:id="10998"/>
      <w:bookmarkEnd w:id="10999"/>
      <w:bookmarkEnd w:id="11000"/>
      <w:bookmarkEnd w:id="11001"/>
      <w:bookmarkEnd w:id="11002"/>
      <w:bookmarkEnd w:id="11003"/>
      <w:bookmarkEnd w:id="11004"/>
      <w:bookmarkEnd w:id="11005"/>
      <w:bookmarkEnd w:id="11006"/>
      <w:bookmarkEnd w:id="11007"/>
      <w:bookmarkEnd w:id="11008"/>
      <w:bookmarkEnd w:id="11009"/>
      <w:bookmarkEnd w:id="11010"/>
      <w:bookmarkEnd w:id="11011"/>
      <w:bookmarkEnd w:id="11012"/>
      <w:bookmarkEnd w:id="11013"/>
      <w:bookmarkEnd w:id="11014"/>
      <w:bookmarkEnd w:id="11015"/>
      <w:bookmarkEnd w:id="11016"/>
      <w:bookmarkEnd w:id="11017"/>
      <w:bookmarkEnd w:id="11018"/>
      <w:bookmarkEnd w:id="11019"/>
      <w:bookmarkEnd w:id="11020"/>
      <w:bookmarkEnd w:id="11021"/>
      <w:bookmarkEnd w:id="11022"/>
      <w:bookmarkEnd w:id="11023"/>
      <w:bookmarkEnd w:id="11024"/>
      <w:bookmarkEnd w:id="11025"/>
      <w:bookmarkEnd w:id="11026"/>
      <w:bookmarkEnd w:id="11027"/>
      <w:bookmarkEnd w:id="11028"/>
      <w:bookmarkEnd w:id="11029"/>
      <w:bookmarkEnd w:id="11030"/>
      <w:bookmarkEnd w:id="11031"/>
      <w:bookmarkEnd w:id="11032"/>
      <w:bookmarkEnd w:id="11033"/>
      <w:bookmarkEnd w:id="11034"/>
      <w:bookmarkEnd w:id="11035"/>
      <w:bookmarkEnd w:id="11036"/>
      <w:bookmarkEnd w:id="11037"/>
      <w:bookmarkEnd w:id="11038"/>
      <w:bookmarkEnd w:id="11039"/>
      <w:bookmarkEnd w:id="11040"/>
    </w:p>
    <w:p>
      <w:pPr>
        <w:pStyle w:val="yHeading5"/>
      </w:pPr>
      <w:bookmarkStart w:id="11041" w:name="_Toc309309680"/>
      <w:r>
        <w:rPr>
          <w:rStyle w:val="CharSClsNo"/>
        </w:rPr>
        <w:t>8</w:t>
      </w:r>
      <w:r>
        <w:t>.</w:t>
      </w:r>
      <w:r>
        <w:tab/>
        <w:t>Entrance or neck of pot</w:t>
      </w:r>
      <w:bookmarkEnd w:id="11041"/>
    </w:p>
    <w:p>
      <w:pPr>
        <w:pStyle w:val="ySubsection"/>
        <w:rPr>
          <w:snapToGrid w:val="0"/>
        </w:rPr>
      </w:pPr>
      <w:r>
        <w:rPr>
          <w:snapToGrid w:val="0"/>
        </w:rPr>
        <w:tab/>
      </w:r>
      <w:r>
        <w:rPr>
          <w:snapToGrid w:val="0"/>
        </w:rPr>
        <w:tab/>
        <w:t>Unless otherwise approved by the CEO, a rock lobster pot is to have only one entrance or neck which is to be positioned on the upper surface of the pot with the entrance or neck parallel to the base of the pot and is to be constructed wholly of a rigid material and must not contain any device capable of restricting the egress of fish.</w:t>
      </w:r>
    </w:p>
    <w:p>
      <w:pPr>
        <w:pStyle w:val="yFootnotesection"/>
      </w:pPr>
      <w:r>
        <w:tab/>
        <w:t>[Clause 8 amended in Gazette 6 Jul 2007 p. 3389</w:t>
      </w:r>
      <w:r>
        <w:noBreakHyphen/>
        <w:t>90.]</w:t>
      </w:r>
    </w:p>
    <w:p>
      <w:pPr>
        <w:pStyle w:val="yHeading5"/>
      </w:pPr>
      <w:bookmarkStart w:id="11042" w:name="_Toc309309681"/>
      <w:r>
        <w:rPr>
          <w:rStyle w:val="CharSClsNo"/>
        </w:rPr>
        <w:t>9</w:t>
      </w:r>
      <w:r>
        <w:t>.</w:t>
      </w:r>
      <w:r>
        <w:tab/>
        <w:t>Beehive pots</w:t>
      </w:r>
      <w:bookmarkEnd w:id="11042"/>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w:t>
      </w:r>
    </w:p>
    <w:p>
      <w:pPr>
        <w:pStyle w:val="yIndenta"/>
        <w:rPr>
          <w:snapToGrid w:val="0"/>
        </w:rPr>
      </w:pPr>
      <w:r>
        <w:rPr>
          <w:snapToGrid w:val="0"/>
        </w:rPr>
        <w:tab/>
        <w:t>(a)</w:t>
      </w:r>
      <w:r>
        <w:rPr>
          <w:snapToGrid w:val="0"/>
        </w:rPr>
        <w:tab/>
        <w:t xml:space="preserve">is to have inserted in it a device to create an escape gap that is as nearly as practicable rectangular in shape and when measured internally is not less than 305 mm in length and not less than 54 mm in height (see </w:t>
      </w:r>
      <w:r>
        <w:t xml:space="preserve">Diagram 1(b) </w:t>
      </w:r>
      <w:r>
        <w:rPr>
          <w:snapToGrid w:val="0"/>
        </w:rPr>
        <w:t>in the Table); and</w:t>
      </w:r>
    </w:p>
    <w:p>
      <w:pPr>
        <w:pStyle w:val="yIndenta"/>
        <w:rPr>
          <w:snapToGrid w:val="0"/>
        </w:rPr>
      </w:pPr>
      <w:r>
        <w:rPr>
          <w:snapToGrid w:val="0"/>
        </w:rPr>
        <w:tab/>
        <w:t>(b)</w:t>
      </w:r>
      <w:r>
        <w:rPr>
          <w:snapToGrid w:val="0"/>
        </w:rPr>
        <w:tab/>
        <w:t>is not to have any obstruction positioned so as to restrict the movement of rock lobsters through the escape gap or to reduce the internal measurement of the escape gap, other than in the case of a pot constructed of cane or sticks, where one wire may pass vertically across the escape gap.</w:t>
      </w:r>
    </w:p>
    <w:p>
      <w:pPr>
        <w:pStyle w:val="ySubsection"/>
        <w:keepNext/>
        <w:keepLines/>
        <w:rPr>
          <w:snapToGrid w:val="0"/>
        </w:rPr>
      </w:pPr>
      <w:r>
        <w:rPr>
          <w:snapToGrid w:val="0"/>
        </w:rPr>
        <w:tab/>
        <w:t>(3)</w:t>
      </w:r>
      <w:r>
        <w:rPr>
          <w:snapToGrid w:val="0"/>
        </w:rPr>
        <w:tab/>
        <w:t>The escape gap in a beehive rock lobster pot is to be —</w:t>
      </w:r>
    </w:p>
    <w:p>
      <w:pPr>
        <w:pStyle w:val="yIndenta"/>
        <w:spacing w:before="60"/>
        <w:rPr>
          <w:snapToGrid w:val="0"/>
        </w:rPr>
      </w:pPr>
      <w:r>
        <w:rPr>
          <w:snapToGrid w:val="0"/>
        </w:rPr>
        <w:tab/>
        <w:t>(a)</w:t>
      </w:r>
      <w:r>
        <w:rPr>
          <w:snapToGrid w:val="0"/>
        </w:rPr>
        <w:tab/>
        <w:t>positioned on the side of the pot so that the longer sides of the gap are generally parallel to the base of the pot and the lower internal edge of the escape gap is not more than 110 mm from the base of the pot and is to be positioned in accordance with Diagram 2(b) in the Table; and</w:t>
      </w:r>
    </w:p>
    <w:p>
      <w:pPr>
        <w:pStyle w:val="yIndenta"/>
        <w:spacing w:before="60"/>
        <w:rPr>
          <w:snapToGrid w:val="0"/>
        </w:rPr>
      </w:pPr>
      <w:r>
        <w:rPr>
          <w:snapToGrid w:val="0"/>
        </w:rPr>
        <w:tab/>
        <w:t>(b)</w:t>
      </w:r>
      <w:r>
        <w:rPr>
          <w:snapToGrid w:val="0"/>
        </w:rPr>
        <w:tab/>
        <w:t>located at least 150 mm away from the attachment point or points of the hauling rope and, where there are 2 attachment points, not between those points; and</w:t>
      </w:r>
    </w:p>
    <w:p>
      <w:pPr>
        <w:pStyle w:val="yIndenta"/>
        <w:keepNext/>
        <w:spacing w:before="60"/>
        <w:rPr>
          <w:snapToGrid w:val="0"/>
        </w:rPr>
      </w:pPr>
      <w:r>
        <w:rPr>
          <w:snapToGrid w:val="0"/>
        </w:rPr>
        <w:tab/>
        <w:t>(c)</w:t>
      </w:r>
      <w:r>
        <w:rPr>
          <w:snapToGrid w:val="0"/>
        </w:rPr>
        <w:tab/>
        <w:t>of —</w:t>
      </w:r>
    </w:p>
    <w:p>
      <w:pPr>
        <w:pStyle w:val="yIndenti0"/>
        <w:spacing w:before="6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spacing w:before="60"/>
        <w:rPr>
          <w:snapToGrid w:val="0"/>
        </w:rPr>
      </w:pPr>
      <w:r>
        <w:rPr>
          <w:snapToGrid w:val="0"/>
        </w:rPr>
        <w:tab/>
        <w:t>(ii)</w:t>
      </w:r>
      <w:r>
        <w:rPr>
          <w:snapToGrid w:val="0"/>
        </w:rPr>
        <w:tab/>
        <w:t>pressed steel or aluminium and constructed to the specifications set out in clause 4(7)(d).</w:t>
      </w:r>
    </w:p>
    <w:p>
      <w:pPr>
        <w:pStyle w:val="yFootnotesection"/>
      </w:pPr>
      <w:r>
        <w:tab/>
        <w:t>[Clause 9 amended in Gazette 27 Aug 2010 p. 4107.]</w:t>
      </w:r>
    </w:p>
    <w:p>
      <w:pPr>
        <w:pStyle w:val="yHeading5"/>
      </w:pPr>
      <w:bookmarkStart w:id="11043" w:name="_Toc309309682"/>
      <w:r>
        <w:rPr>
          <w:rStyle w:val="CharSClsNo"/>
        </w:rPr>
        <w:t>10</w:t>
      </w:r>
      <w:r>
        <w:t>.</w:t>
      </w:r>
      <w:r>
        <w:tab/>
        <w:t>Batten pots</w:t>
      </w:r>
      <w:bookmarkEnd w:id="11043"/>
    </w:p>
    <w:p>
      <w:pPr>
        <w:pStyle w:val="ySubsection"/>
        <w:rPr>
          <w:snapToGrid w:val="0"/>
        </w:rPr>
      </w:pPr>
      <w:r>
        <w:rPr>
          <w:snapToGrid w:val="0"/>
        </w:rPr>
        <w:tab/>
        <w:t>(1)</w:t>
      </w:r>
      <w:r>
        <w:rPr>
          <w:snapToGrid w:val="0"/>
        </w:rPr>
        <w:tab/>
        <w:t>This clause applies to batten rock lobster pots.</w:t>
      </w:r>
    </w:p>
    <w:p>
      <w:pPr>
        <w:pStyle w:val="ySubsection"/>
        <w:rPr>
          <w:snapToGrid w:val="0"/>
        </w:rPr>
      </w:pPr>
      <w:r>
        <w:rPr>
          <w:snapToGrid w:val="0"/>
        </w:rPr>
        <w:tab/>
        <w:t>(2)</w:t>
      </w:r>
      <w:r>
        <w:rPr>
          <w:snapToGrid w:val="0"/>
        </w:rPr>
        <w:tab/>
        <w:t>Subject to this clause, every batten rock lobster pot is to have inserted in it a device to create an escape gap that is as nearly as practicable rectangular in shape, and when measured internally, is to measure not less than 305 mm in length and not less than 54 mm in height.</w:t>
      </w:r>
    </w:p>
    <w:p>
      <w:pPr>
        <w:pStyle w:val="ySubsection"/>
        <w:rPr>
          <w:snapToGrid w:val="0"/>
        </w:rPr>
      </w:pPr>
      <w:r>
        <w:rPr>
          <w:snapToGrid w:val="0"/>
        </w:rPr>
        <w:tab/>
        <w:t>(3)</w:t>
      </w:r>
      <w:r>
        <w:rPr>
          <w:snapToGrid w:val="0"/>
        </w:rPr>
        <w:tab/>
        <w:t>The escape gap in a batten rock lobster pot is to be —</w:t>
      </w:r>
    </w:p>
    <w:p>
      <w:pPr>
        <w:pStyle w:val="yIndenta"/>
        <w:spacing w:before="60"/>
        <w:rPr>
          <w:snapToGrid w:val="0"/>
        </w:rPr>
      </w:pPr>
      <w:r>
        <w:rPr>
          <w:snapToGrid w:val="0"/>
        </w:rPr>
        <w:tab/>
        <w:t>(a)</w:t>
      </w:r>
      <w:r>
        <w:rPr>
          <w:snapToGrid w:val="0"/>
        </w:rPr>
        <w:tab/>
        <w:t xml:space="preserve">positioned on a side of the pot, other than the base, in the rear half of the pot or at the end opposite the hauling rope attachment point or points and is to be positioned in accordance with </w:t>
      </w:r>
      <w:r>
        <w:t xml:space="preserve">Diagram 3(b) </w:t>
      </w:r>
      <w:r>
        <w:rPr>
          <w:snapToGrid w:val="0"/>
        </w:rPr>
        <w:t>in the Table; and</w:t>
      </w:r>
    </w:p>
    <w:p>
      <w:pPr>
        <w:pStyle w:val="yIndenta"/>
        <w:spacing w:before="60"/>
        <w:rPr>
          <w:snapToGrid w:val="0"/>
        </w:rPr>
      </w:pPr>
      <w:r>
        <w:rPr>
          <w:snapToGrid w:val="0"/>
        </w:rPr>
        <w:tab/>
        <w:t>(b)</w:t>
      </w:r>
      <w:r>
        <w:rPr>
          <w:snapToGrid w:val="0"/>
        </w:rPr>
        <w:tab/>
        <w:t>located at least 150 mm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When fitted to the rock lobster pot, the longer sides of the escape gap are to be generally parallel to the base of the pot and the lower internal edge of the escape gap is to be not more than 110 mm from the base of the pot.</w:t>
      </w:r>
    </w:p>
    <w:p>
      <w:pPr>
        <w:pStyle w:val="ySubsection"/>
        <w:rPr>
          <w:snapToGrid w:val="0"/>
        </w:rPr>
      </w:pPr>
      <w:r>
        <w:rPr>
          <w:snapToGrid w:val="0"/>
        </w:rPr>
        <w:tab/>
        <w:t>(5)</w:t>
      </w:r>
      <w:r>
        <w:rPr>
          <w:snapToGrid w:val="0"/>
        </w:rPr>
        <w:tab/>
        <w:t>An escape gap is to be constructed of the materials and to the specifications set out in clause 4(7).</w:t>
      </w:r>
    </w:p>
    <w:p>
      <w:pPr>
        <w:pStyle w:val="ySubsection"/>
        <w:keepNext/>
        <w:rPr>
          <w:snapToGrid w:val="0"/>
        </w:rPr>
      </w:pPr>
      <w:r>
        <w:rPr>
          <w:snapToGrid w:val="0"/>
        </w:rPr>
        <w:tab/>
        <w:t>(6)</w:t>
      </w:r>
      <w:r>
        <w:rPr>
          <w:snapToGrid w:val="0"/>
        </w:rPr>
        <w:tab/>
        <w:t>The material to which an escape gap is attached in the horizontal plane is not to be —</w:t>
      </w:r>
    </w:p>
    <w:p>
      <w:pPr>
        <w:pStyle w:val="yIndenta"/>
        <w:rPr>
          <w:snapToGrid w:val="0"/>
        </w:rPr>
      </w:pPr>
      <w:r>
        <w:rPr>
          <w:snapToGrid w:val="0"/>
        </w:rPr>
        <w:tab/>
        <w:t>(a)</w:t>
      </w:r>
      <w:r>
        <w:rPr>
          <w:snapToGrid w:val="0"/>
        </w:rPr>
        <w:tab/>
        <w:t>constructed of a material thicker than 13 mm; or</w:t>
      </w:r>
    </w:p>
    <w:p>
      <w:pPr>
        <w:pStyle w:val="yIndenta"/>
        <w:rPr>
          <w:snapToGrid w:val="0"/>
        </w:rPr>
      </w:pPr>
      <w:r>
        <w:rPr>
          <w:snapToGrid w:val="0"/>
        </w:rPr>
        <w:tab/>
        <w:t>(b)</w:t>
      </w:r>
      <w:r>
        <w:rPr>
          <w:snapToGrid w:val="0"/>
        </w:rPr>
        <w:tab/>
        <w:t>in the horizontal plane, within 5 mm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mm of the attachment material, then the material to which the gap is attached may be greater than 13 mm but not more than 25 mm in thickness.</w:t>
      </w:r>
    </w:p>
    <w:p>
      <w:pPr>
        <w:pStyle w:val="yFootnotesection"/>
      </w:pPr>
      <w:r>
        <w:tab/>
        <w:t>[Clause 10 amended in Gazette 27 Aug 2010 p. 4107.]</w:t>
      </w:r>
    </w:p>
    <w:p>
      <w:pPr>
        <w:pStyle w:val="yHeading5"/>
      </w:pPr>
      <w:bookmarkStart w:id="11044" w:name="_Toc309309683"/>
      <w:r>
        <w:rPr>
          <w:rStyle w:val="CharSClsNo"/>
        </w:rPr>
        <w:t>11</w:t>
      </w:r>
      <w:r>
        <w:t>.</w:t>
      </w:r>
      <w:r>
        <w:tab/>
        <w:t>Other pots</w:t>
      </w:r>
      <w:bookmarkEnd w:id="11044"/>
    </w:p>
    <w:p>
      <w:pPr>
        <w:pStyle w:val="ySubsection"/>
      </w:pPr>
      <w:r>
        <w:tab/>
        <w:t>(1)</w:t>
      </w:r>
      <w:r>
        <w:tab/>
        <w:t>This clause applies to rock lobster pots that are not beehive pots or batten pots.</w:t>
      </w:r>
    </w:p>
    <w:p>
      <w:pPr>
        <w:pStyle w:val="ySubsection"/>
        <w:spacing w:before="100"/>
        <w:rPr>
          <w:snapToGrid w:val="0"/>
        </w:rPr>
      </w:pPr>
      <w:r>
        <w:rPr>
          <w:snapToGrid w:val="0"/>
        </w:rPr>
        <w:tab/>
        <w:t>(2)</w:t>
      </w:r>
      <w:r>
        <w:rPr>
          <w:snapToGrid w:val="0"/>
        </w:rPr>
        <w:tab/>
        <w:t>A rock lobster pot is to have inserted in it a device to create an escape gap that is as nearly as practicable rectangular in shape and when measured internally is to measure not less than 305 mm in length and not less than 54 mm in height.</w:t>
      </w:r>
    </w:p>
    <w:p>
      <w:pPr>
        <w:pStyle w:val="ySubsection"/>
        <w:spacing w:before="100"/>
        <w:rPr>
          <w:snapToGrid w:val="0"/>
        </w:rPr>
      </w:pPr>
      <w:r>
        <w:rPr>
          <w:snapToGrid w:val="0"/>
        </w:rPr>
        <w:tab/>
        <w:t>(3)</w:t>
      </w:r>
      <w:r>
        <w:rPr>
          <w:snapToGrid w:val="0"/>
        </w:rPr>
        <w:tab/>
        <w:t>The escape gap in a rock lobster pot is to be positioned —</w:t>
      </w:r>
    </w:p>
    <w:p>
      <w:pPr>
        <w:pStyle w:val="yIndenta"/>
        <w:rPr>
          <w:snapToGrid w:val="0"/>
        </w:rPr>
      </w:pPr>
      <w:r>
        <w:rPr>
          <w:snapToGrid w:val="0"/>
        </w:rPr>
        <w:tab/>
        <w:t>(a)</w:t>
      </w:r>
      <w:r>
        <w:rPr>
          <w:snapToGrid w:val="0"/>
        </w:rPr>
        <w:tab/>
        <w:t>on a side, other than the base, in the rear half of the pot opposite the hauling rope attachment point or points; and</w:t>
      </w:r>
    </w:p>
    <w:p>
      <w:pPr>
        <w:pStyle w:val="yIndenta"/>
        <w:rPr>
          <w:snapToGrid w:val="0"/>
        </w:rPr>
      </w:pPr>
      <w:r>
        <w:rPr>
          <w:snapToGrid w:val="0"/>
        </w:rPr>
        <w:tab/>
        <w:t>(b)</w:t>
      </w:r>
      <w:r>
        <w:rPr>
          <w:snapToGrid w:val="0"/>
        </w:rPr>
        <w:tab/>
        <w:t xml:space="preserve">so that the longer sides of the gap are generally parallel to the base of the pot and the lower internal edge of the escape gap is no more than 110 mm from the base of the </w:t>
      </w:r>
      <w:r>
        <w:t>pot; and</w:t>
      </w:r>
    </w:p>
    <w:p>
      <w:pPr>
        <w:pStyle w:val="yIndenta"/>
        <w:rPr>
          <w:snapToGrid w:val="0"/>
        </w:rPr>
      </w:pPr>
      <w:r>
        <w:rPr>
          <w:snapToGrid w:val="0"/>
        </w:rPr>
        <w:tab/>
        <w:t>(c)</w:t>
      </w:r>
      <w:r>
        <w:rPr>
          <w:snapToGrid w:val="0"/>
        </w:rPr>
        <w:tab/>
        <w:t>at least 150 mm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An escape gap is to be constructed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mm and not more than 6 mm.</w:t>
      </w:r>
    </w:p>
    <w:p>
      <w:pPr>
        <w:pStyle w:val="ySubsection"/>
        <w:keepNext/>
        <w:rPr>
          <w:snapToGrid w:val="0"/>
        </w:rPr>
      </w:pPr>
      <w:r>
        <w:rPr>
          <w:snapToGrid w:val="0"/>
        </w:rPr>
        <w:tab/>
        <w:t>(5)</w:t>
      </w:r>
      <w:r>
        <w:rPr>
          <w:snapToGrid w:val="0"/>
        </w:rPr>
        <w:tab/>
        <w:t>The material to which an escape gap is attached in the horizontal plane is not to be —</w:t>
      </w:r>
    </w:p>
    <w:p>
      <w:pPr>
        <w:pStyle w:val="yIndenta"/>
        <w:rPr>
          <w:snapToGrid w:val="0"/>
        </w:rPr>
      </w:pPr>
      <w:r>
        <w:rPr>
          <w:snapToGrid w:val="0"/>
        </w:rPr>
        <w:tab/>
        <w:t>(a)</w:t>
      </w:r>
      <w:r>
        <w:rPr>
          <w:snapToGrid w:val="0"/>
        </w:rPr>
        <w:tab/>
        <w:t>constructed of material which is thicker than 13 mm; or</w:t>
      </w:r>
    </w:p>
    <w:p>
      <w:pPr>
        <w:pStyle w:val="yIndenta"/>
        <w:rPr>
          <w:snapToGrid w:val="0"/>
        </w:rPr>
      </w:pPr>
      <w:r>
        <w:rPr>
          <w:snapToGrid w:val="0"/>
        </w:rPr>
        <w:tab/>
        <w:t>(b)</w:t>
      </w:r>
      <w:r>
        <w:rPr>
          <w:snapToGrid w:val="0"/>
        </w:rPr>
        <w:tab/>
        <w:t>in the horizontal plane, within 5 mm of the internal edge of the escape gap.</w:t>
      </w:r>
    </w:p>
    <w:p>
      <w:pPr>
        <w:pStyle w:val="yFootnotesection"/>
      </w:pPr>
      <w:r>
        <w:tab/>
        <w:t>[Clause 11 amended in Gazette 12 Feb 2010 p. 588.]</w:t>
      </w:r>
    </w:p>
    <w:p>
      <w:pPr>
        <w:pStyle w:val="yEdnotesection"/>
      </w:pPr>
      <w:r>
        <w:t>[</w:t>
      </w:r>
      <w:r>
        <w:rPr>
          <w:b/>
          <w:bCs/>
        </w:rPr>
        <w:t>12.</w:t>
      </w:r>
      <w:r>
        <w:tab/>
        <w:t>Deleted in Gazette 12 Feb 2010 p. 588.]</w:t>
      </w:r>
    </w:p>
    <w:p>
      <w:pPr>
        <w:pStyle w:val="yHeading5"/>
      </w:pPr>
      <w:bookmarkStart w:id="11045" w:name="_Toc309309684"/>
      <w:r>
        <w:rPr>
          <w:rStyle w:val="CharSClsNo"/>
        </w:rPr>
        <w:t>13</w:t>
      </w:r>
      <w:r>
        <w:t>.</w:t>
      </w:r>
      <w:r>
        <w:tab/>
        <w:t>All pots</w:t>
      </w:r>
      <w:bookmarkEnd w:id="11045"/>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An escape gap is not to have any obstruction positioned in such a way as to restrict the movement of rock lobsters through the escape gap or to reduce the internal measurements of the escape gap, except as provided in clause 9(2)(b).</w:t>
      </w:r>
    </w:p>
    <w:p>
      <w:pPr>
        <w:pStyle w:val="yTHeadingNAm"/>
      </w:pPr>
      <w:r>
        <w:t>Table</w:t>
      </w:r>
    </w:p>
    <w:tbl>
      <w:tblPr>
        <w:tblW w:w="7230" w:type="dxa"/>
        <w:tblInd w:w="108" w:type="dxa"/>
        <w:tblLayout w:type="fixed"/>
        <w:tblLook w:val="0000" w:firstRow="0" w:lastRow="0" w:firstColumn="0" w:lastColumn="0" w:noHBand="0" w:noVBand="0"/>
      </w:tblPr>
      <w:tblGrid>
        <w:gridCol w:w="7230"/>
      </w:tblGrid>
      <w:tr>
        <w:tc>
          <w:tcPr>
            <w:tcW w:w="7230" w:type="dxa"/>
          </w:tcPr>
          <w:p>
            <w:pPr>
              <w:pStyle w:val="yTableNAm"/>
              <w:keepNext/>
              <w:tabs>
                <w:tab w:val="clear" w:pos="567"/>
                <w:tab w:val="left" w:leader="dot" w:pos="3260"/>
              </w:tabs>
              <w:spacing w:before="0"/>
              <w:jc w:val="center"/>
              <w:rPr>
                <w:b/>
                <w:bCs/>
                <w:sz w:val="20"/>
              </w:rPr>
            </w:pPr>
            <w:r>
              <w:rPr>
                <w:b/>
                <w:bCs/>
                <w:sz w:val="20"/>
              </w:rPr>
              <w:t>Diagram 1(a) — Beehive pots</w:t>
            </w:r>
          </w:p>
        </w:tc>
      </w:tr>
      <w:tr>
        <w:tc>
          <w:tcPr>
            <w:tcW w:w="7230" w:type="dxa"/>
          </w:tcPr>
          <w:p>
            <w:pPr>
              <w:pStyle w:val="yTableNAm"/>
              <w:keepNext/>
              <w:tabs>
                <w:tab w:val="clear" w:pos="567"/>
                <w:tab w:val="left" w:leader="dot" w:pos="3260"/>
              </w:tabs>
              <w:spacing w:before="0"/>
              <w:jc w:val="center"/>
              <w:rPr>
                <w:sz w:val="20"/>
              </w:rPr>
            </w:pPr>
            <w:r>
              <w:rPr>
                <w:sz w:val="20"/>
              </w:rPr>
              <w:t>(Clause 3(2)(a))</w:t>
            </w:r>
          </w:p>
        </w:tc>
      </w:tr>
      <w:tr>
        <w:tc>
          <w:tcPr>
            <w:tcW w:w="7230" w:type="dxa"/>
          </w:tcPr>
          <w:p>
            <w:pPr>
              <w:pStyle w:val="yTableNAm"/>
              <w:tabs>
                <w:tab w:val="clear" w:pos="567"/>
                <w:tab w:val="left" w:leader="dot" w:pos="3260"/>
              </w:tabs>
              <w:spacing w:before="0"/>
              <w:jc w:val="center"/>
              <w:rPr>
                <w:sz w:val="20"/>
              </w:rPr>
            </w:pPr>
            <w:r>
              <w:rPr>
                <w:noProof/>
                <w:lang w:eastAsia="en-AU"/>
              </w:rPr>
              <w:drawing>
                <wp:inline distT="0" distB="0" distL="0" distR="0">
                  <wp:extent cx="2971800" cy="2428875"/>
                  <wp:effectExtent l="0" t="0" r="0" b="952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971800" cy="2428875"/>
                          </a:xfrm>
                          <a:prstGeom prst="rect">
                            <a:avLst/>
                          </a:prstGeom>
                          <a:noFill/>
                          <a:ln>
                            <a:noFill/>
                          </a:ln>
                        </pic:spPr>
                      </pic:pic>
                    </a:graphicData>
                  </a:graphic>
                </wp:inline>
              </w:drawing>
            </w:r>
          </w:p>
        </w:tc>
      </w:tr>
    </w:tbl>
    <w:p>
      <w:pPr>
        <w:pStyle w:val="yFootnotesection"/>
      </w:pPr>
      <w:r>
        <w:tab/>
        <w:t>[Diagram 1(a) inserted in Gazette 27 Aug 2010 p. 4108.]</w:t>
      </w:r>
    </w:p>
    <w:tbl>
      <w:tblPr>
        <w:tblW w:w="7230" w:type="dxa"/>
        <w:tblInd w:w="108" w:type="dxa"/>
        <w:tblLayout w:type="fixed"/>
        <w:tblLook w:val="0000" w:firstRow="0" w:lastRow="0" w:firstColumn="0" w:lastColumn="0" w:noHBand="0" w:noVBand="0"/>
      </w:tblPr>
      <w:tblGrid>
        <w:gridCol w:w="7230"/>
      </w:tblGrid>
      <w:tr>
        <w:tc>
          <w:tcPr>
            <w:tcW w:w="7230" w:type="dxa"/>
          </w:tcPr>
          <w:p>
            <w:pPr>
              <w:pStyle w:val="yTableNAm"/>
              <w:keepNext/>
              <w:tabs>
                <w:tab w:val="clear" w:pos="567"/>
                <w:tab w:val="left" w:leader="dot" w:pos="3260"/>
              </w:tabs>
              <w:spacing w:before="320"/>
              <w:jc w:val="center"/>
              <w:rPr>
                <w:b/>
                <w:bCs/>
                <w:sz w:val="20"/>
              </w:rPr>
            </w:pPr>
            <w:r>
              <w:rPr>
                <w:b/>
                <w:bCs/>
                <w:sz w:val="20"/>
              </w:rPr>
              <w:t>Diagram 1(b) — Beehive pots</w:t>
            </w:r>
          </w:p>
        </w:tc>
      </w:tr>
      <w:tr>
        <w:tc>
          <w:tcPr>
            <w:tcW w:w="7230" w:type="dxa"/>
          </w:tcPr>
          <w:p>
            <w:pPr>
              <w:pStyle w:val="yTableNAm"/>
              <w:keepNext/>
              <w:tabs>
                <w:tab w:val="clear" w:pos="567"/>
                <w:tab w:val="left" w:leader="dot" w:pos="3260"/>
              </w:tabs>
              <w:spacing w:before="0"/>
              <w:jc w:val="center"/>
              <w:rPr>
                <w:sz w:val="20"/>
              </w:rPr>
            </w:pPr>
            <w:r>
              <w:rPr>
                <w:sz w:val="20"/>
              </w:rPr>
              <w:t>(Clause 9(2)(a))</w:t>
            </w:r>
          </w:p>
        </w:tc>
      </w:tr>
      <w:tr>
        <w:tc>
          <w:tcPr>
            <w:tcW w:w="7230" w:type="dxa"/>
          </w:tcPr>
          <w:p>
            <w:pPr>
              <w:pStyle w:val="yTableNAm"/>
              <w:tabs>
                <w:tab w:val="clear" w:pos="567"/>
                <w:tab w:val="left" w:leader="dot" w:pos="3260"/>
              </w:tabs>
              <w:spacing w:before="0"/>
              <w:jc w:val="center"/>
              <w:rPr>
                <w:sz w:val="20"/>
              </w:rPr>
            </w:pPr>
            <w:r>
              <w:rPr>
                <w:b/>
                <w:noProof/>
                <w:lang w:eastAsia="en-AU"/>
              </w:rPr>
              <w:drawing>
                <wp:inline distT="0" distB="0" distL="0" distR="0">
                  <wp:extent cx="2752725" cy="2305050"/>
                  <wp:effectExtent l="0" t="0" r="9525" b="0"/>
                  <wp:docPr id="17" name="Picture 17" descr="fish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fish1"/>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2752725" cy="2305050"/>
                          </a:xfrm>
                          <a:prstGeom prst="rect">
                            <a:avLst/>
                          </a:prstGeom>
                          <a:noFill/>
                          <a:ln>
                            <a:noFill/>
                          </a:ln>
                        </pic:spPr>
                      </pic:pic>
                    </a:graphicData>
                  </a:graphic>
                </wp:inline>
              </w:drawing>
            </w:r>
          </w:p>
        </w:tc>
      </w:tr>
    </w:tbl>
    <w:p>
      <w:pPr>
        <w:pStyle w:val="yFootnotesection"/>
      </w:pPr>
      <w:r>
        <w:tab/>
        <w:t>[Diagram 1(b) inserted in Gazette 27 Aug 2010 p. 4108.]</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2(a) — Beehive pots</w:t>
            </w:r>
          </w:p>
        </w:tc>
      </w:tr>
      <w:tr>
        <w:tc>
          <w:tcPr>
            <w:tcW w:w="7088" w:type="dxa"/>
          </w:tcPr>
          <w:p>
            <w:pPr>
              <w:pStyle w:val="yTableNAm"/>
              <w:keepNext/>
              <w:keepLines/>
              <w:tabs>
                <w:tab w:val="clear" w:pos="567"/>
                <w:tab w:val="left" w:leader="dot" w:pos="3260"/>
              </w:tabs>
              <w:spacing w:before="0"/>
              <w:jc w:val="center"/>
              <w:rPr>
                <w:sz w:val="20"/>
              </w:rPr>
            </w:pPr>
            <w:r>
              <w:rPr>
                <w:sz w:val="20"/>
              </w:rPr>
              <w:t>(Clause 3(3)(a))</w:t>
            </w:r>
          </w:p>
        </w:tc>
      </w:tr>
      <w:tr>
        <w:tc>
          <w:tcPr>
            <w:tcW w:w="7088" w:type="dxa"/>
          </w:tcPr>
          <w:p>
            <w:pPr>
              <w:pStyle w:val="yTableNAm"/>
              <w:keepLines/>
              <w:tabs>
                <w:tab w:val="clear" w:pos="567"/>
                <w:tab w:val="left" w:leader="dot" w:pos="3260"/>
              </w:tabs>
              <w:spacing w:before="0"/>
              <w:rPr>
                <w:sz w:val="20"/>
              </w:rPr>
            </w:pPr>
            <w:r>
              <w:rPr>
                <w:noProof/>
                <w:lang w:eastAsia="en-AU"/>
              </w:rPr>
              <w:drawing>
                <wp:inline distT="0" distB="0" distL="0" distR="0">
                  <wp:extent cx="4572000" cy="363855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4572000" cy="3638550"/>
                          </a:xfrm>
                          <a:prstGeom prst="rect">
                            <a:avLst/>
                          </a:prstGeom>
                          <a:noFill/>
                          <a:ln>
                            <a:noFill/>
                          </a:ln>
                        </pic:spPr>
                      </pic:pic>
                    </a:graphicData>
                  </a:graphic>
                </wp:inline>
              </w:drawing>
            </w:r>
          </w:p>
        </w:tc>
      </w:tr>
    </w:tbl>
    <w:p>
      <w:pPr>
        <w:pStyle w:val="yFootnotesection"/>
      </w:pPr>
      <w:r>
        <w:tab/>
        <w:t>[Diagram 2(a) inserted in Gazette 27 Aug 2010 p. 4108.]</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2(b) — Beehive pots</w:t>
            </w:r>
          </w:p>
        </w:tc>
      </w:tr>
      <w:tr>
        <w:tc>
          <w:tcPr>
            <w:tcW w:w="7088" w:type="dxa"/>
          </w:tcPr>
          <w:p>
            <w:pPr>
              <w:pStyle w:val="yTableNAm"/>
              <w:keepNext/>
              <w:keepLines/>
              <w:tabs>
                <w:tab w:val="clear" w:pos="567"/>
                <w:tab w:val="left" w:leader="dot" w:pos="3260"/>
              </w:tabs>
              <w:spacing w:before="0"/>
              <w:jc w:val="center"/>
              <w:rPr>
                <w:sz w:val="20"/>
              </w:rPr>
            </w:pPr>
            <w:r>
              <w:rPr>
                <w:sz w:val="20"/>
              </w:rPr>
              <w:t>(Clause 9(3)(a))</w:t>
            </w:r>
          </w:p>
        </w:tc>
      </w:tr>
      <w:tr>
        <w:tc>
          <w:tcPr>
            <w:tcW w:w="7088" w:type="dxa"/>
          </w:tcPr>
          <w:p>
            <w:pPr>
              <w:pStyle w:val="yTableNAm"/>
              <w:tabs>
                <w:tab w:val="clear" w:pos="567"/>
                <w:tab w:val="left" w:leader="dot" w:pos="3260"/>
              </w:tabs>
              <w:spacing w:before="0"/>
              <w:rPr>
                <w:sz w:val="20"/>
              </w:rPr>
            </w:pPr>
            <w:r>
              <w:rPr>
                <w:noProof/>
                <w:sz w:val="20"/>
                <w:lang w:eastAsia="en-AU"/>
              </w:rPr>
              <w:drawing>
                <wp:inline distT="0" distB="0" distL="0" distR="0">
                  <wp:extent cx="4495800" cy="4029075"/>
                  <wp:effectExtent l="0" t="0" r="0" b="9525"/>
                  <wp:docPr id="19" name="Picture 19" descr="fish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fish3"/>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4495800" cy="4029075"/>
                          </a:xfrm>
                          <a:prstGeom prst="rect">
                            <a:avLst/>
                          </a:prstGeom>
                          <a:noFill/>
                          <a:ln>
                            <a:noFill/>
                          </a:ln>
                        </pic:spPr>
                      </pic:pic>
                    </a:graphicData>
                  </a:graphic>
                </wp:inline>
              </w:drawing>
            </w:r>
          </w:p>
        </w:tc>
      </w:tr>
    </w:tbl>
    <w:p>
      <w:pPr>
        <w:pStyle w:val="yFootnotesection"/>
      </w:pPr>
      <w:r>
        <w:tab/>
        <w:t>[Diagram 2(b) inserted in Gazette 27 Aug 2010 p. 4109.]</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3(a) — Batten pots</w:t>
            </w:r>
          </w:p>
        </w:tc>
      </w:tr>
      <w:tr>
        <w:tc>
          <w:tcPr>
            <w:tcW w:w="7088" w:type="dxa"/>
          </w:tcPr>
          <w:p>
            <w:pPr>
              <w:pStyle w:val="yTableNAm"/>
              <w:keepNext/>
              <w:keepLines/>
              <w:tabs>
                <w:tab w:val="clear" w:pos="567"/>
                <w:tab w:val="left" w:leader="dot" w:pos="3260"/>
              </w:tabs>
              <w:spacing w:before="0"/>
              <w:jc w:val="center"/>
              <w:rPr>
                <w:sz w:val="20"/>
              </w:rPr>
            </w:pPr>
            <w:r>
              <w:rPr>
                <w:sz w:val="20"/>
              </w:rPr>
              <w:t>(Clause 4(4)(a))</w:t>
            </w:r>
          </w:p>
        </w:tc>
      </w:tr>
      <w:tr>
        <w:tc>
          <w:tcPr>
            <w:tcW w:w="7088" w:type="dxa"/>
          </w:tcPr>
          <w:p>
            <w:pPr>
              <w:pStyle w:val="yTableNAm"/>
              <w:tabs>
                <w:tab w:val="clear" w:pos="567"/>
                <w:tab w:val="left" w:leader="dot" w:pos="3260"/>
              </w:tabs>
              <w:spacing w:before="0"/>
              <w:rPr>
                <w:sz w:val="20"/>
              </w:rPr>
            </w:pPr>
            <w:r>
              <w:rPr>
                <w:noProof/>
                <w:lang w:eastAsia="en-AU"/>
              </w:rPr>
              <w:drawing>
                <wp:inline distT="0" distB="0" distL="0" distR="0">
                  <wp:extent cx="4572000" cy="297180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4572000" cy="2971800"/>
                          </a:xfrm>
                          <a:prstGeom prst="rect">
                            <a:avLst/>
                          </a:prstGeom>
                          <a:noFill/>
                          <a:ln>
                            <a:noFill/>
                          </a:ln>
                        </pic:spPr>
                      </pic:pic>
                    </a:graphicData>
                  </a:graphic>
                </wp:inline>
              </w:drawing>
            </w:r>
          </w:p>
        </w:tc>
      </w:tr>
    </w:tbl>
    <w:p>
      <w:pPr>
        <w:pStyle w:val="yFootnotesection"/>
      </w:pPr>
      <w:r>
        <w:tab/>
        <w:t>[Diagram 3(a) inserted in Gazette 27 Aug 2010 p. 4109.]</w:t>
      </w:r>
    </w:p>
    <w:tbl>
      <w:tblPr>
        <w:tblW w:w="7230" w:type="dxa"/>
        <w:tblInd w:w="108" w:type="dxa"/>
        <w:tblLayout w:type="fixed"/>
        <w:tblLook w:val="0000" w:firstRow="0" w:lastRow="0" w:firstColumn="0" w:lastColumn="0" w:noHBand="0" w:noVBand="0"/>
      </w:tblPr>
      <w:tblGrid>
        <w:gridCol w:w="7230"/>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3(b) — Batten pots</w:t>
            </w:r>
          </w:p>
        </w:tc>
      </w:tr>
      <w:tr>
        <w:tc>
          <w:tcPr>
            <w:tcW w:w="7088" w:type="dxa"/>
          </w:tcPr>
          <w:p>
            <w:pPr>
              <w:pStyle w:val="yTableNAm"/>
              <w:keepNext/>
              <w:keepLines/>
              <w:tabs>
                <w:tab w:val="clear" w:pos="567"/>
                <w:tab w:val="left" w:leader="dot" w:pos="3260"/>
              </w:tabs>
              <w:spacing w:before="0"/>
              <w:jc w:val="center"/>
              <w:rPr>
                <w:sz w:val="20"/>
              </w:rPr>
            </w:pPr>
            <w:r>
              <w:rPr>
                <w:sz w:val="20"/>
              </w:rPr>
              <w:t>(Clause 10(3)(a))</w:t>
            </w:r>
          </w:p>
        </w:tc>
      </w:tr>
      <w:tr>
        <w:tc>
          <w:tcPr>
            <w:tcW w:w="7088" w:type="dxa"/>
          </w:tcPr>
          <w:p>
            <w:pPr>
              <w:pStyle w:val="yTableNAm"/>
              <w:tabs>
                <w:tab w:val="clear" w:pos="567"/>
                <w:tab w:val="left" w:leader="dot" w:pos="3260"/>
              </w:tabs>
              <w:spacing w:before="0"/>
              <w:rPr>
                <w:sz w:val="20"/>
              </w:rPr>
            </w:pPr>
            <w:r>
              <w:rPr>
                <w:noProof/>
                <w:sz w:val="20"/>
                <w:lang w:eastAsia="en-AU"/>
              </w:rPr>
              <w:drawing>
                <wp:inline distT="0" distB="0" distL="0" distR="0">
                  <wp:extent cx="3219450" cy="2971800"/>
                  <wp:effectExtent l="0" t="0" r="0" b="0"/>
                  <wp:docPr id="21" name="Picture 21" descr="fish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fish4"/>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3219450" cy="2971800"/>
                          </a:xfrm>
                          <a:prstGeom prst="rect">
                            <a:avLst/>
                          </a:prstGeom>
                          <a:noFill/>
                          <a:ln>
                            <a:noFill/>
                          </a:ln>
                        </pic:spPr>
                      </pic:pic>
                    </a:graphicData>
                  </a:graphic>
                </wp:inline>
              </w:drawing>
            </w:r>
          </w:p>
        </w:tc>
      </w:tr>
    </w:tbl>
    <w:p>
      <w:pPr>
        <w:pStyle w:val="yFootnotesection"/>
      </w:pPr>
      <w:r>
        <w:tab/>
        <w:t>[Diagram 3(b) inserted in Gazette 27 Aug 2010 p. 4110.]</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tabs>
                <w:tab w:val="clear" w:pos="567"/>
                <w:tab w:val="left" w:leader="dot" w:pos="3260"/>
              </w:tabs>
              <w:spacing w:before="520"/>
              <w:jc w:val="center"/>
              <w:rPr>
                <w:sz w:val="20"/>
              </w:rPr>
            </w:pPr>
            <w:r>
              <w:rPr>
                <w:b/>
                <w:bCs/>
                <w:sz w:val="20"/>
              </w:rPr>
              <w:t>Diagram 4 — Batten pots</w:t>
            </w:r>
          </w:p>
        </w:tc>
      </w:tr>
      <w:tr>
        <w:tc>
          <w:tcPr>
            <w:tcW w:w="7088" w:type="dxa"/>
          </w:tcPr>
          <w:p>
            <w:pPr>
              <w:pStyle w:val="yTableNAm"/>
              <w:tabs>
                <w:tab w:val="clear" w:pos="567"/>
                <w:tab w:val="left" w:leader="dot" w:pos="3260"/>
              </w:tabs>
              <w:spacing w:before="0"/>
              <w:jc w:val="center"/>
              <w:rPr>
                <w:sz w:val="20"/>
              </w:rPr>
            </w:pPr>
            <w:r>
              <w:rPr>
                <w:sz w:val="20"/>
              </w:rPr>
              <w:t>(Clause 4(7)(a))</w:t>
            </w:r>
          </w:p>
        </w:tc>
      </w:tr>
      <w:tr>
        <w:tc>
          <w:tcPr>
            <w:tcW w:w="7088" w:type="dxa"/>
          </w:tcPr>
          <w:p>
            <w:pPr>
              <w:pStyle w:val="yTableNAm"/>
              <w:tabs>
                <w:tab w:val="clear" w:pos="567"/>
                <w:tab w:val="left" w:leader="dot" w:pos="3260"/>
              </w:tabs>
              <w:spacing w:before="0"/>
              <w:jc w:val="center"/>
              <w:rPr>
                <w:b/>
                <w:bCs/>
                <w:sz w:val="20"/>
              </w:rPr>
            </w:pPr>
            <w:r>
              <w:rPr>
                <w:b/>
                <w:bCs/>
                <w:sz w:val="20"/>
              </w:rPr>
              <w:t>(Steel flat </w:t>
            </w:r>
            <w:r>
              <w:rPr>
                <w:b/>
                <w:bCs/>
                <w:sz w:val="20"/>
              </w:rPr>
              <w:noBreakHyphen/>
              <w:t> bar)</w:t>
            </w:r>
          </w:p>
        </w:tc>
      </w:tr>
      <w:tr>
        <w:tc>
          <w:tcPr>
            <w:tcW w:w="7088" w:type="dxa"/>
          </w:tcPr>
          <w:p>
            <w:pPr>
              <w:pStyle w:val="yTableNAm"/>
              <w:tabs>
                <w:tab w:val="clear" w:pos="567"/>
                <w:tab w:val="left" w:leader="dot" w:pos="3260"/>
              </w:tabs>
              <w:spacing w:before="0"/>
              <w:jc w:val="center"/>
              <w:rPr>
                <w:sz w:val="20"/>
              </w:rPr>
            </w:pPr>
            <w:r>
              <w:rPr>
                <w:noProof/>
                <w:lang w:eastAsia="en-AU"/>
              </w:rPr>
              <w:drawing>
                <wp:inline distT="0" distB="0" distL="0" distR="0">
                  <wp:extent cx="2466975" cy="1952625"/>
                  <wp:effectExtent l="0" t="0" r="9525" b="952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2466975" cy="1952625"/>
                          </a:xfrm>
                          <a:prstGeom prst="rect">
                            <a:avLst/>
                          </a:prstGeom>
                          <a:noFill/>
                          <a:ln>
                            <a:noFill/>
                          </a:ln>
                        </pic:spPr>
                      </pic:pic>
                    </a:graphicData>
                  </a:graphic>
                </wp:inline>
              </w:drawing>
            </w:r>
          </w:p>
        </w:tc>
      </w:tr>
    </w:tbl>
    <w:p>
      <w:pPr>
        <w:pStyle w:val="yFootnotesection"/>
      </w:pPr>
      <w:r>
        <w:tab/>
        <w:t>[Diagram 4 inserted in Gazette 27 Aug 2010 p. 4110.]</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5 — Batten pots</w:t>
            </w:r>
          </w:p>
        </w:tc>
      </w:tr>
      <w:tr>
        <w:tc>
          <w:tcPr>
            <w:tcW w:w="7088" w:type="dxa"/>
          </w:tcPr>
          <w:p>
            <w:pPr>
              <w:pStyle w:val="yTableNAm"/>
              <w:keepNext/>
              <w:keepLines/>
              <w:tabs>
                <w:tab w:val="clear" w:pos="567"/>
                <w:tab w:val="left" w:leader="dot" w:pos="3260"/>
              </w:tabs>
              <w:spacing w:before="0"/>
              <w:jc w:val="center"/>
              <w:rPr>
                <w:sz w:val="20"/>
              </w:rPr>
            </w:pPr>
            <w:r>
              <w:rPr>
                <w:sz w:val="20"/>
              </w:rPr>
              <w:t>(Clause 4(7)(b))</w:t>
            </w:r>
          </w:p>
        </w:tc>
      </w:tr>
      <w:tr>
        <w:tc>
          <w:tcPr>
            <w:tcW w:w="7088" w:type="dxa"/>
          </w:tcPr>
          <w:p>
            <w:pPr>
              <w:pStyle w:val="yTableNAm"/>
              <w:keepNext/>
              <w:keepLines/>
              <w:tabs>
                <w:tab w:val="clear" w:pos="567"/>
                <w:tab w:val="left" w:leader="dot" w:pos="3260"/>
              </w:tabs>
              <w:spacing w:before="0"/>
              <w:jc w:val="center"/>
              <w:rPr>
                <w:b/>
                <w:bCs/>
                <w:sz w:val="20"/>
              </w:rPr>
            </w:pPr>
            <w:r>
              <w:rPr>
                <w:b/>
                <w:bCs/>
                <w:sz w:val="20"/>
              </w:rPr>
              <w:t>(Aluminium)</w:t>
            </w:r>
          </w:p>
        </w:tc>
      </w:tr>
      <w:tr>
        <w:tc>
          <w:tcPr>
            <w:tcW w:w="7088" w:type="dxa"/>
          </w:tcPr>
          <w:p>
            <w:pPr>
              <w:pStyle w:val="yTableNAm"/>
              <w:tabs>
                <w:tab w:val="clear" w:pos="567"/>
                <w:tab w:val="left" w:leader="dot" w:pos="3260"/>
              </w:tabs>
              <w:spacing w:before="300"/>
              <w:jc w:val="center"/>
              <w:rPr>
                <w:sz w:val="20"/>
              </w:rPr>
            </w:pPr>
            <w:r>
              <w:rPr>
                <w:noProof/>
                <w:lang w:eastAsia="en-AU"/>
              </w:rPr>
              <w:drawing>
                <wp:inline distT="0" distB="0" distL="0" distR="0">
                  <wp:extent cx="4543425" cy="2362200"/>
                  <wp:effectExtent l="0" t="0" r="9525"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43">
                            <a:extLst>
                              <a:ext uri="{28A0092B-C50C-407E-A947-70E740481C1C}">
                                <a14:useLocalDpi xmlns:a14="http://schemas.microsoft.com/office/drawing/2010/main" val="0"/>
                              </a:ext>
                            </a:extLst>
                          </a:blip>
                          <a:srcRect b="5544"/>
                          <a:stretch>
                            <a:fillRect/>
                          </a:stretch>
                        </pic:blipFill>
                        <pic:spPr bwMode="auto">
                          <a:xfrm>
                            <a:off x="0" y="0"/>
                            <a:ext cx="4543425" cy="2362200"/>
                          </a:xfrm>
                          <a:prstGeom prst="rect">
                            <a:avLst/>
                          </a:prstGeom>
                          <a:noFill/>
                          <a:ln>
                            <a:noFill/>
                          </a:ln>
                        </pic:spPr>
                      </pic:pic>
                    </a:graphicData>
                  </a:graphic>
                </wp:inline>
              </w:drawing>
            </w:r>
          </w:p>
        </w:tc>
      </w:tr>
    </w:tbl>
    <w:p>
      <w:pPr>
        <w:pStyle w:val="yFootnotesection"/>
        <w:rPr>
          <w:sz w:val="20"/>
        </w:rPr>
      </w:pPr>
      <w:r>
        <w:tab/>
        <w:t>[Diagram 5 inserted in Gazette 27 Aug 2010 p. 4110.]</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6 — Batten pots</w:t>
            </w:r>
          </w:p>
        </w:tc>
      </w:tr>
      <w:tr>
        <w:tc>
          <w:tcPr>
            <w:tcW w:w="7088" w:type="dxa"/>
          </w:tcPr>
          <w:p>
            <w:pPr>
              <w:pStyle w:val="yTableNAm"/>
              <w:keepNext/>
              <w:keepLines/>
              <w:tabs>
                <w:tab w:val="clear" w:pos="567"/>
                <w:tab w:val="left" w:leader="dot" w:pos="3260"/>
              </w:tabs>
              <w:spacing w:before="0"/>
              <w:jc w:val="center"/>
              <w:rPr>
                <w:sz w:val="20"/>
              </w:rPr>
            </w:pPr>
            <w:r>
              <w:rPr>
                <w:sz w:val="20"/>
              </w:rPr>
              <w:t>(Clause 4(7)(c))</w:t>
            </w:r>
          </w:p>
        </w:tc>
      </w:tr>
      <w:tr>
        <w:tc>
          <w:tcPr>
            <w:tcW w:w="7088" w:type="dxa"/>
          </w:tcPr>
          <w:p>
            <w:pPr>
              <w:pStyle w:val="yTableNAm"/>
              <w:keepNext/>
              <w:keepLines/>
              <w:tabs>
                <w:tab w:val="clear" w:pos="567"/>
                <w:tab w:val="left" w:leader="dot" w:pos="3260"/>
              </w:tabs>
              <w:spacing w:before="0"/>
              <w:jc w:val="center"/>
              <w:rPr>
                <w:b/>
                <w:bCs/>
                <w:sz w:val="20"/>
              </w:rPr>
            </w:pPr>
            <w:r>
              <w:rPr>
                <w:b/>
                <w:bCs/>
                <w:sz w:val="20"/>
              </w:rPr>
              <w:t>(Fibreglass)</w:t>
            </w:r>
          </w:p>
        </w:tc>
      </w:tr>
      <w:tr>
        <w:tc>
          <w:tcPr>
            <w:tcW w:w="7088" w:type="dxa"/>
          </w:tcPr>
          <w:p>
            <w:pPr>
              <w:pStyle w:val="yTableNAm"/>
              <w:keepNext/>
              <w:tabs>
                <w:tab w:val="clear" w:pos="567"/>
                <w:tab w:val="left" w:leader="dot" w:pos="3260"/>
              </w:tabs>
              <w:spacing w:before="0"/>
              <w:jc w:val="center"/>
              <w:rPr>
                <w:sz w:val="20"/>
              </w:rPr>
            </w:pPr>
            <w:r>
              <w:rPr>
                <w:noProof/>
                <w:lang w:eastAsia="en-AU"/>
              </w:rPr>
              <w:drawing>
                <wp:inline distT="0" distB="0" distL="0" distR="0">
                  <wp:extent cx="4543425" cy="3105150"/>
                  <wp:effectExtent l="0" t="0" r="9525"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44">
                            <a:extLst>
                              <a:ext uri="{28A0092B-C50C-407E-A947-70E740481C1C}">
                                <a14:useLocalDpi xmlns:a14="http://schemas.microsoft.com/office/drawing/2010/main" val="0"/>
                              </a:ext>
                            </a:extLst>
                          </a:blip>
                          <a:srcRect t="7565" b="10904"/>
                          <a:stretch>
                            <a:fillRect/>
                          </a:stretch>
                        </pic:blipFill>
                        <pic:spPr bwMode="auto">
                          <a:xfrm>
                            <a:off x="0" y="0"/>
                            <a:ext cx="4543425" cy="3105150"/>
                          </a:xfrm>
                          <a:prstGeom prst="rect">
                            <a:avLst/>
                          </a:prstGeom>
                          <a:noFill/>
                          <a:ln>
                            <a:noFill/>
                          </a:ln>
                        </pic:spPr>
                      </pic:pic>
                    </a:graphicData>
                  </a:graphic>
                </wp:inline>
              </w:drawing>
            </w:r>
          </w:p>
        </w:tc>
      </w:tr>
    </w:tbl>
    <w:p>
      <w:pPr>
        <w:pStyle w:val="yFootnotesection"/>
      </w:pPr>
      <w:r>
        <w:tab/>
        <w:t>[Diagram 6 inserted in Gazette 27 Aug 2010 p. 4111.]</w:t>
      </w:r>
    </w:p>
    <w:tbl>
      <w:tblPr>
        <w:tblW w:w="7230" w:type="dxa"/>
        <w:tblInd w:w="108" w:type="dxa"/>
        <w:tblLayout w:type="fixed"/>
        <w:tblLook w:val="0000" w:firstRow="0" w:lastRow="0" w:firstColumn="0" w:lastColumn="0" w:noHBand="0" w:noVBand="0"/>
      </w:tblPr>
      <w:tblGrid>
        <w:gridCol w:w="7230"/>
      </w:tblGrid>
      <w:tr>
        <w:tc>
          <w:tcPr>
            <w:tcW w:w="7230" w:type="dxa"/>
          </w:tcPr>
          <w:p>
            <w:pPr>
              <w:pStyle w:val="yTableNAm"/>
              <w:keepNext/>
              <w:keepLines/>
              <w:tabs>
                <w:tab w:val="clear" w:pos="567"/>
                <w:tab w:val="left" w:leader="dot" w:pos="3260"/>
              </w:tabs>
              <w:spacing w:before="0"/>
              <w:jc w:val="center"/>
              <w:rPr>
                <w:b/>
                <w:bCs/>
                <w:sz w:val="20"/>
              </w:rPr>
            </w:pPr>
            <w:r>
              <w:rPr>
                <w:b/>
                <w:bCs/>
                <w:sz w:val="20"/>
              </w:rPr>
              <w:t>Diagram 7 — Batten pots</w:t>
            </w:r>
          </w:p>
        </w:tc>
      </w:tr>
      <w:tr>
        <w:tc>
          <w:tcPr>
            <w:tcW w:w="7230" w:type="dxa"/>
          </w:tcPr>
          <w:p>
            <w:pPr>
              <w:pStyle w:val="yTableNAm"/>
              <w:keepNext/>
              <w:keepLines/>
              <w:tabs>
                <w:tab w:val="clear" w:pos="567"/>
                <w:tab w:val="left" w:leader="dot" w:pos="3260"/>
              </w:tabs>
              <w:spacing w:before="0"/>
              <w:jc w:val="center"/>
              <w:rPr>
                <w:sz w:val="20"/>
              </w:rPr>
            </w:pPr>
            <w:r>
              <w:rPr>
                <w:sz w:val="20"/>
              </w:rPr>
              <w:t>(Clause 4(7)(d))</w:t>
            </w:r>
          </w:p>
        </w:tc>
      </w:tr>
      <w:tr>
        <w:tc>
          <w:tcPr>
            <w:tcW w:w="7230" w:type="dxa"/>
          </w:tcPr>
          <w:p>
            <w:pPr>
              <w:pStyle w:val="yTableNAm"/>
              <w:keepNext/>
              <w:keepLines/>
              <w:tabs>
                <w:tab w:val="clear" w:pos="567"/>
                <w:tab w:val="left" w:leader="dot" w:pos="3260"/>
              </w:tabs>
              <w:spacing w:before="0"/>
              <w:jc w:val="center"/>
              <w:rPr>
                <w:b/>
                <w:bCs/>
                <w:sz w:val="20"/>
              </w:rPr>
            </w:pPr>
            <w:r>
              <w:rPr>
                <w:b/>
                <w:bCs/>
                <w:sz w:val="20"/>
              </w:rPr>
              <w:t>(Steel or aluminium with internal lip)</w:t>
            </w:r>
          </w:p>
        </w:tc>
      </w:tr>
      <w:tr>
        <w:tc>
          <w:tcPr>
            <w:tcW w:w="7230" w:type="dxa"/>
          </w:tcPr>
          <w:p>
            <w:pPr>
              <w:pStyle w:val="yTableNAm"/>
              <w:keepNext/>
              <w:keepLines/>
              <w:tabs>
                <w:tab w:val="clear" w:pos="567"/>
                <w:tab w:val="left" w:leader="dot" w:pos="3260"/>
              </w:tabs>
              <w:spacing w:before="0"/>
              <w:jc w:val="center"/>
              <w:rPr>
                <w:sz w:val="20"/>
              </w:rPr>
            </w:pPr>
            <w:r>
              <w:rPr>
                <w:noProof/>
                <w:lang w:eastAsia="en-AU"/>
              </w:rPr>
              <w:drawing>
                <wp:inline distT="0" distB="0" distL="0" distR="0">
                  <wp:extent cx="4486275" cy="2781300"/>
                  <wp:effectExtent l="0" t="0" r="9525"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4486275" cy="2781300"/>
                          </a:xfrm>
                          <a:prstGeom prst="rect">
                            <a:avLst/>
                          </a:prstGeom>
                          <a:noFill/>
                          <a:ln>
                            <a:noFill/>
                          </a:ln>
                        </pic:spPr>
                      </pic:pic>
                    </a:graphicData>
                  </a:graphic>
                </wp:inline>
              </w:drawing>
            </w:r>
          </w:p>
        </w:tc>
      </w:tr>
    </w:tbl>
    <w:p>
      <w:pPr>
        <w:pStyle w:val="yFootnotesection"/>
      </w:pPr>
      <w:r>
        <w:tab/>
        <w:t>[Diagram 7 inserted in Gazette 27 Aug 2010 p. 4111.]</w:t>
      </w:r>
    </w:p>
    <w:p>
      <w:pPr>
        <w:pStyle w:val="yEdnotesection"/>
      </w:pPr>
      <w:r>
        <w:tab/>
        <w:t>[Diagram 8 deleted in Gazette 12 Feb 2010 p. 588.]</w:t>
      </w:r>
    </w:p>
    <w:tbl>
      <w:tblPr>
        <w:tblW w:w="7375" w:type="dxa"/>
        <w:tblLayout w:type="fixed"/>
        <w:tblLook w:val="0000" w:firstRow="0" w:lastRow="0" w:firstColumn="0" w:lastColumn="0" w:noHBand="0" w:noVBand="0"/>
      </w:tblPr>
      <w:tblGrid>
        <w:gridCol w:w="7375"/>
      </w:tblGrid>
      <w:tr>
        <w:tc>
          <w:tcPr>
            <w:tcW w:w="7375" w:type="dxa"/>
          </w:tcPr>
          <w:p>
            <w:pPr>
              <w:pStyle w:val="yTableNAm"/>
              <w:keepNext/>
              <w:keepLines/>
              <w:tabs>
                <w:tab w:val="clear" w:pos="567"/>
                <w:tab w:val="left" w:leader="dot" w:pos="3260"/>
              </w:tabs>
              <w:spacing w:before="0"/>
              <w:jc w:val="center"/>
              <w:rPr>
                <w:b/>
                <w:bCs/>
                <w:sz w:val="20"/>
              </w:rPr>
            </w:pPr>
            <w:r>
              <w:rPr>
                <w:b/>
                <w:bCs/>
                <w:sz w:val="20"/>
              </w:rPr>
              <w:t>Diagram 9 — Batten pots</w:t>
            </w:r>
          </w:p>
        </w:tc>
      </w:tr>
      <w:tr>
        <w:tc>
          <w:tcPr>
            <w:tcW w:w="7375" w:type="dxa"/>
          </w:tcPr>
          <w:p>
            <w:pPr>
              <w:pStyle w:val="yTableNAm"/>
              <w:keepNext/>
              <w:keepLines/>
              <w:tabs>
                <w:tab w:val="clear" w:pos="567"/>
                <w:tab w:val="left" w:leader="dot" w:pos="3260"/>
              </w:tabs>
              <w:spacing w:before="0" w:after="120"/>
              <w:jc w:val="center"/>
              <w:rPr>
                <w:sz w:val="20"/>
              </w:rPr>
            </w:pPr>
            <w:r>
              <w:rPr>
                <w:sz w:val="20"/>
              </w:rPr>
              <w:t>(Clause 4(10))</w:t>
            </w:r>
          </w:p>
        </w:tc>
      </w:tr>
      <w:tr>
        <w:tc>
          <w:tcPr>
            <w:tcW w:w="7375" w:type="dxa"/>
          </w:tcPr>
          <w:p>
            <w:pPr>
              <w:pStyle w:val="yTableNAm"/>
              <w:tabs>
                <w:tab w:val="clear" w:pos="567"/>
                <w:tab w:val="left" w:leader="dot" w:pos="3260"/>
              </w:tabs>
              <w:spacing w:before="0"/>
              <w:jc w:val="center"/>
              <w:rPr>
                <w:sz w:val="20"/>
              </w:rPr>
            </w:pPr>
            <w:r>
              <w:rPr>
                <w:noProof/>
                <w:sz w:val="20"/>
                <w:lang w:eastAsia="en-AU"/>
              </w:rPr>
              <w:drawing>
                <wp:inline distT="0" distB="0" distL="0" distR="0">
                  <wp:extent cx="4505325" cy="2857500"/>
                  <wp:effectExtent l="0" t="0" r="9525" b="0"/>
                  <wp:docPr id="26" name="Picture 26" descr="fish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fish10"/>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4505325" cy="2857500"/>
                          </a:xfrm>
                          <a:prstGeom prst="rect">
                            <a:avLst/>
                          </a:prstGeom>
                          <a:noFill/>
                          <a:ln>
                            <a:noFill/>
                          </a:ln>
                        </pic:spPr>
                      </pic:pic>
                    </a:graphicData>
                  </a:graphic>
                </wp:inline>
              </w:drawing>
            </w:r>
          </w:p>
        </w:tc>
      </w:tr>
    </w:tbl>
    <w:p>
      <w:pPr>
        <w:spacing w:before="240"/>
      </w:pPr>
    </w:p>
    <w:tbl>
      <w:tblPr>
        <w:tblW w:w="7375" w:type="dxa"/>
        <w:tblLayout w:type="fixed"/>
        <w:tblLook w:val="0000" w:firstRow="0" w:lastRow="0" w:firstColumn="0" w:lastColumn="0" w:noHBand="0" w:noVBand="0"/>
      </w:tblPr>
      <w:tblGrid>
        <w:gridCol w:w="7375"/>
      </w:tblGrid>
      <w:tr>
        <w:tc>
          <w:tcPr>
            <w:tcW w:w="7375" w:type="dxa"/>
          </w:tcPr>
          <w:p>
            <w:pPr>
              <w:pStyle w:val="yTableNAm"/>
              <w:tabs>
                <w:tab w:val="clear" w:pos="567"/>
                <w:tab w:val="left" w:leader="dot" w:pos="3260"/>
              </w:tabs>
              <w:spacing w:before="0"/>
              <w:jc w:val="center"/>
              <w:rPr>
                <w:b/>
                <w:bCs/>
                <w:sz w:val="20"/>
              </w:rPr>
            </w:pPr>
            <w:r>
              <w:rPr>
                <w:b/>
                <w:bCs/>
                <w:sz w:val="20"/>
              </w:rPr>
              <w:t>Diagram 10 — Beehive pots</w:t>
            </w:r>
          </w:p>
        </w:tc>
      </w:tr>
      <w:tr>
        <w:tc>
          <w:tcPr>
            <w:tcW w:w="7375" w:type="dxa"/>
          </w:tcPr>
          <w:p>
            <w:pPr>
              <w:pStyle w:val="yTableNAm"/>
              <w:tabs>
                <w:tab w:val="clear" w:pos="567"/>
                <w:tab w:val="left" w:leader="dot" w:pos="3260"/>
              </w:tabs>
              <w:spacing w:before="0"/>
              <w:jc w:val="center"/>
              <w:rPr>
                <w:sz w:val="20"/>
              </w:rPr>
            </w:pPr>
            <w:r>
              <w:rPr>
                <w:sz w:val="20"/>
              </w:rPr>
              <w:t>(Clause 3(5))</w:t>
            </w:r>
          </w:p>
        </w:tc>
      </w:tr>
      <w:tr>
        <w:tc>
          <w:tcPr>
            <w:tcW w:w="7375" w:type="dxa"/>
          </w:tcPr>
          <w:p>
            <w:pPr>
              <w:pStyle w:val="yTableNAm"/>
              <w:tabs>
                <w:tab w:val="clear" w:pos="567"/>
                <w:tab w:val="left" w:leader="dot" w:pos="3260"/>
              </w:tabs>
              <w:spacing w:before="0"/>
              <w:jc w:val="center"/>
              <w:rPr>
                <w:sz w:val="20"/>
              </w:rPr>
            </w:pPr>
            <w:r>
              <w:rPr>
                <w:noProof/>
                <w:sz w:val="20"/>
                <w:lang w:eastAsia="en-AU"/>
              </w:rPr>
              <w:drawing>
                <wp:inline distT="0" distB="0" distL="0" distR="0">
                  <wp:extent cx="4486275" cy="2324100"/>
                  <wp:effectExtent l="0" t="0" r="9525" b="0"/>
                  <wp:docPr id="27" name="Picture 27" descr="diagram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diagram10"/>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4486275" cy="2324100"/>
                          </a:xfrm>
                          <a:prstGeom prst="rect">
                            <a:avLst/>
                          </a:prstGeom>
                          <a:noFill/>
                          <a:ln>
                            <a:noFill/>
                          </a:ln>
                        </pic:spPr>
                      </pic:pic>
                    </a:graphicData>
                  </a:graphic>
                </wp:inline>
              </w:drawing>
            </w:r>
          </w:p>
        </w:tc>
      </w:tr>
    </w:tbl>
    <w:p>
      <w:pPr>
        <w:pStyle w:val="yFootnotesection"/>
      </w:pPr>
      <w:r>
        <w:tab/>
        <w:t>[Diagram 10 inserted in Gazette 29 Nov 2002 p. 5656.]</w:t>
      </w:r>
    </w:p>
    <w:tbl>
      <w:tblPr>
        <w:tblW w:w="7375" w:type="dxa"/>
        <w:tblLayout w:type="fixed"/>
        <w:tblLook w:val="0000" w:firstRow="0" w:lastRow="0" w:firstColumn="0" w:lastColumn="0" w:noHBand="0" w:noVBand="0"/>
      </w:tblPr>
      <w:tblGrid>
        <w:gridCol w:w="7375"/>
      </w:tblGrid>
      <w:tr>
        <w:tc>
          <w:tcPr>
            <w:tcW w:w="7375" w:type="dxa"/>
          </w:tcPr>
          <w:p>
            <w:pPr>
              <w:pStyle w:val="yTableNAm"/>
              <w:keepNext/>
              <w:keepLines/>
              <w:tabs>
                <w:tab w:val="clear" w:pos="567"/>
                <w:tab w:val="left" w:leader="dot" w:pos="3260"/>
              </w:tabs>
              <w:spacing w:before="0"/>
              <w:jc w:val="center"/>
              <w:rPr>
                <w:b/>
                <w:bCs/>
                <w:sz w:val="20"/>
              </w:rPr>
            </w:pPr>
            <w:r>
              <w:rPr>
                <w:b/>
                <w:bCs/>
                <w:sz w:val="20"/>
              </w:rPr>
              <w:t>Diagram 11 — Beehive pots</w:t>
            </w:r>
          </w:p>
        </w:tc>
      </w:tr>
      <w:tr>
        <w:tc>
          <w:tcPr>
            <w:tcW w:w="7375" w:type="dxa"/>
          </w:tcPr>
          <w:p>
            <w:pPr>
              <w:pStyle w:val="yTableNAm"/>
              <w:keepNext/>
              <w:keepLines/>
              <w:tabs>
                <w:tab w:val="clear" w:pos="567"/>
                <w:tab w:val="left" w:leader="dot" w:pos="3260"/>
              </w:tabs>
              <w:spacing w:before="0"/>
              <w:jc w:val="center"/>
              <w:rPr>
                <w:sz w:val="20"/>
              </w:rPr>
            </w:pPr>
            <w:r>
              <w:rPr>
                <w:sz w:val="20"/>
              </w:rPr>
              <w:t>(Clause 3(7))</w:t>
            </w:r>
          </w:p>
        </w:tc>
      </w:tr>
      <w:tr>
        <w:tc>
          <w:tcPr>
            <w:tcW w:w="7375" w:type="dxa"/>
          </w:tcPr>
          <w:p>
            <w:pPr>
              <w:pStyle w:val="yTableNAm"/>
              <w:tabs>
                <w:tab w:val="clear" w:pos="567"/>
                <w:tab w:val="left" w:leader="dot" w:pos="3260"/>
              </w:tabs>
              <w:spacing w:before="0"/>
              <w:rPr>
                <w:sz w:val="20"/>
              </w:rPr>
            </w:pPr>
            <w:r>
              <w:rPr>
                <w:noProof/>
                <w:sz w:val="20"/>
                <w:lang w:eastAsia="en-AU"/>
              </w:rPr>
              <w:drawing>
                <wp:inline distT="0" distB="0" distL="0" distR="0">
                  <wp:extent cx="4543425" cy="2352675"/>
                  <wp:effectExtent l="0" t="0" r="9525" b="9525"/>
                  <wp:docPr id="28" name="Picture 28" descr="diagram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diagram11"/>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4543425" cy="2352675"/>
                          </a:xfrm>
                          <a:prstGeom prst="rect">
                            <a:avLst/>
                          </a:prstGeom>
                          <a:noFill/>
                          <a:ln>
                            <a:noFill/>
                          </a:ln>
                        </pic:spPr>
                      </pic:pic>
                    </a:graphicData>
                  </a:graphic>
                </wp:inline>
              </w:drawing>
            </w:r>
          </w:p>
        </w:tc>
      </w:tr>
    </w:tbl>
    <w:p>
      <w:pPr>
        <w:pStyle w:val="yFootnotesection"/>
      </w:pPr>
      <w:r>
        <w:tab/>
        <w:t>[Diagram 11 inserted in Gazette 29 Nov 2002 p. 5657.]</w:t>
      </w:r>
    </w:p>
    <w:p>
      <w:pPr>
        <w:pStyle w:val="yScheduleHeading"/>
        <w:keepLines/>
        <w:outlineLvl w:val="9"/>
        <w:sectPr>
          <w:headerReference w:type="even" r:id="rId49"/>
          <w:headerReference w:type="default" r:id="rId50"/>
          <w:pgSz w:w="11906" w:h="16838" w:code="9"/>
          <w:pgMar w:top="2381" w:right="2409" w:bottom="3543" w:left="2409" w:header="720" w:footer="3380" w:gutter="0"/>
          <w:cols w:space="720"/>
          <w:noEndnote/>
          <w:docGrid w:linePitch="326"/>
        </w:sectPr>
      </w:pPr>
    </w:p>
    <w:p>
      <w:pPr>
        <w:pStyle w:val="yScheduleHeading"/>
      </w:pPr>
      <w:bookmarkStart w:id="11046" w:name="_Toc189988249"/>
      <w:bookmarkStart w:id="11047" w:name="_Toc192041832"/>
      <w:bookmarkStart w:id="11048" w:name="_Toc199571066"/>
      <w:bookmarkStart w:id="11049" w:name="_Toc199739065"/>
      <w:bookmarkStart w:id="11050" w:name="_Toc199815166"/>
      <w:bookmarkStart w:id="11051" w:name="_Toc215040973"/>
      <w:bookmarkStart w:id="11052" w:name="_Toc215041418"/>
      <w:bookmarkStart w:id="11053" w:name="_Toc222129626"/>
      <w:bookmarkStart w:id="11054" w:name="_Toc222223331"/>
      <w:bookmarkStart w:id="11055" w:name="_Toc225914583"/>
      <w:bookmarkStart w:id="11056" w:name="_Toc231282628"/>
      <w:bookmarkStart w:id="11057" w:name="_Toc231283072"/>
      <w:bookmarkStart w:id="11058" w:name="_Toc234899662"/>
      <w:bookmarkStart w:id="11059" w:name="_Toc236632945"/>
      <w:bookmarkStart w:id="11060" w:name="_Toc236720558"/>
      <w:bookmarkStart w:id="11061" w:name="_Toc237764757"/>
      <w:bookmarkStart w:id="11062" w:name="_Toc238356381"/>
      <w:bookmarkStart w:id="11063" w:name="_Toc238369086"/>
      <w:bookmarkStart w:id="11064" w:name="_Toc238376039"/>
      <w:bookmarkStart w:id="11065" w:name="_Toc240339363"/>
      <w:bookmarkStart w:id="11066" w:name="_Toc241993869"/>
      <w:bookmarkStart w:id="11067" w:name="_Toc243193012"/>
      <w:bookmarkStart w:id="11068" w:name="_Toc243295712"/>
      <w:bookmarkStart w:id="11069" w:name="_Toc245113286"/>
      <w:bookmarkStart w:id="11070" w:name="_Toc245198448"/>
      <w:bookmarkStart w:id="11071" w:name="_Toc245198897"/>
      <w:bookmarkStart w:id="11072" w:name="_Toc245199346"/>
      <w:bookmarkStart w:id="11073" w:name="_Toc248122378"/>
      <w:bookmarkStart w:id="11074" w:name="_Toc248122829"/>
      <w:bookmarkStart w:id="11075" w:name="_Toc253670814"/>
      <w:bookmarkStart w:id="11076" w:name="_Toc253671264"/>
      <w:bookmarkStart w:id="11077" w:name="_Toc254943038"/>
      <w:bookmarkStart w:id="11078" w:name="_Toc254943491"/>
      <w:bookmarkStart w:id="11079" w:name="_Toc255476083"/>
      <w:bookmarkStart w:id="11080" w:name="_Toc256432404"/>
      <w:bookmarkStart w:id="11081" w:name="_Toc257720741"/>
      <w:bookmarkStart w:id="11082" w:name="_Toc257722423"/>
      <w:bookmarkStart w:id="11083" w:name="_Toc258336099"/>
      <w:bookmarkStart w:id="11084" w:name="_Toc260406541"/>
      <w:bookmarkStart w:id="11085" w:name="_Toc261271727"/>
      <w:bookmarkStart w:id="11086" w:name="_Toc262808409"/>
      <w:bookmarkStart w:id="11087" w:name="_Toc267572801"/>
      <w:bookmarkStart w:id="11088" w:name="_Toc270684549"/>
      <w:bookmarkStart w:id="11089" w:name="_Toc274214726"/>
      <w:bookmarkStart w:id="11090" w:name="_Toc274215175"/>
      <w:bookmarkStart w:id="11091" w:name="_Toc278976506"/>
      <w:bookmarkStart w:id="11092" w:name="_Toc286760827"/>
      <w:bookmarkStart w:id="11093" w:name="_Toc289081172"/>
      <w:bookmarkStart w:id="11094" w:name="_Toc290284366"/>
      <w:bookmarkStart w:id="11095" w:name="_Toc290643187"/>
      <w:bookmarkStart w:id="11096" w:name="_Toc290643636"/>
      <w:bookmarkStart w:id="11097" w:name="_Toc290644089"/>
      <w:bookmarkStart w:id="11098" w:name="_Toc294701906"/>
      <w:bookmarkStart w:id="11099" w:name="_Toc295200314"/>
      <w:bookmarkStart w:id="11100" w:name="_Toc296954755"/>
      <w:bookmarkStart w:id="11101" w:name="_Toc297276390"/>
      <w:bookmarkStart w:id="11102" w:name="_Toc297276842"/>
      <w:bookmarkStart w:id="11103" w:name="_Toc297277292"/>
      <w:bookmarkStart w:id="11104" w:name="_Toc297726661"/>
      <w:bookmarkStart w:id="11105" w:name="_Toc299980447"/>
      <w:bookmarkStart w:id="11106" w:name="_Toc300235073"/>
      <w:bookmarkStart w:id="11107" w:name="_Toc301961576"/>
      <w:bookmarkStart w:id="11108" w:name="_Toc301967146"/>
      <w:bookmarkStart w:id="11109" w:name="_Toc303253355"/>
      <w:bookmarkStart w:id="11110" w:name="_Toc303257519"/>
      <w:bookmarkStart w:id="11111" w:name="_Toc307993152"/>
      <w:bookmarkStart w:id="11112" w:name="_Toc309030185"/>
      <w:bookmarkStart w:id="11113" w:name="_Toc309304408"/>
      <w:bookmarkStart w:id="11114" w:name="_Toc309309685"/>
      <w:r>
        <w:rPr>
          <w:rStyle w:val="CharSchNo"/>
        </w:rPr>
        <w:t>Schedule 14</w:t>
      </w:r>
      <w:bookmarkEnd w:id="11046"/>
      <w:bookmarkEnd w:id="11047"/>
      <w:bookmarkEnd w:id="11048"/>
      <w:bookmarkEnd w:id="11049"/>
      <w:bookmarkEnd w:id="11050"/>
      <w:bookmarkEnd w:id="11051"/>
      <w:bookmarkEnd w:id="11052"/>
      <w:bookmarkEnd w:id="11053"/>
      <w:bookmarkEnd w:id="11054"/>
      <w:bookmarkEnd w:id="11055"/>
      <w:bookmarkEnd w:id="11056"/>
      <w:bookmarkEnd w:id="11057"/>
      <w:bookmarkEnd w:id="11058"/>
      <w:bookmarkEnd w:id="11059"/>
      <w:bookmarkEnd w:id="11060"/>
      <w:bookmarkEnd w:id="11061"/>
      <w:bookmarkEnd w:id="11062"/>
      <w:bookmarkEnd w:id="11063"/>
      <w:bookmarkEnd w:id="11064"/>
      <w:bookmarkEnd w:id="11065"/>
      <w:bookmarkEnd w:id="11066"/>
      <w:bookmarkEnd w:id="11067"/>
      <w:bookmarkEnd w:id="11068"/>
      <w:bookmarkEnd w:id="11069"/>
      <w:bookmarkEnd w:id="11070"/>
      <w:bookmarkEnd w:id="11071"/>
      <w:bookmarkEnd w:id="11072"/>
      <w:bookmarkEnd w:id="11073"/>
      <w:bookmarkEnd w:id="11074"/>
      <w:bookmarkEnd w:id="11075"/>
      <w:bookmarkEnd w:id="11076"/>
      <w:bookmarkEnd w:id="11077"/>
      <w:bookmarkEnd w:id="11078"/>
      <w:bookmarkEnd w:id="11079"/>
      <w:bookmarkEnd w:id="11080"/>
      <w:bookmarkEnd w:id="11081"/>
      <w:bookmarkEnd w:id="11082"/>
      <w:bookmarkEnd w:id="11083"/>
      <w:bookmarkEnd w:id="11084"/>
      <w:bookmarkEnd w:id="11085"/>
      <w:bookmarkEnd w:id="11086"/>
      <w:bookmarkEnd w:id="11087"/>
      <w:bookmarkEnd w:id="11088"/>
      <w:bookmarkEnd w:id="11089"/>
      <w:bookmarkEnd w:id="11090"/>
      <w:bookmarkEnd w:id="11091"/>
      <w:bookmarkEnd w:id="11092"/>
      <w:bookmarkEnd w:id="11093"/>
      <w:bookmarkEnd w:id="11094"/>
      <w:bookmarkEnd w:id="11095"/>
      <w:bookmarkEnd w:id="11096"/>
      <w:bookmarkEnd w:id="11097"/>
      <w:bookmarkEnd w:id="11098"/>
      <w:bookmarkEnd w:id="11099"/>
      <w:bookmarkEnd w:id="11100"/>
      <w:bookmarkEnd w:id="11101"/>
      <w:bookmarkEnd w:id="11102"/>
      <w:bookmarkEnd w:id="11103"/>
      <w:bookmarkEnd w:id="11104"/>
      <w:bookmarkEnd w:id="11105"/>
      <w:bookmarkEnd w:id="11106"/>
      <w:bookmarkEnd w:id="11107"/>
      <w:bookmarkEnd w:id="11108"/>
      <w:bookmarkEnd w:id="11109"/>
      <w:bookmarkEnd w:id="11110"/>
      <w:bookmarkEnd w:id="11111"/>
      <w:bookmarkEnd w:id="11112"/>
      <w:bookmarkEnd w:id="11113"/>
      <w:bookmarkEnd w:id="11114"/>
    </w:p>
    <w:p>
      <w:pPr>
        <w:pStyle w:val="yHeading2"/>
      </w:pPr>
      <w:bookmarkStart w:id="11115" w:name="_Toc189988250"/>
      <w:bookmarkStart w:id="11116" w:name="_Toc192041833"/>
      <w:bookmarkStart w:id="11117" w:name="_Toc199571067"/>
      <w:bookmarkStart w:id="11118" w:name="_Toc199739066"/>
      <w:bookmarkStart w:id="11119" w:name="_Toc199815167"/>
      <w:bookmarkStart w:id="11120" w:name="_Toc215040974"/>
      <w:bookmarkStart w:id="11121" w:name="_Toc215041419"/>
      <w:bookmarkStart w:id="11122" w:name="_Toc222129627"/>
      <w:bookmarkStart w:id="11123" w:name="_Toc222223332"/>
      <w:bookmarkStart w:id="11124" w:name="_Toc225914584"/>
      <w:bookmarkStart w:id="11125" w:name="_Toc231282629"/>
      <w:bookmarkStart w:id="11126" w:name="_Toc231283073"/>
      <w:bookmarkStart w:id="11127" w:name="_Toc234899663"/>
      <w:bookmarkStart w:id="11128" w:name="_Toc236632946"/>
      <w:bookmarkStart w:id="11129" w:name="_Toc236720559"/>
      <w:bookmarkStart w:id="11130" w:name="_Toc237764758"/>
      <w:bookmarkStart w:id="11131" w:name="_Toc238356382"/>
      <w:bookmarkStart w:id="11132" w:name="_Toc238369087"/>
      <w:bookmarkStart w:id="11133" w:name="_Toc238376040"/>
      <w:bookmarkStart w:id="11134" w:name="_Toc240339364"/>
      <w:bookmarkStart w:id="11135" w:name="_Toc241993870"/>
      <w:bookmarkStart w:id="11136" w:name="_Toc243193013"/>
      <w:bookmarkStart w:id="11137" w:name="_Toc243295713"/>
      <w:bookmarkStart w:id="11138" w:name="_Toc245113287"/>
      <w:bookmarkStart w:id="11139" w:name="_Toc245198449"/>
      <w:bookmarkStart w:id="11140" w:name="_Toc245198898"/>
      <w:bookmarkStart w:id="11141" w:name="_Toc245199347"/>
      <w:bookmarkStart w:id="11142" w:name="_Toc248122379"/>
      <w:bookmarkStart w:id="11143" w:name="_Toc248122830"/>
      <w:bookmarkStart w:id="11144" w:name="_Toc253670815"/>
      <w:bookmarkStart w:id="11145" w:name="_Toc253671265"/>
      <w:bookmarkStart w:id="11146" w:name="_Toc254943039"/>
      <w:bookmarkStart w:id="11147" w:name="_Toc254943492"/>
      <w:bookmarkStart w:id="11148" w:name="_Toc255476084"/>
      <w:bookmarkStart w:id="11149" w:name="_Toc256432405"/>
      <w:bookmarkStart w:id="11150" w:name="_Toc257720742"/>
      <w:bookmarkStart w:id="11151" w:name="_Toc257722424"/>
      <w:bookmarkStart w:id="11152" w:name="_Toc258336100"/>
      <w:bookmarkStart w:id="11153" w:name="_Toc260406542"/>
      <w:bookmarkStart w:id="11154" w:name="_Toc261271728"/>
      <w:bookmarkStart w:id="11155" w:name="_Toc262808410"/>
      <w:bookmarkStart w:id="11156" w:name="_Toc267572802"/>
      <w:bookmarkStart w:id="11157" w:name="_Toc270684550"/>
      <w:bookmarkStart w:id="11158" w:name="_Toc274214727"/>
      <w:bookmarkStart w:id="11159" w:name="_Toc274215176"/>
      <w:bookmarkStart w:id="11160" w:name="_Toc278976507"/>
      <w:bookmarkStart w:id="11161" w:name="_Toc286760828"/>
      <w:bookmarkStart w:id="11162" w:name="_Toc289081173"/>
      <w:bookmarkStart w:id="11163" w:name="_Toc290284367"/>
      <w:bookmarkStart w:id="11164" w:name="_Toc290643188"/>
      <w:bookmarkStart w:id="11165" w:name="_Toc290643637"/>
      <w:bookmarkStart w:id="11166" w:name="_Toc290644090"/>
      <w:bookmarkStart w:id="11167" w:name="_Toc294701907"/>
      <w:bookmarkStart w:id="11168" w:name="_Toc295200315"/>
      <w:bookmarkStart w:id="11169" w:name="_Toc296954756"/>
      <w:bookmarkStart w:id="11170" w:name="_Toc297276391"/>
      <w:bookmarkStart w:id="11171" w:name="_Toc297276843"/>
      <w:bookmarkStart w:id="11172" w:name="_Toc297277293"/>
      <w:bookmarkStart w:id="11173" w:name="_Toc297726662"/>
      <w:bookmarkStart w:id="11174" w:name="_Toc299980448"/>
      <w:bookmarkStart w:id="11175" w:name="_Toc300235074"/>
      <w:bookmarkStart w:id="11176" w:name="_Toc301961577"/>
      <w:bookmarkStart w:id="11177" w:name="_Toc301967147"/>
      <w:bookmarkStart w:id="11178" w:name="_Toc303253356"/>
      <w:bookmarkStart w:id="11179" w:name="_Toc303257520"/>
      <w:bookmarkStart w:id="11180" w:name="_Toc307993153"/>
      <w:bookmarkStart w:id="11181" w:name="_Toc309030186"/>
      <w:bookmarkStart w:id="11182" w:name="_Toc309304409"/>
      <w:bookmarkStart w:id="11183" w:name="_Toc309309686"/>
      <w:r>
        <w:rPr>
          <w:rStyle w:val="CharSchText"/>
        </w:rPr>
        <w:t>Forms</w:t>
      </w:r>
      <w:bookmarkEnd w:id="11115"/>
      <w:bookmarkEnd w:id="11116"/>
      <w:bookmarkEnd w:id="11117"/>
      <w:bookmarkEnd w:id="11118"/>
      <w:bookmarkEnd w:id="11119"/>
      <w:bookmarkEnd w:id="11120"/>
      <w:bookmarkEnd w:id="11121"/>
      <w:bookmarkEnd w:id="11122"/>
      <w:bookmarkEnd w:id="11123"/>
      <w:bookmarkEnd w:id="11124"/>
      <w:bookmarkEnd w:id="11125"/>
      <w:bookmarkEnd w:id="11126"/>
      <w:bookmarkEnd w:id="11127"/>
      <w:bookmarkEnd w:id="11128"/>
      <w:bookmarkEnd w:id="11129"/>
      <w:bookmarkEnd w:id="11130"/>
      <w:bookmarkEnd w:id="11131"/>
      <w:bookmarkEnd w:id="11132"/>
      <w:bookmarkEnd w:id="11133"/>
      <w:bookmarkEnd w:id="11134"/>
      <w:bookmarkEnd w:id="11135"/>
      <w:bookmarkEnd w:id="11136"/>
      <w:bookmarkEnd w:id="11137"/>
      <w:bookmarkEnd w:id="11138"/>
      <w:bookmarkEnd w:id="11139"/>
      <w:bookmarkEnd w:id="11140"/>
      <w:bookmarkEnd w:id="11141"/>
      <w:bookmarkEnd w:id="11142"/>
      <w:bookmarkEnd w:id="11143"/>
      <w:bookmarkEnd w:id="11144"/>
      <w:bookmarkEnd w:id="11145"/>
      <w:bookmarkEnd w:id="11146"/>
      <w:bookmarkEnd w:id="11147"/>
      <w:bookmarkEnd w:id="11148"/>
      <w:bookmarkEnd w:id="11149"/>
      <w:bookmarkEnd w:id="11150"/>
      <w:bookmarkEnd w:id="11151"/>
      <w:bookmarkEnd w:id="11152"/>
      <w:bookmarkEnd w:id="11153"/>
      <w:bookmarkEnd w:id="11154"/>
      <w:bookmarkEnd w:id="11155"/>
      <w:bookmarkEnd w:id="11156"/>
      <w:bookmarkEnd w:id="11157"/>
      <w:bookmarkEnd w:id="11158"/>
      <w:bookmarkEnd w:id="11159"/>
      <w:bookmarkEnd w:id="11160"/>
      <w:bookmarkEnd w:id="11161"/>
      <w:bookmarkEnd w:id="11162"/>
      <w:bookmarkEnd w:id="11163"/>
      <w:bookmarkEnd w:id="11164"/>
      <w:bookmarkEnd w:id="11165"/>
      <w:bookmarkEnd w:id="11166"/>
      <w:bookmarkEnd w:id="11167"/>
      <w:bookmarkEnd w:id="11168"/>
      <w:bookmarkEnd w:id="11169"/>
      <w:bookmarkEnd w:id="11170"/>
      <w:bookmarkEnd w:id="11171"/>
      <w:bookmarkEnd w:id="11172"/>
      <w:bookmarkEnd w:id="11173"/>
      <w:bookmarkEnd w:id="11174"/>
      <w:bookmarkEnd w:id="11175"/>
      <w:bookmarkEnd w:id="11176"/>
      <w:bookmarkEnd w:id="11177"/>
      <w:bookmarkEnd w:id="11178"/>
      <w:bookmarkEnd w:id="11179"/>
      <w:bookmarkEnd w:id="11180"/>
      <w:bookmarkEnd w:id="11181"/>
      <w:bookmarkEnd w:id="11182"/>
      <w:bookmarkEnd w:id="11183"/>
    </w:p>
    <w:p>
      <w:pPr>
        <w:pStyle w:val="yEdnotedivision"/>
        <w:outlineLvl w:val="9"/>
      </w:pPr>
      <w:r>
        <w:t>[Form 1 deleted in Gazette 30 Dec 2004 p. 6965.]</w:t>
      </w:r>
    </w:p>
    <w:p>
      <w:pPr>
        <w:pStyle w:val="yMiscellaneousHeading"/>
        <w:rPr>
          <w:b/>
          <w:bCs/>
          <w:snapToGrid w:val="0"/>
        </w:rPr>
      </w:pPr>
      <w:r>
        <w:rPr>
          <w:b/>
          <w:bCs/>
          <w:snapToGrid w:val="0"/>
        </w:rPr>
        <w:t>Form 2</w:t>
      </w:r>
    </w:p>
    <w:p>
      <w:pPr>
        <w:pStyle w:val="yShoulderClause"/>
        <w:rPr>
          <w:snapToGrid w:val="0"/>
        </w:rPr>
      </w:pPr>
      <w:r>
        <w:rPr>
          <w:snapToGrid w:val="0"/>
        </w:rPr>
        <w:t>[reg. 147]</w:t>
      </w:r>
    </w:p>
    <w:p>
      <w:pPr>
        <w:pStyle w:val="yMiscellaneousHeading"/>
        <w:spacing w:before="0"/>
        <w:rPr>
          <w:i/>
          <w:iCs/>
          <w:snapToGrid w:val="0"/>
        </w:rPr>
      </w:pPr>
      <w:r>
        <w:rPr>
          <w:i/>
          <w:iCs/>
          <w:snapToGrid w:val="0"/>
        </w:rPr>
        <w:t>Fish Resources Management Act 1994</w:t>
      </w:r>
    </w:p>
    <w:p>
      <w:pPr>
        <w:pStyle w:val="yMiscellaneousHeading"/>
        <w:spacing w:before="0"/>
        <w:rPr>
          <w:snapToGrid w:val="0"/>
        </w:rPr>
      </w:pPr>
      <w:r>
        <w:rPr>
          <w:snapToGrid w:val="0"/>
        </w:rPr>
        <w:t>(Section 187)</w:t>
      </w:r>
    </w:p>
    <w:p>
      <w:pPr>
        <w:pStyle w:val="yMiscellaneousHeading"/>
        <w:spacing w:before="120"/>
        <w:rPr>
          <w:b/>
          <w:snapToGrid w:val="0"/>
        </w:rPr>
      </w:pPr>
      <w:r>
        <w:rPr>
          <w:b/>
          <w:snapToGrid w:val="0"/>
        </w:rPr>
        <w:t>WARRANT TO ENTER AND SEARCH</w:t>
      </w:r>
    </w:p>
    <w:p>
      <w:pPr>
        <w:pStyle w:val="yMiscellaneousBody"/>
        <w:spacing w:after="120"/>
        <w:rPr>
          <w:snapToGrid w:val="0"/>
          <w:sz w:val="18"/>
        </w:rPr>
      </w:pPr>
      <w:r>
        <w:rPr>
          <w:snapToGrid w:val="0"/>
          <w:sz w:val="18"/>
        </w:rPr>
        <w:t>This is a warrant authorising a fisheries officer to enter and search:</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Place: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p>
            <w:pPr>
              <w:pStyle w:val="yTableNAm"/>
              <w:tabs>
                <w:tab w:val="clear" w:pos="567"/>
                <w:tab w:val="left" w:leader="dot" w:pos="3260"/>
              </w:tabs>
              <w:spacing w:before="0"/>
              <w:rPr>
                <w:sz w:val="18"/>
              </w:rPr>
            </w:pPr>
            <w:r>
              <w:rPr>
                <w:sz w:val="18"/>
              </w:rPr>
              <w:t>(specify hours or at any time)</w:t>
            </w:r>
          </w:p>
        </w:tc>
        <w:tc>
          <w:tcPr>
            <w:tcW w:w="4009"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This warrant ceases to have effect:</w:t>
      </w:r>
    </w:p>
    <w:tbl>
      <w:tblPr>
        <w:tblW w:w="0" w:type="auto"/>
        <w:tblInd w:w="120" w:type="dxa"/>
        <w:tblLayout w:type="fixed"/>
        <w:tblCellMar>
          <w:left w:w="120" w:type="dxa"/>
          <w:right w:w="120" w:type="dxa"/>
        </w:tblCellMar>
        <w:tblLook w:val="0000" w:firstRow="0" w:lastRow="0" w:firstColumn="0" w:lastColumn="0" w:noHBand="0" w:noVBand="0"/>
      </w:tblPr>
      <w:tblGrid>
        <w:gridCol w:w="1688"/>
        <w:gridCol w:w="5400"/>
      </w:tblGrid>
      <w:tr>
        <w:tc>
          <w:tcPr>
            <w:tcW w:w="1688"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Date: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tc>
        <w:tc>
          <w:tcPr>
            <w:tcW w:w="5400"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tc>
      </w:tr>
    </w:tbl>
    <w:p>
      <w:pPr>
        <w:pStyle w:val="yMiscellaneousBody"/>
        <w:spacing w:before="60"/>
        <w:rPr>
          <w:snapToGrid w:val="0"/>
          <w:sz w:val="18"/>
        </w:rPr>
      </w:pPr>
      <w:r>
        <w:rPr>
          <w:snapToGrid w:val="0"/>
          <w:sz w:val="18"/>
        </w:rPr>
        <w:t xml:space="preserve">I ........................................................ Justice of the Peace of ......................................................... am satisfied by </w:t>
      </w:r>
      <w:r>
        <w:rPr>
          <w:sz w:val="18"/>
        </w:rPr>
        <w:t>application supported by evidence</w:t>
      </w:r>
      <w:r>
        <w:rPr>
          <w:snapToGrid w:val="0"/>
          <w:sz w:val="18"/>
        </w:rPr>
        <w:t xml:space="preserve"> on oath —</w:t>
      </w:r>
    </w:p>
    <w:p>
      <w:pPr>
        <w:pStyle w:val="yMiscellaneousBody"/>
        <w:tabs>
          <w:tab w:val="left" w:pos="240"/>
          <w:tab w:val="left" w:pos="600"/>
        </w:tabs>
        <w:spacing w:before="60"/>
        <w:ind w:left="600" w:hanging="600"/>
        <w:rPr>
          <w:snapToGrid w:val="0"/>
          <w:sz w:val="18"/>
        </w:rPr>
      </w:pPr>
      <w:r>
        <w:rPr>
          <w:snapToGrid w:val="0"/>
          <w:sz w:val="18"/>
        </w:rPr>
        <w:tab/>
        <w:t>(a)</w:t>
      </w:r>
      <w:r>
        <w:rPr>
          <w:snapToGrid w:val="0"/>
          <w:sz w:val="18"/>
        </w:rPr>
        <w:tab/>
        <w:t xml:space="preserve">that there are reasonable grounds for suspecting that there is on or in the place referred to in this warrant anything that may afford evidence of the commission of an offence against the </w:t>
      </w:r>
      <w:r>
        <w:rPr>
          <w:i/>
          <w:snapToGrid w:val="0"/>
          <w:sz w:val="18"/>
        </w:rPr>
        <w:t>Fish Resources Management Act 1994</w:t>
      </w:r>
      <w:r>
        <w:rPr>
          <w:snapToGrid w:val="0"/>
          <w:sz w:val="18"/>
        </w:rPr>
        <w:t>; or</w:t>
      </w:r>
    </w:p>
    <w:p>
      <w:pPr>
        <w:pStyle w:val="yMiscellaneousBody"/>
        <w:tabs>
          <w:tab w:val="left" w:pos="240"/>
          <w:tab w:val="left" w:pos="600"/>
        </w:tabs>
        <w:spacing w:before="60"/>
        <w:ind w:left="600" w:hanging="600"/>
        <w:rPr>
          <w:snapToGrid w:val="0"/>
          <w:sz w:val="18"/>
        </w:rPr>
      </w:pPr>
      <w:r>
        <w:rPr>
          <w:snapToGrid w:val="0"/>
          <w:sz w:val="18"/>
        </w:rPr>
        <w:tab/>
        <w:t>(b)</w:t>
      </w:r>
      <w:r>
        <w:rPr>
          <w:snapToGrid w:val="0"/>
          <w:sz w:val="18"/>
        </w:rPr>
        <w:tab/>
        <w:t xml:space="preserve">that the issue of this warrant is reasonably required for the purpose of ascertaining whether a person has contravened or is contravening the </w:t>
      </w:r>
      <w:r>
        <w:rPr>
          <w:i/>
          <w:snapToGrid w:val="0"/>
          <w:sz w:val="18"/>
        </w:rPr>
        <w:t>Fish Resources Management Act 1994</w:t>
      </w:r>
      <w:r>
        <w:rPr>
          <w:snapToGrid w:val="0"/>
          <w:sz w:val="18"/>
        </w:rPr>
        <w:t>;</w:t>
      </w:r>
    </w:p>
    <w:p>
      <w:pPr>
        <w:pStyle w:val="yMiscellaneousBody"/>
        <w:spacing w:before="60"/>
        <w:rPr>
          <w:snapToGrid w:val="0"/>
          <w:sz w:val="18"/>
        </w:rPr>
      </w:pPr>
      <w:r>
        <w:rPr>
          <w:snapToGrid w:val="0"/>
          <w:sz w:val="18"/>
        </w:rPr>
        <w:t>and I authorise .................................................................................. , a fisheries officer, to enter and search the place referred to in this warrant with such assistance, and by such force, as is reasonably necessary during the time referred to in this warrant.</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Signature of Justice of the Peace</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Date</w:t>
      </w:r>
    </w:p>
    <w:p>
      <w:pPr>
        <w:pStyle w:val="yFootnotesection"/>
      </w:pPr>
      <w:r>
        <w:tab/>
        <w:t>[Form 2 amended in Gazette 29 May 2008 p. 2059.]</w:t>
      </w:r>
    </w:p>
    <w:p>
      <w:pPr>
        <w:pStyle w:val="yMiscellaneousHeading"/>
        <w:keepLines/>
        <w:rPr>
          <w:b/>
          <w:bCs/>
          <w:snapToGrid w:val="0"/>
        </w:rPr>
      </w:pPr>
      <w:r>
        <w:rPr>
          <w:b/>
          <w:bCs/>
          <w:snapToGrid w:val="0"/>
        </w:rPr>
        <w:t>Form 3</w:t>
      </w:r>
    </w:p>
    <w:p>
      <w:pPr>
        <w:pStyle w:val="yShoulderClause"/>
        <w:keepNext/>
        <w:keepLines/>
        <w:rPr>
          <w:snapToGrid w:val="0"/>
        </w:rPr>
      </w:pPr>
      <w:r>
        <w:rPr>
          <w:snapToGrid w:val="0"/>
        </w:rPr>
        <w:t>[reg. 160]</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sz w:val="20"/>
        </w:rPr>
        <w:t>(</w:t>
      </w:r>
      <w:r>
        <w:rPr>
          <w:snapToGrid w:val="0"/>
        </w:rPr>
        <w:t>Section 229(1))</w:t>
      </w:r>
    </w:p>
    <w:p>
      <w:pPr>
        <w:pStyle w:val="yMiscellaneousHeading"/>
        <w:spacing w:before="120"/>
        <w:rPr>
          <w:b/>
          <w:snapToGrid w:val="0"/>
        </w:rPr>
      </w:pPr>
      <w:r>
        <w:rPr>
          <w:b/>
          <w:snapToGrid w:val="0"/>
        </w:rPr>
        <w:t>INFRINGEMENT NOTICE</w:t>
      </w:r>
    </w:p>
    <w:p>
      <w:pPr>
        <w:pStyle w:val="yMiscellaneousBody"/>
        <w:spacing w:before="0"/>
        <w:ind w:right="968"/>
        <w:jc w:val="right"/>
        <w:rPr>
          <w:snapToGrid w:val="0"/>
          <w:sz w:val="18"/>
        </w:rPr>
      </w:pPr>
      <w:r>
        <w:rPr>
          <w:snapToGrid w:val="0"/>
          <w:sz w:val="18"/>
        </w:rPr>
        <w:tab/>
        <w:t>No. of notice:</w:t>
      </w:r>
    </w:p>
    <w:p>
      <w:pPr>
        <w:pStyle w:val="yMiscellaneousBody"/>
        <w:spacing w:before="0"/>
        <w:ind w:right="968"/>
        <w:jc w:val="right"/>
        <w:rPr>
          <w:snapToGrid w:val="0"/>
          <w:sz w:val="18"/>
        </w:rPr>
      </w:pPr>
      <w:r>
        <w:rPr>
          <w:snapToGrid w:val="0"/>
          <w:sz w:val="18"/>
        </w:rPr>
        <w:tab/>
        <w:t>Authorisation Nos.:</w:t>
      </w:r>
    </w:p>
    <w:p>
      <w:pPr>
        <w:pStyle w:val="yMiscellaneousBody"/>
        <w:spacing w:before="0"/>
        <w:rPr>
          <w:snapToGrid w:val="0"/>
          <w:sz w:val="18"/>
        </w:rPr>
      </w:pPr>
      <w:r>
        <w:rPr>
          <w:snapToGrid w:val="0"/>
          <w:sz w:val="18"/>
        </w:rPr>
        <w:t>To:</w:t>
      </w:r>
    </w:p>
    <w:p>
      <w:pPr>
        <w:pStyle w:val="yMiscellaneousBody"/>
        <w:spacing w:before="0"/>
        <w:ind w:right="1448"/>
        <w:jc w:val="right"/>
        <w:rPr>
          <w:snapToGrid w:val="0"/>
          <w:sz w:val="18"/>
        </w:rPr>
      </w:pPr>
      <w:r>
        <w:rPr>
          <w:snapToGrid w:val="0"/>
          <w:sz w:val="18"/>
        </w:rPr>
        <w:t>Postcode:</w:t>
      </w:r>
    </w:p>
    <w:p>
      <w:pPr>
        <w:pStyle w:val="yMiscellaneousBody"/>
        <w:spacing w:before="0"/>
        <w:rPr>
          <w:snapToGrid w:val="0"/>
          <w:sz w:val="18"/>
        </w:rPr>
      </w:pPr>
      <w:r>
        <w:rPr>
          <w:snapToGrid w:val="0"/>
          <w:sz w:val="18"/>
        </w:rPr>
        <w:t>It is alleged that you have committed an offence:</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1988"/>
        <w:gridCol w:w="5100"/>
      </w:tblGrid>
      <w:tr>
        <w:tc>
          <w:tcPr>
            <w:tcW w:w="1988" w:type="dxa"/>
            <w:tcBorders>
              <w:top w:val="single" w:sz="7" w:space="0" w:color="auto"/>
              <w:bottom w:val="single" w:sz="7" w:space="0" w:color="auto"/>
            </w:tcBorders>
          </w:tcPr>
          <w:p>
            <w:pPr>
              <w:pStyle w:val="yTableNAm"/>
              <w:tabs>
                <w:tab w:val="clear" w:pos="567"/>
                <w:tab w:val="left" w:leader="dot" w:pos="3260"/>
              </w:tabs>
              <w:spacing w:before="0"/>
              <w:rPr>
                <w:sz w:val="18"/>
              </w:rPr>
            </w:pPr>
            <w:r>
              <w:rPr>
                <w:sz w:val="18"/>
              </w:rPr>
              <w:t>When and where:</w:t>
            </w:r>
          </w:p>
        </w:tc>
        <w:tc>
          <w:tcPr>
            <w:tcW w:w="5100" w:type="dxa"/>
            <w:tcBorders>
              <w:top w:val="single" w:sz="7" w:space="0" w:color="auto"/>
              <w:left w:val="single" w:sz="7" w:space="0" w:color="auto"/>
              <w:bottom w:val="single" w:sz="7" w:space="0" w:color="auto"/>
            </w:tcBorders>
          </w:tcPr>
          <w:p>
            <w:pPr>
              <w:pStyle w:val="yTableNAm"/>
              <w:tabs>
                <w:tab w:val="clear" w:pos="567"/>
                <w:tab w:val="left" w:pos="1372"/>
              </w:tabs>
              <w:spacing w:before="0"/>
              <w:rPr>
                <w:sz w:val="18"/>
              </w:rPr>
            </w:pPr>
            <w:r>
              <w:rPr>
                <w:sz w:val="18"/>
              </w:rPr>
              <w:t>When:</w:t>
            </w:r>
            <w:r>
              <w:rPr>
                <w:sz w:val="18"/>
              </w:rPr>
              <w:tab/>
              <w:t>a.m./p.m. on the</w:t>
            </w:r>
          </w:p>
          <w:p>
            <w:pPr>
              <w:pStyle w:val="yTableNAm"/>
              <w:tabs>
                <w:tab w:val="clear" w:pos="567"/>
                <w:tab w:val="left" w:pos="1372"/>
                <w:tab w:val="left" w:pos="3052"/>
              </w:tabs>
              <w:spacing w:before="0"/>
              <w:rPr>
                <w:sz w:val="18"/>
              </w:rPr>
            </w:pPr>
            <w:r>
              <w:rPr>
                <w:sz w:val="18"/>
              </w:rPr>
              <w:tab/>
              <w:t>day of</w:t>
            </w:r>
            <w:r>
              <w:rPr>
                <w:sz w:val="18"/>
              </w:rPr>
              <w:tab/>
              <w:t>20     .</w:t>
            </w:r>
          </w:p>
          <w:p>
            <w:pPr>
              <w:pStyle w:val="yTableNAm"/>
              <w:tabs>
                <w:tab w:val="clear" w:pos="567"/>
                <w:tab w:val="left" w:leader="dot" w:pos="3260"/>
              </w:tabs>
              <w:spacing w:before="0"/>
              <w:rPr>
                <w:sz w:val="18"/>
              </w:rPr>
            </w:pPr>
            <w:r>
              <w:rPr>
                <w:sz w:val="18"/>
              </w:rPr>
              <w:t>Where:</w:t>
            </w: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Details of the offence and modified penalty:</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bottom w:val="single" w:sz="7" w:space="0" w:color="auto"/>
            </w:tcBorders>
          </w:tcPr>
          <w:p>
            <w:pPr>
              <w:pStyle w:val="yTableNAm"/>
              <w:tabs>
                <w:tab w:val="clear" w:pos="567"/>
                <w:tab w:val="left" w:pos="1800"/>
                <w:tab w:val="left" w:pos="3260"/>
                <w:tab w:val="left" w:pos="5761"/>
              </w:tabs>
              <w:spacing w:before="0"/>
              <w:rPr>
                <w:sz w:val="18"/>
              </w:rPr>
            </w:pPr>
            <w:r>
              <w:rPr>
                <w:sz w:val="18"/>
              </w:rPr>
              <w:t>Section of Act</w:t>
            </w:r>
            <w:r>
              <w:rPr>
                <w:sz w:val="18"/>
              </w:rPr>
              <w:tab/>
              <w:t>Description of Offence</w:t>
            </w:r>
            <w:r>
              <w:rPr>
                <w:sz w:val="18"/>
              </w:rPr>
              <w:tab/>
              <w:t>Modified</w:t>
            </w:r>
          </w:p>
          <w:p>
            <w:pPr>
              <w:pStyle w:val="yTableNAm"/>
              <w:tabs>
                <w:tab w:val="clear" w:pos="567"/>
                <w:tab w:val="left" w:pos="5760"/>
              </w:tabs>
              <w:spacing w:before="0"/>
              <w:ind w:right="248"/>
              <w:rPr>
                <w:sz w:val="18"/>
              </w:rPr>
            </w:pPr>
            <w:r>
              <w:rPr>
                <w:sz w:val="18"/>
              </w:rPr>
              <w:tab/>
              <w:t>Penalty</w:t>
            </w:r>
          </w:p>
          <w:p>
            <w:pPr>
              <w:pStyle w:val="yTableNAm"/>
              <w:tabs>
                <w:tab w:val="clear" w:pos="567"/>
                <w:tab w:val="left" w:pos="3260"/>
                <w:tab w:val="left" w:pos="5761"/>
              </w:tabs>
              <w:spacing w:before="0"/>
              <w:ind w:right="248"/>
              <w:rPr>
                <w:sz w:val="18"/>
              </w:rPr>
            </w:pPr>
            <w:r>
              <w:rPr>
                <w:sz w:val="18"/>
              </w:rPr>
              <w:tab/>
            </w:r>
            <w:r>
              <w:rPr>
                <w:sz w:val="18"/>
              </w:rPr>
              <w:tab/>
              <w:t>$</w:t>
            </w:r>
          </w:p>
          <w:p>
            <w:pPr>
              <w:pStyle w:val="yTableNAm"/>
              <w:tabs>
                <w:tab w:val="clear" w:pos="567"/>
                <w:tab w:val="left" w:leader="dot" w:pos="3260"/>
                <w:tab w:val="left" w:leader="dot" w:pos="5761"/>
              </w:tabs>
              <w:spacing w:before="0"/>
              <w:jc w:val="center"/>
              <w:rPr>
                <w:sz w:val="18"/>
              </w:rPr>
            </w:pPr>
          </w:p>
        </w:tc>
      </w:tr>
    </w:tbl>
    <w:p>
      <w:pPr>
        <w:pStyle w:val="yMiscellaneousBody"/>
        <w:spacing w:before="0"/>
        <w:rPr>
          <w:snapToGrid w:val="0"/>
          <w:sz w:val="18"/>
        </w:rPr>
      </w:pPr>
      <w:r>
        <w:rPr>
          <w:snapToGrid w:val="0"/>
          <w:sz w:val="18"/>
        </w:rPr>
        <w:t>What you must do:</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tabs>
          <w:tab w:val="left" w:pos="360"/>
        </w:tabs>
        <w:spacing w:before="0"/>
        <w:ind w:left="360" w:hanging="360"/>
        <w:rPr>
          <w:snapToGrid w:val="0"/>
          <w:sz w:val="18"/>
        </w:rPr>
      </w:pPr>
      <w:r>
        <w:rPr>
          <w:snapToGrid w:val="0"/>
          <w:sz w:val="18"/>
        </w:rPr>
        <w:t>1.</w:t>
      </w:r>
      <w:r>
        <w:rPr>
          <w:snapToGrid w:val="0"/>
          <w:sz w:val="18"/>
        </w:rPr>
        <w:tab/>
        <w:t>You may dispose of this matter within 28 days of the service of this notice by paying the modified penalty in person at any Post Office or Post Office Agency.</w:t>
      </w:r>
    </w:p>
    <w:p>
      <w:pPr>
        <w:pStyle w:val="yMiscellaneousBody"/>
        <w:tabs>
          <w:tab w:val="left" w:pos="360"/>
        </w:tabs>
        <w:spacing w:before="40" w:after="40"/>
        <w:ind w:left="357" w:hanging="357"/>
        <w:rPr>
          <w:snapToGrid w:val="0"/>
          <w:sz w:val="18"/>
        </w:rPr>
      </w:pPr>
      <w:r>
        <w:rPr>
          <w:snapToGrid w:val="0"/>
          <w:sz w:val="18"/>
        </w:rPr>
        <w:t>OR</w:t>
      </w:r>
    </w:p>
    <w:p>
      <w:pPr>
        <w:pStyle w:val="yMiscellaneousBody"/>
        <w:tabs>
          <w:tab w:val="left" w:pos="360"/>
        </w:tabs>
        <w:spacing w:before="0"/>
        <w:ind w:left="360" w:hanging="360"/>
        <w:rPr>
          <w:snapToGrid w:val="0"/>
          <w:sz w:val="18"/>
        </w:rPr>
      </w:pPr>
      <w:r>
        <w:rPr>
          <w:snapToGrid w:val="0"/>
          <w:sz w:val="18"/>
        </w:rPr>
        <w:t>2.</w:t>
      </w:r>
      <w:r>
        <w:rPr>
          <w:snapToGrid w:val="0"/>
          <w:sz w:val="18"/>
        </w:rPr>
        <w:tab/>
        <w:t>Elect to have this matter dealt with before a COURT by completing the Court Election on the reverse side.</w:t>
      </w:r>
    </w:p>
    <w:p>
      <w:pPr>
        <w:pStyle w:val="yMiscellaneousBody"/>
        <w:tabs>
          <w:tab w:val="left" w:pos="360"/>
        </w:tabs>
        <w:spacing w:before="0"/>
        <w:ind w:left="360" w:hanging="360"/>
        <w:rPr>
          <w:snapToGrid w:val="0"/>
          <w:sz w:val="18"/>
        </w:rPr>
      </w:pPr>
      <w:r>
        <w:rPr>
          <w:snapToGrid w:val="0"/>
          <w:sz w:val="18"/>
        </w:rPr>
        <w:t>_____________________________________________________________________________</w:t>
      </w:r>
    </w:p>
    <w:p>
      <w:pPr>
        <w:pStyle w:val="yMiscellaneousBody"/>
        <w:tabs>
          <w:tab w:val="left" w:pos="360"/>
        </w:tabs>
        <w:spacing w:before="0"/>
        <w:ind w:left="360" w:hanging="36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002"/>
        <w:gridCol w:w="5086"/>
      </w:tblGrid>
      <w:tr>
        <w:tc>
          <w:tcPr>
            <w:tcW w:w="2002"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5086"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tc>
      </w:tr>
    </w:tbl>
    <w:p>
      <w:pPr>
        <w:pStyle w:val="yMiscellaneousBody"/>
        <w:spacing w:before="100"/>
        <w:ind w:left="482"/>
        <w:rPr>
          <w:b/>
          <w:bCs/>
          <w:snapToGrid w:val="0"/>
          <w:sz w:val="18"/>
        </w:rPr>
      </w:pPr>
      <w:r>
        <w:rPr>
          <w:b/>
          <w:bCs/>
          <w:snapToGrid w:val="0"/>
          <w:sz w:val="18"/>
        </w:rPr>
        <w:t>Election for Court</w:t>
      </w:r>
    </w:p>
    <w:p>
      <w:pPr>
        <w:pStyle w:val="yMiscellaneousBody"/>
        <w:spacing w:before="0"/>
        <w:ind w:left="480"/>
        <w:rPr>
          <w:snapToGrid w:val="0"/>
          <w:sz w:val="18"/>
        </w:rPr>
      </w:pPr>
      <w:r>
        <w:rPr>
          <w:snapToGrid w:val="0"/>
          <w:sz w:val="18"/>
        </w:rPr>
        <w:t>To have this matter dealt with by a Court, complete the details on back of this form and send it to —</w:t>
      </w:r>
    </w:p>
    <w:p>
      <w:pPr>
        <w:pStyle w:val="yMiscellaneousBody"/>
        <w:spacing w:before="0"/>
        <w:ind w:left="1080"/>
        <w:rPr>
          <w:snapToGrid w:val="0"/>
          <w:sz w:val="18"/>
        </w:rPr>
      </w:pPr>
      <w:r>
        <w:rPr>
          <w:snapToGrid w:val="0"/>
          <w:sz w:val="18"/>
        </w:rPr>
        <w:t>Prosecutions Officer</w:t>
      </w:r>
    </w:p>
    <w:p>
      <w:pPr>
        <w:pStyle w:val="yMiscellaneousBody"/>
        <w:spacing w:before="0"/>
        <w:ind w:left="1080"/>
        <w:rPr>
          <w:snapToGrid w:val="0"/>
          <w:sz w:val="18"/>
        </w:rPr>
      </w:pPr>
      <w:r>
        <w:rPr>
          <w:snapToGrid w:val="0"/>
          <w:sz w:val="18"/>
        </w:rPr>
        <w:t>Department of Fisheries</w:t>
      </w:r>
    </w:p>
    <w:p>
      <w:pPr>
        <w:pStyle w:val="yMiscellaneousBody"/>
        <w:spacing w:before="0"/>
        <w:ind w:left="1080"/>
        <w:rPr>
          <w:snapToGrid w:val="0"/>
          <w:sz w:val="18"/>
        </w:rPr>
      </w:pPr>
      <w:r>
        <w:rPr>
          <w:snapToGrid w:val="0"/>
          <w:sz w:val="18"/>
        </w:rPr>
        <w:t>3rd Floor, The Atrium</w:t>
      </w:r>
    </w:p>
    <w:p>
      <w:pPr>
        <w:pStyle w:val="yMiscellaneousBody"/>
        <w:spacing w:before="0"/>
        <w:ind w:left="1080"/>
        <w:rPr>
          <w:snapToGrid w:val="0"/>
          <w:sz w:val="18"/>
        </w:rPr>
      </w:pPr>
      <w:r>
        <w:rPr>
          <w:snapToGrid w:val="0"/>
          <w:sz w:val="18"/>
        </w:rPr>
        <w:t xml:space="preserve">168 </w:t>
      </w:r>
      <w:smartTag w:uri="urn:schemas-microsoft-com:office:smarttags" w:element="place">
        <w:smartTag w:uri="urn:schemas-microsoft-com:office:smarttags" w:element="City">
          <w:r>
            <w:rPr>
              <w:snapToGrid w:val="0"/>
              <w:sz w:val="18"/>
            </w:rPr>
            <w:t>St George’s</w:t>
          </w:r>
        </w:smartTag>
      </w:smartTag>
      <w:r>
        <w:rPr>
          <w:snapToGrid w:val="0"/>
          <w:sz w:val="18"/>
        </w:rPr>
        <w:t xml:space="preserve"> Terrace</w:t>
      </w:r>
    </w:p>
    <w:p>
      <w:pPr>
        <w:pStyle w:val="yMiscellaneousBody"/>
        <w:spacing w:before="0"/>
        <w:ind w:left="1080"/>
        <w:rPr>
          <w:snapToGrid w:val="0"/>
          <w:sz w:val="18"/>
        </w:rPr>
      </w:pPr>
      <w:r>
        <w:rPr>
          <w:snapToGrid w:val="0"/>
          <w:sz w:val="18"/>
        </w:rPr>
        <w:t xml:space="preserve">Locked Bag 39, </w:t>
      </w:r>
      <w:smartTag w:uri="urn:schemas-microsoft-com:office:smarttags" w:element="Street">
        <w:smartTag w:uri="urn:schemas-microsoft-com:office:smarttags" w:element="address">
          <w:r>
            <w:rPr>
              <w:snapToGrid w:val="0"/>
              <w:sz w:val="18"/>
            </w:rPr>
            <w:t>Cloisters Square</w:t>
          </w:r>
        </w:smartTag>
      </w:smartTag>
    </w:p>
    <w:p>
      <w:pPr>
        <w:pStyle w:val="yMiscellaneousBody"/>
        <w:spacing w:before="0"/>
        <w:ind w:left="1080"/>
        <w:rPr>
          <w:snapToGrid w:val="0"/>
          <w:sz w:val="18"/>
        </w:rPr>
      </w:pPr>
      <w:smartTag w:uri="urn:schemas-microsoft-com:office:smarttags" w:element="place">
        <w:smartTag w:uri="urn:schemas-microsoft-com:office:smarttags" w:element="City">
          <w:r>
            <w:rPr>
              <w:snapToGrid w:val="0"/>
              <w:sz w:val="18"/>
            </w:rPr>
            <w:t>PERTH</w:t>
          </w:r>
        </w:smartTag>
      </w:smartTag>
      <w:r>
        <w:rPr>
          <w:snapToGrid w:val="0"/>
          <w:sz w:val="18"/>
        </w:rPr>
        <w:t xml:space="preserve"> WA 6000</w:t>
      </w:r>
    </w:p>
    <w:p>
      <w:pPr>
        <w:pStyle w:val="yMiscellaneousBody"/>
        <w:spacing w:before="0"/>
        <w:ind w:left="480"/>
        <w:rPr>
          <w:snapToGrid w:val="0"/>
          <w:sz w:val="18"/>
        </w:rPr>
      </w:pPr>
      <w:r>
        <w:rPr>
          <w:snapToGrid w:val="0"/>
          <w:sz w:val="18"/>
        </w:rPr>
        <w:t>A summons will then be issued to you.</w:t>
      </w:r>
    </w:p>
    <w:p>
      <w:pPr>
        <w:pStyle w:val="yMiscellaneousBody"/>
        <w:spacing w:before="0"/>
        <w:ind w:left="480"/>
        <w:rPr>
          <w:snapToGrid w:val="0"/>
          <w:sz w:val="18"/>
        </w:rPr>
      </w:pPr>
    </w:p>
    <w:p>
      <w:pPr>
        <w:pStyle w:val="yMiscellaneousBody"/>
        <w:keepNext/>
        <w:keepLines/>
        <w:spacing w:before="0"/>
        <w:rPr>
          <w:snapToGrid w:val="0"/>
          <w:sz w:val="18"/>
        </w:rPr>
      </w:pPr>
      <w:r>
        <w:rPr>
          <w:i/>
          <w:snapToGrid w:val="0"/>
          <w:sz w:val="18"/>
        </w:rPr>
        <w:t>[Back of Form 3]</w:t>
      </w:r>
    </w:p>
    <w:p>
      <w:pPr>
        <w:pStyle w:val="yMiscellaneousBody"/>
        <w:spacing w:before="0"/>
        <w:ind w:left="480"/>
        <w:rPr>
          <w:snapToGrid w:val="0"/>
          <w:sz w:val="18"/>
        </w:rPr>
      </w:pPr>
    </w:p>
    <w:p>
      <w:pPr>
        <w:pStyle w:val="yMiscellaneousBody"/>
        <w:spacing w:before="0"/>
        <w:ind w:left="480"/>
        <w:rPr>
          <w:snapToGrid w:val="0"/>
          <w:sz w:val="18"/>
        </w:rPr>
      </w:pPr>
      <w:r>
        <w:rPr>
          <w:snapToGrid w:val="0"/>
          <w:sz w:val="18"/>
        </w:rPr>
        <w:t>I elect to have this matter heard by a Court.</w:t>
      </w:r>
    </w:p>
    <w:p>
      <w:pPr>
        <w:pStyle w:val="yMiscellaneousBody"/>
        <w:spacing w:before="0"/>
        <w:ind w:left="480"/>
        <w:rPr>
          <w:i/>
          <w:snapToGrid w:val="0"/>
          <w:sz w:val="18"/>
        </w:rPr>
      </w:pPr>
      <w:r>
        <w:rPr>
          <w:i/>
          <w:snapToGrid w:val="0"/>
          <w:sz w:val="18"/>
        </w:rPr>
        <w:t>(Please use block letters)</w:t>
      </w:r>
    </w:p>
    <w:p>
      <w:pPr>
        <w:pStyle w:val="yMiscellaneousBody"/>
        <w:tabs>
          <w:tab w:val="left" w:pos="1800"/>
        </w:tabs>
        <w:spacing w:before="0"/>
        <w:ind w:left="480"/>
        <w:rPr>
          <w:snapToGrid w:val="0"/>
          <w:sz w:val="18"/>
        </w:rPr>
      </w:pPr>
      <w:r>
        <w:rPr>
          <w:snapToGrid w:val="0"/>
          <w:sz w:val="18"/>
        </w:rPr>
        <w:t>Surname</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Given Names</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Address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ab/>
        <w:t>______________________________Postcode __________</w:t>
      </w:r>
    </w:p>
    <w:p>
      <w:pPr>
        <w:pStyle w:val="yMiscellaneousBody"/>
        <w:tabs>
          <w:tab w:val="left" w:pos="1800"/>
        </w:tabs>
        <w:spacing w:before="0"/>
        <w:ind w:left="480"/>
        <w:rPr>
          <w:snapToGrid w:val="0"/>
          <w:sz w:val="18"/>
        </w:rPr>
      </w:pPr>
    </w:p>
    <w:p>
      <w:pPr>
        <w:pStyle w:val="yMiscellaneousBody"/>
        <w:tabs>
          <w:tab w:val="left" w:pos="1800"/>
        </w:tabs>
        <w:spacing w:before="0"/>
        <w:ind w:left="480"/>
        <w:rPr>
          <w:snapToGrid w:val="0"/>
          <w:sz w:val="18"/>
        </w:rPr>
      </w:pPr>
      <w:r>
        <w:rPr>
          <w:snapToGrid w:val="0"/>
          <w:sz w:val="18"/>
        </w:rPr>
        <w:t xml:space="preserve">Signature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Date </w:t>
      </w:r>
      <w:r>
        <w:rPr>
          <w:snapToGrid w:val="0"/>
          <w:sz w:val="18"/>
        </w:rPr>
        <w:tab/>
        <w:t>_____/ _______/ _______</w:t>
      </w:r>
    </w:p>
    <w:p>
      <w:pPr>
        <w:pStyle w:val="yFootnotesection"/>
        <w:rPr>
          <w:b/>
        </w:rPr>
      </w:pPr>
      <w:r>
        <w:tab/>
        <w:t>[Form 3 amended in Gazette 10 Nov 2006 p. 4710</w:t>
      </w:r>
      <w:r>
        <w:noBreakHyphen/>
        <w:t>11.]</w:t>
      </w:r>
    </w:p>
    <w:p>
      <w:pPr>
        <w:pStyle w:val="yMiscellaneousHeading"/>
        <w:spacing w:before="360"/>
        <w:rPr>
          <w:b/>
          <w:bCs/>
          <w:snapToGrid w:val="0"/>
        </w:rPr>
      </w:pPr>
      <w:r>
        <w:rPr>
          <w:b/>
          <w:bCs/>
          <w:snapToGrid w:val="0"/>
        </w:rPr>
        <w:t>Form 4</w:t>
      </w:r>
    </w:p>
    <w:p>
      <w:pPr>
        <w:pStyle w:val="yShoulderClause"/>
        <w:rPr>
          <w:snapToGrid w:val="0"/>
        </w:rPr>
      </w:pPr>
      <w:r>
        <w:rPr>
          <w:snapToGrid w:val="0"/>
        </w:rPr>
        <w:t>[reg. 161]</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rPr>
        <w:t>(Section 231(1))</w:t>
      </w:r>
    </w:p>
    <w:p>
      <w:pPr>
        <w:pStyle w:val="yMiscellaneousHeading"/>
        <w:spacing w:before="120"/>
        <w:rPr>
          <w:b/>
          <w:bCs/>
          <w:snapToGrid w:val="0"/>
        </w:rPr>
      </w:pPr>
      <w:r>
        <w:rPr>
          <w:b/>
          <w:bCs/>
          <w:snapToGrid w:val="0"/>
        </w:rPr>
        <w:t>WITHDRAWAL OF INFRINGEMENT NOTICE</w:t>
      </w:r>
    </w:p>
    <w:p>
      <w:pPr>
        <w:pStyle w:val="yMiscellaneousBody"/>
        <w:tabs>
          <w:tab w:val="left" w:pos="5400"/>
        </w:tabs>
        <w:spacing w:before="0"/>
        <w:rPr>
          <w:snapToGrid w:val="0"/>
          <w:sz w:val="18"/>
        </w:rPr>
      </w:pPr>
      <w:r>
        <w:rPr>
          <w:snapToGrid w:val="0"/>
          <w:sz w:val="18"/>
        </w:rPr>
        <w:tab/>
        <w:t>No. of notice:</w:t>
      </w:r>
    </w:p>
    <w:p>
      <w:pPr>
        <w:pStyle w:val="yMiscellaneousBody"/>
        <w:tabs>
          <w:tab w:val="left" w:pos="5400"/>
          <w:tab w:val="left" w:pos="6000"/>
        </w:tabs>
        <w:spacing w:before="0"/>
        <w:rPr>
          <w:snapToGrid w:val="0"/>
          <w:sz w:val="18"/>
        </w:rPr>
      </w:pPr>
      <w:r>
        <w:rPr>
          <w:snapToGrid w:val="0"/>
          <w:sz w:val="18"/>
        </w:rPr>
        <w:t>To:</w:t>
      </w:r>
    </w:p>
    <w:p>
      <w:pPr>
        <w:pStyle w:val="yMiscellaneousBody"/>
        <w:tabs>
          <w:tab w:val="left" w:pos="5400"/>
        </w:tabs>
        <w:spacing w:before="0"/>
        <w:rPr>
          <w:snapToGrid w:val="0"/>
          <w:sz w:val="18"/>
        </w:rPr>
      </w:pPr>
      <w:r>
        <w:rPr>
          <w:snapToGrid w:val="0"/>
          <w:sz w:val="18"/>
        </w:rPr>
        <w:tab/>
        <w:t>Postcode: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napToGrid w:val="0"/>
          <w:sz w:val="18"/>
        </w:rPr>
      </w:pPr>
      <w:r>
        <w:rPr>
          <w:snapToGrid w:val="0"/>
          <w:sz w:val="18"/>
        </w:rPr>
        <w:t>AN INFRINGEMENT NOTICE SERVED ON YOU HAS BEEN WITHDRAWN AND NO FURTHER ACTION WILL BE TAKEN*/ A SUMMONS WILL BE ISSUED*</w:t>
      </w:r>
    </w:p>
    <w:p>
      <w:pPr>
        <w:pStyle w:val="yMiscellaneousBody"/>
        <w:spacing w:before="120" w:after="120"/>
        <w:rPr>
          <w:snapToGrid w:val="0"/>
          <w:sz w:val="18"/>
        </w:rPr>
      </w:pPr>
      <w:r>
        <w:rPr>
          <w:snapToGrid w:val="0"/>
          <w:sz w:val="18"/>
        </w:rPr>
        <w:t>Details of the withdrawn notice:</w:t>
      </w:r>
    </w:p>
    <w:tbl>
      <w:tblPr>
        <w:tblW w:w="0" w:type="auto"/>
        <w:tblInd w:w="120" w:type="dxa"/>
        <w:tblLayout w:type="fixed"/>
        <w:tblCellMar>
          <w:left w:w="120" w:type="dxa"/>
          <w:right w:w="120" w:type="dxa"/>
        </w:tblCellMar>
        <w:tblLook w:val="0000" w:firstRow="0" w:lastRow="0" w:firstColumn="0" w:lastColumn="0" w:noHBand="0" w:noVBand="0"/>
      </w:tblPr>
      <w:tblGrid>
        <w:gridCol w:w="2658"/>
        <w:gridCol w:w="4430"/>
      </w:tblGrid>
      <w:tr>
        <w:tc>
          <w:tcPr>
            <w:tcW w:w="2658" w:type="dxa"/>
            <w:tcBorders>
              <w:top w:val="single" w:sz="7" w:space="0" w:color="auto"/>
              <w:bottom w:val="single" w:sz="7" w:space="0" w:color="auto"/>
            </w:tcBorders>
          </w:tcPr>
          <w:p>
            <w:pPr>
              <w:pStyle w:val="yTableNAm"/>
              <w:spacing w:before="0"/>
              <w:jc w:val="right"/>
              <w:rPr>
                <w:sz w:val="18"/>
              </w:rPr>
            </w:pPr>
            <w:r>
              <w:rPr>
                <w:sz w:val="18"/>
              </w:rPr>
              <w:t>Date of service:</w:t>
            </w:r>
          </w:p>
          <w:p>
            <w:pPr>
              <w:pStyle w:val="yTableNAm"/>
              <w:spacing w:before="0"/>
              <w:jc w:val="right"/>
              <w:rPr>
                <w:sz w:val="18"/>
              </w:rPr>
            </w:pPr>
          </w:p>
          <w:p>
            <w:pPr>
              <w:pStyle w:val="yTableNAm"/>
              <w:spacing w:before="0"/>
              <w:jc w:val="right"/>
              <w:rPr>
                <w:sz w:val="18"/>
              </w:rPr>
            </w:pPr>
            <w:r>
              <w:rPr>
                <w:sz w:val="18"/>
              </w:rPr>
              <w:t>Alleged offence:</w:t>
            </w:r>
          </w:p>
          <w:p>
            <w:pPr>
              <w:pStyle w:val="yTableNAm"/>
              <w:spacing w:before="0"/>
              <w:jc w:val="right"/>
              <w:rPr>
                <w:sz w:val="18"/>
              </w:rPr>
            </w:pPr>
          </w:p>
          <w:p>
            <w:pPr>
              <w:pStyle w:val="yTableNAm"/>
              <w:spacing w:before="0"/>
              <w:jc w:val="right"/>
              <w:rPr>
                <w:sz w:val="18"/>
              </w:rPr>
            </w:pPr>
            <w:r>
              <w:rPr>
                <w:sz w:val="18"/>
              </w:rPr>
              <w:t>Notice No.:</w:t>
            </w:r>
          </w:p>
        </w:tc>
        <w:tc>
          <w:tcPr>
            <w:tcW w:w="4430"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73"/>
        <w:gridCol w:w="4915"/>
      </w:tblGrid>
      <w:tr>
        <w:tc>
          <w:tcPr>
            <w:tcW w:w="2173"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491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MiscellaneousBody"/>
        <w:spacing w:before="0"/>
        <w:rPr>
          <w:snapToGrid w:val="0"/>
          <w:sz w:val="18"/>
        </w:rPr>
      </w:pPr>
      <w:r>
        <w:rPr>
          <w:snapToGrid w:val="0"/>
          <w:sz w:val="18"/>
        </w:rPr>
        <w:t>* Delete where not applicable.</w:t>
      </w:r>
    </w:p>
    <w:p>
      <w:pPr>
        <w:pStyle w:val="yMiscellaneousHeading"/>
        <w:keepLines/>
        <w:rPr>
          <w:b/>
          <w:bCs/>
          <w:snapToGrid w:val="0"/>
        </w:rPr>
      </w:pPr>
      <w:r>
        <w:rPr>
          <w:b/>
          <w:bCs/>
          <w:snapToGrid w:val="0"/>
        </w:rPr>
        <w:t>Form 5</w:t>
      </w:r>
    </w:p>
    <w:p>
      <w:pPr>
        <w:pStyle w:val="yShoulderClause"/>
        <w:keepNext/>
        <w:keepLines/>
        <w:spacing w:before="0"/>
        <w:rPr>
          <w:snapToGrid w:val="0"/>
        </w:rPr>
      </w:pPr>
      <w:r>
        <w:rPr>
          <w:snapToGrid w:val="0"/>
        </w:rPr>
        <w:t>[reg. 165]</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rPr>
        <w:t>(Section 249(3)(a))</w:t>
      </w:r>
    </w:p>
    <w:p>
      <w:pPr>
        <w:pStyle w:val="yMiscellaneousHeading"/>
        <w:spacing w:before="120"/>
        <w:rPr>
          <w:b/>
          <w:bCs/>
          <w:snapToGrid w:val="0"/>
        </w:rPr>
      </w:pPr>
      <w:r>
        <w:rPr>
          <w:b/>
          <w:bCs/>
          <w:snapToGrid w:val="0"/>
        </w:rPr>
        <w:t>NOTICE TO ATTEND OR PRODUCE DOCUMENTS</w:t>
      </w:r>
    </w:p>
    <w:p>
      <w:pPr>
        <w:pStyle w:val="yMiscellaneousBody"/>
        <w:tabs>
          <w:tab w:val="left" w:pos="5400"/>
        </w:tabs>
        <w:spacing w:before="0"/>
        <w:rPr>
          <w:snapToGrid w:val="0"/>
          <w:sz w:val="18"/>
        </w:rPr>
      </w:pPr>
      <w:r>
        <w:rPr>
          <w:snapToGrid w:val="0"/>
          <w:sz w:val="18"/>
        </w:rPr>
        <w:tab/>
        <w:t>No. of notice:</w:t>
      </w:r>
    </w:p>
    <w:p>
      <w:pPr>
        <w:pStyle w:val="yMiscellaneousBody"/>
        <w:tabs>
          <w:tab w:val="left" w:pos="5400"/>
        </w:tabs>
        <w:spacing w:before="0"/>
        <w:rPr>
          <w:snapToGrid w:val="0"/>
          <w:sz w:val="18"/>
        </w:rPr>
      </w:pPr>
      <w:r>
        <w:rPr>
          <w:snapToGrid w:val="0"/>
          <w:sz w:val="18"/>
        </w:rPr>
        <w:t>To:</w:t>
      </w:r>
    </w:p>
    <w:p>
      <w:pPr>
        <w:pStyle w:val="yMiscellaneousBody"/>
        <w:tabs>
          <w:tab w:val="left" w:pos="5400"/>
        </w:tabs>
        <w:spacing w:before="0"/>
        <w:rPr>
          <w:snapToGrid w:val="0"/>
          <w:sz w:val="18"/>
        </w:rPr>
      </w:pPr>
      <w:r>
        <w:rPr>
          <w:snapToGrid w:val="0"/>
          <w:sz w:val="18"/>
        </w:rPr>
        <w:tab/>
        <w:t>Postcode:</w:t>
      </w:r>
    </w:p>
    <w:p>
      <w:pPr>
        <w:pStyle w:val="yMiscellaneousBody"/>
        <w:spacing w:before="0" w:after="120"/>
        <w:rPr>
          <w:snapToGrid w:val="0"/>
          <w:sz w:val="18"/>
        </w:rPr>
      </w:pPr>
      <w:r>
        <w:rPr>
          <w:snapToGrid w:val="0"/>
          <w:sz w:val="18"/>
        </w:rPr>
        <w:t>An inquiry is being conducted by an appointed person under section 249(3)(a) of the Act.</w:t>
      </w:r>
    </w:p>
    <w:tbl>
      <w:tblPr>
        <w:tblW w:w="0" w:type="auto"/>
        <w:tblInd w:w="120" w:type="dxa"/>
        <w:tblLayout w:type="fixed"/>
        <w:tblCellMar>
          <w:left w:w="120" w:type="dxa"/>
          <w:right w:w="120" w:type="dxa"/>
        </w:tblCellMar>
        <w:tblLook w:val="0000" w:firstRow="0" w:lastRow="0" w:firstColumn="0" w:lastColumn="0" w:noHBand="0" w:noVBand="0"/>
      </w:tblPr>
      <w:tblGrid>
        <w:gridCol w:w="2473"/>
        <w:gridCol w:w="4615"/>
      </w:tblGrid>
      <w:tr>
        <w:tc>
          <w:tcPr>
            <w:tcW w:w="2473" w:type="dxa"/>
            <w:tcBorders>
              <w:top w:val="single" w:sz="7" w:space="0" w:color="auto"/>
              <w:bottom w:val="single" w:sz="7" w:space="0" w:color="auto"/>
            </w:tcBorders>
          </w:tcPr>
          <w:p>
            <w:pPr>
              <w:pStyle w:val="yTableNAm"/>
              <w:spacing w:before="0"/>
              <w:jc w:val="right"/>
              <w:rPr>
                <w:sz w:val="18"/>
              </w:rPr>
            </w:pPr>
            <w:r>
              <w:rPr>
                <w:sz w:val="18"/>
              </w:rPr>
              <w:t>The inquiry is about:</w:t>
            </w:r>
          </w:p>
          <w:p>
            <w:pPr>
              <w:pStyle w:val="yTableNAm"/>
              <w:spacing w:before="0"/>
              <w:rPr>
                <w:sz w:val="18"/>
              </w:rPr>
            </w:pPr>
          </w:p>
        </w:tc>
        <w:tc>
          <w:tcPr>
            <w:tcW w:w="461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What you must do:</w:t>
      </w:r>
    </w:p>
    <w:tbl>
      <w:tblPr>
        <w:tblW w:w="0" w:type="auto"/>
        <w:tblInd w:w="120" w:type="dxa"/>
        <w:tblLayout w:type="fixed"/>
        <w:tblCellMar>
          <w:left w:w="120" w:type="dxa"/>
          <w:right w:w="120" w:type="dxa"/>
        </w:tblCellMar>
        <w:tblLook w:val="0000" w:firstRow="0" w:lastRow="0" w:firstColumn="0" w:lastColumn="0" w:noHBand="0" w:noVBand="0"/>
      </w:tblPr>
      <w:tblGrid>
        <w:gridCol w:w="3321"/>
        <w:gridCol w:w="3767"/>
      </w:tblGrid>
      <w:tr>
        <w:tc>
          <w:tcPr>
            <w:tcW w:w="3321" w:type="dxa"/>
            <w:tcBorders>
              <w:top w:val="single" w:sz="7" w:space="0" w:color="auto"/>
              <w:bottom w:val="single" w:sz="7" w:space="0" w:color="auto"/>
              <w:right w:val="single" w:sz="7" w:space="0" w:color="auto"/>
            </w:tcBorders>
          </w:tcPr>
          <w:p>
            <w:pPr>
              <w:pStyle w:val="yTableNAm"/>
              <w:spacing w:before="0"/>
              <w:rPr>
                <w:sz w:val="18"/>
              </w:rPr>
            </w:pPr>
            <w:r>
              <w:rPr>
                <w:sz w:val="18"/>
              </w:rPr>
              <w:t>You must:</w:t>
            </w:r>
          </w:p>
          <w:p>
            <w:pPr>
              <w:pStyle w:val="yTableNAm"/>
              <w:tabs>
                <w:tab w:val="clear" w:pos="567"/>
                <w:tab w:val="left" w:pos="600"/>
              </w:tabs>
              <w:spacing w:before="0"/>
              <w:ind w:left="600" w:hanging="600"/>
              <w:rPr>
                <w:sz w:val="18"/>
              </w:rPr>
            </w:pPr>
            <w:r>
              <w:rPr>
                <w:sz w:val="18"/>
              </w:rPr>
              <w:tab/>
              <w:t>Attend before the</w:t>
            </w:r>
          </w:p>
          <w:p>
            <w:pPr>
              <w:pStyle w:val="yTableNAm"/>
              <w:spacing w:before="0"/>
              <w:ind w:left="600" w:hanging="600"/>
              <w:rPr>
                <w:sz w:val="18"/>
              </w:rPr>
            </w:pPr>
            <w:r>
              <w:rPr>
                <w:sz w:val="18"/>
              </w:rPr>
              <w:tab/>
              <w:t>appointed person:</w:t>
            </w:r>
            <w:r>
              <w:rPr>
                <w:sz w:val="18"/>
              </w:rPr>
              <w:tab/>
            </w:r>
            <w:r>
              <w:rPr>
                <w:rFonts w:ascii="WP MathA" w:hAnsi="WP MathA"/>
                <w:sz w:val="18"/>
              </w:rPr>
              <w:t></w:t>
            </w:r>
          </w:p>
          <w:p>
            <w:pPr>
              <w:pStyle w:val="yTableNAm"/>
              <w:spacing w:before="0"/>
              <w:ind w:left="600" w:hanging="600"/>
              <w:rPr>
                <w:sz w:val="18"/>
              </w:rPr>
            </w:pPr>
            <w:r>
              <w:rPr>
                <w:sz w:val="18"/>
              </w:rPr>
              <w:tab/>
              <w:t>Produce the following</w:t>
            </w:r>
          </w:p>
          <w:p>
            <w:pPr>
              <w:pStyle w:val="yTableNAm"/>
              <w:spacing w:before="0"/>
              <w:ind w:left="600" w:hanging="600"/>
              <w:rPr>
                <w:sz w:val="18"/>
              </w:rPr>
            </w:pPr>
            <w:r>
              <w:rPr>
                <w:sz w:val="18"/>
              </w:rPr>
              <w:tab/>
              <w:t>documents before the</w:t>
            </w:r>
          </w:p>
          <w:p>
            <w:pPr>
              <w:pStyle w:val="yTableNAm"/>
              <w:spacing w:before="0"/>
              <w:ind w:left="600" w:hanging="600"/>
              <w:rPr>
                <w:sz w:val="18"/>
              </w:rPr>
            </w:pPr>
            <w:r>
              <w:rPr>
                <w:sz w:val="18"/>
              </w:rPr>
              <w:tab/>
              <w:t>appointed person:</w:t>
            </w:r>
            <w:r>
              <w:rPr>
                <w:sz w:val="18"/>
              </w:rPr>
              <w:tab/>
            </w:r>
            <w:r>
              <w:rPr>
                <w:rFonts w:ascii="WP MathA" w:hAnsi="WP MathA"/>
                <w:sz w:val="18"/>
              </w:rPr>
              <w:t></w:t>
            </w:r>
          </w:p>
        </w:tc>
        <w:tc>
          <w:tcPr>
            <w:tcW w:w="3767" w:type="dxa"/>
            <w:tcBorders>
              <w:top w:val="single" w:sz="7" w:space="0" w:color="auto"/>
              <w:left w:val="single" w:sz="7" w:space="0" w:color="auto"/>
              <w:bottom w:val="single" w:sz="7" w:space="0" w:color="auto"/>
            </w:tcBorders>
          </w:tcPr>
          <w:p>
            <w:pPr>
              <w:pStyle w:val="yTableNAm"/>
              <w:spacing w:before="0"/>
              <w:rPr>
                <w:sz w:val="18"/>
              </w:rPr>
            </w:pPr>
          </w:p>
        </w:tc>
      </w:tr>
    </w:tbl>
    <w:p>
      <w:pPr>
        <w:pStyle w:val="yTableNAm"/>
        <w:spacing w:before="0"/>
        <w:rPr>
          <w:snapToGrid w:val="0"/>
          <w:sz w:val="18"/>
        </w:rPr>
      </w:pPr>
      <w:r>
        <w:rPr>
          <w:snapToGrid w:val="0"/>
          <w:sz w:val="18"/>
        </w:rPr>
        <w:t>Information about the inquiry:</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Where you must go:</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When:</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tabs>
                <w:tab w:val="left" w:pos="1850"/>
                <w:tab w:val="left" w:pos="2810"/>
                <w:tab w:val="left" w:pos="3770"/>
              </w:tabs>
              <w:spacing w:before="0"/>
              <w:rPr>
                <w:sz w:val="18"/>
              </w:rPr>
            </w:pPr>
            <w:r>
              <w:rPr>
                <w:sz w:val="18"/>
              </w:rPr>
              <w:tab/>
              <w:t>Time</w:t>
            </w:r>
            <w:r>
              <w:rPr>
                <w:sz w:val="18"/>
              </w:rPr>
              <w:tab/>
              <w:t>Date</w:t>
            </w:r>
            <w:r>
              <w:rPr>
                <w:sz w:val="18"/>
              </w:rPr>
              <w:tab/>
              <w:t>Month</w:t>
            </w:r>
            <w:r>
              <w:rPr>
                <w:sz w:val="18"/>
              </w:rPr>
              <w:tab/>
              <w:t>Year</w:t>
            </w:r>
          </w:p>
          <w:p>
            <w:pPr>
              <w:pStyle w:val="yTableNAm"/>
              <w:spacing w:before="0"/>
              <w:rPr>
                <w:sz w:val="18"/>
              </w:rPr>
            </w:pPr>
            <w:r>
              <w:rPr>
                <w:sz w:val="18"/>
              </w:rPr>
              <w:t>and then from day to day until the end of the inquiry or until excused by the appointed person.</w:t>
            </w: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09"/>
        <w:gridCol w:w="4979"/>
      </w:tblGrid>
      <w:tr>
        <w:tc>
          <w:tcPr>
            <w:tcW w:w="2109"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979" w:type="dxa"/>
            <w:tcBorders>
              <w:top w:val="single" w:sz="7" w:space="0" w:color="auto"/>
              <w:left w:val="single" w:sz="7" w:space="0" w:color="auto"/>
              <w:bottom w:val="single" w:sz="7" w:space="0" w:color="auto"/>
            </w:tcBorders>
          </w:tcPr>
          <w:p>
            <w:pPr>
              <w:pStyle w:val="yTableNAm"/>
              <w:tabs>
                <w:tab w:val="clear" w:pos="567"/>
                <w:tab w:val="left" w:pos="3291"/>
              </w:tabs>
              <w:spacing w:before="0"/>
              <w:rPr>
                <w:sz w:val="18"/>
              </w:rPr>
            </w:pPr>
            <w:r>
              <w:rPr>
                <w:sz w:val="18"/>
              </w:rPr>
              <w:tab/>
              <w:t>Date:</w:t>
            </w:r>
          </w:p>
          <w:p>
            <w:pPr>
              <w:pStyle w:val="yTableNAm"/>
              <w:tabs>
                <w:tab w:val="clear" w:pos="567"/>
                <w:tab w:val="left" w:pos="2451"/>
              </w:tabs>
              <w:spacing w:before="0"/>
              <w:rPr>
                <w:sz w:val="18"/>
              </w:rPr>
            </w:pPr>
          </w:p>
          <w:p>
            <w:pPr>
              <w:pStyle w:val="yTableNAm"/>
              <w:tabs>
                <w:tab w:val="clear" w:pos="567"/>
                <w:tab w:val="left" w:pos="2811"/>
              </w:tabs>
              <w:spacing w:before="0"/>
              <w:rPr>
                <w:sz w:val="18"/>
              </w:rPr>
            </w:pPr>
            <w:r>
              <w:rPr>
                <w:sz w:val="18"/>
              </w:rPr>
              <w:tab/>
              <w:t>(appointed person)</w:t>
            </w:r>
          </w:p>
        </w:tc>
      </w:tr>
    </w:tbl>
    <w:p>
      <w:pPr>
        <w:pStyle w:val="yTableNAm"/>
        <w:spacing w:before="0"/>
        <w:rPr>
          <w:snapToGrid w:val="0"/>
          <w:sz w:val="18"/>
        </w:rPr>
      </w:pPr>
      <w:r>
        <w:rPr>
          <w:snapToGrid w:val="0"/>
          <w:sz w:val="18"/>
        </w:rPr>
        <w:t>If you do not attend or produce the documents:</w:t>
      </w:r>
    </w:p>
    <w:p>
      <w:pPr>
        <w:pStyle w:val="yTableNAm"/>
        <w:spacing w:before="0"/>
        <w:rPr>
          <w:snapToGrid w:val="0"/>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not to comply with this summons unless you have a reasonable excuse.</w:t>
      </w:r>
    </w:p>
    <w:p>
      <w:pPr>
        <w:pStyle w:val="yMiscellaneousBody"/>
        <w:spacing w:before="120"/>
        <w:rPr>
          <w:snapToGrid w:val="0"/>
          <w:sz w:val="18"/>
        </w:rPr>
      </w:pPr>
      <w:r>
        <w:rPr>
          <w:snapToGrid w:val="0"/>
          <w:sz w:val="18"/>
        </w:rPr>
        <w:t>The maximum penalty to which you may be liable is $5 000.</w:t>
      </w:r>
    </w:p>
    <w:p>
      <w:pPr>
        <w:pStyle w:val="yMiscellaneousBody"/>
        <w:tabs>
          <w:tab w:val="left" w:leader="underscore" w:pos="7080"/>
        </w:tabs>
        <w:spacing w:before="0"/>
        <w:rPr>
          <w:snapToGrid w:val="0"/>
          <w:sz w:val="18"/>
        </w:rPr>
      </w:pPr>
    </w:p>
    <w:p>
      <w:pPr>
        <w:pStyle w:val="yMiscellaneousHeading"/>
        <w:keepLines/>
        <w:rPr>
          <w:b/>
          <w:bCs/>
          <w:snapToGrid w:val="0"/>
        </w:rPr>
      </w:pPr>
      <w:r>
        <w:rPr>
          <w:b/>
          <w:bCs/>
          <w:snapToGrid w:val="0"/>
        </w:rPr>
        <w:t>Form 6</w:t>
      </w:r>
    </w:p>
    <w:p>
      <w:pPr>
        <w:pStyle w:val="yShoulderClause"/>
        <w:keepNext/>
        <w:keepLines/>
        <w:rPr>
          <w:snapToGrid w:val="0"/>
        </w:rPr>
      </w:pPr>
      <w:r>
        <w:rPr>
          <w:snapToGrid w:val="0"/>
        </w:rPr>
        <w:t>[reg. 173]</w:t>
      </w:r>
    </w:p>
    <w:p>
      <w:pPr>
        <w:pStyle w:val="yMiscellaneousHeading"/>
        <w:keepLines/>
        <w:rPr>
          <w:i/>
          <w:iCs/>
          <w:snapToGrid w:val="0"/>
        </w:rPr>
      </w:pPr>
      <w:r>
        <w:rPr>
          <w:i/>
          <w:iCs/>
          <w:snapToGrid w:val="0"/>
        </w:rPr>
        <w:t>Fish Resources Management Act 1994</w:t>
      </w:r>
    </w:p>
    <w:p>
      <w:pPr>
        <w:pStyle w:val="yMiscellaneousHeading"/>
        <w:keepLines/>
        <w:spacing w:before="0"/>
        <w:rPr>
          <w:snapToGrid w:val="0"/>
        </w:rPr>
      </w:pPr>
      <w:r>
        <w:rPr>
          <w:snapToGrid w:val="0"/>
        </w:rPr>
        <w:t>(Section 255(1))</w:t>
      </w:r>
    </w:p>
    <w:p>
      <w:pPr>
        <w:pStyle w:val="yMiscellaneousHeading"/>
        <w:spacing w:before="120"/>
        <w:rPr>
          <w:b/>
          <w:bCs/>
          <w:snapToGrid w:val="0"/>
        </w:rPr>
      </w:pPr>
      <w:r>
        <w:rPr>
          <w:b/>
          <w:bCs/>
          <w:snapToGrid w:val="0"/>
        </w:rPr>
        <w:t>NOTICE PROHIBITING ACTIVITIES THAT POLLUTE WATERS</w:t>
      </w:r>
    </w:p>
    <w:p>
      <w:pPr>
        <w:pStyle w:val="yMiscellaneousBody"/>
        <w:keepNext/>
        <w:keepLines/>
        <w:tabs>
          <w:tab w:val="left" w:pos="5040"/>
        </w:tabs>
        <w:spacing w:before="120"/>
        <w:rPr>
          <w:snapToGrid w:val="0"/>
          <w:sz w:val="18"/>
        </w:rPr>
      </w:pPr>
      <w:r>
        <w:rPr>
          <w:snapToGrid w:val="0"/>
          <w:sz w:val="18"/>
        </w:rPr>
        <w:tab/>
        <w:t>No. of Notice:</w:t>
      </w:r>
    </w:p>
    <w:p>
      <w:pPr>
        <w:pStyle w:val="yMiscellaneousBody"/>
        <w:spacing w:before="0"/>
        <w:rPr>
          <w:snapToGrid w:val="0"/>
          <w:sz w:val="18"/>
        </w:rPr>
      </w:pPr>
      <w:r>
        <w:rPr>
          <w:snapToGrid w:val="0"/>
          <w:sz w:val="18"/>
        </w:rPr>
        <w:t>To:</w:t>
      </w:r>
    </w:p>
    <w:p>
      <w:pPr>
        <w:pStyle w:val="yMiscellaneousBody"/>
        <w:tabs>
          <w:tab w:val="left" w:pos="5040"/>
        </w:tabs>
        <w:spacing w:before="0"/>
        <w:rPr>
          <w:snapToGrid w:val="0"/>
          <w:sz w:val="18"/>
        </w:rPr>
      </w:pPr>
      <w:r>
        <w:rPr>
          <w:snapToGrid w:val="0"/>
          <w:sz w:val="18"/>
        </w:rPr>
        <w:tab/>
        <w:t>Postcode:</w:t>
      </w:r>
    </w:p>
    <w:p>
      <w:pPr>
        <w:pStyle w:val="yMiscellaneousBody"/>
        <w:spacing w:before="120"/>
        <w:rPr>
          <w:snapToGrid w:val="0"/>
          <w:sz w:val="18"/>
        </w:rPr>
      </w:pPr>
      <w:r>
        <w:rPr>
          <w:snapToGrid w:val="0"/>
          <w:sz w:val="18"/>
        </w:rPr>
        <w:t>You are prohibited from engaging in the following activity which is polluting, or likely to pollute, the aquatic environment:</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napToGrid w:val="0"/>
          <w:sz w:val="18"/>
        </w:rPr>
      </w:pP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z w:val="18"/>
        </w:rPr>
      </w:pPr>
      <w:r>
        <w:rPr>
          <w:snapToGrid w:val="0"/>
          <w:sz w:val="18"/>
        </w:rPr>
        <w:t>Information about the prohibition:</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spacing w:before="0"/>
              <w:jc w:val="right"/>
              <w:rPr>
                <w:sz w:val="18"/>
              </w:rPr>
            </w:pPr>
            <w:r>
              <w:rPr>
                <w:sz w:val="18"/>
              </w:rPr>
              <w:t>Period of prohibition:</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Circumstances and times:</w:t>
            </w:r>
          </w:p>
          <w:p>
            <w:pPr>
              <w:pStyle w:val="yTableNAm"/>
              <w:spacing w:before="0"/>
              <w:jc w:val="right"/>
              <w:rPr>
                <w:sz w:val="18"/>
              </w:rPr>
            </w:pPr>
          </w:p>
          <w:p>
            <w:pPr>
              <w:pStyle w:val="yTableNAm"/>
              <w:spacing w:before="0"/>
              <w:rPr>
                <w:sz w:val="18"/>
              </w:rPr>
            </w:pPr>
          </w:p>
          <w:p>
            <w:pPr>
              <w:pStyle w:val="yTableNAm"/>
              <w:spacing w:before="0"/>
              <w:rPr>
                <w:sz w:val="18"/>
              </w:rPr>
            </w:pPr>
          </w:p>
        </w:tc>
        <w:tc>
          <w:tcPr>
            <w:tcW w:w="4009"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spacing w:before="0"/>
        <w:rPr>
          <w:snapToGrid w:val="0"/>
          <w:sz w:val="18"/>
        </w:rPr>
      </w:pPr>
      <w:r>
        <w:rPr>
          <w:snapToGrid w:val="0"/>
          <w:sz w:val="18"/>
        </w:rPr>
        <w:t>If you contravene this notice: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600"/>
          <w:tab w:val="left" w:pos="2760"/>
        </w:tabs>
        <w:spacing w:before="0"/>
        <w:rPr>
          <w:snapToGrid w:val="0"/>
          <w:sz w:val="18"/>
        </w:rPr>
      </w:pPr>
      <w:r>
        <w:rPr>
          <w:snapToGrid w:val="0"/>
          <w:sz w:val="18"/>
        </w:rPr>
        <w:tab/>
        <w:t xml:space="preserve">For an individual: </w:t>
      </w:r>
      <w:r>
        <w:rPr>
          <w:snapToGrid w:val="0"/>
          <w:sz w:val="18"/>
        </w:rPr>
        <w:tab/>
        <w:t>$25 000.</w:t>
      </w:r>
    </w:p>
    <w:p>
      <w:pPr>
        <w:pStyle w:val="yMiscellaneousBody"/>
        <w:tabs>
          <w:tab w:val="left" w:pos="600"/>
          <w:tab w:val="left" w:pos="2760"/>
        </w:tabs>
        <w:spacing w:before="0"/>
        <w:rPr>
          <w:snapToGrid w:val="0"/>
          <w:sz w:val="18"/>
        </w:rPr>
      </w:pPr>
      <w:r>
        <w:rPr>
          <w:snapToGrid w:val="0"/>
          <w:sz w:val="18"/>
        </w:rPr>
        <w:tab/>
        <w:t xml:space="preserve">For a body corporate: </w:t>
      </w:r>
      <w:r>
        <w:rPr>
          <w:snapToGrid w:val="0"/>
          <w:sz w:val="18"/>
        </w:rPr>
        <w:tab/>
        <w:t>$50 000.</w:t>
      </w:r>
    </w:p>
    <w:p>
      <w:pPr>
        <w:pStyle w:val="yMiscellaneousBody"/>
        <w:tabs>
          <w:tab w:val="left" w:pos="600"/>
          <w:tab w:val="left" w:pos="2760"/>
        </w:tabs>
        <w:spacing w:before="0"/>
        <w:rPr>
          <w:snapToGrid w:val="0"/>
          <w:sz w:val="18"/>
        </w:rPr>
      </w:pPr>
      <w:r>
        <w:rPr>
          <w:snapToGrid w:val="0"/>
          <w:sz w:val="18"/>
        </w:rPr>
        <w:t>______________________________________________________________________________</w:t>
      </w:r>
    </w:p>
    <w:p>
      <w:pPr>
        <w:pStyle w:val="yMiscellaneousHeading"/>
        <w:keepLines/>
        <w:pageBreakBefore/>
        <w:rPr>
          <w:b/>
          <w:bCs/>
          <w:snapToGrid w:val="0"/>
        </w:rPr>
      </w:pPr>
      <w:r>
        <w:rPr>
          <w:b/>
          <w:bCs/>
          <w:snapToGrid w:val="0"/>
        </w:rPr>
        <w:t>Form 7</w:t>
      </w:r>
    </w:p>
    <w:p>
      <w:pPr>
        <w:pStyle w:val="yShoulderClause"/>
        <w:keepNext/>
        <w:keepLines/>
        <w:spacing w:before="60"/>
        <w:rPr>
          <w:snapToGrid w:val="0"/>
        </w:rPr>
      </w:pPr>
      <w:r>
        <w:rPr>
          <w:snapToGrid w:val="0"/>
        </w:rPr>
        <w:t>[reg. 174]</w:t>
      </w:r>
    </w:p>
    <w:p>
      <w:pPr>
        <w:pStyle w:val="yMiscellaneousHeading"/>
        <w:keepLines/>
        <w:spacing w:before="80"/>
        <w:rPr>
          <w:i/>
          <w:iCs/>
          <w:snapToGrid w:val="0"/>
        </w:rPr>
      </w:pPr>
      <w:r>
        <w:rPr>
          <w:i/>
          <w:iCs/>
          <w:snapToGrid w:val="0"/>
        </w:rPr>
        <w:t>Fish Resources Management Act 1994</w:t>
      </w:r>
    </w:p>
    <w:p>
      <w:pPr>
        <w:pStyle w:val="yMiscellaneousHeading"/>
        <w:keepLines/>
        <w:spacing w:before="0"/>
        <w:rPr>
          <w:snapToGrid w:val="0"/>
        </w:rPr>
      </w:pPr>
      <w:r>
        <w:rPr>
          <w:snapToGrid w:val="0"/>
        </w:rPr>
        <w:t>(Section 255(2)(c))</w:t>
      </w:r>
    </w:p>
    <w:p>
      <w:pPr>
        <w:pStyle w:val="yMiscellaneousHeading"/>
        <w:keepLines/>
        <w:spacing w:before="120"/>
        <w:rPr>
          <w:b/>
          <w:bCs/>
          <w:snapToGrid w:val="0"/>
        </w:rPr>
      </w:pPr>
      <w:r>
        <w:rPr>
          <w:b/>
          <w:bCs/>
          <w:snapToGrid w:val="0"/>
        </w:rPr>
        <w:t>NOTICE TO VARY OR REVOKE A NOTICE PROHIBITING</w:t>
      </w:r>
    </w:p>
    <w:p>
      <w:pPr>
        <w:pStyle w:val="yMiscellaneousHeading"/>
        <w:keepLines/>
        <w:spacing w:before="0"/>
        <w:rPr>
          <w:b/>
          <w:bCs/>
          <w:snapToGrid w:val="0"/>
        </w:rPr>
      </w:pPr>
      <w:r>
        <w:rPr>
          <w:b/>
          <w:bCs/>
          <w:snapToGrid w:val="0"/>
        </w:rPr>
        <w:t>ACTIVITIES THAT POLLUTE WATERS</w:t>
      </w:r>
    </w:p>
    <w:p>
      <w:pPr>
        <w:pStyle w:val="yMiscellaneousBody"/>
        <w:keepNext/>
        <w:keepLines/>
        <w:tabs>
          <w:tab w:val="left" w:pos="5040"/>
        </w:tabs>
        <w:spacing w:before="120"/>
        <w:rPr>
          <w:snapToGrid w:val="0"/>
          <w:sz w:val="18"/>
        </w:rPr>
      </w:pPr>
      <w:r>
        <w:rPr>
          <w:snapToGrid w:val="0"/>
          <w:sz w:val="18"/>
        </w:rPr>
        <w:tab/>
        <w:t>No. of notice:</w:t>
      </w:r>
    </w:p>
    <w:p>
      <w:pPr>
        <w:pStyle w:val="yMiscellaneousBody"/>
        <w:keepNext/>
        <w:keepLines/>
        <w:spacing w:before="0"/>
        <w:rPr>
          <w:snapToGrid w:val="0"/>
          <w:sz w:val="18"/>
        </w:rPr>
      </w:pPr>
      <w:r>
        <w:rPr>
          <w:snapToGrid w:val="0"/>
          <w:sz w:val="18"/>
        </w:rPr>
        <w:t>To:</w:t>
      </w:r>
    </w:p>
    <w:p>
      <w:pPr>
        <w:pStyle w:val="yMiscellaneousBody"/>
        <w:keepNext/>
        <w:keepLines/>
        <w:tabs>
          <w:tab w:val="left" w:pos="5040"/>
        </w:tabs>
        <w:spacing w:before="0"/>
        <w:rPr>
          <w:snapToGrid w:val="0"/>
          <w:sz w:val="18"/>
        </w:rPr>
      </w:pPr>
      <w:r>
        <w:rPr>
          <w:snapToGrid w:val="0"/>
          <w:sz w:val="18"/>
        </w:rPr>
        <w:tab/>
        <w:t>Postcode:</w:t>
      </w:r>
    </w:p>
    <w:p>
      <w:pPr>
        <w:pStyle w:val="yMiscellaneousBody"/>
        <w:spacing w:before="120"/>
        <w:rPr>
          <w:snapToGrid w:val="0"/>
          <w:sz w:val="18"/>
        </w:rPr>
      </w:pPr>
      <w:r>
        <w:rPr>
          <w:snapToGrid w:val="0"/>
          <w:sz w:val="18"/>
        </w:rPr>
        <w:t>The notice served on you prohibiting you from an activity that was polluting, or likely to pollute, the aquatic environment is varied*/revoked* —</w:t>
      </w:r>
    </w:p>
    <w:p>
      <w:pPr>
        <w:pStyle w:val="yMiscellaneousBody"/>
        <w:spacing w:before="120"/>
        <w:rPr>
          <w:snapToGrid w:val="0"/>
          <w:sz w:val="18"/>
        </w:rPr>
      </w:pPr>
      <w:r>
        <w:rPr>
          <w:snapToGrid w:val="0"/>
          <w:sz w:val="18"/>
        </w:rPr>
        <w:t>Which notice is varied/revoked?</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352"/>
        <w:gridCol w:w="4736"/>
      </w:tblGrid>
      <w:tr>
        <w:tc>
          <w:tcPr>
            <w:tcW w:w="2352" w:type="dxa"/>
            <w:tcBorders>
              <w:top w:val="single" w:sz="7" w:space="0" w:color="auto"/>
              <w:bottom w:val="single" w:sz="7" w:space="0" w:color="auto"/>
            </w:tcBorders>
          </w:tcPr>
          <w:p>
            <w:pPr>
              <w:pStyle w:val="yTableNAm"/>
              <w:spacing w:before="0"/>
              <w:jc w:val="right"/>
              <w:rPr>
                <w:sz w:val="18"/>
              </w:rPr>
            </w:pPr>
            <w:r>
              <w:rPr>
                <w:sz w:val="18"/>
              </w:rPr>
              <w:t>No. of notice:</w:t>
            </w:r>
          </w:p>
          <w:p>
            <w:pPr>
              <w:pStyle w:val="yTableNAm"/>
              <w:spacing w:before="0"/>
              <w:jc w:val="right"/>
              <w:rPr>
                <w:sz w:val="18"/>
              </w:rPr>
            </w:pPr>
          </w:p>
          <w:p>
            <w:pPr>
              <w:pStyle w:val="yTableNAm"/>
              <w:spacing w:before="0"/>
              <w:jc w:val="right"/>
              <w:rPr>
                <w:sz w:val="18"/>
              </w:rPr>
            </w:pPr>
            <w:r>
              <w:rPr>
                <w:sz w:val="18"/>
              </w:rPr>
              <w:t>Served:</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Time:</w:t>
            </w:r>
          </w:p>
        </w:tc>
        <w:tc>
          <w:tcPr>
            <w:tcW w:w="4736" w:type="dxa"/>
            <w:tcBorders>
              <w:top w:val="single" w:sz="7" w:space="0" w:color="auto"/>
              <w:left w:val="single" w:sz="7" w:space="0" w:color="auto"/>
              <w:bottom w:val="single" w:sz="7" w:space="0" w:color="auto"/>
            </w:tcBorders>
          </w:tcPr>
          <w:p>
            <w:pPr>
              <w:pStyle w:val="yTableNAm"/>
              <w:tabs>
                <w:tab w:val="clear" w:pos="567"/>
                <w:tab w:val="left" w:pos="2568"/>
              </w:tabs>
              <w:spacing w:before="0"/>
              <w:rPr>
                <w:sz w:val="18"/>
              </w:rPr>
            </w:pPr>
            <w:r>
              <w:rPr>
                <w:sz w:val="18"/>
              </w:rPr>
              <w:tab/>
              <w:t>Date:</w:t>
            </w:r>
          </w:p>
        </w:tc>
      </w:tr>
    </w:tbl>
    <w:p>
      <w:pPr>
        <w:pStyle w:val="yTableNAm"/>
        <w:spacing w:before="0"/>
        <w:rPr>
          <w:snapToGrid w:val="0"/>
          <w:sz w:val="18"/>
        </w:rPr>
      </w:pPr>
      <w:r>
        <w:rPr>
          <w:snapToGrid w:val="0"/>
          <w:sz w:val="18"/>
        </w:rPr>
        <w:t>**This is the variation of the notice.</w:t>
      </w:r>
    </w:p>
    <w:p>
      <w:pPr>
        <w:pStyle w:val="yTableNAm"/>
        <w:spacing w:before="0"/>
        <w:rPr>
          <w:snapToGrid w:val="0"/>
          <w:sz w:val="18"/>
        </w:rPr>
      </w:pPr>
      <w:r>
        <w:rPr>
          <w:snapToGrid w:val="0"/>
          <w:sz w:val="18"/>
        </w:rPr>
        <w:t>______________________________________________________________________________</w:t>
      </w:r>
    </w:p>
    <w:p>
      <w:pPr>
        <w:pStyle w:val="yTableNAm"/>
        <w:spacing w:before="0"/>
        <w:rPr>
          <w:snapToGrid w:val="0"/>
          <w:sz w:val="18"/>
        </w:rPr>
      </w:pPr>
    </w:p>
    <w:p>
      <w:pPr>
        <w:pStyle w:val="yTableNAm"/>
        <w:spacing w:before="0"/>
        <w:rPr>
          <w:snapToGrid w:val="0"/>
          <w:sz w:val="18"/>
        </w:rPr>
      </w:pPr>
      <w:r>
        <w:rPr>
          <w:snapToGrid w:val="0"/>
          <w:sz w:val="18"/>
        </w:rPr>
        <w:t>______________________________________________________________________________</w:t>
      </w:r>
    </w:p>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spacing w:before="0"/>
        <w:rPr>
          <w:snapToGrid w:val="0"/>
          <w:sz w:val="18"/>
        </w:rPr>
      </w:pPr>
      <w:r>
        <w:rPr>
          <w:snapToGrid w:val="0"/>
          <w:sz w:val="18"/>
        </w:rPr>
        <w:t>If you contravene this notice: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480"/>
          <w:tab w:val="left" w:pos="2520"/>
        </w:tabs>
        <w:spacing w:before="0"/>
        <w:rPr>
          <w:snapToGrid w:val="0"/>
          <w:sz w:val="18"/>
        </w:rPr>
      </w:pPr>
      <w:r>
        <w:rPr>
          <w:snapToGrid w:val="0"/>
          <w:sz w:val="18"/>
        </w:rPr>
        <w:tab/>
        <w:t xml:space="preserve">For an individual: </w:t>
      </w:r>
      <w:r>
        <w:rPr>
          <w:snapToGrid w:val="0"/>
          <w:sz w:val="18"/>
        </w:rPr>
        <w:tab/>
        <w:t>$25 000.</w:t>
      </w:r>
    </w:p>
    <w:p>
      <w:pPr>
        <w:pStyle w:val="yMiscellaneousBody"/>
        <w:tabs>
          <w:tab w:val="left" w:pos="480"/>
          <w:tab w:val="left" w:pos="2520"/>
        </w:tabs>
        <w:spacing w:before="0"/>
        <w:rPr>
          <w:snapToGrid w:val="0"/>
          <w:sz w:val="18"/>
        </w:rPr>
      </w:pPr>
      <w:r>
        <w:rPr>
          <w:snapToGrid w:val="0"/>
          <w:sz w:val="18"/>
        </w:rPr>
        <w:tab/>
        <w:t xml:space="preserve">For a body corporate: </w:t>
      </w:r>
      <w:r>
        <w:rPr>
          <w:snapToGrid w:val="0"/>
          <w:sz w:val="18"/>
        </w:rPr>
        <w:tab/>
        <w:t>$50 000.</w:t>
      </w:r>
    </w:p>
    <w:p>
      <w:pPr>
        <w:pStyle w:val="yMiscellaneousBody"/>
        <w:tabs>
          <w:tab w:val="left" w:pos="600"/>
          <w:tab w:val="left" w:pos="2760"/>
        </w:tabs>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 Delete where not applicable.</w:t>
      </w:r>
    </w:p>
    <w:p>
      <w:pPr>
        <w:pStyle w:val="yMiscellaneousBody"/>
        <w:spacing w:before="0"/>
        <w:rPr>
          <w:snapToGrid w:val="0"/>
          <w:sz w:val="18"/>
        </w:rPr>
      </w:pPr>
      <w:r>
        <w:rPr>
          <w:snapToGrid w:val="0"/>
          <w:sz w:val="18"/>
        </w:rPr>
        <w:t>** Score through this section if not applicable.</w:t>
      </w:r>
    </w:p>
    <w:p>
      <w:pPr>
        <w:pStyle w:val="yEdnotesection"/>
        <w:spacing w:before="120"/>
        <w:outlineLvl w:val="9"/>
      </w:pPr>
      <w:r>
        <w:tab/>
        <w:t>[Form 8 deleted in Gazette 30 Dec 2004 p. 6965.]</w:t>
      </w:r>
    </w:p>
    <w:p>
      <w:pPr>
        <w:pStyle w:val="yScheduleHeading"/>
        <w:outlineLvl w:val="9"/>
        <w:sectPr>
          <w:headerReference w:type="even" r:id="rId51"/>
          <w:headerReference w:type="default" r:id="rId52"/>
          <w:pgSz w:w="11906" w:h="16838" w:code="9"/>
          <w:pgMar w:top="2381" w:right="2409" w:bottom="3543" w:left="2409" w:header="720" w:footer="3380" w:gutter="0"/>
          <w:cols w:space="720"/>
          <w:noEndnote/>
          <w:docGrid w:linePitch="326"/>
        </w:sectPr>
      </w:pPr>
    </w:p>
    <w:p>
      <w:pPr>
        <w:pStyle w:val="yScheduleHeading"/>
      </w:pPr>
      <w:bookmarkStart w:id="11184" w:name="_Toc189988251"/>
      <w:bookmarkStart w:id="11185" w:name="_Toc192041834"/>
      <w:bookmarkStart w:id="11186" w:name="_Toc199571068"/>
      <w:bookmarkStart w:id="11187" w:name="_Toc199739067"/>
      <w:bookmarkStart w:id="11188" w:name="_Toc199815168"/>
      <w:bookmarkStart w:id="11189" w:name="_Toc215040975"/>
      <w:bookmarkStart w:id="11190" w:name="_Toc215041420"/>
      <w:bookmarkStart w:id="11191" w:name="_Toc222129628"/>
      <w:bookmarkStart w:id="11192" w:name="_Toc222223333"/>
      <w:bookmarkStart w:id="11193" w:name="_Toc225914585"/>
      <w:bookmarkStart w:id="11194" w:name="_Toc231282630"/>
      <w:bookmarkStart w:id="11195" w:name="_Toc231283074"/>
      <w:bookmarkStart w:id="11196" w:name="_Toc234899664"/>
      <w:bookmarkStart w:id="11197" w:name="_Toc236632947"/>
      <w:bookmarkStart w:id="11198" w:name="_Toc236720560"/>
      <w:bookmarkStart w:id="11199" w:name="_Toc237764759"/>
      <w:bookmarkStart w:id="11200" w:name="_Toc238356383"/>
      <w:bookmarkStart w:id="11201" w:name="_Toc238369088"/>
      <w:bookmarkStart w:id="11202" w:name="_Toc238376041"/>
      <w:bookmarkStart w:id="11203" w:name="_Toc240339365"/>
      <w:bookmarkStart w:id="11204" w:name="_Toc241993871"/>
      <w:bookmarkStart w:id="11205" w:name="_Toc243193014"/>
      <w:bookmarkStart w:id="11206" w:name="_Toc243295714"/>
      <w:bookmarkStart w:id="11207" w:name="_Toc245113288"/>
      <w:bookmarkStart w:id="11208" w:name="_Toc245198450"/>
      <w:bookmarkStart w:id="11209" w:name="_Toc245198899"/>
      <w:bookmarkStart w:id="11210" w:name="_Toc245199348"/>
      <w:bookmarkStart w:id="11211" w:name="_Toc248122380"/>
      <w:bookmarkStart w:id="11212" w:name="_Toc248122831"/>
      <w:bookmarkStart w:id="11213" w:name="_Toc253670816"/>
      <w:bookmarkStart w:id="11214" w:name="_Toc253671266"/>
      <w:bookmarkStart w:id="11215" w:name="_Toc254943040"/>
      <w:bookmarkStart w:id="11216" w:name="_Toc254943493"/>
      <w:bookmarkStart w:id="11217" w:name="_Toc255476085"/>
      <w:bookmarkStart w:id="11218" w:name="_Toc256432406"/>
      <w:bookmarkStart w:id="11219" w:name="_Toc257720743"/>
      <w:bookmarkStart w:id="11220" w:name="_Toc257722425"/>
      <w:bookmarkStart w:id="11221" w:name="_Toc258336101"/>
      <w:bookmarkStart w:id="11222" w:name="_Toc260406543"/>
      <w:bookmarkStart w:id="11223" w:name="_Toc261271729"/>
      <w:bookmarkStart w:id="11224" w:name="_Toc262808411"/>
      <w:bookmarkStart w:id="11225" w:name="_Toc267572803"/>
      <w:bookmarkStart w:id="11226" w:name="_Toc270684551"/>
      <w:bookmarkStart w:id="11227" w:name="_Toc274214728"/>
      <w:bookmarkStart w:id="11228" w:name="_Toc274215177"/>
      <w:bookmarkStart w:id="11229" w:name="_Toc278976508"/>
      <w:bookmarkStart w:id="11230" w:name="_Toc286760829"/>
      <w:bookmarkStart w:id="11231" w:name="_Toc289081174"/>
      <w:bookmarkStart w:id="11232" w:name="_Toc290284368"/>
      <w:bookmarkStart w:id="11233" w:name="_Toc290643189"/>
      <w:bookmarkStart w:id="11234" w:name="_Toc290643638"/>
      <w:bookmarkStart w:id="11235" w:name="_Toc290644091"/>
      <w:bookmarkStart w:id="11236" w:name="_Toc294701908"/>
      <w:bookmarkStart w:id="11237" w:name="_Toc295200316"/>
      <w:bookmarkStart w:id="11238" w:name="_Toc296954757"/>
      <w:bookmarkStart w:id="11239" w:name="_Toc297276392"/>
      <w:bookmarkStart w:id="11240" w:name="_Toc297276844"/>
      <w:bookmarkStart w:id="11241" w:name="_Toc297277294"/>
      <w:bookmarkStart w:id="11242" w:name="_Toc297726663"/>
      <w:bookmarkStart w:id="11243" w:name="_Toc299980449"/>
      <w:bookmarkStart w:id="11244" w:name="_Toc300235075"/>
      <w:bookmarkStart w:id="11245" w:name="_Toc301961578"/>
      <w:bookmarkStart w:id="11246" w:name="_Toc301967148"/>
      <w:bookmarkStart w:id="11247" w:name="_Toc303253357"/>
      <w:bookmarkStart w:id="11248" w:name="_Toc303257521"/>
      <w:bookmarkStart w:id="11249" w:name="_Toc307993154"/>
      <w:bookmarkStart w:id="11250" w:name="_Toc309030187"/>
      <w:bookmarkStart w:id="11251" w:name="_Toc309304410"/>
      <w:bookmarkStart w:id="11252" w:name="_Toc309309687"/>
      <w:r>
        <w:rPr>
          <w:rStyle w:val="CharSchNo"/>
        </w:rPr>
        <w:t>Schedule 15</w:t>
      </w:r>
      <w:r>
        <w:rPr>
          <w:rStyle w:val="CharSDivNo"/>
          <w:sz w:val="28"/>
        </w:rPr>
        <w:t> </w:t>
      </w:r>
      <w:r>
        <w:t>—</w:t>
      </w:r>
      <w:r>
        <w:rPr>
          <w:rStyle w:val="CharSDivText"/>
          <w:sz w:val="28"/>
        </w:rPr>
        <w:t> </w:t>
      </w:r>
      <w:r>
        <w:rPr>
          <w:rStyle w:val="CharSchText"/>
        </w:rPr>
        <w:t>Tour management zones</w:t>
      </w:r>
      <w:bookmarkEnd w:id="11184"/>
      <w:bookmarkEnd w:id="11185"/>
      <w:bookmarkEnd w:id="11186"/>
      <w:bookmarkEnd w:id="11187"/>
      <w:bookmarkEnd w:id="11188"/>
      <w:bookmarkEnd w:id="11189"/>
      <w:bookmarkEnd w:id="11190"/>
      <w:bookmarkEnd w:id="11191"/>
      <w:bookmarkEnd w:id="11192"/>
      <w:bookmarkEnd w:id="11193"/>
      <w:bookmarkEnd w:id="11194"/>
      <w:bookmarkEnd w:id="11195"/>
      <w:bookmarkEnd w:id="11196"/>
      <w:bookmarkEnd w:id="11197"/>
      <w:bookmarkEnd w:id="11198"/>
      <w:bookmarkEnd w:id="11199"/>
      <w:bookmarkEnd w:id="11200"/>
      <w:bookmarkEnd w:id="11201"/>
      <w:bookmarkEnd w:id="11202"/>
      <w:bookmarkEnd w:id="11203"/>
      <w:bookmarkEnd w:id="11204"/>
      <w:bookmarkEnd w:id="11205"/>
      <w:bookmarkEnd w:id="11206"/>
      <w:bookmarkEnd w:id="11207"/>
      <w:bookmarkEnd w:id="11208"/>
      <w:bookmarkEnd w:id="11209"/>
      <w:bookmarkEnd w:id="11210"/>
      <w:bookmarkEnd w:id="11211"/>
      <w:bookmarkEnd w:id="11212"/>
      <w:bookmarkEnd w:id="11213"/>
      <w:bookmarkEnd w:id="11214"/>
      <w:bookmarkEnd w:id="11215"/>
      <w:bookmarkEnd w:id="11216"/>
      <w:bookmarkEnd w:id="11217"/>
      <w:bookmarkEnd w:id="11218"/>
      <w:bookmarkEnd w:id="11219"/>
      <w:bookmarkEnd w:id="11220"/>
      <w:bookmarkEnd w:id="11221"/>
      <w:bookmarkEnd w:id="11222"/>
      <w:bookmarkEnd w:id="11223"/>
      <w:bookmarkEnd w:id="11224"/>
      <w:bookmarkEnd w:id="11225"/>
      <w:bookmarkEnd w:id="11226"/>
      <w:bookmarkEnd w:id="11227"/>
      <w:bookmarkEnd w:id="11228"/>
      <w:bookmarkEnd w:id="11229"/>
      <w:bookmarkEnd w:id="11230"/>
      <w:bookmarkEnd w:id="11231"/>
      <w:bookmarkEnd w:id="11232"/>
      <w:bookmarkEnd w:id="11233"/>
      <w:bookmarkEnd w:id="11234"/>
      <w:bookmarkEnd w:id="11235"/>
      <w:bookmarkEnd w:id="11236"/>
      <w:bookmarkEnd w:id="11237"/>
      <w:bookmarkEnd w:id="11238"/>
      <w:bookmarkEnd w:id="11239"/>
      <w:bookmarkEnd w:id="11240"/>
      <w:bookmarkEnd w:id="11241"/>
      <w:bookmarkEnd w:id="11242"/>
      <w:bookmarkEnd w:id="11243"/>
      <w:bookmarkEnd w:id="11244"/>
      <w:bookmarkEnd w:id="11245"/>
      <w:bookmarkEnd w:id="11246"/>
      <w:bookmarkEnd w:id="11247"/>
      <w:bookmarkEnd w:id="11248"/>
      <w:bookmarkEnd w:id="11249"/>
      <w:bookmarkEnd w:id="11250"/>
      <w:bookmarkEnd w:id="11251"/>
      <w:bookmarkEnd w:id="11252"/>
    </w:p>
    <w:p>
      <w:pPr>
        <w:pStyle w:val="yShoulderClause"/>
      </w:pPr>
      <w:r>
        <w:t>[r. 128A, 128J]</w:t>
      </w:r>
    </w:p>
    <w:p>
      <w:pPr>
        <w:pStyle w:val="yFootnoteheading"/>
      </w:pPr>
      <w:r>
        <w:tab/>
        <w:t>[Heading inserted in Gazette 29 Jun 2001 p. 3180.]</w:t>
      </w:r>
    </w:p>
    <w:p>
      <w:pPr>
        <w:pStyle w:val="yHeading5"/>
      </w:pPr>
      <w:bookmarkStart w:id="11253" w:name="_Toc309309688"/>
      <w:r>
        <w:rPr>
          <w:rStyle w:val="CharSClsNo"/>
        </w:rPr>
        <w:t>1</w:t>
      </w:r>
      <w:r>
        <w:t>.</w:t>
      </w:r>
      <w:r>
        <w:tab/>
        <w:t>Zone 1: Pilbara/Kimberley</w:t>
      </w:r>
      <w:bookmarkEnd w:id="11253"/>
    </w:p>
    <w:p>
      <w:pPr>
        <w:pStyle w:val="ySubsection"/>
      </w:pPr>
      <w:r>
        <w:tab/>
      </w:r>
      <w:r>
        <w:tab/>
        <w:t xml:space="preserve">Pilbara and </w:t>
      </w:r>
      <w:smartTag w:uri="urn:schemas-microsoft-com:office:smarttags" w:element="place">
        <w:smartTag w:uri="urn:schemas-microsoft-com:office:smarttags" w:element="City">
          <w:r>
            <w:t>Kimberley</w:t>
          </w:r>
        </w:smartTag>
      </w:smartTag>
      <w:r>
        <w:t xml:space="preserve"> Region</w:t>
      </w:r>
    </w:p>
    <w:p>
      <w:pPr>
        <w:pStyle w:val="yFootnotesection"/>
      </w:pPr>
      <w:r>
        <w:tab/>
        <w:t>[Clause 1 inserted in Gazette 1 Oct 2003 p. 4346.]</w:t>
      </w:r>
    </w:p>
    <w:p>
      <w:pPr>
        <w:pStyle w:val="yHeading5"/>
      </w:pPr>
      <w:bookmarkStart w:id="11254" w:name="_Toc309309689"/>
      <w:r>
        <w:rPr>
          <w:rStyle w:val="CharSClsNo"/>
        </w:rPr>
        <w:t>2</w:t>
      </w:r>
      <w:r>
        <w:t>.</w:t>
      </w:r>
      <w:r>
        <w:tab/>
        <w:t>Zone 2: Gascoyne</w:t>
      </w:r>
      <w:bookmarkEnd w:id="11254"/>
    </w:p>
    <w:p>
      <w:pPr>
        <w:pStyle w:val="ySubsection"/>
      </w:pPr>
      <w:r>
        <w:tab/>
      </w:r>
      <w:r>
        <w:tab/>
        <w:t>Gascoyne Region</w:t>
      </w:r>
    </w:p>
    <w:p>
      <w:pPr>
        <w:pStyle w:val="yFootnotesection"/>
      </w:pPr>
      <w:r>
        <w:tab/>
        <w:t>[Clause 2 inserted in Gazette 1 Oct 2003 p. 4346; amended in Gazette 23 May 2006 p. 1861.]</w:t>
      </w:r>
    </w:p>
    <w:p>
      <w:pPr>
        <w:pStyle w:val="yHeading5"/>
      </w:pPr>
      <w:bookmarkStart w:id="11255" w:name="_Toc309309690"/>
      <w:r>
        <w:rPr>
          <w:rStyle w:val="CharSClsNo"/>
        </w:rPr>
        <w:t>3</w:t>
      </w:r>
      <w:r>
        <w:t>.</w:t>
      </w:r>
      <w:r>
        <w:tab/>
        <w:t>Zone 3: West Coast</w:t>
      </w:r>
      <w:bookmarkEnd w:id="11255"/>
    </w:p>
    <w:p>
      <w:pPr>
        <w:pStyle w:val="ySubsection"/>
      </w:pPr>
      <w:r>
        <w:tab/>
      </w:r>
      <w:r>
        <w:tab/>
        <w:t xml:space="preserve">All land and waters, and all waters off the coast of </w:t>
      </w:r>
      <w:smartTag w:uri="urn:schemas-microsoft-com:office:smarttags" w:element="place">
        <w:smartTag w:uri="urn:schemas-microsoft-com:office:smarttags" w:element="State">
          <w:r>
            <w:t>Western Australia</w:t>
          </w:r>
        </w:smartTag>
      </w:smartTag>
      <w:r>
        <w:t xml:space="preserve"> south of 27° 00′ south latitude but excluding the land and waters of Zone 4.</w:t>
      </w:r>
    </w:p>
    <w:p>
      <w:pPr>
        <w:pStyle w:val="yFootnotesection"/>
      </w:pPr>
      <w:r>
        <w:tab/>
        <w:t>[Clause 3 inserted in Gazette 29 Jun 2001 p. 3180.]</w:t>
      </w:r>
    </w:p>
    <w:p>
      <w:pPr>
        <w:pStyle w:val="yHeading5"/>
      </w:pPr>
      <w:bookmarkStart w:id="11256" w:name="_Toc309309691"/>
      <w:r>
        <w:rPr>
          <w:rStyle w:val="CharSClsNo"/>
        </w:rPr>
        <w:t>4</w:t>
      </w:r>
      <w:r>
        <w:t>.</w:t>
      </w:r>
      <w:r>
        <w:tab/>
        <w:t xml:space="preserve">Zone 4: </w:t>
      </w:r>
      <w:smartTag w:uri="urn:schemas-microsoft-com:office:smarttags" w:element="place">
        <w:smartTag w:uri="urn:schemas-microsoft-com:office:smarttags" w:element="PlaceName">
          <w:r>
            <w:t>South</w:t>
          </w:r>
        </w:smartTag>
        <w:r>
          <w:t> </w:t>
        </w:r>
        <w:smartTag w:uri="urn:schemas-microsoft-com:office:smarttags" w:element="PlaceType">
          <w:r>
            <w:t>Coast</w:t>
          </w:r>
        </w:smartTag>
      </w:smartTag>
      <w:bookmarkEnd w:id="11256"/>
    </w:p>
    <w:p>
      <w:pPr>
        <w:pStyle w:val="ySubsection"/>
      </w:pPr>
      <w:r>
        <w:tab/>
      </w:r>
      <w:r>
        <w:tab/>
        <w:t>All land and waters, and the waters off the coast of Western Australia east of 115° 30′ east longitude, south of 33° 32′ south latitude, and west of the longitude passing through the border of Western Australia and South Australia.</w:t>
      </w:r>
    </w:p>
    <w:p>
      <w:pPr>
        <w:pStyle w:val="yFootnotesection"/>
      </w:pPr>
      <w:r>
        <w:tab/>
        <w:t>[Clause 4 inserted in Gazette 29 Jun 2001 p. 3181.]</w:t>
      </w:r>
    </w:p>
    <w:p>
      <w:pPr>
        <w:pStyle w:val="yScheduleHeading"/>
      </w:pPr>
      <w:bookmarkStart w:id="11257" w:name="_Toc189988256"/>
      <w:bookmarkStart w:id="11258" w:name="_Toc192041839"/>
      <w:bookmarkStart w:id="11259" w:name="_Toc199571073"/>
      <w:bookmarkStart w:id="11260" w:name="_Toc199739072"/>
      <w:bookmarkStart w:id="11261" w:name="_Toc199815173"/>
      <w:bookmarkStart w:id="11262" w:name="_Toc215040980"/>
      <w:bookmarkStart w:id="11263" w:name="_Toc215041425"/>
      <w:bookmarkStart w:id="11264" w:name="_Toc222129633"/>
      <w:bookmarkStart w:id="11265" w:name="_Toc222223338"/>
      <w:bookmarkStart w:id="11266" w:name="_Toc225914590"/>
      <w:bookmarkStart w:id="11267" w:name="_Toc231282635"/>
      <w:bookmarkStart w:id="11268" w:name="_Toc231283079"/>
      <w:bookmarkStart w:id="11269" w:name="_Toc234899669"/>
      <w:bookmarkStart w:id="11270" w:name="_Toc236632952"/>
      <w:bookmarkStart w:id="11271" w:name="_Toc236720565"/>
      <w:bookmarkStart w:id="11272" w:name="_Toc237764764"/>
      <w:bookmarkStart w:id="11273" w:name="_Toc238356388"/>
      <w:bookmarkStart w:id="11274" w:name="_Toc238369093"/>
      <w:bookmarkStart w:id="11275" w:name="_Toc238376046"/>
      <w:bookmarkStart w:id="11276" w:name="_Toc240339370"/>
      <w:bookmarkStart w:id="11277" w:name="_Toc241993876"/>
      <w:bookmarkStart w:id="11278" w:name="_Toc243193019"/>
      <w:bookmarkStart w:id="11279" w:name="_Toc243295719"/>
      <w:bookmarkStart w:id="11280" w:name="_Toc245113293"/>
      <w:bookmarkStart w:id="11281" w:name="_Toc245198455"/>
      <w:bookmarkStart w:id="11282" w:name="_Toc245198904"/>
      <w:bookmarkStart w:id="11283" w:name="_Toc245199353"/>
      <w:bookmarkStart w:id="11284" w:name="_Toc248122385"/>
      <w:bookmarkStart w:id="11285" w:name="_Toc248122836"/>
      <w:bookmarkStart w:id="11286" w:name="_Toc253670821"/>
      <w:bookmarkStart w:id="11287" w:name="_Toc253671271"/>
      <w:bookmarkStart w:id="11288" w:name="_Toc254943045"/>
      <w:bookmarkStart w:id="11289" w:name="_Toc254943498"/>
      <w:bookmarkStart w:id="11290" w:name="_Toc255476090"/>
      <w:bookmarkStart w:id="11291" w:name="_Toc256432411"/>
      <w:bookmarkStart w:id="11292" w:name="_Toc257720748"/>
      <w:bookmarkStart w:id="11293" w:name="_Toc257722430"/>
      <w:bookmarkStart w:id="11294" w:name="_Toc258336106"/>
      <w:bookmarkStart w:id="11295" w:name="_Toc260406548"/>
      <w:bookmarkStart w:id="11296" w:name="_Toc261271734"/>
      <w:bookmarkStart w:id="11297" w:name="_Toc262808416"/>
      <w:bookmarkStart w:id="11298" w:name="_Toc267572808"/>
      <w:bookmarkStart w:id="11299" w:name="_Toc270684556"/>
      <w:bookmarkStart w:id="11300" w:name="_Toc274214733"/>
      <w:bookmarkStart w:id="11301" w:name="_Toc274215182"/>
      <w:bookmarkStart w:id="11302" w:name="_Toc278976513"/>
      <w:bookmarkStart w:id="11303" w:name="_Toc286760834"/>
      <w:bookmarkStart w:id="11304" w:name="_Toc289081179"/>
      <w:bookmarkStart w:id="11305" w:name="_Toc290284373"/>
      <w:bookmarkStart w:id="11306" w:name="_Toc290643194"/>
      <w:bookmarkStart w:id="11307" w:name="_Toc290643643"/>
      <w:bookmarkStart w:id="11308" w:name="_Toc290644096"/>
      <w:bookmarkStart w:id="11309" w:name="_Toc294701913"/>
      <w:bookmarkStart w:id="11310" w:name="_Toc295200321"/>
      <w:bookmarkStart w:id="11311" w:name="_Toc296954762"/>
      <w:bookmarkStart w:id="11312" w:name="_Toc297276397"/>
      <w:bookmarkStart w:id="11313" w:name="_Toc297276849"/>
      <w:bookmarkStart w:id="11314" w:name="_Toc297277299"/>
      <w:bookmarkStart w:id="11315" w:name="_Toc297726668"/>
      <w:bookmarkStart w:id="11316" w:name="_Toc299980454"/>
      <w:bookmarkStart w:id="11317" w:name="_Toc300235080"/>
      <w:bookmarkStart w:id="11318" w:name="_Toc301961583"/>
      <w:bookmarkStart w:id="11319" w:name="_Toc301967153"/>
      <w:bookmarkStart w:id="11320" w:name="_Toc303253362"/>
      <w:bookmarkStart w:id="11321" w:name="_Toc303257526"/>
      <w:bookmarkStart w:id="11322" w:name="_Toc307993159"/>
      <w:bookmarkStart w:id="11323" w:name="_Toc309030192"/>
      <w:bookmarkStart w:id="11324" w:name="_Toc309304415"/>
      <w:bookmarkStart w:id="11325" w:name="_Toc309309692"/>
      <w:r>
        <w:rPr>
          <w:rStyle w:val="CharSchNo"/>
        </w:rPr>
        <w:t>Schedule 16</w:t>
      </w:r>
      <w:r>
        <w:t> — </w:t>
      </w:r>
      <w:r>
        <w:rPr>
          <w:rStyle w:val="CharSchText"/>
        </w:rPr>
        <w:t>Abalone zones</w:t>
      </w:r>
      <w:bookmarkEnd w:id="11257"/>
      <w:bookmarkEnd w:id="11258"/>
      <w:bookmarkEnd w:id="11259"/>
      <w:bookmarkEnd w:id="11260"/>
      <w:bookmarkEnd w:id="11261"/>
      <w:bookmarkEnd w:id="11262"/>
      <w:bookmarkEnd w:id="11263"/>
      <w:bookmarkEnd w:id="11264"/>
      <w:bookmarkEnd w:id="11265"/>
      <w:bookmarkEnd w:id="11266"/>
      <w:bookmarkEnd w:id="11267"/>
      <w:bookmarkEnd w:id="11268"/>
      <w:bookmarkEnd w:id="11269"/>
      <w:bookmarkEnd w:id="11270"/>
      <w:bookmarkEnd w:id="11271"/>
      <w:bookmarkEnd w:id="11272"/>
      <w:bookmarkEnd w:id="11273"/>
      <w:bookmarkEnd w:id="11274"/>
      <w:bookmarkEnd w:id="11275"/>
      <w:bookmarkEnd w:id="11276"/>
      <w:bookmarkEnd w:id="11277"/>
      <w:bookmarkEnd w:id="11278"/>
      <w:bookmarkEnd w:id="11279"/>
      <w:bookmarkEnd w:id="11280"/>
      <w:bookmarkEnd w:id="11281"/>
      <w:bookmarkEnd w:id="11282"/>
      <w:bookmarkEnd w:id="11283"/>
      <w:bookmarkEnd w:id="11284"/>
      <w:bookmarkEnd w:id="11285"/>
      <w:bookmarkEnd w:id="11286"/>
      <w:bookmarkEnd w:id="11287"/>
      <w:bookmarkEnd w:id="11288"/>
      <w:bookmarkEnd w:id="11289"/>
      <w:bookmarkEnd w:id="11290"/>
      <w:bookmarkEnd w:id="11291"/>
      <w:bookmarkEnd w:id="11292"/>
      <w:bookmarkEnd w:id="11293"/>
      <w:bookmarkEnd w:id="11294"/>
      <w:bookmarkEnd w:id="11295"/>
      <w:bookmarkEnd w:id="11296"/>
      <w:bookmarkEnd w:id="11297"/>
      <w:bookmarkEnd w:id="11298"/>
      <w:bookmarkEnd w:id="11299"/>
      <w:bookmarkEnd w:id="11300"/>
      <w:bookmarkEnd w:id="11301"/>
      <w:bookmarkEnd w:id="11302"/>
      <w:bookmarkEnd w:id="11303"/>
      <w:bookmarkEnd w:id="11304"/>
      <w:bookmarkEnd w:id="11305"/>
      <w:bookmarkEnd w:id="11306"/>
      <w:bookmarkEnd w:id="11307"/>
      <w:bookmarkEnd w:id="11308"/>
      <w:bookmarkEnd w:id="11309"/>
      <w:bookmarkEnd w:id="11310"/>
      <w:bookmarkEnd w:id="11311"/>
      <w:bookmarkEnd w:id="11312"/>
      <w:bookmarkEnd w:id="11313"/>
      <w:bookmarkEnd w:id="11314"/>
      <w:bookmarkEnd w:id="11315"/>
      <w:bookmarkEnd w:id="11316"/>
      <w:bookmarkEnd w:id="11317"/>
      <w:bookmarkEnd w:id="11318"/>
      <w:bookmarkEnd w:id="11319"/>
      <w:bookmarkEnd w:id="11320"/>
      <w:bookmarkEnd w:id="11321"/>
      <w:bookmarkEnd w:id="11322"/>
      <w:bookmarkEnd w:id="11323"/>
      <w:bookmarkEnd w:id="11324"/>
      <w:bookmarkEnd w:id="11325"/>
    </w:p>
    <w:p>
      <w:pPr>
        <w:pStyle w:val="yShoulderClause"/>
      </w:pPr>
      <w:r>
        <w:t>[r. 38D]</w:t>
      </w:r>
    </w:p>
    <w:p>
      <w:pPr>
        <w:pStyle w:val="yFootnoteheading"/>
      </w:pPr>
      <w:r>
        <w:tab/>
        <w:t>[Heading inserted in Gazette 10 Nov 2006 p. 4711.]</w:t>
      </w:r>
    </w:p>
    <w:p>
      <w:pPr>
        <w:pStyle w:val="yHeading5"/>
      </w:pPr>
      <w:bookmarkStart w:id="11326" w:name="_Toc309309693"/>
      <w:r>
        <w:rPr>
          <w:rStyle w:val="CharSClsNo"/>
        </w:rPr>
        <w:t>1</w:t>
      </w:r>
      <w:r>
        <w:t>.</w:t>
      </w:r>
      <w:r>
        <w:tab/>
        <w:t xml:space="preserve">Abalone Zone 1: Busselton Jetty to </w:t>
      </w:r>
      <w:smartTag w:uri="urn:schemas-microsoft-com:office:smarttags" w:element="place">
        <w:smartTag w:uri="urn:schemas-microsoft-com:office:smarttags" w:element="PlaceName">
          <w:r>
            <w:t>Greenough</w:t>
          </w:r>
        </w:smartTag>
        <w:r>
          <w:t xml:space="preserve"> </w:t>
        </w:r>
        <w:smartTag w:uri="urn:schemas-microsoft-com:office:smarttags" w:element="PlaceType">
          <w:r>
            <w:t>River</w:t>
          </w:r>
        </w:smartTag>
      </w:smartTag>
      <w:r>
        <w:t xml:space="preserve"> mouth</w:t>
      </w:r>
      <w:bookmarkEnd w:id="11326"/>
    </w:p>
    <w:p>
      <w:pPr>
        <w:pStyle w:val="ySubsection"/>
      </w:pPr>
      <w:r>
        <w:tab/>
      </w:r>
      <w:r>
        <w:tab/>
        <w:t>All —</w:t>
      </w:r>
    </w:p>
    <w:p>
      <w:pPr>
        <w:pStyle w:val="yIndenta"/>
      </w:pPr>
      <w:r>
        <w:tab/>
        <w:t>(a)</w:t>
      </w:r>
      <w:r>
        <w:tab/>
        <w:t>WA waters; and</w:t>
      </w:r>
    </w:p>
    <w:p>
      <w:pPr>
        <w:pStyle w:val="yIndenta"/>
      </w:pPr>
      <w:r>
        <w:tab/>
        <w:t>(b)</w:t>
      </w:r>
      <w:r>
        <w:tab/>
        <w:t>all land in the State,</w:t>
      </w:r>
    </w:p>
    <w:p>
      <w:pPr>
        <w:pStyle w:val="ySubsection"/>
      </w:pPr>
      <w:r>
        <w:tab/>
      </w:r>
      <w:r>
        <w:tab/>
        <w:t>that are on the seaward side of the high water mark and are —</w:t>
      </w:r>
    </w:p>
    <w:p>
      <w:pPr>
        <w:pStyle w:val="yIndenta"/>
      </w:pPr>
      <w:r>
        <w:tab/>
        <w:t>(c)</w:t>
      </w:r>
      <w:r>
        <w:tab/>
        <w:t>in the area that is —</w:t>
      </w:r>
    </w:p>
    <w:p>
      <w:pPr>
        <w:pStyle w:val="yIndenti0"/>
      </w:pPr>
      <w:r>
        <w:tab/>
        <w:t>(i)</w:t>
      </w:r>
      <w:r>
        <w:tab/>
        <w:t>south of 28° 51.9′ south latitude; and</w:t>
      </w:r>
    </w:p>
    <w:p>
      <w:pPr>
        <w:pStyle w:val="yIndenti0"/>
      </w:pPr>
      <w:r>
        <w:tab/>
        <w:t>(ii)</w:t>
      </w:r>
      <w:r>
        <w:tab/>
        <w:t>north of 33° 29′ south latitude; and</w:t>
      </w:r>
    </w:p>
    <w:p>
      <w:pPr>
        <w:pStyle w:val="yIndenti0"/>
      </w:pPr>
      <w:r>
        <w:tab/>
        <w:t>(iii)</w:t>
      </w:r>
      <w:r>
        <w:tab/>
        <w:t>west of the high water mark along the west coast between those 2 parallels;</w:t>
      </w:r>
    </w:p>
    <w:p>
      <w:pPr>
        <w:pStyle w:val="yIndenta"/>
      </w:pPr>
      <w:r>
        <w:tab/>
      </w:r>
      <w:r>
        <w:tab/>
        <w:t>or</w:t>
      </w:r>
    </w:p>
    <w:p>
      <w:pPr>
        <w:pStyle w:val="yIndenta"/>
      </w:pPr>
      <w:r>
        <w:tab/>
        <w:t>(d)</w:t>
      </w:r>
      <w:r>
        <w:tab/>
        <w:t>in the area that is bounded by a line commencing at the intersection of 115° 20.675′ east longitude and the high water mark in Geographe Bay (Busselton Jetty) and extending —</w:t>
      </w:r>
    </w:p>
    <w:p>
      <w:pPr>
        <w:pStyle w:val="yIndenti0"/>
      </w:pPr>
      <w:r>
        <w:tab/>
        <w:t>(i)</w:t>
      </w:r>
      <w:r>
        <w:tab/>
        <w:t>north along that meridian to its intersection with 33° 29′ south latitude; and</w:t>
      </w:r>
    </w:p>
    <w:p>
      <w:pPr>
        <w:pStyle w:val="yIndenti0"/>
      </w:pPr>
      <w:r>
        <w:tab/>
        <w:t>(ii)</w:t>
      </w:r>
      <w:r>
        <w:tab/>
        <w:t>east along that parallel to its intersection with the high water mark; and</w:t>
      </w:r>
    </w:p>
    <w:p>
      <w:pPr>
        <w:pStyle w:val="yIndenti0"/>
      </w:pPr>
      <w:r>
        <w:tab/>
        <w:t>(iii)</w:t>
      </w:r>
      <w:r>
        <w:tab/>
        <w:t>then generally south westerly along the high water mark to the intersection with 115° 20.675′ east longitude.</w:t>
      </w:r>
    </w:p>
    <w:p>
      <w:pPr>
        <w:pStyle w:val="yFootnotesection"/>
      </w:pPr>
      <w:r>
        <w:tab/>
        <w:t>[Clause 1 inserted in Gazette 10 Nov 2006 p. 4711</w:t>
      </w:r>
      <w:r>
        <w:noBreakHyphen/>
        <w:t>12.]</w:t>
      </w:r>
    </w:p>
    <w:p>
      <w:pPr>
        <w:pStyle w:val="yHeading5"/>
      </w:pPr>
      <w:bookmarkStart w:id="11327" w:name="_Toc309309694"/>
      <w:r>
        <w:rPr>
          <w:rStyle w:val="CharSClsNo"/>
        </w:rPr>
        <w:t>2</w:t>
      </w:r>
      <w:r>
        <w:t>.</w:t>
      </w:r>
      <w:r>
        <w:tab/>
        <w:t xml:space="preserve">Abalone Zone 2: </w:t>
      </w:r>
      <w:smartTag w:uri="urn:schemas-microsoft-com:office:smarttags" w:element="PlaceName">
        <w:r>
          <w:t>Greenough</w:t>
        </w:r>
      </w:smartTag>
      <w:r>
        <w:t xml:space="preserve"> </w:t>
      </w:r>
      <w:smartTag w:uri="urn:schemas-microsoft-com:office:smarttags" w:element="PlaceType">
        <w:r>
          <w:t>River</w:t>
        </w:r>
      </w:smartTag>
      <w:r>
        <w:t xml:space="preserve"> mouth to </w:t>
      </w:r>
      <w:smartTag w:uri="urn:schemas-microsoft-com:office:smarttags" w:element="place">
        <w:smartTag w:uri="urn:schemas-microsoft-com:office:smarttags" w:element="State">
          <w:r>
            <w:t>Northern Territory</w:t>
          </w:r>
        </w:smartTag>
      </w:smartTag>
      <w:r>
        <w:t xml:space="preserve"> border</w:t>
      </w:r>
      <w:bookmarkEnd w:id="11327"/>
    </w:p>
    <w:p>
      <w:pPr>
        <w:pStyle w:val="ySubsection"/>
      </w:pPr>
      <w:r>
        <w:tab/>
      </w:r>
      <w:r>
        <w:tab/>
        <w:t>All —</w:t>
      </w:r>
    </w:p>
    <w:p>
      <w:pPr>
        <w:pStyle w:val="yIndenta"/>
      </w:pPr>
      <w:r>
        <w:tab/>
        <w:t>(a)</w:t>
      </w:r>
      <w:r>
        <w:tab/>
        <w:t>WA waters; and</w:t>
      </w:r>
    </w:p>
    <w:p>
      <w:pPr>
        <w:pStyle w:val="yIndenta"/>
        <w:keepNext/>
      </w:pPr>
      <w:r>
        <w:tab/>
        <w:t>(b)</w:t>
      </w:r>
      <w:r>
        <w:tab/>
        <w:t>land in the State,</w:t>
      </w:r>
    </w:p>
    <w:p>
      <w:pPr>
        <w:pStyle w:val="ySubsection"/>
      </w:pPr>
      <w:r>
        <w:tab/>
      </w:r>
      <w:r>
        <w:tab/>
        <w:t>that are on the seaward side of the high water mark and north of 28° 51.9′ south latitude.</w:t>
      </w:r>
    </w:p>
    <w:p>
      <w:pPr>
        <w:pStyle w:val="yFootnotesection"/>
      </w:pPr>
      <w:r>
        <w:tab/>
        <w:t>[Clause 2 inserted in Gazette 10 Nov 2006 p. 4712.]</w:t>
      </w:r>
    </w:p>
    <w:p>
      <w:pPr>
        <w:pStyle w:val="yHeading5"/>
      </w:pPr>
      <w:bookmarkStart w:id="11328" w:name="_Toc309309695"/>
      <w:r>
        <w:rPr>
          <w:rStyle w:val="CharSClsNo"/>
        </w:rPr>
        <w:t>3</w:t>
      </w:r>
      <w:r>
        <w:t>.</w:t>
      </w:r>
      <w:r>
        <w:tab/>
        <w:t>Abalone Zone 3: Busselton Jetty to South Australian border</w:t>
      </w:r>
      <w:bookmarkEnd w:id="11328"/>
    </w:p>
    <w:p>
      <w:pPr>
        <w:pStyle w:val="ySubsection"/>
      </w:pPr>
      <w:r>
        <w:tab/>
      </w:r>
      <w:r>
        <w:tab/>
        <w:t>All —</w:t>
      </w:r>
    </w:p>
    <w:p>
      <w:pPr>
        <w:pStyle w:val="yIndenta"/>
      </w:pPr>
      <w:r>
        <w:tab/>
        <w:t>(a)</w:t>
      </w:r>
      <w:r>
        <w:tab/>
        <w:t>WA waters; and</w:t>
      </w:r>
    </w:p>
    <w:p>
      <w:pPr>
        <w:pStyle w:val="yIndenta"/>
      </w:pPr>
      <w:r>
        <w:tab/>
        <w:t>(b)</w:t>
      </w:r>
      <w:r>
        <w:tab/>
        <w:t>land in the State,</w:t>
      </w:r>
    </w:p>
    <w:p>
      <w:pPr>
        <w:pStyle w:val="ySubsection"/>
      </w:pPr>
      <w:r>
        <w:tab/>
      </w:r>
      <w:r>
        <w:tab/>
        <w:t>that are on the seaward side of the high water mark and south of 28° 51.9′ south latitude excluding Abalone Zone 1.</w:t>
      </w:r>
    </w:p>
    <w:p>
      <w:pPr>
        <w:pStyle w:val="yFootnotesection"/>
      </w:pPr>
      <w:r>
        <w:tab/>
        <w:t>[Clause 3 inserted in Gazette 10 Nov 2006 p. 4712.]</w:t>
      </w:r>
    </w:p>
    <w:p/>
    <w:p>
      <w:pPr>
        <w:sectPr>
          <w:headerReference w:type="even" r:id="rId53"/>
          <w:headerReference w:type="default" r:id="rId54"/>
          <w:pgSz w:w="11906" w:h="16838" w:code="9"/>
          <w:pgMar w:top="2381" w:right="2409" w:bottom="3543" w:left="2409" w:header="720" w:footer="3380" w:gutter="0"/>
          <w:cols w:space="720"/>
          <w:noEndnote/>
          <w:docGrid w:linePitch="326"/>
        </w:sectPr>
      </w:pPr>
    </w:p>
    <w:p>
      <w:pPr>
        <w:pStyle w:val="nHeading2"/>
      </w:pPr>
      <w:bookmarkStart w:id="11329" w:name="_Toc189988260"/>
      <w:bookmarkStart w:id="11330" w:name="_Toc192041843"/>
      <w:bookmarkStart w:id="11331" w:name="_Toc199571077"/>
      <w:bookmarkStart w:id="11332" w:name="_Toc199739076"/>
      <w:bookmarkStart w:id="11333" w:name="_Toc199815177"/>
      <w:bookmarkStart w:id="11334" w:name="_Toc215040984"/>
      <w:bookmarkStart w:id="11335" w:name="_Toc215041429"/>
      <w:bookmarkStart w:id="11336" w:name="_Toc222129637"/>
      <w:bookmarkStart w:id="11337" w:name="_Toc222223342"/>
      <w:bookmarkStart w:id="11338" w:name="_Toc225914594"/>
      <w:bookmarkStart w:id="11339" w:name="_Toc231282639"/>
      <w:bookmarkStart w:id="11340" w:name="_Toc231283083"/>
      <w:bookmarkStart w:id="11341" w:name="_Toc234899673"/>
      <w:bookmarkStart w:id="11342" w:name="_Toc236632956"/>
      <w:bookmarkStart w:id="11343" w:name="_Toc236720569"/>
      <w:bookmarkStart w:id="11344" w:name="_Toc237764768"/>
      <w:bookmarkStart w:id="11345" w:name="_Toc238356392"/>
      <w:bookmarkStart w:id="11346" w:name="_Toc238369097"/>
      <w:bookmarkStart w:id="11347" w:name="_Toc238376050"/>
      <w:bookmarkStart w:id="11348" w:name="_Toc240339374"/>
      <w:bookmarkStart w:id="11349" w:name="_Toc241993880"/>
      <w:bookmarkStart w:id="11350" w:name="_Toc243193023"/>
      <w:bookmarkStart w:id="11351" w:name="_Toc243295723"/>
      <w:bookmarkStart w:id="11352" w:name="_Toc245113297"/>
      <w:bookmarkStart w:id="11353" w:name="_Toc245198459"/>
      <w:bookmarkStart w:id="11354" w:name="_Toc245198908"/>
      <w:bookmarkStart w:id="11355" w:name="_Toc245199357"/>
      <w:bookmarkStart w:id="11356" w:name="_Toc248122389"/>
      <w:bookmarkStart w:id="11357" w:name="_Toc248122840"/>
      <w:bookmarkStart w:id="11358" w:name="_Toc253670825"/>
      <w:bookmarkStart w:id="11359" w:name="_Toc253671275"/>
      <w:bookmarkStart w:id="11360" w:name="_Toc254943049"/>
      <w:bookmarkStart w:id="11361" w:name="_Toc254943502"/>
      <w:bookmarkStart w:id="11362" w:name="_Toc255476094"/>
      <w:bookmarkStart w:id="11363" w:name="_Toc256432415"/>
      <w:bookmarkStart w:id="11364" w:name="_Toc257720752"/>
      <w:bookmarkStart w:id="11365" w:name="_Toc257722434"/>
      <w:bookmarkStart w:id="11366" w:name="_Toc258336110"/>
      <w:bookmarkStart w:id="11367" w:name="_Toc260406552"/>
      <w:bookmarkStart w:id="11368" w:name="_Toc261271738"/>
      <w:bookmarkStart w:id="11369" w:name="_Toc262808420"/>
      <w:bookmarkStart w:id="11370" w:name="_Toc267572812"/>
      <w:bookmarkStart w:id="11371" w:name="_Toc270684560"/>
      <w:bookmarkStart w:id="11372" w:name="_Toc274214737"/>
      <w:bookmarkStart w:id="11373" w:name="_Toc274215186"/>
      <w:bookmarkStart w:id="11374" w:name="_Toc278976517"/>
      <w:bookmarkStart w:id="11375" w:name="_Toc286760838"/>
      <w:bookmarkStart w:id="11376" w:name="_Toc289081183"/>
      <w:bookmarkStart w:id="11377" w:name="_Toc290284377"/>
      <w:bookmarkStart w:id="11378" w:name="_Toc290643198"/>
      <w:bookmarkStart w:id="11379" w:name="_Toc290643647"/>
      <w:bookmarkStart w:id="11380" w:name="_Toc290644100"/>
      <w:bookmarkStart w:id="11381" w:name="_Toc294701917"/>
      <w:bookmarkStart w:id="11382" w:name="_Toc295200325"/>
      <w:bookmarkStart w:id="11383" w:name="_Toc296954766"/>
      <w:bookmarkStart w:id="11384" w:name="_Toc297276401"/>
      <w:bookmarkStart w:id="11385" w:name="_Toc297276853"/>
      <w:bookmarkStart w:id="11386" w:name="_Toc297277303"/>
      <w:bookmarkStart w:id="11387" w:name="_Toc297726672"/>
      <w:bookmarkStart w:id="11388" w:name="_Toc299980458"/>
      <w:bookmarkStart w:id="11389" w:name="_Toc300235084"/>
      <w:bookmarkStart w:id="11390" w:name="_Toc301961587"/>
      <w:bookmarkStart w:id="11391" w:name="_Toc301967157"/>
      <w:bookmarkStart w:id="11392" w:name="_Toc303253366"/>
      <w:bookmarkStart w:id="11393" w:name="_Toc303257530"/>
      <w:bookmarkStart w:id="11394" w:name="_Toc307993163"/>
      <w:bookmarkStart w:id="11395" w:name="_Toc309030196"/>
      <w:bookmarkStart w:id="11396" w:name="_Toc309304419"/>
      <w:bookmarkStart w:id="11397" w:name="_Toc309309696"/>
      <w:r>
        <w:t>Notes</w:t>
      </w:r>
      <w:bookmarkEnd w:id="11329"/>
      <w:bookmarkEnd w:id="11330"/>
      <w:bookmarkEnd w:id="11331"/>
      <w:bookmarkEnd w:id="11332"/>
      <w:bookmarkEnd w:id="11333"/>
      <w:bookmarkEnd w:id="11334"/>
      <w:bookmarkEnd w:id="11335"/>
      <w:bookmarkEnd w:id="11336"/>
      <w:bookmarkEnd w:id="11337"/>
      <w:bookmarkEnd w:id="11338"/>
      <w:bookmarkEnd w:id="11339"/>
      <w:bookmarkEnd w:id="11340"/>
      <w:bookmarkEnd w:id="11341"/>
      <w:bookmarkEnd w:id="11342"/>
      <w:bookmarkEnd w:id="11343"/>
      <w:bookmarkEnd w:id="11344"/>
      <w:bookmarkEnd w:id="11345"/>
      <w:bookmarkEnd w:id="11346"/>
      <w:bookmarkEnd w:id="11347"/>
      <w:bookmarkEnd w:id="11348"/>
      <w:bookmarkEnd w:id="11349"/>
      <w:bookmarkEnd w:id="11350"/>
      <w:bookmarkEnd w:id="11351"/>
      <w:bookmarkEnd w:id="11352"/>
      <w:bookmarkEnd w:id="11353"/>
      <w:bookmarkEnd w:id="11354"/>
      <w:bookmarkEnd w:id="11355"/>
      <w:bookmarkEnd w:id="11356"/>
      <w:bookmarkEnd w:id="11357"/>
      <w:bookmarkEnd w:id="11358"/>
      <w:bookmarkEnd w:id="11359"/>
      <w:bookmarkEnd w:id="11360"/>
      <w:bookmarkEnd w:id="11361"/>
      <w:bookmarkEnd w:id="11362"/>
      <w:bookmarkEnd w:id="11363"/>
      <w:bookmarkEnd w:id="11364"/>
      <w:bookmarkEnd w:id="11365"/>
      <w:bookmarkEnd w:id="11366"/>
      <w:bookmarkEnd w:id="11367"/>
      <w:bookmarkEnd w:id="11368"/>
      <w:bookmarkEnd w:id="11369"/>
      <w:bookmarkEnd w:id="11370"/>
      <w:bookmarkEnd w:id="11371"/>
      <w:bookmarkEnd w:id="11372"/>
      <w:bookmarkEnd w:id="11373"/>
      <w:bookmarkEnd w:id="11374"/>
      <w:bookmarkEnd w:id="11375"/>
      <w:bookmarkEnd w:id="11376"/>
      <w:bookmarkEnd w:id="11377"/>
      <w:bookmarkEnd w:id="11378"/>
      <w:bookmarkEnd w:id="11379"/>
      <w:bookmarkEnd w:id="11380"/>
      <w:bookmarkEnd w:id="11381"/>
      <w:bookmarkEnd w:id="11382"/>
      <w:bookmarkEnd w:id="11383"/>
      <w:bookmarkEnd w:id="11384"/>
      <w:bookmarkEnd w:id="11385"/>
      <w:bookmarkEnd w:id="11386"/>
      <w:bookmarkEnd w:id="11387"/>
      <w:bookmarkEnd w:id="11388"/>
      <w:bookmarkEnd w:id="11389"/>
      <w:bookmarkEnd w:id="11390"/>
      <w:bookmarkEnd w:id="11391"/>
      <w:bookmarkEnd w:id="11392"/>
      <w:bookmarkEnd w:id="11393"/>
      <w:bookmarkEnd w:id="11394"/>
      <w:bookmarkEnd w:id="11395"/>
      <w:bookmarkEnd w:id="11396"/>
      <w:bookmarkEnd w:id="11397"/>
    </w:p>
    <w:p>
      <w:pPr>
        <w:pStyle w:val="nSubsection"/>
        <w:rPr>
          <w:snapToGrid w:val="0"/>
        </w:rPr>
      </w:pPr>
      <w:r>
        <w:rPr>
          <w:snapToGrid w:val="0"/>
          <w:vertAlign w:val="superscript"/>
        </w:rPr>
        <w:t>1</w:t>
      </w:r>
      <w:r>
        <w:rPr>
          <w:snapToGrid w:val="0"/>
        </w:rPr>
        <w:tab/>
        <w:t xml:space="preserve">This is a compilation of the </w:t>
      </w:r>
      <w:r>
        <w:rPr>
          <w:i/>
          <w:noProof/>
          <w:snapToGrid w:val="0"/>
        </w:rPr>
        <w:t>Fish Resources Management Regulations 1995</w:t>
      </w:r>
      <w:r>
        <w:rPr>
          <w:snapToGrid w:val="0"/>
        </w:rPr>
        <w:t xml:space="preserve"> and includes the amendments made by the other written laws referred to in the following table.  The table also contains information about any reprint.</w:t>
      </w:r>
    </w:p>
    <w:p>
      <w:pPr>
        <w:pStyle w:val="nHeading3"/>
      </w:pPr>
      <w:bookmarkStart w:id="11398" w:name="_Toc309309697"/>
      <w:r>
        <w:t>Compilation table</w:t>
      </w:r>
      <w:bookmarkEnd w:id="11398"/>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before="36" w:after="40"/>
              <w:ind w:right="113"/>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before="36"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before="36" w:after="40"/>
              <w:rPr>
                <w:b/>
                <w:sz w:val="19"/>
              </w:rPr>
            </w:pPr>
            <w:r>
              <w:rPr>
                <w:b/>
                <w:sz w:val="19"/>
              </w:rPr>
              <w:t>Commencement</w:t>
            </w:r>
          </w:p>
        </w:tc>
      </w:tr>
      <w:tr>
        <w:trPr>
          <w:cantSplit/>
        </w:trPr>
        <w:tc>
          <w:tcPr>
            <w:tcW w:w="3119" w:type="dxa"/>
            <w:tcBorders>
              <w:top w:val="single" w:sz="8" w:space="0" w:color="auto"/>
            </w:tcBorders>
          </w:tcPr>
          <w:p>
            <w:pPr>
              <w:pStyle w:val="nTable"/>
              <w:spacing w:before="36" w:after="40"/>
              <w:ind w:right="113"/>
              <w:rPr>
                <w:sz w:val="19"/>
              </w:rPr>
            </w:pPr>
            <w:r>
              <w:rPr>
                <w:i/>
                <w:sz w:val="19"/>
              </w:rPr>
              <w:t>Fish Resources Management Regulations 1995</w:t>
            </w:r>
          </w:p>
        </w:tc>
        <w:tc>
          <w:tcPr>
            <w:tcW w:w="1276" w:type="dxa"/>
            <w:tcBorders>
              <w:top w:val="single" w:sz="8" w:space="0" w:color="auto"/>
            </w:tcBorders>
          </w:tcPr>
          <w:p>
            <w:pPr>
              <w:pStyle w:val="nTable"/>
              <w:spacing w:before="36" w:after="40"/>
              <w:rPr>
                <w:sz w:val="19"/>
              </w:rPr>
            </w:pPr>
            <w:r>
              <w:rPr>
                <w:sz w:val="19"/>
              </w:rPr>
              <w:t>29 Sep 1995 p. 4503</w:t>
            </w:r>
            <w:r>
              <w:rPr>
                <w:sz w:val="19"/>
              </w:rPr>
              <w:noBreakHyphen/>
              <w:t>646</w:t>
            </w:r>
          </w:p>
        </w:tc>
        <w:tc>
          <w:tcPr>
            <w:tcW w:w="2693" w:type="dxa"/>
            <w:tcBorders>
              <w:top w:val="single" w:sz="8" w:space="0" w:color="auto"/>
            </w:tcBorders>
          </w:tcPr>
          <w:p>
            <w:pPr>
              <w:pStyle w:val="nTable"/>
              <w:spacing w:before="36" w:after="40"/>
              <w:rPr>
                <w:sz w:val="19"/>
              </w:rPr>
            </w:pPr>
            <w:r>
              <w:rPr>
                <w:sz w:val="19"/>
              </w:rPr>
              <w:t>1 Oct 1995 (see r. 2 and </w:t>
            </w:r>
            <w:r>
              <w:rPr>
                <w:i/>
                <w:sz w:val="19"/>
              </w:rPr>
              <w:t>Gazette</w:t>
            </w:r>
            <w:r>
              <w:rPr>
                <w:sz w:val="19"/>
              </w:rPr>
              <w:t xml:space="preserve"> 29 Sep 1995 p. 4649)</w:t>
            </w:r>
          </w:p>
        </w:tc>
      </w:tr>
      <w:tr>
        <w:trPr>
          <w:cantSplit/>
        </w:trPr>
        <w:tc>
          <w:tcPr>
            <w:tcW w:w="3119" w:type="dxa"/>
          </w:tcPr>
          <w:p>
            <w:pPr>
              <w:pStyle w:val="nTable"/>
              <w:spacing w:before="36" w:after="40"/>
              <w:ind w:right="113"/>
              <w:rPr>
                <w:sz w:val="19"/>
              </w:rPr>
            </w:pPr>
            <w:r>
              <w:rPr>
                <w:i/>
                <w:sz w:val="19"/>
              </w:rPr>
              <w:t>Fish Resources Management Amendment Regulations 1995</w:t>
            </w:r>
          </w:p>
        </w:tc>
        <w:tc>
          <w:tcPr>
            <w:tcW w:w="1276" w:type="dxa"/>
          </w:tcPr>
          <w:p>
            <w:pPr>
              <w:pStyle w:val="nTable"/>
              <w:spacing w:before="36" w:after="40"/>
              <w:rPr>
                <w:sz w:val="19"/>
              </w:rPr>
            </w:pPr>
            <w:r>
              <w:rPr>
                <w:sz w:val="19"/>
              </w:rPr>
              <w:t>22 Dec 1995 p. 6169</w:t>
            </w:r>
          </w:p>
        </w:tc>
        <w:tc>
          <w:tcPr>
            <w:tcW w:w="2693" w:type="dxa"/>
          </w:tcPr>
          <w:p>
            <w:pPr>
              <w:pStyle w:val="nTable"/>
              <w:spacing w:before="36" w:after="40"/>
              <w:rPr>
                <w:sz w:val="19"/>
              </w:rPr>
            </w:pPr>
            <w:r>
              <w:rPr>
                <w:sz w:val="19"/>
              </w:rPr>
              <w:t>22 Dec 1995</w:t>
            </w:r>
          </w:p>
        </w:tc>
      </w:tr>
      <w:tr>
        <w:trPr>
          <w:cantSplit/>
        </w:trPr>
        <w:tc>
          <w:tcPr>
            <w:tcW w:w="3119" w:type="dxa"/>
          </w:tcPr>
          <w:p>
            <w:pPr>
              <w:pStyle w:val="nTable"/>
              <w:spacing w:before="36" w:after="40"/>
              <w:ind w:right="113"/>
              <w:rPr>
                <w:sz w:val="19"/>
              </w:rPr>
            </w:pPr>
            <w:r>
              <w:rPr>
                <w:i/>
                <w:sz w:val="19"/>
              </w:rPr>
              <w:t>Fish Resources Management Amendment Regulations 1996</w:t>
            </w:r>
          </w:p>
        </w:tc>
        <w:tc>
          <w:tcPr>
            <w:tcW w:w="1276" w:type="dxa"/>
          </w:tcPr>
          <w:p>
            <w:pPr>
              <w:pStyle w:val="nTable"/>
              <w:spacing w:before="36" w:after="40"/>
              <w:rPr>
                <w:sz w:val="19"/>
              </w:rPr>
            </w:pPr>
            <w:r>
              <w:rPr>
                <w:sz w:val="19"/>
              </w:rPr>
              <w:t>30 Aug 1996 p. 4318</w:t>
            </w:r>
            <w:r>
              <w:rPr>
                <w:sz w:val="19"/>
              </w:rPr>
              <w:noBreakHyphen/>
              <w:t>21</w:t>
            </w:r>
          </w:p>
        </w:tc>
        <w:tc>
          <w:tcPr>
            <w:tcW w:w="2693" w:type="dxa"/>
          </w:tcPr>
          <w:p>
            <w:pPr>
              <w:pStyle w:val="nTable"/>
              <w:spacing w:before="36" w:after="40"/>
              <w:rPr>
                <w:sz w:val="19"/>
              </w:rPr>
            </w:pPr>
            <w:r>
              <w:rPr>
                <w:sz w:val="19"/>
              </w:rPr>
              <w:t>30 Aug 1996</w:t>
            </w:r>
          </w:p>
        </w:tc>
      </w:tr>
      <w:tr>
        <w:trPr>
          <w:cantSplit/>
        </w:trPr>
        <w:tc>
          <w:tcPr>
            <w:tcW w:w="3119" w:type="dxa"/>
          </w:tcPr>
          <w:p>
            <w:pPr>
              <w:pStyle w:val="nTable"/>
              <w:spacing w:before="36" w:after="40"/>
              <w:ind w:right="113"/>
              <w:rPr>
                <w:sz w:val="19"/>
              </w:rPr>
            </w:pPr>
            <w:r>
              <w:rPr>
                <w:i/>
                <w:sz w:val="19"/>
              </w:rPr>
              <w:t>Fish Resources Management Amendment Regulations (No. 2) 1996</w:t>
            </w:r>
          </w:p>
        </w:tc>
        <w:tc>
          <w:tcPr>
            <w:tcW w:w="1276" w:type="dxa"/>
          </w:tcPr>
          <w:p>
            <w:pPr>
              <w:pStyle w:val="nTable"/>
              <w:spacing w:before="36" w:after="40"/>
              <w:rPr>
                <w:sz w:val="19"/>
              </w:rPr>
            </w:pPr>
            <w:r>
              <w:rPr>
                <w:sz w:val="19"/>
              </w:rPr>
              <w:t>24 Dec 1996 p. 7114</w:t>
            </w:r>
          </w:p>
        </w:tc>
        <w:tc>
          <w:tcPr>
            <w:tcW w:w="2693" w:type="dxa"/>
          </w:tcPr>
          <w:p>
            <w:pPr>
              <w:pStyle w:val="nTable"/>
              <w:spacing w:before="36" w:after="40"/>
              <w:rPr>
                <w:sz w:val="19"/>
              </w:rPr>
            </w:pPr>
            <w:r>
              <w:rPr>
                <w:sz w:val="19"/>
              </w:rPr>
              <w:t>24 Dec 1996</w:t>
            </w:r>
          </w:p>
        </w:tc>
      </w:tr>
      <w:tr>
        <w:trPr>
          <w:cantSplit/>
        </w:trPr>
        <w:tc>
          <w:tcPr>
            <w:tcW w:w="3119" w:type="dxa"/>
          </w:tcPr>
          <w:p>
            <w:pPr>
              <w:pStyle w:val="nTable"/>
              <w:spacing w:before="36" w:after="40"/>
              <w:ind w:right="113"/>
              <w:rPr>
                <w:sz w:val="19"/>
              </w:rPr>
            </w:pPr>
            <w:r>
              <w:rPr>
                <w:i/>
                <w:sz w:val="19"/>
              </w:rPr>
              <w:t>Fish Resources Management Amendment Regulations (No. 3) 1996</w:t>
            </w:r>
          </w:p>
        </w:tc>
        <w:tc>
          <w:tcPr>
            <w:tcW w:w="1276" w:type="dxa"/>
          </w:tcPr>
          <w:p>
            <w:pPr>
              <w:pStyle w:val="nTable"/>
              <w:spacing w:before="36" w:after="40"/>
              <w:rPr>
                <w:sz w:val="19"/>
              </w:rPr>
            </w:pPr>
            <w:r>
              <w:rPr>
                <w:sz w:val="19"/>
              </w:rPr>
              <w:t>24 Dec 1996 p. 7115</w:t>
            </w:r>
          </w:p>
        </w:tc>
        <w:tc>
          <w:tcPr>
            <w:tcW w:w="2693" w:type="dxa"/>
          </w:tcPr>
          <w:p>
            <w:pPr>
              <w:pStyle w:val="nTable"/>
              <w:spacing w:before="36" w:after="40"/>
              <w:rPr>
                <w:sz w:val="19"/>
              </w:rPr>
            </w:pPr>
            <w:r>
              <w:rPr>
                <w:sz w:val="19"/>
              </w:rPr>
              <w:t>24 Dec 1996</w:t>
            </w:r>
          </w:p>
        </w:tc>
      </w:tr>
      <w:tr>
        <w:trPr>
          <w:cantSplit/>
        </w:trPr>
        <w:tc>
          <w:tcPr>
            <w:tcW w:w="3119" w:type="dxa"/>
          </w:tcPr>
          <w:p>
            <w:pPr>
              <w:pStyle w:val="nTable"/>
              <w:spacing w:before="36" w:after="40"/>
              <w:ind w:right="113"/>
              <w:rPr>
                <w:sz w:val="19"/>
              </w:rPr>
            </w:pPr>
            <w:r>
              <w:rPr>
                <w:i/>
                <w:sz w:val="19"/>
              </w:rPr>
              <w:t>Fish Resources Management Amendment Regulations 1997</w:t>
            </w:r>
          </w:p>
        </w:tc>
        <w:tc>
          <w:tcPr>
            <w:tcW w:w="1276" w:type="dxa"/>
          </w:tcPr>
          <w:p>
            <w:pPr>
              <w:pStyle w:val="nTable"/>
              <w:spacing w:before="36" w:after="40"/>
              <w:rPr>
                <w:sz w:val="19"/>
              </w:rPr>
            </w:pPr>
            <w:r>
              <w:rPr>
                <w:sz w:val="19"/>
              </w:rPr>
              <w:t>27 Mar 1997 p. 1693</w:t>
            </w:r>
            <w:r>
              <w:rPr>
                <w:sz w:val="19"/>
              </w:rPr>
              <w:noBreakHyphen/>
              <w:t>4</w:t>
            </w:r>
          </w:p>
        </w:tc>
        <w:tc>
          <w:tcPr>
            <w:tcW w:w="2693" w:type="dxa"/>
          </w:tcPr>
          <w:p>
            <w:pPr>
              <w:pStyle w:val="nTable"/>
              <w:spacing w:before="36" w:after="40"/>
              <w:rPr>
                <w:sz w:val="19"/>
              </w:rPr>
            </w:pPr>
            <w:r>
              <w:rPr>
                <w:sz w:val="19"/>
              </w:rPr>
              <w:t>1 Apr 1997 (see r. 2)</w:t>
            </w:r>
          </w:p>
        </w:tc>
      </w:tr>
      <w:tr>
        <w:trPr>
          <w:cantSplit/>
        </w:trPr>
        <w:tc>
          <w:tcPr>
            <w:tcW w:w="3119" w:type="dxa"/>
          </w:tcPr>
          <w:p>
            <w:pPr>
              <w:pStyle w:val="nTable"/>
              <w:spacing w:before="36" w:after="40"/>
              <w:ind w:right="113"/>
              <w:rPr>
                <w:sz w:val="19"/>
              </w:rPr>
            </w:pPr>
            <w:r>
              <w:rPr>
                <w:i/>
                <w:sz w:val="19"/>
              </w:rPr>
              <w:t>Fish Resources Management Amendment Regulations (No. 2) 1997</w:t>
            </w:r>
          </w:p>
        </w:tc>
        <w:tc>
          <w:tcPr>
            <w:tcW w:w="1276" w:type="dxa"/>
          </w:tcPr>
          <w:p>
            <w:pPr>
              <w:pStyle w:val="nTable"/>
              <w:spacing w:before="36" w:after="40"/>
              <w:rPr>
                <w:sz w:val="19"/>
              </w:rPr>
            </w:pPr>
            <w:r>
              <w:rPr>
                <w:sz w:val="19"/>
              </w:rPr>
              <w:t>4 Jul 1997 p. 3474</w:t>
            </w:r>
            <w:r>
              <w:rPr>
                <w:sz w:val="19"/>
              </w:rPr>
              <w:noBreakHyphen/>
              <w:t>8</w:t>
            </w:r>
          </w:p>
        </w:tc>
        <w:tc>
          <w:tcPr>
            <w:tcW w:w="2693" w:type="dxa"/>
          </w:tcPr>
          <w:p>
            <w:pPr>
              <w:pStyle w:val="nTable"/>
              <w:spacing w:before="36" w:after="40"/>
              <w:rPr>
                <w:sz w:val="19"/>
              </w:rPr>
            </w:pPr>
            <w:r>
              <w:rPr>
                <w:sz w:val="19"/>
              </w:rPr>
              <w:t>4 Jul 1997 (see r. 2)</w:t>
            </w:r>
          </w:p>
        </w:tc>
      </w:tr>
      <w:tr>
        <w:trPr>
          <w:cantSplit/>
        </w:trPr>
        <w:tc>
          <w:tcPr>
            <w:tcW w:w="3119" w:type="dxa"/>
          </w:tcPr>
          <w:p>
            <w:pPr>
              <w:pStyle w:val="nTable"/>
              <w:spacing w:before="36" w:after="40"/>
              <w:ind w:right="113"/>
              <w:rPr>
                <w:sz w:val="19"/>
              </w:rPr>
            </w:pPr>
            <w:r>
              <w:rPr>
                <w:i/>
                <w:sz w:val="19"/>
              </w:rPr>
              <w:t>Fish Resources Management Amendment Regulations (No. 3) 1997</w:t>
            </w:r>
          </w:p>
        </w:tc>
        <w:tc>
          <w:tcPr>
            <w:tcW w:w="1276" w:type="dxa"/>
          </w:tcPr>
          <w:p>
            <w:pPr>
              <w:pStyle w:val="nTable"/>
              <w:spacing w:before="36" w:after="40"/>
              <w:rPr>
                <w:sz w:val="19"/>
              </w:rPr>
            </w:pPr>
            <w:r>
              <w:rPr>
                <w:sz w:val="19"/>
              </w:rPr>
              <w:t>12 Sep 1997 p. 5152</w:t>
            </w:r>
            <w:r>
              <w:rPr>
                <w:sz w:val="19"/>
              </w:rPr>
              <w:noBreakHyphen/>
              <w:t>4</w:t>
            </w:r>
          </w:p>
        </w:tc>
        <w:tc>
          <w:tcPr>
            <w:tcW w:w="2693" w:type="dxa"/>
          </w:tcPr>
          <w:p>
            <w:pPr>
              <w:pStyle w:val="nTable"/>
              <w:spacing w:before="36" w:after="40"/>
              <w:rPr>
                <w:sz w:val="19"/>
              </w:rPr>
            </w:pPr>
            <w:r>
              <w:rPr>
                <w:sz w:val="19"/>
              </w:rPr>
              <w:t>12 Sep 1997</w:t>
            </w:r>
          </w:p>
        </w:tc>
      </w:tr>
      <w:tr>
        <w:trPr>
          <w:cantSplit/>
        </w:trPr>
        <w:tc>
          <w:tcPr>
            <w:tcW w:w="3119" w:type="dxa"/>
          </w:tcPr>
          <w:p>
            <w:pPr>
              <w:pStyle w:val="nTable"/>
              <w:spacing w:before="36" w:after="40"/>
              <w:ind w:right="113"/>
              <w:rPr>
                <w:sz w:val="19"/>
              </w:rPr>
            </w:pPr>
            <w:r>
              <w:rPr>
                <w:i/>
                <w:sz w:val="19"/>
              </w:rPr>
              <w:t>Fish Resources Management Amendment Regulations (No. 5) 1997</w:t>
            </w:r>
          </w:p>
        </w:tc>
        <w:tc>
          <w:tcPr>
            <w:tcW w:w="1276" w:type="dxa"/>
          </w:tcPr>
          <w:p>
            <w:pPr>
              <w:pStyle w:val="nTable"/>
              <w:spacing w:before="36" w:after="40"/>
              <w:rPr>
                <w:sz w:val="19"/>
              </w:rPr>
            </w:pPr>
            <w:r>
              <w:rPr>
                <w:sz w:val="19"/>
              </w:rPr>
              <w:t>30 Sep 1997 p. 5415</w:t>
            </w:r>
            <w:r>
              <w:rPr>
                <w:sz w:val="19"/>
              </w:rPr>
              <w:noBreakHyphen/>
              <w:t>16</w:t>
            </w:r>
          </w:p>
        </w:tc>
        <w:tc>
          <w:tcPr>
            <w:tcW w:w="2693" w:type="dxa"/>
          </w:tcPr>
          <w:p>
            <w:pPr>
              <w:pStyle w:val="nTable"/>
              <w:spacing w:before="36" w:after="40"/>
              <w:rPr>
                <w:sz w:val="19"/>
              </w:rPr>
            </w:pPr>
            <w:r>
              <w:rPr>
                <w:sz w:val="19"/>
              </w:rPr>
              <w:t>30 Sep 1997</w:t>
            </w:r>
          </w:p>
        </w:tc>
      </w:tr>
      <w:tr>
        <w:trPr>
          <w:cantSplit/>
        </w:trPr>
        <w:tc>
          <w:tcPr>
            <w:tcW w:w="3119" w:type="dxa"/>
          </w:tcPr>
          <w:p>
            <w:pPr>
              <w:pStyle w:val="nTable"/>
              <w:spacing w:before="36" w:after="40"/>
              <w:ind w:right="113"/>
              <w:rPr>
                <w:sz w:val="19"/>
              </w:rPr>
            </w:pPr>
            <w:r>
              <w:rPr>
                <w:i/>
                <w:sz w:val="19"/>
              </w:rPr>
              <w:t>Fish Resources Management Amendment Regulations (No. 4) 1997</w:t>
            </w:r>
          </w:p>
        </w:tc>
        <w:tc>
          <w:tcPr>
            <w:tcW w:w="1276" w:type="dxa"/>
          </w:tcPr>
          <w:p>
            <w:pPr>
              <w:pStyle w:val="nTable"/>
              <w:spacing w:before="36" w:after="40"/>
              <w:rPr>
                <w:sz w:val="19"/>
              </w:rPr>
            </w:pPr>
            <w:r>
              <w:rPr>
                <w:sz w:val="19"/>
              </w:rPr>
              <w:t>30 Sep 1997 p. 5417</w:t>
            </w:r>
            <w:r>
              <w:rPr>
                <w:sz w:val="19"/>
              </w:rPr>
              <w:noBreakHyphen/>
              <w:t>18</w:t>
            </w:r>
          </w:p>
        </w:tc>
        <w:tc>
          <w:tcPr>
            <w:tcW w:w="2693" w:type="dxa"/>
          </w:tcPr>
          <w:p>
            <w:pPr>
              <w:pStyle w:val="nTable"/>
              <w:spacing w:before="36" w:after="40"/>
              <w:rPr>
                <w:sz w:val="19"/>
              </w:rPr>
            </w:pPr>
            <w:r>
              <w:rPr>
                <w:sz w:val="19"/>
              </w:rPr>
              <w:t>30 Sep 1997</w:t>
            </w:r>
          </w:p>
        </w:tc>
      </w:tr>
      <w:tr>
        <w:trPr>
          <w:cantSplit/>
        </w:trPr>
        <w:tc>
          <w:tcPr>
            <w:tcW w:w="3119" w:type="dxa"/>
          </w:tcPr>
          <w:p>
            <w:pPr>
              <w:pStyle w:val="nTable"/>
              <w:keepNext/>
              <w:keepLines/>
              <w:spacing w:before="36" w:after="40"/>
              <w:ind w:right="113"/>
              <w:rPr>
                <w:sz w:val="19"/>
              </w:rPr>
            </w:pPr>
            <w:r>
              <w:rPr>
                <w:i/>
                <w:sz w:val="19"/>
              </w:rPr>
              <w:t>Fish Resources Management Amendment Regulations (No. 6) 1997</w:t>
            </w:r>
          </w:p>
        </w:tc>
        <w:tc>
          <w:tcPr>
            <w:tcW w:w="1276" w:type="dxa"/>
          </w:tcPr>
          <w:p>
            <w:pPr>
              <w:pStyle w:val="nTable"/>
              <w:keepNext/>
              <w:keepLines/>
              <w:spacing w:before="36" w:after="40"/>
              <w:rPr>
                <w:sz w:val="19"/>
              </w:rPr>
            </w:pPr>
            <w:r>
              <w:rPr>
                <w:sz w:val="19"/>
              </w:rPr>
              <w:t>5 Dec 1997 p. 7121</w:t>
            </w:r>
            <w:r>
              <w:rPr>
                <w:sz w:val="19"/>
              </w:rPr>
              <w:noBreakHyphen/>
              <w:t>3</w:t>
            </w:r>
          </w:p>
        </w:tc>
        <w:tc>
          <w:tcPr>
            <w:tcW w:w="2693" w:type="dxa"/>
          </w:tcPr>
          <w:p>
            <w:pPr>
              <w:pStyle w:val="nTable"/>
              <w:keepNext/>
              <w:keepLines/>
              <w:spacing w:before="36" w:after="40"/>
              <w:rPr>
                <w:sz w:val="19"/>
              </w:rPr>
            </w:pPr>
            <w:r>
              <w:rPr>
                <w:sz w:val="19"/>
              </w:rPr>
              <w:t>5 Dec 1997</w:t>
            </w:r>
          </w:p>
        </w:tc>
      </w:tr>
      <w:tr>
        <w:trPr>
          <w:cantSplit/>
        </w:trPr>
        <w:tc>
          <w:tcPr>
            <w:tcW w:w="3119" w:type="dxa"/>
          </w:tcPr>
          <w:p>
            <w:pPr>
              <w:pStyle w:val="nTable"/>
              <w:spacing w:before="36" w:after="40"/>
              <w:ind w:right="113"/>
              <w:rPr>
                <w:sz w:val="19"/>
              </w:rPr>
            </w:pPr>
            <w:r>
              <w:rPr>
                <w:i/>
                <w:sz w:val="19"/>
              </w:rPr>
              <w:t>Fish Resources Management Amendment Regulations (No. 7) 1997</w:t>
            </w:r>
          </w:p>
        </w:tc>
        <w:tc>
          <w:tcPr>
            <w:tcW w:w="1276" w:type="dxa"/>
          </w:tcPr>
          <w:p>
            <w:pPr>
              <w:pStyle w:val="nTable"/>
              <w:spacing w:before="36" w:after="40"/>
              <w:rPr>
                <w:sz w:val="19"/>
              </w:rPr>
            </w:pPr>
            <w:r>
              <w:rPr>
                <w:sz w:val="19"/>
              </w:rPr>
              <w:t>5 Dec 1997 p. 7123</w:t>
            </w:r>
          </w:p>
        </w:tc>
        <w:tc>
          <w:tcPr>
            <w:tcW w:w="2693" w:type="dxa"/>
          </w:tcPr>
          <w:p>
            <w:pPr>
              <w:pStyle w:val="nTable"/>
              <w:spacing w:before="36" w:after="40"/>
              <w:rPr>
                <w:sz w:val="19"/>
              </w:rPr>
            </w:pPr>
            <w:r>
              <w:rPr>
                <w:sz w:val="19"/>
              </w:rPr>
              <w:t>5 Dec 1997</w:t>
            </w:r>
          </w:p>
        </w:tc>
      </w:tr>
      <w:tr>
        <w:trPr>
          <w:cantSplit/>
        </w:trPr>
        <w:tc>
          <w:tcPr>
            <w:tcW w:w="3119" w:type="dxa"/>
          </w:tcPr>
          <w:p>
            <w:pPr>
              <w:pStyle w:val="nTable"/>
              <w:spacing w:before="36" w:after="40"/>
              <w:ind w:right="113"/>
              <w:rPr>
                <w:sz w:val="19"/>
              </w:rPr>
            </w:pPr>
            <w:r>
              <w:rPr>
                <w:i/>
                <w:sz w:val="19"/>
              </w:rPr>
              <w:t>Fish Resources Management Regulations (No. 8) 1997</w:t>
            </w:r>
          </w:p>
        </w:tc>
        <w:tc>
          <w:tcPr>
            <w:tcW w:w="1276" w:type="dxa"/>
          </w:tcPr>
          <w:p>
            <w:pPr>
              <w:pStyle w:val="nTable"/>
              <w:spacing w:before="36" w:after="40"/>
              <w:rPr>
                <w:sz w:val="19"/>
              </w:rPr>
            </w:pPr>
            <w:r>
              <w:rPr>
                <w:sz w:val="19"/>
              </w:rPr>
              <w:t>2 Jan 1998 p. 25</w:t>
            </w:r>
            <w:r>
              <w:rPr>
                <w:sz w:val="19"/>
              </w:rPr>
              <w:noBreakHyphen/>
              <w:t>8 (correction 9 Jan 1998 p. 205)</w:t>
            </w:r>
          </w:p>
        </w:tc>
        <w:tc>
          <w:tcPr>
            <w:tcW w:w="2693" w:type="dxa"/>
          </w:tcPr>
          <w:p>
            <w:pPr>
              <w:pStyle w:val="nTable"/>
              <w:spacing w:before="36" w:after="40"/>
              <w:rPr>
                <w:sz w:val="19"/>
              </w:rPr>
            </w:pPr>
            <w:r>
              <w:rPr>
                <w:sz w:val="19"/>
              </w:rPr>
              <w:t>2 Jan 1998</w:t>
            </w:r>
          </w:p>
        </w:tc>
      </w:tr>
      <w:tr>
        <w:trPr>
          <w:cantSplit/>
        </w:trPr>
        <w:tc>
          <w:tcPr>
            <w:tcW w:w="3119" w:type="dxa"/>
          </w:tcPr>
          <w:p>
            <w:pPr>
              <w:pStyle w:val="nTable"/>
              <w:spacing w:before="36" w:after="40"/>
              <w:ind w:right="113"/>
              <w:rPr>
                <w:i/>
                <w:sz w:val="19"/>
              </w:rPr>
            </w:pPr>
            <w:r>
              <w:rPr>
                <w:i/>
                <w:sz w:val="19"/>
              </w:rPr>
              <w:t>Fish Resources Management Amendment Regulations 1998</w:t>
            </w:r>
          </w:p>
        </w:tc>
        <w:tc>
          <w:tcPr>
            <w:tcW w:w="1276" w:type="dxa"/>
          </w:tcPr>
          <w:p>
            <w:pPr>
              <w:pStyle w:val="nTable"/>
              <w:spacing w:before="36" w:after="40"/>
              <w:rPr>
                <w:sz w:val="19"/>
              </w:rPr>
            </w:pPr>
            <w:r>
              <w:rPr>
                <w:sz w:val="19"/>
              </w:rPr>
              <w:t>19 Jun 1998 p. 3263</w:t>
            </w:r>
            <w:r>
              <w:rPr>
                <w:sz w:val="19"/>
              </w:rPr>
              <w:noBreakHyphen/>
              <w:t>4</w:t>
            </w:r>
          </w:p>
        </w:tc>
        <w:tc>
          <w:tcPr>
            <w:tcW w:w="2693" w:type="dxa"/>
          </w:tcPr>
          <w:p>
            <w:pPr>
              <w:pStyle w:val="nTable"/>
              <w:spacing w:before="36" w:after="40"/>
              <w:rPr>
                <w:sz w:val="19"/>
              </w:rPr>
            </w:pPr>
            <w:r>
              <w:rPr>
                <w:sz w:val="19"/>
              </w:rPr>
              <w:t>19 Jun 1998</w:t>
            </w:r>
          </w:p>
        </w:tc>
      </w:tr>
      <w:tr>
        <w:trPr>
          <w:cantSplit/>
        </w:trPr>
        <w:tc>
          <w:tcPr>
            <w:tcW w:w="3119" w:type="dxa"/>
          </w:tcPr>
          <w:p>
            <w:pPr>
              <w:pStyle w:val="nTable"/>
              <w:spacing w:before="36" w:after="40"/>
              <w:ind w:right="113"/>
              <w:rPr>
                <w:i/>
                <w:sz w:val="19"/>
              </w:rPr>
            </w:pPr>
            <w:r>
              <w:rPr>
                <w:i/>
                <w:sz w:val="19"/>
              </w:rPr>
              <w:t>Fish Resources Management Amendment Regulations (No. 2) 1998</w:t>
            </w:r>
          </w:p>
        </w:tc>
        <w:tc>
          <w:tcPr>
            <w:tcW w:w="1276" w:type="dxa"/>
          </w:tcPr>
          <w:p>
            <w:pPr>
              <w:pStyle w:val="nTable"/>
              <w:spacing w:before="36" w:after="40"/>
              <w:rPr>
                <w:sz w:val="19"/>
              </w:rPr>
            </w:pPr>
            <w:r>
              <w:rPr>
                <w:sz w:val="19"/>
              </w:rPr>
              <w:t xml:space="preserve">7 Jul 1998 </w:t>
            </w:r>
            <w:r>
              <w:rPr>
                <w:sz w:val="19"/>
              </w:rPr>
              <w:br/>
              <w:t>p. 3613</w:t>
            </w:r>
            <w:r>
              <w:rPr>
                <w:sz w:val="19"/>
              </w:rPr>
              <w:noBreakHyphen/>
              <w:t>14</w:t>
            </w:r>
          </w:p>
        </w:tc>
        <w:tc>
          <w:tcPr>
            <w:tcW w:w="2693" w:type="dxa"/>
          </w:tcPr>
          <w:p>
            <w:pPr>
              <w:pStyle w:val="nTable"/>
              <w:spacing w:before="36" w:after="40"/>
              <w:rPr>
                <w:sz w:val="19"/>
              </w:rPr>
            </w:pPr>
            <w:r>
              <w:rPr>
                <w:sz w:val="19"/>
              </w:rPr>
              <w:t>7 Jul 1998</w:t>
            </w:r>
          </w:p>
        </w:tc>
      </w:tr>
      <w:tr>
        <w:trPr>
          <w:cantSplit/>
        </w:trPr>
        <w:tc>
          <w:tcPr>
            <w:tcW w:w="3119" w:type="dxa"/>
          </w:tcPr>
          <w:p>
            <w:pPr>
              <w:pStyle w:val="nTable"/>
              <w:spacing w:before="36" w:after="40"/>
              <w:ind w:right="113"/>
              <w:rPr>
                <w:i/>
                <w:sz w:val="19"/>
              </w:rPr>
            </w:pPr>
            <w:r>
              <w:rPr>
                <w:i/>
                <w:sz w:val="19"/>
              </w:rPr>
              <w:t>Fish Resources Management Amendment Regulations (No. 3) 1998</w:t>
            </w:r>
          </w:p>
        </w:tc>
        <w:tc>
          <w:tcPr>
            <w:tcW w:w="1276" w:type="dxa"/>
          </w:tcPr>
          <w:p>
            <w:pPr>
              <w:pStyle w:val="nTable"/>
              <w:spacing w:before="36" w:after="40"/>
              <w:rPr>
                <w:sz w:val="19"/>
              </w:rPr>
            </w:pPr>
            <w:r>
              <w:rPr>
                <w:sz w:val="19"/>
              </w:rPr>
              <w:t>25 Sep 1998 p. 5298</w:t>
            </w:r>
            <w:r>
              <w:rPr>
                <w:sz w:val="19"/>
              </w:rPr>
              <w:noBreakHyphen/>
              <w:t>300</w:t>
            </w:r>
          </w:p>
        </w:tc>
        <w:tc>
          <w:tcPr>
            <w:tcW w:w="2693" w:type="dxa"/>
          </w:tcPr>
          <w:p>
            <w:pPr>
              <w:pStyle w:val="nTable"/>
              <w:spacing w:before="36" w:after="40"/>
              <w:rPr>
                <w:sz w:val="19"/>
              </w:rPr>
            </w:pPr>
            <w:r>
              <w:rPr>
                <w:sz w:val="19"/>
              </w:rPr>
              <w:t>25 Sep 1998</w:t>
            </w:r>
          </w:p>
        </w:tc>
      </w:tr>
      <w:tr>
        <w:trPr>
          <w:cantSplit/>
        </w:trPr>
        <w:tc>
          <w:tcPr>
            <w:tcW w:w="3119" w:type="dxa"/>
          </w:tcPr>
          <w:p>
            <w:pPr>
              <w:pStyle w:val="nTable"/>
              <w:spacing w:before="36" w:after="40"/>
              <w:ind w:right="113"/>
              <w:rPr>
                <w:i/>
                <w:sz w:val="19"/>
              </w:rPr>
            </w:pPr>
            <w:r>
              <w:rPr>
                <w:i/>
                <w:sz w:val="19"/>
              </w:rPr>
              <w:t>Fish Resources Management Amendment Regulations (No. 4) 1998</w:t>
            </w:r>
          </w:p>
        </w:tc>
        <w:tc>
          <w:tcPr>
            <w:tcW w:w="1276" w:type="dxa"/>
          </w:tcPr>
          <w:p>
            <w:pPr>
              <w:pStyle w:val="nTable"/>
              <w:spacing w:before="36" w:after="40"/>
              <w:rPr>
                <w:sz w:val="19"/>
              </w:rPr>
            </w:pPr>
            <w:r>
              <w:rPr>
                <w:sz w:val="19"/>
              </w:rPr>
              <w:t>15 Jan 1999 p. 112</w:t>
            </w:r>
            <w:r>
              <w:rPr>
                <w:sz w:val="19"/>
              </w:rPr>
              <w:noBreakHyphen/>
              <w:t>13</w:t>
            </w:r>
          </w:p>
        </w:tc>
        <w:tc>
          <w:tcPr>
            <w:tcW w:w="2693" w:type="dxa"/>
          </w:tcPr>
          <w:p>
            <w:pPr>
              <w:pStyle w:val="nTable"/>
              <w:spacing w:before="36" w:after="40"/>
              <w:rPr>
                <w:sz w:val="19"/>
              </w:rPr>
            </w:pPr>
            <w:r>
              <w:rPr>
                <w:sz w:val="19"/>
              </w:rPr>
              <w:t>15 Jan 1999</w:t>
            </w:r>
          </w:p>
        </w:tc>
      </w:tr>
      <w:tr>
        <w:trPr>
          <w:cantSplit/>
        </w:trPr>
        <w:tc>
          <w:tcPr>
            <w:tcW w:w="3119" w:type="dxa"/>
          </w:tcPr>
          <w:p>
            <w:pPr>
              <w:pStyle w:val="nTable"/>
              <w:spacing w:before="36" w:after="40"/>
              <w:ind w:right="113"/>
              <w:rPr>
                <w:i/>
                <w:sz w:val="19"/>
              </w:rPr>
            </w:pPr>
            <w:r>
              <w:rPr>
                <w:i/>
                <w:sz w:val="19"/>
              </w:rPr>
              <w:t>Fish Resources Management Amendment Regulations 1999</w:t>
            </w:r>
            <w:r>
              <w:rPr>
                <w:sz w:val="19"/>
                <w:vertAlign w:val="superscript"/>
              </w:rPr>
              <w:t> 5</w:t>
            </w:r>
          </w:p>
        </w:tc>
        <w:tc>
          <w:tcPr>
            <w:tcW w:w="1276" w:type="dxa"/>
          </w:tcPr>
          <w:p>
            <w:pPr>
              <w:pStyle w:val="nTable"/>
              <w:spacing w:before="36" w:after="40"/>
              <w:rPr>
                <w:sz w:val="19"/>
              </w:rPr>
            </w:pPr>
            <w:r>
              <w:rPr>
                <w:sz w:val="19"/>
              </w:rPr>
              <w:t>26 Mar 1999 p. 1279</w:t>
            </w:r>
            <w:r>
              <w:rPr>
                <w:sz w:val="19"/>
              </w:rPr>
              <w:noBreakHyphen/>
              <w:t>80</w:t>
            </w:r>
          </w:p>
        </w:tc>
        <w:tc>
          <w:tcPr>
            <w:tcW w:w="2693" w:type="dxa"/>
          </w:tcPr>
          <w:p>
            <w:pPr>
              <w:pStyle w:val="nTable"/>
              <w:spacing w:before="36" w:after="40"/>
              <w:rPr>
                <w:sz w:val="19"/>
              </w:rPr>
            </w:pPr>
            <w:r>
              <w:rPr>
                <w:sz w:val="19"/>
              </w:rPr>
              <w:t>26 Mar 1999</w:t>
            </w:r>
          </w:p>
        </w:tc>
      </w:tr>
      <w:tr>
        <w:trPr>
          <w:cantSplit/>
        </w:trPr>
        <w:tc>
          <w:tcPr>
            <w:tcW w:w="3119" w:type="dxa"/>
          </w:tcPr>
          <w:p>
            <w:pPr>
              <w:pStyle w:val="nTable"/>
              <w:spacing w:before="36" w:after="40"/>
              <w:ind w:right="113"/>
              <w:rPr>
                <w:sz w:val="19"/>
                <w:vertAlign w:val="superscript"/>
              </w:rPr>
            </w:pPr>
            <w:r>
              <w:rPr>
                <w:i/>
                <w:sz w:val="19"/>
              </w:rPr>
              <w:t>Fish Resources Management Amendment Regulations (No. 2) 1999</w:t>
            </w:r>
          </w:p>
        </w:tc>
        <w:tc>
          <w:tcPr>
            <w:tcW w:w="1276" w:type="dxa"/>
          </w:tcPr>
          <w:p>
            <w:pPr>
              <w:pStyle w:val="nTable"/>
              <w:spacing w:before="36" w:after="40"/>
              <w:rPr>
                <w:sz w:val="19"/>
              </w:rPr>
            </w:pPr>
            <w:r>
              <w:rPr>
                <w:sz w:val="19"/>
              </w:rPr>
              <w:t>23 Apr 1999</w:t>
            </w:r>
            <w:r>
              <w:rPr>
                <w:sz w:val="19"/>
              </w:rPr>
              <w:br/>
              <w:t>p. 1716</w:t>
            </w:r>
          </w:p>
        </w:tc>
        <w:tc>
          <w:tcPr>
            <w:tcW w:w="2693" w:type="dxa"/>
          </w:tcPr>
          <w:p>
            <w:pPr>
              <w:pStyle w:val="nTable"/>
              <w:spacing w:before="36" w:after="40"/>
              <w:rPr>
                <w:sz w:val="19"/>
              </w:rPr>
            </w:pPr>
            <w:r>
              <w:rPr>
                <w:sz w:val="19"/>
              </w:rPr>
              <w:t>23 Apr 1999</w:t>
            </w:r>
          </w:p>
        </w:tc>
      </w:tr>
      <w:tr>
        <w:trPr>
          <w:cantSplit/>
        </w:trPr>
        <w:tc>
          <w:tcPr>
            <w:tcW w:w="3119" w:type="dxa"/>
          </w:tcPr>
          <w:p>
            <w:pPr>
              <w:pStyle w:val="nTable"/>
              <w:spacing w:before="36" w:after="40"/>
              <w:ind w:right="113"/>
              <w:rPr>
                <w:i/>
                <w:sz w:val="19"/>
              </w:rPr>
            </w:pPr>
            <w:r>
              <w:rPr>
                <w:i/>
                <w:sz w:val="19"/>
              </w:rPr>
              <w:t>Fish Resources Management Amendment Regulations (No. 3) 1999</w:t>
            </w:r>
          </w:p>
        </w:tc>
        <w:tc>
          <w:tcPr>
            <w:tcW w:w="1276" w:type="dxa"/>
          </w:tcPr>
          <w:p>
            <w:pPr>
              <w:pStyle w:val="nTable"/>
              <w:spacing w:before="36" w:after="40"/>
              <w:rPr>
                <w:sz w:val="19"/>
              </w:rPr>
            </w:pPr>
            <w:r>
              <w:rPr>
                <w:sz w:val="19"/>
              </w:rPr>
              <w:t>4 Jun 1999 p. 2269</w:t>
            </w:r>
            <w:r>
              <w:rPr>
                <w:sz w:val="19"/>
              </w:rPr>
              <w:noBreakHyphen/>
              <w:t>70</w:t>
            </w:r>
          </w:p>
        </w:tc>
        <w:tc>
          <w:tcPr>
            <w:tcW w:w="2693" w:type="dxa"/>
          </w:tcPr>
          <w:p>
            <w:pPr>
              <w:pStyle w:val="nTable"/>
              <w:spacing w:before="36" w:after="40"/>
              <w:rPr>
                <w:sz w:val="19"/>
              </w:rPr>
            </w:pPr>
            <w:r>
              <w:rPr>
                <w:sz w:val="19"/>
              </w:rPr>
              <w:t>4 Jun 1999</w:t>
            </w:r>
          </w:p>
        </w:tc>
      </w:tr>
      <w:tr>
        <w:trPr>
          <w:cantSplit/>
        </w:trPr>
        <w:tc>
          <w:tcPr>
            <w:tcW w:w="3119" w:type="dxa"/>
          </w:tcPr>
          <w:p>
            <w:pPr>
              <w:pStyle w:val="nTable"/>
              <w:spacing w:before="36" w:after="40"/>
              <w:ind w:right="113"/>
              <w:rPr>
                <w:i/>
                <w:sz w:val="19"/>
              </w:rPr>
            </w:pPr>
            <w:r>
              <w:rPr>
                <w:i/>
                <w:sz w:val="19"/>
              </w:rPr>
              <w:t>Fish Resources Management Amendment Regulations (No. 4) 1999</w:t>
            </w:r>
          </w:p>
        </w:tc>
        <w:tc>
          <w:tcPr>
            <w:tcW w:w="1276" w:type="dxa"/>
          </w:tcPr>
          <w:p>
            <w:pPr>
              <w:pStyle w:val="nTable"/>
              <w:spacing w:before="36" w:after="40"/>
              <w:rPr>
                <w:sz w:val="19"/>
              </w:rPr>
            </w:pPr>
            <w:r>
              <w:rPr>
                <w:sz w:val="19"/>
              </w:rPr>
              <w:t>4 Jun 1999 p. 2270</w:t>
            </w:r>
            <w:r>
              <w:rPr>
                <w:sz w:val="19"/>
              </w:rPr>
              <w:noBreakHyphen/>
              <w:t>1</w:t>
            </w:r>
          </w:p>
        </w:tc>
        <w:tc>
          <w:tcPr>
            <w:tcW w:w="2693" w:type="dxa"/>
          </w:tcPr>
          <w:p>
            <w:pPr>
              <w:pStyle w:val="nTable"/>
              <w:spacing w:before="36" w:after="40"/>
              <w:rPr>
                <w:sz w:val="19"/>
              </w:rPr>
            </w:pPr>
            <w:r>
              <w:rPr>
                <w:sz w:val="19"/>
              </w:rPr>
              <w:t>4 Jun 1999</w:t>
            </w:r>
          </w:p>
        </w:tc>
      </w:tr>
      <w:tr>
        <w:trPr>
          <w:cantSplit/>
        </w:trPr>
        <w:tc>
          <w:tcPr>
            <w:tcW w:w="3119" w:type="dxa"/>
          </w:tcPr>
          <w:p>
            <w:pPr>
              <w:pStyle w:val="nTable"/>
              <w:spacing w:before="36" w:after="40"/>
              <w:ind w:right="113"/>
              <w:rPr>
                <w:i/>
                <w:sz w:val="19"/>
              </w:rPr>
            </w:pPr>
            <w:r>
              <w:rPr>
                <w:i/>
                <w:sz w:val="19"/>
              </w:rPr>
              <w:t>Fish Resources Management Amendment Regulations (No. 6) 1999</w:t>
            </w:r>
          </w:p>
        </w:tc>
        <w:tc>
          <w:tcPr>
            <w:tcW w:w="1276" w:type="dxa"/>
          </w:tcPr>
          <w:p>
            <w:pPr>
              <w:pStyle w:val="nTable"/>
              <w:spacing w:before="36" w:after="40"/>
              <w:rPr>
                <w:sz w:val="19"/>
              </w:rPr>
            </w:pPr>
            <w:r>
              <w:rPr>
                <w:sz w:val="19"/>
              </w:rPr>
              <w:t>13 Aug 1999 p. 3825</w:t>
            </w:r>
            <w:r>
              <w:rPr>
                <w:sz w:val="19"/>
              </w:rPr>
              <w:noBreakHyphen/>
              <w:t>7</w:t>
            </w:r>
          </w:p>
        </w:tc>
        <w:tc>
          <w:tcPr>
            <w:tcW w:w="2693" w:type="dxa"/>
          </w:tcPr>
          <w:p>
            <w:pPr>
              <w:pStyle w:val="nTable"/>
              <w:spacing w:before="36" w:after="40"/>
              <w:rPr>
                <w:sz w:val="19"/>
              </w:rPr>
            </w:pPr>
            <w:r>
              <w:rPr>
                <w:sz w:val="19"/>
              </w:rPr>
              <w:t>13 Aug 1999</w:t>
            </w:r>
          </w:p>
        </w:tc>
      </w:tr>
      <w:tr>
        <w:trPr>
          <w:cantSplit/>
        </w:trPr>
        <w:tc>
          <w:tcPr>
            <w:tcW w:w="3119" w:type="dxa"/>
          </w:tcPr>
          <w:p>
            <w:pPr>
              <w:pStyle w:val="nTable"/>
              <w:spacing w:before="36" w:after="40"/>
              <w:ind w:right="113"/>
              <w:rPr>
                <w:i/>
                <w:sz w:val="19"/>
              </w:rPr>
            </w:pPr>
            <w:r>
              <w:rPr>
                <w:i/>
                <w:sz w:val="19"/>
              </w:rPr>
              <w:t>Fish Resources Management Amendment Regulations (No. 7) 1999</w:t>
            </w:r>
          </w:p>
        </w:tc>
        <w:tc>
          <w:tcPr>
            <w:tcW w:w="1276" w:type="dxa"/>
          </w:tcPr>
          <w:p>
            <w:pPr>
              <w:pStyle w:val="nTable"/>
              <w:spacing w:before="36" w:after="40"/>
              <w:rPr>
                <w:sz w:val="19"/>
              </w:rPr>
            </w:pPr>
            <w:r>
              <w:rPr>
                <w:sz w:val="19"/>
              </w:rPr>
              <w:t>28 Sep 1999 p. 4699</w:t>
            </w:r>
          </w:p>
        </w:tc>
        <w:tc>
          <w:tcPr>
            <w:tcW w:w="2693" w:type="dxa"/>
          </w:tcPr>
          <w:p>
            <w:pPr>
              <w:pStyle w:val="nTable"/>
              <w:spacing w:before="36" w:after="40"/>
              <w:rPr>
                <w:sz w:val="19"/>
              </w:rPr>
            </w:pPr>
            <w:r>
              <w:rPr>
                <w:sz w:val="19"/>
              </w:rPr>
              <w:t>28 Sep 1999</w:t>
            </w:r>
          </w:p>
        </w:tc>
      </w:tr>
      <w:tr>
        <w:trPr>
          <w:cantSplit/>
        </w:trPr>
        <w:tc>
          <w:tcPr>
            <w:tcW w:w="3119" w:type="dxa"/>
          </w:tcPr>
          <w:p>
            <w:pPr>
              <w:pStyle w:val="nTable"/>
              <w:spacing w:before="36" w:after="40"/>
              <w:ind w:right="113"/>
              <w:rPr>
                <w:i/>
                <w:sz w:val="19"/>
              </w:rPr>
            </w:pPr>
            <w:r>
              <w:rPr>
                <w:i/>
                <w:sz w:val="19"/>
              </w:rPr>
              <w:t>Fish Resources Management Amendment Regulations (No. 8) 1999</w:t>
            </w:r>
          </w:p>
        </w:tc>
        <w:tc>
          <w:tcPr>
            <w:tcW w:w="1276" w:type="dxa"/>
          </w:tcPr>
          <w:p>
            <w:pPr>
              <w:pStyle w:val="nTable"/>
              <w:spacing w:before="36" w:after="40"/>
              <w:rPr>
                <w:sz w:val="19"/>
              </w:rPr>
            </w:pPr>
            <w:r>
              <w:rPr>
                <w:sz w:val="19"/>
              </w:rPr>
              <w:t>21 Dec 1999 p. 6406</w:t>
            </w:r>
            <w:r>
              <w:rPr>
                <w:sz w:val="19"/>
              </w:rPr>
              <w:noBreakHyphen/>
              <w:t>10</w:t>
            </w:r>
          </w:p>
        </w:tc>
        <w:tc>
          <w:tcPr>
            <w:tcW w:w="2693" w:type="dxa"/>
          </w:tcPr>
          <w:p>
            <w:pPr>
              <w:pStyle w:val="nTable"/>
              <w:spacing w:before="36" w:after="40"/>
              <w:rPr>
                <w:sz w:val="19"/>
              </w:rPr>
            </w:pPr>
            <w:r>
              <w:rPr>
                <w:sz w:val="19"/>
              </w:rPr>
              <w:t>21 Dec 1999</w:t>
            </w:r>
          </w:p>
        </w:tc>
      </w:tr>
      <w:tr>
        <w:trPr>
          <w:cantSplit/>
        </w:trPr>
        <w:tc>
          <w:tcPr>
            <w:tcW w:w="3119" w:type="dxa"/>
          </w:tcPr>
          <w:p>
            <w:pPr>
              <w:pStyle w:val="nTable"/>
              <w:spacing w:before="36" w:after="40"/>
              <w:ind w:right="113"/>
              <w:rPr>
                <w:i/>
                <w:sz w:val="19"/>
              </w:rPr>
            </w:pPr>
            <w:r>
              <w:rPr>
                <w:i/>
                <w:sz w:val="19"/>
              </w:rPr>
              <w:t>Fish Resources Management Amendment Regulations (No. 9) 1999</w:t>
            </w:r>
          </w:p>
        </w:tc>
        <w:tc>
          <w:tcPr>
            <w:tcW w:w="1276" w:type="dxa"/>
          </w:tcPr>
          <w:p>
            <w:pPr>
              <w:pStyle w:val="nTable"/>
              <w:spacing w:before="36" w:after="40"/>
              <w:rPr>
                <w:sz w:val="19"/>
              </w:rPr>
            </w:pPr>
            <w:r>
              <w:rPr>
                <w:sz w:val="19"/>
              </w:rPr>
              <w:t>21 Dec 1999 p. 6411</w:t>
            </w:r>
          </w:p>
        </w:tc>
        <w:tc>
          <w:tcPr>
            <w:tcW w:w="2693" w:type="dxa"/>
          </w:tcPr>
          <w:p>
            <w:pPr>
              <w:pStyle w:val="nTable"/>
              <w:spacing w:before="36" w:after="40"/>
              <w:rPr>
                <w:sz w:val="19"/>
              </w:rPr>
            </w:pPr>
            <w:r>
              <w:rPr>
                <w:sz w:val="19"/>
              </w:rPr>
              <w:t>21 Dec 1999</w:t>
            </w:r>
          </w:p>
        </w:tc>
      </w:tr>
      <w:tr>
        <w:trPr>
          <w:cantSplit/>
        </w:trPr>
        <w:tc>
          <w:tcPr>
            <w:tcW w:w="3119" w:type="dxa"/>
          </w:tcPr>
          <w:p>
            <w:pPr>
              <w:pStyle w:val="nTable"/>
              <w:spacing w:before="36" w:after="40"/>
              <w:ind w:right="113"/>
              <w:rPr>
                <w:i/>
                <w:sz w:val="19"/>
              </w:rPr>
            </w:pPr>
            <w:r>
              <w:rPr>
                <w:i/>
                <w:sz w:val="19"/>
              </w:rPr>
              <w:t>Fish Resources Management Amendment Regulations 2000</w:t>
            </w:r>
          </w:p>
        </w:tc>
        <w:tc>
          <w:tcPr>
            <w:tcW w:w="1276" w:type="dxa"/>
          </w:tcPr>
          <w:p>
            <w:pPr>
              <w:pStyle w:val="nTable"/>
              <w:spacing w:before="36" w:after="40"/>
              <w:rPr>
                <w:sz w:val="19"/>
              </w:rPr>
            </w:pPr>
            <w:r>
              <w:rPr>
                <w:sz w:val="19"/>
              </w:rPr>
              <w:t>7 Apr 2000 p. 1813</w:t>
            </w:r>
            <w:r>
              <w:rPr>
                <w:sz w:val="19"/>
              </w:rPr>
              <w:noBreakHyphen/>
              <w:t>14</w:t>
            </w:r>
          </w:p>
        </w:tc>
        <w:tc>
          <w:tcPr>
            <w:tcW w:w="2693" w:type="dxa"/>
          </w:tcPr>
          <w:p>
            <w:pPr>
              <w:pStyle w:val="nTable"/>
              <w:spacing w:before="36" w:after="40"/>
              <w:rPr>
                <w:sz w:val="19"/>
              </w:rPr>
            </w:pPr>
            <w:r>
              <w:rPr>
                <w:sz w:val="19"/>
              </w:rPr>
              <w:t>7 Apr 2000</w:t>
            </w:r>
          </w:p>
        </w:tc>
      </w:tr>
      <w:tr>
        <w:trPr>
          <w:cantSplit/>
        </w:trPr>
        <w:tc>
          <w:tcPr>
            <w:tcW w:w="7088" w:type="dxa"/>
            <w:gridSpan w:val="3"/>
          </w:tcPr>
          <w:p>
            <w:pPr>
              <w:pStyle w:val="nTable"/>
              <w:spacing w:before="36" w:after="40"/>
              <w:rPr>
                <w:sz w:val="19"/>
              </w:rPr>
            </w:pPr>
            <w:r>
              <w:rPr>
                <w:b/>
                <w:sz w:val="19"/>
              </w:rPr>
              <w:t xml:space="preserve">Reprint of the </w:t>
            </w:r>
            <w:r>
              <w:rPr>
                <w:b/>
                <w:i/>
                <w:sz w:val="19"/>
              </w:rPr>
              <w:t>Fish Resources Management Regulations 1995</w:t>
            </w:r>
            <w:r>
              <w:rPr>
                <w:b/>
                <w:sz w:val="19"/>
              </w:rPr>
              <w:t xml:space="preserve"> as at 2 Jun 2000</w:t>
            </w:r>
            <w:r>
              <w:rPr>
                <w:sz w:val="19"/>
              </w:rPr>
              <w:br/>
              <w:t xml:space="preserve">(includes amendments listed above) (correction in </w:t>
            </w:r>
            <w:r>
              <w:rPr>
                <w:i/>
                <w:sz w:val="19"/>
              </w:rPr>
              <w:t>Gazette</w:t>
            </w:r>
            <w:r>
              <w:rPr>
                <w:sz w:val="19"/>
              </w:rPr>
              <w:t xml:space="preserve"> 11 Aug 2000 p. 4693)</w:t>
            </w:r>
          </w:p>
        </w:tc>
      </w:tr>
      <w:tr>
        <w:trPr>
          <w:cantSplit/>
        </w:trPr>
        <w:tc>
          <w:tcPr>
            <w:tcW w:w="3119" w:type="dxa"/>
          </w:tcPr>
          <w:p>
            <w:pPr>
              <w:pStyle w:val="nTable"/>
              <w:spacing w:before="36" w:after="40"/>
              <w:ind w:right="113"/>
              <w:rPr>
                <w:i/>
                <w:sz w:val="19"/>
              </w:rPr>
            </w:pPr>
            <w:r>
              <w:rPr>
                <w:i/>
                <w:sz w:val="19"/>
              </w:rPr>
              <w:t>Fish Resources Management Amendment Regulations (No. 2) 2000</w:t>
            </w:r>
          </w:p>
        </w:tc>
        <w:tc>
          <w:tcPr>
            <w:tcW w:w="1276" w:type="dxa"/>
          </w:tcPr>
          <w:p>
            <w:pPr>
              <w:pStyle w:val="nTable"/>
              <w:spacing w:before="36" w:after="40"/>
              <w:rPr>
                <w:sz w:val="19"/>
              </w:rPr>
            </w:pPr>
            <w:r>
              <w:rPr>
                <w:sz w:val="19"/>
              </w:rPr>
              <w:t>25 Aug 2000 p. 4905</w:t>
            </w:r>
          </w:p>
        </w:tc>
        <w:tc>
          <w:tcPr>
            <w:tcW w:w="2693" w:type="dxa"/>
          </w:tcPr>
          <w:p>
            <w:pPr>
              <w:pStyle w:val="nTable"/>
              <w:spacing w:before="36" w:after="40"/>
              <w:rPr>
                <w:sz w:val="19"/>
              </w:rPr>
            </w:pPr>
            <w:r>
              <w:rPr>
                <w:sz w:val="19"/>
              </w:rPr>
              <w:t>25 Aug 2000</w:t>
            </w:r>
          </w:p>
        </w:tc>
      </w:tr>
      <w:tr>
        <w:trPr>
          <w:cantSplit/>
        </w:trPr>
        <w:tc>
          <w:tcPr>
            <w:tcW w:w="3119" w:type="dxa"/>
          </w:tcPr>
          <w:p>
            <w:pPr>
              <w:pStyle w:val="nTable"/>
              <w:spacing w:before="36" w:after="40"/>
              <w:ind w:right="113"/>
              <w:rPr>
                <w:i/>
                <w:sz w:val="19"/>
              </w:rPr>
            </w:pPr>
            <w:r>
              <w:rPr>
                <w:i/>
                <w:sz w:val="19"/>
              </w:rPr>
              <w:t>Fish Resources Management Amendment Regulations (No. 3) 2000</w:t>
            </w:r>
          </w:p>
        </w:tc>
        <w:tc>
          <w:tcPr>
            <w:tcW w:w="1276" w:type="dxa"/>
          </w:tcPr>
          <w:p>
            <w:pPr>
              <w:pStyle w:val="nTable"/>
              <w:spacing w:before="36" w:after="40"/>
              <w:rPr>
                <w:sz w:val="19"/>
              </w:rPr>
            </w:pPr>
            <w:r>
              <w:rPr>
                <w:sz w:val="19"/>
              </w:rPr>
              <w:t>8 Sep 2000 p. 5185</w:t>
            </w:r>
            <w:r>
              <w:rPr>
                <w:sz w:val="19"/>
              </w:rPr>
              <w:noBreakHyphen/>
              <w:t>8</w:t>
            </w:r>
          </w:p>
        </w:tc>
        <w:tc>
          <w:tcPr>
            <w:tcW w:w="2693" w:type="dxa"/>
          </w:tcPr>
          <w:p>
            <w:pPr>
              <w:pStyle w:val="nTable"/>
              <w:spacing w:before="36" w:after="40"/>
              <w:rPr>
                <w:sz w:val="19"/>
              </w:rPr>
            </w:pPr>
            <w:r>
              <w:rPr>
                <w:sz w:val="19"/>
              </w:rPr>
              <w:t>8 Sep 2000</w:t>
            </w:r>
          </w:p>
        </w:tc>
      </w:tr>
      <w:tr>
        <w:trPr>
          <w:cantSplit/>
        </w:trPr>
        <w:tc>
          <w:tcPr>
            <w:tcW w:w="3119" w:type="dxa"/>
          </w:tcPr>
          <w:p>
            <w:pPr>
              <w:pStyle w:val="nTable"/>
              <w:spacing w:before="36" w:after="40"/>
              <w:ind w:right="113"/>
              <w:rPr>
                <w:i/>
                <w:sz w:val="19"/>
              </w:rPr>
            </w:pPr>
            <w:r>
              <w:rPr>
                <w:i/>
                <w:sz w:val="19"/>
              </w:rPr>
              <w:t>Fish Resources Management Amendment Regulations (No. 5) 2000</w:t>
            </w:r>
          </w:p>
        </w:tc>
        <w:tc>
          <w:tcPr>
            <w:tcW w:w="1276" w:type="dxa"/>
          </w:tcPr>
          <w:p>
            <w:pPr>
              <w:pStyle w:val="nTable"/>
              <w:spacing w:before="36" w:after="40"/>
              <w:rPr>
                <w:sz w:val="19"/>
              </w:rPr>
            </w:pPr>
            <w:r>
              <w:rPr>
                <w:sz w:val="19"/>
              </w:rPr>
              <w:t>26 Sep 2000 p. 5516</w:t>
            </w:r>
            <w:r>
              <w:rPr>
                <w:sz w:val="19"/>
              </w:rPr>
              <w:noBreakHyphen/>
              <w:t>17</w:t>
            </w:r>
          </w:p>
        </w:tc>
        <w:tc>
          <w:tcPr>
            <w:tcW w:w="2693" w:type="dxa"/>
          </w:tcPr>
          <w:p>
            <w:pPr>
              <w:pStyle w:val="nTable"/>
              <w:spacing w:before="36" w:after="40"/>
              <w:rPr>
                <w:sz w:val="19"/>
              </w:rPr>
            </w:pPr>
            <w:r>
              <w:rPr>
                <w:sz w:val="19"/>
              </w:rPr>
              <w:t>26 Sep 2000</w:t>
            </w:r>
          </w:p>
        </w:tc>
      </w:tr>
      <w:tr>
        <w:trPr>
          <w:cantSplit/>
        </w:trPr>
        <w:tc>
          <w:tcPr>
            <w:tcW w:w="3119" w:type="dxa"/>
          </w:tcPr>
          <w:p>
            <w:pPr>
              <w:pStyle w:val="nTable"/>
              <w:spacing w:before="36" w:after="40"/>
              <w:ind w:right="113"/>
              <w:rPr>
                <w:i/>
                <w:sz w:val="19"/>
              </w:rPr>
            </w:pPr>
            <w:r>
              <w:rPr>
                <w:i/>
                <w:sz w:val="19"/>
              </w:rPr>
              <w:t xml:space="preserve">Fish Resources Management Amendment Regulations (No. 7) 2000 </w:t>
            </w:r>
          </w:p>
        </w:tc>
        <w:tc>
          <w:tcPr>
            <w:tcW w:w="1276" w:type="dxa"/>
          </w:tcPr>
          <w:p>
            <w:pPr>
              <w:pStyle w:val="nTable"/>
              <w:spacing w:before="36" w:after="40"/>
              <w:rPr>
                <w:sz w:val="19"/>
              </w:rPr>
            </w:pPr>
            <w:r>
              <w:rPr>
                <w:sz w:val="19"/>
              </w:rPr>
              <w:t>6 Oct 2000 p. 5589</w:t>
            </w:r>
            <w:r>
              <w:rPr>
                <w:sz w:val="19"/>
              </w:rPr>
              <w:noBreakHyphen/>
              <w:t>90</w:t>
            </w:r>
          </w:p>
        </w:tc>
        <w:tc>
          <w:tcPr>
            <w:tcW w:w="2693" w:type="dxa"/>
          </w:tcPr>
          <w:p>
            <w:pPr>
              <w:pStyle w:val="nTable"/>
              <w:spacing w:before="36" w:after="40"/>
              <w:rPr>
                <w:sz w:val="19"/>
              </w:rPr>
            </w:pPr>
            <w:r>
              <w:rPr>
                <w:sz w:val="19"/>
              </w:rPr>
              <w:t xml:space="preserve">6 Oct 2000 </w:t>
            </w:r>
          </w:p>
        </w:tc>
      </w:tr>
      <w:tr>
        <w:trPr>
          <w:cantSplit/>
        </w:trPr>
        <w:tc>
          <w:tcPr>
            <w:tcW w:w="3119" w:type="dxa"/>
          </w:tcPr>
          <w:p>
            <w:pPr>
              <w:pStyle w:val="nTable"/>
              <w:spacing w:before="36" w:after="40"/>
              <w:ind w:right="113"/>
              <w:rPr>
                <w:i/>
                <w:sz w:val="19"/>
              </w:rPr>
            </w:pPr>
            <w:r>
              <w:rPr>
                <w:i/>
                <w:sz w:val="19"/>
              </w:rPr>
              <w:t>Fish Resources Management Amendment Regulations (No. 6) 2000</w:t>
            </w:r>
          </w:p>
        </w:tc>
        <w:tc>
          <w:tcPr>
            <w:tcW w:w="1276" w:type="dxa"/>
          </w:tcPr>
          <w:p>
            <w:pPr>
              <w:pStyle w:val="nTable"/>
              <w:spacing w:before="36" w:after="40"/>
              <w:rPr>
                <w:sz w:val="19"/>
              </w:rPr>
            </w:pPr>
            <w:r>
              <w:rPr>
                <w:sz w:val="19"/>
              </w:rPr>
              <w:t>24 Oct 2000 p. 5965</w:t>
            </w:r>
          </w:p>
        </w:tc>
        <w:tc>
          <w:tcPr>
            <w:tcW w:w="2693" w:type="dxa"/>
          </w:tcPr>
          <w:p>
            <w:pPr>
              <w:pStyle w:val="nTable"/>
              <w:spacing w:before="36" w:after="40"/>
              <w:rPr>
                <w:sz w:val="19"/>
              </w:rPr>
            </w:pPr>
            <w:r>
              <w:rPr>
                <w:sz w:val="19"/>
              </w:rPr>
              <w:t>24 Oct 2000</w:t>
            </w:r>
          </w:p>
        </w:tc>
      </w:tr>
      <w:tr>
        <w:trPr>
          <w:cantSplit/>
        </w:trPr>
        <w:tc>
          <w:tcPr>
            <w:tcW w:w="3119" w:type="dxa"/>
          </w:tcPr>
          <w:p>
            <w:pPr>
              <w:pStyle w:val="nTable"/>
              <w:spacing w:before="36" w:after="40"/>
              <w:ind w:right="113"/>
              <w:rPr>
                <w:i/>
                <w:sz w:val="19"/>
              </w:rPr>
            </w:pPr>
            <w:r>
              <w:rPr>
                <w:i/>
                <w:sz w:val="19"/>
              </w:rPr>
              <w:t>Fish Resources Management Amendment Regulations (No. 8) 2000</w:t>
            </w:r>
          </w:p>
        </w:tc>
        <w:tc>
          <w:tcPr>
            <w:tcW w:w="1276" w:type="dxa"/>
          </w:tcPr>
          <w:p>
            <w:pPr>
              <w:pStyle w:val="nTable"/>
              <w:spacing w:before="36" w:after="40"/>
              <w:rPr>
                <w:sz w:val="19"/>
              </w:rPr>
            </w:pPr>
            <w:r>
              <w:rPr>
                <w:sz w:val="19"/>
              </w:rPr>
              <w:t>3 Nov 2000 p. 6103</w:t>
            </w:r>
          </w:p>
        </w:tc>
        <w:tc>
          <w:tcPr>
            <w:tcW w:w="2693" w:type="dxa"/>
          </w:tcPr>
          <w:p>
            <w:pPr>
              <w:pStyle w:val="nTable"/>
              <w:spacing w:before="36" w:after="40"/>
              <w:rPr>
                <w:sz w:val="19"/>
              </w:rPr>
            </w:pPr>
            <w:r>
              <w:rPr>
                <w:sz w:val="19"/>
              </w:rPr>
              <w:t>3 Nov 2000</w:t>
            </w:r>
          </w:p>
        </w:tc>
      </w:tr>
      <w:tr>
        <w:trPr>
          <w:cantSplit/>
        </w:trPr>
        <w:tc>
          <w:tcPr>
            <w:tcW w:w="3119" w:type="dxa"/>
          </w:tcPr>
          <w:p>
            <w:pPr>
              <w:pStyle w:val="nTable"/>
              <w:spacing w:before="36" w:after="40"/>
              <w:ind w:right="113"/>
              <w:rPr>
                <w:i/>
                <w:sz w:val="19"/>
              </w:rPr>
            </w:pPr>
            <w:r>
              <w:rPr>
                <w:i/>
                <w:sz w:val="19"/>
              </w:rPr>
              <w:t>Fish Resources Management Amendment Regulations (No. 9) 2000</w:t>
            </w:r>
          </w:p>
        </w:tc>
        <w:tc>
          <w:tcPr>
            <w:tcW w:w="1276" w:type="dxa"/>
          </w:tcPr>
          <w:p>
            <w:pPr>
              <w:pStyle w:val="nTable"/>
              <w:spacing w:before="36" w:after="40"/>
              <w:rPr>
                <w:sz w:val="19"/>
              </w:rPr>
            </w:pPr>
            <w:r>
              <w:rPr>
                <w:sz w:val="19"/>
              </w:rPr>
              <w:t>29 Dec 2000 p. 7905</w:t>
            </w:r>
            <w:r>
              <w:rPr>
                <w:sz w:val="19"/>
              </w:rPr>
              <w:noBreakHyphen/>
              <w:t>7</w:t>
            </w:r>
          </w:p>
        </w:tc>
        <w:tc>
          <w:tcPr>
            <w:tcW w:w="2693" w:type="dxa"/>
          </w:tcPr>
          <w:p>
            <w:pPr>
              <w:pStyle w:val="nTable"/>
              <w:spacing w:before="36" w:after="40"/>
              <w:rPr>
                <w:sz w:val="19"/>
              </w:rPr>
            </w:pPr>
            <w:r>
              <w:rPr>
                <w:sz w:val="19"/>
              </w:rPr>
              <w:t>29 Dec 2000</w:t>
            </w:r>
          </w:p>
        </w:tc>
      </w:tr>
      <w:tr>
        <w:trPr>
          <w:cantSplit/>
        </w:trPr>
        <w:tc>
          <w:tcPr>
            <w:tcW w:w="3119" w:type="dxa"/>
          </w:tcPr>
          <w:p>
            <w:pPr>
              <w:pStyle w:val="nTable"/>
              <w:spacing w:before="36" w:after="40"/>
              <w:ind w:right="113"/>
              <w:rPr>
                <w:i/>
                <w:sz w:val="19"/>
              </w:rPr>
            </w:pPr>
            <w:r>
              <w:rPr>
                <w:i/>
                <w:sz w:val="19"/>
              </w:rPr>
              <w:t>Fish Resources Management Amendment Regulations (No. 4) 2000</w:t>
            </w:r>
          </w:p>
        </w:tc>
        <w:tc>
          <w:tcPr>
            <w:tcW w:w="1276" w:type="dxa"/>
          </w:tcPr>
          <w:p>
            <w:pPr>
              <w:pStyle w:val="nTable"/>
              <w:spacing w:before="36" w:after="40"/>
              <w:rPr>
                <w:sz w:val="19"/>
              </w:rPr>
            </w:pPr>
            <w:r>
              <w:rPr>
                <w:sz w:val="19"/>
              </w:rPr>
              <w:t>29 Dec 2000 p. 7965</w:t>
            </w:r>
            <w:r>
              <w:rPr>
                <w:sz w:val="19"/>
              </w:rPr>
              <w:noBreakHyphen/>
              <w:t>79</w:t>
            </w:r>
          </w:p>
        </w:tc>
        <w:tc>
          <w:tcPr>
            <w:tcW w:w="2693" w:type="dxa"/>
          </w:tcPr>
          <w:p>
            <w:pPr>
              <w:pStyle w:val="nTable"/>
              <w:spacing w:before="36" w:after="40"/>
              <w:rPr>
                <w:sz w:val="19"/>
              </w:rPr>
            </w:pPr>
            <w:r>
              <w:rPr>
                <w:sz w:val="19"/>
              </w:rPr>
              <w:t>29 Dec 2000</w:t>
            </w:r>
          </w:p>
        </w:tc>
      </w:tr>
      <w:tr>
        <w:trPr>
          <w:cantSplit/>
        </w:trPr>
        <w:tc>
          <w:tcPr>
            <w:tcW w:w="7088" w:type="dxa"/>
            <w:gridSpan w:val="3"/>
          </w:tcPr>
          <w:p>
            <w:pPr>
              <w:pStyle w:val="nTable"/>
              <w:spacing w:before="36" w:after="40"/>
              <w:rPr>
                <w:sz w:val="19"/>
              </w:rPr>
            </w:pPr>
            <w:r>
              <w:rPr>
                <w:b/>
                <w:sz w:val="19"/>
              </w:rPr>
              <w:t xml:space="preserve">Reprint of the </w:t>
            </w:r>
            <w:r>
              <w:rPr>
                <w:b/>
                <w:i/>
                <w:sz w:val="19"/>
              </w:rPr>
              <w:t>Fish Resources Management Regulations 1995</w:t>
            </w:r>
            <w:r>
              <w:rPr>
                <w:b/>
                <w:sz w:val="19"/>
              </w:rPr>
              <w:t xml:space="preserve"> as at 2 Mar 2001</w:t>
            </w:r>
            <w:r>
              <w:rPr>
                <w:sz w:val="19"/>
              </w:rPr>
              <w:t xml:space="preserve"> (includes amendments listed above)</w:t>
            </w:r>
          </w:p>
        </w:tc>
      </w:tr>
      <w:tr>
        <w:trPr>
          <w:cantSplit/>
        </w:trPr>
        <w:tc>
          <w:tcPr>
            <w:tcW w:w="3119" w:type="dxa"/>
          </w:tcPr>
          <w:p>
            <w:pPr>
              <w:pStyle w:val="nTable"/>
              <w:spacing w:before="36" w:after="40"/>
              <w:ind w:right="113"/>
              <w:rPr>
                <w:i/>
                <w:sz w:val="19"/>
              </w:rPr>
            </w:pPr>
            <w:r>
              <w:rPr>
                <w:i/>
                <w:sz w:val="19"/>
              </w:rPr>
              <w:t>Fish Resources Management Amendment Regulations (No. 2) 2001</w:t>
            </w:r>
          </w:p>
        </w:tc>
        <w:tc>
          <w:tcPr>
            <w:tcW w:w="1276" w:type="dxa"/>
          </w:tcPr>
          <w:p>
            <w:pPr>
              <w:pStyle w:val="nTable"/>
              <w:spacing w:before="36" w:after="40"/>
              <w:rPr>
                <w:sz w:val="19"/>
              </w:rPr>
            </w:pPr>
            <w:r>
              <w:rPr>
                <w:sz w:val="19"/>
              </w:rPr>
              <w:t>27 Mar 2001 p. 1725</w:t>
            </w:r>
          </w:p>
        </w:tc>
        <w:tc>
          <w:tcPr>
            <w:tcW w:w="2693" w:type="dxa"/>
          </w:tcPr>
          <w:p>
            <w:pPr>
              <w:pStyle w:val="nTable"/>
              <w:spacing w:before="36" w:after="40"/>
              <w:rPr>
                <w:sz w:val="19"/>
              </w:rPr>
            </w:pPr>
            <w:r>
              <w:rPr>
                <w:sz w:val="19"/>
              </w:rPr>
              <w:t>31 Mar 2001 (see r. 2)</w:t>
            </w:r>
          </w:p>
        </w:tc>
      </w:tr>
      <w:tr>
        <w:trPr>
          <w:cantSplit/>
        </w:trPr>
        <w:tc>
          <w:tcPr>
            <w:tcW w:w="3119" w:type="dxa"/>
          </w:tcPr>
          <w:p>
            <w:pPr>
              <w:pStyle w:val="nTable"/>
              <w:spacing w:before="36" w:after="40"/>
              <w:ind w:right="113"/>
              <w:rPr>
                <w:i/>
                <w:sz w:val="19"/>
              </w:rPr>
            </w:pPr>
            <w:r>
              <w:rPr>
                <w:i/>
                <w:sz w:val="19"/>
              </w:rPr>
              <w:t>Fish Resources Management Amendment Regulations 2001</w:t>
            </w:r>
          </w:p>
        </w:tc>
        <w:tc>
          <w:tcPr>
            <w:tcW w:w="1276" w:type="dxa"/>
          </w:tcPr>
          <w:p>
            <w:pPr>
              <w:pStyle w:val="nTable"/>
              <w:spacing w:before="36" w:after="40"/>
              <w:rPr>
                <w:sz w:val="19"/>
              </w:rPr>
            </w:pPr>
            <w:r>
              <w:rPr>
                <w:sz w:val="19"/>
              </w:rPr>
              <w:t>29 Jun 2001 p. 3161</w:t>
            </w:r>
            <w:r>
              <w:rPr>
                <w:sz w:val="19"/>
              </w:rPr>
              <w:noBreakHyphen/>
              <w:t>81</w:t>
            </w:r>
          </w:p>
        </w:tc>
        <w:tc>
          <w:tcPr>
            <w:tcW w:w="2693" w:type="dxa"/>
          </w:tcPr>
          <w:p>
            <w:pPr>
              <w:pStyle w:val="nTable"/>
              <w:spacing w:before="36" w:after="40"/>
              <w:rPr>
                <w:sz w:val="19"/>
              </w:rPr>
            </w:pPr>
            <w:r>
              <w:rPr>
                <w:sz w:val="19"/>
              </w:rPr>
              <w:t>29 Jun 2001</w:t>
            </w:r>
          </w:p>
        </w:tc>
      </w:tr>
      <w:tr>
        <w:trPr>
          <w:cantSplit/>
        </w:trPr>
        <w:tc>
          <w:tcPr>
            <w:tcW w:w="3119" w:type="dxa"/>
          </w:tcPr>
          <w:p>
            <w:pPr>
              <w:pStyle w:val="nTable"/>
              <w:spacing w:before="36" w:after="40"/>
              <w:ind w:right="113"/>
              <w:rPr>
                <w:i/>
                <w:sz w:val="19"/>
              </w:rPr>
            </w:pPr>
            <w:r>
              <w:rPr>
                <w:i/>
                <w:sz w:val="19"/>
              </w:rPr>
              <w:t>Fish Resources Management Amendment Regulations (No. 5) 2001</w:t>
            </w:r>
          </w:p>
        </w:tc>
        <w:tc>
          <w:tcPr>
            <w:tcW w:w="1276" w:type="dxa"/>
          </w:tcPr>
          <w:p>
            <w:pPr>
              <w:pStyle w:val="nTable"/>
              <w:spacing w:before="36" w:after="40"/>
              <w:rPr>
                <w:sz w:val="19"/>
              </w:rPr>
            </w:pPr>
            <w:r>
              <w:rPr>
                <w:sz w:val="19"/>
              </w:rPr>
              <w:t>13 Jul 2001 p. 3465</w:t>
            </w:r>
            <w:r>
              <w:rPr>
                <w:sz w:val="19"/>
              </w:rPr>
              <w:noBreakHyphen/>
              <w:t>6</w:t>
            </w:r>
          </w:p>
        </w:tc>
        <w:tc>
          <w:tcPr>
            <w:tcW w:w="2693" w:type="dxa"/>
          </w:tcPr>
          <w:p>
            <w:pPr>
              <w:pStyle w:val="nTable"/>
              <w:spacing w:before="36" w:after="40"/>
              <w:rPr>
                <w:sz w:val="19"/>
              </w:rPr>
            </w:pPr>
            <w:r>
              <w:rPr>
                <w:sz w:val="19"/>
              </w:rPr>
              <w:t>13 Jul 2001</w:t>
            </w:r>
          </w:p>
        </w:tc>
      </w:tr>
      <w:tr>
        <w:trPr>
          <w:cantSplit/>
        </w:trPr>
        <w:tc>
          <w:tcPr>
            <w:tcW w:w="3119" w:type="dxa"/>
          </w:tcPr>
          <w:p>
            <w:pPr>
              <w:pStyle w:val="nTable"/>
              <w:spacing w:before="36" w:after="40"/>
              <w:ind w:right="113"/>
              <w:rPr>
                <w:i/>
                <w:sz w:val="19"/>
              </w:rPr>
            </w:pPr>
            <w:r>
              <w:rPr>
                <w:i/>
                <w:sz w:val="19"/>
              </w:rPr>
              <w:t>Fish Resources Management Amendment Regulations (No. 7) 2001</w:t>
            </w:r>
          </w:p>
        </w:tc>
        <w:tc>
          <w:tcPr>
            <w:tcW w:w="1276" w:type="dxa"/>
          </w:tcPr>
          <w:p>
            <w:pPr>
              <w:pStyle w:val="nTable"/>
              <w:spacing w:before="36" w:after="40"/>
              <w:rPr>
                <w:sz w:val="19"/>
              </w:rPr>
            </w:pPr>
            <w:r>
              <w:rPr>
                <w:sz w:val="19"/>
              </w:rPr>
              <w:t>25 Sep 2001 p. 5283</w:t>
            </w:r>
          </w:p>
        </w:tc>
        <w:tc>
          <w:tcPr>
            <w:tcW w:w="2693" w:type="dxa"/>
          </w:tcPr>
          <w:p>
            <w:pPr>
              <w:pStyle w:val="nTable"/>
              <w:spacing w:before="36" w:after="40"/>
              <w:rPr>
                <w:sz w:val="19"/>
              </w:rPr>
            </w:pPr>
            <w:r>
              <w:rPr>
                <w:sz w:val="19"/>
              </w:rPr>
              <w:t>25 Sep 2001</w:t>
            </w:r>
          </w:p>
        </w:tc>
      </w:tr>
      <w:tr>
        <w:trPr>
          <w:cantSplit/>
        </w:trPr>
        <w:tc>
          <w:tcPr>
            <w:tcW w:w="3119" w:type="dxa"/>
          </w:tcPr>
          <w:p>
            <w:pPr>
              <w:pStyle w:val="nTable"/>
              <w:spacing w:before="36" w:after="40"/>
              <w:ind w:right="113"/>
              <w:rPr>
                <w:i/>
                <w:sz w:val="19"/>
              </w:rPr>
            </w:pPr>
            <w:r>
              <w:rPr>
                <w:i/>
                <w:sz w:val="19"/>
              </w:rPr>
              <w:t>Fish Resources Management Amendment Regulations (No. 10) 2001</w:t>
            </w:r>
          </w:p>
        </w:tc>
        <w:tc>
          <w:tcPr>
            <w:tcW w:w="1276" w:type="dxa"/>
          </w:tcPr>
          <w:p>
            <w:pPr>
              <w:pStyle w:val="nTable"/>
              <w:spacing w:before="36" w:after="40"/>
              <w:rPr>
                <w:sz w:val="19"/>
              </w:rPr>
            </w:pPr>
            <w:r>
              <w:rPr>
                <w:sz w:val="19"/>
              </w:rPr>
              <w:t>12 Oct 2001 p. 5581</w:t>
            </w:r>
          </w:p>
        </w:tc>
        <w:tc>
          <w:tcPr>
            <w:tcW w:w="2693" w:type="dxa"/>
          </w:tcPr>
          <w:p>
            <w:pPr>
              <w:pStyle w:val="nTable"/>
              <w:spacing w:before="36" w:after="40"/>
              <w:rPr>
                <w:sz w:val="19"/>
              </w:rPr>
            </w:pPr>
            <w:r>
              <w:rPr>
                <w:sz w:val="19"/>
              </w:rPr>
              <w:t>12 Oct 2001</w:t>
            </w:r>
          </w:p>
        </w:tc>
      </w:tr>
      <w:tr>
        <w:trPr>
          <w:cantSplit/>
        </w:trPr>
        <w:tc>
          <w:tcPr>
            <w:tcW w:w="3119" w:type="dxa"/>
          </w:tcPr>
          <w:p>
            <w:pPr>
              <w:pStyle w:val="nTable"/>
              <w:spacing w:before="36" w:after="40"/>
              <w:ind w:right="113"/>
              <w:rPr>
                <w:i/>
                <w:sz w:val="19"/>
              </w:rPr>
            </w:pPr>
            <w:r>
              <w:rPr>
                <w:i/>
                <w:sz w:val="19"/>
              </w:rPr>
              <w:t>Fish Resources Management Amendment Regulations (No. 12) 2001</w:t>
            </w:r>
          </w:p>
        </w:tc>
        <w:tc>
          <w:tcPr>
            <w:tcW w:w="1276" w:type="dxa"/>
          </w:tcPr>
          <w:p>
            <w:pPr>
              <w:pStyle w:val="nTable"/>
              <w:spacing w:before="36" w:after="40"/>
              <w:rPr>
                <w:sz w:val="19"/>
              </w:rPr>
            </w:pPr>
            <w:r>
              <w:rPr>
                <w:sz w:val="19"/>
              </w:rPr>
              <w:t>31 Oct 2001 p. 5789</w:t>
            </w:r>
          </w:p>
        </w:tc>
        <w:tc>
          <w:tcPr>
            <w:tcW w:w="2693" w:type="dxa"/>
          </w:tcPr>
          <w:p>
            <w:pPr>
              <w:pStyle w:val="nTable"/>
              <w:spacing w:before="36" w:after="40"/>
              <w:rPr>
                <w:sz w:val="19"/>
              </w:rPr>
            </w:pPr>
            <w:r>
              <w:rPr>
                <w:sz w:val="19"/>
              </w:rPr>
              <w:t>31 Oct 2001</w:t>
            </w:r>
          </w:p>
        </w:tc>
      </w:tr>
      <w:tr>
        <w:trPr>
          <w:cantSplit/>
        </w:trPr>
        <w:tc>
          <w:tcPr>
            <w:tcW w:w="3119" w:type="dxa"/>
          </w:tcPr>
          <w:p>
            <w:pPr>
              <w:pStyle w:val="nTable"/>
              <w:spacing w:before="36" w:after="40"/>
              <w:ind w:right="113"/>
              <w:rPr>
                <w:i/>
                <w:sz w:val="19"/>
              </w:rPr>
            </w:pPr>
            <w:r>
              <w:rPr>
                <w:i/>
                <w:sz w:val="19"/>
              </w:rPr>
              <w:t>Fish Resources Management Amendment Regulations (No. 4) 2001</w:t>
            </w:r>
          </w:p>
        </w:tc>
        <w:tc>
          <w:tcPr>
            <w:tcW w:w="1276" w:type="dxa"/>
          </w:tcPr>
          <w:p>
            <w:pPr>
              <w:pStyle w:val="nTable"/>
              <w:spacing w:before="36" w:after="40"/>
              <w:rPr>
                <w:sz w:val="19"/>
              </w:rPr>
            </w:pPr>
            <w:r>
              <w:rPr>
                <w:sz w:val="19"/>
              </w:rPr>
              <w:t>14 Nov 2001 p. 5977</w:t>
            </w:r>
            <w:r>
              <w:rPr>
                <w:sz w:val="19"/>
              </w:rPr>
              <w:noBreakHyphen/>
              <w:t>9</w:t>
            </w:r>
          </w:p>
        </w:tc>
        <w:tc>
          <w:tcPr>
            <w:tcW w:w="2693" w:type="dxa"/>
          </w:tcPr>
          <w:p>
            <w:pPr>
              <w:pStyle w:val="nTable"/>
              <w:spacing w:before="36" w:after="40"/>
              <w:rPr>
                <w:sz w:val="19"/>
              </w:rPr>
            </w:pPr>
            <w:r>
              <w:rPr>
                <w:sz w:val="19"/>
              </w:rPr>
              <w:t>14 Nov 2001</w:t>
            </w:r>
          </w:p>
        </w:tc>
      </w:tr>
      <w:tr>
        <w:trPr>
          <w:cantSplit/>
        </w:trPr>
        <w:tc>
          <w:tcPr>
            <w:tcW w:w="3119" w:type="dxa"/>
          </w:tcPr>
          <w:p>
            <w:pPr>
              <w:pStyle w:val="nTable"/>
              <w:spacing w:before="36" w:after="40"/>
              <w:ind w:right="113"/>
              <w:rPr>
                <w:i/>
                <w:sz w:val="19"/>
              </w:rPr>
            </w:pPr>
            <w:r>
              <w:rPr>
                <w:i/>
                <w:sz w:val="19"/>
              </w:rPr>
              <w:t>Fish Resources Management Amendment Regulations (No. 11) 2001</w:t>
            </w:r>
          </w:p>
        </w:tc>
        <w:tc>
          <w:tcPr>
            <w:tcW w:w="1276" w:type="dxa"/>
          </w:tcPr>
          <w:p>
            <w:pPr>
              <w:pStyle w:val="nTable"/>
              <w:spacing w:before="36" w:after="40"/>
              <w:rPr>
                <w:sz w:val="19"/>
              </w:rPr>
            </w:pPr>
            <w:r>
              <w:rPr>
                <w:sz w:val="19"/>
              </w:rPr>
              <w:t>20 Nov 2001 p. 6010</w:t>
            </w:r>
            <w:r>
              <w:rPr>
                <w:sz w:val="19"/>
              </w:rPr>
              <w:noBreakHyphen/>
              <w:t>11</w:t>
            </w:r>
          </w:p>
        </w:tc>
        <w:tc>
          <w:tcPr>
            <w:tcW w:w="2693" w:type="dxa"/>
          </w:tcPr>
          <w:p>
            <w:pPr>
              <w:pStyle w:val="nTable"/>
              <w:spacing w:before="36" w:after="40"/>
              <w:rPr>
                <w:sz w:val="19"/>
              </w:rPr>
            </w:pPr>
            <w:r>
              <w:rPr>
                <w:sz w:val="19"/>
              </w:rPr>
              <w:t>20 Nov 2001</w:t>
            </w:r>
          </w:p>
        </w:tc>
      </w:tr>
      <w:tr>
        <w:trPr>
          <w:cantSplit/>
        </w:trPr>
        <w:tc>
          <w:tcPr>
            <w:tcW w:w="3119" w:type="dxa"/>
          </w:tcPr>
          <w:p>
            <w:pPr>
              <w:pStyle w:val="nTable"/>
              <w:spacing w:before="36" w:after="40"/>
              <w:ind w:right="113"/>
              <w:rPr>
                <w:i/>
                <w:sz w:val="19"/>
              </w:rPr>
            </w:pPr>
            <w:r>
              <w:rPr>
                <w:i/>
                <w:sz w:val="19"/>
              </w:rPr>
              <w:t>Fish Resources Management Amendment Regulations (No. 13) 2001</w:t>
            </w:r>
          </w:p>
        </w:tc>
        <w:tc>
          <w:tcPr>
            <w:tcW w:w="1276" w:type="dxa"/>
          </w:tcPr>
          <w:p>
            <w:pPr>
              <w:pStyle w:val="nTable"/>
              <w:spacing w:before="36" w:after="40"/>
              <w:rPr>
                <w:sz w:val="19"/>
              </w:rPr>
            </w:pPr>
            <w:r>
              <w:rPr>
                <w:sz w:val="19"/>
              </w:rPr>
              <w:t>18 Dec 2001 p. 6489</w:t>
            </w:r>
            <w:r>
              <w:rPr>
                <w:sz w:val="19"/>
              </w:rPr>
              <w:noBreakHyphen/>
              <w:t>92</w:t>
            </w:r>
          </w:p>
        </w:tc>
        <w:tc>
          <w:tcPr>
            <w:tcW w:w="2693" w:type="dxa"/>
          </w:tcPr>
          <w:p>
            <w:pPr>
              <w:pStyle w:val="nTable"/>
              <w:spacing w:before="36" w:after="40"/>
              <w:rPr>
                <w:sz w:val="19"/>
              </w:rPr>
            </w:pPr>
            <w:r>
              <w:rPr>
                <w:sz w:val="19"/>
              </w:rPr>
              <w:t>1 Jan 2002 (see r. 2)</w:t>
            </w:r>
          </w:p>
        </w:tc>
      </w:tr>
      <w:tr>
        <w:trPr>
          <w:cantSplit/>
        </w:trPr>
        <w:tc>
          <w:tcPr>
            <w:tcW w:w="3119" w:type="dxa"/>
          </w:tcPr>
          <w:p>
            <w:pPr>
              <w:pStyle w:val="nTable"/>
              <w:spacing w:before="36" w:after="40"/>
              <w:ind w:right="113"/>
              <w:rPr>
                <w:i/>
                <w:sz w:val="19"/>
              </w:rPr>
            </w:pPr>
            <w:r>
              <w:rPr>
                <w:i/>
                <w:sz w:val="19"/>
              </w:rPr>
              <w:t>Fish Resources Management Amendment Regulations 2002</w:t>
            </w:r>
          </w:p>
        </w:tc>
        <w:tc>
          <w:tcPr>
            <w:tcW w:w="1276" w:type="dxa"/>
          </w:tcPr>
          <w:p>
            <w:pPr>
              <w:pStyle w:val="nTable"/>
              <w:spacing w:before="36" w:after="40"/>
              <w:rPr>
                <w:sz w:val="19"/>
              </w:rPr>
            </w:pPr>
            <w:r>
              <w:rPr>
                <w:sz w:val="19"/>
              </w:rPr>
              <w:t>22 Jan 2002 p. 359</w:t>
            </w:r>
          </w:p>
        </w:tc>
        <w:tc>
          <w:tcPr>
            <w:tcW w:w="2693" w:type="dxa"/>
          </w:tcPr>
          <w:p>
            <w:pPr>
              <w:pStyle w:val="nTable"/>
              <w:spacing w:before="36" w:after="40"/>
              <w:rPr>
                <w:sz w:val="19"/>
              </w:rPr>
            </w:pPr>
            <w:r>
              <w:rPr>
                <w:sz w:val="19"/>
              </w:rPr>
              <w:t>22 Jan 2002</w:t>
            </w:r>
          </w:p>
        </w:tc>
      </w:tr>
      <w:tr>
        <w:trPr>
          <w:cantSplit/>
        </w:trPr>
        <w:tc>
          <w:tcPr>
            <w:tcW w:w="3119" w:type="dxa"/>
          </w:tcPr>
          <w:p>
            <w:pPr>
              <w:pStyle w:val="nTable"/>
              <w:spacing w:before="36" w:after="40"/>
              <w:ind w:right="113"/>
              <w:rPr>
                <w:i/>
                <w:sz w:val="19"/>
              </w:rPr>
            </w:pPr>
            <w:r>
              <w:rPr>
                <w:i/>
                <w:sz w:val="19"/>
              </w:rPr>
              <w:t>Fish Resources Management Amendment Regulations (No. 2) 2002</w:t>
            </w:r>
          </w:p>
        </w:tc>
        <w:tc>
          <w:tcPr>
            <w:tcW w:w="1276" w:type="dxa"/>
          </w:tcPr>
          <w:p>
            <w:pPr>
              <w:pStyle w:val="nTable"/>
              <w:spacing w:before="36" w:after="40"/>
              <w:rPr>
                <w:sz w:val="19"/>
              </w:rPr>
            </w:pPr>
            <w:r>
              <w:rPr>
                <w:sz w:val="19"/>
              </w:rPr>
              <w:t>26 Feb 2002 p. 785</w:t>
            </w:r>
            <w:r>
              <w:rPr>
                <w:sz w:val="19"/>
              </w:rPr>
              <w:noBreakHyphen/>
              <w:t>7</w:t>
            </w:r>
          </w:p>
        </w:tc>
        <w:tc>
          <w:tcPr>
            <w:tcW w:w="2693" w:type="dxa"/>
          </w:tcPr>
          <w:p>
            <w:pPr>
              <w:pStyle w:val="nTable"/>
              <w:spacing w:before="36" w:after="40"/>
              <w:rPr>
                <w:sz w:val="19"/>
              </w:rPr>
            </w:pPr>
            <w:r>
              <w:rPr>
                <w:sz w:val="19"/>
              </w:rPr>
              <w:t>1 Mar 2002 (see r. 2)</w:t>
            </w:r>
          </w:p>
        </w:tc>
      </w:tr>
      <w:tr>
        <w:trPr>
          <w:cantSplit/>
        </w:trPr>
        <w:tc>
          <w:tcPr>
            <w:tcW w:w="3119" w:type="dxa"/>
          </w:tcPr>
          <w:p>
            <w:pPr>
              <w:pStyle w:val="nTable"/>
              <w:spacing w:before="36" w:after="40"/>
              <w:ind w:right="113"/>
              <w:rPr>
                <w:i/>
                <w:sz w:val="19"/>
              </w:rPr>
            </w:pPr>
            <w:r>
              <w:rPr>
                <w:i/>
                <w:sz w:val="19"/>
              </w:rPr>
              <w:t>Fish Resources Management Amendment Regulations (No. 5) 2002</w:t>
            </w:r>
          </w:p>
        </w:tc>
        <w:tc>
          <w:tcPr>
            <w:tcW w:w="1276" w:type="dxa"/>
          </w:tcPr>
          <w:p>
            <w:pPr>
              <w:pStyle w:val="nTable"/>
              <w:spacing w:before="36" w:after="40"/>
              <w:rPr>
                <w:sz w:val="19"/>
              </w:rPr>
            </w:pPr>
            <w:r>
              <w:rPr>
                <w:sz w:val="19"/>
              </w:rPr>
              <w:t>3 May 2002 p. 2219</w:t>
            </w:r>
          </w:p>
        </w:tc>
        <w:tc>
          <w:tcPr>
            <w:tcW w:w="2693" w:type="dxa"/>
          </w:tcPr>
          <w:p>
            <w:pPr>
              <w:pStyle w:val="nTable"/>
              <w:spacing w:before="36" w:after="40"/>
              <w:rPr>
                <w:sz w:val="19"/>
              </w:rPr>
            </w:pPr>
            <w:r>
              <w:rPr>
                <w:sz w:val="19"/>
              </w:rPr>
              <w:t>3 May 2002</w:t>
            </w:r>
          </w:p>
        </w:tc>
      </w:tr>
      <w:tr>
        <w:trPr>
          <w:cantSplit/>
        </w:trPr>
        <w:tc>
          <w:tcPr>
            <w:tcW w:w="7088" w:type="dxa"/>
            <w:gridSpan w:val="3"/>
          </w:tcPr>
          <w:p>
            <w:pPr>
              <w:pStyle w:val="nTable"/>
              <w:spacing w:before="36" w:after="40"/>
              <w:rPr>
                <w:sz w:val="19"/>
              </w:rPr>
            </w:pPr>
            <w:r>
              <w:rPr>
                <w:b/>
                <w:sz w:val="19"/>
              </w:rPr>
              <w:t xml:space="preserve">Reprint of the </w:t>
            </w:r>
            <w:r>
              <w:rPr>
                <w:b/>
                <w:i/>
                <w:sz w:val="19"/>
              </w:rPr>
              <w:t>Fish Resources Management Regulations 1995</w:t>
            </w:r>
            <w:r>
              <w:rPr>
                <w:b/>
                <w:sz w:val="19"/>
              </w:rPr>
              <w:t xml:space="preserve"> as at 17 May 2002</w:t>
            </w:r>
            <w:r>
              <w:rPr>
                <w:b/>
                <w:sz w:val="19"/>
              </w:rPr>
              <w:br/>
            </w:r>
            <w:r>
              <w:rPr>
                <w:sz w:val="19"/>
              </w:rPr>
              <w:t>(includes amendments listed above)</w:t>
            </w:r>
          </w:p>
        </w:tc>
      </w:tr>
      <w:tr>
        <w:trPr>
          <w:cantSplit/>
        </w:trPr>
        <w:tc>
          <w:tcPr>
            <w:tcW w:w="3119" w:type="dxa"/>
          </w:tcPr>
          <w:p>
            <w:pPr>
              <w:pStyle w:val="nTable"/>
              <w:spacing w:before="36" w:after="40"/>
              <w:ind w:right="113"/>
              <w:rPr>
                <w:i/>
                <w:sz w:val="19"/>
              </w:rPr>
            </w:pPr>
            <w:r>
              <w:rPr>
                <w:i/>
                <w:sz w:val="19"/>
              </w:rPr>
              <w:t>Fish Resources Management Amendment Regulations (No. 7) 2002</w:t>
            </w:r>
          </w:p>
        </w:tc>
        <w:tc>
          <w:tcPr>
            <w:tcW w:w="1276" w:type="dxa"/>
          </w:tcPr>
          <w:p>
            <w:pPr>
              <w:pStyle w:val="nTable"/>
              <w:spacing w:before="36" w:after="40"/>
              <w:rPr>
                <w:sz w:val="19"/>
              </w:rPr>
            </w:pPr>
            <w:r>
              <w:rPr>
                <w:sz w:val="19"/>
              </w:rPr>
              <w:t>28 Jun 2002 p. 3065</w:t>
            </w:r>
            <w:r>
              <w:rPr>
                <w:sz w:val="19"/>
              </w:rPr>
              <w:noBreakHyphen/>
              <w:t>7</w:t>
            </w:r>
          </w:p>
        </w:tc>
        <w:tc>
          <w:tcPr>
            <w:tcW w:w="2693" w:type="dxa"/>
          </w:tcPr>
          <w:p>
            <w:pPr>
              <w:pStyle w:val="nTable"/>
              <w:spacing w:before="36" w:after="40"/>
              <w:rPr>
                <w:sz w:val="19"/>
              </w:rPr>
            </w:pPr>
            <w:r>
              <w:rPr>
                <w:sz w:val="19"/>
              </w:rPr>
              <w:t>1 Jul 2002 (see r. 2)</w:t>
            </w:r>
          </w:p>
        </w:tc>
      </w:tr>
      <w:tr>
        <w:trPr>
          <w:cantSplit/>
        </w:trPr>
        <w:tc>
          <w:tcPr>
            <w:tcW w:w="3119" w:type="dxa"/>
          </w:tcPr>
          <w:p>
            <w:pPr>
              <w:pStyle w:val="nTable"/>
              <w:spacing w:before="36" w:after="40"/>
              <w:ind w:right="113"/>
              <w:rPr>
                <w:i/>
                <w:sz w:val="19"/>
              </w:rPr>
            </w:pPr>
            <w:r>
              <w:rPr>
                <w:i/>
                <w:sz w:val="19"/>
              </w:rPr>
              <w:t>Fish Resources Management Amendment Regulations (No. 8) 2002</w:t>
            </w:r>
          </w:p>
        </w:tc>
        <w:tc>
          <w:tcPr>
            <w:tcW w:w="1276" w:type="dxa"/>
          </w:tcPr>
          <w:p>
            <w:pPr>
              <w:pStyle w:val="nTable"/>
              <w:spacing w:before="36" w:after="40"/>
              <w:rPr>
                <w:sz w:val="19"/>
              </w:rPr>
            </w:pPr>
            <w:r>
              <w:rPr>
                <w:sz w:val="19"/>
              </w:rPr>
              <w:t>10 Sep 2002 p. 4593</w:t>
            </w:r>
            <w:r>
              <w:rPr>
                <w:sz w:val="19"/>
              </w:rPr>
              <w:noBreakHyphen/>
              <w:t>4</w:t>
            </w:r>
          </w:p>
        </w:tc>
        <w:tc>
          <w:tcPr>
            <w:tcW w:w="2693" w:type="dxa"/>
          </w:tcPr>
          <w:p>
            <w:pPr>
              <w:pStyle w:val="nTable"/>
              <w:spacing w:before="36" w:after="40"/>
              <w:rPr>
                <w:sz w:val="19"/>
              </w:rPr>
            </w:pPr>
            <w:r>
              <w:rPr>
                <w:sz w:val="19"/>
              </w:rPr>
              <w:t>1 Oct 2002 (see r. 2)</w:t>
            </w:r>
          </w:p>
        </w:tc>
      </w:tr>
      <w:tr>
        <w:trPr>
          <w:cantSplit/>
        </w:trPr>
        <w:tc>
          <w:tcPr>
            <w:tcW w:w="3119" w:type="dxa"/>
          </w:tcPr>
          <w:p>
            <w:pPr>
              <w:pStyle w:val="nTable"/>
              <w:spacing w:before="36" w:after="40"/>
              <w:ind w:right="113"/>
              <w:rPr>
                <w:i/>
                <w:sz w:val="19"/>
              </w:rPr>
            </w:pPr>
            <w:r>
              <w:rPr>
                <w:i/>
                <w:sz w:val="19"/>
              </w:rPr>
              <w:t>Fish Resources Management Amendment Regulations (No. 9) 2002</w:t>
            </w:r>
          </w:p>
        </w:tc>
        <w:tc>
          <w:tcPr>
            <w:tcW w:w="1276" w:type="dxa"/>
          </w:tcPr>
          <w:p>
            <w:pPr>
              <w:pStyle w:val="nTable"/>
              <w:spacing w:before="36" w:after="40"/>
              <w:rPr>
                <w:sz w:val="19"/>
              </w:rPr>
            </w:pPr>
            <w:r>
              <w:rPr>
                <w:sz w:val="19"/>
              </w:rPr>
              <w:t>29 Nov 2002 p. 5652</w:t>
            </w:r>
            <w:r>
              <w:rPr>
                <w:sz w:val="19"/>
              </w:rPr>
              <w:noBreakHyphen/>
              <w:t>3</w:t>
            </w:r>
          </w:p>
        </w:tc>
        <w:tc>
          <w:tcPr>
            <w:tcW w:w="2693" w:type="dxa"/>
          </w:tcPr>
          <w:p>
            <w:pPr>
              <w:pStyle w:val="nTable"/>
              <w:spacing w:before="36" w:after="40"/>
              <w:rPr>
                <w:sz w:val="19"/>
              </w:rPr>
            </w:pPr>
            <w:r>
              <w:rPr>
                <w:sz w:val="19"/>
              </w:rPr>
              <w:t>29 Nov 2002</w:t>
            </w:r>
          </w:p>
        </w:tc>
      </w:tr>
      <w:tr>
        <w:trPr>
          <w:cantSplit/>
        </w:trPr>
        <w:tc>
          <w:tcPr>
            <w:tcW w:w="3119" w:type="dxa"/>
          </w:tcPr>
          <w:p>
            <w:pPr>
              <w:pStyle w:val="nTable"/>
              <w:spacing w:before="36" w:after="40"/>
              <w:ind w:right="113"/>
              <w:rPr>
                <w:i/>
                <w:sz w:val="19"/>
              </w:rPr>
            </w:pPr>
            <w:r>
              <w:rPr>
                <w:i/>
                <w:sz w:val="19"/>
              </w:rPr>
              <w:t>Fish Resources Management Amendment Regulations (No. 10) 2002</w:t>
            </w:r>
          </w:p>
        </w:tc>
        <w:tc>
          <w:tcPr>
            <w:tcW w:w="1276" w:type="dxa"/>
          </w:tcPr>
          <w:p>
            <w:pPr>
              <w:pStyle w:val="nTable"/>
              <w:spacing w:before="36" w:after="40"/>
              <w:rPr>
                <w:sz w:val="19"/>
              </w:rPr>
            </w:pPr>
            <w:r>
              <w:rPr>
                <w:sz w:val="19"/>
              </w:rPr>
              <w:t>29 Nov 2002 p. 5653</w:t>
            </w:r>
          </w:p>
        </w:tc>
        <w:tc>
          <w:tcPr>
            <w:tcW w:w="2693" w:type="dxa"/>
          </w:tcPr>
          <w:p>
            <w:pPr>
              <w:pStyle w:val="nTable"/>
              <w:spacing w:before="36" w:after="40"/>
              <w:rPr>
                <w:sz w:val="19"/>
              </w:rPr>
            </w:pPr>
            <w:r>
              <w:rPr>
                <w:sz w:val="19"/>
              </w:rPr>
              <w:t>29 Nov 2002</w:t>
            </w:r>
          </w:p>
        </w:tc>
      </w:tr>
      <w:tr>
        <w:trPr>
          <w:cantSplit/>
        </w:trPr>
        <w:tc>
          <w:tcPr>
            <w:tcW w:w="3119" w:type="dxa"/>
          </w:tcPr>
          <w:p>
            <w:pPr>
              <w:pStyle w:val="nTable"/>
              <w:spacing w:before="36" w:after="40"/>
              <w:ind w:right="113"/>
              <w:rPr>
                <w:i/>
                <w:sz w:val="19"/>
              </w:rPr>
            </w:pPr>
            <w:r>
              <w:rPr>
                <w:i/>
                <w:sz w:val="19"/>
              </w:rPr>
              <w:t>Fish Resources Management Amendment Regulations (No. 11) 2002</w:t>
            </w:r>
          </w:p>
        </w:tc>
        <w:tc>
          <w:tcPr>
            <w:tcW w:w="1276" w:type="dxa"/>
          </w:tcPr>
          <w:p>
            <w:pPr>
              <w:pStyle w:val="nTable"/>
              <w:spacing w:before="36" w:after="40"/>
              <w:rPr>
                <w:sz w:val="19"/>
              </w:rPr>
            </w:pPr>
            <w:r>
              <w:rPr>
                <w:sz w:val="19"/>
              </w:rPr>
              <w:t>29 Nov 2002 p. 5654</w:t>
            </w:r>
            <w:r>
              <w:rPr>
                <w:sz w:val="19"/>
              </w:rPr>
              <w:noBreakHyphen/>
              <w:t>7</w:t>
            </w:r>
          </w:p>
        </w:tc>
        <w:tc>
          <w:tcPr>
            <w:tcW w:w="2693" w:type="dxa"/>
          </w:tcPr>
          <w:p>
            <w:pPr>
              <w:pStyle w:val="nTable"/>
              <w:spacing w:before="36" w:after="40"/>
              <w:rPr>
                <w:sz w:val="19"/>
              </w:rPr>
            </w:pPr>
            <w:r>
              <w:rPr>
                <w:sz w:val="19"/>
              </w:rPr>
              <w:t>29 Nov 2002</w:t>
            </w:r>
          </w:p>
        </w:tc>
      </w:tr>
      <w:tr>
        <w:trPr>
          <w:cantSplit/>
        </w:trPr>
        <w:tc>
          <w:tcPr>
            <w:tcW w:w="3119" w:type="dxa"/>
          </w:tcPr>
          <w:p>
            <w:pPr>
              <w:pStyle w:val="nTable"/>
              <w:spacing w:before="36" w:after="40"/>
              <w:ind w:right="113"/>
              <w:rPr>
                <w:i/>
                <w:sz w:val="19"/>
              </w:rPr>
            </w:pPr>
            <w:r>
              <w:rPr>
                <w:i/>
                <w:sz w:val="19"/>
              </w:rPr>
              <w:t>Fish Resources Management Amendment Regulations (No. 13) 2002</w:t>
            </w:r>
          </w:p>
        </w:tc>
        <w:tc>
          <w:tcPr>
            <w:tcW w:w="1276" w:type="dxa"/>
          </w:tcPr>
          <w:p>
            <w:pPr>
              <w:pStyle w:val="nTable"/>
              <w:spacing w:before="36" w:after="40"/>
              <w:rPr>
                <w:sz w:val="19"/>
              </w:rPr>
            </w:pPr>
            <w:r>
              <w:rPr>
                <w:sz w:val="19"/>
              </w:rPr>
              <w:t>29 Nov 2002 p. 5657</w:t>
            </w:r>
            <w:r>
              <w:rPr>
                <w:sz w:val="19"/>
              </w:rPr>
              <w:noBreakHyphen/>
              <w:t>8</w:t>
            </w:r>
          </w:p>
        </w:tc>
        <w:tc>
          <w:tcPr>
            <w:tcW w:w="2693" w:type="dxa"/>
          </w:tcPr>
          <w:p>
            <w:pPr>
              <w:pStyle w:val="nTable"/>
              <w:spacing w:before="36" w:after="40"/>
              <w:rPr>
                <w:sz w:val="19"/>
              </w:rPr>
            </w:pPr>
            <w:r>
              <w:rPr>
                <w:sz w:val="19"/>
              </w:rPr>
              <w:t>1 Jan 2003 (see r. 2)</w:t>
            </w:r>
          </w:p>
        </w:tc>
      </w:tr>
      <w:tr>
        <w:trPr>
          <w:cantSplit/>
        </w:trPr>
        <w:tc>
          <w:tcPr>
            <w:tcW w:w="3119" w:type="dxa"/>
          </w:tcPr>
          <w:p>
            <w:pPr>
              <w:pStyle w:val="nTable"/>
              <w:spacing w:before="36" w:after="40"/>
              <w:ind w:right="113"/>
              <w:rPr>
                <w:i/>
                <w:sz w:val="19"/>
              </w:rPr>
            </w:pPr>
            <w:r>
              <w:rPr>
                <w:i/>
                <w:sz w:val="19"/>
              </w:rPr>
              <w:t>Fish Resources Management Amendment Regulations (No. 14) 2002</w:t>
            </w:r>
          </w:p>
        </w:tc>
        <w:tc>
          <w:tcPr>
            <w:tcW w:w="1276" w:type="dxa"/>
          </w:tcPr>
          <w:p>
            <w:pPr>
              <w:pStyle w:val="nTable"/>
              <w:spacing w:before="36" w:after="40"/>
              <w:rPr>
                <w:sz w:val="19"/>
              </w:rPr>
            </w:pPr>
            <w:r>
              <w:rPr>
                <w:sz w:val="19"/>
              </w:rPr>
              <w:t>13 Dec 2002 p. 5795</w:t>
            </w:r>
            <w:r>
              <w:rPr>
                <w:sz w:val="19"/>
              </w:rPr>
              <w:noBreakHyphen/>
              <w:t>8</w:t>
            </w:r>
          </w:p>
        </w:tc>
        <w:tc>
          <w:tcPr>
            <w:tcW w:w="2693" w:type="dxa"/>
          </w:tcPr>
          <w:p>
            <w:pPr>
              <w:pStyle w:val="nTable"/>
              <w:spacing w:before="36" w:after="40"/>
              <w:rPr>
                <w:sz w:val="19"/>
              </w:rPr>
            </w:pPr>
            <w:r>
              <w:rPr>
                <w:sz w:val="19"/>
              </w:rPr>
              <w:t>1 Jan 2003 (see r. 2)</w:t>
            </w:r>
          </w:p>
        </w:tc>
      </w:tr>
      <w:tr>
        <w:trPr>
          <w:cantSplit/>
        </w:trPr>
        <w:tc>
          <w:tcPr>
            <w:tcW w:w="3119" w:type="dxa"/>
          </w:tcPr>
          <w:p>
            <w:pPr>
              <w:pStyle w:val="nTable"/>
              <w:spacing w:before="36" w:after="40"/>
              <w:ind w:right="113"/>
              <w:rPr>
                <w:i/>
                <w:sz w:val="19"/>
              </w:rPr>
            </w:pPr>
            <w:r>
              <w:rPr>
                <w:i/>
                <w:sz w:val="19"/>
              </w:rPr>
              <w:t>Fish Resources Management Amendment Regulations 2003</w:t>
            </w:r>
          </w:p>
        </w:tc>
        <w:tc>
          <w:tcPr>
            <w:tcW w:w="1276" w:type="dxa"/>
          </w:tcPr>
          <w:p>
            <w:pPr>
              <w:pStyle w:val="nTable"/>
              <w:spacing w:before="36" w:after="40"/>
              <w:rPr>
                <w:sz w:val="19"/>
              </w:rPr>
            </w:pPr>
            <w:r>
              <w:rPr>
                <w:sz w:val="19"/>
              </w:rPr>
              <w:t>11 Feb 2003 p. 411</w:t>
            </w:r>
            <w:r>
              <w:rPr>
                <w:sz w:val="19"/>
              </w:rPr>
              <w:noBreakHyphen/>
              <w:t>12</w:t>
            </w:r>
          </w:p>
        </w:tc>
        <w:tc>
          <w:tcPr>
            <w:tcW w:w="2693" w:type="dxa"/>
          </w:tcPr>
          <w:p>
            <w:pPr>
              <w:pStyle w:val="nTable"/>
              <w:spacing w:before="36" w:after="40"/>
              <w:rPr>
                <w:sz w:val="19"/>
              </w:rPr>
            </w:pPr>
            <w:r>
              <w:rPr>
                <w:sz w:val="19"/>
              </w:rPr>
              <w:t>11 Feb 2003</w:t>
            </w:r>
          </w:p>
        </w:tc>
      </w:tr>
      <w:tr>
        <w:trPr>
          <w:cantSplit/>
        </w:trPr>
        <w:tc>
          <w:tcPr>
            <w:tcW w:w="3119" w:type="dxa"/>
          </w:tcPr>
          <w:p>
            <w:pPr>
              <w:pStyle w:val="nTable"/>
              <w:spacing w:before="36" w:after="40"/>
              <w:ind w:right="113"/>
              <w:rPr>
                <w:i/>
                <w:sz w:val="19"/>
              </w:rPr>
            </w:pPr>
            <w:r>
              <w:rPr>
                <w:i/>
                <w:sz w:val="19"/>
              </w:rPr>
              <w:t>Fish Resources Management Amendment Regulations (No. 3) 2003</w:t>
            </w:r>
          </w:p>
        </w:tc>
        <w:tc>
          <w:tcPr>
            <w:tcW w:w="1276" w:type="dxa"/>
          </w:tcPr>
          <w:p>
            <w:pPr>
              <w:pStyle w:val="nTable"/>
              <w:spacing w:before="36" w:after="40"/>
              <w:rPr>
                <w:sz w:val="19"/>
              </w:rPr>
            </w:pPr>
            <w:r>
              <w:rPr>
                <w:sz w:val="19"/>
              </w:rPr>
              <w:t>21 Feb 2003 p. 633</w:t>
            </w:r>
            <w:r>
              <w:rPr>
                <w:sz w:val="19"/>
              </w:rPr>
              <w:noBreakHyphen/>
              <w:t>4</w:t>
            </w:r>
          </w:p>
        </w:tc>
        <w:tc>
          <w:tcPr>
            <w:tcW w:w="2693" w:type="dxa"/>
          </w:tcPr>
          <w:p>
            <w:pPr>
              <w:pStyle w:val="nTable"/>
              <w:spacing w:before="36" w:after="40"/>
              <w:rPr>
                <w:sz w:val="19"/>
              </w:rPr>
            </w:pPr>
            <w:r>
              <w:rPr>
                <w:sz w:val="19"/>
              </w:rPr>
              <w:t>21 Feb 2003</w:t>
            </w:r>
          </w:p>
        </w:tc>
      </w:tr>
      <w:tr>
        <w:trPr>
          <w:cantSplit/>
        </w:trPr>
        <w:tc>
          <w:tcPr>
            <w:tcW w:w="3119" w:type="dxa"/>
          </w:tcPr>
          <w:p>
            <w:pPr>
              <w:pStyle w:val="nTable"/>
              <w:spacing w:before="36" w:after="40"/>
              <w:ind w:right="113"/>
              <w:rPr>
                <w:i/>
                <w:sz w:val="19"/>
              </w:rPr>
            </w:pPr>
            <w:r>
              <w:rPr>
                <w:i/>
                <w:sz w:val="19"/>
              </w:rPr>
              <w:t>Fish Resources Management Amendment Regulations (No. 2) 2003</w:t>
            </w:r>
          </w:p>
        </w:tc>
        <w:tc>
          <w:tcPr>
            <w:tcW w:w="1276" w:type="dxa"/>
          </w:tcPr>
          <w:p>
            <w:pPr>
              <w:pStyle w:val="nTable"/>
              <w:spacing w:before="36" w:after="40"/>
              <w:rPr>
                <w:sz w:val="19"/>
              </w:rPr>
            </w:pPr>
            <w:r>
              <w:rPr>
                <w:sz w:val="19"/>
              </w:rPr>
              <w:t>28 Feb 2003 p. 660</w:t>
            </w:r>
            <w:r>
              <w:rPr>
                <w:sz w:val="19"/>
              </w:rPr>
              <w:noBreakHyphen/>
              <w:t>3</w:t>
            </w:r>
          </w:p>
        </w:tc>
        <w:tc>
          <w:tcPr>
            <w:tcW w:w="2693" w:type="dxa"/>
          </w:tcPr>
          <w:p>
            <w:pPr>
              <w:pStyle w:val="nTable"/>
              <w:spacing w:before="36" w:after="40"/>
              <w:rPr>
                <w:sz w:val="19"/>
              </w:rPr>
            </w:pPr>
            <w:r>
              <w:rPr>
                <w:sz w:val="19"/>
              </w:rPr>
              <w:t>1 Mar 2003 (see r. 2)</w:t>
            </w:r>
          </w:p>
        </w:tc>
      </w:tr>
      <w:tr>
        <w:trPr>
          <w:cantSplit/>
        </w:trPr>
        <w:tc>
          <w:tcPr>
            <w:tcW w:w="3119" w:type="dxa"/>
          </w:tcPr>
          <w:p>
            <w:pPr>
              <w:pStyle w:val="nTable"/>
              <w:spacing w:before="36" w:after="40"/>
              <w:ind w:right="113"/>
              <w:rPr>
                <w:i/>
                <w:sz w:val="19"/>
              </w:rPr>
            </w:pPr>
            <w:r>
              <w:rPr>
                <w:i/>
                <w:sz w:val="19"/>
              </w:rPr>
              <w:t>Fish Resources Management Amendment Regulations (No. 4) 2003</w:t>
            </w:r>
          </w:p>
        </w:tc>
        <w:tc>
          <w:tcPr>
            <w:tcW w:w="1276" w:type="dxa"/>
          </w:tcPr>
          <w:p>
            <w:pPr>
              <w:pStyle w:val="nTable"/>
              <w:spacing w:before="36" w:after="40"/>
              <w:rPr>
                <w:sz w:val="19"/>
              </w:rPr>
            </w:pPr>
            <w:r>
              <w:rPr>
                <w:sz w:val="19"/>
              </w:rPr>
              <w:t>7 Mar 2003 p. 743</w:t>
            </w:r>
            <w:r>
              <w:rPr>
                <w:sz w:val="19"/>
              </w:rPr>
              <w:noBreakHyphen/>
              <w:t>8</w:t>
            </w:r>
          </w:p>
        </w:tc>
        <w:tc>
          <w:tcPr>
            <w:tcW w:w="2693" w:type="dxa"/>
          </w:tcPr>
          <w:p>
            <w:pPr>
              <w:pStyle w:val="nTable"/>
              <w:spacing w:before="36" w:after="40"/>
              <w:rPr>
                <w:sz w:val="19"/>
              </w:rPr>
            </w:pPr>
            <w:r>
              <w:rPr>
                <w:sz w:val="19"/>
              </w:rPr>
              <w:t>7 Mar 2003</w:t>
            </w:r>
          </w:p>
        </w:tc>
      </w:tr>
      <w:tr>
        <w:trPr>
          <w:cantSplit/>
        </w:trPr>
        <w:tc>
          <w:tcPr>
            <w:tcW w:w="3119" w:type="dxa"/>
          </w:tcPr>
          <w:p>
            <w:pPr>
              <w:pStyle w:val="nTable"/>
              <w:spacing w:before="36" w:after="40"/>
              <w:ind w:right="113"/>
              <w:rPr>
                <w:i/>
                <w:sz w:val="19"/>
              </w:rPr>
            </w:pPr>
            <w:r>
              <w:rPr>
                <w:i/>
                <w:sz w:val="19"/>
              </w:rPr>
              <w:t>Fish Resources Management Amendment Regulations (No. 6) 2003</w:t>
            </w:r>
          </w:p>
        </w:tc>
        <w:tc>
          <w:tcPr>
            <w:tcW w:w="1276" w:type="dxa"/>
          </w:tcPr>
          <w:p>
            <w:pPr>
              <w:pStyle w:val="nTable"/>
              <w:spacing w:before="36" w:after="40"/>
              <w:rPr>
                <w:sz w:val="19"/>
              </w:rPr>
            </w:pPr>
            <w:r>
              <w:rPr>
                <w:sz w:val="19"/>
              </w:rPr>
              <w:t>3 Jun 2003 p. 1979</w:t>
            </w:r>
            <w:r>
              <w:rPr>
                <w:sz w:val="19"/>
              </w:rPr>
              <w:noBreakHyphen/>
              <w:t>82</w:t>
            </w:r>
          </w:p>
        </w:tc>
        <w:tc>
          <w:tcPr>
            <w:tcW w:w="2693" w:type="dxa"/>
          </w:tcPr>
          <w:p>
            <w:pPr>
              <w:pStyle w:val="nTable"/>
              <w:spacing w:before="36" w:after="40"/>
              <w:rPr>
                <w:sz w:val="19"/>
              </w:rPr>
            </w:pPr>
            <w:r>
              <w:rPr>
                <w:sz w:val="19"/>
              </w:rPr>
              <w:t>1 Jul 2003 (see r. 2)</w:t>
            </w:r>
          </w:p>
        </w:tc>
      </w:tr>
      <w:tr>
        <w:trPr>
          <w:cantSplit/>
        </w:trPr>
        <w:tc>
          <w:tcPr>
            <w:tcW w:w="3119" w:type="dxa"/>
          </w:tcPr>
          <w:p>
            <w:pPr>
              <w:pStyle w:val="nTable"/>
              <w:spacing w:before="36" w:after="40"/>
              <w:ind w:right="113"/>
              <w:rPr>
                <w:i/>
                <w:sz w:val="19"/>
              </w:rPr>
            </w:pPr>
            <w:r>
              <w:rPr>
                <w:i/>
                <w:sz w:val="19"/>
              </w:rPr>
              <w:t>Fish Resources Management Amendment Regulations (No. 5) 2003</w:t>
            </w:r>
          </w:p>
        </w:tc>
        <w:tc>
          <w:tcPr>
            <w:tcW w:w="1276" w:type="dxa"/>
          </w:tcPr>
          <w:p>
            <w:pPr>
              <w:pStyle w:val="nTable"/>
              <w:spacing w:before="36" w:after="40"/>
              <w:rPr>
                <w:sz w:val="19"/>
              </w:rPr>
            </w:pPr>
            <w:r>
              <w:rPr>
                <w:sz w:val="19"/>
              </w:rPr>
              <w:t>27 Jun 2003 p. 2389</w:t>
            </w:r>
            <w:r>
              <w:rPr>
                <w:sz w:val="19"/>
              </w:rPr>
              <w:noBreakHyphen/>
              <w:t>95</w:t>
            </w:r>
          </w:p>
        </w:tc>
        <w:tc>
          <w:tcPr>
            <w:tcW w:w="2693" w:type="dxa"/>
          </w:tcPr>
          <w:p>
            <w:pPr>
              <w:pStyle w:val="nTable"/>
              <w:spacing w:before="36" w:after="40"/>
              <w:rPr>
                <w:sz w:val="19"/>
              </w:rPr>
            </w:pPr>
            <w:r>
              <w:rPr>
                <w:sz w:val="19"/>
              </w:rPr>
              <w:t>1 Jul 2003 (see r. 2)</w:t>
            </w:r>
          </w:p>
        </w:tc>
      </w:tr>
      <w:tr>
        <w:trPr>
          <w:cantSplit/>
        </w:trPr>
        <w:tc>
          <w:tcPr>
            <w:tcW w:w="3119" w:type="dxa"/>
          </w:tcPr>
          <w:p>
            <w:pPr>
              <w:pStyle w:val="nTable"/>
              <w:spacing w:before="36" w:after="40"/>
              <w:ind w:right="113"/>
              <w:rPr>
                <w:i/>
                <w:sz w:val="19"/>
              </w:rPr>
            </w:pPr>
            <w:r>
              <w:rPr>
                <w:i/>
                <w:sz w:val="19"/>
              </w:rPr>
              <w:t>Equality of Status Subsidiary Legislation Amendment Regulations 2003</w:t>
            </w:r>
            <w:r>
              <w:rPr>
                <w:sz w:val="19"/>
              </w:rPr>
              <w:t xml:space="preserve"> Pt. 13</w:t>
            </w:r>
          </w:p>
        </w:tc>
        <w:tc>
          <w:tcPr>
            <w:tcW w:w="1276" w:type="dxa"/>
          </w:tcPr>
          <w:p>
            <w:pPr>
              <w:pStyle w:val="nTable"/>
              <w:spacing w:before="36" w:after="40"/>
              <w:rPr>
                <w:sz w:val="19"/>
              </w:rPr>
            </w:pPr>
            <w:r>
              <w:rPr>
                <w:sz w:val="19"/>
              </w:rPr>
              <w:t>30 Jun 2003 p. 2581</w:t>
            </w:r>
            <w:r>
              <w:rPr>
                <w:sz w:val="19"/>
              </w:rPr>
              <w:noBreakHyphen/>
              <w:t>638</w:t>
            </w:r>
          </w:p>
        </w:tc>
        <w:tc>
          <w:tcPr>
            <w:tcW w:w="2693" w:type="dxa"/>
          </w:tcPr>
          <w:p>
            <w:pPr>
              <w:pStyle w:val="nTable"/>
              <w:spacing w:before="36" w:after="40"/>
              <w:rPr>
                <w:sz w:val="19"/>
              </w:rPr>
            </w:pPr>
            <w:r>
              <w:rPr>
                <w:sz w:val="19"/>
              </w:rPr>
              <w:t xml:space="preserve">1 Jul 2003 (see r. 2 and </w:t>
            </w:r>
            <w:r>
              <w:rPr>
                <w:i/>
                <w:sz w:val="19"/>
              </w:rPr>
              <w:t xml:space="preserve">Gazette </w:t>
            </w:r>
            <w:r>
              <w:rPr>
                <w:sz w:val="19"/>
              </w:rPr>
              <w:t>30 Jun 2003 p. 2579)</w:t>
            </w:r>
          </w:p>
        </w:tc>
      </w:tr>
      <w:tr>
        <w:trPr>
          <w:cantSplit/>
        </w:trPr>
        <w:tc>
          <w:tcPr>
            <w:tcW w:w="3119" w:type="dxa"/>
          </w:tcPr>
          <w:p>
            <w:pPr>
              <w:pStyle w:val="nTable"/>
              <w:spacing w:before="36" w:after="40"/>
              <w:ind w:right="113"/>
              <w:rPr>
                <w:i/>
                <w:sz w:val="19"/>
              </w:rPr>
            </w:pPr>
            <w:r>
              <w:rPr>
                <w:i/>
                <w:sz w:val="19"/>
              </w:rPr>
              <w:t>Fish Resources Management Amendment Regulations (No. 7) 2003</w:t>
            </w:r>
          </w:p>
        </w:tc>
        <w:tc>
          <w:tcPr>
            <w:tcW w:w="1276" w:type="dxa"/>
          </w:tcPr>
          <w:p>
            <w:pPr>
              <w:pStyle w:val="nTable"/>
              <w:spacing w:before="36" w:after="40"/>
              <w:rPr>
                <w:sz w:val="19"/>
              </w:rPr>
            </w:pPr>
            <w:r>
              <w:rPr>
                <w:sz w:val="19"/>
              </w:rPr>
              <w:t>19 Aug 2003 p. 3714</w:t>
            </w:r>
            <w:r>
              <w:rPr>
                <w:sz w:val="19"/>
              </w:rPr>
              <w:noBreakHyphen/>
              <w:t>15</w:t>
            </w:r>
          </w:p>
        </w:tc>
        <w:tc>
          <w:tcPr>
            <w:tcW w:w="2693" w:type="dxa"/>
          </w:tcPr>
          <w:p>
            <w:pPr>
              <w:pStyle w:val="nTable"/>
              <w:spacing w:before="36" w:after="40"/>
              <w:rPr>
                <w:sz w:val="19"/>
              </w:rPr>
            </w:pPr>
            <w:r>
              <w:rPr>
                <w:sz w:val="19"/>
              </w:rPr>
              <w:t xml:space="preserve">8 Nov 2003 (see r. 2 and </w:t>
            </w:r>
            <w:r>
              <w:rPr>
                <w:i/>
                <w:sz w:val="19"/>
              </w:rPr>
              <w:t>Gazette</w:t>
            </w:r>
            <w:r>
              <w:rPr>
                <w:sz w:val="19"/>
              </w:rPr>
              <w:t xml:space="preserve"> 2 Sep 2003 p. 3923)</w:t>
            </w:r>
          </w:p>
        </w:tc>
      </w:tr>
      <w:tr>
        <w:trPr>
          <w:cantSplit/>
        </w:trPr>
        <w:tc>
          <w:tcPr>
            <w:tcW w:w="3119" w:type="dxa"/>
          </w:tcPr>
          <w:p>
            <w:pPr>
              <w:pStyle w:val="nTable"/>
              <w:spacing w:before="36" w:after="40"/>
              <w:ind w:right="113"/>
              <w:rPr>
                <w:i/>
                <w:sz w:val="19"/>
              </w:rPr>
            </w:pPr>
            <w:r>
              <w:rPr>
                <w:i/>
                <w:snapToGrid w:val="0"/>
                <w:sz w:val="19"/>
                <w:lang w:val="en-US"/>
              </w:rPr>
              <w:t>Fish Resources Management Amendment Regulations (No. 12) 2003</w:t>
            </w:r>
          </w:p>
        </w:tc>
        <w:tc>
          <w:tcPr>
            <w:tcW w:w="1276" w:type="dxa"/>
          </w:tcPr>
          <w:p>
            <w:pPr>
              <w:pStyle w:val="nTable"/>
              <w:spacing w:before="36" w:after="40"/>
              <w:rPr>
                <w:sz w:val="19"/>
              </w:rPr>
            </w:pPr>
            <w:r>
              <w:rPr>
                <w:snapToGrid w:val="0"/>
                <w:sz w:val="19"/>
                <w:lang w:val="en-US"/>
              </w:rPr>
              <w:t>19 Sep 2003 p. 4118</w:t>
            </w:r>
          </w:p>
        </w:tc>
        <w:tc>
          <w:tcPr>
            <w:tcW w:w="2693" w:type="dxa"/>
          </w:tcPr>
          <w:p>
            <w:pPr>
              <w:pStyle w:val="nTable"/>
              <w:spacing w:before="36" w:after="40"/>
              <w:rPr>
                <w:sz w:val="19"/>
              </w:rPr>
            </w:pPr>
            <w:r>
              <w:rPr>
                <w:sz w:val="19"/>
              </w:rPr>
              <w:t>1 Oct 2003 (see r. 2)</w:t>
            </w:r>
          </w:p>
        </w:tc>
      </w:tr>
      <w:tr>
        <w:trPr>
          <w:cantSplit/>
        </w:trPr>
        <w:tc>
          <w:tcPr>
            <w:tcW w:w="3119" w:type="dxa"/>
          </w:tcPr>
          <w:p>
            <w:pPr>
              <w:pStyle w:val="nTable"/>
              <w:spacing w:before="36" w:after="40"/>
              <w:ind w:right="113"/>
              <w:rPr>
                <w:i/>
                <w:sz w:val="19"/>
              </w:rPr>
            </w:pPr>
            <w:r>
              <w:rPr>
                <w:i/>
                <w:sz w:val="19"/>
              </w:rPr>
              <w:t>Fish Resources Management Amendment Regulations (No. 11) 2003</w:t>
            </w:r>
          </w:p>
        </w:tc>
        <w:tc>
          <w:tcPr>
            <w:tcW w:w="1276" w:type="dxa"/>
          </w:tcPr>
          <w:p>
            <w:pPr>
              <w:pStyle w:val="nTable"/>
              <w:spacing w:before="36" w:after="40"/>
              <w:rPr>
                <w:sz w:val="19"/>
              </w:rPr>
            </w:pPr>
            <w:r>
              <w:rPr>
                <w:sz w:val="19"/>
              </w:rPr>
              <w:t>19 Sep 2003 p. 4119</w:t>
            </w:r>
            <w:r>
              <w:rPr>
                <w:sz w:val="19"/>
              </w:rPr>
              <w:noBreakHyphen/>
              <w:t>25</w:t>
            </w:r>
          </w:p>
        </w:tc>
        <w:tc>
          <w:tcPr>
            <w:tcW w:w="2693" w:type="dxa"/>
          </w:tcPr>
          <w:p>
            <w:pPr>
              <w:pStyle w:val="nTable"/>
              <w:spacing w:before="36" w:after="40"/>
              <w:rPr>
                <w:sz w:val="19"/>
              </w:rPr>
            </w:pPr>
            <w:r>
              <w:rPr>
                <w:sz w:val="19"/>
              </w:rPr>
              <w:t>19 Sep 2003</w:t>
            </w:r>
          </w:p>
        </w:tc>
      </w:tr>
      <w:tr>
        <w:trPr>
          <w:cantSplit/>
        </w:trPr>
        <w:tc>
          <w:tcPr>
            <w:tcW w:w="3119" w:type="dxa"/>
          </w:tcPr>
          <w:p>
            <w:pPr>
              <w:pStyle w:val="nTable"/>
              <w:spacing w:before="36" w:after="40"/>
              <w:ind w:right="113"/>
              <w:rPr>
                <w:i/>
                <w:sz w:val="19"/>
              </w:rPr>
            </w:pPr>
            <w:r>
              <w:rPr>
                <w:i/>
                <w:sz w:val="19"/>
              </w:rPr>
              <w:t>Fish Resources Management Amendment Regulations (No. 8) 2003</w:t>
            </w:r>
          </w:p>
        </w:tc>
        <w:tc>
          <w:tcPr>
            <w:tcW w:w="1276" w:type="dxa"/>
          </w:tcPr>
          <w:p>
            <w:pPr>
              <w:pStyle w:val="nTable"/>
              <w:spacing w:before="36" w:after="40"/>
              <w:rPr>
                <w:sz w:val="19"/>
              </w:rPr>
            </w:pPr>
            <w:r>
              <w:rPr>
                <w:sz w:val="19"/>
              </w:rPr>
              <w:t>1 Oct 2003 p. 4279</w:t>
            </w:r>
            <w:r>
              <w:rPr>
                <w:sz w:val="19"/>
              </w:rPr>
              <w:noBreakHyphen/>
              <w:t>347</w:t>
            </w:r>
          </w:p>
        </w:tc>
        <w:tc>
          <w:tcPr>
            <w:tcW w:w="2693" w:type="dxa"/>
          </w:tcPr>
          <w:p>
            <w:pPr>
              <w:pStyle w:val="nTable"/>
              <w:spacing w:before="36" w:after="40"/>
              <w:rPr>
                <w:sz w:val="19"/>
              </w:rPr>
            </w:pPr>
            <w:r>
              <w:rPr>
                <w:sz w:val="19"/>
              </w:rPr>
              <w:t>1 Oct 2003 (see r. 2)</w:t>
            </w:r>
          </w:p>
        </w:tc>
      </w:tr>
      <w:tr>
        <w:trPr>
          <w:cantSplit/>
        </w:trPr>
        <w:tc>
          <w:tcPr>
            <w:tcW w:w="3119" w:type="dxa"/>
          </w:tcPr>
          <w:p>
            <w:pPr>
              <w:pStyle w:val="nTable"/>
              <w:spacing w:before="36" w:after="40"/>
              <w:ind w:right="113"/>
              <w:rPr>
                <w:i/>
                <w:sz w:val="19"/>
              </w:rPr>
            </w:pPr>
            <w:r>
              <w:rPr>
                <w:i/>
                <w:sz w:val="19"/>
              </w:rPr>
              <w:t>Fish Resources Management Amendment Regulations (No. 9) 2003</w:t>
            </w:r>
          </w:p>
        </w:tc>
        <w:tc>
          <w:tcPr>
            <w:tcW w:w="1276" w:type="dxa"/>
          </w:tcPr>
          <w:p>
            <w:pPr>
              <w:pStyle w:val="nTable"/>
              <w:spacing w:before="36" w:after="40"/>
              <w:rPr>
                <w:sz w:val="19"/>
              </w:rPr>
            </w:pPr>
            <w:r>
              <w:rPr>
                <w:sz w:val="19"/>
              </w:rPr>
              <w:t>31 Oct 2003 p. 4561</w:t>
            </w:r>
            <w:r>
              <w:rPr>
                <w:sz w:val="19"/>
              </w:rPr>
              <w:noBreakHyphen/>
              <w:t>2</w:t>
            </w:r>
          </w:p>
        </w:tc>
        <w:tc>
          <w:tcPr>
            <w:tcW w:w="2693" w:type="dxa"/>
          </w:tcPr>
          <w:p>
            <w:pPr>
              <w:pStyle w:val="nTable"/>
              <w:spacing w:before="36" w:after="40"/>
              <w:rPr>
                <w:sz w:val="19"/>
              </w:rPr>
            </w:pPr>
            <w:r>
              <w:rPr>
                <w:sz w:val="19"/>
              </w:rPr>
              <w:t>8 Nov 2003 (see r. 2)</w:t>
            </w:r>
          </w:p>
        </w:tc>
      </w:tr>
      <w:tr>
        <w:trPr>
          <w:cantSplit/>
        </w:trPr>
        <w:tc>
          <w:tcPr>
            <w:tcW w:w="3119" w:type="dxa"/>
          </w:tcPr>
          <w:p>
            <w:pPr>
              <w:pStyle w:val="nTable"/>
              <w:spacing w:before="36" w:after="40"/>
              <w:ind w:right="113"/>
              <w:rPr>
                <w:i/>
                <w:sz w:val="19"/>
              </w:rPr>
            </w:pPr>
            <w:r>
              <w:rPr>
                <w:i/>
                <w:sz w:val="19"/>
              </w:rPr>
              <w:t>Fish Resources Management Amendment Regulations (No. 15) 2003</w:t>
            </w:r>
          </w:p>
        </w:tc>
        <w:tc>
          <w:tcPr>
            <w:tcW w:w="1276" w:type="dxa"/>
          </w:tcPr>
          <w:p>
            <w:pPr>
              <w:pStyle w:val="nTable"/>
              <w:spacing w:before="36" w:after="40"/>
              <w:rPr>
                <w:sz w:val="19"/>
              </w:rPr>
            </w:pPr>
            <w:r>
              <w:rPr>
                <w:sz w:val="19"/>
              </w:rPr>
              <w:t>31 Oct 2003 p. 4562</w:t>
            </w:r>
            <w:r>
              <w:rPr>
                <w:sz w:val="19"/>
              </w:rPr>
              <w:noBreakHyphen/>
              <w:t>3</w:t>
            </w:r>
          </w:p>
        </w:tc>
        <w:tc>
          <w:tcPr>
            <w:tcW w:w="2693" w:type="dxa"/>
          </w:tcPr>
          <w:p>
            <w:pPr>
              <w:pStyle w:val="nTable"/>
              <w:spacing w:before="36" w:after="40"/>
              <w:rPr>
                <w:sz w:val="19"/>
              </w:rPr>
            </w:pPr>
            <w:r>
              <w:rPr>
                <w:sz w:val="19"/>
              </w:rPr>
              <w:t>8 Nov 2003 (see r. 2)</w:t>
            </w:r>
          </w:p>
        </w:tc>
      </w:tr>
      <w:tr>
        <w:trPr>
          <w:cantSplit/>
        </w:trPr>
        <w:tc>
          <w:tcPr>
            <w:tcW w:w="7088" w:type="dxa"/>
            <w:gridSpan w:val="3"/>
          </w:tcPr>
          <w:p>
            <w:pPr>
              <w:pStyle w:val="nTable"/>
              <w:spacing w:before="36" w:after="40"/>
              <w:rPr>
                <w:sz w:val="19"/>
              </w:rPr>
            </w:pPr>
            <w:r>
              <w:rPr>
                <w:b/>
                <w:sz w:val="19"/>
              </w:rPr>
              <w:t xml:space="preserve">Reprint 4: The </w:t>
            </w:r>
            <w:r>
              <w:rPr>
                <w:b/>
                <w:i/>
                <w:sz w:val="19"/>
              </w:rPr>
              <w:t>Fish Resources Management Regulations 1995</w:t>
            </w:r>
            <w:r>
              <w:rPr>
                <w:b/>
                <w:sz w:val="19"/>
              </w:rPr>
              <w:t xml:space="preserve"> as at 14 Nov 2003</w:t>
            </w:r>
            <w:r>
              <w:rPr>
                <w:b/>
                <w:sz w:val="19"/>
              </w:rPr>
              <w:br/>
            </w:r>
            <w:r>
              <w:rPr>
                <w:sz w:val="19"/>
              </w:rPr>
              <w:t>(includes amendments listed above)</w:t>
            </w:r>
          </w:p>
        </w:tc>
      </w:tr>
      <w:tr>
        <w:trPr>
          <w:cantSplit/>
        </w:trPr>
        <w:tc>
          <w:tcPr>
            <w:tcW w:w="3119" w:type="dxa"/>
          </w:tcPr>
          <w:p>
            <w:pPr>
              <w:pStyle w:val="nTable"/>
              <w:spacing w:before="36" w:after="40"/>
              <w:ind w:right="113"/>
              <w:rPr>
                <w:i/>
                <w:sz w:val="19"/>
              </w:rPr>
            </w:pPr>
            <w:r>
              <w:rPr>
                <w:i/>
                <w:sz w:val="19"/>
              </w:rPr>
              <w:t>Fish Resources Management Amendment Regulations (No. 16) 2003</w:t>
            </w:r>
          </w:p>
        </w:tc>
        <w:tc>
          <w:tcPr>
            <w:tcW w:w="1276" w:type="dxa"/>
          </w:tcPr>
          <w:p>
            <w:pPr>
              <w:pStyle w:val="nTable"/>
              <w:spacing w:before="36" w:after="40"/>
              <w:rPr>
                <w:sz w:val="19"/>
              </w:rPr>
            </w:pPr>
            <w:r>
              <w:rPr>
                <w:sz w:val="19"/>
              </w:rPr>
              <w:t>28 Nov 2003 p. 4774</w:t>
            </w:r>
            <w:r>
              <w:rPr>
                <w:sz w:val="19"/>
              </w:rPr>
              <w:noBreakHyphen/>
              <w:t>6</w:t>
            </w:r>
          </w:p>
        </w:tc>
        <w:tc>
          <w:tcPr>
            <w:tcW w:w="2693" w:type="dxa"/>
          </w:tcPr>
          <w:p>
            <w:pPr>
              <w:pStyle w:val="nTable"/>
              <w:spacing w:before="36" w:after="40"/>
              <w:rPr>
                <w:sz w:val="19"/>
              </w:rPr>
            </w:pPr>
            <w:r>
              <w:rPr>
                <w:sz w:val="19"/>
              </w:rPr>
              <w:t>28 Nov 2003</w:t>
            </w:r>
          </w:p>
        </w:tc>
      </w:tr>
      <w:tr>
        <w:trPr>
          <w:cantSplit/>
        </w:trPr>
        <w:tc>
          <w:tcPr>
            <w:tcW w:w="3119" w:type="dxa"/>
          </w:tcPr>
          <w:p>
            <w:pPr>
              <w:pStyle w:val="nTable"/>
              <w:spacing w:before="36" w:after="40"/>
              <w:ind w:right="113"/>
              <w:rPr>
                <w:i/>
                <w:sz w:val="19"/>
              </w:rPr>
            </w:pPr>
            <w:r>
              <w:rPr>
                <w:i/>
                <w:sz w:val="19"/>
              </w:rPr>
              <w:t>Fish Resources Management Amendment Regulations (No. 14) 2003</w:t>
            </w:r>
          </w:p>
        </w:tc>
        <w:tc>
          <w:tcPr>
            <w:tcW w:w="1276" w:type="dxa"/>
          </w:tcPr>
          <w:p>
            <w:pPr>
              <w:pStyle w:val="nTable"/>
              <w:spacing w:before="36" w:after="40"/>
              <w:rPr>
                <w:sz w:val="19"/>
              </w:rPr>
            </w:pPr>
            <w:r>
              <w:rPr>
                <w:sz w:val="19"/>
              </w:rPr>
              <w:t>23 Dec 2003 p. 5204</w:t>
            </w:r>
            <w:r>
              <w:rPr>
                <w:sz w:val="19"/>
              </w:rPr>
              <w:noBreakHyphen/>
              <w:t>6</w:t>
            </w:r>
          </w:p>
        </w:tc>
        <w:tc>
          <w:tcPr>
            <w:tcW w:w="2693" w:type="dxa"/>
          </w:tcPr>
          <w:p>
            <w:pPr>
              <w:pStyle w:val="nTable"/>
              <w:spacing w:before="36" w:after="40"/>
              <w:rPr>
                <w:sz w:val="19"/>
              </w:rPr>
            </w:pPr>
            <w:r>
              <w:rPr>
                <w:sz w:val="19"/>
              </w:rPr>
              <w:t>23 Dec 2003</w:t>
            </w:r>
          </w:p>
        </w:tc>
      </w:tr>
      <w:tr>
        <w:trPr>
          <w:cantSplit/>
        </w:trPr>
        <w:tc>
          <w:tcPr>
            <w:tcW w:w="3119" w:type="dxa"/>
          </w:tcPr>
          <w:p>
            <w:pPr>
              <w:pStyle w:val="nTable"/>
              <w:spacing w:before="36" w:after="40"/>
              <w:ind w:right="113"/>
              <w:rPr>
                <w:i/>
                <w:sz w:val="19"/>
              </w:rPr>
            </w:pPr>
            <w:r>
              <w:rPr>
                <w:i/>
                <w:sz w:val="19"/>
              </w:rPr>
              <w:t>Fish Resources Management Amendment Regulations 2004</w:t>
            </w:r>
          </w:p>
        </w:tc>
        <w:tc>
          <w:tcPr>
            <w:tcW w:w="1276" w:type="dxa"/>
          </w:tcPr>
          <w:p>
            <w:pPr>
              <w:pStyle w:val="nTable"/>
              <w:spacing w:before="36" w:after="40"/>
              <w:rPr>
                <w:sz w:val="19"/>
              </w:rPr>
            </w:pPr>
            <w:r>
              <w:rPr>
                <w:sz w:val="19"/>
              </w:rPr>
              <w:t>9 Jan 2004 p. 141</w:t>
            </w:r>
            <w:r>
              <w:rPr>
                <w:sz w:val="19"/>
              </w:rPr>
              <w:noBreakHyphen/>
              <w:t>2</w:t>
            </w:r>
          </w:p>
        </w:tc>
        <w:tc>
          <w:tcPr>
            <w:tcW w:w="2693" w:type="dxa"/>
          </w:tcPr>
          <w:p>
            <w:pPr>
              <w:pStyle w:val="nTable"/>
              <w:spacing w:before="36" w:after="40"/>
              <w:rPr>
                <w:sz w:val="19"/>
              </w:rPr>
            </w:pPr>
            <w:r>
              <w:rPr>
                <w:sz w:val="19"/>
              </w:rPr>
              <w:t>9 Jan 2004</w:t>
            </w:r>
          </w:p>
        </w:tc>
      </w:tr>
      <w:tr>
        <w:trPr>
          <w:cantSplit/>
        </w:trPr>
        <w:tc>
          <w:tcPr>
            <w:tcW w:w="3119" w:type="dxa"/>
          </w:tcPr>
          <w:p>
            <w:pPr>
              <w:pStyle w:val="nTable"/>
              <w:spacing w:before="36" w:after="40"/>
              <w:ind w:right="113"/>
              <w:rPr>
                <w:i/>
                <w:sz w:val="19"/>
              </w:rPr>
            </w:pPr>
            <w:r>
              <w:rPr>
                <w:i/>
                <w:sz w:val="19"/>
              </w:rPr>
              <w:t>Fish Resources Management Amendment Regulations (No. 2) 2004</w:t>
            </w:r>
          </w:p>
        </w:tc>
        <w:tc>
          <w:tcPr>
            <w:tcW w:w="1276" w:type="dxa"/>
          </w:tcPr>
          <w:p>
            <w:pPr>
              <w:pStyle w:val="nTable"/>
              <w:spacing w:before="36" w:after="40"/>
              <w:rPr>
                <w:sz w:val="19"/>
              </w:rPr>
            </w:pPr>
            <w:r>
              <w:rPr>
                <w:sz w:val="19"/>
              </w:rPr>
              <w:t>17 Feb 2004 p. 599</w:t>
            </w:r>
            <w:r>
              <w:rPr>
                <w:sz w:val="19"/>
              </w:rPr>
              <w:noBreakHyphen/>
              <w:t>600</w:t>
            </w:r>
          </w:p>
        </w:tc>
        <w:tc>
          <w:tcPr>
            <w:tcW w:w="2693" w:type="dxa"/>
          </w:tcPr>
          <w:p>
            <w:pPr>
              <w:pStyle w:val="nTable"/>
              <w:spacing w:before="36" w:after="40"/>
              <w:rPr>
                <w:sz w:val="19"/>
              </w:rPr>
            </w:pPr>
            <w:r>
              <w:rPr>
                <w:sz w:val="19"/>
              </w:rPr>
              <w:t>1 Mar 2004 (see r. 2)</w:t>
            </w:r>
          </w:p>
        </w:tc>
      </w:tr>
      <w:tr>
        <w:trPr>
          <w:cantSplit/>
        </w:trPr>
        <w:tc>
          <w:tcPr>
            <w:tcW w:w="3119" w:type="dxa"/>
          </w:tcPr>
          <w:p>
            <w:pPr>
              <w:pStyle w:val="nTable"/>
              <w:spacing w:before="36" w:after="40"/>
              <w:ind w:right="113"/>
              <w:rPr>
                <w:i/>
                <w:sz w:val="19"/>
              </w:rPr>
            </w:pPr>
            <w:r>
              <w:rPr>
                <w:i/>
                <w:sz w:val="19"/>
              </w:rPr>
              <w:t>Fish Resources Management Amendment Regulations (No. 3) 2004</w:t>
            </w:r>
          </w:p>
        </w:tc>
        <w:tc>
          <w:tcPr>
            <w:tcW w:w="1276" w:type="dxa"/>
          </w:tcPr>
          <w:p>
            <w:pPr>
              <w:pStyle w:val="nTable"/>
              <w:spacing w:before="36" w:after="40"/>
              <w:rPr>
                <w:sz w:val="19"/>
              </w:rPr>
            </w:pPr>
            <w:r>
              <w:rPr>
                <w:sz w:val="19"/>
              </w:rPr>
              <w:t>6 Apr 2004 p. 1132</w:t>
            </w:r>
            <w:r>
              <w:rPr>
                <w:sz w:val="19"/>
              </w:rPr>
              <w:noBreakHyphen/>
              <w:t>4</w:t>
            </w:r>
          </w:p>
        </w:tc>
        <w:tc>
          <w:tcPr>
            <w:tcW w:w="2693" w:type="dxa"/>
          </w:tcPr>
          <w:p>
            <w:pPr>
              <w:pStyle w:val="nTable"/>
              <w:spacing w:before="36" w:after="40"/>
              <w:rPr>
                <w:sz w:val="19"/>
              </w:rPr>
            </w:pPr>
            <w:r>
              <w:rPr>
                <w:sz w:val="19"/>
              </w:rPr>
              <w:t>6 Apr 2004</w:t>
            </w:r>
          </w:p>
        </w:tc>
      </w:tr>
      <w:tr>
        <w:trPr>
          <w:cantSplit/>
        </w:trPr>
        <w:tc>
          <w:tcPr>
            <w:tcW w:w="3119" w:type="dxa"/>
          </w:tcPr>
          <w:p>
            <w:pPr>
              <w:pStyle w:val="nTable"/>
              <w:spacing w:before="36" w:after="40"/>
              <w:ind w:right="113"/>
              <w:rPr>
                <w:i/>
                <w:sz w:val="19"/>
              </w:rPr>
            </w:pPr>
            <w:r>
              <w:rPr>
                <w:i/>
                <w:sz w:val="19"/>
              </w:rPr>
              <w:t>Fish Resources Management Amendment Regulations (No. 6) 2004</w:t>
            </w:r>
          </w:p>
        </w:tc>
        <w:tc>
          <w:tcPr>
            <w:tcW w:w="1276" w:type="dxa"/>
          </w:tcPr>
          <w:p>
            <w:pPr>
              <w:pStyle w:val="nTable"/>
              <w:spacing w:before="36" w:after="40"/>
              <w:rPr>
                <w:sz w:val="19"/>
              </w:rPr>
            </w:pPr>
            <w:r>
              <w:rPr>
                <w:sz w:val="19"/>
              </w:rPr>
              <w:t>28 May 2004 p. 1895</w:t>
            </w:r>
            <w:r>
              <w:rPr>
                <w:sz w:val="19"/>
              </w:rPr>
              <w:noBreakHyphen/>
              <w:t>902</w:t>
            </w:r>
            <w:r>
              <w:rPr>
                <w:sz w:val="19"/>
              </w:rPr>
              <w:br/>
              <w:t>(as amended 29 Jun 2004 p. 2524)</w:t>
            </w:r>
          </w:p>
        </w:tc>
        <w:tc>
          <w:tcPr>
            <w:tcW w:w="2693" w:type="dxa"/>
          </w:tcPr>
          <w:p>
            <w:pPr>
              <w:pStyle w:val="nTable"/>
              <w:spacing w:before="36" w:after="40"/>
              <w:rPr>
                <w:sz w:val="19"/>
              </w:rPr>
            </w:pPr>
            <w:r>
              <w:rPr>
                <w:sz w:val="19"/>
              </w:rPr>
              <w:t>1 Jul 2004 (see r. 2)</w:t>
            </w:r>
          </w:p>
        </w:tc>
      </w:tr>
      <w:tr>
        <w:trPr>
          <w:cantSplit/>
        </w:trPr>
        <w:tc>
          <w:tcPr>
            <w:tcW w:w="3119" w:type="dxa"/>
          </w:tcPr>
          <w:p>
            <w:pPr>
              <w:pStyle w:val="nTable"/>
              <w:spacing w:before="36" w:after="40"/>
              <w:ind w:right="113"/>
              <w:rPr>
                <w:i/>
                <w:sz w:val="19"/>
              </w:rPr>
            </w:pPr>
            <w:r>
              <w:rPr>
                <w:i/>
                <w:sz w:val="19"/>
              </w:rPr>
              <w:t>Fish Resources Management Amendment Regulations (No. 5) 2004</w:t>
            </w:r>
          </w:p>
        </w:tc>
        <w:tc>
          <w:tcPr>
            <w:tcW w:w="1276" w:type="dxa"/>
          </w:tcPr>
          <w:p>
            <w:pPr>
              <w:pStyle w:val="nTable"/>
              <w:spacing w:before="36" w:after="40"/>
              <w:rPr>
                <w:sz w:val="19"/>
              </w:rPr>
            </w:pPr>
            <w:r>
              <w:rPr>
                <w:sz w:val="19"/>
              </w:rPr>
              <w:t>29 Jun 2004 p. 2522</w:t>
            </w:r>
            <w:r>
              <w:rPr>
                <w:sz w:val="19"/>
              </w:rPr>
              <w:noBreakHyphen/>
              <w:t>3</w:t>
            </w:r>
          </w:p>
        </w:tc>
        <w:tc>
          <w:tcPr>
            <w:tcW w:w="2693" w:type="dxa"/>
          </w:tcPr>
          <w:p>
            <w:pPr>
              <w:pStyle w:val="nTable"/>
              <w:spacing w:before="36" w:after="40"/>
              <w:rPr>
                <w:sz w:val="19"/>
              </w:rPr>
            </w:pPr>
            <w:r>
              <w:rPr>
                <w:sz w:val="19"/>
              </w:rPr>
              <w:t>29 Jun 2004</w:t>
            </w:r>
          </w:p>
        </w:tc>
      </w:tr>
      <w:tr>
        <w:trPr>
          <w:cantSplit/>
        </w:trPr>
        <w:tc>
          <w:tcPr>
            <w:tcW w:w="3119" w:type="dxa"/>
          </w:tcPr>
          <w:p>
            <w:pPr>
              <w:pStyle w:val="nTable"/>
              <w:spacing w:before="36" w:after="40"/>
              <w:ind w:right="113"/>
              <w:rPr>
                <w:i/>
                <w:sz w:val="19"/>
              </w:rPr>
            </w:pPr>
            <w:r>
              <w:rPr>
                <w:i/>
                <w:sz w:val="19"/>
              </w:rPr>
              <w:t>Fish Resources Management Amendment Regulations (No. 9) 2004</w:t>
            </w:r>
          </w:p>
        </w:tc>
        <w:tc>
          <w:tcPr>
            <w:tcW w:w="1276" w:type="dxa"/>
          </w:tcPr>
          <w:p>
            <w:pPr>
              <w:pStyle w:val="nTable"/>
              <w:spacing w:before="36" w:after="40"/>
              <w:rPr>
                <w:sz w:val="19"/>
              </w:rPr>
            </w:pPr>
            <w:r>
              <w:rPr>
                <w:sz w:val="19"/>
              </w:rPr>
              <w:t>30 Sep 2004 p. 4187</w:t>
            </w:r>
            <w:r>
              <w:rPr>
                <w:sz w:val="19"/>
              </w:rPr>
              <w:noBreakHyphen/>
              <w:t>8</w:t>
            </w:r>
          </w:p>
        </w:tc>
        <w:tc>
          <w:tcPr>
            <w:tcW w:w="2693" w:type="dxa"/>
          </w:tcPr>
          <w:p>
            <w:pPr>
              <w:pStyle w:val="nTable"/>
              <w:spacing w:before="36" w:after="40"/>
              <w:rPr>
                <w:sz w:val="19"/>
              </w:rPr>
            </w:pPr>
            <w:r>
              <w:rPr>
                <w:sz w:val="19"/>
              </w:rPr>
              <w:t>30 Sep 2004</w:t>
            </w:r>
          </w:p>
        </w:tc>
      </w:tr>
      <w:tr>
        <w:trPr>
          <w:cantSplit/>
        </w:trPr>
        <w:tc>
          <w:tcPr>
            <w:tcW w:w="3119" w:type="dxa"/>
          </w:tcPr>
          <w:p>
            <w:pPr>
              <w:pStyle w:val="nTable"/>
              <w:spacing w:before="36" w:after="40"/>
              <w:ind w:right="113"/>
              <w:rPr>
                <w:i/>
                <w:sz w:val="19"/>
              </w:rPr>
            </w:pPr>
            <w:r>
              <w:rPr>
                <w:i/>
                <w:sz w:val="19"/>
              </w:rPr>
              <w:t>Fish Resources Management Amendment Regulations (No. 4) 2004</w:t>
            </w:r>
          </w:p>
        </w:tc>
        <w:tc>
          <w:tcPr>
            <w:tcW w:w="1276" w:type="dxa"/>
          </w:tcPr>
          <w:p>
            <w:pPr>
              <w:pStyle w:val="nTable"/>
              <w:spacing w:before="36" w:after="40"/>
              <w:rPr>
                <w:sz w:val="19"/>
              </w:rPr>
            </w:pPr>
            <w:r>
              <w:rPr>
                <w:sz w:val="19"/>
              </w:rPr>
              <w:t>30 Nov 2004 p. 5486</w:t>
            </w:r>
            <w:r>
              <w:rPr>
                <w:sz w:val="19"/>
              </w:rPr>
              <w:noBreakHyphen/>
              <w:t>7</w:t>
            </w:r>
          </w:p>
        </w:tc>
        <w:tc>
          <w:tcPr>
            <w:tcW w:w="2693" w:type="dxa"/>
          </w:tcPr>
          <w:p>
            <w:pPr>
              <w:pStyle w:val="nTable"/>
              <w:spacing w:before="36" w:after="40"/>
              <w:rPr>
                <w:sz w:val="19"/>
              </w:rPr>
            </w:pPr>
            <w:r>
              <w:rPr>
                <w:sz w:val="19"/>
              </w:rPr>
              <w:t>30 Nov 2004</w:t>
            </w:r>
          </w:p>
        </w:tc>
      </w:tr>
      <w:tr>
        <w:trPr>
          <w:cantSplit/>
        </w:trPr>
        <w:tc>
          <w:tcPr>
            <w:tcW w:w="3119" w:type="dxa"/>
          </w:tcPr>
          <w:p>
            <w:pPr>
              <w:pStyle w:val="nTable"/>
              <w:spacing w:before="36" w:after="40"/>
              <w:ind w:right="113"/>
              <w:rPr>
                <w:i/>
                <w:sz w:val="19"/>
              </w:rPr>
            </w:pPr>
            <w:r>
              <w:rPr>
                <w:i/>
                <w:sz w:val="19"/>
              </w:rPr>
              <w:t>Fish Resources Management Amendment Regulations (No. 10) 2004</w:t>
            </w:r>
          </w:p>
        </w:tc>
        <w:tc>
          <w:tcPr>
            <w:tcW w:w="1276" w:type="dxa"/>
          </w:tcPr>
          <w:p>
            <w:pPr>
              <w:pStyle w:val="nTable"/>
              <w:spacing w:before="36" w:after="40"/>
              <w:rPr>
                <w:sz w:val="19"/>
              </w:rPr>
            </w:pPr>
            <w:r>
              <w:rPr>
                <w:sz w:val="19"/>
              </w:rPr>
              <w:t>30 Dec 2004 p. 6965</w:t>
            </w:r>
          </w:p>
        </w:tc>
        <w:tc>
          <w:tcPr>
            <w:tcW w:w="2693" w:type="dxa"/>
          </w:tcPr>
          <w:p>
            <w:pPr>
              <w:pStyle w:val="nTable"/>
              <w:spacing w:before="36" w:after="40"/>
              <w:rPr>
                <w:sz w:val="19"/>
              </w:rPr>
            </w:pPr>
            <w:r>
              <w:rPr>
                <w:sz w:val="19"/>
              </w:rPr>
              <w:t xml:space="preserve">1 Jan 2005 (see r. 2 and </w:t>
            </w:r>
            <w:r>
              <w:rPr>
                <w:i/>
                <w:sz w:val="19"/>
              </w:rPr>
              <w:t>Gazette</w:t>
            </w:r>
            <w:r>
              <w:rPr>
                <w:sz w:val="19"/>
              </w:rPr>
              <w:t xml:space="preserve"> 31 Dec 2004 p. 7130)</w:t>
            </w:r>
          </w:p>
        </w:tc>
      </w:tr>
      <w:tr>
        <w:trPr>
          <w:cantSplit/>
        </w:trPr>
        <w:tc>
          <w:tcPr>
            <w:tcW w:w="3119" w:type="dxa"/>
          </w:tcPr>
          <w:p>
            <w:pPr>
              <w:pStyle w:val="nTable"/>
              <w:spacing w:before="36" w:after="40"/>
              <w:ind w:right="113"/>
              <w:rPr>
                <w:i/>
                <w:sz w:val="19"/>
              </w:rPr>
            </w:pPr>
            <w:r>
              <w:rPr>
                <w:i/>
                <w:sz w:val="19"/>
              </w:rPr>
              <w:t>Fish Resources Management Amendment Regulations 2005</w:t>
            </w:r>
          </w:p>
        </w:tc>
        <w:tc>
          <w:tcPr>
            <w:tcW w:w="1276" w:type="dxa"/>
          </w:tcPr>
          <w:p>
            <w:pPr>
              <w:pStyle w:val="nTable"/>
              <w:spacing w:before="36" w:after="40"/>
              <w:rPr>
                <w:sz w:val="19"/>
              </w:rPr>
            </w:pPr>
            <w:r>
              <w:rPr>
                <w:sz w:val="19"/>
              </w:rPr>
              <w:t>1 Mar 2005 p. 877</w:t>
            </w:r>
            <w:r>
              <w:rPr>
                <w:sz w:val="19"/>
              </w:rPr>
              <w:noBreakHyphen/>
              <w:t>8</w:t>
            </w:r>
          </w:p>
        </w:tc>
        <w:tc>
          <w:tcPr>
            <w:tcW w:w="2693" w:type="dxa"/>
          </w:tcPr>
          <w:p>
            <w:pPr>
              <w:pStyle w:val="nTable"/>
              <w:spacing w:before="36" w:after="40"/>
              <w:rPr>
                <w:sz w:val="19"/>
              </w:rPr>
            </w:pPr>
            <w:r>
              <w:rPr>
                <w:sz w:val="19"/>
              </w:rPr>
              <w:t>1 Mar 2005</w:t>
            </w:r>
          </w:p>
        </w:tc>
      </w:tr>
      <w:tr>
        <w:trPr>
          <w:cantSplit/>
        </w:trPr>
        <w:tc>
          <w:tcPr>
            <w:tcW w:w="3119" w:type="dxa"/>
          </w:tcPr>
          <w:p>
            <w:pPr>
              <w:pStyle w:val="nTable"/>
              <w:spacing w:before="36" w:after="40"/>
              <w:ind w:right="113"/>
              <w:rPr>
                <w:i/>
                <w:sz w:val="19"/>
              </w:rPr>
            </w:pPr>
            <w:r>
              <w:rPr>
                <w:i/>
                <w:sz w:val="19"/>
              </w:rPr>
              <w:t>Fish Resources Management Amendment Regulations (No. 2) 2005</w:t>
            </w:r>
          </w:p>
        </w:tc>
        <w:tc>
          <w:tcPr>
            <w:tcW w:w="1276" w:type="dxa"/>
          </w:tcPr>
          <w:p>
            <w:pPr>
              <w:pStyle w:val="nTable"/>
              <w:spacing w:before="36" w:after="40"/>
              <w:rPr>
                <w:sz w:val="19"/>
              </w:rPr>
            </w:pPr>
            <w:r>
              <w:rPr>
                <w:sz w:val="19"/>
              </w:rPr>
              <w:t>3 Jun 2005 p. 2490</w:t>
            </w:r>
            <w:r>
              <w:rPr>
                <w:sz w:val="19"/>
              </w:rPr>
              <w:noBreakHyphen/>
              <w:t>1</w:t>
            </w:r>
          </w:p>
        </w:tc>
        <w:tc>
          <w:tcPr>
            <w:tcW w:w="2693" w:type="dxa"/>
          </w:tcPr>
          <w:p>
            <w:pPr>
              <w:pStyle w:val="nTable"/>
              <w:spacing w:before="36" w:after="40"/>
              <w:rPr>
                <w:sz w:val="19"/>
              </w:rPr>
            </w:pPr>
            <w:r>
              <w:rPr>
                <w:sz w:val="19"/>
              </w:rPr>
              <w:t>3 Jun 2005</w:t>
            </w:r>
          </w:p>
        </w:tc>
      </w:tr>
      <w:tr>
        <w:trPr>
          <w:cantSplit/>
        </w:trPr>
        <w:tc>
          <w:tcPr>
            <w:tcW w:w="3119" w:type="dxa"/>
          </w:tcPr>
          <w:p>
            <w:pPr>
              <w:pStyle w:val="nTable"/>
              <w:spacing w:before="36" w:after="40"/>
              <w:ind w:right="113"/>
              <w:rPr>
                <w:i/>
                <w:sz w:val="19"/>
              </w:rPr>
            </w:pPr>
            <w:r>
              <w:rPr>
                <w:i/>
                <w:sz w:val="19"/>
              </w:rPr>
              <w:t>Fish Resources Management Amendment Regulations (No. 4) 2005</w:t>
            </w:r>
          </w:p>
        </w:tc>
        <w:tc>
          <w:tcPr>
            <w:tcW w:w="1276" w:type="dxa"/>
          </w:tcPr>
          <w:p>
            <w:pPr>
              <w:pStyle w:val="nTable"/>
              <w:spacing w:before="36" w:after="40"/>
              <w:rPr>
                <w:sz w:val="19"/>
              </w:rPr>
            </w:pPr>
            <w:r>
              <w:rPr>
                <w:sz w:val="19"/>
              </w:rPr>
              <w:t>22 Jul 2005 p. 3372</w:t>
            </w:r>
            <w:r>
              <w:rPr>
                <w:sz w:val="19"/>
              </w:rPr>
              <w:noBreakHyphen/>
              <w:t>5</w:t>
            </w:r>
          </w:p>
        </w:tc>
        <w:tc>
          <w:tcPr>
            <w:tcW w:w="2693" w:type="dxa"/>
          </w:tcPr>
          <w:p>
            <w:pPr>
              <w:pStyle w:val="nTable"/>
              <w:spacing w:before="36" w:after="40"/>
              <w:rPr>
                <w:sz w:val="19"/>
              </w:rPr>
            </w:pPr>
            <w:r>
              <w:rPr>
                <w:sz w:val="19"/>
              </w:rPr>
              <w:t>1 Sep 2005 (see r. 2)</w:t>
            </w:r>
          </w:p>
        </w:tc>
      </w:tr>
      <w:tr>
        <w:trPr>
          <w:cantSplit/>
        </w:trPr>
        <w:tc>
          <w:tcPr>
            <w:tcW w:w="3119" w:type="dxa"/>
          </w:tcPr>
          <w:p>
            <w:pPr>
              <w:pStyle w:val="nTable"/>
              <w:spacing w:before="36" w:after="40"/>
              <w:ind w:right="113"/>
              <w:rPr>
                <w:i/>
                <w:sz w:val="19"/>
              </w:rPr>
            </w:pPr>
            <w:r>
              <w:rPr>
                <w:i/>
                <w:sz w:val="19"/>
              </w:rPr>
              <w:t>Fish Resources Management Amendment Regulations (No. 6) 2005</w:t>
            </w:r>
          </w:p>
        </w:tc>
        <w:tc>
          <w:tcPr>
            <w:tcW w:w="1276" w:type="dxa"/>
          </w:tcPr>
          <w:p>
            <w:pPr>
              <w:pStyle w:val="nTable"/>
              <w:spacing w:before="36" w:after="40"/>
              <w:rPr>
                <w:sz w:val="19"/>
              </w:rPr>
            </w:pPr>
            <w:r>
              <w:rPr>
                <w:sz w:val="19"/>
              </w:rPr>
              <w:t>15 Sep 2005 p. 4309</w:t>
            </w:r>
            <w:r>
              <w:rPr>
                <w:sz w:val="19"/>
              </w:rPr>
              <w:noBreakHyphen/>
              <w:t>10</w:t>
            </w:r>
          </w:p>
        </w:tc>
        <w:tc>
          <w:tcPr>
            <w:tcW w:w="2693" w:type="dxa"/>
          </w:tcPr>
          <w:p>
            <w:pPr>
              <w:pStyle w:val="nTable"/>
              <w:spacing w:before="36" w:after="40"/>
              <w:rPr>
                <w:sz w:val="19"/>
              </w:rPr>
            </w:pPr>
            <w:r>
              <w:rPr>
                <w:sz w:val="19"/>
              </w:rPr>
              <w:t>15 Sep 2005 (see r. 2)</w:t>
            </w:r>
          </w:p>
        </w:tc>
      </w:tr>
      <w:tr>
        <w:trPr>
          <w:cantSplit/>
        </w:trPr>
        <w:tc>
          <w:tcPr>
            <w:tcW w:w="3119" w:type="dxa"/>
          </w:tcPr>
          <w:p>
            <w:pPr>
              <w:pStyle w:val="nTable"/>
              <w:spacing w:before="36" w:after="40"/>
              <w:ind w:right="113"/>
              <w:rPr>
                <w:i/>
                <w:sz w:val="19"/>
              </w:rPr>
            </w:pPr>
            <w:r>
              <w:rPr>
                <w:i/>
                <w:sz w:val="19"/>
              </w:rPr>
              <w:t>Fish Resources Management Amendment Regulations (No. 5) 2005</w:t>
            </w:r>
          </w:p>
        </w:tc>
        <w:tc>
          <w:tcPr>
            <w:tcW w:w="1276" w:type="dxa"/>
          </w:tcPr>
          <w:p>
            <w:pPr>
              <w:pStyle w:val="nTable"/>
              <w:spacing w:before="36" w:after="40"/>
              <w:rPr>
                <w:sz w:val="19"/>
              </w:rPr>
            </w:pPr>
            <w:r>
              <w:rPr>
                <w:sz w:val="19"/>
              </w:rPr>
              <w:t>16 Sep 2005 p. 4313</w:t>
            </w:r>
            <w:r>
              <w:rPr>
                <w:sz w:val="19"/>
              </w:rPr>
              <w:noBreakHyphen/>
              <w:t>17</w:t>
            </w:r>
          </w:p>
        </w:tc>
        <w:tc>
          <w:tcPr>
            <w:tcW w:w="2693" w:type="dxa"/>
          </w:tcPr>
          <w:p>
            <w:pPr>
              <w:pStyle w:val="nTable"/>
              <w:spacing w:before="36" w:after="40"/>
              <w:rPr>
                <w:sz w:val="19"/>
              </w:rPr>
            </w:pPr>
            <w:r>
              <w:rPr>
                <w:sz w:val="19"/>
              </w:rPr>
              <w:t>4 Oct 2005 (see r. 2)</w:t>
            </w:r>
          </w:p>
        </w:tc>
      </w:tr>
      <w:tr>
        <w:trPr>
          <w:cantSplit/>
        </w:trPr>
        <w:tc>
          <w:tcPr>
            <w:tcW w:w="7088" w:type="dxa"/>
            <w:gridSpan w:val="3"/>
          </w:tcPr>
          <w:p>
            <w:pPr>
              <w:pStyle w:val="nTable"/>
              <w:spacing w:before="36" w:after="40"/>
              <w:rPr>
                <w:sz w:val="19"/>
              </w:rPr>
            </w:pPr>
            <w:r>
              <w:rPr>
                <w:b/>
                <w:sz w:val="19"/>
              </w:rPr>
              <w:t xml:space="preserve">Reprint 5: The </w:t>
            </w:r>
            <w:r>
              <w:rPr>
                <w:b/>
                <w:i/>
                <w:sz w:val="19"/>
              </w:rPr>
              <w:t>Fish Resources Management Regulations 1995</w:t>
            </w:r>
            <w:r>
              <w:rPr>
                <w:b/>
                <w:sz w:val="19"/>
              </w:rPr>
              <w:t xml:space="preserve"> as at 14 Oct 2005</w:t>
            </w:r>
            <w:r>
              <w:rPr>
                <w:b/>
                <w:sz w:val="19"/>
              </w:rPr>
              <w:br/>
            </w:r>
            <w:r>
              <w:rPr>
                <w:sz w:val="19"/>
              </w:rPr>
              <w:t xml:space="preserve">(includes amendments listed above) (correction in </w:t>
            </w:r>
            <w:r>
              <w:rPr>
                <w:i/>
                <w:sz w:val="19"/>
              </w:rPr>
              <w:t>Gazette</w:t>
            </w:r>
            <w:r>
              <w:rPr>
                <w:sz w:val="19"/>
              </w:rPr>
              <w:t xml:space="preserve"> 9 Jun 2006 p. 2030)</w:t>
            </w:r>
          </w:p>
        </w:tc>
      </w:tr>
      <w:tr>
        <w:trPr>
          <w:cantSplit/>
        </w:trPr>
        <w:tc>
          <w:tcPr>
            <w:tcW w:w="3119" w:type="dxa"/>
          </w:tcPr>
          <w:p>
            <w:pPr>
              <w:pStyle w:val="nTable"/>
              <w:spacing w:before="36" w:after="40"/>
              <w:ind w:right="113"/>
              <w:rPr>
                <w:i/>
                <w:sz w:val="19"/>
              </w:rPr>
            </w:pPr>
            <w:r>
              <w:rPr>
                <w:i/>
                <w:sz w:val="19"/>
              </w:rPr>
              <w:t>Fish Resources Management Amendment Regulations (No. 3) 2005</w:t>
            </w:r>
          </w:p>
        </w:tc>
        <w:tc>
          <w:tcPr>
            <w:tcW w:w="1276" w:type="dxa"/>
          </w:tcPr>
          <w:p>
            <w:pPr>
              <w:pStyle w:val="nTable"/>
              <w:spacing w:before="36" w:after="40"/>
              <w:rPr>
                <w:sz w:val="19"/>
              </w:rPr>
            </w:pPr>
            <w:r>
              <w:rPr>
                <w:sz w:val="19"/>
              </w:rPr>
              <w:t>4 Nov 2005 p. 5299</w:t>
            </w:r>
            <w:r>
              <w:rPr>
                <w:sz w:val="19"/>
              </w:rPr>
              <w:noBreakHyphen/>
              <w:t>317</w:t>
            </w:r>
          </w:p>
        </w:tc>
        <w:tc>
          <w:tcPr>
            <w:tcW w:w="2693" w:type="dxa"/>
          </w:tcPr>
          <w:p>
            <w:pPr>
              <w:pStyle w:val="nTable"/>
              <w:spacing w:before="36" w:after="40"/>
              <w:rPr>
                <w:sz w:val="19"/>
              </w:rPr>
            </w:pPr>
            <w:r>
              <w:rPr>
                <w:sz w:val="19"/>
              </w:rPr>
              <w:t>4 Nov 2005</w:t>
            </w:r>
          </w:p>
        </w:tc>
      </w:tr>
      <w:tr>
        <w:trPr>
          <w:cantSplit/>
        </w:trPr>
        <w:tc>
          <w:tcPr>
            <w:tcW w:w="3119" w:type="dxa"/>
          </w:tcPr>
          <w:p>
            <w:pPr>
              <w:pStyle w:val="nTable"/>
              <w:spacing w:before="36" w:after="40"/>
              <w:ind w:right="113"/>
              <w:rPr>
                <w:sz w:val="19"/>
              </w:rPr>
            </w:pPr>
            <w:r>
              <w:rPr>
                <w:i/>
                <w:sz w:val="19"/>
              </w:rPr>
              <w:t>Fish Resources Management Amendment Regulations (No. 8) 2005</w:t>
            </w:r>
          </w:p>
        </w:tc>
        <w:tc>
          <w:tcPr>
            <w:tcW w:w="1276" w:type="dxa"/>
          </w:tcPr>
          <w:p>
            <w:pPr>
              <w:pStyle w:val="nTable"/>
              <w:spacing w:before="36" w:after="40"/>
              <w:rPr>
                <w:sz w:val="19"/>
              </w:rPr>
            </w:pPr>
            <w:r>
              <w:rPr>
                <w:sz w:val="19"/>
              </w:rPr>
              <w:t>11 Nov 2005 p. 5565</w:t>
            </w:r>
            <w:r>
              <w:rPr>
                <w:sz w:val="19"/>
              </w:rPr>
              <w:noBreakHyphen/>
              <w:t>6</w:t>
            </w:r>
          </w:p>
        </w:tc>
        <w:tc>
          <w:tcPr>
            <w:tcW w:w="2693" w:type="dxa"/>
          </w:tcPr>
          <w:p>
            <w:pPr>
              <w:pStyle w:val="nTable"/>
              <w:spacing w:before="36" w:after="40"/>
              <w:rPr>
                <w:sz w:val="19"/>
              </w:rPr>
            </w:pPr>
            <w:r>
              <w:rPr>
                <w:sz w:val="19"/>
              </w:rPr>
              <w:t>11 Nov 2005</w:t>
            </w:r>
          </w:p>
        </w:tc>
      </w:tr>
      <w:tr>
        <w:trPr>
          <w:cantSplit/>
        </w:trPr>
        <w:tc>
          <w:tcPr>
            <w:tcW w:w="3119" w:type="dxa"/>
          </w:tcPr>
          <w:p>
            <w:pPr>
              <w:pStyle w:val="nTable"/>
              <w:spacing w:before="36" w:after="40"/>
              <w:ind w:right="113"/>
              <w:rPr>
                <w:i/>
                <w:sz w:val="19"/>
              </w:rPr>
            </w:pPr>
            <w:r>
              <w:rPr>
                <w:i/>
                <w:sz w:val="19"/>
              </w:rPr>
              <w:t>Fish Resources Management Amendment Regulations (No. 7) 2005</w:t>
            </w:r>
          </w:p>
        </w:tc>
        <w:tc>
          <w:tcPr>
            <w:tcW w:w="1276" w:type="dxa"/>
          </w:tcPr>
          <w:p>
            <w:pPr>
              <w:pStyle w:val="nTable"/>
              <w:spacing w:before="36" w:after="40"/>
              <w:rPr>
                <w:sz w:val="19"/>
              </w:rPr>
            </w:pPr>
            <w:r>
              <w:rPr>
                <w:sz w:val="19"/>
              </w:rPr>
              <w:t>22 Dec 2005 p. 6215</w:t>
            </w:r>
            <w:r>
              <w:rPr>
                <w:sz w:val="19"/>
              </w:rPr>
              <w:noBreakHyphen/>
              <w:t>39</w:t>
            </w:r>
          </w:p>
        </w:tc>
        <w:tc>
          <w:tcPr>
            <w:tcW w:w="2693" w:type="dxa"/>
          </w:tcPr>
          <w:p>
            <w:pPr>
              <w:pStyle w:val="nTable"/>
              <w:spacing w:before="36" w:after="40"/>
              <w:rPr>
                <w:sz w:val="19"/>
              </w:rPr>
            </w:pPr>
            <w:r>
              <w:rPr>
                <w:sz w:val="19"/>
              </w:rPr>
              <w:t>1 Jan 2006 (see r. 2)</w:t>
            </w:r>
          </w:p>
        </w:tc>
      </w:tr>
      <w:tr>
        <w:trPr>
          <w:cantSplit/>
        </w:trPr>
        <w:tc>
          <w:tcPr>
            <w:tcW w:w="3119" w:type="dxa"/>
          </w:tcPr>
          <w:p>
            <w:pPr>
              <w:pStyle w:val="nTable"/>
              <w:spacing w:before="36" w:after="40"/>
              <w:ind w:right="113"/>
              <w:rPr>
                <w:i/>
                <w:sz w:val="19"/>
              </w:rPr>
            </w:pPr>
            <w:r>
              <w:rPr>
                <w:i/>
                <w:sz w:val="19"/>
              </w:rPr>
              <w:t>Fish Resources Management Amendment Regulations (No. 3) 2006</w:t>
            </w:r>
          </w:p>
        </w:tc>
        <w:tc>
          <w:tcPr>
            <w:tcW w:w="1276" w:type="dxa"/>
          </w:tcPr>
          <w:p>
            <w:pPr>
              <w:pStyle w:val="nTable"/>
              <w:spacing w:before="36" w:after="40"/>
              <w:rPr>
                <w:sz w:val="19"/>
              </w:rPr>
            </w:pPr>
            <w:r>
              <w:rPr>
                <w:sz w:val="19"/>
              </w:rPr>
              <w:t>7 Feb 2006 p. 619</w:t>
            </w:r>
            <w:r>
              <w:rPr>
                <w:sz w:val="19"/>
              </w:rPr>
              <w:noBreakHyphen/>
              <w:t>21</w:t>
            </w:r>
          </w:p>
        </w:tc>
        <w:tc>
          <w:tcPr>
            <w:tcW w:w="2693" w:type="dxa"/>
          </w:tcPr>
          <w:p>
            <w:pPr>
              <w:pStyle w:val="nTable"/>
              <w:spacing w:before="36" w:after="40"/>
              <w:rPr>
                <w:sz w:val="19"/>
              </w:rPr>
            </w:pPr>
            <w:r>
              <w:rPr>
                <w:sz w:val="19"/>
              </w:rPr>
              <w:t>1 Mar 2006 (see r. 2)</w:t>
            </w:r>
          </w:p>
        </w:tc>
      </w:tr>
      <w:tr>
        <w:trPr>
          <w:cantSplit/>
        </w:trPr>
        <w:tc>
          <w:tcPr>
            <w:tcW w:w="3119" w:type="dxa"/>
          </w:tcPr>
          <w:p>
            <w:pPr>
              <w:pStyle w:val="nTable"/>
              <w:spacing w:before="36" w:after="40"/>
              <w:ind w:right="113"/>
              <w:rPr>
                <w:i/>
                <w:sz w:val="19"/>
              </w:rPr>
            </w:pPr>
            <w:r>
              <w:rPr>
                <w:i/>
                <w:sz w:val="19"/>
              </w:rPr>
              <w:t>Fish Resources Management Amendment Regulations (No. 4) 2006</w:t>
            </w:r>
          </w:p>
        </w:tc>
        <w:tc>
          <w:tcPr>
            <w:tcW w:w="1276" w:type="dxa"/>
          </w:tcPr>
          <w:p>
            <w:pPr>
              <w:pStyle w:val="nTable"/>
              <w:spacing w:before="36" w:after="40"/>
              <w:rPr>
                <w:sz w:val="19"/>
              </w:rPr>
            </w:pPr>
            <w:r>
              <w:rPr>
                <w:sz w:val="19"/>
              </w:rPr>
              <w:t>7 Mar 2006 p. 975</w:t>
            </w:r>
          </w:p>
        </w:tc>
        <w:tc>
          <w:tcPr>
            <w:tcW w:w="2693" w:type="dxa"/>
          </w:tcPr>
          <w:p>
            <w:pPr>
              <w:pStyle w:val="nTable"/>
              <w:spacing w:before="36" w:after="40"/>
              <w:rPr>
                <w:sz w:val="19"/>
              </w:rPr>
            </w:pPr>
            <w:r>
              <w:rPr>
                <w:sz w:val="19"/>
              </w:rPr>
              <w:t>7 Mar 2006</w:t>
            </w:r>
          </w:p>
        </w:tc>
      </w:tr>
      <w:tr>
        <w:tc>
          <w:tcPr>
            <w:tcW w:w="3119" w:type="dxa"/>
          </w:tcPr>
          <w:p>
            <w:pPr>
              <w:pStyle w:val="nTable"/>
              <w:spacing w:before="36" w:after="40"/>
              <w:rPr>
                <w:sz w:val="19"/>
              </w:rPr>
            </w:pPr>
            <w:r>
              <w:rPr>
                <w:i/>
                <w:sz w:val="19"/>
              </w:rPr>
              <w:t>Electricity Corporations (Consequential Amendments) Regulations 2006</w:t>
            </w:r>
            <w:r>
              <w:rPr>
                <w:sz w:val="19"/>
              </w:rPr>
              <w:t xml:space="preserve"> r. 80</w:t>
            </w:r>
          </w:p>
        </w:tc>
        <w:tc>
          <w:tcPr>
            <w:tcW w:w="1276" w:type="dxa"/>
          </w:tcPr>
          <w:p>
            <w:pPr>
              <w:pStyle w:val="nTable"/>
              <w:spacing w:before="36" w:after="40"/>
              <w:rPr>
                <w:sz w:val="19"/>
              </w:rPr>
            </w:pPr>
            <w:r>
              <w:rPr>
                <w:sz w:val="19"/>
              </w:rPr>
              <w:t>31 Mar 2006 p. 1299</w:t>
            </w:r>
            <w:r>
              <w:rPr>
                <w:sz w:val="19"/>
              </w:rPr>
              <w:noBreakHyphen/>
              <w:t>357</w:t>
            </w:r>
          </w:p>
        </w:tc>
        <w:tc>
          <w:tcPr>
            <w:tcW w:w="2693" w:type="dxa"/>
          </w:tcPr>
          <w:p>
            <w:pPr>
              <w:pStyle w:val="nTable"/>
              <w:spacing w:before="36" w:after="40"/>
              <w:rPr>
                <w:sz w:val="19"/>
              </w:rPr>
            </w:pPr>
            <w:r>
              <w:rPr>
                <w:sz w:val="19"/>
              </w:rPr>
              <w:t>1 Apr 2006 (see r. 2)</w:t>
            </w:r>
          </w:p>
        </w:tc>
      </w:tr>
      <w:tr>
        <w:trPr>
          <w:cantSplit/>
        </w:trPr>
        <w:tc>
          <w:tcPr>
            <w:tcW w:w="3119" w:type="dxa"/>
          </w:tcPr>
          <w:p>
            <w:pPr>
              <w:pStyle w:val="nTable"/>
              <w:spacing w:before="36" w:after="40"/>
              <w:ind w:right="113"/>
              <w:rPr>
                <w:sz w:val="19"/>
                <w:vertAlign w:val="superscript"/>
              </w:rPr>
            </w:pPr>
            <w:r>
              <w:rPr>
                <w:i/>
                <w:sz w:val="19"/>
              </w:rPr>
              <w:t>Fish Resources Management Amendment Regulations 2006</w:t>
            </w:r>
          </w:p>
        </w:tc>
        <w:tc>
          <w:tcPr>
            <w:tcW w:w="1276" w:type="dxa"/>
          </w:tcPr>
          <w:p>
            <w:pPr>
              <w:pStyle w:val="nTable"/>
              <w:spacing w:before="36" w:after="40"/>
              <w:rPr>
                <w:sz w:val="19"/>
              </w:rPr>
            </w:pPr>
            <w:r>
              <w:rPr>
                <w:sz w:val="19"/>
              </w:rPr>
              <w:t>23 May 2006 p. 1857</w:t>
            </w:r>
            <w:r>
              <w:rPr>
                <w:sz w:val="19"/>
              </w:rPr>
              <w:noBreakHyphen/>
              <w:t>61</w:t>
            </w:r>
          </w:p>
        </w:tc>
        <w:tc>
          <w:tcPr>
            <w:tcW w:w="2693" w:type="dxa"/>
          </w:tcPr>
          <w:p>
            <w:pPr>
              <w:pStyle w:val="nTable"/>
              <w:spacing w:before="36" w:after="40"/>
              <w:rPr>
                <w:sz w:val="19"/>
              </w:rPr>
            </w:pPr>
            <w:r>
              <w:rPr>
                <w:sz w:val="19"/>
              </w:rPr>
              <w:t>1 Jul 2006 (see r. 2)</w:t>
            </w:r>
          </w:p>
        </w:tc>
      </w:tr>
      <w:tr>
        <w:trPr>
          <w:cantSplit/>
        </w:trPr>
        <w:tc>
          <w:tcPr>
            <w:tcW w:w="3119" w:type="dxa"/>
          </w:tcPr>
          <w:p>
            <w:pPr>
              <w:pStyle w:val="nTable"/>
              <w:spacing w:before="36" w:after="40"/>
              <w:ind w:right="113"/>
              <w:rPr>
                <w:i/>
                <w:sz w:val="19"/>
              </w:rPr>
            </w:pPr>
            <w:r>
              <w:rPr>
                <w:i/>
                <w:sz w:val="19"/>
              </w:rPr>
              <w:t>Fish Resources Management Amendment Regulations (No. 5) 2006</w:t>
            </w:r>
          </w:p>
        </w:tc>
        <w:tc>
          <w:tcPr>
            <w:tcW w:w="1276" w:type="dxa"/>
          </w:tcPr>
          <w:p>
            <w:pPr>
              <w:pStyle w:val="nTable"/>
              <w:spacing w:before="36" w:after="40"/>
              <w:rPr>
                <w:sz w:val="19"/>
              </w:rPr>
            </w:pPr>
            <w:r>
              <w:rPr>
                <w:sz w:val="19"/>
              </w:rPr>
              <w:t>5 Sep 2006 p. 3615</w:t>
            </w:r>
            <w:r>
              <w:rPr>
                <w:sz w:val="19"/>
              </w:rPr>
              <w:noBreakHyphen/>
              <w:t>17</w:t>
            </w:r>
          </w:p>
        </w:tc>
        <w:tc>
          <w:tcPr>
            <w:tcW w:w="2693" w:type="dxa"/>
          </w:tcPr>
          <w:p>
            <w:pPr>
              <w:pStyle w:val="nTable"/>
              <w:spacing w:before="36" w:after="40"/>
              <w:rPr>
                <w:sz w:val="19"/>
              </w:rPr>
            </w:pPr>
            <w:r>
              <w:rPr>
                <w:sz w:val="19"/>
              </w:rPr>
              <w:t>5 Sep 2006</w:t>
            </w:r>
          </w:p>
        </w:tc>
      </w:tr>
      <w:tr>
        <w:trPr>
          <w:cantSplit/>
        </w:trPr>
        <w:tc>
          <w:tcPr>
            <w:tcW w:w="7088" w:type="dxa"/>
            <w:gridSpan w:val="3"/>
          </w:tcPr>
          <w:p>
            <w:pPr>
              <w:pStyle w:val="nTable"/>
              <w:spacing w:before="36" w:after="40"/>
              <w:rPr>
                <w:sz w:val="19"/>
              </w:rPr>
            </w:pPr>
            <w:r>
              <w:rPr>
                <w:b/>
                <w:sz w:val="19"/>
              </w:rPr>
              <w:t xml:space="preserve">Reprint 6: The </w:t>
            </w:r>
            <w:r>
              <w:rPr>
                <w:b/>
                <w:i/>
                <w:sz w:val="19"/>
              </w:rPr>
              <w:t>Fish Resources Management Regulations 1995</w:t>
            </w:r>
            <w:r>
              <w:rPr>
                <w:b/>
                <w:sz w:val="19"/>
              </w:rPr>
              <w:t xml:space="preserve"> as at 6 Oct 2006</w:t>
            </w:r>
            <w:r>
              <w:rPr>
                <w:b/>
                <w:sz w:val="19"/>
              </w:rPr>
              <w:br/>
            </w:r>
            <w:r>
              <w:rPr>
                <w:sz w:val="19"/>
              </w:rPr>
              <w:t>(includes amendments listed above)</w:t>
            </w:r>
          </w:p>
        </w:tc>
      </w:tr>
      <w:tr>
        <w:trPr>
          <w:cantSplit/>
        </w:trPr>
        <w:tc>
          <w:tcPr>
            <w:tcW w:w="3119" w:type="dxa"/>
          </w:tcPr>
          <w:p>
            <w:pPr>
              <w:pStyle w:val="nTable"/>
              <w:spacing w:before="36" w:after="40"/>
              <w:ind w:right="113"/>
              <w:rPr>
                <w:i/>
                <w:sz w:val="19"/>
              </w:rPr>
            </w:pPr>
            <w:r>
              <w:rPr>
                <w:i/>
                <w:sz w:val="19"/>
              </w:rPr>
              <w:t>Fish Resources Management Amendment Regulations (No. 6) 2006</w:t>
            </w:r>
          </w:p>
        </w:tc>
        <w:tc>
          <w:tcPr>
            <w:tcW w:w="1276" w:type="dxa"/>
          </w:tcPr>
          <w:p>
            <w:pPr>
              <w:pStyle w:val="nTable"/>
              <w:spacing w:before="36" w:after="40"/>
              <w:rPr>
                <w:sz w:val="19"/>
              </w:rPr>
            </w:pPr>
            <w:r>
              <w:rPr>
                <w:sz w:val="19"/>
              </w:rPr>
              <w:t>10 Nov 2006 p. 4703</w:t>
            </w:r>
          </w:p>
        </w:tc>
        <w:tc>
          <w:tcPr>
            <w:tcW w:w="2693" w:type="dxa"/>
          </w:tcPr>
          <w:p>
            <w:pPr>
              <w:pStyle w:val="nTable"/>
              <w:spacing w:before="36" w:after="40"/>
              <w:rPr>
                <w:sz w:val="19"/>
              </w:rPr>
            </w:pPr>
            <w:r>
              <w:rPr>
                <w:sz w:val="19"/>
              </w:rPr>
              <w:t>10 Nov 2006</w:t>
            </w:r>
          </w:p>
        </w:tc>
      </w:tr>
      <w:tr>
        <w:trPr>
          <w:cantSplit/>
        </w:trPr>
        <w:tc>
          <w:tcPr>
            <w:tcW w:w="3119" w:type="dxa"/>
          </w:tcPr>
          <w:p>
            <w:pPr>
              <w:pStyle w:val="nTable"/>
              <w:spacing w:before="36" w:after="40"/>
              <w:ind w:right="113"/>
              <w:rPr>
                <w:i/>
                <w:sz w:val="19"/>
              </w:rPr>
            </w:pPr>
            <w:r>
              <w:rPr>
                <w:i/>
                <w:sz w:val="19"/>
              </w:rPr>
              <w:t>Fish Resources Management Amendment Regulations (No. 8) 2006</w:t>
            </w:r>
          </w:p>
        </w:tc>
        <w:tc>
          <w:tcPr>
            <w:tcW w:w="1276" w:type="dxa"/>
          </w:tcPr>
          <w:p>
            <w:pPr>
              <w:pStyle w:val="nTable"/>
              <w:spacing w:before="36" w:after="40"/>
              <w:rPr>
                <w:sz w:val="19"/>
              </w:rPr>
            </w:pPr>
            <w:r>
              <w:rPr>
                <w:sz w:val="19"/>
              </w:rPr>
              <w:t>10 Nov 2006 p. 4704</w:t>
            </w:r>
            <w:r>
              <w:rPr>
                <w:sz w:val="19"/>
              </w:rPr>
              <w:noBreakHyphen/>
              <w:t>12</w:t>
            </w:r>
          </w:p>
        </w:tc>
        <w:tc>
          <w:tcPr>
            <w:tcW w:w="2693" w:type="dxa"/>
          </w:tcPr>
          <w:p>
            <w:pPr>
              <w:pStyle w:val="nTable"/>
              <w:spacing w:before="36" w:after="40"/>
              <w:rPr>
                <w:sz w:val="19"/>
              </w:rPr>
            </w:pPr>
            <w:r>
              <w:rPr>
                <w:sz w:val="19"/>
              </w:rPr>
              <w:t>10 Nov 2006</w:t>
            </w:r>
          </w:p>
        </w:tc>
      </w:tr>
      <w:tr>
        <w:trPr>
          <w:cantSplit/>
        </w:trPr>
        <w:tc>
          <w:tcPr>
            <w:tcW w:w="3119" w:type="dxa"/>
          </w:tcPr>
          <w:p>
            <w:pPr>
              <w:pStyle w:val="nTable"/>
              <w:spacing w:before="36" w:after="40"/>
              <w:ind w:right="113"/>
              <w:rPr>
                <w:i/>
                <w:sz w:val="19"/>
              </w:rPr>
            </w:pPr>
            <w:r>
              <w:rPr>
                <w:i/>
                <w:sz w:val="19"/>
              </w:rPr>
              <w:t>Fish Resources Management Amendment Regulations (No. 7) 2006</w:t>
            </w:r>
          </w:p>
        </w:tc>
        <w:tc>
          <w:tcPr>
            <w:tcW w:w="1276" w:type="dxa"/>
          </w:tcPr>
          <w:p>
            <w:pPr>
              <w:pStyle w:val="nTable"/>
              <w:spacing w:before="36" w:after="40"/>
              <w:rPr>
                <w:sz w:val="19"/>
              </w:rPr>
            </w:pPr>
            <w:r>
              <w:rPr>
                <w:sz w:val="19"/>
              </w:rPr>
              <w:t>29 Dec 2006 p. 5888</w:t>
            </w:r>
            <w:r>
              <w:rPr>
                <w:sz w:val="19"/>
              </w:rPr>
              <w:noBreakHyphen/>
              <w:t>92</w:t>
            </w:r>
          </w:p>
        </w:tc>
        <w:tc>
          <w:tcPr>
            <w:tcW w:w="2693" w:type="dxa"/>
          </w:tcPr>
          <w:p>
            <w:pPr>
              <w:pStyle w:val="nTable"/>
              <w:spacing w:before="36" w:after="40"/>
              <w:rPr>
                <w:sz w:val="19"/>
              </w:rPr>
            </w:pPr>
            <w:r>
              <w:rPr>
                <w:sz w:val="19"/>
              </w:rPr>
              <w:t xml:space="preserve">29 Dec 2006 </w:t>
            </w:r>
          </w:p>
        </w:tc>
      </w:tr>
      <w:tr>
        <w:trPr>
          <w:cantSplit/>
        </w:trPr>
        <w:tc>
          <w:tcPr>
            <w:tcW w:w="3119" w:type="dxa"/>
          </w:tcPr>
          <w:p>
            <w:pPr>
              <w:pStyle w:val="nTable"/>
              <w:spacing w:before="36" w:after="40"/>
              <w:ind w:right="113"/>
              <w:rPr>
                <w:sz w:val="19"/>
              </w:rPr>
            </w:pPr>
            <w:r>
              <w:rPr>
                <w:i/>
                <w:sz w:val="19"/>
              </w:rPr>
              <w:t>Fish Resources Management Amendment Regulations (No. 2) 2007</w:t>
            </w:r>
          </w:p>
        </w:tc>
        <w:tc>
          <w:tcPr>
            <w:tcW w:w="1276" w:type="dxa"/>
          </w:tcPr>
          <w:p>
            <w:pPr>
              <w:pStyle w:val="nTable"/>
              <w:spacing w:before="36" w:after="40"/>
              <w:rPr>
                <w:sz w:val="19"/>
              </w:rPr>
            </w:pPr>
            <w:r>
              <w:rPr>
                <w:sz w:val="19"/>
              </w:rPr>
              <w:t>16 Feb 2007 p. 489</w:t>
            </w:r>
            <w:r>
              <w:rPr>
                <w:sz w:val="19"/>
              </w:rPr>
              <w:noBreakHyphen/>
              <w:t>90</w:t>
            </w:r>
          </w:p>
        </w:tc>
        <w:tc>
          <w:tcPr>
            <w:tcW w:w="2693" w:type="dxa"/>
          </w:tcPr>
          <w:p>
            <w:pPr>
              <w:pStyle w:val="nTable"/>
              <w:spacing w:before="36" w:after="40"/>
              <w:rPr>
                <w:sz w:val="19"/>
              </w:rPr>
            </w:pPr>
            <w:r>
              <w:rPr>
                <w:sz w:val="19"/>
              </w:rPr>
              <w:t>1 Mar 2007 (see r. 2)</w:t>
            </w:r>
          </w:p>
        </w:tc>
      </w:tr>
      <w:tr>
        <w:trPr>
          <w:cantSplit/>
        </w:trPr>
        <w:tc>
          <w:tcPr>
            <w:tcW w:w="3119" w:type="dxa"/>
          </w:tcPr>
          <w:p>
            <w:pPr>
              <w:pStyle w:val="nTable"/>
              <w:spacing w:before="36" w:after="40"/>
              <w:ind w:right="113"/>
              <w:rPr>
                <w:i/>
                <w:sz w:val="19"/>
              </w:rPr>
            </w:pPr>
            <w:r>
              <w:rPr>
                <w:i/>
                <w:sz w:val="19"/>
              </w:rPr>
              <w:t>Fish Resources Management Amendment Regulations (No. 5) 2007</w:t>
            </w:r>
          </w:p>
        </w:tc>
        <w:tc>
          <w:tcPr>
            <w:tcW w:w="1276" w:type="dxa"/>
          </w:tcPr>
          <w:p>
            <w:pPr>
              <w:pStyle w:val="nTable"/>
              <w:spacing w:before="36" w:after="40"/>
              <w:rPr>
                <w:sz w:val="19"/>
              </w:rPr>
            </w:pPr>
            <w:r>
              <w:rPr>
                <w:sz w:val="19"/>
              </w:rPr>
              <w:t>12 Jun 2007 p. 2717</w:t>
            </w:r>
            <w:r>
              <w:rPr>
                <w:sz w:val="19"/>
              </w:rPr>
              <w:noBreakHyphen/>
              <w:t>19</w:t>
            </w:r>
          </w:p>
        </w:tc>
        <w:tc>
          <w:tcPr>
            <w:tcW w:w="2693" w:type="dxa"/>
          </w:tcPr>
          <w:p>
            <w:pPr>
              <w:pStyle w:val="nTable"/>
              <w:spacing w:before="36" w:after="40"/>
              <w:rPr>
                <w:sz w:val="19"/>
              </w:rPr>
            </w:pPr>
            <w:r>
              <w:rPr>
                <w:sz w:val="19"/>
              </w:rPr>
              <w:t>1 Jul 2007 (see r. 2)</w:t>
            </w:r>
          </w:p>
        </w:tc>
      </w:tr>
      <w:tr>
        <w:trPr>
          <w:cantSplit/>
        </w:trPr>
        <w:tc>
          <w:tcPr>
            <w:tcW w:w="3119" w:type="dxa"/>
          </w:tcPr>
          <w:p>
            <w:pPr>
              <w:pStyle w:val="nTable"/>
              <w:spacing w:before="36" w:after="40"/>
              <w:ind w:right="113"/>
              <w:rPr>
                <w:i/>
                <w:sz w:val="19"/>
              </w:rPr>
            </w:pPr>
            <w:r>
              <w:rPr>
                <w:i/>
                <w:sz w:val="19"/>
              </w:rPr>
              <w:t>Fish Resources Management Amendment Regulations 2007</w:t>
            </w:r>
          </w:p>
        </w:tc>
        <w:tc>
          <w:tcPr>
            <w:tcW w:w="1276" w:type="dxa"/>
          </w:tcPr>
          <w:p>
            <w:pPr>
              <w:pStyle w:val="nTable"/>
              <w:spacing w:before="36" w:after="40"/>
              <w:rPr>
                <w:sz w:val="19"/>
              </w:rPr>
            </w:pPr>
            <w:r>
              <w:rPr>
                <w:sz w:val="19"/>
              </w:rPr>
              <w:t>6 Jul 2007 p. 3387</w:t>
            </w:r>
            <w:r>
              <w:rPr>
                <w:sz w:val="19"/>
              </w:rPr>
              <w:noBreakHyphen/>
              <w:t>90</w:t>
            </w:r>
          </w:p>
        </w:tc>
        <w:tc>
          <w:tcPr>
            <w:tcW w:w="2693" w:type="dxa"/>
          </w:tcPr>
          <w:p>
            <w:pPr>
              <w:pStyle w:val="nTable"/>
              <w:spacing w:before="36" w:after="40"/>
              <w:rPr>
                <w:sz w:val="19"/>
              </w:rPr>
            </w:pPr>
            <w:r>
              <w:rPr>
                <w:sz w:val="19"/>
              </w:rPr>
              <w:t>6 Jul 2007</w:t>
            </w:r>
          </w:p>
        </w:tc>
      </w:tr>
      <w:tr>
        <w:trPr>
          <w:cantSplit/>
        </w:trPr>
        <w:tc>
          <w:tcPr>
            <w:tcW w:w="3119" w:type="dxa"/>
          </w:tcPr>
          <w:p>
            <w:pPr>
              <w:pStyle w:val="nTable"/>
              <w:spacing w:before="36" w:after="40"/>
              <w:ind w:right="113"/>
              <w:rPr>
                <w:i/>
                <w:sz w:val="19"/>
              </w:rPr>
            </w:pPr>
            <w:r>
              <w:rPr>
                <w:i/>
                <w:sz w:val="19"/>
              </w:rPr>
              <w:t>Fish Resources Management Amendment Regulations (No. 6) 2007</w:t>
            </w:r>
          </w:p>
        </w:tc>
        <w:tc>
          <w:tcPr>
            <w:tcW w:w="1276" w:type="dxa"/>
          </w:tcPr>
          <w:p>
            <w:pPr>
              <w:pStyle w:val="nTable"/>
              <w:spacing w:before="36" w:after="40"/>
              <w:rPr>
                <w:sz w:val="19"/>
              </w:rPr>
            </w:pPr>
            <w:r>
              <w:rPr>
                <w:sz w:val="19"/>
              </w:rPr>
              <w:t>14 Aug 2007 p. 4099</w:t>
            </w:r>
            <w:r>
              <w:rPr>
                <w:sz w:val="19"/>
              </w:rPr>
              <w:noBreakHyphen/>
              <w:t>102</w:t>
            </w:r>
          </w:p>
        </w:tc>
        <w:tc>
          <w:tcPr>
            <w:tcW w:w="2693" w:type="dxa"/>
          </w:tcPr>
          <w:p>
            <w:pPr>
              <w:pStyle w:val="nTable"/>
              <w:spacing w:before="36" w:after="40"/>
              <w:rPr>
                <w:sz w:val="19"/>
              </w:rPr>
            </w:pPr>
            <w:r>
              <w:rPr>
                <w:snapToGrid w:val="0"/>
                <w:sz w:val="19"/>
                <w:lang w:val="en-US"/>
              </w:rPr>
              <w:t>r. 1 and 2: 14 Aug 2007 (see r. 2(a));</w:t>
            </w:r>
            <w:r>
              <w:rPr>
                <w:snapToGrid w:val="0"/>
                <w:sz w:val="19"/>
                <w:lang w:val="en-US"/>
              </w:rPr>
              <w:br/>
              <w:t>Regulations other than r. 1 and 2: 15 Aug 2007 (see r. 2(b))</w:t>
            </w:r>
          </w:p>
        </w:tc>
      </w:tr>
      <w:tr>
        <w:trPr>
          <w:cantSplit/>
        </w:trPr>
        <w:tc>
          <w:tcPr>
            <w:tcW w:w="3119" w:type="dxa"/>
          </w:tcPr>
          <w:p>
            <w:pPr>
              <w:pStyle w:val="nTable"/>
              <w:spacing w:before="36" w:after="40"/>
              <w:ind w:right="113"/>
              <w:rPr>
                <w:i/>
                <w:sz w:val="19"/>
              </w:rPr>
            </w:pPr>
            <w:r>
              <w:rPr>
                <w:i/>
                <w:sz w:val="19"/>
              </w:rPr>
              <w:t>Fish Resources Management Amendment Regulations (No. 7) 2007</w:t>
            </w:r>
          </w:p>
        </w:tc>
        <w:tc>
          <w:tcPr>
            <w:tcW w:w="1276" w:type="dxa"/>
          </w:tcPr>
          <w:p>
            <w:pPr>
              <w:pStyle w:val="nTable"/>
              <w:spacing w:before="36" w:after="40"/>
              <w:rPr>
                <w:sz w:val="19"/>
              </w:rPr>
            </w:pPr>
            <w:r>
              <w:rPr>
                <w:sz w:val="19"/>
              </w:rPr>
              <w:t>4 Sep 2007 p. 4519</w:t>
            </w:r>
            <w:r>
              <w:rPr>
                <w:sz w:val="19"/>
              </w:rPr>
              <w:noBreakHyphen/>
              <w:t>21</w:t>
            </w:r>
          </w:p>
        </w:tc>
        <w:tc>
          <w:tcPr>
            <w:tcW w:w="2693" w:type="dxa"/>
          </w:tcPr>
          <w:p>
            <w:pPr>
              <w:pStyle w:val="nTable"/>
              <w:spacing w:before="36" w:after="40"/>
              <w:rPr>
                <w:snapToGrid w:val="0"/>
                <w:sz w:val="19"/>
                <w:lang w:val="en-US"/>
              </w:rPr>
            </w:pPr>
            <w:r>
              <w:rPr>
                <w:snapToGrid w:val="0"/>
                <w:sz w:val="19"/>
                <w:lang w:val="en-US"/>
              </w:rPr>
              <w:t>r. 1 and 2: 4 Sep 2007 (see r. 2(a));</w:t>
            </w:r>
            <w:r>
              <w:rPr>
                <w:snapToGrid w:val="0"/>
                <w:sz w:val="19"/>
                <w:lang w:val="en-US"/>
              </w:rPr>
              <w:br/>
              <w:t>Regulations other than r. 1 and 2: 5 Sep 2007 (see r. 2(b))</w:t>
            </w:r>
          </w:p>
        </w:tc>
      </w:tr>
      <w:tr>
        <w:trPr>
          <w:cantSplit/>
        </w:trPr>
        <w:tc>
          <w:tcPr>
            <w:tcW w:w="7088" w:type="dxa"/>
            <w:gridSpan w:val="3"/>
          </w:tcPr>
          <w:p>
            <w:pPr>
              <w:pStyle w:val="nTable"/>
              <w:spacing w:before="36" w:after="40"/>
              <w:rPr>
                <w:snapToGrid w:val="0"/>
                <w:sz w:val="19"/>
                <w:lang w:val="en-US"/>
              </w:rPr>
            </w:pPr>
            <w:r>
              <w:rPr>
                <w:b/>
                <w:sz w:val="19"/>
              </w:rPr>
              <w:t xml:space="preserve">Reprint 7: The </w:t>
            </w:r>
            <w:r>
              <w:rPr>
                <w:b/>
                <w:i/>
                <w:sz w:val="19"/>
              </w:rPr>
              <w:t>Fish Resources Management Regulations 1995</w:t>
            </w:r>
            <w:r>
              <w:rPr>
                <w:b/>
                <w:sz w:val="19"/>
              </w:rPr>
              <w:t xml:space="preserve"> as at 19 Oct 2007</w:t>
            </w:r>
            <w:r>
              <w:rPr>
                <w:b/>
                <w:sz w:val="19"/>
              </w:rPr>
              <w:br/>
            </w:r>
            <w:r>
              <w:rPr>
                <w:sz w:val="19"/>
              </w:rPr>
              <w:t>(includes amendments listed above)</w:t>
            </w:r>
          </w:p>
        </w:tc>
      </w:tr>
      <w:tr>
        <w:trPr>
          <w:cantSplit/>
        </w:trPr>
        <w:tc>
          <w:tcPr>
            <w:tcW w:w="3119" w:type="dxa"/>
          </w:tcPr>
          <w:p>
            <w:pPr>
              <w:pStyle w:val="nTable"/>
              <w:spacing w:before="36" w:after="40"/>
              <w:ind w:right="113"/>
              <w:rPr>
                <w:i/>
                <w:sz w:val="19"/>
              </w:rPr>
            </w:pPr>
            <w:r>
              <w:rPr>
                <w:i/>
                <w:sz w:val="19"/>
              </w:rPr>
              <w:t>Fish Resources Management Amendment Regulations (No. 4) 2007</w:t>
            </w:r>
          </w:p>
        </w:tc>
        <w:tc>
          <w:tcPr>
            <w:tcW w:w="1276" w:type="dxa"/>
          </w:tcPr>
          <w:p>
            <w:pPr>
              <w:pStyle w:val="nTable"/>
              <w:spacing w:before="36" w:after="40"/>
              <w:rPr>
                <w:sz w:val="19"/>
              </w:rPr>
            </w:pPr>
            <w:r>
              <w:rPr>
                <w:sz w:val="19"/>
              </w:rPr>
              <w:t>13 Nov 2007 p. 5691</w:t>
            </w:r>
            <w:r>
              <w:rPr>
                <w:sz w:val="19"/>
              </w:rPr>
              <w:noBreakHyphen/>
              <w:t>4</w:t>
            </w:r>
          </w:p>
        </w:tc>
        <w:tc>
          <w:tcPr>
            <w:tcW w:w="2693" w:type="dxa"/>
          </w:tcPr>
          <w:p>
            <w:pPr>
              <w:pStyle w:val="nTable"/>
              <w:spacing w:before="36" w:after="40"/>
              <w:rPr>
                <w:snapToGrid w:val="0"/>
                <w:sz w:val="19"/>
                <w:lang w:val="en-US"/>
              </w:rPr>
            </w:pPr>
            <w:r>
              <w:rPr>
                <w:snapToGrid w:val="0"/>
                <w:sz w:val="19"/>
                <w:lang w:val="en-US"/>
              </w:rPr>
              <w:t>r. 1 and 2: 13 Nov 2007 (see r. 2(a));</w:t>
            </w:r>
            <w:r>
              <w:rPr>
                <w:snapToGrid w:val="0"/>
                <w:sz w:val="19"/>
                <w:lang w:val="en-US"/>
              </w:rPr>
              <w:br/>
              <w:t>Regulations other than r. 1 and 2: 1 Jan 2008 (see r. 2(b))</w:t>
            </w:r>
          </w:p>
        </w:tc>
      </w:tr>
      <w:tr>
        <w:trPr>
          <w:cantSplit/>
        </w:trPr>
        <w:tc>
          <w:tcPr>
            <w:tcW w:w="3119" w:type="dxa"/>
          </w:tcPr>
          <w:p>
            <w:pPr>
              <w:pStyle w:val="nTable"/>
              <w:spacing w:before="36" w:after="40"/>
              <w:ind w:right="113"/>
              <w:rPr>
                <w:i/>
                <w:sz w:val="19"/>
              </w:rPr>
            </w:pPr>
            <w:r>
              <w:rPr>
                <w:i/>
                <w:sz w:val="19"/>
              </w:rPr>
              <w:t>Fish Resources Management Amendment Regulations (No. 8) 2007</w:t>
            </w:r>
          </w:p>
        </w:tc>
        <w:tc>
          <w:tcPr>
            <w:tcW w:w="1276" w:type="dxa"/>
          </w:tcPr>
          <w:p>
            <w:pPr>
              <w:pStyle w:val="nTable"/>
              <w:spacing w:before="36" w:after="40"/>
              <w:rPr>
                <w:sz w:val="19"/>
              </w:rPr>
            </w:pPr>
            <w:r>
              <w:rPr>
                <w:sz w:val="19"/>
              </w:rPr>
              <w:t>21 Dec 2007 p. 6325</w:t>
            </w:r>
            <w:r>
              <w:rPr>
                <w:sz w:val="19"/>
              </w:rPr>
              <w:noBreakHyphen/>
              <w:t>6</w:t>
            </w:r>
          </w:p>
        </w:tc>
        <w:tc>
          <w:tcPr>
            <w:tcW w:w="2693" w:type="dxa"/>
          </w:tcPr>
          <w:p>
            <w:pPr>
              <w:pStyle w:val="nTable"/>
              <w:spacing w:before="36" w:after="40"/>
              <w:rPr>
                <w:snapToGrid w:val="0"/>
                <w:sz w:val="19"/>
                <w:lang w:val="en-US"/>
              </w:rPr>
            </w:pPr>
            <w:r>
              <w:rPr>
                <w:snapToGrid w:val="0"/>
                <w:sz w:val="19"/>
                <w:lang w:val="en-US"/>
              </w:rPr>
              <w:t xml:space="preserve">r. 1 </w:t>
            </w:r>
            <w:r>
              <w:rPr>
                <w:sz w:val="19"/>
              </w:rPr>
              <w:t>and</w:t>
            </w:r>
            <w:r>
              <w:rPr>
                <w:snapToGrid w:val="0"/>
                <w:sz w:val="19"/>
                <w:lang w:val="en-US"/>
              </w:rPr>
              <w:t xml:space="preserve"> 2: 21 Dec 2007 (see r. 2(a));</w:t>
            </w:r>
            <w:r>
              <w:rPr>
                <w:snapToGrid w:val="0"/>
                <w:sz w:val="19"/>
                <w:lang w:val="en-US"/>
              </w:rPr>
              <w:br/>
              <w:t>Regulations other than r. 1 and 2: 22 Dec 2007 (see r. 2(b))</w:t>
            </w:r>
          </w:p>
        </w:tc>
      </w:tr>
      <w:tr>
        <w:trPr>
          <w:cantSplit/>
        </w:trPr>
        <w:tc>
          <w:tcPr>
            <w:tcW w:w="3119" w:type="dxa"/>
          </w:tcPr>
          <w:p>
            <w:pPr>
              <w:pStyle w:val="nTable"/>
              <w:spacing w:before="36" w:after="40"/>
              <w:ind w:right="113"/>
              <w:rPr>
                <w:i/>
                <w:sz w:val="19"/>
              </w:rPr>
            </w:pPr>
            <w:r>
              <w:rPr>
                <w:i/>
                <w:sz w:val="19"/>
              </w:rPr>
              <w:t>Fish Resources Management Amendment Regulations 2008</w:t>
            </w:r>
          </w:p>
        </w:tc>
        <w:tc>
          <w:tcPr>
            <w:tcW w:w="1276" w:type="dxa"/>
          </w:tcPr>
          <w:p>
            <w:pPr>
              <w:pStyle w:val="nTable"/>
              <w:spacing w:before="36" w:after="40"/>
              <w:rPr>
                <w:sz w:val="19"/>
              </w:rPr>
            </w:pPr>
            <w:r>
              <w:rPr>
                <w:sz w:val="19"/>
              </w:rPr>
              <w:t>5 Feb 2008 p. 301</w:t>
            </w:r>
            <w:r>
              <w:rPr>
                <w:sz w:val="19"/>
              </w:rPr>
              <w:noBreakHyphen/>
              <w:t>2</w:t>
            </w:r>
          </w:p>
        </w:tc>
        <w:tc>
          <w:tcPr>
            <w:tcW w:w="2693" w:type="dxa"/>
          </w:tcPr>
          <w:p>
            <w:pPr>
              <w:pStyle w:val="nTable"/>
              <w:spacing w:before="36" w:after="40"/>
              <w:rPr>
                <w:snapToGrid w:val="0"/>
                <w:sz w:val="19"/>
                <w:lang w:val="en-US"/>
              </w:rPr>
            </w:pPr>
            <w:r>
              <w:rPr>
                <w:snapToGrid w:val="0"/>
                <w:sz w:val="19"/>
                <w:lang w:val="en-US"/>
              </w:rPr>
              <w:t xml:space="preserve">r. 1 </w:t>
            </w:r>
            <w:r>
              <w:rPr>
                <w:sz w:val="19"/>
              </w:rPr>
              <w:t>and</w:t>
            </w:r>
            <w:r>
              <w:rPr>
                <w:snapToGrid w:val="0"/>
                <w:sz w:val="19"/>
                <w:lang w:val="en-US"/>
              </w:rPr>
              <w:t xml:space="preserve"> 2: 5 Feb 2008 (see r. 2(a));</w:t>
            </w:r>
            <w:r>
              <w:rPr>
                <w:snapToGrid w:val="0"/>
                <w:sz w:val="19"/>
                <w:lang w:val="en-US"/>
              </w:rPr>
              <w:br/>
              <w:t>Regulations other than r. 1 and 2: 1 Mar 2008 (see r. 2(b))</w:t>
            </w:r>
          </w:p>
        </w:tc>
      </w:tr>
      <w:tr>
        <w:trPr>
          <w:cantSplit/>
        </w:trPr>
        <w:tc>
          <w:tcPr>
            <w:tcW w:w="3119" w:type="dxa"/>
          </w:tcPr>
          <w:p>
            <w:pPr>
              <w:pStyle w:val="nTable"/>
              <w:spacing w:before="36" w:after="40"/>
              <w:ind w:right="113"/>
              <w:rPr>
                <w:i/>
                <w:sz w:val="19"/>
              </w:rPr>
            </w:pPr>
            <w:r>
              <w:rPr>
                <w:i/>
                <w:sz w:val="19"/>
              </w:rPr>
              <w:t>Fish Resources Management Amendment Regulations (No. 3) 2008</w:t>
            </w:r>
          </w:p>
        </w:tc>
        <w:tc>
          <w:tcPr>
            <w:tcW w:w="1276" w:type="dxa"/>
          </w:tcPr>
          <w:p>
            <w:pPr>
              <w:pStyle w:val="nTable"/>
              <w:spacing w:before="36" w:after="40"/>
              <w:rPr>
                <w:sz w:val="19"/>
              </w:rPr>
            </w:pPr>
            <w:r>
              <w:rPr>
                <w:sz w:val="19"/>
              </w:rPr>
              <w:t>27 May 2008 p. 2040</w:t>
            </w:r>
            <w:r>
              <w:rPr>
                <w:sz w:val="19"/>
              </w:rPr>
              <w:noBreakHyphen/>
              <w:t>2</w:t>
            </w:r>
          </w:p>
        </w:tc>
        <w:tc>
          <w:tcPr>
            <w:tcW w:w="2693" w:type="dxa"/>
          </w:tcPr>
          <w:p>
            <w:pPr>
              <w:pStyle w:val="nTable"/>
              <w:spacing w:before="36" w:after="40"/>
              <w:rPr>
                <w:snapToGrid w:val="0"/>
                <w:sz w:val="19"/>
                <w:lang w:val="en-US"/>
              </w:rPr>
            </w:pPr>
            <w:r>
              <w:rPr>
                <w:snapToGrid w:val="0"/>
                <w:sz w:val="19"/>
                <w:lang w:val="en-US"/>
              </w:rPr>
              <w:t>r. 1 and 2: 27 May 2008 (see r. 2(a));</w:t>
            </w:r>
            <w:r>
              <w:rPr>
                <w:snapToGrid w:val="0"/>
                <w:sz w:val="19"/>
                <w:lang w:val="en-US"/>
              </w:rPr>
              <w:br/>
              <w:t>Regulations other than r. 1 and 2: 28 May 2008 (see r. 2(b))</w:t>
            </w:r>
          </w:p>
        </w:tc>
      </w:tr>
      <w:tr>
        <w:trPr>
          <w:cantSplit/>
        </w:trPr>
        <w:tc>
          <w:tcPr>
            <w:tcW w:w="3119" w:type="dxa"/>
          </w:tcPr>
          <w:p>
            <w:pPr>
              <w:pStyle w:val="nTable"/>
              <w:spacing w:before="36" w:after="40"/>
              <w:ind w:right="113"/>
              <w:rPr>
                <w:i/>
                <w:sz w:val="19"/>
              </w:rPr>
            </w:pPr>
            <w:r>
              <w:rPr>
                <w:i/>
                <w:sz w:val="19"/>
              </w:rPr>
              <w:t>Fish Resources Management Amendment Regulations (No. 2) 2008</w:t>
            </w:r>
          </w:p>
        </w:tc>
        <w:tc>
          <w:tcPr>
            <w:tcW w:w="1276" w:type="dxa"/>
          </w:tcPr>
          <w:p>
            <w:pPr>
              <w:pStyle w:val="nTable"/>
              <w:spacing w:before="36" w:after="40"/>
              <w:rPr>
                <w:sz w:val="19"/>
              </w:rPr>
            </w:pPr>
            <w:r>
              <w:rPr>
                <w:sz w:val="19"/>
              </w:rPr>
              <w:t>29 May 2008 p. 2055</w:t>
            </w:r>
            <w:r>
              <w:rPr>
                <w:sz w:val="19"/>
              </w:rPr>
              <w:noBreakHyphen/>
              <w:t>9</w:t>
            </w:r>
          </w:p>
        </w:tc>
        <w:tc>
          <w:tcPr>
            <w:tcW w:w="2693" w:type="dxa"/>
          </w:tcPr>
          <w:p>
            <w:pPr>
              <w:pStyle w:val="nTable"/>
              <w:spacing w:before="36" w:after="40"/>
              <w:rPr>
                <w:snapToGrid w:val="0"/>
                <w:sz w:val="19"/>
                <w:lang w:val="en-US"/>
              </w:rPr>
            </w:pPr>
            <w:r>
              <w:rPr>
                <w:snapToGrid w:val="0"/>
                <w:sz w:val="19"/>
                <w:lang w:val="en-US"/>
              </w:rPr>
              <w:t>r. 1 and 2: 29 May 2008 (see r. 2(a));</w:t>
            </w:r>
            <w:r>
              <w:rPr>
                <w:snapToGrid w:val="0"/>
                <w:sz w:val="19"/>
                <w:lang w:val="en-US"/>
              </w:rPr>
              <w:br/>
              <w:t>Regulations other than r. 1 and 2: 30 May 2008 (see r. 2(b))</w:t>
            </w:r>
          </w:p>
        </w:tc>
      </w:tr>
      <w:tr>
        <w:trPr>
          <w:cantSplit/>
        </w:trPr>
        <w:tc>
          <w:tcPr>
            <w:tcW w:w="3119" w:type="dxa"/>
          </w:tcPr>
          <w:p>
            <w:pPr>
              <w:pStyle w:val="nTable"/>
              <w:spacing w:before="36" w:after="40"/>
              <w:ind w:right="113"/>
              <w:rPr>
                <w:i/>
                <w:sz w:val="19"/>
              </w:rPr>
            </w:pPr>
            <w:r>
              <w:rPr>
                <w:i/>
                <w:sz w:val="19"/>
              </w:rPr>
              <w:t>Fish Resources Management Amendment Regulations (No. 11) 2008</w:t>
            </w:r>
          </w:p>
        </w:tc>
        <w:tc>
          <w:tcPr>
            <w:tcW w:w="1276" w:type="dxa"/>
          </w:tcPr>
          <w:p>
            <w:pPr>
              <w:pStyle w:val="nTable"/>
              <w:spacing w:before="36" w:after="40"/>
              <w:rPr>
                <w:sz w:val="19"/>
              </w:rPr>
            </w:pPr>
            <w:r>
              <w:rPr>
                <w:sz w:val="19"/>
              </w:rPr>
              <w:t>21 Nov 2008 p. 4926</w:t>
            </w:r>
            <w:r>
              <w:rPr>
                <w:sz w:val="19"/>
              </w:rPr>
              <w:noBreakHyphen/>
              <w:t>7</w:t>
            </w:r>
          </w:p>
        </w:tc>
        <w:tc>
          <w:tcPr>
            <w:tcW w:w="2693" w:type="dxa"/>
          </w:tcPr>
          <w:p>
            <w:pPr>
              <w:pStyle w:val="nTable"/>
              <w:spacing w:before="36" w:after="40"/>
              <w:rPr>
                <w:snapToGrid w:val="0"/>
                <w:sz w:val="19"/>
                <w:lang w:val="en-US"/>
              </w:rPr>
            </w:pPr>
            <w:r>
              <w:rPr>
                <w:snapToGrid w:val="0"/>
                <w:sz w:val="19"/>
                <w:lang w:val="en-US"/>
              </w:rPr>
              <w:t>r. 1 and 2: 21 Nov 2008 (see r. 2(a));</w:t>
            </w:r>
            <w:r>
              <w:rPr>
                <w:snapToGrid w:val="0"/>
                <w:sz w:val="19"/>
                <w:lang w:val="en-US"/>
              </w:rPr>
              <w:br/>
              <w:t>Regulations other than r. 1 and 2: 1 Dec 2008 (see r. 2(b))</w:t>
            </w:r>
          </w:p>
        </w:tc>
      </w:tr>
      <w:tr>
        <w:trPr>
          <w:cantSplit/>
        </w:trPr>
        <w:tc>
          <w:tcPr>
            <w:tcW w:w="3119" w:type="dxa"/>
          </w:tcPr>
          <w:p>
            <w:pPr>
              <w:pStyle w:val="nTable"/>
              <w:spacing w:before="36" w:after="40"/>
              <w:ind w:right="113"/>
              <w:rPr>
                <w:i/>
                <w:sz w:val="19"/>
              </w:rPr>
            </w:pPr>
            <w:r>
              <w:rPr>
                <w:i/>
                <w:sz w:val="19"/>
              </w:rPr>
              <w:t xml:space="preserve">Fish Resources Management Amendment Regulations (No. 8) 2008 </w:t>
            </w:r>
          </w:p>
        </w:tc>
        <w:tc>
          <w:tcPr>
            <w:tcW w:w="1276" w:type="dxa"/>
          </w:tcPr>
          <w:p>
            <w:pPr>
              <w:pStyle w:val="nTable"/>
              <w:spacing w:before="36" w:after="40"/>
              <w:rPr>
                <w:sz w:val="19"/>
              </w:rPr>
            </w:pPr>
            <w:r>
              <w:rPr>
                <w:sz w:val="19"/>
              </w:rPr>
              <w:t>19 Dec 2008 p. 5361</w:t>
            </w:r>
            <w:r>
              <w:rPr>
                <w:sz w:val="19"/>
              </w:rPr>
              <w:noBreakHyphen/>
              <w:t>3</w:t>
            </w:r>
          </w:p>
        </w:tc>
        <w:tc>
          <w:tcPr>
            <w:tcW w:w="2693" w:type="dxa"/>
          </w:tcPr>
          <w:p>
            <w:pPr>
              <w:pStyle w:val="nTable"/>
              <w:spacing w:before="36" w:after="40"/>
              <w:rPr>
                <w:snapToGrid w:val="0"/>
                <w:sz w:val="19"/>
                <w:lang w:val="en-US"/>
              </w:rPr>
            </w:pPr>
            <w:r>
              <w:rPr>
                <w:sz w:val="19"/>
              </w:rPr>
              <w:t>r. 1 and 2: 19 Dec 2008 (see r. 2(a));</w:t>
            </w:r>
            <w:r>
              <w:rPr>
                <w:sz w:val="19"/>
              </w:rPr>
              <w:br/>
              <w:t>Regulations other than r. 1 and 2: 1 Jan 2009 (see r. 2(b))</w:t>
            </w:r>
          </w:p>
        </w:tc>
      </w:tr>
      <w:tr>
        <w:trPr>
          <w:cantSplit/>
        </w:trPr>
        <w:tc>
          <w:tcPr>
            <w:tcW w:w="3119" w:type="dxa"/>
          </w:tcPr>
          <w:p>
            <w:pPr>
              <w:pStyle w:val="nTable"/>
              <w:spacing w:before="36" w:after="40"/>
              <w:ind w:right="113"/>
              <w:rPr>
                <w:i/>
                <w:sz w:val="19"/>
              </w:rPr>
            </w:pPr>
            <w:r>
              <w:rPr>
                <w:i/>
                <w:sz w:val="19"/>
              </w:rPr>
              <w:t>Fish Resources Management Amendment Regulations (No. 2) 2009</w:t>
            </w:r>
          </w:p>
        </w:tc>
        <w:tc>
          <w:tcPr>
            <w:tcW w:w="1276" w:type="dxa"/>
          </w:tcPr>
          <w:p>
            <w:pPr>
              <w:pStyle w:val="nTable"/>
              <w:spacing w:before="36" w:after="40"/>
              <w:rPr>
                <w:sz w:val="19"/>
              </w:rPr>
            </w:pPr>
            <w:r>
              <w:rPr>
                <w:sz w:val="19"/>
              </w:rPr>
              <w:t>3 Feb 2009 p. 227</w:t>
            </w:r>
          </w:p>
        </w:tc>
        <w:tc>
          <w:tcPr>
            <w:tcW w:w="2693" w:type="dxa"/>
          </w:tcPr>
          <w:p>
            <w:pPr>
              <w:pStyle w:val="nTable"/>
              <w:spacing w:before="36" w:after="40"/>
              <w:rPr>
                <w:sz w:val="19"/>
              </w:rPr>
            </w:pPr>
            <w:r>
              <w:rPr>
                <w:sz w:val="19"/>
              </w:rPr>
              <w:t>r. 1 and 2: 3 Feb 2009 (see r. 2(a));</w:t>
            </w:r>
            <w:r>
              <w:rPr>
                <w:sz w:val="19"/>
              </w:rPr>
              <w:br/>
              <w:t>Regulations other than r. 1 and 2: 4 Feb 2009 (see r. 2(b))</w:t>
            </w:r>
          </w:p>
        </w:tc>
      </w:tr>
      <w:tr>
        <w:trPr>
          <w:cantSplit/>
        </w:trPr>
        <w:tc>
          <w:tcPr>
            <w:tcW w:w="3119" w:type="dxa"/>
          </w:tcPr>
          <w:p>
            <w:pPr>
              <w:pStyle w:val="nTable"/>
              <w:spacing w:before="36" w:after="40"/>
              <w:ind w:right="113"/>
              <w:rPr>
                <w:i/>
                <w:sz w:val="19"/>
              </w:rPr>
            </w:pPr>
            <w:r>
              <w:rPr>
                <w:i/>
                <w:sz w:val="19"/>
              </w:rPr>
              <w:t>Fish Resources Management Amendment Regulations (No. 3) 2009</w:t>
            </w:r>
          </w:p>
        </w:tc>
        <w:tc>
          <w:tcPr>
            <w:tcW w:w="1276" w:type="dxa"/>
          </w:tcPr>
          <w:p>
            <w:pPr>
              <w:pStyle w:val="nTable"/>
              <w:spacing w:before="36" w:after="40"/>
              <w:rPr>
                <w:sz w:val="19"/>
              </w:rPr>
            </w:pPr>
            <w:r>
              <w:rPr>
                <w:sz w:val="19"/>
              </w:rPr>
              <w:t>11 Feb 2009 p. 287</w:t>
            </w:r>
            <w:r>
              <w:rPr>
                <w:sz w:val="19"/>
              </w:rPr>
              <w:noBreakHyphen/>
              <w:t>9</w:t>
            </w:r>
          </w:p>
        </w:tc>
        <w:tc>
          <w:tcPr>
            <w:tcW w:w="2693" w:type="dxa"/>
          </w:tcPr>
          <w:p>
            <w:pPr>
              <w:pStyle w:val="nTable"/>
              <w:spacing w:before="36" w:after="40"/>
              <w:rPr>
                <w:sz w:val="19"/>
              </w:rPr>
            </w:pPr>
            <w:r>
              <w:rPr>
                <w:sz w:val="19"/>
              </w:rPr>
              <w:t>r. 1 and 2: 11 Feb 2009 (see r. 2(a));</w:t>
            </w:r>
            <w:r>
              <w:rPr>
                <w:sz w:val="19"/>
              </w:rPr>
              <w:br/>
              <w:t>Regulations other than r. 1 and 2: 12 Feb 2009 (see r. 2(b))</w:t>
            </w:r>
          </w:p>
        </w:tc>
      </w:tr>
      <w:tr>
        <w:trPr>
          <w:cantSplit/>
        </w:trPr>
        <w:tc>
          <w:tcPr>
            <w:tcW w:w="3119" w:type="dxa"/>
          </w:tcPr>
          <w:p>
            <w:pPr>
              <w:pStyle w:val="nTable"/>
              <w:spacing w:before="36" w:after="40"/>
              <w:ind w:right="113"/>
              <w:rPr>
                <w:iCs/>
                <w:sz w:val="19"/>
              </w:rPr>
            </w:pPr>
            <w:r>
              <w:rPr>
                <w:i/>
                <w:sz w:val="19"/>
              </w:rPr>
              <w:t>Fish Resources Management Amendment Regulations 2009</w:t>
            </w:r>
          </w:p>
        </w:tc>
        <w:tc>
          <w:tcPr>
            <w:tcW w:w="1276" w:type="dxa"/>
          </w:tcPr>
          <w:p>
            <w:pPr>
              <w:pStyle w:val="nTable"/>
              <w:spacing w:before="36" w:after="40"/>
              <w:rPr>
                <w:sz w:val="19"/>
              </w:rPr>
            </w:pPr>
            <w:r>
              <w:rPr>
                <w:sz w:val="19"/>
              </w:rPr>
              <w:t>13 Feb 2009 p. 297</w:t>
            </w:r>
            <w:r>
              <w:rPr>
                <w:sz w:val="19"/>
              </w:rPr>
              <w:noBreakHyphen/>
              <w:t>300</w:t>
            </w:r>
          </w:p>
        </w:tc>
        <w:tc>
          <w:tcPr>
            <w:tcW w:w="2693" w:type="dxa"/>
          </w:tcPr>
          <w:p>
            <w:pPr>
              <w:pStyle w:val="nTable"/>
              <w:spacing w:before="36" w:after="40"/>
              <w:rPr>
                <w:sz w:val="19"/>
              </w:rPr>
            </w:pPr>
            <w:r>
              <w:rPr>
                <w:sz w:val="19"/>
              </w:rPr>
              <w:t>r. 1 and 2: 13 Feb 2009 (see r. 2(a));</w:t>
            </w:r>
            <w:r>
              <w:rPr>
                <w:sz w:val="19"/>
              </w:rPr>
              <w:br/>
              <w:t>Regulations other than r. 1 and 2: 14 Feb 2009 (see r. 2(b))</w:t>
            </w:r>
          </w:p>
        </w:tc>
      </w:tr>
      <w:tr>
        <w:trPr>
          <w:cantSplit/>
        </w:trPr>
        <w:tc>
          <w:tcPr>
            <w:tcW w:w="3119" w:type="dxa"/>
          </w:tcPr>
          <w:p>
            <w:pPr>
              <w:pStyle w:val="nTable"/>
              <w:spacing w:before="36" w:after="40"/>
              <w:ind w:right="113"/>
              <w:rPr>
                <w:i/>
                <w:sz w:val="19"/>
              </w:rPr>
            </w:pPr>
            <w:r>
              <w:rPr>
                <w:i/>
                <w:sz w:val="19"/>
              </w:rPr>
              <w:t>Fish Resources Management Amendment Regulations (No. 8) 2009</w:t>
            </w:r>
          </w:p>
        </w:tc>
        <w:tc>
          <w:tcPr>
            <w:tcW w:w="1276" w:type="dxa"/>
          </w:tcPr>
          <w:p>
            <w:pPr>
              <w:pStyle w:val="nTable"/>
              <w:spacing w:before="36" w:after="40"/>
              <w:rPr>
                <w:sz w:val="19"/>
              </w:rPr>
            </w:pPr>
            <w:r>
              <w:rPr>
                <w:sz w:val="19"/>
              </w:rPr>
              <w:t>13 Mar 2009 p. 760</w:t>
            </w:r>
            <w:r>
              <w:rPr>
                <w:sz w:val="19"/>
              </w:rPr>
              <w:noBreakHyphen/>
              <w:t>1</w:t>
            </w:r>
          </w:p>
        </w:tc>
        <w:tc>
          <w:tcPr>
            <w:tcW w:w="2693" w:type="dxa"/>
          </w:tcPr>
          <w:p>
            <w:pPr>
              <w:pStyle w:val="nTable"/>
              <w:spacing w:before="36" w:after="40"/>
              <w:rPr>
                <w:sz w:val="19"/>
              </w:rPr>
            </w:pPr>
            <w:r>
              <w:rPr>
                <w:sz w:val="19"/>
              </w:rPr>
              <w:t>r. 1 and 2: 13 Mar 2009 (see r. 2(a));</w:t>
            </w:r>
            <w:r>
              <w:rPr>
                <w:sz w:val="19"/>
              </w:rPr>
              <w:br/>
              <w:t>Regulations other than r. 1 and 2: 14 Mar 2009 (see r. 2(b))</w:t>
            </w:r>
          </w:p>
        </w:tc>
      </w:tr>
      <w:tr>
        <w:trPr>
          <w:cantSplit/>
        </w:trPr>
        <w:tc>
          <w:tcPr>
            <w:tcW w:w="3119" w:type="dxa"/>
          </w:tcPr>
          <w:p>
            <w:pPr>
              <w:pStyle w:val="nTable"/>
              <w:spacing w:before="36" w:after="40"/>
              <w:ind w:right="113"/>
              <w:rPr>
                <w:i/>
                <w:sz w:val="19"/>
              </w:rPr>
            </w:pPr>
            <w:r>
              <w:rPr>
                <w:i/>
                <w:sz w:val="19"/>
              </w:rPr>
              <w:t>Fish Resources Management Amendment Regulations (No. 5) 2009</w:t>
            </w:r>
          </w:p>
        </w:tc>
        <w:tc>
          <w:tcPr>
            <w:tcW w:w="1276" w:type="dxa"/>
          </w:tcPr>
          <w:p>
            <w:pPr>
              <w:pStyle w:val="nTable"/>
              <w:spacing w:before="36" w:after="40"/>
              <w:rPr>
                <w:sz w:val="19"/>
              </w:rPr>
            </w:pPr>
            <w:r>
              <w:rPr>
                <w:sz w:val="19"/>
              </w:rPr>
              <w:t>27 Mar 2009 p. 922</w:t>
            </w:r>
          </w:p>
        </w:tc>
        <w:tc>
          <w:tcPr>
            <w:tcW w:w="2693" w:type="dxa"/>
          </w:tcPr>
          <w:p>
            <w:pPr>
              <w:pStyle w:val="nTable"/>
              <w:spacing w:before="36" w:after="40"/>
              <w:rPr>
                <w:sz w:val="19"/>
              </w:rPr>
            </w:pPr>
            <w:r>
              <w:rPr>
                <w:snapToGrid w:val="0"/>
                <w:spacing w:val="-2"/>
                <w:sz w:val="19"/>
                <w:lang w:val="en-US"/>
              </w:rPr>
              <w:t>r. 1 and 2: 27 Mar 2009 (see r. 2(a));</w:t>
            </w:r>
            <w:r>
              <w:rPr>
                <w:snapToGrid w:val="0"/>
                <w:spacing w:val="-2"/>
                <w:sz w:val="19"/>
                <w:lang w:val="en-US"/>
              </w:rPr>
              <w:br/>
              <w:t>Regulations other than r. 1 and 2: 28 Mar 2009 (see r. 2(b))</w:t>
            </w:r>
          </w:p>
        </w:tc>
      </w:tr>
      <w:tr>
        <w:trPr>
          <w:cantSplit/>
        </w:trPr>
        <w:tc>
          <w:tcPr>
            <w:tcW w:w="3119" w:type="dxa"/>
          </w:tcPr>
          <w:p>
            <w:pPr>
              <w:pStyle w:val="nTable"/>
              <w:spacing w:before="36" w:after="40"/>
              <w:ind w:right="113"/>
              <w:rPr>
                <w:i/>
                <w:sz w:val="19"/>
              </w:rPr>
            </w:pPr>
            <w:r>
              <w:rPr>
                <w:i/>
                <w:sz w:val="19"/>
              </w:rPr>
              <w:t>Fish Resources Management Amendment Regulations (No. 9) 2009</w:t>
            </w:r>
          </w:p>
        </w:tc>
        <w:tc>
          <w:tcPr>
            <w:tcW w:w="1276" w:type="dxa"/>
          </w:tcPr>
          <w:p>
            <w:pPr>
              <w:pStyle w:val="nTable"/>
              <w:spacing w:before="36" w:after="40"/>
              <w:rPr>
                <w:sz w:val="19"/>
              </w:rPr>
            </w:pPr>
            <w:r>
              <w:rPr>
                <w:sz w:val="19"/>
              </w:rPr>
              <w:t>9 Jun 2009 p. 1911</w:t>
            </w:r>
            <w:r>
              <w:rPr>
                <w:sz w:val="19"/>
              </w:rPr>
              <w:noBreakHyphen/>
              <w:t>20</w:t>
            </w:r>
          </w:p>
        </w:tc>
        <w:tc>
          <w:tcPr>
            <w:tcW w:w="2693" w:type="dxa"/>
          </w:tcPr>
          <w:p>
            <w:pPr>
              <w:pStyle w:val="nTable"/>
              <w:spacing w:before="36" w:after="40"/>
              <w:rPr>
                <w:snapToGrid w:val="0"/>
                <w:spacing w:val="-2"/>
                <w:sz w:val="19"/>
                <w:lang w:val="en-US"/>
              </w:rPr>
            </w:pPr>
            <w:r>
              <w:rPr>
                <w:snapToGrid w:val="0"/>
                <w:spacing w:val="-2"/>
                <w:sz w:val="19"/>
                <w:lang w:val="en-US"/>
              </w:rPr>
              <w:t>r. 1 and 2: 9 Jun 2009 (see r. 2(a));</w:t>
            </w:r>
            <w:r>
              <w:rPr>
                <w:snapToGrid w:val="0"/>
                <w:spacing w:val="-2"/>
                <w:sz w:val="19"/>
                <w:lang w:val="en-US"/>
              </w:rPr>
              <w:br/>
              <w:t>Regulations other than r. 1 and 2: 1 Jul 2009 (see r. 2(b))</w:t>
            </w:r>
          </w:p>
        </w:tc>
      </w:tr>
      <w:tr>
        <w:trPr>
          <w:cantSplit/>
        </w:trPr>
        <w:tc>
          <w:tcPr>
            <w:tcW w:w="3119" w:type="dxa"/>
          </w:tcPr>
          <w:p>
            <w:pPr>
              <w:pStyle w:val="nTable"/>
              <w:spacing w:before="36" w:after="40"/>
              <w:ind w:right="113"/>
              <w:rPr>
                <w:i/>
                <w:sz w:val="19"/>
              </w:rPr>
            </w:pPr>
            <w:r>
              <w:rPr>
                <w:i/>
                <w:sz w:val="19"/>
              </w:rPr>
              <w:t>Fish Resources Management Amendment Regulations (No. 10) 2009</w:t>
            </w:r>
          </w:p>
        </w:tc>
        <w:tc>
          <w:tcPr>
            <w:tcW w:w="1276" w:type="dxa"/>
          </w:tcPr>
          <w:p>
            <w:pPr>
              <w:pStyle w:val="nTable"/>
              <w:spacing w:before="36" w:after="40"/>
              <w:rPr>
                <w:sz w:val="19"/>
              </w:rPr>
            </w:pPr>
            <w:r>
              <w:rPr>
                <w:sz w:val="19"/>
              </w:rPr>
              <w:t>3 Jul 2009 p. 2679</w:t>
            </w:r>
            <w:r>
              <w:rPr>
                <w:sz w:val="19"/>
              </w:rPr>
              <w:noBreakHyphen/>
              <w:t>80</w:t>
            </w:r>
          </w:p>
        </w:tc>
        <w:tc>
          <w:tcPr>
            <w:tcW w:w="2693" w:type="dxa"/>
          </w:tcPr>
          <w:p>
            <w:pPr>
              <w:pStyle w:val="nTable"/>
              <w:spacing w:before="36" w:after="40"/>
              <w:rPr>
                <w:snapToGrid w:val="0"/>
                <w:spacing w:val="-2"/>
                <w:sz w:val="19"/>
                <w:lang w:val="en-US"/>
              </w:rPr>
            </w:pPr>
            <w:r>
              <w:rPr>
                <w:snapToGrid w:val="0"/>
                <w:spacing w:val="-2"/>
                <w:sz w:val="19"/>
                <w:lang w:val="en-US"/>
              </w:rPr>
              <w:t>r. 1 and 2: 3 Jul 2009 (see r. 2(a));</w:t>
            </w:r>
            <w:r>
              <w:rPr>
                <w:snapToGrid w:val="0"/>
                <w:spacing w:val="-2"/>
                <w:sz w:val="19"/>
                <w:lang w:val="en-US"/>
              </w:rPr>
              <w:br/>
              <w:t>Regulations other than r. 1 and 2: 4 Jul 2009 (see r. 2(b))</w:t>
            </w:r>
          </w:p>
        </w:tc>
      </w:tr>
      <w:tr>
        <w:trPr>
          <w:cantSplit/>
        </w:trPr>
        <w:tc>
          <w:tcPr>
            <w:tcW w:w="7088" w:type="dxa"/>
            <w:gridSpan w:val="3"/>
          </w:tcPr>
          <w:p>
            <w:pPr>
              <w:pStyle w:val="nTable"/>
              <w:spacing w:before="36" w:after="40"/>
              <w:rPr>
                <w:snapToGrid w:val="0"/>
                <w:spacing w:val="-2"/>
                <w:sz w:val="19"/>
                <w:lang w:val="en-US"/>
              </w:rPr>
            </w:pPr>
            <w:r>
              <w:rPr>
                <w:b/>
                <w:sz w:val="19"/>
              </w:rPr>
              <w:t xml:space="preserve">Reprint 8: The </w:t>
            </w:r>
            <w:r>
              <w:rPr>
                <w:b/>
                <w:i/>
                <w:sz w:val="19"/>
              </w:rPr>
              <w:t>Fish Resources Management Regulations 1995</w:t>
            </w:r>
            <w:r>
              <w:rPr>
                <w:b/>
                <w:sz w:val="19"/>
              </w:rPr>
              <w:t xml:space="preserve"> as at 7 Aug 2009</w:t>
            </w:r>
            <w:r>
              <w:rPr>
                <w:b/>
                <w:sz w:val="19"/>
              </w:rPr>
              <w:br/>
            </w:r>
            <w:r>
              <w:rPr>
                <w:sz w:val="19"/>
              </w:rPr>
              <w:t xml:space="preserve">(includes amendments listed above) (correction in </w:t>
            </w:r>
            <w:r>
              <w:rPr>
                <w:i/>
                <w:iCs/>
                <w:sz w:val="19"/>
              </w:rPr>
              <w:t>Gazette</w:t>
            </w:r>
            <w:r>
              <w:rPr>
                <w:sz w:val="19"/>
              </w:rPr>
              <w:t xml:space="preserve"> 1 Sep 2009 p. 3397)</w:t>
            </w:r>
          </w:p>
        </w:tc>
      </w:tr>
      <w:tr>
        <w:trPr>
          <w:cantSplit/>
        </w:trPr>
        <w:tc>
          <w:tcPr>
            <w:tcW w:w="3119" w:type="dxa"/>
          </w:tcPr>
          <w:p>
            <w:pPr>
              <w:pStyle w:val="nTable"/>
              <w:spacing w:before="36" w:after="40"/>
              <w:ind w:right="113"/>
              <w:rPr>
                <w:i/>
                <w:sz w:val="19"/>
              </w:rPr>
            </w:pPr>
            <w:r>
              <w:rPr>
                <w:i/>
                <w:sz w:val="19"/>
              </w:rPr>
              <w:t>Fish Resources Management Amendment Regulations (No. 12) 2009</w:t>
            </w:r>
          </w:p>
        </w:tc>
        <w:tc>
          <w:tcPr>
            <w:tcW w:w="1276" w:type="dxa"/>
          </w:tcPr>
          <w:p>
            <w:pPr>
              <w:pStyle w:val="nTable"/>
              <w:spacing w:before="36" w:after="40"/>
              <w:rPr>
                <w:sz w:val="19"/>
              </w:rPr>
            </w:pPr>
            <w:r>
              <w:rPr>
                <w:sz w:val="19"/>
              </w:rPr>
              <w:t>18 Aug 2009 p. 3237</w:t>
            </w:r>
            <w:r>
              <w:rPr>
                <w:sz w:val="19"/>
              </w:rPr>
              <w:noBreakHyphen/>
              <w:t>8</w:t>
            </w:r>
          </w:p>
        </w:tc>
        <w:tc>
          <w:tcPr>
            <w:tcW w:w="2693" w:type="dxa"/>
          </w:tcPr>
          <w:p>
            <w:pPr>
              <w:pStyle w:val="nTable"/>
              <w:spacing w:before="36" w:after="40"/>
              <w:rPr>
                <w:snapToGrid w:val="0"/>
                <w:spacing w:val="-2"/>
                <w:sz w:val="19"/>
                <w:lang w:val="en-US"/>
              </w:rPr>
            </w:pPr>
            <w:r>
              <w:rPr>
                <w:snapToGrid w:val="0"/>
                <w:spacing w:val="-2"/>
                <w:sz w:val="19"/>
                <w:lang w:val="en-US"/>
              </w:rPr>
              <w:t>r. 1 and 2: 18 Aug 2009 (see r. 2(a));</w:t>
            </w:r>
            <w:r>
              <w:rPr>
                <w:snapToGrid w:val="0"/>
                <w:spacing w:val="-2"/>
                <w:sz w:val="19"/>
                <w:lang w:val="en-US"/>
              </w:rPr>
              <w:br/>
              <w:t>Regulations other than r. 1 and 2: 19 Aug 2009 (see r. 2(b))</w:t>
            </w:r>
          </w:p>
        </w:tc>
      </w:tr>
      <w:tr>
        <w:trPr>
          <w:cantSplit/>
        </w:trPr>
        <w:tc>
          <w:tcPr>
            <w:tcW w:w="3119" w:type="dxa"/>
          </w:tcPr>
          <w:p>
            <w:pPr>
              <w:pStyle w:val="nTable"/>
              <w:spacing w:before="36" w:after="40"/>
              <w:ind w:right="113"/>
              <w:rPr>
                <w:i/>
                <w:sz w:val="19"/>
              </w:rPr>
            </w:pPr>
            <w:r>
              <w:rPr>
                <w:i/>
                <w:sz w:val="19"/>
              </w:rPr>
              <w:t>Fish Resources Management Amendment Regulations (No. 15) 2009</w:t>
            </w:r>
          </w:p>
        </w:tc>
        <w:tc>
          <w:tcPr>
            <w:tcW w:w="1276" w:type="dxa"/>
          </w:tcPr>
          <w:p>
            <w:pPr>
              <w:pStyle w:val="nTable"/>
              <w:spacing w:before="36" w:after="40"/>
              <w:rPr>
                <w:sz w:val="19"/>
              </w:rPr>
            </w:pPr>
            <w:r>
              <w:rPr>
                <w:sz w:val="19"/>
              </w:rPr>
              <w:t>10 Sep 2009 p. 3539</w:t>
            </w:r>
          </w:p>
        </w:tc>
        <w:tc>
          <w:tcPr>
            <w:tcW w:w="2693" w:type="dxa"/>
          </w:tcPr>
          <w:p>
            <w:pPr>
              <w:pStyle w:val="nTable"/>
              <w:spacing w:before="36" w:after="40"/>
              <w:rPr>
                <w:snapToGrid w:val="0"/>
                <w:spacing w:val="-2"/>
                <w:sz w:val="19"/>
                <w:lang w:val="en-US"/>
              </w:rPr>
            </w:pPr>
            <w:r>
              <w:rPr>
                <w:snapToGrid w:val="0"/>
                <w:spacing w:val="-2"/>
                <w:sz w:val="19"/>
                <w:lang w:val="en-US"/>
              </w:rPr>
              <w:t>r. 1 and 2: 10 Sep 2009 (see r. 2(a));</w:t>
            </w:r>
            <w:r>
              <w:rPr>
                <w:snapToGrid w:val="0"/>
                <w:spacing w:val="-2"/>
                <w:sz w:val="19"/>
                <w:lang w:val="en-US"/>
              </w:rPr>
              <w:br/>
              <w:t>Regulations other than r. 1 and 2: 11 Sep 2009 (see r. 2(b))</w:t>
            </w:r>
          </w:p>
        </w:tc>
      </w:tr>
      <w:tr>
        <w:trPr>
          <w:cantSplit/>
        </w:trPr>
        <w:tc>
          <w:tcPr>
            <w:tcW w:w="3119" w:type="dxa"/>
          </w:tcPr>
          <w:p>
            <w:pPr>
              <w:pStyle w:val="nTable"/>
              <w:spacing w:before="36" w:after="40"/>
              <w:ind w:right="113"/>
              <w:rPr>
                <w:i/>
                <w:sz w:val="19"/>
              </w:rPr>
            </w:pPr>
            <w:r>
              <w:rPr>
                <w:i/>
                <w:sz w:val="19"/>
              </w:rPr>
              <w:t>Fish Resources Management Amendment Regulations (No. 14) 2009</w:t>
            </w:r>
          </w:p>
        </w:tc>
        <w:tc>
          <w:tcPr>
            <w:tcW w:w="1276" w:type="dxa"/>
          </w:tcPr>
          <w:p>
            <w:pPr>
              <w:pStyle w:val="nTable"/>
              <w:spacing w:before="36" w:after="40"/>
              <w:rPr>
                <w:sz w:val="19"/>
              </w:rPr>
            </w:pPr>
            <w:r>
              <w:rPr>
                <w:sz w:val="19"/>
              </w:rPr>
              <w:t>29 Sep 2009 p. 3863</w:t>
            </w:r>
            <w:r>
              <w:rPr>
                <w:sz w:val="19"/>
              </w:rPr>
              <w:noBreakHyphen/>
              <w:t>82</w:t>
            </w:r>
          </w:p>
        </w:tc>
        <w:tc>
          <w:tcPr>
            <w:tcW w:w="2693" w:type="dxa"/>
          </w:tcPr>
          <w:p>
            <w:pPr>
              <w:pStyle w:val="nTable"/>
              <w:spacing w:before="36" w:after="40"/>
              <w:rPr>
                <w:snapToGrid w:val="0"/>
                <w:spacing w:val="-2"/>
                <w:sz w:val="19"/>
                <w:lang w:val="en-US"/>
              </w:rPr>
            </w:pPr>
            <w:r>
              <w:rPr>
                <w:snapToGrid w:val="0"/>
                <w:spacing w:val="-2"/>
                <w:sz w:val="19"/>
                <w:lang w:val="en-US"/>
              </w:rPr>
              <w:t>r. 1 and 2: 29 Sep 2009 (see r. 2(a));</w:t>
            </w:r>
            <w:r>
              <w:rPr>
                <w:snapToGrid w:val="0"/>
                <w:spacing w:val="-2"/>
                <w:sz w:val="19"/>
                <w:lang w:val="en-US"/>
              </w:rPr>
              <w:br/>
              <w:t>Regulations other than r. 1 and 2: 15 Oct 2009 (see r. 2(b))</w:t>
            </w:r>
          </w:p>
        </w:tc>
      </w:tr>
      <w:tr>
        <w:trPr>
          <w:cantSplit/>
        </w:trPr>
        <w:tc>
          <w:tcPr>
            <w:tcW w:w="3119" w:type="dxa"/>
          </w:tcPr>
          <w:p>
            <w:pPr>
              <w:pStyle w:val="nTable"/>
              <w:spacing w:before="36" w:after="40"/>
              <w:ind w:right="113"/>
              <w:rPr>
                <w:i/>
                <w:sz w:val="19"/>
              </w:rPr>
            </w:pPr>
            <w:r>
              <w:rPr>
                <w:i/>
                <w:sz w:val="19"/>
              </w:rPr>
              <w:t>Fish Resources Management Amendment Regulations (No. 13) 2009</w:t>
            </w:r>
          </w:p>
        </w:tc>
        <w:tc>
          <w:tcPr>
            <w:tcW w:w="1276" w:type="dxa"/>
          </w:tcPr>
          <w:p>
            <w:pPr>
              <w:pStyle w:val="nTable"/>
              <w:spacing w:before="36" w:after="40"/>
              <w:rPr>
                <w:sz w:val="19"/>
              </w:rPr>
            </w:pPr>
            <w:r>
              <w:rPr>
                <w:sz w:val="19"/>
              </w:rPr>
              <w:t>13 Oct 2009 p. 4031</w:t>
            </w:r>
            <w:r>
              <w:rPr>
                <w:sz w:val="19"/>
              </w:rPr>
              <w:noBreakHyphen/>
              <w:t>4</w:t>
            </w:r>
          </w:p>
        </w:tc>
        <w:tc>
          <w:tcPr>
            <w:tcW w:w="2693" w:type="dxa"/>
          </w:tcPr>
          <w:p>
            <w:pPr>
              <w:pStyle w:val="nTable"/>
              <w:spacing w:before="36" w:after="40"/>
              <w:rPr>
                <w:snapToGrid w:val="0"/>
                <w:spacing w:val="-2"/>
                <w:sz w:val="19"/>
                <w:lang w:val="en-US"/>
              </w:rPr>
            </w:pPr>
            <w:r>
              <w:rPr>
                <w:snapToGrid w:val="0"/>
                <w:spacing w:val="-2"/>
                <w:sz w:val="19"/>
                <w:lang w:val="en-US"/>
              </w:rPr>
              <w:t>r. 1 and 2: 13 Oct 2009 (see r. 2(a));</w:t>
            </w:r>
            <w:r>
              <w:rPr>
                <w:snapToGrid w:val="0"/>
                <w:spacing w:val="-2"/>
                <w:sz w:val="19"/>
                <w:lang w:val="en-US"/>
              </w:rPr>
              <w:br/>
              <w:t>Regulations other than r. 1 and 2: 14 Oct 2009 (see r. 2(b))</w:t>
            </w:r>
          </w:p>
        </w:tc>
      </w:tr>
      <w:tr>
        <w:trPr>
          <w:cantSplit/>
        </w:trPr>
        <w:tc>
          <w:tcPr>
            <w:tcW w:w="3119" w:type="dxa"/>
          </w:tcPr>
          <w:p>
            <w:pPr>
              <w:pStyle w:val="nTable"/>
              <w:spacing w:before="36" w:after="40"/>
              <w:ind w:right="113"/>
              <w:rPr>
                <w:i/>
                <w:sz w:val="19"/>
              </w:rPr>
            </w:pPr>
            <w:r>
              <w:rPr>
                <w:i/>
                <w:sz w:val="19"/>
              </w:rPr>
              <w:t>Fish Resources Management Amendment Regulations (No. 16) 2009</w:t>
            </w:r>
          </w:p>
        </w:tc>
        <w:tc>
          <w:tcPr>
            <w:tcW w:w="1276" w:type="dxa"/>
          </w:tcPr>
          <w:p>
            <w:pPr>
              <w:pStyle w:val="nTable"/>
              <w:spacing w:before="36" w:after="40"/>
              <w:rPr>
                <w:sz w:val="19"/>
              </w:rPr>
            </w:pPr>
            <w:r>
              <w:rPr>
                <w:sz w:val="19"/>
              </w:rPr>
              <w:t>5 Nov 2009 p. 4411</w:t>
            </w:r>
            <w:r>
              <w:rPr>
                <w:sz w:val="19"/>
              </w:rPr>
              <w:noBreakHyphen/>
              <w:t>15</w:t>
            </w:r>
          </w:p>
        </w:tc>
        <w:tc>
          <w:tcPr>
            <w:tcW w:w="2693" w:type="dxa"/>
          </w:tcPr>
          <w:p>
            <w:pPr>
              <w:pStyle w:val="nTable"/>
              <w:spacing w:before="36" w:after="40"/>
              <w:rPr>
                <w:snapToGrid w:val="0"/>
                <w:spacing w:val="-2"/>
                <w:sz w:val="19"/>
                <w:lang w:val="en-US"/>
              </w:rPr>
            </w:pPr>
            <w:r>
              <w:rPr>
                <w:snapToGrid w:val="0"/>
                <w:spacing w:val="-2"/>
                <w:sz w:val="19"/>
                <w:lang w:val="en-US"/>
              </w:rPr>
              <w:t>r. 1 and 2: 5 Nov 2009 (see r. 2(a));</w:t>
            </w:r>
            <w:r>
              <w:rPr>
                <w:snapToGrid w:val="0"/>
                <w:spacing w:val="-2"/>
                <w:sz w:val="19"/>
                <w:lang w:val="en-US"/>
              </w:rPr>
              <w:br/>
              <w:t>Regulations other than r. 1 and 2: 6 Nov 2009 (see r. 2(b))</w:t>
            </w:r>
          </w:p>
        </w:tc>
      </w:tr>
      <w:tr>
        <w:trPr>
          <w:cantSplit/>
        </w:trPr>
        <w:tc>
          <w:tcPr>
            <w:tcW w:w="3119" w:type="dxa"/>
          </w:tcPr>
          <w:p>
            <w:pPr>
              <w:pStyle w:val="nTable"/>
              <w:spacing w:before="36" w:after="40"/>
              <w:ind w:right="113"/>
              <w:rPr>
                <w:i/>
                <w:sz w:val="19"/>
              </w:rPr>
            </w:pPr>
            <w:r>
              <w:rPr>
                <w:i/>
                <w:sz w:val="19"/>
              </w:rPr>
              <w:t>Fish Resources Management Amendment Regulations (No. 4) 2009</w:t>
            </w:r>
          </w:p>
        </w:tc>
        <w:tc>
          <w:tcPr>
            <w:tcW w:w="1276" w:type="dxa"/>
          </w:tcPr>
          <w:p>
            <w:pPr>
              <w:pStyle w:val="nTable"/>
              <w:spacing w:before="36" w:after="40"/>
              <w:rPr>
                <w:sz w:val="19"/>
              </w:rPr>
            </w:pPr>
            <w:r>
              <w:rPr>
                <w:sz w:val="19"/>
              </w:rPr>
              <w:t>6 Nov 2009 p. 4470</w:t>
            </w:r>
            <w:r>
              <w:rPr>
                <w:sz w:val="19"/>
              </w:rPr>
              <w:noBreakHyphen/>
              <w:t>1</w:t>
            </w:r>
          </w:p>
        </w:tc>
        <w:tc>
          <w:tcPr>
            <w:tcW w:w="2693" w:type="dxa"/>
          </w:tcPr>
          <w:p>
            <w:pPr>
              <w:pStyle w:val="nTable"/>
              <w:spacing w:before="36" w:after="40"/>
              <w:rPr>
                <w:snapToGrid w:val="0"/>
                <w:spacing w:val="-2"/>
                <w:sz w:val="19"/>
                <w:lang w:val="en-US"/>
              </w:rPr>
            </w:pPr>
            <w:r>
              <w:rPr>
                <w:snapToGrid w:val="0"/>
                <w:spacing w:val="-2"/>
                <w:sz w:val="19"/>
                <w:lang w:val="en-US"/>
              </w:rPr>
              <w:t>r. 1 and 2: 6 Nov 2009 (see r. 2(a));</w:t>
            </w:r>
            <w:r>
              <w:rPr>
                <w:snapToGrid w:val="0"/>
                <w:spacing w:val="-2"/>
                <w:sz w:val="19"/>
                <w:lang w:val="en-US"/>
              </w:rPr>
              <w:br/>
              <w:t>Regulations other than r. 1 and 2: 7 Nov 2009 (see r. 2(b))</w:t>
            </w:r>
          </w:p>
        </w:tc>
      </w:tr>
      <w:tr>
        <w:trPr>
          <w:cantSplit/>
        </w:trPr>
        <w:tc>
          <w:tcPr>
            <w:tcW w:w="3119" w:type="dxa"/>
          </w:tcPr>
          <w:p>
            <w:pPr>
              <w:pStyle w:val="nTable"/>
              <w:spacing w:before="36" w:after="40"/>
              <w:ind w:right="113"/>
              <w:rPr>
                <w:i/>
                <w:sz w:val="19"/>
              </w:rPr>
            </w:pPr>
            <w:r>
              <w:rPr>
                <w:i/>
                <w:sz w:val="19"/>
              </w:rPr>
              <w:t>Fish Resources Management Amendment Regulations (No. 18) 2009</w:t>
            </w:r>
          </w:p>
        </w:tc>
        <w:tc>
          <w:tcPr>
            <w:tcW w:w="1276" w:type="dxa"/>
          </w:tcPr>
          <w:p>
            <w:pPr>
              <w:pStyle w:val="nTable"/>
              <w:spacing w:before="36" w:after="40"/>
              <w:rPr>
                <w:sz w:val="19"/>
              </w:rPr>
            </w:pPr>
            <w:r>
              <w:rPr>
                <w:sz w:val="19"/>
              </w:rPr>
              <w:t>8 Dec 2009 p. 4993</w:t>
            </w:r>
            <w:r>
              <w:rPr>
                <w:sz w:val="19"/>
              </w:rPr>
              <w:noBreakHyphen/>
              <w:t>8 (printer’s correction</w:t>
            </w:r>
            <w:r>
              <w:rPr>
                <w:i/>
                <w:iCs/>
                <w:sz w:val="19"/>
              </w:rPr>
              <w:t xml:space="preserve"> </w:t>
            </w:r>
            <w:r>
              <w:rPr>
                <w:sz w:val="19"/>
              </w:rPr>
              <w:t>15 Dec 2009 p. 5140)</w:t>
            </w:r>
          </w:p>
        </w:tc>
        <w:tc>
          <w:tcPr>
            <w:tcW w:w="2693" w:type="dxa"/>
          </w:tcPr>
          <w:p>
            <w:pPr>
              <w:pStyle w:val="nTable"/>
              <w:spacing w:before="36" w:after="40"/>
              <w:rPr>
                <w:snapToGrid w:val="0"/>
                <w:spacing w:val="-2"/>
                <w:sz w:val="19"/>
                <w:lang w:val="en-US"/>
              </w:rPr>
            </w:pPr>
            <w:r>
              <w:rPr>
                <w:snapToGrid w:val="0"/>
                <w:spacing w:val="-2"/>
                <w:sz w:val="19"/>
                <w:lang w:val="en-US"/>
              </w:rPr>
              <w:t>r. 1 and 2: 8 Dec 2009 (see r. 2(a));</w:t>
            </w:r>
            <w:r>
              <w:rPr>
                <w:snapToGrid w:val="0"/>
                <w:spacing w:val="-2"/>
                <w:sz w:val="19"/>
                <w:lang w:val="en-US"/>
              </w:rPr>
              <w:br/>
              <w:t>Regulations other than r. 1 and 2: 16 Dec 2009 (see r. 2(b))</w:t>
            </w:r>
          </w:p>
        </w:tc>
      </w:tr>
      <w:tr>
        <w:trPr>
          <w:cantSplit/>
        </w:trPr>
        <w:tc>
          <w:tcPr>
            <w:tcW w:w="3119" w:type="dxa"/>
          </w:tcPr>
          <w:p>
            <w:pPr>
              <w:pStyle w:val="nTable"/>
              <w:spacing w:before="36" w:after="40"/>
              <w:ind w:right="113"/>
              <w:rPr>
                <w:i/>
                <w:sz w:val="19"/>
              </w:rPr>
            </w:pPr>
            <w:r>
              <w:rPr>
                <w:i/>
                <w:sz w:val="19"/>
              </w:rPr>
              <w:t>Fish Resources Management Amendment Regulations 2010</w:t>
            </w:r>
          </w:p>
        </w:tc>
        <w:tc>
          <w:tcPr>
            <w:tcW w:w="1276" w:type="dxa"/>
          </w:tcPr>
          <w:p>
            <w:pPr>
              <w:pStyle w:val="nTable"/>
              <w:spacing w:before="36" w:after="40"/>
              <w:rPr>
                <w:sz w:val="19"/>
              </w:rPr>
            </w:pPr>
            <w:r>
              <w:rPr>
                <w:sz w:val="19"/>
              </w:rPr>
              <w:t>12 Feb 2010 p. 584</w:t>
            </w:r>
            <w:r>
              <w:rPr>
                <w:sz w:val="19"/>
              </w:rPr>
              <w:noBreakHyphen/>
              <w:t>7</w:t>
            </w:r>
          </w:p>
        </w:tc>
        <w:tc>
          <w:tcPr>
            <w:tcW w:w="2693" w:type="dxa"/>
          </w:tcPr>
          <w:p>
            <w:pPr>
              <w:pStyle w:val="nTable"/>
              <w:spacing w:before="36" w:after="40"/>
              <w:rPr>
                <w:snapToGrid w:val="0"/>
                <w:spacing w:val="-2"/>
                <w:sz w:val="19"/>
                <w:lang w:val="en-US"/>
              </w:rPr>
            </w:pPr>
            <w:r>
              <w:rPr>
                <w:snapToGrid w:val="0"/>
                <w:spacing w:val="-2"/>
                <w:sz w:val="19"/>
                <w:lang w:val="en-US"/>
              </w:rPr>
              <w:t>r. 1 and 2: 12 Feb 2010 (see r. 2(a));</w:t>
            </w:r>
            <w:r>
              <w:rPr>
                <w:snapToGrid w:val="0"/>
                <w:spacing w:val="-2"/>
                <w:sz w:val="19"/>
                <w:lang w:val="en-US"/>
              </w:rPr>
              <w:br/>
              <w:t>Regulations other than r. 1 and 2: 2 Mar 2010 (see r. 2(b))</w:t>
            </w:r>
          </w:p>
        </w:tc>
      </w:tr>
      <w:tr>
        <w:trPr>
          <w:cantSplit/>
        </w:trPr>
        <w:tc>
          <w:tcPr>
            <w:tcW w:w="3119" w:type="dxa"/>
          </w:tcPr>
          <w:p>
            <w:pPr>
              <w:pStyle w:val="nTable"/>
              <w:spacing w:before="36" w:after="40"/>
              <w:ind w:right="113"/>
              <w:rPr>
                <w:i/>
                <w:sz w:val="19"/>
              </w:rPr>
            </w:pPr>
            <w:r>
              <w:rPr>
                <w:i/>
                <w:sz w:val="19"/>
              </w:rPr>
              <w:t>Fish Resources Management Amendment Regulations (No. 2) 2010</w:t>
            </w:r>
          </w:p>
        </w:tc>
        <w:tc>
          <w:tcPr>
            <w:tcW w:w="1276" w:type="dxa"/>
          </w:tcPr>
          <w:p>
            <w:pPr>
              <w:pStyle w:val="nTable"/>
              <w:spacing w:before="36" w:after="40"/>
              <w:rPr>
                <w:sz w:val="19"/>
              </w:rPr>
            </w:pPr>
            <w:r>
              <w:rPr>
                <w:sz w:val="19"/>
              </w:rPr>
              <w:t>12 Feb 2010 p. 587</w:t>
            </w:r>
            <w:r>
              <w:rPr>
                <w:sz w:val="19"/>
              </w:rPr>
              <w:noBreakHyphen/>
              <w:t>8</w:t>
            </w:r>
          </w:p>
        </w:tc>
        <w:tc>
          <w:tcPr>
            <w:tcW w:w="2693" w:type="dxa"/>
          </w:tcPr>
          <w:p>
            <w:pPr>
              <w:pStyle w:val="nTable"/>
              <w:spacing w:before="36" w:after="40"/>
              <w:rPr>
                <w:snapToGrid w:val="0"/>
                <w:spacing w:val="-2"/>
                <w:sz w:val="19"/>
                <w:lang w:val="en-US"/>
              </w:rPr>
            </w:pPr>
            <w:r>
              <w:rPr>
                <w:snapToGrid w:val="0"/>
                <w:spacing w:val="-2"/>
                <w:sz w:val="19"/>
                <w:lang w:val="en-US"/>
              </w:rPr>
              <w:t>r. 1 and 2: 12 Feb 2010 (see r. 2(a));</w:t>
            </w:r>
            <w:r>
              <w:rPr>
                <w:snapToGrid w:val="0"/>
                <w:spacing w:val="-2"/>
                <w:sz w:val="19"/>
                <w:lang w:val="en-US"/>
              </w:rPr>
              <w:br/>
              <w:t>Regulations other than r. 1 and 2: 13 Feb 2010 (see r. 2(b))</w:t>
            </w:r>
          </w:p>
        </w:tc>
      </w:tr>
      <w:tr>
        <w:trPr>
          <w:cantSplit/>
        </w:trPr>
        <w:tc>
          <w:tcPr>
            <w:tcW w:w="7088" w:type="dxa"/>
            <w:gridSpan w:val="3"/>
          </w:tcPr>
          <w:p>
            <w:pPr>
              <w:pStyle w:val="nTable"/>
              <w:spacing w:before="36" w:after="40"/>
              <w:rPr>
                <w:snapToGrid w:val="0"/>
                <w:spacing w:val="-2"/>
                <w:sz w:val="19"/>
                <w:lang w:val="en-US"/>
              </w:rPr>
            </w:pPr>
            <w:r>
              <w:rPr>
                <w:b/>
                <w:sz w:val="19"/>
              </w:rPr>
              <w:t xml:space="preserve">Reprint 9: The </w:t>
            </w:r>
            <w:r>
              <w:rPr>
                <w:b/>
                <w:i/>
                <w:sz w:val="19"/>
              </w:rPr>
              <w:t>Fish Resources Management Regulations 1995</w:t>
            </w:r>
            <w:r>
              <w:rPr>
                <w:b/>
                <w:sz w:val="19"/>
              </w:rPr>
              <w:t xml:space="preserve"> as at 9 Apr 2010</w:t>
            </w:r>
            <w:r>
              <w:rPr>
                <w:b/>
                <w:sz w:val="19"/>
              </w:rPr>
              <w:br/>
            </w:r>
            <w:r>
              <w:rPr>
                <w:sz w:val="19"/>
              </w:rPr>
              <w:t>(includes amendments listed above)</w:t>
            </w:r>
          </w:p>
        </w:tc>
      </w:tr>
      <w:tr>
        <w:trPr>
          <w:cantSplit/>
        </w:trPr>
        <w:tc>
          <w:tcPr>
            <w:tcW w:w="3119" w:type="dxa"/>
          </w:tcPr>
          <w:p>
            <w:pPr>
              <w:pStyle w:val="nTable"/>
              <w:spacing w:before="36" w:after="40"/>
              <w:ind w:right="113"/>
              <w:rPr>
                <w:i/>
                <w:sz w:val="19"/>
              </w:rPr>
            </w:pPr>
            <w:r>
              <w:rPr>
                <w:i/>
                <w:sz w:val="19"/>
              </w:rPr>
              <w:t>Fish Resources Management Amendment Regulations (No. 4) 2010</w:t>
            </w:r>
          </w:p>
        </w:tc>
        <w:tc>
          <w:tcPr>
            <w:tcW w:w="1276" w:type="dxa"/>
          </w:tcPr>
          <w:p>
            <w:pPr>
              <w:pStyle w:val="nTable"/>
              <w:spacing w:before="36" w:after="40"/>
              <w:rPr>
                <w:sz w:val="19"/>
              </w:rPr>
            </w:pPr>
            <w:r>
              <w:rPr>
                <w:sz w:val="19"/>
              </w:rPr>
              <w:t>28 May 2010 p. 2383-5</w:t>
            </w:r>
          </w:p>
        </w:tc>
        <w:tc>
          <w:tcPr>
            <w:tcW w:w="2693" w:type="dxa"/>
          </w:tcPr>
          <w:p>
            <w:pPr>
              <w:pStyle w:val="nTable"/>
              <w:spacing w:before="36" w:after="40"/>
              <w:rPr>
                <w:snapToGrid w:val="0"/>
                <w:spacing w:val="-2"/>
                <w:sz w:val="19"/>
                <w:lang w:val="en-US"/>
              </w:rPr>
            </w:pPr>
            <w:r>
              <w:rPr>
                <w:snapToGrid w:val="0"/>
                <w:spacing w:val="-2"/>
                <w:sz w:val="19"/>
                <w:lang w:val="en-US"/>
              </w:rPr>
              <w:t>r. 1 and 2: 28 May 2010 (see r. 2(a));</w:t>
            </w:r>
            <w:r>
              <w:rPr>
                <w:snapToGrid w:val="0"/>
                <w:spacing w:val="-2"/>
                <w:sz w:val="19"/>
                <w:lang w:val="en-US"/>
              </w:rPr>
              <w:br/>
              <w:t>Regulations other than r. 1 and 2: 29 May 2010 (see r. 2(b))</w:t>
            </w:r>
          </w:p>
        </w:tc>
      </w:tr>
      <w:tr>
        <w:trPr>
          <w:cantSplit/>
        </w:trPr>
        <w:tc>
          <w:tcPr>
            <w:tcW w:w="3119" w:type="dxa"/>
          </w:tcPr>
          <w:p>
            <w:pPr>
              <w:pStyle w:val="nTable"/>
              <w:spacing w:before="36" w:after="40"/>
              <w:ind w:right="113"/>
              <w:rPr>
                <w:i/>
                <w:sz w:val="19"/>
              </w:rPr>
            </w:pPr>
            <w:r>
              <w:rPr>
                <w:i/>
                <w:sz w:val="19"/>
              </w:rPr>
              <w:t>Fish Resources Management Amendment Regulations (No. 3) 2010</w:t>
            </w:r>
          </w:p>
        </w:tc>
        <w:tc>
          <w:tcPr>
            <w:tcW w:w="1276" w:type="dxa"/>
          </w:tcPr>
          <w:p>
            <w:pPr>
              <w:pStyle w:val="nTable"/>
              <w:spacing w:before="36" w:after="40"/>
              <w:rPr>
                <w:sz w:val="19"/>
              </w:rPr>
            </w:pPr>
            <w:r>
              <w:rPr>
                <w:sz w:val="19"/>
              </w:rPr>
              <w:t>23 Jul 2010 p. 3402-6</w:t>
            </w:r>
          </w:p>
        </w:tc>
        <w:tc>
          <w:tcPr>
            <w:tcW w:w="2693" w:type="dxa"/>
          </w:tcPr>
          <w:p>
            <w:pPr>
              <w:pStyle w:val="nTable"/>
              <w:spacing w:before="36" w:after="40"/>
              <w:rPr>
                <w:snapToGrid w:val="0"/>
                <w:spacing w:val="-2"/>
                <w:sz w:val="19"/>
                <w:lang w:val="en-US"/>
              </w:rPr>
            </w:pPr>
            <w:r>
              <w:rPr>
                <w:snapToGrid w:val="0"/>
                <w:spacing w:val="-2"/>
                <w:sz w:val="19"/>
                <w:lang w:val="en-US"/>
              </w:rPr>
              <w:t>r. 1 and 2: 23 Jul 2010 (see r. 2(a));</w:t>
            </w:r>
            <w:r>
              <w:rPr>
                <w:snapToGrid w:val="0"/>
                <w:spacing w:val="-2"/>
                <w:sz w:val="19"/>
                <w:lang w:val="en-US"/>
              </w:rPr>
              <w:br/>
              <w:t>Regulations other than r. 1 and 2: 24 Jul 2010 (see r. 2(b))</w:t>
            </w:r>
          </w:p>
        </w:tc>
      </w:tr>
      <w:tr>
        <w:trPr>
          <w:cantSplit/>
        </w:trPr>
        <w:tc>
          <w:tcPr>
            <w:tcW w:w="3119" w:type="dxa"/>
          </w:tcPr>
          <w:p>
            <w:pPr>
              <w:pStyle w:val="nTable"/>
              <w:spacing w:before="36" w:after="40"/>
              <w:ind w:right="113"/>
              <w:rPr>
                <w:i/>
                <w:sz w:val="19"/>
              </w:rPr>
            </w:pPr>
            <w:r>
              <w:rPr>
                <w:i/>
                <w:sz w:val="19"/>
              </w:rPr>
              <w:t>Fish Resources Management Amendment Regulations (No. 6) 2010</w:t>
            </w:r>
          </w:p>
        </w:tc>
        <w:tc>
          <w:tcPr>
            <w:tcW w:w="1276" w:type="dxa"/>
          </w:tcPr>
          <w:p>
            <w:pPr>
              <w:pStyle w:val="nTable"/>
              <w:spacing w:before="36" w:after="40"/>
              <w:rPr>
                <w:sz w:val="19"/>
              </w:rPr>
            </w:pPr>
            <w:r>
              <w:rPr>
                <w:sz w:val="19"/>
              </w:rPr>
              <w:t>27 Aug 2010 p. 4106-11</w:t>
            </w:r>
          </w:p>
        </w:tc>
        <w:tc>
          <w:tcPr>
            <w:tcW w:w="2693" w:type="dxa"/>
          </w:tcPr>
          <w:p>
            <w:pPr>
              <w:pStyle w:val="nTable"/>
              <w:spacing w:before="36" w:after="40"/>
              <w:rPr>
                <w:snapToGrid w:val="0"/>
                <w:spacing w:val="-2"/>
                <w:sz w:val="19"/>
                <w:lang w:val="en-US"/>
              </w:rPr>
            </w:pPr>
            <w:r>
              <w:rPr>
                <w:snapToGrid w:val="0"/>
                <w:spacing w:val="-2"/>
                <w:sz w:val="19"/>
                <w:lang w:val="en-US"/>
              </w:rPr>
              <w:t>r. 1 and 2: 27 Aug 2010 (see r. 2(a));</w:t>
            </w:r>
            <w:r>
              <w:rPr>
                <w:snapToGrid w:val="0"/>
                <w:spacing w:val="-2"/>
                <w:sz w:val="19"/>
                <w:lang w:val="en-US"/>
              </w:rPr>
              <w:br/>
              <w:t>Regulations other than r. 1 and 2: 28 Aug 2010 (see r. 2(b))</w:t>
            </w:r>
          </w:p>
        </w:tc>
      </w:tr>
      <w:tr>
        <w:trPr>
          <w:cantSplit/>
        </w:trPr>
        <w:tc>
          <w:tcPr>
            <w:tcW w:w="3119" w:type="dxa"/>
          </w:tcPr>
          <w:p>
            <w:pPr>
              <w:pStyle w:val="nTable"/>
              <w:spacing w:before="36" w:after="40"/>
              <w:ind w:right="113"/>
              <w:rPr>
                <w:i/>
                <w:sz w:val="19"/>
              </w:rPr>
            </w:pPr>
            <w:r>
              <w:rPr>
                <w:i/>
                <w:sz w:val="19"/>
              </w:rPr>
              <w:t>Fish Resources Management Amendment Regulations (No. 7) 2010</w:t>
            </w:r>
          </w:p>
        </w:tc>
        <w:tc>
          <w:tcPr>
            <w:tcW w:w="1276" w:type="dxa"/>
          </w:tcPr>
          <w:p>
            <w:pPr>
              <w:pStyle w:val="nTable"/>
              <w:spacing w:before="36" w:after="40"/>
              <w:rPr>
                <w:sz w:val="19"/>
              </w:rPr>
            </w:pPr>
            <w:r>
              <w:rPr>
                <w:sz w:val="19"/>
              </w:rPr>
              <w:t>10 Sep 2010 p. 4347</w:t>
            </w:r>
          </w:p>
        </w:tc>
        <w:tc>
          <w:tcPr>
            <w:tcW w:w="2693" w:type="dxa"/>
          </w:tcPr>
          <w:p>
            <w:pPr>
              <w:pStyle w:val="nTable"/>
              <w:spacing w:before="36" w:after="40"/>
              <w:rPr>
                <w:snapToGrid w:val="0"/>
                <w:spacing w:val="-2"/>
                <w:sz w:val="19"/>
                <w:lang w:val="en-US"/>
              </w:rPr>
            </w:pPr>
            <w:r>
              <w:rPr>
                <w:snapToGrid w:val="0"/>
                <w:spacing w:val="-2"/>
                <w:sz w:val="19"/>
                <w:lang w:val="en-US"/>
              </w:rPr>
              <w:t>r. 1 and 2: 10 Sep 2010 (see r. 2(a));</w:t>
            </w:r>
            <w:r>
              <w:rPr>
                <w:snapToGrid w:val="0"/>
                <w:spacing w:val="-2"/>
                <w:sz w:val="19"/>
                <w:lang w:val="en-US"/>
              </w:rPr>
              <w:br/>
              <w:t>Regulations other than r. 1 and 2: 11 Sep 2010 (see r. 2(b))</w:t>
            </w:r>
          </w:p>
        </w:tc>
      </w:tr>
      <w:tr>
        <w:trPr>
          <w:cantSplit/>
        </w:trPr>
        <w:tc>
          <w:tcPr>
            <w:tcW w:w="3119" w:type="dxa"/>
          </w:tcPr>
          <w:p>
            <w:pPr>
              <w:pStyle w:val="nTable"/>
              <w:spacing w:before="36" w:after="40"/>
              <w:ind w:right="113"/>
              <w:rPr>
                <w:i/>
                <w:sz w:val="19"/>
              </w:rPr>
            </w:pPr>
            <w:r>
              <w:rPr>
                <w:i/>
                <w:sz w:val="19"/>
              </w:rPr>
              <w:t>Fish Resources Management Amendment Regulations (No. 8) 2010</w:t>
            </w:r>
          </w:p>
        </w:tc>
        <w:tc>
          <w:tcPr>
            <w:tcW w:w="1276" w:type="dxa"/>
          </w:tcPr>
          <w:p>
            <w:pPr>
              <w:pStyle w:val="nTable"/>
              <w:spacing w:before="36" w:after="40"/>
              <w:rPr>
                <w:sz w:val="19"/>
              </w:rPr>
            </w:pPr>
            <w:r>
              <w:rPr>
                <w:sz w:val="19"/>
              </w:rPr>
              <w:t>8 Oct 2010 p. 5134</w:t>
            </w:r>
            <w:r>
              <w:rPr>
                <w:sz w:val="19"/>
              </w:rPr>
              <w:noBreakHyphen/>
              <w:t>5</w:t>
            </w:r>
          </w:p>
        </w:tc>
        <w:tc>
          <w:tcPr>
            <w:tcW w:w="2693" w:type="dxa"/>
          </w:tcPr>
          <w:p>
            <w:pPr>
              <w:pStyle w:val="nTable"/>
              <w:spacing w:before="36" w:after="40"/>
              <w:rPr>
                <w:snapToGrid w:val="0"/>
                <w:spacing w:val="-2"/>
                <w:sz w:val="19"/>
                <w:lang w:val="en-US"/>
              </w:rPr>
            </w:pPr>
            <w:r>
              <w:rPr>
                <w:snapToGrid w:val="0"/>
                <w:spacing w:val="-2"/>
                <w:sz w:val="19"/>
                <w:lang w:val="en-US"/>
              </w:rPr>
              <w:t>r. 1 and 2: 8 Oct 2010 (see r. 2(a));</w:t>
            </w:r>
            <w:r>
              <w:rPr>
                <w:snapToGrid w:val="0"/>
                <w:spacing w:val="-2"/>
                <w:sz w:val="19"/>
                <w:lang w:val="en-US"/>
              </w:rPr>
              <w:br/>
              <w:t>Regulations other than r. 1 and 2: 9 Oct 2010 (see r. 2(b))</w:t>
            </w:r>
          </w:p>
        </w:tc>
      </w:tr>
      <w:tr>
        <w:trPr>
          <w:cantSplit/>
        </w:trPr>
        <w:tc>
          <w:tcPr>
            <w:tcW w:w="3119" w:type="dxa"/>
          </w:tcPr>
          <w:p>
            <w:pPr>
              <w:pStyle w:val="nTable"/>
              <w:spacing w:before="36" w:after="40"/>
              <w:ind w:right="113"/>
              <w:rPr>
                <w:i/>
                <w:sz w:val="19"/>
              </w:rPr>
            </w:pPr>
            <w:r>
              <w:rPr>
                <w:i/>
                <w:sz w:val="19"/>
              </w:rPr>
              <w:t>Fish Resources Management Amendment Regulations (No. 9) 2010</w:t>
            </w:r>
          </w:p>
        </w:tc>
        <w:tc>
          <w:tcPr>
            <w:tcW w:w="1276" w:type="dxa"/>
          </w:tcPr>
          <w:p>
            <w:pPr>
              <w:pStyle w:val="nTable"/>
              <w:spacing w:before="36" w:after="40"/>
              <w:rPr>
                <w:sz w:val="19"/>
              </w:rPr>
            </w:pPr>
            <w:r>
              <w:rPr>
                <w:sz w:val="19"/>
              </w:rPr>
              <w:t>2 Dec 2010 p. 6031-4</w:t>
            </w:r>
          </w:p>
        </w:tc>
        <w:tc>
          <w:tcPr>
            <w:tcW w:w="2693" w:type="dxa"/>
          </w:tcPr>
          <w:p>
            <w:pPr>
              <w:pStyle w:val="nTable"/>
              <w:spacing w:before="36" w:after="40"/>
              <w:rPr>
                <w:snapToGrid w:val="0"/>
                <w:spacing w:val="-2"/>
                <w:sz w:val="19"/>
                <w:lang w:val="en-US"/>
              </w:rPr>
            </w:pPr>
            <w:r>
              <w:rPr>
                <w:snapToGrid w:val="0"/>
                <w:spacing w:val="-2"/>
                <w:sz w:val="19"/>
                <w:lang w:val="en-US"/>
              </w:rPr>
              <w:t>r. 1 and 2: 2 Dec 2010 (see r. 2(a));</w:t>
            </w:r>
            <w:r>
              <w:rPr>
                <w:snapToGrid w:val="0"/>
                <w:spacing w:val="-2"/>
                <w:sz w:val="19"/>
                <w:lang w:val="en-US"/>
              </w:rPr>
              <w:br/>
              <w:t>Regulations other than r. 1 and 2: 3 Dec 2010 (see r. 2(b))</w:t>
            </w:r>
          </w:p>
        </w:tc>
      </w:tr>
      <w:tr>
        <w:trPr>
          <w:cantSplit/>
        </w:trPr>
        <w:tc>
          <w:tcPr>
            <w:tcW w:w="3119" w:type="dxa"/>
          </w:tcPr>
          <w:p>
            <w:pPr>
              <w:pStyle w:val="nTable"/>
              <w:spacing w:before="36" w:after="40"/>
              <w:ind w:right="113"/>
              <w:rPr>
                <w:i/>
                <w:sz w:val="19"/>
              </w:rPr>
            </w:pPr>
            <w:r>
              <w:rPr>
                <w:i/>
                <w:sz w:val="19"/>
              </w:rPr>
              <w:t>Fish Resources Management Amendment Regulations 2011</w:t>
            </w:r>
          </w:p>
        </w:tc>
        <w:tc>
          <w:tcPr>
            <w:tcW w:w="1276" w:type="dxa"/>
          </w:tcPr>
          <w:p>
            <w:pPr>
              <w:pStyle w:val="nTable"/>
              <w:spacing w:before="36" w:after="40"/>
              <w:rPr>
                <w:sz w:val="19"/>
              </w:rPr>
            </w:pPr>
            <w:r>
              <w:rPr>
                <w:sz w:val="19"/>
              </w:rPr>
              <w:t>1 Mar 2011 p. 667</w:t>
            </w:r>
          </w:p>
        </w:tc>
        <w:tc>
          <w:tcPr>
            <w:tcW w:w="2693" w:type="dxa"/>
          </w:tcPr>
          <w:p>
            <w:pPr>
              <w:pStyle w:val="nTable"/>
              <w:spacing w:before="36" w:after="40"/>
              <w:rPr>
                <w:snapToGrid w:val="0"/>
                <w:spacing w:val="-2"/>
                <w:sz w:val="19"/>
                <w:lang w:val="en-US"/>
              </w:rPr>
            </w:pPr>
            <w:r>
              <w:rPr>
                <w:snapToGrid w:val="0"/>
                <w:spacing w:val="-2"/>
                <w:sz w:val="19"/>
                <w:lang w:val="en-US"/>
              </w:rPr>
              <w:t>r. 1 and 2: 1 Mar 2011 (see r. 2(a));</w:t>
            </w:r>
            <w:r>
              <w:rPr>
                <w:snapToGrid w:val="0"/>
                <w:spacing w:val="-2"/>
                <w:sz w:val="19"/>
                <w:lang w:val="en-US"/>
              </w:rPr>
              <w:br/>
              <w:t>Regulations other than r. 1 and 2: 2 Mar 2011 (see r. 2(b))</w:t>
            </w:r>
          </w:p>
        </w:tc>
      </w:tr>
      <w:tr>
        <w:trPr>
          <w:cantSplit/>
        </w:trPr>
        <w:tc>
          <w:tcPr>
            <w:tcW w:w="3119" w:type="dxa"/>
          </w:tcPr>
          <w:p>
            <w:pPr>
              <w:pStyle w:val="nTable"/>
              <w:spacing w:before="36" w:after="40"/>
              <w:ind w:right="113"/>
              <w:rPr>
                <w:i/>
                <w:sz w:val="19"/>
              </w:rPr>
            </w:pPr>
            <w:r>
              <w:rPr>
                <w:i/>
                <w:sz w:val="19"/>
              </w:rPr>
              <w:t>Fish Resources Management Amendment Regulations (No. 2) 2011</w:t>
            </w:r>
          </w:p>
        </w:tc>
        <w:tc>
          <w:tcPr>
            <w:tcW w:w="1276" w:type="dxa"/>
          </w:tcPr>
          <w:p>
            <w:pPr>
              <w:pStyle w:val="nTable"/>
              <w:spacing w:before="36" w:after="40"/>
              <w:rPr>
                <w:sz w:val="19"/>
              </w:rPr>
            </w:pPr>
            <w:r>
              <w:rPr>
                <w:sz w:val="19"/>
              </w:rPr>
              <w:t>1 Mar 2011 p. 668</w:t>
            </w:r>
            <w:r>
              <w:rPr>
                <w:sz w:val="19"/>
              </w:rPr>
              <w:noBreakHyphen/>
              <w:t>73</w:t>
            </w:r>
          </w:p>
        </w:tc>
        <w:tc>
          <w:tcPr>
            <w:tcW w:w="2693" w:type="dxa"/>
          </w:tcPr>
          <w:p>
            <w:pPr>
              <w:pStyle w:val="nTable"/>
              <w:spacing w:before="36" w:after="40"/>
              <w:rPr>
                <w:snapToGrid w:val="0"/>
                <w:spacing w:val="-2"/>
                <w:sz w:val="19"/>
                <w:lang w:val="en-US"/>
              </w:rPr>
            </w:pPr>
            <w:r>
              <w:rPr>
                <w:snapToGrid w:val="0"/>
                <w:spacing w:val="-2"/>
                <w:sz w:val="19"/>
                <w:lang w:val="en-US"/>
              </w:rPr>
              <w:t>r. 1 and 2: 1 Mar 2011 (see r. 2(a));</w:t>
            </w:r>
            <w:r>
              <w:rPr>
                <w:snapToGrid w:val="0"/>
                <w:spacing w:val="-2"/>
                <w:sz w:val="19"/>
                <w:lang w:val="en-US"/>
              </w:rPr>
              <w:br/>
              <w:t>Regulations other than r. 1 and 2: 2 Mar 2011 (see r. 2(b))</w:t>
            </w:r>
          </w:p>
        </w:tc>
      </w:tr>
      <w:tr>
        <w:trPr>
          <w:cantSplit/>
        </w:trPr>
        <w:tc>
          <w:tcPr>
            <w:tcW w:w="3119" w:type="dxa"/>
          </w:tcPr>
          <w:p>
            <w:pPr>
              <w:pStyle w:val="nTable"/>
              <w:spacing w:before="36" w:after="40"/>
              <w:ind w:right="113"/>
              <w:rPr>
                <w:i/>
                <w:sz w:val="19"/>
              </w:rPr>
            </w:pPr>
            <w:r>
              <w:rPr>
                <w:i/>
                <w:sz w:val="19"/>
              </w:rPr>
              <w:t>Fish Resources Management Amendment Regulations (No. 3) 2011</w:t>
            </w:r>
          </w:p>
        </w:tc>
        <w:tc>
          <w:tcPr>
            <w:tcW w:w="1276" w:type="dxa"/>
          </w:tcPr>
          <w:p>
            <w:pPr>
              <w:pStyle w:val="nTable"/>
              <w:spacing w:before="36" w:after="40"/>
              <w:rPr>
                <w:sz w:val="19"/>
              </w:rPr>
            </w:pPr>
            <w:r>
              <w:rPr>
                <w:sz w:val="19"/>
              </w:rPr>
              <w:t>1 Mar 2011 p. 673</w:t>
            </w:r>
            <w:r>
              <w:rPr>
                <w:sz w:val="19"/>
              </w:rPr>
              <w:noBreakHyphen/>
              <w:t>5</w:t>
            </w:r>
          </w:p>
        </w:tc>
        <w:tc>
          <w:tcPr>
            <w:tcW w:w="2693" w:type="dxa"/>
          </w:tcPr>
          <w:p>
            <w:pPr>
              <w:pStyle w:val="nTable"/>
              <w:spacing w:before="36" w:after="40"/>
              <w:rPr>
                <w:snapToGrid w:val="0"/>
                <w:spacing w:val="-2"/>
                <w:sz w:val="19"/>
                <w:lang w:val="en-US"/>
              </w:rPr>
            </w:pPr>
            <w:r>
              <w:rPr>
                <w:snapToGrid w:val="0"/>
                <w:spacing w:val="-2"/>
                <w:sz w:val="19"/>
                <w:lang w:val="en-US"/>
              </w:rPr>
              <w:t>r. 1 and 2: 1 Mar 2011 (see r. 2(a));</w:t>
            </w:r>
            <w:r>
              <w:rPr>
                <w:snapToGrid w:val="0"/>
                <w:spacing w:val="-2"/>
                <w:sz w:val="19"/>
                <w:lang w:val="en-US"/>
              </w:rPr>
              <w:br/>
              <w:t>Regulations other than r. 1 and 2: 2 Mar 2011 (see r. 2(b))</w:t>
            </w:r>
          </w:p>
        </w:tc>
      </w:tr>
      <w:tr>
        <w:trPr>
          <w:cantSplit/>
        </w:trPr>
        <w:tc>
          <w:tcPr>
            <w:tcW w:w="3119" w:type="dxa"/>
            <w:shd w:val="clear" w:color="auto" w:fill="auto"/>
          </w:tcPr>
          <w:p>
            <w:pPr>
              <w:pStyle w:val="nTable"/>
              <w:spacing w:before="36" w:after="40"/>
              <w:ind w:right="113"/>
              <w:rPr>
                <w:i/>
                <w:sz w:val="19"/>
              </w:rPr>
            </w:pPr>
            <w:r>
              <w:rPr>
                <w:i/>
                <w:sz w:val="19"/>
              </w:rPr>
              <w:t>Fish Resources Management Amendment Regulations (No. 4) 2011</w:t>
            </w:r>
          </w:p>
        </w:tc>
        <w:tc>
          <w:tcPr>
            <w:tcW w:w="1276" w:type="dxa"/>
            <w:shd w:val="clear" w:color="auto" w:fill="auto"/>
          </w:tcPr>
          <w:p>
            <w:pPr>
              <w:pStyle w:val="nTable"/>
              <w:spacing w:before="36" w:after="40"/>
              <w:rPr>
                <w:sz w:val="19"/>
              </w:rPr>
            </w:pPr>
            <w:r>
              <w:rPr>
                <w:sz w:val="19"/>
              </w:rPr>
              <w:t>29 Mar 2011 p. 1151</w:t>
            </w:r>
            <w:r>
              <w:rPr>
                <w:sz w:val="19"/>
              </w:rPr>
              <w:noBreakHyphen/>
              <w:t>3</w:t>
            </w:r>
          </w:p>
        </w:tc>
        <w:tc>
          <w:tcPr>
            <w:tcW w:w="2693" w:type="dxa"/>
            <w:shd w:val="clear" w:color="auto" w:fill="auto"/>
          </w:tcPr>
          <w:p>
            <w:pPr>
              <w:pStyle w:val="nTable"/>
              <w:spacing w:before="36" w:after="40"/>
              <w:rPr>
                <w:snapToGrid w:val="0"/>
                <w:spacing w:val="-2"/>
                <w:sz w:val="19"/>
                <w:lang w:val="en-US"/>
              </w:rPr>
            </w:pPr>
            <w:r>
              <w:rPr>
                <w:snapToGrid w:val="0"/>
                <w:spacing w:val="-2"/>
                <w:sz w:val="19"/>
                <w:lang w:val="en-US"/>
              </w:rPr>
              <w:t>r. 1 and 2: 29 Mar 2011 (see r. 2(a));</w:t>
            </w:r>
            <w:r>
              <w:rPr>
                <w:snapToGrid w:val="0"/>
                <w:spacing w:val="-2"/>
                <w:sz w:val="19"/>
                <w:lang w:val="en-US"/>
              </w:rPr>
              <w:br/>
              <w:t>Regulations other than r. 1 and 2: 30 Mar 2011 (see r. 2(b))</w:t>
            </w:r>
          </w:p>
        </w:tc>
      </w:tr>
      <w:tr>
        <w:trPr>
          <w:cantSplit/>
        </w:trPr>
        <w:tc>
          <w:tcPr>
            <w:tcW w:w="3119" w:type="dxa"/>
            <w:shd w:val="clear" w:color="auto" w:fill="auto"/>
          </w:tcPr>
          <w:p>
            <w:pPr>
              <w:pStyle w:val="nTable"/>
              <w:spacing w:before="36" w:after="40"/>
              <w:ind w:right="113"/>
              <w:rPr>
                <w:i/>
                <w:sz w:val="19"/>
              </w:rPr>
            </w:pPr>
            <w:r>
              <w:rPr>
                <w:i/>
                <w:sz w:val="19"/>
              </w:rPr>
              <w:t>Fish Resources Management Amendment Regulations (No. 5) 2011</w:t>
            </w:r>
          </w:p>
        </w:tc>
        <w:tc>
          <w:tcPr>
            <w:tcW w:w="1276" w:type="dxa"/>
            <w:shd w:val="clear" w:color="auto" w:fill="auto"/>
          </w:tcPr>
          <w:p>
            <w:pPr>
              <w:pStyle w:val="nTable"/>
              <w:spacing w:before="36" w:after="40"/>
              <w:rPr>
                <w:sz w:val="19"/>
              </w:rPr>
            </w:pPr>
            <w:r>
              <w:rPr>
                <w:sz w:val="19"/>
              </w:rPr>
              <w:t>6 May 2011 p. 1609</w:t>
            </w:r>
            <w:r>
              <w:rPr>
                <w:sz w:val="19"/>
              </w:rPr>
              <w:noBreakHyphen/>
              <w:t>12</w:t>
            </w:r>
          </w:p>
        </w:tc>
        <w:tc>
          <w:tcPr>
            <w:tcW w:w="2693" w:type="dxa"/>
            <w:shd w:val="clear" w:color="auto" w:fill="auto"/>
          </w:tcPr>
          <w:p>
            <w:pPr>
              <w:pStyle w:val="nTable"/>
              <w:spacing w:before="36" w:after="40"/>
              <w:rPr>
                <w:snapToGrid w:val="0"/>
                <w:spacing w:val="-2"/>
                <w:sz w:val="19"/>
                <w:lang w:val="en-US"/>
              </w:rPr>
            </w:pPr>
            <w:r>
              <w:rPr>
                <w:snapToGrid w:val="0"/>
                <w:spacing w:val="-2"/>
                <w:sz w:val="19"/>
                <w:lang w:val="en-US"/>
              </w:rPr>
              <w:t>r. 1 and 2: 6 May 2011 (see r. 2(a));</w:t>
            </w:r>
            <w:r>
              <w:rPr>
                <w:snapToGrid w:val="0"/>
                <w:spacing w:val="-2"/>
                <w:sz w:val="19"/>
                <w:lang w:val="en-US"/>
              </w:rPr>
              <w:br/>
              <w:t>Regulations other than r. 1 and 2: 1 Jul 2011 (see r. 2(b))</w:t>
            </w:r>
          </w:p>
        </w:tc>
      </w:tr>
      <w:tr>
        <w:trPr>
          <w:cantSplit/>
        </w:trPr>
        <w:tc>
          <w:tcPr>
            <w:tcW w:w="3119" w:type="dxa"/>
            <w:shd w:val="clear" w:color="auto" w:fill="auto"/>
          </w:tcPr>
          <w:p>
            <w:pPr>
              <w:pStyle w:val="nTable"/>
              <w:spacing w:before="36" w:after="40"/>
              <w:ind w:right="113"/>
              <w:rPr>
                <w:i/>
                <w:sz w:val="19"/>
              </w:rPr>
            </w:pPr>
            <w:r>
              <w:rPr>
                <w:i/>
                <w:sz w:val="19"/>
              </w:rPr>
              <w:t>Fish Resources Management Amendment Regulations (No. 7) 2011</w:t>
            </w:r>
            <w:r>
              <w:rPr>
                <w:sz w:val="19"/>
              </w:rPr>
              <w:t xml:space="preserve"> Pt. 2</w:t>
            </w:r>
          </w:p>
        </w:tc>
        <w:tc>
          <w:tcPr>
            <w:tcW w:w="1276" w:type="dxa"/>
            <w:shd w:val="clear" w:color="auto" w:fill="auto"/>
          </w:tcPr>
          <w:p>
            <w:pPr>
              <w:pStyle w:val="nTable"/>
              <w:spacing w:before="36" w:after="40"/>
              <w:rPr>
                <w:sz w:val="19"/>
              </w:rPr>
            </w:pPr>
            <w:r>
              <w:rPr>
                <w:sz w:val="19"/>
              </w:rPr>
              <w:t>1 Jul 2011 p. 2721</w:t>
            </w:r>
            <w:r>
              <w:rPr>
                <w:sz w:val="19"/>
              </w:rPr>
              <w:noBreakHyphen/>
              <w:t>3</w:t>
            </w:r>
          </w:p>
        </w:tc>
        <w:tc>
          <w:tcPr>
            <w:tcW w:w="2693" w:type="dxa"/>
            <w:shd w:val="clear" w:color="auto" w:fill="auto"/>
          </w:tcPr>
          <w:p>
            <w:pPr>
              <w:pStyle w:val="nTable"/>
              <w:spacing w:before="36" w:after="40"/>
              <w:rPr>
                <w:snapToGrid w:val="0"/>
                <w:spacing w:val="-2"/>
                <w:sz w:val="19"/>
                <w:lang w:val="en-US"/>
              </w:rPr>
            </w:pPr>
            <w:r>
              <w:rPr>
                <w:sz w:val="19"/>
              </w:rPr>
              <w:t>1 Jul 2011 (see r. 2(b))</w:t>
            </w:r>
          </w:p>
        </w:tc>
      </w:tr>
      <w:tr>
        <w:trPr>
          <w:cantSplit/>
        </w:trPr>
        <w:tc>
          <w:tcPr>
            <w:tcW w:w="7088" w:type="dxa"/>
            <w:gridSpan w:val="3"/>
            <w:shd w:val="clear" w:color="auto" w:fill="auto"/>
          </w:tcPr>
          <w:p>
            <w:pPr>
              <w:pStyle w:val="nTable"/>
              <w:spacing w:before="36" w:after="40"/>
              <w:rPr>
                <w:snapToGrid w:val="0"/>
                <w:spacing w:val="-2"/>
                <w:sz w:val="19"/>
                <w:lang w:val="en-US"/>
              </w:rPr>
            </w:pPr>
            <w:r>
              <w:rPr>
                <w:b/>
                <w:sz w:val="19"/>
              </w:rPr>
              <w:t xml:space="preserve">Reprint 10: The </w:t>
            </w:r>
            <w:r>
              <w:rPr>
                <w:b/>
                <w:i/>
                <w:sz w:val="19"/>
              </w:rPr>
              <w:t>Fish Resources Management Regulations 1995</w:t>
            </w:r>
            <w:r>
              <w:rPr>
                <w:b/>
                <w:sz w:val="19"/>
              </w:rPr>
              <w:t xml:space="preserve"> as at 4 Jul 2011</w:t>
            </w:r>
            <w:r>
              <w:rPr>
                <w:b/>
                <w:sz w:val="19"/>
              </w:rPr>
              <w:br/>
            </w:r>
            <w:r>
              <w:rPr>
                <w:sz w:val="19"/>
              </w:rPr>
              <w:t>(includes amendments listed above)</w:t>
            </w:r>
          </w:p>
        </w:tc>
      </w:tr>
      <w:tr>
        <w:trPr>
          <w:cantSplit/>
        </w:trPr>
        <w:tc>
          <w:tcPr>
            <w:tcW w:w="3119" w:type="dxa"/>
            <w:shd w:val="clear" w:color="auto" w:fill="auto"/>
          </w:tcPr>
          <w:p>
            <w:pPr>
              <w:pStyle w:val="nTable"/>
              <w:spacing w:before="36" w:after="40"/>
              <w:ind w:right="113"/>
              <w:rPr>
                <w:i/>
                <w:sz w:val="19"/>
              </w:rPr>
            </w:pPr>
            <w:r>
              <w:rPr>
                <w:i/>
                <w:sz w:val="19"/>
              </w:rPr>
              <w:t>Fish Resources Management Amendment Regulations (No. 6) 2011</w:t>
            </w:r>
          </w:p>
        </w:tc>
        <w:tc>
          <w:tcPr>
            <w:tcW w:w="1276" w:type="dxa"/>
            <w:shd w:val="clear" w:color="auto" w:fill="auto"/>
          </w:tcPr>
          <w:p>
            <w:pPr>
              <w:pStyle w:val="nTable"/>
              <w:spacing w:before="36" w:after="40"/>
              <w:rPr>
                <w:sz w:val="19"/>
              </w:rPr>
            </w:pPr>
            <w:r>
              <w:rPr>
                <w:sz w:val="19"/>
              </w:rPr>
              <w:t>2 Aug 2011 p. 3166-8</w:t>
            </w:r>
          </w:p>
        </w:tc>
        <w:tc>
          <w:tcPr>
            <w:tcW w:w="2693" w:type="dxa"/>
            <w:shd w:val="clear" w:color="auto" w:fill="auto"/>
          </w:tcPr>
          <w:p>
            <w:pPr>
              <w:pStyle w:val="nTable"/>
              <w:spacing w:before="36" w:after="40"/>
              <w:rPr>
                <w:snapToGrid w:val="0"/>
                <w:spacing w:val="-2"/>
                <w:sz w:val="19"/>
                <w:lang w:val="en-US"/>
              </w:rPr>
            </w:pPr>
            <w:r>
              <w:rPr>
                <w:snapToGrid w:val="0"/>
                <w:spacing w:val="-2"/>
                <w:sz w:val="19"/>
                <w:lang w:val="en-US"/>
              </w:rPr>
              <w:t>r. 1 and 2: 2 Aug 2011 (see r. 2(a));</w:t>
            </w:r>
            <w:r>
              <w:rPr>
                <w:snapToGrid w:val="0"/>
                <w:spacing w:val="-2"/>
                <w:sz w:val="19"/>
                <w:lang w:val="en-US"/>
              </w:rPr>
              <w:br/>
              <w:t>Regulations other than r. 1 and 2: 3 Aug 2011 (see r. 2(b))</w:t>
            </w:r>
          </w:p>
        </w:tc>
      </w:tr>
      <w:tr>
        <w:trPr>
          <w:cantSplit/>
        </w:trPr>
        <w:tc>
          <w:tcPr>
            <w:tcW w:w="3119" w:type="dxa"/>
            <w:shd w:val="clear" w:color="auto" w:fill="auto"/>
          </w:tcPr>
          <w:p>
            <w:pPr>
              <w:pStyle w:val="nTable"/>
              <w:spacing w:before="36" w:after="40"/>
              <w:ind w:right="113"/>
              <w:rPr>
                <w:i/>
                <w:sz w:val="19"/>
              </w:rPr>
            </w:pPr>
            <w:r>
              <w:rPr>
                <w:i/>
                <w:sz w:val="19"/>
              </w:rPr>
              <w:t>Fish Resources Management Amendment Regulations (No. 8) 2011</w:t>
            </w:r>
          </w:p>
        </w:tc>
        <w:tc>
          <w:tcPr>
            <w:tcW w:w="1276" w:type="dxa"/>
            <w:shd w:val="clear" w:color="auto" w:fill="auto"/>
          </w:tcPr>
          <w:p>
            <w:pPr>
              <w:pStyle w:val="nTable"/>
              <w:spacing w:before="36" w:after="40"/>
              <w:rPr>
                <w:sz w:val="19"/>
              </w:rPr>
            </w:pPr>
            <w:r>
              <w:rPr>
                <w:sz w:val="19"/>
              </w:rPr>
              <w:t>2 Aug 2011 p. 3168-9</w:t>
            </w:r>
          </w:p>
        </w:tc>
        <w:tc>
          <w:tcPr>
            <w:tcW w:w="2693" w:type="dxa"/>
            <w:shd w:val="clear" w:color="auto" w:fill="auto"/>
          </w:tcPr>
          <w:p>
            <w:pPr>
              <w:pStyle w:val="nTable"/>
              <w:spacing w:before="36" w:after="40"/>
              <w:rPr>
                <w:snapToGrid w:val="0"/>
                <w:spacing w:val="-2"/>
                <w:sz w:val="19"/>
                <w:lang w:val="en-US"/>
              </w:rPr>
            </w:pPr>
            <w:r>
              <w:rPr>
                <w:snapToGrid w:val="0"/>
                <w:spacing w:val="-2"/>
                <w:sz w:val="19"/>
                <w:lang w:val="en-US"/>
              </w:rPr>
              <w:t>r. 1 and 2: 2 Aug 2011 (see r. 2(a));</w:t>
            </w:r>
            <w:r>
              <w:rPr>
                <w:snapToGrid w:val="0"/>
                <w:spacing w:val="-2"/>
                <w:sz w:val="19"/>
                <w:lang w:val="en-US"/>
              </w:rPr>
              <w:br/>
              <w:t>Regulations other than r. 1 and 2: 3 Aug 2011 (see r. 2(b))</w:t>
            </w:r>
          </w:p>
        </w:tc>
      </w:tr>
      <w:tr>
        <w:trPr>
          <w:cantSplit/>
        </w:trPr>
        <w:tc>
          <w:tcPr>
            <w:tcW w:w="3119" w:type="dxa"/>
            <w:shd w:val="clear" w:color="auto" w:fill="auto"/>
          </w:tcPr>
          <w:p>
            <w:pPr>
              <w:pStyle w:val="nTable"/>
              <w:spacing w:before="36" w:after="40"/>
              <w:ind w:right="113"/>
              <w:rPr>
                <w:i/>
                <w:sz w:val="19"/>
              </w:rPr>
            </w:pPr>
            <w:r>
              <w:rPr>
                <w:i/>
                <w:sz w:val="19"/>
              </w:rPr>
              <w:t>Fish Resources Management Amendment Regulations (No. 10) 2011</w:t>
            </w:r>
          </w:p>
        </w:tc>
        <w:tc>
          <w:tcPr>
            <w:tcW w:w="1276" w:type="dxa"/>
            <w:shd w:val="clear" w:color="auto" w:fill="auto"/>
          </w:tcPr>
          <w:p>
            <w:pPr>
              <w:pStyle w:val="nTable"/>
              <w:spacing w:before="36" w:after="40"/>
              <w:rPr>
                <w:sz w:val="19"/>
              </w:rPr>
            </w:pPr>
            <w:r>
              <w:rPr>
                <w:sz w:val="19"/>
              </w:rPr>
              <w:t>24 Aug 2011 p. 3405-9</w:t>
            </w:r>
          </w:p>
        </w:tc>
        <w:tc>
          <w:tcPr>
            <w:tcW w:w="2693" w:type="dxa"/>
            <w:shd w:val="clear" w:color="auto" w:fill="auto"/>
          </w:tcPr>
          <w:p>
            <w:pPr>
              <w:pStyle w:val="nTable"/>
              <w:spacing w:before="36" w:after="40"/>
              <w:rPr>
                <w:snapToGrid w:val="0"/>
                <w:spacing w:val="-2"/>
                <w:sz w:val="19"/>
                <w:lang w:val="en-US"/>
              </w:rPr>
            </w:pPr>
            <w:r>
              <w:rPr>
                <w:snapToGrid w:val="0"/>
                <w:spacing w:val="-2"/>
                <w:sz w:val="19"/>
                <w:lang w:val="en-US"/>
              </w:rPr>
              <w:t>r. 1 and 2: 24 Aug 2011 (see r. 2(a));</w:t>
            </w:r>
            <w:r>
              <w:rPr>
                <w:snapToGrid w:val="0"/>
                <w:spacing w:val="-2"/>
                <w:sz w:val="19"/>
                <w:lang w:val="en-US"/>
              </w:rPr>
              <w:br/>
              <w:t>Regulations other than r. 1 and 2: 25 Aug 2011 (see r. 2(b))</w:t>
            </w:r>
          </w:p>
        </w:tc>
      </w:tr>
      <w:tr>
        <w:trPr>
          <w:cantSplit/>
        </w:trPr>
        <w:tc>
          <w:tcPr>
            <w:tcW w:w="3119" w:type="dxa"/>
            <w:shd w:val="clear" w:color="auto" w:fill="auto"/>
          </w:tcPr>
          <w:p>
            <w:pPr>
              <w:pStyle w:val="nTable"/>
              <w:spacing w:before="36" w:after="40"/>
              <w:ind w:right="113"/>
              <w:rPr>
                <w:i/>
                <w:sz w:val="19"/>
              </w:rPr>
            </w:pPr>
            <w:r>
              <w:rPr>
                <w:i/>
                <w:sz w:val="19"/>
              </w:rPr>
              <w:t>Fish Resources Management Amendment Regulations (No. 11) 2011</w:t>
            </w:r>
          </w:p>
        </w:tc>
        <w:tc>
          <w:tcPr>
            <w:tcW w:w="1276" w:type="dxa"/>
            <w:shd w:val="clear" w:color="auto" w:fill="auto"/>
          </w:tcPr>
          <w:p>
            <w:pPr>
              <w:pStyle w:val="nTable"/>
              <w:spacing w:before="36" w:after="40"/>
              <w:rPr>
                <w:sz w:val="19"/>
              </w:rPr>
            </w:pPr>
            <w:r>
              <w:rPr>
                <w:sz w:val="19"/>
              </w:rPr>
              <w:t>9 Sep 2011 p. 3682</w:t>
            </w:r>
            <w:r>
              <w:rPr>
                <w:sz w:val="19"/>
              </w:rPr>
              <w:noBreakHyphen/>
              <w:t>3</w:t>
            </w:r>
          </w:p>
        </w:tc>
        <w:tc>
          <w:tcPr>
            <w:tcW w:w="2693" w:type="dxa"/>
            <w:shd w:val="clear" w:color="auto" w:fill="auto"/>
          </w:tcPr>
          <w:p>
            <w:pPr>
              <w:pStyle w:val="nTable"/>
              <w:spacing w:before="36" w:after="40"/>
              <w:rPr>
                <w:snapToGrid w:val="0"/>
                <w:spacing w:val="-2"/>
                <w:sz w:val="19"/>
                <w:lang w:val="en-US"/>
              </w:rPr>
            </w:pPr>
            <w:r>
              <w:rPr>
                <w:snapToGrid w:val="0"/>
                <w:spacing w:val="-2"/>
                <w:sz w:val="19"/>
                <w:lang w:val="en-US"/>
              </w:rPr>
              <w:t>r. 1 and 2: 9 Sep 2011 (see r. 2(a));</w:t>
            </w:r>
            <w:r>
              <w:rPr>
                <w:snapToGrid w:val="0"/>
                <w:spacing w:val="-2"/>
                <w:sz w:val="19"/>
                <w:lang w:val="en-US"/>
              </w:rPr>
              <w:br/>
              <w:t>Regulations other than r. 1 and 2: 10 Sep 2011 (see r. 2(b))</w:t>
            </w:r>
          </w:p>
        </w:tc>
      </w:tr>
      <w:tr>
        <w:trPr>
          <w:cantSplit/>
        </w:trPr>
        <w:tc>
          <w:tcPr>
            <w:tcW w:w="3119" w:type="dxa"/>
            <w:shd w:val="clear" w:color="auto" w:fill="auto"/>
          </w:tcPr>
          <w:p>
            <w:pPr>
              <w:pStyle w:val="nTable"/>
              <w:spacing w:before="36" w:after="40"/>
              <w:ind w:right="113"/>
              <w:rPr>
                <w:i/>
                <w:sz w:val="19"/>
              </w:rPr>
            </w:pPr>
            <w:r>
              <w:rPr>
                <w:i/>
                <w:sz w:val="19"/>
              </w:rPr>
              <w:t>Fish Resources Management Amendment Regulations (No. 9) 2011</w:t>
            </w:r>
          </w:p>
        </w:tc>
        <w:tc>
          <w:tcPr>
            <w:tcW w:w="1276" w:type="dxa"/>
            <w:shd w:val="clear" w:color="auto" w:fill="auto"/>
          </w:tcPr>
          <w:p>
            <w:pPr>
              <w:pStyle w:val="nTable"/>
              <w:spacing w:before="36" w:after="40"/>
              <w:rPr>
                <w:sz w:val="19"/>
              </w:rPr>
            </w:pPr>
            <w:r>
              <w:rPr>
                <w:sz w:val="19"/>
              </w:rPr>
              <w:t>2 Nov 2011 p. 4619-25</w:t>
            </w:r>
          </w:p>
        </w:tc>
        <w:tc>
          <w:tcPr>
            <w:tcW w:w="2693" w:type="dxa"/>
            <w:shd w:val="clear" w:color="auto" w:fill="auto"/>
          </w:tcPr>
          <w:p>
            <w:pPr>
              <w:pStyle w:val="nTable"/>
              <w:spacing w:before="36" w:after="40"/>
              <w:rPr>
                <w:snapToGrid w:val="0"/>
                <w:spacing w:val="-2"/>
                <w:sz w:val="19"/>
                <w:lang w:val="en-US"/>
              </w:rPr>
            </w:pPr>
            <w:r>
              <w:rPr>
                <w:snapToGrid w:val="0"/>
                <w:spacing w:val="-2"/>
                <w:sz w:val="19"/>
                <w:lang w:val="en-US"/>
              </w:rPr>
              <w:t>r. 1 and 2: 2 Nov 2011 (see r. 2(a));</w:t>
            </w:r>
            <w:r>
              <w:rPr>
                <w:snapToGrid w:val="0"/>
                <w:spacing w:val="-2"/>
                <w:sz w:val="19"/>
                <w:lang w:val="en-US"/>
              </w:rPr>
              <w:br/>
              <w:t>Regulations other than r. 1, 2 and 9: 3 Nov 2011 (see r. 2(c));</w:t>
            </w:r>
            <w:r>
              <w:rPr>
                <w:snapToGrid w:val="0"/>
                <w:spacing w:val="-2"/>
                <w:sz w:val="19"/>
                <w:lang w:val="en-US"/>
              </w:rPr>
              <w:br/>
              <w:t>r. 9: 15 Nov 2011 (see r. 2(b))</w:t>
            </w:r>
          </w:p>
        </w:tc>
      </w:tr>
      <w:tr>
        <w:trPr>
          <w:cantSplit/>
        </w:trPr>
        <w:tc>
          <w:tcPr>
            <w:tcW w:w="3119" w:type="dxa"/>
            <w:tcBorders>
              <w:bottom w:val="single" w:sz="4" w:space="0" w:color="auto"/>
            </w:tcBorders>
            <w:shd w:val="clear" w:color="auto" w:fill="auto"/>
          </w:tcPr>
          <w:p>
            <w:pPr>
              <w:pStyle w:val="nTable"/>
              <w:spacing w:before="36" w:after="40"/>
              <w:ind w:right="113"/>
              <w:rPr>
                <w:i/>
                <w:sz w:val="19"/>
              </w:rPr>
            </w:pPr>
            <w:r>
              <w:rPr>
                <w:i/>
                <w:sz w:val="19"/>
              </w:rPr>
              <w:t>Fish Resources Management Amendment Regulations (No. 12) 2011</w:t>
            </w:r>
          </w:p>
        </w:tc>
        <w:tc>
          <w:tcPr>
            <w:tcW w:w="1276" w:type="dxa"/>
            <w:tcBorders>
              <w:bottom w:val="single" w:sz="4" w:space="0" w:color="auto"/>
            </w:tcBorders>
            <w:shd w:val="clear" w:color="auto" w:fill="auto"/>
          </w:tcPr>
          <w:p>
            <w:pPr>
              <w:pStyle w:val="nTable"/>
              <w:spacing w:before="36" w:after="40"/>
              <w:rPr>
                <w:sz w:val="19"/>
              </w:rPr>
            </w:pPr>
            <w:r>
              <w:rPr>
                <w:sz w:val="19"/>
              </w:rPr>
              <w:t>18 Nov 2011 p. 4809</w:t>
            </w:r>
            <w:r>
              <w:rPr>
                <w:sz w:val="19"/>
              </w:rPr>
              <w:noBreakHyphen/>
              <w:t>10</w:t>
            </w:r>
          </w:p>
        </w:tc>
        <w:tc>
          <w:tcPr>
            <w:tcW w:w="2693" w:type="dxa"/>
            <w:tcBorders>
              <w:bottom w:val="single" w:sz="4" w:space="0" w:color="auto"/>
            </w:tcBorders>
            <w:shd w:val="clear" w:color="auto" w:fill="auto"/>
          </w:tcPr>
          <w:p>
            <w:pPr>
              <w:pStyle w:val="nTable"/>
              <w:spacing w:before="36" w:after="40"/>
              <w:rPr>
                <w:snapToGrid w:val="0"/>
                <w:spacing w:val="-2"/>
                <w:sz w:val="19"/>
                <w:lang w:val="en-US"/>
              </w:rPr>
            </w:pPr>
            <w:r>
              <w:rPr>
                <w:snapToGrid w:val="0"/>
                <w:spacing w:val="-2"/>
                <w:sz w:val="19"/>
                <w:lang w:val="en-US"/>
              </w:rPr>
              <w:t>r. 1 and 2: 18 Nov 2011 (see r. 2(a));</w:t>
            </w:r>
            <w:r>
              <w:rPr>
                <w:snapToGrid w:val="0"/>
                <w:spacing w:val="-2"/>
                <w:sz w:val="19"/>
                <w:lang w:val="en-US"/>
              </w:rPr>
              <w:br/>
              <w:t>Regulations other than r. 1 and 2: 19 Nov 2011 (see r. 2(b))</w:t>
            </w:r>
          </w:p>
        </w:tc>
      </w:tr>
    </w:tbl>
    <w:p>
      <w:pPr>
        <w:pStyle w:val="nSubsection"/>
        <w:spacing w:before="40"/>
        <w:rPr>
          <w:snapToGrid w:val="0"/>
          <w:vertAlign w:val="superscript"/>
        </w:rPr>
      </w:pPr>
    </w:p>
    <w:p>
      <w:pPr>
        <w:pStyle w:val="nSubsection"/>
        <w:spacing w:before="200"/>
      </w:pPr>
      <w:r>
        <w:rPr>
          <w:snapToGrid w:val="0"/>
          <w:vertAlign w:val="superscript"/>
        </w:rPr>
        <w:t>2</w:t>
      </w:r>
      <w:r>
        <w:tab/>
        <w:t xml:space="preserve">Under the </w:t>
      </w:r>
      <w:r>
        <w:rPr>
          <w:i/>
          <w:iCs/>
        </w:rPr>
        <w:t>Public Sector Management Act 1994</w:t>
      </w:r>
      <w:r>
        <w:t xml:space="preserve"> the names of departments may be changed. At the time of this compilation the former Department of Conservation and Land Management is called the Department of Environment and Conservation.</w:t>
      </w:r>
    </w:p>
    <w:p>
      <w:pPr>
        <w:pStyle w:val="nSubsection"/>
      </w:pPr>
      <w:r>
        <w:rPr>
          <w:vertAlign w:val="superscript"/>
        </w:rPr>
        <w:t>3</w:t>
      </w:r>
      <w:r>
        <w:tab/>
        <w:t xml:space="preserve">The name of the Fisheries Research and Development Fund was changed by the </w:t>
      </w:r>
      <w:r>
        <w:rPr>
          <w:i/>
          <w:iCs/>
        </w:rPr>
        <w:t>Financial Legislation Amendment and Repeal Act 2006</w:t>
      </w:r>
      <w:r>
        <w:t xml:space="preserve"> (now the </w:t>
      </w:r>
      <w:r>
        <w:rPr>
          <w:i/>
          <w:iCs/>
        </w:rPr>
        <w:t>Financial Management (Transitional Provisions) Act 2006</w:t>
      </w:r>
      <w:r>
        <w:t>) s. 17 to the Fisheries Research and Development Account.</w:t>
      </w:r>
    </w:p>
    <w:p>
      <w:pPr>
        <w:pStyle w:val="nSubsection"/>
      </w:pPr>
      <w:r>
        <w:rPr>
          <w:vertAlign w:val="superscript"/>
        </w:rPr>
        <w:t>4</w:t>
      </w:r>
      <w:r>
        <w:tab/>
        <w:t xml:space="preserve">The name of the Recreational Fishing Fund was changed by the </w:t>
      </w:r>
      <w:r>
        <w:rPr>
          <w:i/>
          <w:iCs/>
        </w:rPr>
        <w:t>Financial Legislation Amendment and Repeal Act 2006</w:t>
      </w:r>
      <w:r>
        <w:t xml:space="preserve"> (now the </w:t>
      </w:r>
      <w:r>
        <w:rPr>
          <w:i/>
          <w:iCs/>
        </w:rPr>
        <w:t>Financial Management (Transitional Provisions) Act 2006</w:t>
      </w:r>
      <w:r>
        <w:t>) s. 17 to the Recreational Fishing Account.</w:t>
      </w:r>
    </w:p>
    <w:p>
      <w:pPr>
        <w:pStyle w:val="nSubsection"/>
      </w:pPr>
      <w:r>
        <w:rPr>
          <w:vertAlign w:val="superscript"/>
        </w:rPr>
        <w:t>5</w:t>
      </w:r>
      <w:r>
        <w:tab/>
        <w:t xml:space="preserve">Disallowed on 16 Jun 1999, see </w:t>
      </w:r>
      <w:r>
        <w:rPr>
          <w:i/>
        </w:rPr>
        <w:t>Gazette</w:t>
      </w:r>
      <w:r>
        <w:t xml:space="preserve"> 25 Jun 1999 p. 2742.</w:t>
      </w:r>
    </w:p>
    <w:p/>
    <w:p>
      <w:pPr>
        <w:sectPr>
          <w:headerReference w:type="even" r:id="rId55"/>
          <w:headerReference w:type="default" r:id="rId56"/>
          <w:pgSz w:w="11906" w:h="16838" w:code="9"/>
          <w:pgMar w:top="2381" w:right="2409" w:bottom="3543" w:left="2409" w:header="720" w:footer="3380" w:gutter="0"/>
          <w:cols w:space="720"/>
          <w:noEndnote/>
          <w:docGrid w:linePitch="326"/>
        </w:sectPr>
      </w:pPr>
    </w:p>
    <w:p>
      <w:pPr>
        <w:pStyle w:val="nHeading2"/>
        <w:rPr>
          <w:sz w:val="28"/>
        </w:rPr>
      </w:pPr>
      <w:bookmarkStart w:id="11399" w:name="_Toc290643200"/>
      <w:bookmarkStart w:id="11400" w:name="_Toc290643649"/>
      <w:bookmarkStart w:id="11401" w:name="_Toc290644102"/>
      <w:bookmarkStart w:id="11402" w:name="_Toc294701920"/>
      <w:bookmarkStart w:id="11403" w:name="_Toc295200328"/>
      <w:bookmarkStart w:id="11404" w:name="_Toc296954768"/>
      <w:bookmarkStart w:id="11405" w:name="_Toc297276403"/>
      <w:bookmarkStart w:id="11406" w:name="_Toc297276855"/>
      <w:bookmarkStart w:id="11407" w:name="_Toc297277305"/>
      <w:bookmarkStart w:id="11408" w:name="_Toc297726674"/>
      <w:bookmarkStart w:id="11409" w:name="_Toc299980460"/>
      <w:bookmarkStart w:id="11410" w:name="_Toc300235086"/>
      <w:bookmarkStart w:id="11411" w:name="_Toc301961589"/>
      <w:bookmarkStart w:id="11412" w:name="_Toc301967159"/>
      <w:bookmarkStart w:id="11413" w:name="_Toc303253368"/>
      <w:bookmarkStart w:id="11414" w:name="_Toc303257532"/>
      <w:bookmarkStart w:id="11415" w:name="_Toc307993166"/>
      <w:bookmarkStart w:id="11416" w:name="_Toc309030198"/>
      <w:bookmarkStart w:id="11417" w:name="_Toc309304421"/>
      <w:bookmarkStart w:id="11418" w:name="_Toc309309698"/>
      <w:r>
        <w:rPr>
          <w:sz w:val="28"/>
        </w:rPr>
        <w:t>Defined Terms</w:t>
      </w:r>
      <w:bookmarkEnd w:id="11399"/>
      <w:bookmarkEnd w:id="11400"/>
      <w:bookmarkEnd w:id="11401"/>
      <w:bookmarkEnd w:id="11402"/>
      <w:bookmarkEnd w:id="11403"/>
      <w:bookmarkEnd w:id="11404"/>
      <w:bookmarkEnd w:id="11405"/>
      <w:bookmarkEnd w:id="11406"/>
      <w:bookmarkEnd w:id="11407"/>
      <w:bookmarkEnd w:id="11408"/>
      <w:bookmarkEnd w:id="11409"/>
      <w:bookmarkEnd w:id="11410"/>
      <w:bookmarkEnd w:id="11411"/>
      <w:bookmarkEnd w:id="11412"/>
      <w:bookmarkEnd w:id="11413"/>
      <w:bookmarkEnd w:id="11414"/>
      <w:bookmarkEnd w:id="11415"/>
      <w:bookmarkEnd w:id="11416"/>
      <w:bookmarkEnd w:id="11417"/>
      <w:bookmarkEnd w:id="1141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1419" w:name="DefinedTerms"/>
      <w:bookmarkEnd w:id="11419"/>
      <w:r>
        <w:t>Abalone Zone</w:t>
      </w:r>
      <w:r>
        <w:tab/>
        <w:t>38D(1)</w:t>
      </w:r>
    </w:p>
    <w:p>
      <w:pPr>
        <w:pStyle w:val="DefinedTerms"/>
      </w:pP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Fish Habitat Protection Area</w:t>
      </w:r>
      <w:r>
        <w:tab/>
        <w:t>Sch. 2 Pt. 2 Div. 3 cl. 2(2)</w:t>
      </w:r>
    </w:p>
    <w:p>
      <w:pPr>
        <w:pStyle w:val="DefinedTerms"/>
      </w:pPr>
      <w:r>
        <w:t>aircraft</w:t>
      </w:r>
      <w:r>
        <w:tab/>
        <w:t>3(1)</w:t>
      </w:r>
    </w:p>
    <w:p>
      <w:pPr>
        <w:pStyle w:val="DefinedTerms"/>
      </w:pPr>
      <w:r>
        <w:t>ALC</w:t>
      </w:r>
      <w:r>
        <w:tab/>
        <w:t>55A</w:t>
      </w:r>
    </w:p>
    <w:p>
      <w:pPr>
        <w:pStyle w:val="DefinedTerms"/>
      </w:pPr>
      <w:r>
        <w:t>ALC fishing boat</w:t>
      </w:r>
      <w:r>
        <w:tab/>
        <w:t>55C(1)</w:t>
      </w:r>
    </w:p>
    <w:p>
      <w:pPr>
        <w:pStyle w:val="DefinedTerms"/>
      </w:pPr>
      <w:r>
        <w:t>approved</w:t>
      </w:r>
      <w:r>
        <w:tab/>
        <w:t>72</w:t>
      </w:r>
    </w:p>
    <w:p>
      <w:pPr>
        <w:pStyle w:val="DefinedTerms"/>
      </w:pPr>
      <w:r>
        <w:t>approved automatic location communicator</w:t>
      </w:r>
      <w:r>
        <w:tab/>
        <w:t>55A</w:t>
      </w:r>
    </w:p>
    <w:p>
      <w:pPr>
        <w:pStyle w:val="DefinedTerms"/>
      </w:pPr>
      <w:r>
        <w:t>approved directions</w:t>
      </w:r>
      <w:r>
        <w:tab/>
        <w:t>55A</w:t>
      </w:r>
    </w:p>
    <w:p>
      <w:pPr>
        <w:pStyle w:val="DefinedTerms"/>
      </w:pPr>
      <w:r>
        <w:t>artificial lure</w:t>
      </w:r>
      <w:r>
        <w:tab/>
        <w:t>44A(2)</w:t>
      </w:r>
    </w:p>
    <w:p>
      <w:pPr>
        <w:pStyle w:val="DefinedTerms"/>
      </w:pPr>
      <w:r>
        <w:t>associated camp</w:t>
      </w:r>
      <w:r>
        <w:tab/>
        <w:t>72</w:t>
      </w:r>
    </w:p>
    <w:p>
      <w:pPr>
        <w:pStyle w:val="DefinedTerms"/>
      </w:pPr>
      <w:r>
        <w:t>attend</w:t>
      </w:r>
      <w:r>
        <w:tab/>
        <w:t>64B, 64M</w:t>
      </w:r>
    </w:p>
    <w:p>
      <w:pPr>
        <w:pStyle w:val="DefinedTerms"/>
      </w:pPr>
      <w:r>
        <w:t>authorisation</w:t>
      </w:r>
      <w:r>
        <w:tab/>
        <w:t>129A</w:t>
      </w:r>
    </w:p>
    <w:p>
      <w:pPr>
        <w:pStyle w:val="DefinedTerms"/>
      </w:pPr>
      <w:r>
        <w:t>automatic location communicator</w:t>
      </w:r>
      <w:r>
        <w:tab/>
        <w:t>55A</w:t>
      </w:r>
    </w:p>
    <w:p>
      <w:pPr>
        <w:pStyle w:val="DefinedTerms"/>
      </w:pPr>
      <w:r>
        <w:t>bag limit</w:t>
      </w:r>
      <w:r>
        <w:tab/>
        <w:t>3(1)</w:t>
      </w:r>
    </w:p>
    <w:p>
      <w:pPr>
        <w:pStyle w:val="DefinedTerms"/>
      </w:pPr>
      <w:r>
        <w:t>bait band</w:t>
      </w:r>
      <w:r>
        <w:tab/>
        <w:t>55E</w:t>
      </w:r>
    </w:p>
    <w:p>
      <w:pPr>
        <w:pStyle w:val="DefinedTerms"/>
      </w:pPr>
      <w:r>
        <w:t>bait fish</w:t>
      </w:r>
      <w:r>
        <w:tab/>
        <w:t>64OE(4)</w:t>
      </w:r>
    </w:p>
    <w:p>
      <w:pPr>
        <w:pStyle w:val="DefinedTerms"/>
      </w:pPr>
      <w:r>
        <w:t>boat</w:t>
      </w:r>
      <w:r>
        <w:tab/>
        <w:t>124B(1)</w:t>
      </w:r>
    </w:p>
    <w:p>
      <w:pPr>
        <w:pStyle w:val="DefinedTerms"/>
      </w:pPr>
      <w:r>
        <w:t>bona fide</w:t>
      </w:r>
      <w:r>
        <w:tab/>
        <w:t>64I(2)</w:t>
      </w:r>
    </w:p>
    <w:p>
      <w:pPr>
        <w:pStyle w:val="DefinedTerms"/>
      </w:pPr>
      <w:r>
        <w:t>Broome area</w:t>
      </w:r>
      <w:r>
        <w:tab/>
        <w:t>64ZJ</w:t>
      </w:r>
    </w:p>
    <w:p>
      <w:pPr>
        <w:pStyle w:val="DefinedTerms"/>
      </w:pPr>
      <w:r>
        <w:t>Broome area waters</w:t>
      </w:r>
      <w:r>
        <w:tab/>
        <w:t>64ZJ</w:t>
      </w:r>
    </w:p>
    <w:p>
      <w:pPr>
        <w:pStyle w:val="DefinedTerms"/>
      </w:pPr>
      <w:r>
        <w:t>camp</w:t>
      </w:r>
      <w:r>
        <w:tab/>
        <w:t>72</w:t>
      </w:r>
    </w:p>
    <w:p>
      <w:pPr>
        <w:pStyle w:val="DefinedTerms"/>
      </w:pPr>
      <w:r>
        <w:t>cancelled authorisation</w:t>
      </w:r>
      <w:r>
        <w:tab/>
        <w:t>129A</w:t>
      </w:r>
    </w:p>
    <w:p>
      <w:pPr>
        <w:pStyle w:val="DefinedTerms"/>
      </w:pPr>
      <w:r>
        <w:t>carrier boat</w:t>
      </w:r>
      <w:r>
        <w:tab/>
        <w:t>119(1)</w:t>
      </w:r>
    </w:p>
    <w:p>
      <w:pPr>
        <w:pStyle w:val="DefinedTerms"/>
      </w:pPr>
      <w:r>
        <w:t>carrier boat licence</w:t>
      </w:r>
      <w:r>
        <w:tab/>
        <w:t>3(1)</w:t>
      </w:r>
    </w:p>
    <w:p>
      <w:pPr>
        <w:pStyle w:val="DefinedTerms"/>
      </w:pPr>
      <w:r>
        <w:t>Central West Zone</w:t>
      </w:r>
      <w:r>
        <w:tab/>
        <w:t>38(1)</w:t>
      </w:r>
    </w:p>
    <w:p>
      <w:pPr>
        <w:pStyle w:val="DefinedTerms"/>
      </w:pPr>
      <w:r>
        <w:t>charter boat</w:t>
      </w:r>
      <w:r>
        <w:tab/>
        <w:t>16E(1)</w:t>
      </w:r>
    </w:p>
    <w:p>
      <w:pPr>
        <w:pStyle w:val="DefinedTerms"/>
      </w:pPr>
      <w:r>
        <w:t>chlorine tarping</w:t>
      </w:r>
      <w:r>
        <w:tab/>
        <w:t>110(2)</w:t>
      </w:r>
    </w:p>
    <w:p>
      <w:pPr>
        <w:pStyle w:val="DefinedTerms"/>
      </w:pPr>
      <w:r>
        <w:t>closed season</w:t>
      </w:r>
      <w:r>
        <w:tab/>
        <w:t>38G, 45(1)</w:t>
      </w:r>
    </w:p>
    <w:p>
      <w:pPr>
        <w:pStyle w:val="DefinedTerms"/>
      </w:pPr>
      <w:r>
        <w:t>commercial fishing licence</w:t>
      </w:r>
      <w:r>
        <w:tab/>
        <w:t>3(1)</w:t>
      </w:r>
    </w:p>
    <w:p>
      <w:pPr>
        <w:pStyle w:val="DefinedTerms"/>
      </w:pPr>
      <w:r>
        <w:t>complying drop net</w:t>
      </w:r>
      <w:r>
        <w:tab/>
        <w:t>3(1)</w:t>
      </w:r>
    </w:p>
    <w:p>
      <w:pPr>
        <w:pStyle w:val="DefinedTerms"/>
      </w:pPr>
      <w:r>
        <w:t>Cottesloe Reef waters</w:t>
      </w:r>
      <w:r>
        <w:tab/>
        <w:t>3(1)</w:t>
      </w:r>
    </w:p>
    <w:p>
      <w:pPr>
        <w:pStyle w:val="DefinedTerms"/>
      </w:pPr>
      <w:r>
        <w:t>courier business</w:t>
      </w:r>
      <w:r>
        <w:tab/>
        <w:t>21(3)</w:t>
      </w:r>
    </w:p>
    <w:p>
      <w:pPr>
        <w:pStyle w:val="DefinedTerms"/>
      </w:pPr>
      <w:r>
        <w:t>current entitlement</w:t>
      </w:r>
      <w:r>
        <w:tab/>
        <w:t>118A(2)</w:t>
      </w:r>
    </w:p>
    <w:p>
      <w:pPr>
        <w:pStyle w:val="DefinedTerms"/>
      </w:pPr>
      <w:r>
        <w:t>Dampier Archipelago waters</w:t>
      </w:r>
      <w:r>
        <w:tab/>
        <w:t>64OB(3)</w:t>
      </w:r>
    </w:p>
    <w:p>
      <w:pPr>
        <w:pStyle w:val="DefinedTerms"/>
      </w:pPr>
      <w:r>
        <w:t>day trip</w:t>
      </w:r>
      <w:r>
        <w:tab/>
        <w:t>16E(1), 22(5)</w:t>
      </w:r>
    </w:p>
    <w:p>
      <w:pPr>
        <w:pStyle w:val="DefinedTerms"/>
      </w:pPr>
      <w:r>
        <w:t>dB(A)</w:t>
      </w:r>
      <w:r>
        <w:tab/>
        <w:t>104(4)</w:t>
      </w:r>
    </w:p>
    <w:p>
      <w:pPr>
        <w:pStyle w:val="DefinedTerms"/>
      </w:pPr>
      <w:r>
        <w:t>deep sea crab</w:t>
      </w:r>
      <w:r>
        <w:tab/>
        <w:t>38A</w:t>
      </w:r>
    </w:p>
    <w:p>
      <w:pPr>
        <w:pStyle w:val="DefinedTerms"/>
      </w:pPr>
      <w:r>
        <w:t>demersal scalefish</w:t>
      </w:r>
      <w:r>
        <w:tab/>
        <w:t>45(1), 64OAA(1)</w:t>
      </w:r>
    </w:p>
    <w:p>
      <w:pPr>
        <w:pStyle w:val="DefinedTerms"/>
      </w:pPr>
      <w:r>
        <w:t>disease</w:t>
      </w:r>
      <w:r>
        <w:tab/>
        <w:t>3(1)</w:t>
      </w:r>
    </w:p>
    <w:p>
      <w:pPr>
        <w:pStyle w:val="DefinedTerms"/>
      </w:pPr>
      <w:r>
        <w:t>disposable part</w:t>
      </w:r>
      <w:r>
        <w:tab/>
        <w:t>16B(5)</w:t>
      </w:r>
    </w:p>
    <w:p>
      <w:pPr>
        <w:pStyle w:val="DefinedTerms"/>
      </w:pPr>
      <w:r>
        <w:t>due date</w:t>
      </w:r>
      <w:r>
        <w:tab/>
        <w:t>137(4)</w:t>
      </w:r>
    </w:p>
    <w:p>
      <w:pPr>
        <w:pStyle w:val="DefinedTerms"/>
      </w:pPr>
      <w:r>
        <w:t xml:space="preserve">Easter Group Zone </w:t>
      </w:r>
      <w:r>
        <w:tab/>
        <w:t>38(1)</w:t>
      </w:r>
    </w:p>
    <w:p>
      <w:pPr>
        <w:pStyle w:val="DefinedTerms"/>
      </w:pPr>
      <w:r>
        <w:t>eastern gulf land area</w:t>
      </w:r>
      <w:r>
        <w:tab/>
        <w:t>3(1)</w:t>
      </w:r>
    </w:p>
    <w:p>
      <w:pPr>
        <w:pStyle w:val="DefinedTerms"/>
      </w:pPr>
      <w:r>
        <w:t>Exmouth Gulf Land Zone</w:t>
      </w:r>
      <w:r>
        <w:tab/>
        <w:t>64ZCA(2)</w:t>
      </w:r>
    </w:p>
    <w:p>
      <w:pPr>
        <w:pStyle w:val="DefinedTerms"/>
      </w:pPr>
      <w:r>
        <w:t>Exmouth townsite</w:t>
      </w:r>
      <w:r>
        <w:tab/>
        <w:t>16L(1)</w:t>
      </w:r>
    </w:p>
    <w:p>
      <w:pPr>
        <w:pStyle w:val="DefinedTerms"/>
      </w:pPr>
      <w:r>
        <w:t>fillet</w:t>
      </w:r>
      <w:r>
        <w:tab/>
        <w:t>3(1)</w:t>
      </w:r>
    </w:p>
    <w:p>
      <w:pPr>
        <w:pStyle w:val="DefinedTerms"/>
      </w:pPr>
      <w:r>
        <w:t>finfish</w:t>
      </w:r>
      <w:r>
        <w:tab/>
        <w:t>3(1), 16C</w:t>
      </w:r>
    </w:p>
    <w:p>
      <w:pPr>
        <w:pStyle w:val="DefinedTerms"/>
      </w:pPr>
      <w:r>
        <w:t>fish processor’s licence</w:t>
      </w:r>
      <w:r>
        <w:tab/>
        <w:t>3(1)</w:t>
      </w:r>
    </w:p>
    <w:p>
      <w:pPr>
        <w:pStyle w:val="DefinedTerms"/>
      </w:pPr>
      <w:r>
        <w:t>fish trunk</w:t>
      </w:r>
      <w:r>
        <w:tab/>
        <w:t>3(1)</w:t>
      </w:r>
    </w:p>
    <w:p>
      <w:pPr>
        <w:pStyle w:val="DefinedTerms"/>
      </w:pPr>
      <w:r>
        <w:t>fishing boat licence</w:t>
      </w:r>
      <w:r>
        <w:tab/>
        <w:t>3(1)</w:t>
      </w:r>
    </w:p>
    <w:p>
      <w:pPr>
        <w:pStyle w:val="DefinedTerms"/>
      </w:pPr>
      <w:r>
        <w:t>fishing net</w:t>
      </w:r>
      <w:r>
        <w:tab/>
        <w:t>3(1)</w:t>
      </w:r>
    </w:p>
    <w:p>
      <w:pPr>
        <w:pStyle w:val="DefinedTerms"/>
      </w:pPr>
      <w:r>
        <w:t>fishing year</w:t>
      </w:r>
      <w:r>
        <w:tab/>
        <w:t>16G</w:t>
      </w:r>
    </w:p>
    <w:p>
      <w:pPr>
        <w:pStyle w:val="DefinedTerms"/>
      </w:pPr>
      <w:r>
        <w:t>form</w:t>
      </w:r>
      <w:r>
        <w:tab/>
        <w:t>3(1)</w:t>
      </w:r>
    </w:p>
    <w:p>
      <w:pPr>
        <w:pStyle w:val="DefinedTerms"/>
      </w:pPr>
      <w:r>
        <w:t>former authorisation holder</w:t>
      </w:r>
      <w:r>
        <w:tab/>
        <w:t>129A</w:t>
      </w:r>
    </w:p>
    <w:p>
      <w:pPr>
        <w:pStyle w:val="DefinedTerms"/>
      </w:pPr>
      <w:r>
        <w:t>freshwater fish</w:t>
      </w:r>
      <w:r>
        <w:tab/>
        <w:t>44A</w:t>
      </w:r>
    </w:p>
    <w:p>
      <w:pPr>
        <w:pStyle w:val="DefinedTerms"/>
      </w:pPr>
      <w:r>
        <w:t>Freycinet Estuary</w:t>
      </w:r>
      <w:r>
        <w:tab/>
        <w:t>3(1)</w:t>
      </w:r>
    </w:p>
    <w:p>
      <w:pPr>
        <w:pStyle w:val="DefinedTerms"/>
      </w:pPr>
      <w:r>
        <w:t>Freycinet Estuary area</w:t>
      </w:r>
      <w:r>
        <w:tab/>
        <w:t>16G</w:t>
      </w:r>
    </w:p>
    <w:p>
      <w:pPr>
        <w:pStyle w:val="DefinedTerms"/>
      </w:pPr>
      <w:r>
        <w:t>full amount outstanding of the fee</w:t>
      </w:r>
      <w:r>
        <w:tab/>
        <w:t>137(5)</w:t>
      </w:r>
    </w:p>
    <w:p>
      <w:pPr>
        <w:pStyle w:val="DefinedTerms"/>
      </w:pPr>
      <w:r>
        <w:t>Gascoyne Region</w:t>
      </w:r>
      <w:r>
        <w:tab/>
        <w:t>3(1)</w:t>
      </w:r>
    </w:p>
    <w:p>
      <w:pPr>
        <w:pStyle w:val="DefinedTerms"/>
      </w:pPr>
      <w:r>
        <w:t>GDA</w:t>
      </w:r>
      <w:r>
        <w:tab/>
        <w:t>152(1)</w:t>
      </w:r>
    </w:p>
    <w:p>
      <w:pPr>
        <w:pStyle w:val="DefinedTerms"/>
      </w:pPr>
      <w:r>
        <w:t>gear identification number</w:t>
      </w:r>
      <w:r>
        <w:tab/>
        <w:t>3(1)</w:t>
      </w:r>
    </w:p>
    <w:p>
      <w:pPr>
        <w:pStyle w:val="DefinedTerms"/>
      </w:pPr>
      <w:r>
        <w:t>ground</w:t>
      </w:r>
      <w:r>
        <w:tab/>
        <w:t>64I(2)</w:t>
      </w:r>
    </w:p>
    <w:p>
      <w:pPr>
        <w:pStyle w:val="DefinedTerms"/>
      </w:pPr>
      <w:r>
        <w:t>GRS80</w:t>
      </w:r>
      <w:r>
        <w:tab/>
        <w:t>152(2)</w:t>
      </w:r>
    </w:p>
    <w:p>
      <w:pPr>
        <w:pStyle w:val="DefinedTerms"/>
      </w:pPr>
      <w:r>
        <w:t>high risk finfish</w:t>
      </w:r>
      <w:r>
        <w:tab/>
        <w:t>15(1)</w:t>
      </w:r>
    </w:p>
    <w:p>
      <w:pPr>
        <w:pStyle w:val="DefinedTerms"/>
      </w:pPr>
      <w:r>
        <w:t>interdorsal fin length</w:t>
      </w:r>
      <w:r>
        <w:tab/>
        <w:t>Sch. 2 Pt. 2 Div. 2</w:t>
      </w:r>
    </w:p>
    <w:p>
      <w:pPr>
        <w:pStyle w:val="DefinedTerms"/>
      </w:pPr>
      <w:r>
        <w:t>internal SLED</w:t>
      </w:r>
      <w:r>
        <w:tab/>
        <w:t>38(1)</w:t>
      </w:r>
    </w:p>
    <w:p>
      <w:pPr>
        <w:pStyle w:val="DefinedTerms"/>
      </w:pPr>
      <w:r>
        <w:t>jet ski</w:t>
      </w:r>
      <w:r>
        <w:tab/>
        <w:t>3(1)</w:t>
      </w:r>
    </w:p>
    <w:p>
      <w:pPr>
        <w:pStyle w:val="DefinedTerms"/>
      </w:pPr>
      <w:r>
        <w:t>jetty</w:t>
      </w:r>
      <w:r>
        <w:tab/>
        <w:t>72</w:t>
      </w:r>
    </w:p>
    <w:p>
      <w:pPr>
        <w:pStyle w:val="DefinedTerms"/>
      </w:pPr>
      <w:r>
        <w:t>Kalbarri Blue Holes waters</w:t>
      </w:r>
      <w:r>
        <w:tab/>
        <w:t>3(1)</w:t>
      </w:r>
    </w:p>
    <w:p>
      <w:pPr>
        <w:pStyle w:val="DefinedTerms"/>
      </w:pPr>
      <w:r>
        <w:t>King Sound</w:t>
      </w:r>
      <w:r>
        <w:tab/>
        <w:t>17A(4)</w:t>
      </w:r>
    </w:p>
    <w:p>
      <w:pPr>
        <w:pStyle w:val="DefinedTerms"/>
      </w:pPr>
      <w:smartTag w:uri="urn:schemas-microsoft-com:office:smarttags" w:element="place">
        <w:smartTag w:uri="urn:schemas-microsoft-com:office:smarttags" w:element="PlaceName">
          <w:r>
            <w:t>Lancelin</w:t>
          </w:r>
        </w:smartTag>
        <w:r>
          <w:t xml:space="preserve"> </w:t>
        </w:r>
        <w:smartTag w:uri="urn:schemas-microsoft-com:office:smarttags" w:element="PlaceType">
          <w:r>
            <w:t>Island</w:t>
          </w:r>
        </w:smartTag>
      </w:smartTag>
      <w:r>
        <w:t xml:space="preserve"> Lagoon</w:t>
      </w:r>
      <w:r>
        <w:tab/>
        <w:t>3(1)</w:t>
      </w:r>
    </w:p>
    <w:p>
      <w:pPr>
        <w:pStyle w:val="DefinedTerms"/>
      </w:pPr>
      <w:r>
        <w:t>lawful overnight stay on an island</w:t>
      </w:r>
      <w:r>
        <w:tab/>
        <w:t>3(1)</w:t>
      </w:r>
    </w:p>
    <w:p>
      <w:pPr>
        <w:pStyle w:val="DefinedTerms"/>
      </w:pPr>
      <w:r>
        <w:t>licence holder</w:t>
      </w:r>
      <w:r>
        <w:tab/>
        <w:t>55A</w:t>
      </w:r>
    </w:p>
    <w:p>
      <w:pPr>
        <w:pStyle w:val="DefinedTerms"/>
      </w:pPr>
      <w:r>
        <w:t>licensed boat</w:t>
      </w:r>
      <w:r>
        <w:tab/>
        <w:t>72</w:t>
      </w:r>
    </w:p>
    <w:p>
      <w:pPr>
        <w:pStyle w:val="DefinedTerms"/>
      </w:pPr>
      <w:r>
        <w:t>licensed carrier boat</w:t>
      </w:r>
      <w:r>
        <w:tab/>
        <w:t>3(1)</w:t>
      </w:r>
    </w:p>
    <w:p>
      <w:pPr>
        <w:pStyle w:val="DefinedTerms"/>
      </w:pPr>
      <w:r>
        <w:t>licensed carrier boat number</w:t>
      </w:r>
      <w:r>
        <w:tab/>
        <w:t>3(1)</w:t>
      </w:r>
    </w:p>
    <w:p>
      <w:pPr>
        <w:pStyle w:val="DefinedTerms"/>
      </w:pPr>
      <w:r>
        <w:t>licensed fishing boat</w:t>
      </w:r>
      <w:r>
        <w:tab/>
        <w:t>3(1)</w:t>
      </w:r>
    </w:p>
    <w:p>
      <w:pPr>
        <w:pStyle w:val="DefinedTerms"/>
      </w:pPr>
      <w:r>
        <w:t>licensed fishing boat number</w:t>
      </w:r>
      <w:r>
        <w:tab/>
        <w:t>3(1)</w:t>
      </w:r>
    </w:p>
    <w:p>
      <w:pPr>
        <w:pStyle w:val="DefinedTerms"/>
      </w:pPr>
      <w:r>
        <w:t>low risk finfish</w:t>
      </w:r>
      <w:r>
        <w:tab/>
        <w:t>3(1), 16(1)</w:t>
      </w:r>
    </w:p>
    <w:p>
      <w:pPr>
        <w:pStyle w:val="DefinedTerms"/>
      </w:pPr>
      <w:r>
        <w:t>management plan</w:t>
      </w:r>
      <w:r>
        <w:tab/>
        <w:t>64ZE(1)</w:t>
      </w:r>
    </w:p>
    <w:p>
      <w:pPr>
        <w:pStyle w:val="DefinedTerms"/>
      </w:pPr>
      <w:r>
        <w:t>marron drop net</w:t>
      </w:r>
      <w:r>
        <w:tab/>
        <w:t>3(1), 38G</w:t>
      </w:r>
    </w:p>
    <w:p>
      <w:pPr>
        <w:pStyle w:val="DefinedTerms"/>
      </w:pPr>
      <w:r>
        <w:t>marron pole snare</w:t>
      </w:r>
      <w:r>
        <w:tab/>
        <w:t>3(1), 38G</w:t>
      </w:r>
    </w:p>
    <w:p>
      <w:pPr>
        <w:pStyle w:val="DefinedTerms"/>
      </w:pPr>
      <w:r>
        <w:t>marron scoop net</w:t>
      </w:r>
      <w:r>
        <w:tab/>
        <w:t>3(1), 38G</w:t>
      </w:r>
    </w:p>
    <w:p>
      <w:pPr>
        <w:pStyle w:val="DefinedTerms"/>
      </w:pPr>
      <w:r>
        <w:t>marron trophy waters</w:t>
      </w:r>
      <w:r>
        <w:tab/>
        <w:t>3(1)</w:t>
      </w:r>
    </w:p>
    <w:p>
      <w:pPr>
        <w:pStyle w:val="DefinedTerms"/>
      </w:pPr>
      <w:r>
        <w:t>May — October</w:t>
      </w:r>
      <w:r>
        <w:tab/>
        <w:t>64OD(4)</w:t>
      </w:r>
    </w:p>
    <w:p>
      <w:pPr>
        <w:pStyle w:val="DefinedTerms"/>
      </w:pPr>
      <w:r>
        <w:t>metropolitan waters</w:t>
      </w:r>
      <w:r>
        <w:tab/>
        <w:t>3(1)</w:t>
      </w:r>
    </w:p>
    <w:p>
      <w:pPr>
        <w:pStyle w:val="DefinedTerms"/>
      </w:pPr>
      <w:r>
        <w:t>mollusc</w:t>
      </w:r>
      <w:r>
        <w:tab/>
        <w:t>3(1)</w:t>
      </w:r>
    </w:p>
    <w:p>
      <w:pPr>
        <w:pStyle w:val="DefinedTerms"/>
      </w:pPr>
      <w:r>
        <w:t>mooring</w:t>
      </w:r>
      <w:r>
        <w:tab/>
        <w:t>72</w:t>
      </w:r>
    </w:p>
    <w:p>
      <w:pPr>
        <w:pStyle w:val="DefinedTerms"/>
      </w:pPr>
      <w:r>
        <w:t>motor boat</w:t>
      </w:r>
      <w:r>
        <w:tab/>
        <w:t>3(1)</w:t>
      </w:r>
    </w:p>
    <w:p>
      <w:pPr>
        <w:pStyle w:val="DefinedTerms"/>
      </w:pPr>
      <w:r>
        <w:t>net</w:t>
      </w:r>
      <w:r>
        <w:tab/>
        <w:t>64ZE(1)</w:t>
      </w:r>
    </w:p>
    <w:p>
      <w:pPr>
        <w:pStyle w:val="DefinedTerms"/>
      </w:pPr>
      <w:r>
        <w:t>Ningaloo Marine Park</w:t>
      </w:r>
      <w:r>
        <w:tab/>
        <w:t>3(1)</w:t>
      </w:r>
    </w:p>
    <w:p>
      <w:pPr>
        <w:pStyle w:val="DefinedTerms"/>
      </w:pPr>
      <w:r>
        <w:t>Ningaloo Marine Park Land Zone</w:t>
      </w:r>
      <w:r>
        <w:tab/>
        <w:t>16L(1), 64ZCA(2)</w:t>
      </w:r>
    </w:p>
    <w:p>
      <w:pPr>
        <w:pStyle w:val="DefinedTerms"/>
      </w:pPr>
      <w:r>
        <w:t>non</w:t>
      </w:r>
      <w:r>
        <w:noBreakHyphen/>
        <w:t>possession period</w:t>
      </w:r>
      <w:r>
        <w:tab/>
        <w:t>38O(3)</w:t>
      </w:r>
    </w:p>
    <w:p>
      <w:pPr>
        <w:pStyle w:val="DefinedTerms"/>
      </w:pPr>
      <w:r>
        <w:t>notice</w:t>
      </w:r>
      <w:r>
        <w:tab/>
        <w:t>55B(1A)</w:t>
      </w:r>
    </w:p>
    <w:p>
      <w:pPr>
        <w:pStyle w:val="DefinedTerms"/>
      </w:pPr>
      <w:r>
        <w:t>November — April</w:t>
      </w:r>
      <w:r>
        <w:tab/>
        <w:t>64OD(4)</w:t>
      </w:r>
    </w:p>
    <w:p>
      <w:pPr>
        <w:pStyle w:val="DefinedTerms"/>
      </w:pPr>
      <w:r>
        <w:t>one day</w:t>
      </w:r>
      <w:r>
        <w:tab/>
        <w:t>3(1)</w:t>
      </w:r>
    </w:p>
    <w:p>
      <w:pPr>
        <w:pStyle w:val="DefinedTerms"/>
      </w:pPr>
      <w:r>
        <w:t>operator</w:t>
      </w:r>
      <w:r>
        <w:tab/>
        <w:t>72</w:t>
      </w:r>
    </w:p>
    <w:p>
      <w:pPr>
        <w:pStyle w:val="DefinedTerms"/>
      </w:pPr>
      <w:smartTag w:uri="urn:schemas-microsoft-com:office:smarttags" w:element="place">
        <w:smartTag w:uri="urn:schemas-microsoft-com:office:smarttags" w:element="PlaceName">
          <w:r>
            <w:t>Ord</w:t>
          </w:r>
        </w:smartTag>
        <w:r>
          <w:t xml:space="preserve"> </w:t>
        </w:r>
        <w:smartTag w:uri="urn:schemas-microsoft-com:office:smarttags" w:element="PlaceType">
          <w:r>
            <w:t>River</w:t>
          </w:r>
        </w:smartTag>
      </w:smartTag>
      <w:r>
        <w:t xml:space="preserve"> area</w:t>
      </w:r>
      <w:r>
        <w:tab/>
        <w:t>16M(3), 64ZF</w:t>
      </w:r>
    </w:p>
    <w:p>
      <w:pPr>
        <w:pStyle w:val="DefinedTerms"/>
      </w:pPr>
      <w:smartTag w:uri="urn:schemas-microsoft-com:office:smarttags" w:element="place">
        <w:smartTag w:uri="urn:schemas-microsoft-com:office:smarttags" w:element="PlaceName">
          <w:r>
            <w:t>Ord</w:t>
          </w:r>
        </w:smartTag>
        <w:r>
          <w:t xml:space="preserve"> </w:t>
        </w:r>
        <w:smartTag w:uri="urn:schemas-microsoft-com:office:smarttags" w:element="PlaceType">
          <w:r>
            <w:t>River</w:t>
          </w:r>
        </w:smartTag>
      </w:smartTag>
      <w:r>
        <w:t xml:space="preserve"> area waters</w:t>
      </w:r>
      <w:r>
        <w:tab/>
        <w:t>64ZF</w:t>
      </w:r>
    </w:p>
    <w:p>
      <w:pPr>
        <w:pStyle w:val="DefinedTerms"/>
      </w:pPr>
      <w:r>
        <w:t>package</w:t>
      </w:r>
      <w:r>
        <w:tab/>
        <w:t>22(5), 61(3a)</w:t>
      </w:r>
    </w:p>
    <w:p>
      <w:pPr>
        <w:pStyle w:val="DefinedTerms"/>
      </w:pPr>
      <w:r>
        <w:t>Pelsaert Group Zone</w:t>
      </w:r>
      <w:r>
        <w:tab/>
        <w:t>38(1)</w:t>
      </w:r>
    </w:p>
    <w:p>
      <w:pPr>
        <w:pStyle w:val="DefinedTerms"/>
      </w:pPr>
      <w:r>
        <w:t xml:space="preserve">Pilbara and </w:t>
      </w:r>
      <w:smartTag w:uri="urn:schemas-microsoft-com:office:smarttags" w:element="place">
        <w:smartTag w:uri="urn:schemas-microsoft-com:office:smarttags" w:element="City">
          <w:r>
            <w:t>Kimberley</w:t>
          </w:r>
        </w:smartTag>
      </w:smartTag>
      <w:r>
        <w:t xml:space="preserve"> Region</w:t>
      </w:r>
      <w:r>
        <w:tab/>
        <w:t>3(1)</w:t>
      </w:r>
    </w:p>
    <w:p>
      <w:pPr>
        <w:pStyle w:val="DefinedTerms"/>
      </w:pPr>
      <w:r>
        <w:t>Point Quobba restricted area</w:t>
      </w:r>
      <w:r>
        <w:tab/>
        <w:t>113D</w:t>
      </w:r>
    </w:p>
    <w:p>
      <w:pPr>
        <w:pStyle w:val="DefinedTerms"/>
      </w:pPr>
      <w:r>
        <w:t>prawn hand trawl net</w:t>
      </w:r>
      <w:r>
        <w:tab/>
        <w:t>3(1)</w:t>
      </w:r>
    </w:p>
    <w:p>
      <w:pPr>
        <w:pStyle w:val="DefinedTerms"/>
      </w:pPr>
      <w:r>
        <w:t>prescribed abalone</w:t>
      </w:r>
      <w:r>
        <w:tab/>
        <w:t>17(2)</w:t>
      </w:r>
    </w:p>
    <w:p>
      <w:pPr>
        <w:pStyle w:val="DefinedTerms"/>
      </w:pPr>
      <w:r>
        <w:t>principal place of residence</w:t>
      </w:r>
      <w:r>
        <w:tab/>
        <w:t>3(1)</w:t>
      </w:r>
    </w:p>
    <w:p>
      <w:pPr>
        <w:pStyle w:val="DefinedTerms"/>
      </w:pPr>
      <w:r>
        <w:t>pull</w:t>
      </w:r>
      <w:r>
        <w:tab/>
        <w:t>3(1)</w:t>
      </w:r>
    </w:p>
    <w:p>
      <w:pPr>
        <w:pStyle w:val="DefinedTerms"/>
      </w:pPr>
      <w:r>
        <w:t>recreational fishing licence</w:t>
      </w:r>
      <w:r>
        <w:tab/>
        <w:t>3(1), 136(1)</w:t>
      </w:r>
    </w:p>
    <w:p>
      <w:pPr>
        <w:pStyle w:val="DefinedTerms"/>
      </w:pPr>
      <w:r>
        <w:t>recreational fishing licence receipt</w:t>
      </w:r>
      <w:r>
        <w:tab/>
        <w:t>124A(1)</w:t>
      </w:r>
    </w:p>
    <w:p>
      <w:pPr>
        <w:pStyle w:val="DefinedTerms"/>
      </w:pPr>
      <w:r>
        <w:t>region</w:t>
      </w:r>
      <w:r>
        <w:tab/>
        <w:t>3(1)</w:t>
      </w:r>
    </w:p>
    <w:p>
      <w:pPr>
        <w:pStyle w:val="DefinedTerms"/>
      </w:pPr>
      <w:r>
        <w:t>release weight</w:t>
      </w:r>
      <w:r>
        <w:tab/>
        <w:t>64OAA(1)</w:t>
      </w:r>
    </w:p>
    <w:p>
      <w:pPr>
        <w:pStyle w:val="DefinedTerms"/>
      </w:pPr>
      <w:r>
        <w:t>reserve</w:t>
      </w:r>
      <w:r>
        <w:tab/>
        <w:t>72</w:t>
      </w:r>
    </w:p>
    <w:p>
      <w:pPr>
        <w:pStyle w:val="DefinedTerms"/>
      </w:pPr>
      <w:r>
        <w:t>restricted fishing tour</w:t>
      </w:r>
      <w:r>
        <w:tab/>
        <w:t>128S(1)</w:t>
      </w:r>
    </w:p>
    <w:p>
      <w:pPr>
        <w:pStyle w:val="DefinedTerms"/>
      </w:pPr>
      <w:r>
        <w:t>rock lobster</w:t>
      </w:r>
      <w:r>
        <w:tab/>
        <w:t>64ZCA(2)</w:t>
      </w:r>
    </w:p>
    <w:p>
      <w:pPr>
        <w:pStyle w:val="DefinedTerms"/>
      </w:pPr>
      <w:r>
        <w:t>rock lobster licence</w:t>
      </w:r>
      <w:r>
        <w:tab/>
        <w:t>72</w:t>
      </w:r>
    </w:p>
    <w:p>
      <w:pPr>
        <w:pStyle w:val="DefinedTerms"/>
      </w:pPr>
      <w:r>
        <w:t>rock lobster pot</w:t>
      </w:r>
      <w:r>
        <w:tab/>
        <w:t>3(1)</w:t>
      </w:r>
    </w:p>
    <w:p>
      <w:pPr>
        <w:pStyle w:val="DefinedTerms"/>
      </w:pPr>
      <w:r>
        <w:t>rock lobster pot licence</w:t>
      </w:r>
      <w:r>
        <w:tab/>
        <w:t>3(1)</w:t>
      </w:r>
    </w:p>
    <w:p>
      <w:pPr>
        <w:pStyle w:val="DefinedTerms"/>
      </w:pPr>
      <w:r>
        <w:t>rock lobster tail</w:t>
      </w:r>
      <w:r>
        <w:tab/>
        <w:t>3(1)</w:t>
      </w:r>
    </w:p>
    <w:p>
      <w:pPr>
        <w:pStyle w:val="DefinedTerms"/>
      </w:pP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 xml:space="preserve"> Reserve</w:t>
      </w:r>
      <w:r>
        <w:tab/>
        <w:t>Sch. 2 Pt. 2 Div. 3 cl. 4(2)</w:t>
      </w:r>
    </w:p>
    <w:p>
      <w:pPr>
        <w:pStyle w:val="DefinedTerms"/>
      </w:pPr>
      <w:smartTag w:uri="urn:schemas-microsoft-com:office:smarttags" w:element="place">
        <w:smartTag w:uri="urn:schemas-microsoft-com:office:smarttags" w:element="PlaceName">
          <w:r>
            <w:t>Rowley</w:t>
          </w:r>
        </w:smartTag>
        <w:r>
          <w:t xml:space="preserve"> </w:t>
        </w:r>
        <w:smartTag w:uri="urn:schemas-microsoft-com:office:smarttags" w:element="PlaceName">
          <w:r>
            <w:t>Shoals</w:t>
          </w:r>
        </w:smartTag>
        <w:r>
          <w:t xml:space="preserve"> </w:t>
        </w:r>
        <w:smartTag w:uri="urn:schemas-microsoft-com:office:smarttags" w:element="PlaceName">
          <w:r>
            <w:t>Marine</w:t>
          </w:r>
        </w:smartTag>
        <w:r>
          <w:t xml:space="preserve"> </w:t>
        </w:r>
        <w:smartTag w:uri="urn:schemas-microsoft-com:office:smarttags" w:element="PlaceType">
          <w:r>
            <w:t>Park</w:t>
          </w:r>
        </w:smartTag>
      </w:smartTag>
      <w:r>
        <w:tab/>
        <w:t>Sch. 2 Pt. 2 Div. 2</w:t>
      </w:r>
    </w:p>
    <w:p>
      <w:pPr>
        <w:pStyle w:val="DefinedTerms"/>
      </w:pPr>
      <w:r>
        <w:t>sea lion exclusion device</w:t>
      </w:r>
      <w:r>
        <w:tab/>
        <w:t>38(3)</w:t>
      </w:r>
    </w:p>
    <w:p>
      <w:pPr>
        <w:pStyle w:val="DefinedTerms"/>
      </w:pPr>
      <w:r>
        <w:t>Sea Lion Protection Zone</w:t>
      </w:r>
      <w:r>
        <w:tab/>
        <w:t>38(1)</w:t>
      </w:r>
    </w:p>
    <w:p>
      <w:pPr>
        <w:pStyle w:val="DefinedTerms"/>
      </w:pPr>
      <w:r>
        <w:t>section 224</w:t>
      </w:r>
      <w:r>
        <w:tab/>
        <w:t>129A</w:t>
      </w:r>
    </w:p>
    <w:p>
      <w:pPr>
        <w:pStyle w:val="DefinedTerms"/>
      </w:pPr>
      <w:r>
        <w:t>set</w:t>
      </w:r>
      <w:r>
        <w:tab/>
        <w:t>3(1)</w:t>
      </w:r>
    </w:p>
    <w:p>
      <w:pPr>
        <w:pStyle w:val="DefinedTerms"/>
      </w:pPr>
      <w:r>
        <w:t>setose</w:t>
      </w:r>
      <w:r>
        <w:tab/>
        <w:t>Sch. 2 Pt. 2 Div. 1</w:t>
      </w:r>
    </w:p>
    <w:p>
      <w:pPr>
        <w:pStyle w:val="DefinedTerms"/>
      </w:pPr>
      <w:r>
        <w:t>share arrangement</w:t>
      </w:r>
      <w:r>
        <w:tab/>
        <w:t>72</w:t>
      </w:r>
    </w:p>
    <w:p>
      <w:pPr>
        <w:pStyle w:val="DefinedTerms"/>
      </w:pPr>
      <w:r>
        <w:t>single</w:t>
      </w:r>
      <w:r>
        <w:noBreakHyphen/>
        <w:t>sided fillet</w:t>
      </w:r>
      <w:r>
        <w:tab/>
        <w:t>3(1), 16E(1), 16M(3)</w:t>
      </w:r>
    </w:p>
    <w:p>
      <w:pPr>
        <w:pStyle w:val="DefinedTerms"/>
      </w:pP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r>
        <w:tab/>
        <w:t>3(1)</w:t>
      </w:r>
    </w:p>
    <w:p>
      <w:pPr>
        <w:pStyle w:val="DefinedTerms"/>
      </w:pPr>
      <w:r>
        <w:t>special risk finfish</w:t>
      </w:r>
      <w:r>
        <w:tab/>
        <w:t>3(1), 14(1)</w:t>
      </w:r>
    </w:p>
    <w:p>
      <w:pPr>
        <w:pStyle w:val="DefinedTerms"/>
      </w:pPr>
      <w:r>
        <w:t>store</w:t>
      </w:r>
      <w:r>
        <w:tab/>
        <w:t>22(5)</w:t>
      </w:r>
    </w:p>
    <w:p>
      <w:pPr>
        <w:pStyle w:val="DefinedTerms"/>
      </w:pPr>
      <w:r>
        <w:t>structure</w:t>
      </w:r>
      <w:r>
        <w:tab/>
        <w:t>87</w:t>
      </w:r>
    </w:p>
    <w:p>
      <w:pPr>
        <w:pStyle w:val="DefinedTerms"/>
        <w:sectPr>
          <w:headerReference w:type="even" r:id="rId57"/>
          <w:headerReference w:type="default" r:id="rId58"/>
          <w:headerReference w:type="first" r:id="rId59"/>
          <w:pgSz w:w="11906" w:h="16838" w:code="9"/>
          <w:pgMar w:top="2381" w:right="2409" w:bottom="3543" w:left="2409" w:header="720" w:footer="3380" w:gutter="0"/>
          <w:cols w:space="720"/>
          <w:noEndnote/>
          <w:docGrid w:linePitch="326"/>
        </w:sectPr>
      </w:pPr>
    </w:p>
    <w:p>
      <w:pPr>
        <w:pStyle w:val="DefinedTerms"/>
      </w:pPr>
      <w:r>
        <w:t>sunrise</w:t>
      </w:r>
      <w:r>
        <w:tab/>
        <w:t>3(1)</w:t>
      </w:r>
    </w:p>
    <w:p>
      <w:pPr>
        <w:pStyle w:val="DefinedTerms"/>
      </w:pPr>
      <w:r>
        <w:t>sunset</w:t>
      </w:r>
      <w:r>
        <w:tab/>
        <w:t>3(1)</w:t>
      </w:r>
    </w:p>
    <w:p>
      <w:pPr>
        <w:pStyle w:val="DefinedTerms"/>
      </w:pPr>
      <w:r>
        <w:t>tail clip</w:t>
      </w:r>
      <w:r>
        <w:tab/>
        <w:t>31(3)</w:t>
      </w:r>
    </w:p>
    <w:p>
      <w:pPr>
        <w:pStyle w:val="DefinedTerms"/>
      </w:pPr>
      <w:r>
        <w:t>tail punch</w:t>
      </w:r>
      <w:r>
        <w:tab/>
        <w:t>31(3)</w:t>
      </w:r>
    </w:p>
    <w:p>
      <w:pPr>
        <w:pStyle w:val="DefinedTerms"/>
      </w:pPr>
      <w:r>
        <w:t>tarspot</w:t>
      </w:r>
      <w:r>
        <w:tab/>
        <w:t>Sch. 2 Pt. 2 Div. 1</w:t>
      </w:r>
    </w:p>
    <w:p>
      <w:pPr>
        <w:pStyle w:val="DefinedTerms"/>
      </w:pPr>
      <w:r>
        <w:t>unauthorised structure</w:t>
      </w:r>
      <w:r>
        <w:tab/>
        <w:t>87</w:t>
      </w:r>
    </w:p>
    <w:p>
      <w:pPr>
        <w:pStyle w:val="DefinedTerms"/>
      </w:pPr>
      <w:r>
        <w:t>unlicensed person</w:t>
      </w:r>
      <w:r>
        <w:tab/>
        <w:t>124B(3)</w:t>
      </w:r>
    </w:p>
    <w:p>
      <w:pPr>
        <w:pStyle w:val="DefinedTerms"/>
      </w:pPr>
      <w:r>
        <w:t>usual entitlement</w:t>
      </w:r>
      <w:r>
        <w:tab/>
        <w:t>118A(2)</w:t>
      </w:r>
    </w:p>
    <w:p>
      <w:pPr>
        <w:pStyle w:val="DefinedTerms"/>
      </w:pPr>
      <w:r>
        <w:t>waters of Point Quobba</w:t>
      </w:r>
      <w:r>
        <w:tab/>
        <w:t>113D</w:t>
      </w:r>
    </w:p>
    <w:p>
      <w:pPr>
        <w:pStyle w:val="DefinedTerms"/>
      </w:pPr>
      <w:r>
        <w:t>waters of Shark Bay</w:t>
      </w:r>
      <w:r>
        <w:tab/>
        <w:t>3(1)</w:t>
      </w:r>
    </w:p>
    <w:p>
      <w:pPr>
        <w:pStyle w:val="DefinedTerms"/>
      </w:pPr>
      <w:r>
        <w:t xml:space="preserve">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eastern gulf</w:t>
      </w:r>
      <w:r>
        <w:tab/>
        <w:t>3(1)</w:t>
      </w:r>
    </w:p>
    <w:p>
      <w:pPr>
        <w:pStyle w:val="DefinedTerms"/>
      </w:pPr>
      <w:r>
        <w:t xml:space="preserve">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western gulf</w:t>
      </w:r>
      <w:r>
        <w:tab/>
        <w:t>3(1)</w:t>
      </w:r>
    </w:p>
    <w:p>
      <w:pPr>
        <w:pStyle w:val="DefinedTerms"/>
      </w:pPr>
      <w:r>
        <w:t>WCRL Managed Fishery</w:t>
      </w:r>
      <w:r>
        <w:tab/>
        <w:t>55E</w:t>
      </w:r>
    </w:p>
    <w:p>
      <w:pPr>
        <w:pStyle w:val="DefinedTerms"/>
      </w:pPr>
      <w:r>
        <w:t>West Coast Demersal Scalefish (Interim) Managed Fishery</w:t>
      </w:r>
      <w:r>
        <w:tab/>
        <w:t>64OAA(1)</w:t>
      </w:r>
    </w:p>
    <w:p>
      <w:pPr>
        <w:pStyle w:val="DefinedTerms"/>
      </w:pPr>
      <w:r>
        <w:t>West Coast Purse Seine Managed Fishery boat</w:t>
      </w:r>
      <w:r>
        <w:tab/>
        <w:t>64ZE(1)</w:t>
      </w:r>
    </w:p>
    <w:p>
      <w:pPr>
        <w:pStyle w:val="DefinedTerms"/>
      </w:pPr>
      <w:r>
        <w:t>West Coast Region</w:t>
      </w:r>
      <w:r>
        <w:tab/>
        <w:t>3(1)</w:t>
      </w:r>
    </w:p>
    <w:p>
      <w:pPr>
        <w:pStyle w:val="DefinedTerms"/>
      </w:pPr>
      <w:r>
        <w:t>western gulf land area</w:t>
      </w:r>
      <w:r>
        <w:tab/>
        <w:t>3(1)</w:t>
      </w:r>
    </w:p>
    <w:p>
      <w:pPr>
        <w:pStyle w:val="DefinedTerms"/>
      </w:pPr>
      <w:r>
        <w:t>whole fish</w:t>
      </w:r>
      <w:r>
        <w:tab/>
        <w:t>3(1)</w:t>
      </w:r>
    </w:p>
    <w:p>
      <w:pPr>
        <w:pStyle w:val="DefinedTerms"/>
      </w:pPr>
      <w:r>
        <w:t>whole shark or ray</w:t>
      </w:r>
      <w:r>
        <w:tab/>
        <w:t>16B(5)</w:t>
      </w:r>
    </w:p>
    <w:p>
      <w:pPr>
        <w:pStyle w:val="DefinedTerms"/>
      </w:pPr>
    </w:p>
    <w:p>
      <w:pPr>
        <w:pStyle w:val="DefinedTerms"/>
      </w:pPr>
    </w:p>
    <w:p>
      <w:pPr>
        <w:sectPr>
          <w:headerReference w:type="even" r:id="rId60"/>
          <w:pgSz w:w="11906" w:h="16838" w:code="9"/>
          <w:pgMar w:top="2381" w:right="2409" w:bottom="3543" w:left="2409" w:header="720" w:footer="3380" w:gutter="0"/>
          <w:cols w:space="720"/>
          <w:noEndnote/>
          <w:docGrid w:linePitch="326"/>
        </w:sectPr>
      </w:pPr>
    </w:p>
    <w:p/>
    <w:p/>
    <w:p/>
    <w:sectPr>
      <w:headerReference w:type="even" r:id="rId61"/>
      <w:headerReference w:type="default" r:id="rId62"/>
      <w:headerReference w:type="first" r:id="rId63"/>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WP MathA">
    <w:altName w:val="Courier New"/>
    <w:charset w:val="00"/>
    <w:family w:val="auto"/>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10-g0-03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Nov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Nov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10-g0-03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Nov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10-g0-03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10-g0-03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Nov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Nov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10-g0-03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xix</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Nov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10-g0-03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306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10-g0-03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Nov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Nov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10-g0-03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305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Nov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10-g0-03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1</w:t>
          </w:r>
          <w:r>
            <w:fldChar w:fldCharType="end"/>
          </w:r>
        </w:p>
      </w:tc>
      <w:tc>
        <w:tcPr>
          <w:tcW w:w="5715" w:type="dxa"/>
          <w:vAlign w:val="bottom"/>
        </w:tcPr>
        <w:p>
          <w:pPr>
            <w:pStyle w:val="HeaderTextLeft"/>
          </w:pPr>
          <w:fldSimple w:instr=" styleref CharSDivText ">
            <w:r>
              <w:rPr>
                <w:noProof/>
              </w:rPr>
              <w:t>General fees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57"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vAlign w:val="bottom"/>
        </w:tcPr>
        <w:p>
          <w:pPr>
            <w:pStyle w:val="HeaderTextRight"/>
          </w:pPr>
          <w:fldSimple w:instr=" styleref CharSDivText ">
            <w:r>
              <w:rPr>
                <w:noProof/>
              </w:rPr>
              <w:t>General fees</w:t>
            </w:r>
          </w:fldSimple>
        </w:p>
      </w:tc>
      <w:tc>
        <w:tcPr>
          <w:tcW w:w="1557" w:type="dxa"/>
        </w:tcPr>
        <w:p>
          <w:pPr>
            <w:pStyle w:val="HeaderNumberRight"/>
            <w:ind w:right="17"/>
          </w:pPr>
          <w:r>
            <w:fldChar w:fldCharType="begin"/>
          </w:r>
          <w:r>
            <w:instrText xml:space="preserve"> STYLEREF CharSDivNo \* charformat</w:instrText>
          </w:r>
          <w:r>
            <w:fldChar w:fldCharType="separate"/>
          </w:r>
          <w:r>
            <w:rPr>
              <w:noProof/>
            </w:rPr>
            <w:t>Part 1</w:t>
          </w:r>
          <w:r>
            <w:fldChar w:fldCharType="end"/>
          </w: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3</w:t>
            </w:r>
          </w:fldSimple>
        </w:p>
      </w:tc>
      <w:tc>
        <w:tcPr>
          <w:tcW w:w="5715" w:type="dxa"/>
          <w:vAlign w:val="bottom"/>
        </w:tcPr>
        <w:p>
          <w:pPr>
            <w:pStyle w:val="HeaderTextLeft"/>
          </w:pPr>
          <w:fldSimple w:instr=" styleref CharSchText ">
            <w:r>
              <w:rPr>
                <w:noProof/>
              </w:rPr>
              <w:t>Bag limits</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Bag limits</w:t>
            </w:r>
          </w:fldSimple>
        </w:p>
      </w:tc>
      <w:tc>
        <w:tcPr>
          <w:tcW w:w="1557" w:type="dxa"/>
        </w:tcPr>
        <w:p>
          <w:pPr>
            <w:pStyle w:val="HeaderNumberRight"/>
            <w:ind w:right="17"/>
            <w:rPr>
              <w:b w:val="0"/>
            </w:rPr>
          </w:pPr>
          <w:fldSimple w:instr=" styleref CharSchno ">
            <w:r>
              <w:rPr>
                <w:noProof/>
              </w:rPr>
              <w:t>Schedule 3</w:t>
            </w:r>
          </w:fldSimple>
        </w:p>
      </w:tc>
    </w:tr>
    <w:tr>
      <w:tc>
        <w:tcPr>
          <w:tcW w:w="5715" w:type="dxa"/>
          <w:vAlign w:val="bottom"/>
        </w:tcPr>
        <w:p>
          <w:pPr>
            <w:pStyle w:val="HeaderTextRight"/>
          </w:pPr>
        </w:p>
      </w:tc>
      <w:tc>
        <w:tcPr>
          <w:tcW w:w="1557" w:type="dxa"/>
        </w:tcPr>
        <w:p>
          <w:pPr>
            <w:pStyle w:val="HeaderNumberRight"/>
            <w:ind w:right="17"/>
          </w:pP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7</w:t>
            </w:r>
          </w:fldSimple>
        </w:p>
      </w:tc>
      <w:tc>
        <w:tcPr>
          <w:tcW w:w="5715" w:type="dxa"/>
          <w:vAlign w:val="bottom"/>
        </w:tcPr>
        <w:p>
          <w:pPr>
            <w:pStyle w:val="HeaderTextLeft"/>
          </w:pPr>
          <w:fldSimple w:instr=" styleref CharSchText ">
            <w:r>
              <w:rPr>
                <w:noProof/>
              </w:rPr>
              <w:t>List of common and scientific names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5</w:t>
          </w:r>
          <w:r>
            <w:fldChar w:fldCharType="end"/>
          </w:r>
        </w:p>
      </w:tc>
      <w:tc>
        <w:tcPr>
          <w:tcW w:w="5715" w:type="dxa"/>
          <w:vAlign w:val="bottom"/>
        </w:tcPr>
        <w:p>
          <w:pPr>
            <w:pStyle w:val="HeaderTextLeft"/>
          </w:pPr>
          <w:fldSimple w:instr=" styleref CharSDivText ">
            <w:r>
              <w:rPr>
                <w:noProof/>
              </w:rPr>
              <w:t>Bag limits for persons on West Coast Purse Seine Managed Fishery Boat</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List of common and scientific names</w:t>
            </w:r>
          </w:fldSimple>
        </w:p>
      </w:tc>
      <w:tc>
        <w:tcPr>
          <w:tcW w:w="1557" w:type="dxa"/>
        </w:tcPr>
        <w:p>
          <w:pPr>
            <w:pStyle w:val="HeaderNumberRight"/>
            <w:ind w:right="17"/>
            <w:rPr>
              <w:b w:val="0"/>
            </w:rPr>
          </w:pPr>
          <w:fldSimple w:instr=" styleref CharSchno ">
            <w:r>
              <w:rPr>
                <w:noProof/>
              </w:rPr>
              <w:t>Schedule 7</w:t>
            </w:r>
          </w:fldSimple>
        </w:p>
      </w:tc>
    </w:tr>
    <w:tr>
      <w:tc>
        <w:tcPr>
          <w:tcW w:w="5715" w:type="dxa"/>
          <w:vAlign w:val="bottom"/>
        </w:tcPr>
        <w:p>
          <w:pPr>
            <w:pStyle w:val="HeaderTextRight"/>
          </w:pPr>
          <w:fldSimple w:instr=" styleref CharSDivText ">
            <w:r>
              <w:rPr>
                <w:noProof/>
              </w:rPr>
              <w:t>Bag limits for persons on West Coast Purse Seine Managed Fishery Boat</w:t>
            </w:r>
          </w:fldSimple>
        </w:p>
      </w:tc>
      <w:tc>
        <w:tcPr>
          <w:tcW w:w="1557" w:type="dxa"/>
        </w:tcPr>
        <w:p>
          <w:pPr>
            <w:pStyle w:val="HeaderNumberRight"/>
            <w:ind w:right="17"/>
          </w:pPr>
          <w:r>
            <w:fldChar w:fldCharType="begin"/>
          </w:r>
          <w:r>
            <w:instrText xml:space="preserve"> STYLEREF CharSDivNo \* charformat</w:instrText>
          </w:r>
          <w:r>
            <w:fldChar w:fldCharType="separate"/>
          </w:r>
          <w:r>
            <w:rPr>
              <w:noProof/>
            </w:rPr>
            <w:t>Part 5</w:t>
          </w:r>
          <w:r>
            <w:fldChar w:fldCharType="end"/>
          </w: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10</w:t>
            </w:r>
          </w:fldSimple>
        </w:p>
      </w:tc>
      <w:tc>
        <w:tcPr>
          <w:tcW w:w="5715" w:type="dxa"/>
          <w:vAlign w:val="bottom"/>
        </w:tcPr>
        <w:p>
          <w:pPr>
            <w:pStyle w:val="HeaderTextLeft"/>
          </w:pPr>
          <w:fldSimple w:instr=" styleref CharSchText ">
            <w:r>
              <w:rPr>
                <w:noProof/>
              </w:rPr>
              <w:t>Non-endemic species of fish permitted to be brought into the State</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Non-endemic species of fish permitted to be brought into the State</w:t>
            </w:r>
          </w:fldSimple>
        </w:p>
      </w:tc>
      <w:tc>
        <w:tcPr>
          <w:tcW w:w="1557" w:type="dxa"/>
        </w:tcPr>
        <w:p>
          <w:pPr>
            <w:pStyle w:val="HeaderNumberRight"/>
            <w:ind w:right="17"/>
            <w:rPr>
              <w:b w:val="0"/>
            </w:rPr>
          </w:pPr>
          <w:fldSimple w:instr=" styleref CharSchno ">
            <w:r>
              <w:rPr>
                <w:noProof/>
              </w:rPr>
              <w:t>Schedule 10</w:t>
            </w:r>
          </w:fldSimple>
        </w:p>
      </w:tc>
    </w:tr>
    <w:tr>
      <w:tc>
        <w:tcPr>
          <w:tcW w:w="5715" w:type="dxa"/>
          <w:vAlign w:val="bottom"/>
        </w:tcPr>
        <w:p>
          <w:pPr>
            <w:pStyle w:val="HeaderTextRight"/>
          </w:pPr>
        </w:p>
      </w:tc>
      <w:tc>
        <w:tcPr>
          <w:tcW w:w="1557" w:type="dxa"/>
        </w:tcPr>
        <w:p>
          <w:pPr>
            <w:pStyle w:val="HeaderNumberRight"/>
            <w:ind w:right="17"/>
          </w:pP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12</w:t>
            </w:r>
          </w:fldSimple>
        </w:p>
      </w:tc>
      <w:tc>
        <w:tcPr>
          <w:tcW w:w="5715" w:type="dxa"/>
          <w:vAlign w:val="bottom"/>
        </w:tcPr>
        <w:p>
          <w:pPr>
            <w:pStyle w:val="HeaderTextLeft"/>
          </w:pPr>
          <w:fldSimple w:instr=" styleref CharSchText ">
            <w:r>
              <w:rPr>
                <w:noProof/>
              </w:rPr>
              <w:t>Modified penalties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2</w:t>
          </w:r>
          <w:r>
            <w:fldChar w:fldCharType="end"/>
          </w:r>
        </w:p>
      </w:tc>
      <w:tc>
        <w:tcPr>
          <w:tcW w:w="5715" w:type="dxa"/>
          <w:vAlign w:val="bottom"/>
        </w:tcPr>
        <w:p>
          <w:pPr>
            <w:pStyle w:val="HeaderTextLeft"/>
          </w:pPr>
          <w:fldSimple w:instr=" styleref CharSDivText ">
            <w:r>
              <w:rPr>
                <w:noProof/>
              </w:rPr>
              <w:t>Species of fish not endemic to Australia</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c>
        <w:tcPr>
          <w:tcW w:w="5715" w:type="dxa"/>
        </w:tcPr>
        <w:p>
          <w:pPr>
            <w:pStyle w:val="HeaderTextLef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Modified penalties</w:t>
            </w:r>
          </w:fldSimple>
        </w:p>
      </w:tc>
      <w:tc>
        <w:tcPr>
          <w:tcW w:w="1557" w:type="dxa"/>
        </w:tcPr>
        <w:p>
          <w:pPr>
            <w:pStyle w:val="HeaderNumberRight"/>
            <w:ind w:right="17"/>
            <w:rPr>
              <w:b w:val="0"/>
            </w:rPr>
          </w:pPr>
          <w:fldSimple w:instr=" styleref CharSchno ">
            <w:r>
              <w:rPr>
                <w:noProof/>
              </w:rPr>
              <w:t>Schedule 12</w:t>
            </w:r>
          </w:fldSimple>
        </w:p>
      </w:tc>
    </w:tr>
    <w:tr>
      <w:tc>
        <w:tcPr>
          <w:tcW w:w="5715" w:type="dxa"/>
          <w:vAlign w:val="bottom"/>
        </w:tcPr>
        <w:p>
          <w:pPr>
            <w:pStyle w:val="HeaderTextRight"/>
          </w:pPr>
          <w:fldSimple w:instr=" styleref CharSDivText ">
            <w:r>
              <w:rPr>
                <w:noProof/>
              </w:rPr>
              <w:t>Species of fish not endemic to Australia</w:t>
            </w:r>
          </w:fldSimple>
        </w:p>
      </w:tc>
      <w:tc>
        <w:tcPr>
          <w:tcW w:w="1557" w:type="dxa"/>
        </w:tcPr>
        <w:p>
          <w:pPr>
            <w:pStyle w:val="HeaderNumberRight"/>
            <w:ind w:right="17"/>
          </w:pPr>
          <w:r>
            <w:fldChar w:fldCharType="begin"/>
          </w:r>
          <w:r>
            <w:instrText xml:space="preserve"> STYLEREF CharSDivNo \* charformat</w:instrText>
          </w:r>
          <w:r>
            <w:fldChar w:fldCharType="separate"/>
          </w:r>
          <w:r>
            <w:rPr>
              <w:noProof/>
            </w:rPr>
            <w:t>Part 2</w:t>
          </w:r>
          <w:r>
            <w:fldChar w:fldCharType="end"/>
          </w:r>
        </w:p>
      </w:tc>
    </w:tr>
    <w:tr>
      <w:tc>
        <w:tcPr>
          <w:tcW w:w="5715" w:type="dxa"/>
        </w:tcPr>
        <w:p>
          <w:pPr>
            <w:pStyle w:val="HeaderTextLeft"/>
            <w:jc w:val="right"/>
          </w:pPr>
        </w:p>
      </w:tc>
      <w:tc>
        <w:tcPr>
          <w:tcW w:w="1557" w:type="dxa"/>
        </w:tcPr>
        <w:p>
          <w:pPr>
            <w:pStyle w:val="HeaderNumberRight"/>
            <w:ind w:right="17"/>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13</w:t>
            </w:r>
          </w:fldSimple>
        </w:p>
      </w:tc>
      <w:tc>
        <w:tcPr>
          <w:tcW w:w="5715" w:type="dxa"/>
          <w:vAlign w:val="bottom"/>
        </w:tcPr>
        <w:p>
          <w:pPr>
            <w:pStyle w:val="HeaderTextLeft"/>
          </w:pPr>
          <w:fldSimple w:instr=" styleref CharSchText ">
            <w:r>
              <w:rPr>
                <w:noProof/>
              </w:rPr>
              <w:t>Specifications for rock lobster pots</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Specifications for rock lobster pots</w:t>
            </w:r>
          </w:fldSimple>
        </w:p>
      </w:tc>
      <w:tc>
        <w:tcPr>
          <w:tcW w:w="1557" w:type="dxa"/>
        </w:tcPr>
        <w:p>
          <w:pPr>
            <w:pStyle w:val="HeaderNumberRight"/>
            <w:ind w:right="17"/>
            <w:rPr>
              <w:b w:val="0"/>
            </w:rPr>
          </w:pPr>
          <w:fldSimple w:instr=" styleref CharSchno ">
            <w:r>
              <w:rPr>
                <w:noProof/>
              </w:rPr>
              <w:t>Schedule 13</w:t>
            </w:r>
          </w:fldSimple>
        </w:p>
      </w:tc>
    </w:tr>
    <w:tr>
      <w:tc>
        <w:tcPr>
          <w:tcW w:w="5715" w:type="dxa"/>
          <w:vAlign w:val="bottom"/>
        </w:tcPr>
        <w:p>
          <w:pPr>
            <w:pStyle w:val="HeaderTextRight"/>
          </w:pPr>
        </w:p>
      </w:tc>
      <w:tc>
        <w:tcPr>
          <w:tcW w:w="1557" w:type="dxa"/>
        </w:tcPr>
        <w:p>
          <w:pPr>
            <w:pStyle w:val="HeaderNumberRight"/>
            <w:ind w:right="17"/>
          </w:pP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14</w:t>
            </w:r>
          </w:fldSimple>
        </w:p>
      </w:tc>
      <w:tc>
        <w:tcPr>
          <w:tcW w:w="5715" w:type="dxa"/>
          <w:vAlign w:val="bottom"/>
        </w:tcPr>
        <w:p>
          <w:pPr>
            <w:pStyle w:val="HeaderTextLeft"/>
          </w:pPr>
          <w:fldSimple w:instr=" styleref CharSchText ">
            <w:r>
              <w:rPr>
                <w:noProof/>
              </w:rPr>
              <w:t>Forms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3</w:t>
          </w:r>
          <w:r>
            <w:fldChar w:fldCharType="end"/>
          </w:r>
        </w:p>
      </w:tc>
      <w:tc>
        <w:tcPr>
          <w:tcW w:w="5715" w:type="dxa"/>
          <w:vAlign w:val="bottom"/>
        </w:tcPr>
        <w:p>
          <w:pPr>
            <w:pStyle w:val="HeaderTextLeft"/>
          </w:pPr>
          <w:fldSimple w:instr=" styleref CharSDivText ">
            <w:r>
              <w:rPr>
                <w:noProof/>
              </w:rPr>
              <w:t>All other waters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c>
        <w:tcPr>
          <w:tcW w:w="5715" w:type="dxa"/>
        </w:tcPr>
        <w:p>
          <w:pPr>
            <w:pStyle w:val="HeaderTextLeft"/>
          </w:pP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Forms</w:t>
            </w:r>
          </w:fldSimple>
        </w:p>
      </w:tc>
      <w:tc>
        <w:tcPr>
          <w:tcW w:w="1557" w:type="dxa"/>
        </w:tcPr>
        <w:p>
          <w:pPr>
            <w:pStyle w:val="HeaderNumberRight"/>
            <w:ind w:right="17"/>
            <w:rPr>
              <w:b w:val="0"/>
            </w:rPr>
          </w:pPr>
          <w:fldSimple w:instr=" styleref CharSchno ">
            <w:r>
              <w:rPr>
                <w:noProof/>
              </w:rPr>
              <w:t>Schedule 14</w:t>
            </w:r>
          </w:fldSimple>
        </w:p>
      </w:tc>
    </w:tr>
    <w:tr>
      <w:tc>
        <w:tcPr>
          <w:tcW w:w="5715" w:type="dxa"/>
          <w:vAlign w:val="bottom"/>
        </w:tcPr>
        <w:p>
          <w:pPr>
            <w:pStyle w:val="HeaderTextRight"/>
          </w:pPr>
          <w:fldSimple w:instr=" styleref CharSDivText ">
            <w:r>
              <w:rPr>
                <w:noProof/>
              </w:rPr>
              <w:t>All other waters</w:t>
            </w:r>
          </w:fldSimple>
        </w:p>
      </w:tc>
      <w:tc>
        <w:tcPr>
          <w:tcW w:w="1557" w:type="dxa"/>
        </w:tcPr>
        <w:p>
          <w:pPr>
            <w:pStyle w:val="HeaderNumberRight"/>
            <w:ind w:right="17"/>
          </w:pPr>
          <w:r>
            <w:fldChar w:fldCharType="begin"/>
          </w:r>
          <w:r>
            <w:instrText xml:space="preserve"> STYLEREF CharSDivNo \* charformat</w:instrText>
          </w:r>
          <w:r>
            <w:fldChar w:fldCharType="separate"/>
          </w:r>
          <w:r>
            <w:rPr>
              <w:noProof/>
            </w:rPr>
            <w:t>Part 3</w:t>
          </w:r>
          <w:r>
            <w:fldChar w:fldCharType="end"/>
          </w:r>
        </w:p>
      </w:tc>
    </w:tr>
    <w:tr>
      <w:tc>
        <w:tcPr>
          <w:tcW w:w="5715" w:type="dxa"/>
        </w:tcPr>
        <w:p>
          <w:pPr>
            <w:pStyle w:val="HeaderTextLeft"/>
            <w:jc w:val="right"/>
          </w:pPr>
        </w:p>
      </w:tc>
      <w:tc>
        <w:tcPr>
          <w:tcW w:w="1557" w:type="dxa"/>
        </w:tcPr>
        <w:p>
          <w:pPr>
            <w:pStyle w:val="HeaderNumberRight"/>
            <w:ind w:right="17"/>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p>
      </w:tc>
      <w:tc>
        <w:tcPr>
          <w:tcW w:w="1557" w:type="dxa"/>
        </w:tcPr>
        <w:p>
          <w:pPr>
            <w:pStyle w:val="HeaderNumberRight"/>
            <w:ind w:right="17"/>
            <w:rPr>
              <w:b w:val="0"/>
            </w:rPr>
          </w:pPr>
        </w:p>
      </w:tc>
    </w:tr>
    <w:tr>
      <w:tc>
        <w:tcPr>
          <w:tcW w:w="5715" w:type="dxa"/>
          <w:vAlign w:val="bottom"/>
        </w:tcPr>
        <w:p>
          <w:pPr>
            <w:pStyle w:val="HeaderTextRight"/>
          </w:pPr>
          <w:r>
            <w:fldChar w:fldCharType="begin"/>
          </w:r>
          <w:r>
            <w:instrText xml:space="preserve"> styleref CharSDivText </w:instrText>
          </w:r>
          <w:r>
            <w:fldChar w:fldCharType="end"/>
          </w:r>
        </w:p>
      </w:tc>
      <w:tc>
        <w:tcPr>
          <w:tcW w:w="1557"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rPr>
              <w:b w:val="0"/>
            </w:rPr>
          </w:pPr>
        </w:p>
      </w:tc>
      <w:tc>
        <w:tcPr>
          <w:tcW w:w="5715" w:type="dxa"/>
          <w:vAlign w:val="bottom"/>
        </w:tcPr>
        <w:p>
          <w:pPr>
            <w:pStyle w:val="HeaderTextLeft"/>
          </w:pPr>
        </w:p>
      </w:tc>
    </w:tr>
    <w:tr>
      <w:tc>
        <w:tcPr>
          <w:tcW w:w="7263" w:type="dxa"/>
          <w:gridSpan w:val="2"/>
        </w:tcPr>
        <w:p>
          <w:pPr>
            <w:pStyle w:val="HeaderTextLeft"/>
            <w:rPr>
              <w:b/>
            </w:rPr>
          </w:pPr>
          <w:r>
            <w:rPr>
              <w:b/>
            </w:rPr>
            <w:t>Defined Terms</w:t>
          </w:r>
        </w:p>
      </w:tc>
    </w:tr>
  </w:tbl>
  <w:p>
    <w:pPr>
      <w:pStyle w:val="Header"/>
      <w:pBdr>
        <w:top w:val="single" w:sz="4" w:space="1" w:color="auto"/>
      </w:pBd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p>
      </w:tc>
      <w:tc>
        <w:tcPr>
          <w:tcW w:w="1557" w:type="dxa"/>
        </w:tcPr>
        <w:p>
          <w:pPr>
            <w:pStyle w:val="HeaderNumberRight"/>
            <w:ind w:right="17"/>
            <w:rPr>
              <w:b w:val="0"/>
            </w:rPr>
          </w:pPr>
        </w:p>
      </w:tc>
    </w:tr>
    <w:tr>
      <w:tc>
        <w:tcPr>
          <w:tcW w:w="5715" w:type="dxa"/>
          <w:vAlign w:val="bottom"/>
        </w:tcPr>
        <w:p>
          <w:pPr>
            <w:pStyle w:val="HeaderTextRight"/>
          </w:pPr>
        </w:p>
      </w:tc>
      <w:tc>
        <w:tcPr>
          <w:tcW w:w="1557" w:type="dxa"/>
        </w:tcPr>
        <w:p>
          <w:pPr>
            <w:pStyle w:val="HeaderNumberRight"/>
            <w:ind w:right="17"/>
          </w:pPr>
        </w:p>
      </w:tc>
    </w:tr>
    <w:tr>
      <w:tc>
        <w:tcPr>
          <w:tcW w:w="7272" w:type="dxa"/>
          <w:gridSpan w:val="2"/>
        </w:tcPr>
        <w:p>
          <w:pPr>
            <w:pStyle w:val="HeaderNumberRight"/>
            <w:ind w:right="17"/>
          </w:pPr>
          <w:r>
            <w:t>Defined Terms</w:t>
          </w:r>
        </w:p>
      </w:tc>
    </w:tr>
  </w:tbl>
  <w:p>
    <w:pPr>
      <w:pStyle w:val="Header"/>
      <w:pBdr>
        <w:top w:val="single" w:sz="4" w:space="1" w:color="auto"/>
      </w:pBd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rPr>
              <w:b w:val="0"/>
            </w:rPr>
          </w:pPr>
        </w:p>
      </w:tc>
      <w:tc>
        <w:tcPr>
          <w:tcW w:w="5715" w:type="dxa"/>
          <w:vAlign w:val="bottom"/>
        </w:tcPr>
        <w:p>
          <w:pPr>
            <w:pStyle w:val="HeaderTextLeft"/>
          </w:pPr>
        </w:p>
      </w:tc>
    </w:tr>
    <w:tr>
      <w:tc>
        <w:tcPr>
          <w:tcW w:w="7263" w:type="dxa"/>
          <w:gridSpan w:val="2"/>
        </w:tcPr>
        <w:p>
          <w:pPr>
            <w:pStyle w:val="HeaderTextLeft"/>
            <w:rPr>
              <w:b/>
            </w:rPr>
          </w:pPr>
          <w:r>
            <w:rPr>
              <w:b/>
            </w:rPr>
            <w:t>Defined Terms</w:t>
          </w:r>
        </w:p>
      </w:tc>
    </w:tr>
  </w:tbl>
  <w:p>
    <w:pPr>
      <w:pStyle w:val="Header"/>
      <w:pBdr>
        <w:top w:val="single" w:sz="4" w:space="1" w:color="auto"/>
      </w:pBdr>
    </w:pP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Fish Resources Management Regulations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3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Fish Resources Management Regulations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E7A7A7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F76D9C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9C27E10"/>
    <w:lvl w:ilvl="0">
      <w:start w:val="1"/>
      <w:numFmt w:val="decimal"/>
      <w:pStyle w:val="ListNumber3"/>
      <w:lvlText w:val="%1."/>
      <w:lvlJc w:val="left"/>
      <w:pPr>
        <w:tabs>
          <w:tab w:val="num" w:pos="926"/>
        </w:tabs>
        <w:ind w:left="926" w:hanging="360"/>
      </w:pPr>
    </w:lvl>
  </w:abstractNum>
  <w:abstractNum w:abstractNumId="3">
    <w:nsid w:val="FFFFFF7F"/>
    <w:multiLevelType w:val="singleLevel"/>
    <w:tmpl w:val="C7EC2CA6"/>
    <w:lvl w:ilvl="0">
      <w:start w:val="1"/>
      <w:numFmt w:val="decimal"/>
      <w:pStyle w:val="ListNumber2"/>
      <w:lvlText w:val="%1."/>
      <w:lvlJc w:val="left"/>
      <w:pPr>
        <w:tabs>
          <w:tab w:val="num" w:pos="643"/>
        </w:tabs>
        <w:ind w:left="643" w:hanging="360"/>
      </w:pPr>
    </w:lvl>
  </w:abstractNum>
  <w:abstractNum w:abstractNumId="4">
    <w:nsid w:val="FFFFFF80"/>
    <w:multiLevelType w:val="singleLevel"/>
    <w:tmpl w:val="FDA08BC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F3839E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0609A5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38C569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27A7E38"/>
    <w:lvl w:ilvl="0">
      <w:start w:val="1"/>
      <w:numFmt w:val="decimal"/>
      <w:pStyle w:val="ListNumber"/>
      <w:lvlText w:val="%1."/>
      <w:lvlJc w:val="left"/>
      <w:pPr>
        <w:tabs>
          <w:tab w:val="num" w:pos="360"/>
        </w:tabs>
        <w:ind w:left="360" w:hanging="360"/>
      </w:pPr>
    </w:lvl>
  </w:abstractNum>
  <w:abstractNum w:abstractNumId="9">
    <w:nsid w:val="FFFFFF89"/>
    <w:multiLevelType w:val="singleLevel"/>
    <w:tmpl w:val="2E74629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5">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2FF52EB"/>
    <w:multiLevelType w:val="multilevel"/>
    <w:tmpl w:val="F21488A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
    <w:nsid w:val="3C2808C0"/>
    <w:multiLevelType w:val="singleLevel"/>
    <w:tmpl w:val="474A59EC"/>
    <w:lvl w:ilvl="0">
      <w:start w:val="1"/>
      <w:numFmt w:val="bullet"/>
      <w:pStyle w:val="NotesPerm2"/>
      <w:lvlText w:val=""/>
      <w:lvlJc w:val="left"/>
      <w:pPr>
        <w:tabs>
          <w:tab w:val="num" w:pos="1446"/>
        </w:tabs>
        <w:ind w:left="1446" w:hanging="567"/>
      </w:pPr>
      <w:rPr>
        <w:rFonts w:ascii="Symbol" w:hAnsi="Symbol" w:hint="default"/>
      </w:rPr>
    </w:lvl>
  </w:abstractNum>
  <w:abstractNum w:abstractNumId="26">
    <w:nsid w:val="3EDF2443"/>
    <w:multiLevelType w:val="hybridMultilevel"/>
    <w:tmpl w:val="7EE80FE2"/>
    <w:lvl w:ilvl="0" w:tplc="A6E2D5A4">
      <w:start w:val="3"/>
      <w:numFmt w:val="lowerLetter"/>
      <w:lvlText w:val="(%1)"/>
      <w:lvlJc w:val="left"/>
      <w:pPr>
        <w:tabs>
          <w:tab w:val="num" w:pos="1620"/>
        </w:tabs>
        <w:ind w:left="1620" w:hanging="552"/>
      </w:pPr>
      <w:rPr>
        <w:rFonts w:hint="default"/>
      </w:rPr>
    </w:lvl>
    <w:lvl w:ilvl="1" w:tplc="04090019" w:tentative="1">
      <w:start w:val="1"/>
      <w:numFmt w:val="lowerLetter"/>
      <w:lvlText w:val="%2."/>
      <w:lvlJc w:val="left"/>
      <w:pPr>
        <w:tabs>
          <w:tab w:val="num" w:pos="2148"/>
        </w:tabs>
        <w:ind w:left="2148" w:hanging="360"/>
      </w:pPr>
    </w:lvl>
    <w:lvl w:ilvl="2" w:tplc="0409001B" w:tentative="1">
      <w:start w:val="1"/>
      <w:numFmt w:val="lowerRoman"/>
      <w:lvlText w:val="%3."/>
      <w:lvlJc w:val="right"/>
      <w:pPr>
        <w:tabs>
          <w:tab w:val="num" w:pos="2868"/>
        </w:tabs>
        <w:ind w:left="2868" w:hanging="180"/>
      </w:pPr>
    </w:lvl>
    <w:lvl w:ilvl="3" w:tplc="0409000F" w:tentative="1">
      <w:start w:val="1"/>
      <w:numFmt w:val="decimal"/>
      <w:lvlText w:val="%4."/>
      <w:lvlJc w:val="left"/>
      <w:pPr>
        <w:tabs>
          <w:tab w:val="num" w:pos="3588"/>
        </w:tabs>
        <w:ind w:left="3588" w:hanging="360"/>
      </w:pPr>
    </w:lvl>
    <w:lvl w:ilvl="4" w:tplc="04090019" w:tentative="1">
      <w:start w:val="1"/>
      <w:numFmt w:val="lowerLetter"/>
      <w:lvlText w:val="%5."/>
      <w:lvlJc w:val="left"/>
      <w:pPr>
        <w:tabs>
          <w:tab w:val="num" w:pos="4308"/>
        </w:tabs>
        <w:ind w:left="4308" w:hanging="360"/>
      </w:pPr>
    </w:lvl>
    <w:lvl w:ilvl="5" w:tplc="0409001B" w:tentative="1">
      <w:start w:val="1"/>
      <w:numFmt w:val="lowerRoman"/>
      <w:lvlText w:val="%6."/>
      <w:lvlJc w:val="right"/>
      <w:pPr>
        <w:tabs>
          <w:tab w:val="num" w:pos="5028"/>
        </w:tabs>
        <w:ind w:left="5028" w:hanging="180"/>
      </w:pPr>
    </w:lvl>
    <w:lvl w:ilvl="6" w:tplc="0409000F" w:tentative="1">
      <w:start w:val="1"/>
      <w:numFmt w:val="decimal"/>
      <w:lvlText w:val="%7."/>
      <w:lvlJc w:val="left"/>
      <w:pPr>
        <w:tabs>
          <w:tab w:val="num" w:pos="5748"/>
        </w:tabs>
        <w:ind w:left="5748" w:hanging="360"/>
      </w:pPr>
    </w:lvl>
    <w:lvl w:ilvl="7" w:tplc="04090019" w:tentative="1">
      <w:start w:val="1"/>
      <w:numFmt w:val="lowerLetter"/>
      <w:lvlText w:val="%8."/>
      <w:lvlJc w:val="left"/>
      <w:pPr>
        <w:tabs>
          <w:tab w:val="num" w:pos="6468"/>
        </w:tabs>
        <w:ind w:left="6468" w:hanging="360"/>
      </w:pPr>
    </w:lvl>
    <w:lvl w:ilvl="8" w:tplc="0409001B" w:tentative="1">
      <w:start w:val="1"/>
      <w:numFmt w:val="lowerRoman"/>
      <w:lvlText w:val="%9."/>
      <w:lvlJc w:val="right"/>
      <w:pPr>
        <w:tabs>
          <w:tab w:val="num" w:pos="7188"/>
        </w:tabs>
        <w:ind w:left="7188" w:hanging="180"/>
      </w:pPr>
    </w:lvl>
  </w:abstractNum>
  <w:abstractNum w:abstractNumId="27">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9">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3"/>
  </w:num>
  <w:num w:numId="2">
    <w:abstractNumId w:val="19"/>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5"/>
  </w:num>
  <w:num w:numId="14">
    <w:abstractNumId w:val="26"/>
  </w:num>
  <w:num w:numId="15">
    <w:abstractNumId w:val="16"/>
  </w:num>
  <w:num w:numId="16">
    <w:abstractNumId w:val="29"/>
  </w:num>
  <w:num w:numId="17">
    <w:abstractNumId w:val="17"/>
  </w:num>
  <w:num w:numId="18">
    <w:abstractNumId w:val="14"/>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activeWritingStyle w:appName="MSWord" w:lang="en-AU" w:vendorID="8" w:dllVersion="513" w:checkStyle="1"/>
  <w:activeWritingStyle w:appName="MSWord" w:lang="en-US"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71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53741"/>
    <w:docVar w:name="WAFER_20151210153741" w:val="RemoveTrackChanges"/>
    <w:docVar w:name="WAFER_20151210153741_GUID" w:val="5a90e780-d52b-4a59-b2c4-fe4cbe46e5c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71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styleId="PlainText">
    <w:name w:val="Plain Text"/>
    <w:basedOn w:val="Normal"/>
    <w:rPr>
      <w:rFonts w:ascii="Courier New" w:hAnsi="Courier New"/>
    </w:r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GGDeptHeading">
    <w:name w:val="GG Dept Heading"/>
    <w:basedOn w:val="Normal"/>
    <w:pPr>
      <w:pBdr>
        <w:top w:val="thinThickSmallGap" w:sz="24" w:space="3" w:color="auto"/>
        <w:bottom w:val="thickThinSmallGap" w:sz="24" w:space="1" w:color="auto"/>
      </w:pBdr>
      <w:spacing w:before="900" w:after="60"/>
    </w:pPr>
    <w:rPr>
      <w:rFonts w:ascii="Arial" w:hAnsi="Arial"/>
      <w:b/>
      <w:smallCaps/>
      <w:sz w:val="32"/>
    </w:rPr>
  </w:style>
  <w:style w:type="paragraph" w:customStyle="1" w:styleId="ActHeading">
    <w:name w:val="Act Heading"/>
    <w:basedOn w:val="Normal"/>
  </w:style>
  <w:style w:type="paragraph" w:customStyle="1" w:styleId="AdvtDescription">
    <w:name w:val="Advt Description"/>
    <w:basedOn w:val="Normal"/>
  </w:style>
  <w:style w:type="paragraph" w:customStyle="1" w:styleId="AdvtNumber">
    <w:name w:val="Advt Number"/>
    <w:basedOn w:val="Normal"/>
  </w:style>
  <w:style w:type="paragraph" w:customStyle="1" w:styleId="CouncilName">
    <w:name w:val="Council Name"/>
    <w:basedOn w:val="Normal"/>
  </w:style>
  <w:style w:type="paragraph" w:customStyle="1" w:styleId="GeneralDescription">
    <w:name w:val="General Description"/>
    <w:basedOn w:val="Normal"/>
    <w:rPr>
      <w:smallCaps/>
      <w:sz w:val="20"/>
    </w:rPr>
  </w:style>
  <w:style w:type="paragraph" w:customStyle="1" w:styleId="SpecificDescription">
    <w:name w:val="Specific Description"/>
    <w:basedOn w:val="GeneralDescription"/>
    <w:rPr>
      <w:smallCaps w:val="0"/>
      <w:sz w:val="18"/>
    </w:rPr>
  </w:style>
  <w:style w:type="paragraph" w:customStyle="1" w:styleId="PartHead">
    <w:name w:val="Part Head"/>
    <w:basedOn w:val="Header"/>
    <w:pPr>
      <w:tabs>
        <w:tab w:val="clear" w:pos="4153"/>
        <w:tab w:val="clear" w:pos="8306"/>
        <w:tab w:val="center" w:pos="4320"/>
        <w:tab w:val="right" w:pos="8640"/>
      </w:tabs>
      <w:spacing w:before="320" w:after="640" w:line="240" w:lineRule="auto"/>
      <w:jc w:val="center"/>
    </w:pPr>
    <w:rPr>
      <w:rFonts w:ascii="Arial" w:hAnsi="Arial"/>
      <w:b/>
      <w:sz w:val="48"/>
    </w:rPr>
  </w:style>
  <w:style w:type="paragraph" w:customStyle="1" w:styleId="RegHeading">
    <w:name w:val="Reg Heading"/>
    <w:basedOn w:val="ActHeading"/>
  </w:style>
  <w:style w:type="paragraph" w:customStyle="1" w:styleId="Proctable">
    <w:name w:val="Proctable"/>
    <w:basedOn w:val="Normal"/>
    <w:pPr>
      <w:jc w:val="center"/>
    </w:pPr>
    <w:rPr>
      <w:sz w:val="22"/>
    </w:rPr>
  </w:style>
  <w:style w:type="paragraph" w:customStyle="1" w:styleId="GGDeptHeading2">
    <w:name w:val="GG Dept Heading 2"/>
    <w:basedOn w:val="GGDeptHeading"/>
    <w:pPr>
      <w:jc w:val="both"/>
      <w:outlineLvl w:val="0"/>
    </w:pPr>
  </w:style>
  <w:style w:type="paragraph" w:customStyle="1" w:styleId="BodyText1">
    <w:name w:val="Body Text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s>
      <w:ind w:firstLine="480"/>
    </w:pPr>
    <w:rPr>
      <w:rFonts w:ascii="Bookman Old Style" w:hAnsi="Bookman Old Style"/>
      <w:snapToGrid w:val="0"/>
      <w:color w:val="000000"/>
      <w:sz w:val="24"/>
      <w:lang w:eastAsia="en-US"/>
    </w:rPr>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yzHeading3">
    <w:name w:val="yzHeading 3"/>
    <w:basedOn w:val="yHeading3"/>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paragraph" w:customStyle="1" w:styleId="zyTableNAmLeft0cm">
    <w:name w:val="zyTableNAm + Left:  0 cm"/>
    <w:aliases w:val="Hanging:  1.88 cm"/>
    <w:basedOn w:val="yTableNAm"/>
    <w:pPr>
      <w:tabs>
        <w:tab w:val="clear" w:pos="567"/>
        <w:tab w:val="left" w:pos="586"/>
        <w:tab w:val="left" w:pos="1066"/>
      </w:tabs>
      <w:ind w:left="1066" w:hanging="1066"/>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styleId="PlainText">
    <w:name w:val="Plain Text"/>
    <w:basedOn w:val="Normal"/>
    <w:rPr>
      <w:rFonts w:ascii="Courier New" w:hAnsi="Courier New"/>
    </w:r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GGDeptHeading">
    <w:name w:val="GG Dept Heading"/>
    <w:basedOn w:val="Normal"/>
    <w:pPr>
      <w:pBdr>
        <w:top w:val="thinThickSmallGap" w:sz="24" w:space="3" w:color="auto"/>
        <w:bottom w:val="thickThinSmallGap" w:sz="24" w:space="1" w:color="auto"/>
      </w:pBdr>
      <w:spacing w:before="900" w:after="60"/>
    </w:pPr>
    <w:rPr>
      <w:rFonts w:ascii="Arial" w:hAnsi="Arial"/>
      <w:b/>
      <w:smallCaps/>
      <w:sz w:val="32"/>
    </w:rPr>
  </w:style>
  <w:style w:type="paragraph" w:customStyle="1" w:styleId="ActHeading">
    <w:name w:val="Act Heading"/>
    <w:basedOn w:val="Normal"/>
  </w:style>
  <w:style w:type="paragraph" w:customStyle="1" w:styleId="AdvtDescription">
    <w:name w:val="Advt Description"/>
    <w:basedOn w:val="Normal"/>
  </w:style>
  <w:style w:type="paragraph" w:customStyle="1" w:styleId="AdvtNumber">
    <w:name w:val="Advt Number"/>
    <w:basedOn w:val="Normal"/>
  </w:style>
  <w:style w:type="paragraph" w:customStyle="1" w:styleId="CouncilName">
    <w:name w:val="Council Name"/>
    <w:basedOn w:val="Normal"/>
  </w:style>
  <w:style w:type="paragraph" w:customStyle="1" w:styleId="GeneralDescription">
    <w:name w:val="General Description"/>
    <w:basedOn w:val="Normal"/>
    <w:rPr>
      <w:smallCaps/>
      <w:sz w:val="20"/>
    </w:rPr>
  </w:style>
  <w:style w:type="paragraph" w:customStyle="1" w:styleId="SpecificDescription">
    <w:name w:val="Specific Description"/>
    <w:basedOn w:val="GeneralDescription"/>
    <w:rPr>
      <w:smallCaps w:val="0"/>
      <w:sz w:val="18"/>
    </w:rPr>
  </w:style>
  <w:style w:type="paragraph" w:customStyle="1" w:styleId="PartHead">
    <w:name w:val="Part Head"/>
    <w:basedOn w:val="Header"/>
    <w:pPr>
      <w:tabs>
        <w:tab w:val="clear" w:pos="4153"/>
        <w:tab w:val="clear" w:pos="8306"/>
        <w:tab w:val="center" w:pos="4320"/>
        <w:tab w:val="right" w:pos="8640"/>
      </w:tabs>
      <w:spacing w:before="320" w:after="640" w:line="240" w:lineRule="auto"/>
      <w:jc w:val="center"/>
    </w:pPr>
    <w:rPr>
      <w:rFonts w:ascii="Arial" w:hAnsi="Arial"/>
      <w:b/>
      <w:sz w:val="48"/>
    </w:rPr>
  </w:style>
  <w:style w:type="paragraph" w:customStyle="1" w:styleId="RegHeading">
    <w:name w:val="Reg Heading"/>
    <w:basedOn w:val="ActHeading"/>
  </w:style>
  <w:style w:type="paragraph" w:customStyle="1" w:styleId="Proctable">
    <w:name w:val="Proctable"/>
    <w:basedOn w:val="Normal"/>
    <w:pPr>
      <w:jc w:val="center"/>
    </w:pPr>
    <w:rPr>
      <w:sz w:val="22"/>
    </w:rPr>
  </w:style>
  <w:style w:type="paragraph" w:customStyle="1" w:styleId="GGDeptHeading2">
    <w:name w:val="GG Dept Heading 2"/>
    <w:basedOn w:val="GGDeptHeading"/>
    <w:pPr>
      <w:jc w:val="both"/>
      <w:outlineLvl w:val="0"/>
    </w:pPr>
  </w:style>
  <w:style w:type="paragraph" w:customStyle="1" w:styleId="BodyText1">
    <w:name w:val="Body Text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s>
      <w:ind w:firstLine="480"/>
    </w:pPr>
    <w:rPr>
      <w:rFonts w:ascii="Bookman Old Style" w:hAnsi="Bookman Old Style"/>
      <w:snapToGrid w:val="0"/>
      <w:color w:val="000000"/>
      <w:sz w:val="24"/>
      <w:lang w:eastAsia="en-US"/>
    </w:rPr>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yzHeading3">
    <w:name w:val="yzHeading 3"/>
    <w:basedOn w:val="yHeading3"/>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paragraph" w:customStyle="1" w:styleId="zyTableNAmLeft0cm">
    <w:name w:val="zyTableNAm + Left:  0 cm"/>
    <w:aliases w:val="Hanging:  1.88 cm"/>
    <w:basedOn w:val="yTableNAm"/>
    <w:pPr>
      <w:tabs>
        <w:tab w:val="clear" w:pos="567"/>
        <w:tab w:val="left" w:pos="586"/>
        <w:tab w:val="left" w:pos="1066"/>
      </w:tabs>
      <w:ind w:left="1066" w:hanging="1066"/>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59128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wmf"/><Relationship Id="rId39" Type="http://schemas.openxmlformats.org/officeDocument/2006/relationships/image" Target="media/image6.png"/><Relationship Id="rId21" Type="http://schemas.openxmlformats.org/officeDocument/2006/relationships/header" Target="header7.xml"/><Relationship Id="rId34" Type="http://schemas.openxmlformats.org/officeDocument/2006/relationships/header" Target="header16.xml"/><Relationship Id="rId42" Type="http://schemas.openxmlformats.org/officeDocument/2006/relationships/image" Target="media/image9.png"/><Relationship Id="rId47" Type="http://schemas.openxmlformats.org/officeDocument/2006/relationships/image" Target="media/image14.jpeg"/><Relationship Id="rId50" Type="http://schemas.openxmlformats.org/officeDocument/2006/relationships/header" Target="header19.xml"/><Relationship Id="rId55" Type="http://schemas.openxmlformats.org/officeDocument/2006/relationships/header" Target="header24.xml"/><Relationship Id="rId63" Type="http://schemas.openxmlformats.org/officeDocument/2006/relationships/header" Target="header32.xml"/><Relationship Id="rId7" Type="http://schemas.openxmlformats.org/officeDocument/2006/relationships/endnotes" Target="endnotes.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1.xml"/><Relationship Id="rId41" Type="http://schemas.openxmlformats.org/officeDocument/2006/relationships/image" Target="media/image8.png"/><Relationship Id="rId54" Type="http://schemas.openxmlformats.org/officeDocument/2006/relationships/header" Target="header23.xml"/><Relationship Id="rId62" Type="http://schemas.openxmlformats.org/officeDocument/2006/relationships/header" Target="header3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image" Target="media/image4.png"/><Relationship Id="rId40" Type="http://schemas.openxmlformats.org/officeDocument/2006/relationships/image" Target="media/image7.png"/><Relationship Id="rId45" Type="http://schemas.openxmlformats.org/officeDocument/2006/relationships/image" Target="media/image12.png"/><Relationship Id="rId53" Type="http://schemas.openxmlformats.org/officeDocument/2006/relationships/header" Target="header22.xml"/><Relationship Id="rId58" Type="http://schemas.openxmlformats.org/officeDocument/2006/relationships/header" Target="header27.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0.xml"/><Relationship Id="rId36" Type="http://schemas.openxmlformats.org/officeDocument/2006/relationships/image" Target="media/image3.png"/><Relationship Id="rId49" Type="http://schemas.openxmlformats.org/officeDocument/2006/relationships/header" Target="header18.xml"/><Relationship Id="rId57" Type="http://schemas.openxmlformats.org/officeDocument/2006/relationships/header" Target="header26.xml"/><Relationship Id="rId61" Type="http://schemas.openxmlformats.org/officeDocument/2006/relationships/header" Target="header30.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4" Type="http://schemas.openxmlformats.org/officeDocument/2006/relationships/image" Target="media/image11.png"/><Relationship Id="rId52" Type="http://schemas.openxmlformats.org/officeDocument/2006/relationships/header" Target="header21.xml"/><Relationship Id="rId60" Type="http://schemas.openxmlformats.org/officeDocument/2006/relationships/header" Target="header29.xml"/><Relationship Id="rId65"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 Id="rId43" Type="http://schemas.openxmlformats.org/officeDocument/2006/relationships/image" Target="media/image10.png"/><Relationship Id="rId48" Type="http://schemas.openxmlformats.org/officeDocument/2006/relationships/image" Target="media/image15.jpeg"/><Relationship Id="rId56" Type="http://schemas.openxmlformats.org/officeDocument/2006/relationships/header" Target="header25.xml"/><Relationship Id="rId64" Type="http://schemas.openxmlformats.org/officeDocument/2006/relationships/fontTable" Target="fontTable.xml"/><Relationship Id="rId8" Type="http://schemas.openxmlformats.org/officeDocument/2006/relationships/image" Target="media/image1.png"/><Relationship Id="rId51" Type="http://schemas.openxmlformats.org/officeDocument/2006/relationships/header" Target="header20.xml"/><Relationship Id="rId3" Type="http://schemas.microsoft.com/office/2007/relationships/stylesWithEffects" Target="stylesWithEffect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image" Target="media/image5.png"/><Relationship Id="rId46" Type="http://schemas.openxmlformats.org/officeDocument/2006/relationships/image" Target="media/image13.png"/><Relationship Id="rId59" Type="http://schemas.openxmlformats.org/officeDocument/2006/relationships/header" Target="header2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328</Pages>
  <Words>70456</Words>
  <Characters>335371</Characters>
  <Application>Microsoft Office Word</Application>
  <DocSecurity>0</DocSecurity>
  <Lines>12421</Lines>
  <Paragraphs>8634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397193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Resources Management Regulations 1995 - 10-g0-03</dc:title>
  <dc:subject/>
  <dc:creator/>
  <cp:keywords/>
  <dc:description/>
  <cp:lastModifiedBy>svcMRProcess</cp:lastModifiedBy>
  <cp:revision>4</cp:revision>
  <cp:lastPrinted>2011-07-06T06:48:00Z</cp:lastPrinted>
  <dcterms:created xsi:type="dcterms:W3CDTF">2020-02-23T06:32:00Z</dcterms:created>
  <dcterms:modified xsi:type="dcterms:W3CDTF">2020-02-23T06:32:00Z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September 1995 pp.5403-646</vt:lpwstr>
  </property>
  <property fmtid="{D5CDD505-2E9C-101B-9397-08002B2CF9AE}" pid="3" name="CommencementDate">
    <vt:lpwstr>20111119</vt:lpwstr>
  </property>
  <property fmtid="{D5CDD505-2E9C-101B-9397-08002B2CF9AE}" pid="4" name="DocumentType">
    <vt:lpwstr>Reg</vt:lpwstr>
  </property>
  <property fmtid="{D5CDD505-2E9C-101B-9397-08002B2CF9AE}" pid="5" name="OwlsUID">
    <vt:i4>4447</vt:i4>
  </property>
  <property fmtid="{D5CDD505-2E9C-101B-9397-08002B2CF9AE}" pid="6" name="AsAtDate">
    <vt:lpwstr>19 Nov 2011</vt:lpwstr>
  </property>
  <property fmtid="{D5CDD505-2E9C-101B-9397-08002B2CF9AE}" pid="7" name="Suffix">
    <vt:lpwstr>10-g0-03</vt:lpwstr>
  </property>
  <property fmtid="{D5CDD505-2E9C-101B-9397-08002B2CF9AE}" pid="8" name="ReprintNo">
    <vt:lpwstr>10</vt:lpwstr>
  </property>
  <property fmtid="{D5CDD505-2E9C-101B-9397-08002B2CF9AE}" pid="9" name="ReprintedAsAt">
    <vt:filetime>2011-07-03T16:00:00Z</vt:filetime>
  </property>
</Properties>
</file>