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0.xml" ContentType="application/vnd.openxmlformats-officedocument.wordprocessingml.header+xml"/>
  <Override PartName="/word/footer12.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Water Agencies (Powers) Act 1984</w:t>
      </w:r>
    </w:p>
    <w:p>
      <w:pPr>
        <w:pStyle w:val="NameofActRegPage1"/>
        <w:spacing w:before="1800" w:after="4200"/>
      </w:pPr>
      <w:r>
        <w:fldChar w:fldCharType="begin"/>
      </w:r>
      <w:r>
        <w:instrText xml:space="preserve"> STYLEREF "Name Of Act/Reg"</w:instrText>
      </w:r>
      <w:r>
        <w:fldChar w:fldCharType="separate"/>
      </w:r>
      <w:r>
        <w:rPr>
          <w:noProof/>
        </w:rPr>
        <w:t>Water Agencies (Water Use) By-laws 2010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Water Agencies (Water Use) By-laws 2010</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_Toc309309700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_Toc309309701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_Toc309309702 \h </w:instrText>
      </w:r>
      <w:r>
        <w:fldChar w:fldCharType="separate"/>
      </w:r>
      <w:r>
        <w:t>1</w:t>
      </w:r>
      <w:r>
        <w:fldChar w:fldCharType="end"/>
      </w:r>
    </w:p>
    <w:p>
      <w:pPr>
        <w:pStyle w:val="TOC2"/>
        <w:tabs>
          <w:tab w:val="right" w:leader="dot" w:pos="7086"/>
        </w:tabs>
        <w:rPr>
          <w:b w:val="0"/>
          <w:sz w:val="24"/>
          <w:szCs w:val="24"/>
          <w:lang w:val="en-US"/>
        </w:rPr>
      </w:pPr>
      <w:r>
        <w:t>Part 2 — Water restrictions</w:t>
      </w:r>
    </w:p>
    <w:p>
      <w:pPr>
        <w:pStyle w:val="TOC4"/>
        <w:tabs>
          <w:tab w:val="right" w:leader="dot" w:pos="7086"/>
        </w:tabs>
        <w:rPr>
          <w:b w:val="0"/>
          <w:sz w:val="24"/>
          <w:szCs w:val="24"/>
          <w:lang w:val="en-US"/>
        </w:rPr>
      </w:pPr>
      <w:r>
        <w:t>Division 1 — Restrictions</w:t>
      </w:r>
    </w:p>
    <w:p>
      <w:pPr>
        <w:pStyle w:val="TOC8"/>
        <w:rPr>
          <w:sz w:val="24"/>
          <w:szCs w:val="24"/>
          <w:lang w:val="en-US"/>
        </w:rPr>
      </w:pPr>
      <w:r>
        <w:t>4.</w:t>
      </w:r>
      <w:r>
        <w:tab/>
        <w:t>Use of water restricted</w:t>
      </w:r>
      <w:r>
        <w:tab/>
      </w:r>
      <w:r>
        <w:fldChar w:fldCharType="begin"/>
      </w:r>
      <w:r>
        <w:instrText xml:space="preserve"> PAGEREF _Toc309309705 \h </w:instrText>
      </w:r>
      <w:r>
        <w:fldChar w:fldCharType="separate"/>
      </w:r>
      <w:r>
        <w:t>4</w:t>
      </w:r>
      <w:r>
        <w:fldChar w:fldCharType="end"/>
      </w:r>
    </w:p>
    <w:p>
      <w:pPr>
        <w:pStyle w:val="TOC8"/>
        <w:rPr>
          <w:sz w:val="24"/>
          <w:szCs w:val="24"/>
          <w:lang w:val="en-US"/>
        </w:rPr>
      </w:pPr>
      <w:r>
        <w:t>5.</w:t>
      </w:r>
      <w:r>
        <w:tab/>
        <w:t>Stage of restrictions applicable to Area 1</w:t>
      </w:r>
      <w:r>
        <w:tab/>
      </w:r>
      <w:r>
        <w:fldChar w:fldCharType="begin"/>
      </w:r>
      <w:r>
        <w:instrText xml:space="preserve"> PAGEREF _Toc309309706 \h </w:instrText>
      </w:r>
      <w:r>
        <w:fldChar w:fldCharType="separate"/>
      </w:r>
      <w:r>
        <w:t>4</w:t>
      </w:r>
      <w:r>
        <w:fldChar w:fldCharType="end"/>
      </w:r>
    </w:p>
    <w:p>
      <w:pPr>
        <w:pStyle w:val="TOC8"/>
        <w:rPr>
          <w:sz w:val="24"/>
          <w:szCs w:val="24"/>
          <w:lang w:val="en-US"/>
        </w:rPr>
      </w:pPr>
      <w:r>
        <w:t>6.</w:t>
      </w:r>
      <w:r>
        <w:tab/>
        <w:t>Stage of restrictions applicable to Area 2</w:t>
      </w:r>
      <w:r>
        <w:tab/>
      </w:r>
      <w:r>
        <w:fldChar w:fldCharType="begin"/>
      </w:r>
      <w:r>
        <w:instrText xml:space="preserve"> PAGEREF _Toc309309707 \h </w:instrText>
      </w:r>
      <w:r>
        <w:fldChar w:fldCharType="separate"/>
      </w:r>
      <w:r>
        <w:t>4</w:t>
      </w:r>
      <w:r>
        <w:fldChar w:fldCharType="end"/>
      </w:r>
    </w:p>
    <w:p>
      <w:pPr>
        <w:pStyle w:val="TOC8"/>
        <w:rPr>
          <w:sz w:val="24"/>
          <w:szCs w:val="24"/>
          <w:lang w:val="en-US"/>
        </w:rPr>
      </w:pPr>
      <w:r>
        <w:t>7.</w:t>
      </w:r>
      <w:r>
        <w:tab/>
        <w:t>Stage of restrictions applicable to Area 3</w:t>
      </w:r>
      <w:r>
        <w:tab/>
      </w:r>
      <w:r>
        <w:fldChar w:fldCharType="begin"/>
      </w:r>
      <w:r>
        <w:instrText xml:space="preserve"> PAGEREF _Toc309309708 \h </w:instrText>
      </w:r>
      <w:r>
        <w:fldChar w:fldCharType="separate"/>
      </w:r>
      <w:r>
        <w:t>5</w:t>
      </w:r>
      <w:r>
        <w:fldChar w:fldCharType="end"/>
      </w:r>
    </w:p>
    <w:p>
      <w:pPr>
        <w:pStyle w:val="TOC8"/>
        <w:rPr>
          <w:sz w:val="24"/>
          <w:szCs w:val="24"/>
          <w:lang w:val="en-US"/>
        </w:rPr>
      </w:pPr>
      <w:r>
        <w:t>8.</w:t>
      </w:r>
      <w:r>
        <w:tab/>
        <w:t>Stage of restrictions applicable to Area 4</w:t>
      </w:r>
      <w:r>
        <w:tab/>
      </w:r>
      <w:r>
        <w:fldChar w:fldCharType="begin"/>
      </w:r>
      <w:r>
        <w:instrText xml:space="preserve"> PAGEREF _Toc309309709 \h </w:instrText>
      </w:r>
      <w:r>
        <w:fldChar w:fldCharType="separate"/>
      </w:r>
      <w:r>
        <w:t>5</w:t>
      </w:r>
      <w:r>
        <w:fldChar w:fldCharType="end"/>
      </w:r>
    </w:p>
    <w:p>
      <w:pPr>
        <w:pStyle w:val="TOC8"/>
        <w:rPr>
          <w:sz w:val="24"/>
          <w:szCs w:val="24"/>
          <w:lang w:val="en-US"/>
        </w:rPr>
      </w:pPr>
      <w:r>
        <w:t>9.</w:t>
      </w:r>
      <w:r>
        <w:tab/>
        <w:t>Use of scheme water in Halls Creek</w:t>
      </w:r>
      <w:r>
        <w:tab/>
      </w:r>
      <w:r>
        <w:fldChar w:fldCharType="begin"/>
      </w:r>
      <w:r>
        <w:instrText xml:space="preserve"> PAGEREF _Toc309309710 \h </w:instrText>
      </w:r>
      <w:r>
        <w:fldChar w:fldCharType="separate"/>
      </w:r>
      <w:r>
        <w:t>5</w:t>
      </w:r>
      <w:r>
        <w:fldChar w:fldCharType="end"/>
      </w:r>
    </w:p>
    <w:p>
      <w:pPr>
        <w:pStyle w:val="TOC8"/>
        <w:rPr>
          <w:sz w:val="24"/>
          <w:szCs w:val="24"/>
          <w:lang w:val="en-US"/>
        </w:rPr>
      </w:pPr>
      <w:r>
        <w:t>10AA.</w:t>
      </w:r>
      <w:r>
        <w:tab/>
        <w:t>Use of scheme water in Area 2 to 31 October 2012</w:t>
      </w:r>
      <w:r>
        <w:tab/>
      </w:r>
      <w:r>
        <w:fldChar w:fldCharType="begin"/>
      </w:r>
      <w:r>
        <w:instrText xml:space="preserve"> PAGEREF _Toc309309711 \h </w:instrText>
      </w:r>
      <w:r>
        <w:fldChar w:fldCharType="separate"/>
      </w:r>
      <w:r>
        <w:t>6</w:t>
      </w:r>
      <w:r>
        <w:fldChar w:fldCharType="end"/>
      </w:r>
    </w:p>
    <w:p>
      <w:pPr>
        <w:pStyle w:val="TOC8"/>
        <w:rPr>
          <w:sz w:val="24"/>
          <w:szCs w:val="24"/>
          <w:lang w:val="en-US"/>
        </w:rPr>
      </w:pPr>
      <w:r>
        <w:t>10A.</w:t>
      </w:r>
      <w:r>
        <w:tab/>
        <w:t>Use of scheme water in Area 4 from 1 December 2010 to 31 May 2011</w:t>
      </w:r>
      <w:r>
        <w:tab/>
      </w:r>
      <w:r>
        <w:fldChar w:fldCharType="begin"/>
      </w:r>
      <w:r>
        <w:instrText xml:space="preserve"> PAGEREF _Toc309309712 \h </w:instrText>
      </w:r>
      <w:r>
        <w:fldChar w:fldCharType="separate"/>
      </w:r>
      <w:r>
        <w:t>8</w:t>
      </w:r>
      <w:r>
        <w:fldChar w:fldCharType="end"/>
      </w:r>
    </w:p>
    <w:p>
      <w:pPr>
        <w:pStyle w:val="TOC4"/>
        <w:tabs>
          <w:tab w:val="right" w:leader="dot" w:pos="7086"/>
        </w:tabs>
        <w:rPr>
          <w:b w:val="0"/>
          <w:sz w:val="24"/>
          <w:szCs w:val="24"/>
          <w:lang w:val="en-US"/>
        </w:rPr>
      </w:pPr>
      <w:r>
        <w:t>Division 2 — Exemptions</w:t>
      </w:r>
    </w:p>
    <w:p>
      <w:pPr>
        <w:pStyle w:val="TOC8"/>
        <w:rPr>
          <w:sz w:val="24"/>
          <w:szCs w:val="24"/>
          <w:lang w:val="en-US"/>
        </w:rPr>
      </w:pPr>
      <w:r>
        <w:t>10.</w:t>
      </w:r>
      <w:r>
        <w:tab/>
        <w:t xml:space="preserve">Licensees under </w:t>
      </w:r>
      <w:r>
        <w:rPr>
          <w:i/>
        </w:rPr>
        <w:t>Rights in Water and Irrigation Act </w:t>
      </w:r>
      <w:r>
        <w:rPr>
          <w:i/>
          <w:iCs/>
        </w:rPr>
        <w:t>1914</w:t>
      </w:r>
      <w:r>
        <w:t xml:space="preserve"> section 5C</w:t>
      </w:r>
      <w:r>
        <w:tab/>
      </w:r>
      <w:r>
        <w:fldChar w:fldCharType="begin"/>
      </w:r>
      <w:r>
        <w:instrText xml:space="preserve"> PAGEREF _Toc309309714 \h </w:instrText>
      </w:r>
      <w:r>
        <w:fldChar w:fldCharType="separate"/>
      </w:r>
      <w:r>
        <w:t>11</w:t>
      </w:r>
      <w:r>
        <w:fldChar w:fldCharType="end"/>
      </w:r>
    </w:p>
    <w:p>
      <w:pPr>
        <w:pStyle w:val="TOC8"/>
        <w:rPr>
          <w:sz w:val="24"/>
          <w:szCs w:val="24"/>
          <w:lang w:val="en-US"/>
        </w:rPr>
      </w:pPr>
      <w:r>
        <w:t>11.</w:t>
      </w:r>
      <w:r>
        <w:tab/>
        <w:t>Shared domestic bores</w:t>
      </w:r>
      <w:r>
        <w:tab/>
      </w:r>
      <w:r>
        <w:fldChar w:fldCharType="begin"/>
      </w:r>
      <w:r>
        <w:instrText xml:space="preserve"> PAGEREF _Toc309309715 \h </w:instrText>
      </w:r>
      <w:r>
        <w:fldChar w:fldCharType="separate"/>
      </w:r>
      <w:r>
        <w:t>11</w:t>
      </w:r>
      <w:r>
        <w:fldChar w:fldCharType="end"/>
      </w:r>
    </w:p>
    <w:p>
      <w:pPr>
        <w:pStyle w:val="TOC8"/>
        <w:rPr>
          <w:sz w:val="24"/>
          <w:szCs w:val="24"/>
          <w:lang w:val="en-US"/>
        </w:rPr>
      </w:pPr>
      <w:r>
        <w:t>12.</w:t>
      </w:r>
      <w:r>
        <w:tab/>
        <w:t>Installation, repair or testing reticulation systems</w:t>
      </w:r>
      <w:r>
        <w:tab/>
      </w:r>
      <w:r>
        <w:fldChar w:fldCharType="begin"/>
      </w:r>
      <w:r>
        <w:instrText xml:space="preserve"> PAGEREF _Toc309309716 \h </w:instrText>
      </w:r>
      <w:r>
        <w:fldChar w:fldCharType="separate"/>
      </w:r>
      <w:r>
        <w:t>11</w:t>
      </w:r>
      <w:r>
        <w:fldChar w:fldCharType="end"/>
      </w:r>
    </w:p>
    <w:p>
      <w:pPr>
        <w:pStyle w:val="TOC8"/>
        <w:rPr>
          <w:sz w:val="24"/>
          <w:szCs w:val="24"/>
          <w:lang w:val="en-US"/>
        </w:rPr>
      </w:pPr>
      <w:r>
        <w:t>13.</w:t>
      </w:r>
      <w:r>
        <w:tab/>
        <w:t>Vertimowing or applying fertilisers or wetting agents</w:t>
      </w:r>
      <w:r>
        <w:tab/>
      </w:r>
      <w:r>
        <w:fldChar w:fldCharType="begin"/>
      </w:r>
      <w:r>
        <w:instrText xml:space="preserve"> PAGEREF _Toc309309717 \h </w:instrText>
      </w:r>
      <w:r>
        <w:fldChar w:fldCharType="separate"/>
      </w:r>
      <w:r>
        <w:t>12</w:t>
      </w:r>
      <w:r>
        <w:fldChar w:fldCharType="end"/>
      </w:r>
    </w:p>
    <w:p>
      <w:pPr>
        <w:pStyle w:val="TOC8"/>
        <w:rPr>
          <w:sz w:val="24"/>
          <w:szCs w:val="24"/>
          <w:lang w:val="en-US"/>
        </w:rPr>
      </w:pPr>
      <w:r>
        <w:t>14.</w:t>
      </w:r>
      <w:r>
        <w:tab/>
        <w:t>Market gardens or plant nurseries</w:t>
      </w:r>
      <w:r>
        <w:tab/>
      </w:r>
      <w:r>
        <w:fldChar w:fldCharType="begin"/>
      </w:r>
      <w:r>
        <w:instrText xml:space="preserve"> PAGEREF _Toc309309718 \h </w:instrText>
      </w:r>
      <w:r>
        <w:fldChar w:fldCharType="separate"/>
      </w:r>
      <w:r>
        <w:t>12</w:t>
      </w:r>
      <w:r>
        <w:fldChar w:fldCharType="end"/>
      </w:r>
    </w:p>
    <w:p>
      <w:pPr>
        <w:pStyle w:val="TOC8"/>
        <w:rPr>
          <w:sz w:val="24"/>
          <w:szCs w:val="24"/>
          <w:lang w:val="en-US"/>
        </w:rPr>
      </w:pPr>
      <w:r>
        <w:t>15.</w:t>
      </w:r>
      <w:r>
        <w:tab/>
        <w:t>Caravan park or camping ground sites</w:t>
      </w:r>
      <w:r>
        <w:tab/>
      </w:r>
      <w:r>
        <w:fldChar w:fldCharType="begin"/>
      </w:r>
      <w:r>
        <w:instrText xml:space="preserve"> PAGEREF _Toc309309719 \h </w:instrText>
      </w:r>
      <w:r>
        <w:fldChar w:fldCharType="separate"/>
      </w:r>
      <w:r>
        <w:t>12</w:t>
      </w:r>
      <w:r>
        <w:fldChar w:fldCharType="end"/>
      </w:r>
    </w:p>
    <w:p>
      <w:pPr>
        <w:pStyle w:val="TOC8"/>
        <w:rPr>
          <w:sz w:val="24"/>
          <w:szCs w:val="24"/>
          <w:lang w:val="en-US"/>
        </w:rPr>
      </w:pPr>
      <w:r>
        <w:t>16.</w:t>
      </w:r>
      <w:r>
        <w:tab/>
        <w:t>Maintenance of birds in aviaries</w:t>
      </w:r>
      <w:r>
        <w:tab/>
      </w:r>
      <w:r>
        <w:fldChar w:fldCharType="begin"/>
      </w:r>
      <w:r>
        <w:instrText xml:space="preserve"> PAGEREF _Toc309309720 \h </w:instrText>
      </w:r>
      <w:r>
        <w:fldChar w:fldCharType="separate"/>
      </w:r>
      <w:r>
        <w:t>12</w:t>
      </w:r>
      <w:r>
        <w:fldChar w:fldCharType="end"/>
      </w:r>
    </w:p>
    <w:p>
      <w:pPr>
        <w:pStyle w:val="TOC8"/>
        <w:rPr>
          <w:sz w:val="24"/>
          <w:szCs w:val="24"/>
          <w:lang w:val="en-US"/>
        </w:rPr>
      </w:pPr>
      <w:r>
        <w:t>17.</w:t>
      </w:r>
      <w:r>
        <w:tab/>
        <w:t>Fire fighting</w:t>
      </w:r>
      <w:r>
        <w:tab/>
      </w:r>
      <w:r>
        <w:fldChar w:fldCharType="begin"/>
      </w:r>
      <w:r>
        <w:instrText xml:space="preserve"> PAGEREF _Toc309309721 \h </w:instrText>
      </w:r>
      <w:r>
        <w:fldChar w:fldCharType="separate"/>
      </w:r>
      <w:r>
        <w:t>12</w:t>
      </w:r>
      <w:r>
        <w:fldChar w:fldCharType="end"/>
      </w:r>
    </w:p>
    <w:p>
      <w:pPr>
        <w:pStyle w:val="TOC2"/>
        <w:tabs>
          <w:tab w:val="right" w:leader="dot" w:pos="7086"/>
        </w:tabs>
        <w:rPr>
          <w:b w:val="0"/>
          <w:sz w:val="24"/>
          <w:szCs w:val="24"/>
          <w:lang w:val="en-US"/>
        </w:rPr>
      </w:pPr>
      <w:r>
        <w:t>Part 3 — Scheme water efficiency management plans</w:t>
      </w:r>
    </w:p>
    <w:p>
      <w:pPr>
        <w:pStyle w:val="TOC4"/>
        <w:tabs>
          <w:tab w:val="right" w:leader="dot" w:pos="7086"/>
        </w:tabs>
        <w:rPr>
          <w:b w:val="0"/>
          <w:sz w:val="24"/>
          <w:szCs w:val="24"/>
          <w:lang w:val="en-US"/>
        </w:rPr>
      </w:pPr>
      <w:r>
        <w:t>Division 1 — General</w:t>
      </w:r>
    </w:p>
    <w:p>
      <w:pPr>
        <w:pStyle w:val="TOC8"/>
        <w:rPr>
          <w:sz w:val="24"/>
          <w:szCs w:val="24"/>
          <w:lang w:val="en-US"/>
        </w:rPr>
      </w:pPr>
      <w:r>
        <w:t>18.</w:t>
      </w:r>
      <w:r>
        <w:tab/>
        <w:t>Terms used</w:t>
      </w:r>
      <w:r>
        <w:tab/>
      </w:r>
      <w:r>
        <w:fldChar w:fldCharType="begin"/>
      </w:r>
      <w:r>
        <w:instrText xml:space="preserve"> PAGEREF _Toc309309724 \h </w:instrText>
      </w:r>
      <w:r>
        <w:fldChar w:fldCharType="separate"/>
      </w:r>
      <w:r>
        <w:t>14</w:t>
      </w:r>
      <w:r>
        <w:fldChar w:fldCharType="end"/>
      </w:r>
    </w:p>
    <w:p>
      <w:pPr>
        <w:pStyle w:val="TOC8"/>
        <w:rPr>
          <w:sz w:val="24"/>
          <w:szCs w:val="24"/>
          <w:lang w:val="en-US"/>
        </w:rPr>
      </w:pPr>
      <w:r>
        <w:t>19.</w:t>
      </w:r>
      <w:r>
        <w:tab/>
        <w:t>Extensions of time</w:t>
      </w:r>
      <w:r>
        <w:tab/>
      </w:r>
      <w:r>
        <w:fldChar w:fldCharType="begin"/>
      </w:r>
      <w:r>
        <w:instrText xml:space="preserve"> PAGEREF _Toc309309725 \h </w:instrText>
      </w:r>
      <w:r>
        <w:fldChar w:fldCharType="separate"/>
      </w:r>
      <w:r>
        <w:t>14</w:t>
      </w:r>
      <w:r>
        <w:fldChar w:fldCharType="end"/>
      </w:r>
    </w:p>
    <w:p>
      <w:pPr>
        <w:pStyle w:val="TOC4"/>
        <w:tabs>
          <w:tab w:val="right" w:leader="dot" w:pos="7086"/>
        </w:tabs>
        <w:rPr>
          <w:b w:val="0"/>
          <w:sz w:val="24"/>
          <w:szCs w:val="24"/>
          <w:lang w:val="en-US"/>
        </w:rPr>
      </w:pPr>
      <w:r>
        <w:t>Division 2 — Preparation, submission and approval of scheme water efficiency management plans</w:t>
      </w:r>
    </w:p>
    <w:p>
      <w:pPr>
        <w:pStyle w:val="TOC8"/>
        <w:rPr>
          <w:sz w:val="24"/>
          <w:szCs w:val="24"/>
          <w:lang w:val="en-US"/>
        </w:rPr>
      </w:pPr>
      <w:r>
        <w:t>20.</w:t>
      </w:r>
      <w:r>
        <w:tab/>
        <w:t>Initial preparation and submission of scheme water efficiency management plan</w:t>
      </w:r>
      <w:r>
        <w:tab/>
      </w:r>
      <w:r>
        <w:fldChar w:fldCharType="begin"/>
      </w:r>
      <w:r>
        <w:instrText xml:space="preserve"> PAGEREF _Toc309309727 \h </w:instrText>
      </w:r>
      <w:r>
        <w:fldChar w:fldCharType="separate"/>
      </w:r>
      <w:r>
        <w:t>15</w:t>
      </w:r>
      <w:r>
        <w:fldChar w:fldCharType="end"/>
      </w:r>
    </w:p>
    <w:p>
      <w:pPr>
        <w:pStyle w:val="TOC8"/>
        <w:rPr>
          <w:sz w:val="24"/>
          <w:szCs w:val="24"/>
          <w:lang w:val="en-US"/>
        </w:rPr>
      </w:pPr>
      <w:r>
        <w:t>21.</w:t>
      </w:r>
      <w:r>
        <w:tab/>
        <w:t>Approvals, requests for further information and requests for amendments</w:t>
      </w:r>
      <w:r>
        <w:tab/>
      </w:r>
      <w:r>
        <w:fldChar w:fldCharType="begin"/>
      </w:r>
      <w:r>
        <w:instrText xml:space="preserve"> PAGEREF _Toc309309728 \h </w:instrText>
      </w:r>
      <w:r>
        <w:fldChar w:fldCharType="separate"/>
      </w:r>
      <w:r>
        <w:t>16</w:t>
      </w:r>
      <w:r>
        <w:fldChar w:fldCharType="end"/>
      </w:r>
    </w:p>
    <w:p>
      <w:pPr>
        <w:pStyle w:val="TOC8"/>
        <w:rPr>
          <w:sz w:val="24"/>
          <w:szCs w:val="24"/>
          <w:lang w:val="en-US"/>
        </w:rPr>
      </w:pPr>
      <w:r>
        <w:t>22.</w:t>
      </w:r>
      <w:r>
        <w:tab/>
        <w:t>Persons may submit revised plans for approval at any time</w:t>
      </w:r>
      <w:r>
        <w:tab/>
      </w:r>
      <w:r>
        <w:fldChar w:fldCharType="begin"/>
      </w:r>
      <w:r>
        <w:instrText xml:space="preserve"> PAGEREF _Toc309309729 \h </w:instrText>
      </w:r>
      <w:r>
        <w:fldChar w:fldCharType="separate"/>
      </w:r>
      <w:r>
        <w:t>17</w:t>
      </w:r>
      <w:r>
        <w:fldChar w:fldCharType="end"/>
      </w:r>
    </w:p>
    <w:p>
      <w:pPr>
        <w:pStyle w:val="TOC4"/>
        <w:tabs>
          <w:tab w:val="right" w:leader="dot" w:pos="7086"/>
        </w:tabs>
        <w:rPr>
          <w:b w:val="0"/>
          <w:sz w:val="24"/>
          <w:szCs w:val="24"/>
          <w:lang w:val="en-US"/>
        </w:rPr>
      </w:pPr>
      <w:r>
        <w:t>Division 3 — After approval of scheme water efficiency management plans</w:t>
      </w:r>
    </w:p>
    <w:p>
      <w:pPr>
        <w:pStyle w:val="TOC8"/>
        <w:rPr>
          <w:sz w:val="24"/>
          <w:szCs w:val="24"/>
          <w:lang w:val="en-US"/>
        </w:rPr>
      </w:pPr>
      <w:r>
        <w:t>23.</w:t>
      </w:r>
      <w:r>
        <w:tab/>
        <w:t>Application</w:t>
      </w:r>
      <w:r>
        <w:tab/>
      </w:r>
      <w:r>
        <w:fldChar w:fldCharType="begin"/>
      </w:r>
      <w:r>
        <w:instrText xml:space="preserve"> PAGEREF _Toc309309731 \h </w:instrText>
      </w:r>
      <w:r>
        <w:fldChar w:fldCharType="separate"/>
      </w:r>
      <w:r>
        <w:t>17</w:t>
      </w:r>
      <w:r>
        <w:fldChar w:fldCharType="end"/>
      </w:r>
    </w:p>
    <w:p>
      <w:pPr>
        <w:pStyle w:val="TOC8"/>
        <w:rPr>
          <w:sz w:val="24"/>
          <w:szCs w:val="24"/>
          <w:lang w:val="en-US"/>
        </w:rPr>
      </w:pPr>
      <w:r>
        <w:t>24.</w:t>
      </w:r>
      <w:r>
        <w:tab/>
        <w:t>Period of approval of scheme water efficiency management plan</w:t>
      </w:r>
      <w:r>
        <w:tab/>
      </w:r>
      <w:r>
        <w:fldChar w:fldCharType="begin"/>
      </w:r>
      <w:r>
        <w:instrText xml:space="preserve"> PAGEREF _Toc309309732 \h </w:instrText>
      </w:r>
      <w:r>
        <w:fldChar w:fldCharType="separate"/>
      </w:r>
      <w:r>
        <w:t>17</w:t>
      </w:r>
      <w:r>
        <w:fldChar w:fldCharType="end"/>
      </w:r>
    </w:p>
    <w:p>
      <w:pPr>
        <w:pStyle w:val="TOC8"/>
        <w:rPr>
          <w:sz w:val="24"/>
          <w:szCs w:val="24"/>
          <w:lang w:val="en-US"/>
        </w:rPr>
      </w:pPr>
      <w:r>
        <w:t>25.</w:t>
      </w:r>
      <w:r>
        <w:tab/>
        <w:t>Compliance with scheme water efficiency management plans</w:t>
      </w:r>
      <w:r>
        <w:tab/>
      </w:r>
      <w:r>
        <w:fldChar w:fldCharType="begin"/>
      </w:r>
      <w:r>
        <w:instrText xml:space="preserve"> PAGEREF _Toc309309733 \h </w:instrText>
      </w:r>
      <w:r>
        <w:fldChar w:fldCharType="separate"/>
      </w:r>
      <w:r>
        <w:t>18</w:t>
      </w:r>
      <w:r>
        <w:fldChar w:fldCharType="end"/>
      </w:r>
    </w:p>
    <w:p>
      <w:pPr>
        <w:pStyle w:val="TOC8"/>
        <w:rPr>
          <w:sz w:val="24"/>
          <w:szCs w:val="24"/>
          <w:lang w:val="en-US"/>
        </w:rPr>
      </w:pPr>
      <w:r>
        <w:t>26.</w:t>
      </w:r>
      <w:r>
        <w:tab/>
        <w:t>Persons to submit revised scheme water efficiency management plans before end of approval period</w:t>
      </w:r>
      <w:r>
        <w:tab/>
      </w:r>
      <w:r>
        <w:fldChar w:fldCharType="begin"/>
      </w:r>
      <w:r>
        <w:instrText xml:space="preserve"> PAGEREF _Toc309309734 \h </w:instrText>
      </w:r>
      <w:r>
        <w:fldChar w:fldCharType="separate"/>
      </w:r>
      <w:r>
        <w:t>18</w:t>
      </w:r>
      <w:r>
        <w:fldChar w:fldCharType="end"/>
      </w:r>
    </w:p>
    <w:p>
      <w:pPr>
        <w:pStyle w:val="TOC8"/>
        <w:rPr>
          <w:sz w:val="24"/>
          <w:szCs w:val="24"/>
          <w:lang w:val="en-US"/>
        </w:rPr>
      </w:pPr>
      <w:r>
        <w:t>27.</w:t>
      </w:r>
      <w:r>
        <w:tab/>
        <w:t>Scheme water supplier may require revised scheme water efficiency management plans</w:t>
      </w:r>
      <w:r>
        <w:tab/>
      </w:r>
      <w:r>
        <w:fldChar w:fldCharType="begin"/>
      </w:r>
      <w:r>
        <w:instrText xml:space="preserve"> PAGEREF _Toc309309735 \h </w:instrText>
      </w:r>
      <w:r>
        <w:fldChar w:fldCharType="separate"/>
      </w:r>
      <w:r>
        <w:t>19</w:t>
      </w:r>
      <w:r>
        <w:fldChar w:fldCharType="end"/>
      </w:r>
    </w:p>
    <w:p>
      <w:pPr>
        <w:pStyle w:val="TOC8"/>
        <w:rPr>
          <w:sz w:val="24"/>
          <w:szCs w:val="24"/>
          <w:lang w:val="en-US"/>
        </w:rPr>
      </w:pPr>
      <w:r>
        <w:t>28.</w:t>
      </w:r>
      <w:r>
        <w:tab/>
        <w:t>Scheme water supplier may revoke approval of scheme water efficiency management plan</w:t>
      </w:r>
      <w:r>
        <w:tab/>
      </w:r>
      <w:r>
        <w:fldChar w:fldCharType="begin"/>
      </w:r>
      <w:r>
        <w:instrText xml:space="preserve"> PAGEREF _Toc309309736 \h </w:instrText>
      </w:r>
      <w:r>
        <w:fldChar w:fldCharType="separate"/>
      </w:r>
      <w:r>
        <w:t>19</w:t>
      </w:r>
      <w:r>
        <w:fldChar w:fldCharType="end"/>
      </w:r>
    </w:p>
    <w:p>
      <w:pPr>
        <w:pStyle w:val="TOC8"/>
        <w:rPr>
          <w:sz w:val="24"/>
          <w:szCs w:val="24"/>
          <w:lang w:val="en-US"/>
        </w:rPr>
      </w:pPr>
      <w:r>
        <w:t>29.</w:t>
      </w:r>
      <w:r>
        <w:tab/>
        <w:t>Annual reports on scheme water efficiency management plans</w:t>
      </w:r>
      <w:r>
        <w:tab/>
      </w:r>
      <w:r>
        <w:fldChar w:fldCharType="begin"/>
      </w:r>
      <w:r>
        <w:instrText xml:space="preserve"> PAGEREF _Toc309309737 \h </w:instrText>
      </w:r>
      <w:r>
        <w:fldChar w:fldCharType="separate"/>
      </w:r>
      <w:r>
        <w:t>20</w:t>
      </w:r>
      <w:r>
        <w:fldChar w:fldCharType="end"/>
      </w:r>
    </w:p>
    <w:p>
      <w:pPr>
        <w:pStyle w:val="TOC2"/>
        <w:tabs>
          <w:tab w:val="right" w:leader="dot" w:pos="7086"/>
        </w:tabs>
        <w:rPr>
          <w:b w:val="0"/>
          <w:sz w:val="24"/>
          <w:szCs w:val="24"/>
          <w:lang w:val="en-US"/>
        </w:rPr>
      </w:pPr>
      <w:r>
        <w:t>Part 4 — Repeal, saving and transitional</w:t>
      </w:r>
    </w:p>
    <w:p>
      <w:pPr>
        <w:pStyle w:val="TOC8"/>
        <w:rPr>
          <w:sz w:val="24"/>
          <w:szCs w:val="24"/>
          <w:lang w:val="en-US"/>
        </w:rPr>
      </w:pPr>
      <w:r>
        <w:t>30.</w:t>
      </w:r>
      <w:r>
        <w:tab/>
        <w:t>Repeal</w:t>
      </w:r>
      <w:r>
        <w:tab/>
      </w:r>
      <w:r>
        <w:fldChar w:fldCharType="begin"/>
      </w:r>
      <w:r>
        <w:instrText xml:space="preserve"> PAGEREF _Toc309309739 \h </w:instrText>
      </w:r>
      <w:r>
        <w:fldChar w:fldCharType="separate"/>
      </w:r>
      <w:r>
        <w:t>22</w:t>
      </w:r>
      <w:r>
        <w:fldChar w:fldCharType="end"/>
      </w:r>
    </w:p>
    <w:p>
      <w:pPr>
        <w:pStyle w:val="TOC8"/>
        <w:rPr>
          <w:sz w:val="24"/>
          <w:szCs w:val="24"/>
          <w:lang w:val="en-US"/>
        </w:rPr>
      </w:pPr>
      <w:r>
        <w:t>31.</w:t>
      </w:r>
      <w:r>
        <w:tab/>
        <w:t xml:space="preserve">Saving and transitional provisions for the </w:t>
      </w:r>
      <w:r>
        <w:rPr>
          <w:i/>
        </w:rPr>
        <w:t>Water Agencies (Water Use) By</w:t>
      </w:r>
      <w:r>
        <w:rPr>
          <w:i/>
        </w:rPr>
        <w:noBreakHyphen/>
        <w:t>laws 2007</w:t>
      </w:r>
      <w:r>
        <w:tab/>
      </w:r>
      <w:r>
        <w:fldChar w:fldCharType="begin"/>
      </w:r>
      <w:r>
        <w:instrText xml:space="preserve"> PAGEREF _Toc309309740 \h </w:instrText>
      </w:r>
      <w:r>
        <w:fldChar w:fldCharType="separate"/>
      </w:r>
      <w:r>
        <w:t>22</w:t>
      </w:r>
      <w:r>
        <w:fldChar w:fldCharType="end"/>
      </w:r>
    </w:p>
    <w:p>
      <w:pPr>
        <w:pStyle w:val="TOC2"/>
        <w:tabs>
          <w:tab w:val="right" w:leader="dot" w:pos="7086"/>
        </w:tabs>
        <w:rPr>
          <w:b w:val="0"/>
          <w:sz w:val="24"/>
          <w:szCs w:val="24"/>
          <w:lang w:val="en-US"/>
        </w:rPr>
      </w:pPr>
      <w:r>
        <w:t>Schedule 1 — Maps showing Areas 1, 2, 3 and 4</w:t>
      </w:r>
    </w:p>
    <w:p>
      <w:pPr>
        <w:pStyle w:val="TOC2"/>
        <w:tabs>
          <w:tab w:val="right" w:leader="dot" w:pos="7086"/>
        </w:tabs>
        <w:rPr>
          <w:b w:val="0"/>
          <w:sz w:val="24"/>
          <w:szCs w:val="24"/>
          <w:lang w:val="en-US"/>
        </w:rPr>
      </w:pPr>
      <w:r>
        <w:t>Schedule 2 — Stages of restrictions</w:t>
      </w:r>
    </w:p>
    <w:p>
      <w:pPr>
        <w:pStyle w:val="TOC8"/>
        <w:rPr>
          <w:sz w:val="24"/>
          <w:szCs w:val="24"/>
          <w:lang w:val="en-US"/>
        </w:rPr>
      </w:pPr>
      <w:r>
        <w:t>1.</w:t>
      </w:r>
      <w:r>
        <w:tab/>
        <w:t>Stage 1</w:t>
      </w:r>
      <w:r>
        <w:tab/>
      </w:r>
      <w:r>
        <w:fldChar w:fldCharType="begin"/>
      </w:r>
      <w:r>
        <w:instrText xml:space="preserve"> PAGEREF _Toc309309743 \h </w:instrText>
      </w:r>
      <w:r>
        <w:fldChar w:fldCharType="separate"/>
      </w:r>
      <w:r>
        <w:t>25</w:t>
      </w:r>
      <w:r>
        <w:fldChar w:fldCharType="end"/>
      </w:r>
    </w:p>
    <w:p>
      <w:pPr>
        <w:pStyle w:val="TOC8"/>
        <w:rPr>
          <w:sz w:val="24"/>
          <w:szCs w:val="24"/>
          <w:lang w:val="en-US"/>
        </w:rPr>
      </w:pPr>
      <w:r>
        <w:t>2.</w:t>
      </w:r>
      <w:r>
        <w:tab/>
        <w:t>Stage 2</w:t>
      </w:r>
      <w:r>
        <w:tab/>
      </w:r>
      <w:r>
        <w:fldChar w:fldCharType="begin"/>
      </w:r>
      <w:r>
        <w:instrText xml:space="preserve"> PAGEREF _Toc309309744 \h </w:instrText>
      </w:r>
      <w:r>
        <w:fldChar w:fldCharType="separate"/>
      </w:r>
      <w:r>
        <w:t>25</w:t>
      </w:r>
      <w:r>
        <w:fldChar w:fldCharType="end"/>
      </w:r>
    </w:p>
    <w:p>
      <w:pPr>
        <w:pStyle w:val="TOC8"/>
        <w:rPr>
          <w:sz w:val="24"/>
          <w:szCs w:val="24"/>
          <w:lang w:val="en-US"/>
        </w:rPr>
      </w:pPr>
      <w:r>
        <w:t>3.</w:t>
      </w:r>
      <w:r>
        <w:tab/>
        <w:t>Stage 3</w:t>
      </w:r>
      <w:r>
        <w:tab/>
      </w:r>
      <w:r>
        <w:fldChar w:fldCharType="begin"/>
      </w:r>
      <w:r>
        <w:instrText xml:space="preserve"> PAGEREF _Toc309309745 \h </w:instrText>
      </w:r>
      <w:r>
        <w:fldChar w:fldCharType="separate"/>
      </w:r>
      <w:r>
        <w:t>26</w:t>
      </w:r>
      <w:r>
        <w:fldChar w:fldCharType="end"/>
      </w:r>
    </w:p>
    <w:p>
      <w:pPr>
        <w:pStyle w:val="TOC8"/>
        <w:rPr>
          <w:sz w:val="24"/>
          <w:szCs w:val="24"/>
          <w:lang w:val="en-US"/>
        </w:rPr>
      </w:pPr>
      <w:r>
        <w:t>4.</w:t>
      </w:r>
      <w:r>
        <w:tab/>
        <w:t>Stage 4</w:t>
      </w:r>
      <w:r>
        <w:tab/>
      </w:r>
      <w:r>
        <w:fldChar w:fldCharType="begin"/>
      </w:r>
      <w:r>
        <w:instrText xml:space="preserve"> PAGEREF _Toc309309746 \h </w:instrText>
      </w:r>
      <w:r>
        <w:fldChar w:fldCharType="separate"/>
      </w:r>
      <w:r>
        <w:t>27</w:t>
      </w:r>
      <w:r>
        <w:fldChar w:fldCharType="end"/>
      </w:r>
    </w:p>
    <w:p>
      <w:pPr>
        <w:pStyle w:val="TOC8"/>
        <w:rPr>
          <w:sz w:val="24"/>
          <w:szCs w:val="24"/>
          <w:lang w:val="en-US"/>
        </w:rPr>
      </w:pPr>
      <w:r>
        <w:t>5.</w:t>
      </w:r>
      <w:r>
        <w:tab/>
        <w:t>Stage 5</w:t>
      </w:r>
      <w:r>
        <w:tab/>
      </w:r>
      <w:r>
        <w:fldChar w:fldCharType="begin"/>
      </w:r>
      <w:r>
        <w:instrText xml:space="preserve"> PAGEREF _Toc309309747 \h </w:instrText>
      </w:r>
      <w:r>
        <w:fldChar w:fldCharType="separate"/>
      </w:r>
      <w:r>
        <w:t>28</w:t>
      </w:r>
      <w:r>
        <w:fldChar w:fldCharType="end"/>
      </w:r>
    </w:p>
    <w:p>
      <w:pPr>
        <w:pStyle w:val="TOC8"/>
        <w:rPr>
          <w:sz w:val="24"/>
          <w:szCs w:val="24"/>
          <w:lang w:val="en-US"/>
        </w:rPr>
      </w:pPr>
      <w:r>
        <w:t>6.</w:t>
      </w:r>
      <w:r>
        <w:tab/>
        <w:t>Stage 6</w:t>
      </w:r>
      <w:r>
        <w:tab/>
      </w:r>
      <w:r>
        <w:fldChar w:fldCharType="begin"/>
      </w:r>
      <w:r>
        <w:instrText xml:space="preserve"> PAGEREF _Toc309309748 \h </w:instrText>
      </w:r>
      <w:r>
        <w:fldChar w:fldCharType="separate"/>
      </w:r>
      <w:r>
        <w:t>29</w:t>
      </w:r>
      <w:r>
        <w:fldChar w:fldCharType="end"/>
      </w:r>
    </w:p>
    <w:p>
      <w:pPr>
        <w:pStyle w:val="TOC8"/>
        <w:rPr>
          <w:sz w:val="24"/>
          <w:szCs w:val="24"/>
          <w:lang w:val="en-US"/>
        </w:rPr>
      </w:pPr>
      <w:r>
        <w:t>7.</w:t>
      </w:r>
      <w:r>
        <w:tab/>
        <w:t>Stage 7</w:t>
      </w:r>
      <w:r>
        <w:tab/>
      </w:r>
      <w:r>
        <w:fldChar w:fldCharType="begin"/>
      </w:r>
      <w:r>
        <w:instrText xml:space="preserve"> PAGEREF _Toc309309749 \h </w:instrText>
      </w:r>
      <w:r>
        <w:fldChar w:fldCharType="separate"/>
      </w:r>
      <w:r>
        <w:t>30</w:t>
      </w:r>
      <w:r>
        <w:fldChar w:fldCharType="end"/>
      </w:r>
    </w:p>
    <w:p>
      <w:pPr>
        <w:pStyle w:val="TOC2"/>
        <w:tabs>
          <w:tab w:val="right" w:leader="dot" w:pos="7086"/>
        </w:tabs>
        <w:rPr>
          <w:b w:val="0"/>
          <w:sz w:val="24"/>
          <w:szCs w:val="24"/>
          <w:lang w:val="en-US"/>
        </w:rPr>
      </w:pPr>
      <w:r>
        <w:t>Schedule 3 — Specified days for watering by reticulation</w:t>
      </w:r>
    </w:p>
    <w:p>
      <w:pPr>
        <w:pStyle w:val="TOC4"/>
        <w:tabs>
          <w:tab w:val="right" w:leader="dot" w:pos="7086"/>
        </w:tabs>
        <w:rPr>
          <w:b w:val="0"/>
          <w:sz w:val="24"/>
          <w:szCs w:val="24"/>
          <w:lang w:val="en-US"/>
        </w:rPr>
      </w:pPr>
      <w:r>
        <w:t>Division 1 — Specified days for Schedule 2 clauses 3(1)(a), 4(2)(a), 5(2)(a) and 6(2)(a)</w:t>
      </w:r>
    </w:p>
    <w:p>
      <w:pPr>
        <w:pStyle w:val="TOC4"/>
        <w:tabs>
          <w:tab w:val="right" w:leader="dot" w:pos="7086"/>
        </w:tabs>
        <w:rPr>
          <w:b w:val="0"/>
          <w:sz w:val="24"/>
          <w:szCs w:val="24"/>
          <w:lang w:val="en-US"/>
        </w:rPr>
      </w:pPr>
      <w:r>
        <w:t>Division 2 — Specified days for Schedule 2 clause 4(1)(a)</w:t>
      </w:r>
    </w:p>
    <w:p>
      <w:pPr>
        <w:pStyle w:val="TOC4"/>
        <w:tabs>
          <w:tab w:val="right" w:leader="dot" w:pos="7086"/>
        </w:tabs>
        <w:rPr>
          <w:b w:val="0"/>
          <w:sz w:val="24"/>
          <w:szCs w:val="24"/>
          <w:lang w:val="en-US"/>
        </w:rPr>
      </w:pPr>
      <w:r>
        <w:t>Division 3 — Specified days for Schedule 2 clause 5(1)(a)</w:t>
      </w:r>
    </w:p>
    <w:p>
      <w:pPr>
        <w:pStyle w:val="TOC2"/>
        <w:tabs>
          <w:tab w:val="right" w:leader="dot" w:pos="7086"/>
        </w:tabs>
        <w:rPr>
          <w:b w:val="0"/>
          <w:sz w:val="24"/>
          <w:szCs w:val="24"/>
          <w:lang w:val="en-US"/>
        </w:rPr>
      </w:pPr>
      <w:r>
        <w:t>Schedule 4 — Maps of certain scheme water areas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_Toc309309756 \h </w:instrText>
      </w:r>
      <w:r>
        <w:fldChar w:fldCharType="separate"/>
      </w:r>
      <w:r>
        <w:t>40</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pPr>
      <w:r>
        <w:t>Water Agencies (Powers) Act 1984</w:t>
      </w:r>
    </w:p>
    <w:p>
      <w:pPr>
        <w:pStyle w:val="NameofActReg"/>
      </w:pPr>
      <w:r>
        <w:t>Water Agencies (Water Use) By-laws 2010</w:t>
      </w:r>
    </w:p>
    <w:p>
      <w:pPr>
        <w:pStyle w:val="Heading2"/>
        <w:pageBreakBefore w:val="0"/>
        <w:spacing w:before="320"/>
      </w:pPr>
      <w:bookmarkStart w:id="1" w:name="_Toc175156471"/>
      <w:bookmarkStart w:id="2" w:name="_Toc175475248"/>
      <w:bookmarkStart w:id="3" w:name="_Toc175478425"/>
      <w:bookmarkStart w:id="4" w:name="_Toc175730332"/>
      <w:bookmarkStart w:id="5" w:name="_Toc176255625"/>
      <w:bookmarkStart w:id="6" w:name="_Toc176328325"/>
      <w:bookmarkStart w:id="7" w:name="_Toc176343425"/>
      <w:bookmarkStart w:id="8" w:name="_Toc176349329"/>
      <w:bookmarkStart w:id="9" w:name="_Toc176365922"/>
      <w:bookmarkStart w:id="10" w:name="_Toc176366584"/>
      <w:bookmarkStart w:id="11" w:name="_Toc176403125"/>
      <w:bookmarkStart w:id="12" w:name="_Toc176409137"/>
      <w:bookmarkStart w:id="13" w:name="_Toc176410493"/>
      <w:bookmarkStart w:id="14" w:name="_Toc176411235"/>
      <w:bookmarkStart w:id="15" w:name="_Toc176411541"/>
      <w:bookmarkStart w:id="16" w:name="_Toc176411781"/>
      <w:bookmarkStart w:id="17" w:name="_Toc176579490"/>
      <w:bookmarkStart w:id="18" w:name="_Toc176587777"/>
      <w:bookmarkStart w:id="19" w:name="_Toc176588384"/>
      <w:bookmarkStart w:id="20" w:name="_Toc176759290"/>
      <w:bookmarkStart w:id="21" w:name="_Toc176759744"/>
      <w:bookmarkStart w:id="22" w:name="_Toc176760533"/>
      <w:bookmarkStart w:id="23" w:name="_Toc176762018"/>
      <w:bookmarkStart w:id="24" w:name="_Toc176763393"/>
      <w:bookmarkStart w:id="25" w:name="_Toc176764394"/>
      <w:bookmarkStart w:id="26" w:name="_Toc176861263"/>
      <w:bookmarkStart w:id="27" w:name="_Toc176861329"/>
      <w:bookmarkStart w:id="28" w:name="_Toc177624788"/>
      <w:bookmarkStart w:id="29" w:name="_Toc177624836"/>
      <w:bookmarkStart w:id="30" w:name="_Toc177625434"/>
      <w:bookmarkStart w:id="31" w:name="_Toc177625807"/>
      <w:bookmarkStart w:id="32" w:name="_Toc177626183"/>
      <w:bookmarkStart w:id="33" w:name="_Toc177626748"/>
      <w:bookmarkStart w:id="34" w:name="_Toc177627582"/>
      <w:bookmarkStart w:id="35" w:name="_Toc177783983"/>
      <w:bookmarkStart w:id="36" w:name="_Toc177786577"/>
      <w:bookmarkStart w:id="37" w:name="_Toc177788436"/>
      <w:bookmarkStart w:id="38" w:name="_Toc177788474"/>
      <w:bookmarkStart w:id="39" w:name="_Toc177792364"/>
      <w:bookmarkStart w:id="40" w:name="_Toc177793467"/>
      <w:bookmarkStart w:id="41" w:name="_Toc177793738"/>
      <w:bookmarkStart w:id="42" w:name="_Toc177794816"/>
      <w:bookmarkStart w:id="43" w:name="_Toc177797278"/>
      <w:bookmarkStart w:id="44" w:name="_Toc177799381"/>
      <w:bookmarkStart w:id="45" w:name="_Toc177799645"/>
      <w:bookmarkStart w:id="46" w:name="_Toc177800058"/>
      <w:bookmarkStart w:id="47" w:name="_Toc177800131"/>
      <w:bookmarkStart w:id="48" w:name="_Toc177809187"/>
      <w:bookmarkStart w:id="49" w:name="_Toc177809277"/>
      <w:bookmarkStart w:id="50" w:name="_Toc177811563"/>
      <w:bookmarkStart w:id="51" w:name="_Toc177812234"/>
      <w:bookmarkStart w:id="52" w:name="_Toc177812272"/>
      <w:bookmarkStart w:id="53" w:name="_Toc177869914"/>
      <w:bookmarkStart w:id="54" w:name="_Toc178659541"/>
      <w:bookmarkStart w:id="55" w:name="_Toc178661905"/>
      <w:bookmarkStart w:id="56" w:name="_Toc178741866"/>
      <w:bookmarkStart w:id="57" w:name="_Toc178756166"/>
      <w:bookmarkStart w:id="58" w:name="_Toc179340861"/>
      <w:bookmarkStart w:id="59" w:name="_Toc248218209"/>
      <w:bookmarkStart w:id="60" w:name="_Toc253407937"/>
      <w:bookmarkStart w:id="61" w:name="_Toc253409346"/>
      <w:bookmarkStart w:id="62" w:name="_Toc253409413"/>
      <w:bookmarkStart w:id="63" w:name="_Toc253409804"/>
      <w:bookmarkStart w:id="64" w:name="_Toc253409890"/>
      <w:bookmarkStart w:id="65" w:name="_Toc253411480"/>
      <w:bookmarkStart w:id="66" w:name="_Toc253412775"/>
      <w:bookmarkStart w:id="67" w:name="_Toc253412829"/>
      <w:bookmarkStart w:id="68" w:name="_Toc253472295"/>
      <w:bookmarkStart w:id="69" w:name="_Toc253482318"/>
      <w:bookmarkStart w:id="70" w:name="_Toc253729587"/>
      <w:bookmarkStart w:id="71" w:name="_Toc253729640"/>
      <w:bookmarkStart w:id="72" w:name="_Toc253730809"/>
      <w:bookmarkStart w:id="73" w:name="_Toc253730862"/>
      <w:bookmarkStart w:id="74" w:name="_Toc253730915"/>
      <w:bookmarkStart w:id="75" w:name="_Toc254182161"/>
      <w:bookmarkStart w:id="76" w:name="_Toc254182466"/>
      <w:bookmarkStart w:id="77" w:name="_Toc254183039"/>
      <w:bookmarkStart w:id="78" w:name="_Toc254183142"/>
      <w:bookmarkStart w:id="79" w:name="_Toc254190516"/>
      <w:bookmarkStart w:id="80" w:name="_Toc254263009"/>
      <w:bookmarkStart w:id="81" w:name="_Toc254263586"/>
      <w:bookmarkStart w:id="82" w:name="_Toc254333734"/>
      <w:bookmarkStart w:id="83" w:name="_Toc256422665"/>
      <w:bookmarkStart w:id="84" w:name="_Toc256423584"/>
      <w:bookmarkStart w:id="85" w:name="_Toc256424126"/>
      <w:bookmarkStart w:id="86" w:name="_Toc256424726"/>
      <w:bookmarkStart w:id="87" w:name="_Toc257639286"/>
      <w:bookmarkStart w:id="88" w:name="_Toc257643292"/>
      <w:bookmarkStart w:id="89" w:name="_Toc273439161"/>
      <w:bookmarkStart w:id="90" w:name="_Toc278898223"/>
      <w:bookmarkStart w:id="91" w:name="_Toc278898328"/>
      <w:bookmarkStart w:id="92" w:name="_Toc287360932"/>
      <w:bookmarkStart w:id="93" w:name="_Toc287360991"/>
      <w:bookmarkStart w:id="94" w:name="_Toc287361050"/>
      <w:bookmarkStart w:id="95" w:name="_Toc309303085"/>
      <w:bookmarkStart w:id="96" w:name="_Toc309303144"/>
      <w:bookmarkStart w:id="97" w:name="_Toc30930969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pPr>
        <w:pStyle w:val="Heading5"/>
      </w:pPr>
      <w:bookmarkStart w:id="98" w:name="_Toc423332722"/>
      <w:bookmarkStart w:id="99" w:name="_Toc425219441"/>
      <w:bookmarkStart w:id="100" w:name="_Toc426249308"/>
      <w:bookmarkStart w:id="101" w:name="_Toc449924704"/>
      <w:bookmarkStart w:id="102" w:name="_Toc449947722"/>
      <w:bookmarkStart w:id="103" w:name="_Toc454185713"/>
      <w:bookmarkStart w:id="104" w:name="_Toc515958686"/>
      <w:bookmarkStart w:id="105" w:name="_Toc254333735"/>
      <w:bookmarkStart w:id="106" w:name="_Toc256422666"/>
      <w:bookmarkStart w:id="107" w:name="_Toc309309700"/>
      <w:r>
        <w:rPr>
          <w:rStyle w:val="CharSectno"/>
        </w:rPr>
        <w:t>1</w:t>
      </w:r>
      <w:r>
        <w:t>.</w:t>
      </w:r>
      <w:r>
        <w:tab/>
        <w:t>Citation</w:t>
      </w:r>
      <w:bookmarkEnd w:id="98"/>
      <w:bookmarkEnd w:id="99"/>
      <w:bookmarkEnd w:id="100"/>
      <w:bookmarkEnd w:id="101"/>
      <w:bookmarkEnd w:id="102"/>
      <w:bookmarkEnd w:id="103"/>
      <w:bookmarkEnd w:id="104"/>
      <w:bookmarkEnd w:id="105"/>
      <w:bookmarkEnd w:id="106"/>
      <w:bookmarkEnd w:id="107"/>
    </w:p>
    <w:p>
      <w:pPr>
        <w:pStyle w:val="Subsection"/>
        <w:ind w:right="990"/>
        <w:rPr>
          <w:i/>
        </w:rPr>
      </w:pPr>
      <w:r>
        <w:tab/>
      </w:r>
      <w:r>
        <w:tab/>
      </w:r>
      <w:bookmarkStart w:id="108" w:name="Start_Cursor"/>
      <w:bookmarkEnd w:id="108"/>
      <w:r>
        <w:rPr>
          <w:spacing w:val="-2"/>
        </w:rPr>
        <w:t>These</w:t>
      </w:r>
      <w:r>
        <w:t xml:space="preserve"> </w:t>
      </w:r>
      <w:r>
        <w:rPr>
          <w:spacing w:val="-2"/>
        </w:rPr>
        <w:t>by-laws</w:t>
      </w:r>
      <w:r>
        <w:t xml:space="preserve"> are the </w:t>
      </w:r>
      <w:r>
        <w:rPr>
          <w:i/>
        </w:rPr>
        <w:t>Water Agencies (Water Use) By-laws 2010</w:t>
      </w:r>
      <w:r>
        <w:t>.</w:t>
      </w:r>
    </w:p>
    <w:p>
      <w:pPr>
        <w:pStyle w:val="Heading5"/>
        <w:rPr>
          <w:spacing w:val="-2"/>
        </w:rPr>
      </w:pPr>
      <w:bookmarkStart w:id="109" w:name="_Toc423332723"/>
      <w:bookmarkStart w:id="110" w:name="_Toc425219442"/>
      <w:bookmarkStart w:id="111" w:name="_Toc426249309"/>
      <w:bookmarkStart w:id="112" w:name="_Toc449924705"/>
      <w:bookmarkStart w:id="113" w:name="_Toc449947723"/>
      <w:bookmarkStart w:id="114" w:name="_Toc454185714"/>
      <w:bookmarkStart w:id="115" w:name="_Toc515958687"/>
      <w:bookmarkStart w:id="116" w:name="_Toc254333736"/>
      <w:bookmarkStart w:id="117" w:name="_Toc256422667"/>
      <w:bookmarkStart w:id="118" w:name="_Toc309309701"/>
      <w:r>
        <w:rPr>
          <w:rStyle w:val="CharSectno"/>
        </w:rPr>
        <w:t>2</w:t>
      </w:r>
      <w:r>
        <w:rPr>
          <w:spacing w:val="-2"/>
        </w:rPr>
        <w:t>.</w:t>
      </w:r>
      <w:r>
        <w:rPr>
          <w:spacing w:val="-2"/>
        </w:rPr>
        <w:tab/>
        <w:t>Commencement</w:t>
      </w:r>
      <w:bookmarkEnd w:id="109"/>
      <w:bookmarkEnd w:id="110"/>
      <w:bookmarkEnd w:id="111"/>
      <w:bookmarkEnd w:id="112"/>
      <w:bookmarkEnd w:id="113"/>
      <w:bookmarkEnd w:id="114"/>
      <w:bookmarkEnd w:id="115"/>
      <w:bookmarkEnd w:id="116"/>
      <w:bookmarkEnd w:id="117"/>
      <w:bookmarkEnd w:id="118"/>
    </w:p>
    <w:p>
      <w:pPr>
        <w:pStyle w:val="Subsection"/>
        <w:rPr>
          <w:spacing w:val="-2"/>
        </w:rPr>
      </w:pPr>
      <w:r>
        <w:rPr>
          <w:spacing w:val="-2"/>
        </w:rPr>
        <w:tab/>
      </w:r>
      <w:r>
        <w:rPr>
          <w:spacing w:val="-2"/>
        </w:rPr>
        <w:tab/>
        <w:t>These by-laws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t>;</w:t>
      </w:r>
    </w:p>
    <w:p>
      <w:pPr>
        <w:pStyle w:val="Indenta"/>
      </w:pPr>
      <w:r>
        <w:tab/>
        <w:t>(b)</w:t>
      </w:r>
      <w:r>
        <w:tab/>
        <w:t>the rest of the by</w:t>
      </w:r>
      <w:r>
        <w:noBreakHyphen/>
        <w:t>laws — on 1 April 2010.</w:t>
      </w:r>
    </w:p>
    <w:p>
      <w:pPr>
        <w:pStyle w:val="Heading5"/>
      </w:pPr>
      <w:bookmarkStart w:id="119" w:name="_Toc257638568"/>
      <w:bookmarkStart w:id="120" w:name="_Toc309309702"/>
      <w:r>
        <w:rPr>
          <w:rStyle w:val="CharSectno"/>
        </w:rPr>
        <w:t>3</w:t>
      </w:r>
      <w:r>
        <w:t>.</w:t>
      </w:r>
      <w:r>
        <w:tab/>
        <w:t>Terms used</w:t>
      </w:r>
      <w:bookmarkEnd w:id="119"/>
      <w:bookmarkEnd w:id="120"/>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as illustrated for information purposes on the maps shown in Schedule 1;</w:t>
      </w:r>
    </w:p>
    <w:p>
      <w:pPr>
        <w:pStyle w:val="Defstart"/>
      </w:pPr>
      <w:r>
        <w:tab/>
      </w:r>
      <w:r>
        <w:rPr>
          <w:rStyle w:val="CharDefText"/>
        </w:rPr>
        <w:t>Area 2</w:t>
      </w:r>
      <w:r>
        <w:t xml:space="preserve"> means that part of the State that is south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 xml:space="preserve">scheme water </w:t>
      </w:r>
      <w:r>
        <w:t>means water supplied by scheme water supplier;</w:t>
      </w:r>
    </w:p>
    <w:p>
      <w:pPr>
        <w:pStyle w:val="Defstart"/>
      </w:pPr>
      <w:r>
        <w:tab/>
      </w:r>
      <w:r>
        <w:rPr>
          <w:rStyle w:val="CharDefText"/>
        </w:rPr>
        <w:t>scheme water supplier</w:t>
      </w:r>
      <w:r>
        <w:t xml:space="preserve"> means —</w:t>
      </w:r>
    </w:p>
    <w:p>
      <w:pPr>
        <w:pStyle w:val="Defpara"/>
      </w:pPr>
      <w:r>
        <w:tab/>
        <w:t>(a)</w:t>
      </w:r>
      <w:r>
        <w:tab/>
        <w:t>the Corporation; or</w:t>
      </w:r>
    </w:p>
    <w:p>
      <w:pPr>
        <w:pStyle w:val="Defpara"/>
      </w:pPr>
      <w:r>
        <w:tab/>
        <w:t>(b)</w:t>
      </w:r>
      <w:r>
        <w:tab/>
        <w:t xml:space="preserve">a water board as defined in the </w:t>
      </w:r>
      <w:r>
        <w:rPr>
          <w:i/>
          <w:iCs/>
        </w:rPr>
        <w:t>Water Boards Act 1904</w:t>
      </w:r>
      <w:r>
        <w:t xml:space="preserve"> section 3(1);</w:t>
      </w:r>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water</w:t>
      </w:r>
      <w:r>
        <w:t xml:space="preserve"> means —</w:t>
      </w:r>
    </w:p>
    <w:p>
      <w:pPr>
        <w:pStyle w:val="Defpara"/>
      </w:pPr>
      <w:r>
        <w:tab/>
        <w:t>(a)</w:t>
      </w:r>
      <w:r>
        <w:tab/>
        <w:t>scheme water; or</w:t>
      </w:r>
    </w:p>
    <w:p>
      <w:pPr>
        <w:pStyle w:val="Defpara"/>
      </w:pPr>
      <w:r>
        <w:tab/>
        <w:t>(b)</w:t>
      </w:r>
      <w:r>
        <w:tab/>
        <w:t>domestic bore water;</w:t>
      </w:r>
    </w:p>
    <w:p>
      <w:pPr>
        <w:pStyle w:val="Defstart"/>
      </w:pPr>
      <w:r>
        <w:tab/>
      </w:r>
      <w:r>
        <w:rPr>
          <w:rStyle w:val="CharDefText"/>
        </w:rPr>
        <w:t>week</w:t>
      </w:r>
      <w:r>
        <w:t xml:space="preserve"> means a period of seven successive days beginning with Sunday.</w:t>
      </w:r>
    </w:p>
    <w:p>
      <w:pPr>
        <w:pStyle w:val="Footnotesection"/>
      </w:pPr>
      <w:r>
        <w:tab/>
        <w:t>[By-law 3 amended in Gazette 30 Nov 2010 p. 6016.]</w:t>
      </w:r>
    </w:p>
    <w:p>
      <w:pPr>
        <w:pStyle w:val="Heading2"/>
      </w:pPr>
      <w:bookmarkStart w:id="121" w:name="_Toc257638569"/>
      <w:bookmarkStart w:id="122" w:name="_Toc257639290"/>
      <w:bookmarkStart w:id="123" w:name="_Toc257643296"/>
      <w:bookmarkStart w:id="124" w:name="_Toc273439165"/>
      <w:bookmarkStart w:id="125" w:name="_Toc278898227"/>
      <w:bookmarkStart w:id="126" w:name="_Toc278898332"/>
      <w:bookmarkStart w:id="127" w:name="_Toc287360936"/>
      <w:bookmarkStart w:id="128" w:name="_Toc287360995"/>
      <w:bookmarkStart w:id="129" w:name="_Toc287361054"/>
      <w:bookmarkStart w:id="130" w:name="_Toc309303089"/>
      <w:bookmarkStart w:id="131" w:name="_Toc309303148"/>
      <w:bookmarkStart w:id="132" w:name="_Toc309309703"/>
      <w:r>
        <w:rPr>
          <w:rStyle w:val="CharPartNo"/>
        </w:rPr>
        <w:t>Part 2</w:t>
      </w:r>
      <w:r>
        <w:t> — </w:t>
      </w:r>
      <w:r>
        <w:rPr>
          <w:rStyle w:val="CharPartText"/>
        </w:rPr>
        <w:t>Water restrictions</w:t>
      </w:r>
      <w:bookmarkEnd w:id="121"/>
      <w:bookmarkEnd w:id="122"/>
      <w:bookmarkEnd w:id="123"/>
      <w:bookmarkEnd w:id="124"/>
      <w:bookmarkEnd w:id="125"/>
      <w:bookmarkEnd w:id="126"/>
      <w:bookmarkEnd w:id="127"/>
      <w:bookmarkEnd w:id="128"/>
      <w:bookmarkEnd w:id="129"/>
      <w:bookmarkEnd w:id="130"/>
      <w:bookmarkEnd w:id="131"/>
      <w:bookmarkEnd w:id="132"/>
    </w:p>
    <w:p>
      <w:pPr>
        <w:pStyle w:val="Heading3"/>
      </w:pPr>
      <w:bookmarkStart w:id="133" w:name="_Toc257638570"/>
      <w:bookmarkStart w:id="134" w:name="_Toc257639291"/>
      <w:bookmarkStart w:id="135" w:name="_Toc257643297"/>
      <w:bookmarkStart w:id="136" w:name="_Toc273439166"/>
      <w:bookmarkStart w:id="137" w:name="_Toc278898228"/>
      <w:bookmarkStart w:id="138" w:name="_Toc278898333"/>
      <w:bookmarkStart w:id="139" w:name="_Toc287360937"/>
      <w:bookmarkStart w:id="140" w:name="_Toc287360996"/>
      <w:bookmarkStart w:id="141" w:name="_Toc287361055"/>
      <w:bookmarkStart w:id="142" w:name="_Toc309303090"/>
      <w:bookmarkStart w:id="143" w:name="_Toc309303149"/>
      <w:bookmarkStart w:id="144" w:name="_Toc309309704"/>
      <w:r>
        <w:rPr>
          <w:rStyle w:val="CharDivNo"/>
        </w:rPr>
        <w:t>Division 1</w:t>
      </w:r>
      <w:r>
        <w:t> — </w:t>
      </w:r>
      <w:r>
        <w:rPr>
          <w:rStyle w:val="CharDivText"/>
        </w:rPr>
        <w:t>Restrictions</w:t>
      </w:r>
      <w:bookmarkEnd w:id="133"/>
      <w:bookmarkEnd w:id="134"/>
      <w:bookmarkEnd w:id="135"/>
      <w:bookmarkEnd w:id="136"/>
      <w:bookmarkEnd w:id="137"/>
      <w:bookmarkEnd w:id="138"/>
      <w:bookmarkEnd w:id="139"/>
      <w:bookmarkEnd w:id="140"/>
      <w:bookmarkEnd w:id="141"/>
      <w:bookmarkEnd w:id="142"/>
      <w:bookmarkEnd w:id="143"/>
      <w:bookmarkEnd w:id="144"/>
    </w:p>
    <w:p>
      <w:pPr>
        <w:pStyle w:val="Heading5"/>
      </w:pPr>
      <w:bookmarkStart w:id="145" w:name="_Toc257638571"/>
      <w:bookmarkStart w:id="146" w:name="_Toc309309705"/>
      <w:r>
        <w:rPr>
          <w:rStyle w:val="CharSectno"/>
        </w:rPr>
        <w:t>4</w:t>
      </w:r>
      <w:r>
        <w:t>.</w:t>
      </w:r>
      <w:r>
        <w:tab/>
        <w:t>Use of water restricted</w:t>
      </w:r>
      <w:bookmarkEnd w:id="145"/>
      <w:bookmarkEnd w:id="146"/>
    </w:p>
    <w:p>
      <w:pPr>
        <w:pStyle w:val="Subsection"/>
      </w:pPr>
      <w:r>
        <w:tab/>
        <w:t>(1)</w:t>
      </w:r>
      <w:r>
        <w:tab/>
        <w:t>In this by</w:t>
      </w:r>
      <w:r>
        <w:noBreakHyphen/>
        <w:t xml:space="preserve">law — </w:t>
      </w:r>
    </w:p>
    <w:p>
      <w:pPr>
        <w:pStyle w:val="Defstart"/>
      </w:pPr>
      <w:r>
        <w:tab/>
      </w:r>
      <w:r>
        <w:rPr>
          <w:rStyle w:val="CharDefText"/>
        </w:rPr>
        <w:t>written approval</w:t>
      </w:r>
      <w:r>
        <w:t xml:space="preserve"> means written approval from — </w:t>
      </w:r>
    </w:p>
    <w:p>
      <w:pPr>
        <w:pStyle w:val="Defpara"/>
      </w:pPr>
      <w:r>
        <w:tab/>
        <w:t>(a)</w:t>
      </w:r>
      <w:r>
        <w:tab/>
        <w:t>in relation to scheme water — the scheme water supplier; and</w:t>
      </w:r>
    </w:p>
    <w:p>
      <w:pPr>
        <w:pStyle w:val="Defpara"/>
      </w:pPr>
      <w:r>
        <w:tab/>
        <w:t>(b)</w:t>
      </w:r>
      <w:r>
        <w:tab/>
        <w:t>in relation to domestic bore water — the chief executive officer of the department of the Public Service principally assisting in the administration of the Act.</w:t>
      </w:r>
    </w:p>
    <w:p>
      <w:pPr>
        <w:pStyle w:val="Subsection"/>
      </w:pPr>
      <w:r>
        <w:tab/>
        <w:t>(2)</w:t>
      </w:r>
      <w:r>
        <w:tab/>
        <w:t>A person must not, without written approval, use water in contravention of the stage of restrictions applicable under these by</w:t>
      </w:r>
      <w:r>
        <w:noBreakHyphen/>
        <w:t>laws.</w:t>
      </w:r>
    </w:p>
    <w:p>
      <w:pPr>
        <w:pStyle w:val="Penstart"/>
      </w:pPr>
      <w:r>
        <w:tab/>
        <w:t>Penalty: a fine of $500.</w:t>
      </w:r>
    </w:p>
    <w:p>
      <w:pPr>
        <w:pStyle w:val="Footnotesection"/>
      </w:pPr>
      <w:r>
        <w:tab/>
        <w:t>[By-law 4 amended in Gazette 28 Sep 2010 p. 5063.]</w:t>
      </w:r>
    </w:p>
    <w:p>
      <w:pPr>
        <w:pStyle w:val="Heading5"/>
      </w:pPr>
      <w:bookmarkStart w:id="147" w:name="_Toc257638572"/>
      <w:bookmarkStart w:id="148" w:name="_Toc309309706"/>
      <w:r>
        <w:rPr>
          <w:rStyle w:val="CharSectno"/>
        </w:rPr>
        <w:t>5</w:t>
      </w:r>
      <w:r>
        <w:t>.</w:t>
      </w:r>
      <w:r>
        <w:tab/>
        <w:t>Stage of restrictions applicable to Area 1</w:t>
      </w:r>
      <w:bookmarkEnd w:id="147"/>
      <w:bookmarkEnd w:id="148"/>
    </w:p>
    <w:p>
      <w:pPr>
        <w:pStyle w:val="Subsection"/>
      </w:pPr>
      <w:r>
        <w:tab/>
        <w:t>(1)</w:t>
      </w:r>
      <w:r>
        <w:tab/>
        <w:t>Subject to by</w:t>
      </w:r>
      <w:r>
        <w:noBreakHyphen/>
        <w:t>law 9, the stage of restrictions that applies in relation to the use of scheme water in Area 1 is stage 2.</w:t>
      </w:r>
    </w:p>
    <w:p>
      <w:pPr>
        <w:pStyle w:val="Subsection"/>
      </w:pPr>
      <w:r>
        <w:tab/>
        <w:t>(2)</w:t>
      </w:r>
      <w:r>
        <w:tab/>
        <w:t>The stage of restrictions that applies in relation to the use of domestic bore water in Area 1 is stage 1.</w:t>
      </w:r>
    </w:p>
    <w:p>
      <w:pPr>
        <w:pStyle w:val="Footnotesection"/>
      </w:pPr>
      <w:bookmarkStart w:id="149" w:name="_Toc257638573"/>
      <w:r>
        <w:tab/>
        <w:t>[By-law 5 amended in Gazette 28 Sep 2010 p. 5063.]</w:t>
      </w:r>
    </w:p>
    <w:p>
      <w:pPr>
        <w:pStyle w:val="Heading5"/>
      </w:pPr>
      <w:bookmarkStart w:id="150" w:name="_Toc309309707"/>
      <w:r>
        <w:rPr>
          <w:rStyle w:val="CharSectno"/>
        </w:rPr>
        <w:t>6</w:t>
      </w:r>
      <w:r>
        <w:t>.</w:t>
      </w:r>
      <w:r>
        <w:tab/>
        <w:t>Stage of restrictions applicable to Area 2</w:t>
      </w:r>
      <w:bookmarkEnd w:id="149"/>
      <w:bookmarkEnd w:id="150"/>
    </w:p>
    <w:p>
      <w:pPr>
        <w:pStyle w:val="Subsection"/>
      </w:pPr>
      <w:r>
        <w:tab/>
        <w:t>(1)</w:t>
      </w:r>
      <w:r>
        <w:tab/>
        <w:t>Subject to by</w:t>
      </w:r>
      <w:r>
        <w:noBreakHyphen/>
        <w:t>law 10AA, the stage of restrictions that applies in relation to the use of scheme water in Area 2 is stage 4.</w:t>
      </w:r>
    </w:p>
    <w:p>
      <w:pPr>
        <w:pStyle w:val="Subsection"/>
      </w:pPr>
      <w:r>
        <w:tab/>
        <w:t>(2)</w:t>
      </w:r>
      <w:r>
        <w:tab/>
        <w:t>The stage of restrictions that applies in relation to the use of domestic bore water in Area 2 is stage 1.</w:t>
      </w:r>
    </w:p>
    <w:p>
      <w:pPr>
        <w:pStyle w:val="Footnotesection"/>
      </w:pPr>
      <w:bookmarkStart w:id="151" w:name="_Toc257638574"/>
      <w:r>
        <w:tab/>
        <w:t>[By-law 6 amended in Gazette 28 Sep 2010 p. 5064; 8 Mar 2011 p. 801.]</w:t>
      </w:r>
    </w:p>
    <w:p>
      <w:pPr>
        <w:pStyle w:val="Heading5"/>
      </w:pPr>
      <w:bookmarkStart w:id="152" w:name="_Toc309309708"/>
      <w:r>
        <w:rPr>
          <w:rStyle w:val="CharSectno"/>
        </w:rPr>
        <w:t>7</w:t>
      </w:r>
      <w:r>
        <w:t>.</w:t>
      </w:r>
      <w:r>
        <w:tab/>
        <w:t>Stage of restrictions applicable to Area 3</w:t>
      </w:r>
      <w:bookmarkEnd w:id="151"/>
      <w:bookmarkEnd w:id="152"/>
    </w:p>
    <w:p>
      <w:pPr>
        <w:pStyle w:val="Subsection"/>
      </w:pPr>
      <w:r>
        <w:tab/>
        <w:t>(1)</w:t>
      </w:r>
      <w:r>
        <w:tab/>
        <w:t xml:space="preserve">The stage of restrictions that applies in relation to the use of scheme water in Area 3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 xml:space="preserve">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Footnotesection"/>
      </w:pPr>
      <w:bookmarkStart w:id="153" w:name="_Toc257638575"/>
      <w:r>
        <w:tab/>
        <w:t>[By-law 7 amended in Gazette 28 Sep 2010 p. 5064; 30 Nov 2010 p. 6016.]</w:t>
      </w:r>
    </w:p>
    <w:p>
      <w:pPr>
        <w:pStyle w:val="Heading5"/>
      </w:pPr>
      <w:bookmarkStart w:id="154" w:name="_Toc309309709"/>
      <w:r>
        <w:rPr>
          <w:rStyle w:val="CharSectno"/>
        </w:rPr>
        <w:t>8</w:t>
      </w:r>
      <w:r>
        <w:t>.</w:t>
      </w:r>
      <w:r>
        <w:tab/>
        <w:t>Stage of restrictions applicable to Area 4</w:t>
      </w:r>
      <w:bookmarkEnd w:id="153"/>
      <w:bookmarkEnd w:id="154"/>
    </w:p>
    <w:p>
      <w:pPr>
        <w:pStyle w:val="Subsection"/>
      </w:pPr>
      <w:r>
        <w:tab/>
        <w:t>(1)</w:t>
      </w:r>
      <w:r>
        <w:tab/>
        <w:t xml:space="preserve">Subject to by-law 10A, the stage of restrictions that applies in relation to the use of scheme water in Area 4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 xml:space="preserve">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Footnotesection"/>
      </w:pPr>
      <w:bookmarkStart w:id="155" w:name="_Toc257638576"/>
      <w:r>
        <w:tab/>
        <w:t>[By-law 8 amended in Gazette 28 Sep 2010 p. 5064.]</w:t>
      </w:r>
    </w:p>
    <w:p>
      <w:pPr>
        <w:pStyle w:val="Heading5"/>
      </w:pPr>
      <w:bookmarkStart w:id="156" w:name="_Toc309309710"/>
      <w:bookmarkStart w:id="157" w:name="_Toc257638577"/>
      <w:bookmarkStart w:id="158" w:name="_Toc257639298"/>
      <w:bookmarkStart w:id="159" w:name="_Toc257643304"/>
      <w:bookmarkEnd w:id="155"/>
      <w:r>
        <w:rPr>
          <w:rStyle w:val="CharSectno"/>
        </w:rPr>
        <w:t>9</w:t>
      </w:r>
      <w:r>
        <w:t>.</w:t>
      </w:r>
      <w:r>
        <w:tab/>
        <w:t>Use of scheme water in Halls Creek</w:t>
      </w:r>
      <w:bookmarkEnd w:id="156"/>
    </w:p>
    <w:p>
      <w:pPr>
        <w:pStyle w:val="Subsection"/>
      </w:pPr>
      <w:r>
        <w:tab/>
      </w:r>
      <w:r>
        <w:tab/>
        <w:t>The stage of restrictions that applies in relation to the use of scheme water in the local government district of Halls Creek is stage 4.</w:t>
      </w:r>
    </w:p>
    <w:p>
      <w:pPr>
        <w:pStyle w:val="Footnotesection"/>
      </w:pPr>
      <w:r>
        <w:tab/>
        <w:t>[By-law 9 inserted in Gazette 28 Sep 2010 p. 5064.]</w:t>
      </w:r>
    </w:p>
    <w:p>
      <w:pPr>
        <w:pStyle w:val="Heading5"/>
      </w:pPr>
      <w:bookmarkStart w:id="160" w:name="_Toc309309711"/>
      <w:bookmarkStart w:id="161" w:name="_Toc273439174"/>
      <w:r>
        <w:rPr>
          <w:rStyle w:val="CharSectno"/>
        </w:rPr>
        <w:t>10AA</w:t>
      </w:r>
      <w:r>
        <w:t>.</w:t>
      </w:r>
      <w:r>
        <w:tab/>
        <w:t>Use of scheme water in Area 2 to 31 October 2012</w:t>
      </w:r>
      <w:bookmarkEnd w:id="160"/>
    </w:p>
    <w:p>
      <w:pPr>
        <w:pStyle w:val="Subsection"/>
      </w:pPr>
      <w:r>
        <w:tab/>
        <w:t>(1)</w:t>
      </w:r>
      <w:r>
        <w:tab/>
        <w:t>In this by</w:t>
      </w:r>
      <w:r>
        <w:noBreakHyphen/>
        <w:t xml:space="preserve">law — </w:t>
      </w:r>
    </w:p>
    <w:p>
      <w:pPr>
        <w:pStyle w:val="Defstart"/>
      </w:pPr>
      <w:r>
        <w:tab/>
      </w:r>
      <w:r>
        <w:rPr>
          <w:rStyle w:val="CharDefText"/>
        </w:rPr>
        <w:t>commencement day</w:t>
      </w:r>
      <w:r>
        <w:t xml:space="preserve"> means the day on which the </w:t>
      </w:r>
      <w:r>
        <w:rPr>
          <w:i/>
        </w:rPr>
        <w:t>Water Agencies (Water Use) Amendment By</w:t>
      </w:r>
      <w:r>
        <w:rPr>
          <w:i/>
        </w:rPr>
        <w:noBreakHyphen/>
        <w:t>laws (No. 2) 2011</w:t>
      </w:r>
      <w:r>
        <w:t>, other than by</w:t>
      </w:r>
      <w:r>
        <w:noBreakHyphen/>
        <w:t>laws 1 and 2, come into operation;</w:t>
      </w:r>
    </w:p>
    <w:p>
      <w:pPr>
        <w:pStyle w:val="Defstart"/>
      </w:pPr>
      <w:r>
        <w:tab/>
      </w:r>
      <w:r>
        <w:rPr>
          <w:rStyle w:val="CharDefText"/>
        </w:rPr>
        <w:t>coordinate</w:t>
      </w:r>
      <w:r>
        <w:t xml:space="preserve"> means a Map Grid of Australia (Geocentric Datum of Australia 1994) coordinate for zone 50.</w:t>
      </w:r>
    </w:p>
    <w:p>
      <w:pPr>
        <w:pStyle w:val="Subsection"/>
      </w:pPr>
      <w:r>
        <w:tab/>
        <w:t>(2)</w:t>
      </w:r>
      <w:r>
        <w:tab/>
        <w:t>This by</w:t>
      </w:r>
      <w:r>
        <w:noBreakHyphen/>
        <w:t>law applies from commencement day to 31 October 2012.</w:t>
      </w:r>
    </w:p>
    <w:p>
      <w:pPr>
        <w:pStyle w:val="Subsection"/>
      </w:pPr>
      <w:r>
        <w:tab/>
        <w:t>(3)</w:t>
      </w:r>
      <w:r>
        <w:tab/>
        <w:t xml:space="preserve">The stage of restrictions that applies in relation to the use of scheme water in the following areas is stage 5 — </w:t>
      </w:r>
    </w:p>
    <w:p>
      <w:pPr>
        <w:pStyle w:val="Indenta"/>
      </w:pPr>
      <w:r>
        <w:tab/>
        <w:t>(a)</w:t>
      </w:r>
      <w:r>
        <w:tab/>
        <w:t>the Grass Patch scheme water area;</w:t>
      </w:r>
    </w:p>
    <w:p>
      <w:pPr>
        <w:pStyle w:val="Indenta"/>
      </w:pPr>
      <w:r>
        <w:tab/>
        <w:t>(b)</w:t>
      </w:r>
      <w:r>
        <w:tab/>
        <w:t>the Salmon Gums scheme water area.</w:t>
      </w:r>
    </w:p>
    <w:p>
      <w:pPr>
        <w:pStyle w:val="Subsection"/>
      </w:pPr>
      <w:r>
        <w:tab/>
        <w:t>(4)</w:t>
      </w:r>
      <w:r>
        <w:tab/>
        <w:t>The Grass Patch scheme water area is the area (around Grass Patch) defined by boundaries joining the coordinates in the Table sequentially.</w:t>
      </w:r>
    </w:p>
    <w:p>
      <w:pPr>
        <w:pStyle w:val="THeadingNAm"/>
      </w:pPr>
      <w:r>
        <w:t>Table</w:t>
      </w:r>
    </w:p>
    <w:tbl>
      <w:tblPr>
        <w:tblW w:w="0" w:type="auto"/>
        <w:tblInd w:w="962"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330"/>
        <w:gridCol w:w="2212"/>
        <w:gridCol w:w="1805"/>
      </w:tblGrid>
      <w:tr>
        <w:trPr>
          <w:tblHeader/>
        </w:trPr>
        <w:tc>
          <w:tcPr>
            <w:tcW w:w="1330" w:type="dxa"/>
          </w:tcPr>
          <w:p>
            <w:pPr>
              <w:pStyle w:val="TableNAm"/>
              <w:jc w:val="center"/>
              <w:rPr>
                <w:b/>
              </w:rPr>
            </w:pPr>
            <w:r>
              <w:rPr>
                <w:b/>
              </w:rPr>
              <w:t>Point No.</w:t>
            </w:r>
          </w:p>
        </w:tc>
        <w:tc>
          <w:tcPr>
            <w:tcW w:w="2212" w:type="dxa"/>
          </w:tcPr>
          <w:p>
            <w:pPr>
              <w:pStyle w:val="TableNAm"/>
              <w:jc w:val="center"/>
              <w:rPr>
                <w:b/>
              </w:rPr>
            </w:pPr>
            <w:r>
              <w:rPr>
                <w:b/>
              </w:rPr>
              <w:t>Easting</w:t>
            </w:r>
          </w:p>
        </w:tc>
        <w:tc>
          <w:tcPr>
            <w:tcW w:w="1805" w:type="dxa"/>
          </w:tcPr>
          <w:p>
            <w:pPr>
              <w:pStyle w:val="TableNAm"/>
              <w:jc w:val="center"/>
              <w:rPr>
                <w:b/>
              </w:rPr>
            </w:pPr>
            <w:r>
              <w:rPr>
                <w:b/>
              </w:rPr>
              <w:t>Northing</w:t>
            </w:r>
          </w:p>
        </w:tc>
      </w:tr>
      <w:tr>
        <w:tc>
          <w:tcPr>
            <w:tcW w:w="1330" w:type="dxa"/>
            <w:tcBorders>
              <w:bottom w:val="nil"/>
            </w:tcBorders>
          </w:tcPr>
          <w:p>
            <w:pPr>
              <w:pStyle w:val="TableNAm"/>
              <w:jc w:val="center"/>
            </w:pPr>
            <w:r>
              <w:t>1</w:t>
            </w:r>
          </w:p>
        </w:tc>
        <w:tc>
          <w:tcPr>
            <w:tcW w:w="2212" w:type="dxa"/>
            <w:tcBorders>
              <w:bottom w:val="nil"/>
            </w:tcBorders>
          </w:tcPr>
          <w:p>
            <w:pPr>
              <w:pStyle w:val="TableNAm"/>
              <w:jc w:val="center"/>
            </w:pPr>
            <w:r>
              <w:t>379155</w:t>
            </w:r>
          </w:p>
        </w:tc>
        <w:tc>
          <w:tcPr>
            <w:tcW w:w="1805" w:type="dxa"/>
            <w:tcBorders>
              <w:bottom w:val="nil"/>
            </w:tcBorders>
          </w:tcPr>
          <w:p>
            <w:pPr>
              <w:pStyle w:val="TableNAm"/>
              <w:jc w:val="center"/>
            </w:pPr>
            <w:r>
              <w:t>6323550</w:t>
            </w:r>
          </w:p>
        </w:tc>
      </w:tr>
      <w:tr>
        <w:tc>
          <w:tcPr>
            <w:tcW w:w="1330" w:type="dxa"/>
            <w:tcBorders>
              <w:top w:val="nil"/>
              <w:bottom w:val="single" w:sz="4" w:space="0" w:color="auto"/>
            </w:tcBorders>
          </w:tcPr>
          <w:p>
            <w:pPr>
              <w:pStyle w:val="TableNAm"/>
              <w:jc w:val="center"/>
            </w:pPr>
            <w:r>
              <w:t>2</w:t>
            </w:r>
          </w:p>
        </w:tc>
        <w:tc>
          <w:tcPr>
            <w:tcW w:w="2212" w:type="dxa"/>
            <w:tcBorders>
              <w:top w:val="nil"/>
              <w:bottom w:val="single" w:sz="4" w:space="0" w:color="auto"/>
            </w:tcBorders>
          </w:tcPr>
          <w:p>
            <w:pPr>
              <w:pStyle w:val="TableNAm"/>
              <w:jc w:val="center"/>
            </w:pPr>
            <w:r>
              <w:t>381035</w:t>
            </w:r>
          </w:p>
        </w:tc>
        <w:tc>
          <w:tcPr>
            <w:tcW w:w="1805" w:type="dxa"/>
            <w:tcBorders>
              <w:top w:val="nil"/>
              <w:bottom w:val="single" w:sz="4" w:space="0" w:color="auto"/>
            </w:tcBorders>
          </w:tcPr>
          <w:p>
            <w:pPr>
              <w:pStyle w:val="TableNAm"/>
              <w:jc w:val="center"/>
            </w:pPr>
            <w:r>
              <w:t>6323550</w:t>
            </w:r>
          </w:p>
        </w:tc>
      </w:tr>
      <w:tr>
        <w:tc>
          <w:tcPr>
            <w:tcW w:w="1330" w:type="dxa"/>
            <w:tcBorders>
              <w:top w:val="single" w:sz="4" w:space="0" w:color="auto"/>
              <w:bottom w:val="nil"/>
            </w:tcBorders>
          </w:tcPr>
          <w:p>
            <w:pPr>
              <w:pStyle w:val="TableNAm"/>
              <w:jc w:val="center"/>
            </w:pPr>
            <w:r>
              <w:t>3</w:t>
            </w:r>
          </w:p>
        </w:tc>
        <w:tc>
          <w:tcPr>
            <w:tcW w:w="2212" w:type="dxa"/>
            <w:tcBorders>
              <w:top w:val="single" w:sz="4" w:space="0" w:color="auto"/>
              <w:bottom w:val="nil"/>
            </w:tcBorders>
          </w:tcPr>
          <w:p>
            <w:pPr>
              <w:pStyle w:val="TableNAm"/>
              <w:jc w:val="center"/>
            </w:pPr>
            <w:r>
              <w:t>381035</w:t>
            </w:r>
          </w:p>
        </w:tc>
        <w:tc>
          <w:tcPr>
            <w:tcW w:w="1805" w:type="dxa"/>
            <w:tcBorders>
              <w:top w:val="single" w:sz="4" w:space="0" w:color="auto"/>
              <w:bottom w:val="nil"/>
            </w:tcBorders>
          </w:tcPr>
          <w:p>
            <w:pPr>
              <w:pStyle w:val="TableNAm"/>
              <w:jc w:val="center"/>
            </w:pPr>
            <w:r>
              <w:t>6322270</w:t>
            </w:r>
          </w:p>
        </w:tc>
      </w:tr>
      <w:tr>
        <w:tc>
          <w:tcPr>
            <w:tcW w:w="1330" w:type="dxa"/>
            <w:tcBorders>
              <w:top w:val="nil"/>
              <w:bottom w:val="nil"/>
            </w:tcBorders>
          </w:tcPr>
          <w:p>
            <w:pPr>
              <w:pStyle w:val="TableNAm"/>
              <w:jc w:val="center"/>
            </w:pPr>
            <w:r>
              <w:t>4</w:t>
            </w:r>
          </w:p>
        </w:tc>
        <w:tc>
          <w:tcPr>
            <w:tcW w:w="2212" w:type="dxa"/>
            <w:tcBorders>
              <w:top w:val="nil"/>
              <w:bottom w:val="nil"/>
            </w:tcBorders>
          </w:tcPr>
          <w:p>
            <w:pPr>
              <w:pStyle w:val="TableNAm"/>
              <w:jc w:val="center"/>
            </w:pPr>
            <w:r>
              <w:t>379155</w:t>
            </w:r>
          </w:p>
        </w:tc>
        <w:tc>
          <w:tcPr>
            <w:tcW w:w="1805" w:type="dxa"/>
            <w:tcBorders>
              <w:top w:val="nil"/>
              <w:bottom w:val="nil"/>
            </w:tcBorders>
          </w:tcPr>
          <w:p>
            <w:pPr>
              <w:pStyle w:val="TableNAm"/>
              <w:jc w:val="center"/>
            </w:pPr>
            <w:r>
              <w:t>6322270</w:t>
            </w:r>
          </w:p>
        </w:tc>
      </w:tr>
      <w:tr>
        <w:tc>
          <w:tcPr>
            <w:tcW w:w="1330" w:type="dxa"/>
            <w:tcBorders>
              <w:top w:val="nil"/>
              <w:bottom w:val="single" w:sz="4" w:space="0" w:color="auto"/>
            </w:tcBorders>
          </w:tcPr>
          <w:p>
            <w:pPr>
              <w:pStyle w:val="TableNAm"/>
              <w:jc w:val="center"/>
            </w:pPr>
            <w:r>
              <w:t>5</w:t>
            </w:r>
          </w:p>
        </w:tc>
        <w:tc>
          <w:tcPr>
            <w:tcW w:w="2212" w:type="dxa"/>
            <w:tcBorders>
              <w:top w:val="nil"/>
              <w:bottom w:val="single" w:sz="4" w:space="0" w:color="auto"/>
            </w:tcBorders>
          </w:tcPr>
          <w:p>
            <w:pPr>
              <w:pStyle w:val="TableNAm"/>
              <w:jc w:val="center"/>
            </w:pPr>
            <w:r>
              <w:t>379155</w:t>
            </w:r>
          </w:p>
        </w:tc>
        <w:tc>
          <w:tcPr>
            <w:tcW w:w="1805" w:type="dxa"/>
            <w:tcBorders>
              <w:top w:val="nil"/>
              <w:bottom w:val="single" w:sz="4" w:space="0" w:color="auto"/>
            </w:tcBorders>
          </w:tcPr>
          <w:p>
            <w:pPr>
              <w:pStyle w:val="TableNAm"/>
              <w:jc w:val="center"/>
            </w:pPr>
            <w:r>
              <w:t>6323550</w:t>
            </w:r>
          </w:p>
        </w:tc>
      </w:tr>
    </w:tbl>
    <w:p>
      <w:pPr>
        <w:pStyle w:val="Subsection"/>
      </w:pPr>
      <w:r>
        <w:tab/>
        <w:t>(5)</w:t>
      </w:r>
      <w:r>
        <w:tab/>
        <w:t>The Salmon Gums scheme water area is the area (around Salmon Gums) defined by boundaries joining the coordinates in the Table sequentially.</w:t>
      </w:r>
    </w:p>
    <w:p>
      <w:pPr>
        <w:pStyle w:val="THeadingNAm"/>
      </w:pPr>
      <w:r>
        <w:t>Table</w:t>
      </w:r>
    </w:p>
    <w:tbl>
      <w:tblPr>
        <w:tblW w:w="5351" w:type="dxa"/>
        <w:jc w:val="center"/>
        <w:tblInd w:w="4124"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7"/>
        <w:gridCol w:w="1339"/>
        <w:gridCol w:w="7"/>
        <w:gridCol w:w="2175"/>
        <w:gridCol w:w="7"/>
        <w:gridCol w:w="1802"/>
        <w:gridCol w:w="14"/>
      </w:tblGrid>
      <w:tr>
        <w:trPr>
          <w:gridBefore w:val="1"/>
          <w:wBefore w:w="7" w:type="dxa"/>
          <w:tblHeader/>
          <w:jc w:val="center"/>
        </w:trPr>
        <w:tc>
          <w:tcPr>
            <w:tcW w:w="1346" w:type="dxa"/>
            <w:gridSpan w:val="2"/>
          </w:tcPr>
          <w:p>
            <w:pPr>
              <w:pStyle w:val="TableNAm"/>
              <w:jc w:val="center"/>
              <w:rPr>
                <w:b/>
              </w:rPr>
            </w:pPr>
            <w:r>
              <w:rPr>
                <w:b/>
              </w:rPr>
              <w:t>Point No.</w:t>
            </w:r>
          </w:p>
        </w:tc>
        <w:tc>
          <w:tcPr>
            <w:tcW w:w="2182" w:type="dxa"/>
            <w:gridSpan w:val="2"/>
          </w:tcPr>
          <w:p>
            <w:pPr>
              <w:pStyle w:val="TableNAm"/>
              <w:jc w:val="center"/>
              <w:rPr>
                <w:b/>
              </w:rPr>
            </w:pPr>
            <w:r>
              <w:rPr>
                <w:b/>
              </w:rPr>
              <w:t>Easting</w:t>
            </w:r>
          </w:p>
        </w:tc>
        <w:tc>
          <w:tcPr>
            <w:tcW w:w="1816" w:type="dxa"/>
            <w:gridSpan w:val="2"/>
          </w:tcPr>
          <w:p>
            <w:pPr>
              <w:pStyle w:val="TableNAm"/>
              <w:jc w:val="center"/>
              <w:rPr>
                <w:b/>
              </w:rPr>
            </w:pPr>
            <w:r>
              <w:rPr>
                <w:b/>
              </w:rPr>
              <w:t>Northing</w:t>
            </w:r>
          </w:p>
        </w:tc>
      </w:tr>
      <w:tr>
        <w:trPr>
          <w:gridAfter w:val="1"/>
          <w:wAfter w:w="14" w:type="dxa"/>
          <w:jc w:val="center"/>
        </w:trPr>
        <w:tc>
          <w:tcPr>
            <w:tcW w:w="1346" w:type="dxa"/>
            <w:gridSpan w:val="2"/>
            <w:tcBorders>
              <w:bottom w:val="nil"/>
            </w:tcBorders>
          </w:tcPr>
          <w:p>
            <w:pPr>
              <w:pStyle w:val="TableNAm"/>
              <w:jc w:val="center"/>
            </w:pPr>
            <w:r>
              <w:t>1</w:t>
            </w:r>
          </w:p>
        </w:tc>
        <w:tc>
          <w:tcPr>
            <w:tcW w:w="2182" w:type="dxa"/>
            <w:gridSpan w:val="2"/>
            <w:tcBorders>
              <w:bottom w:val="nil"/>
            </w:tcBorders>
          </w:tcPr>
          <w:p>
            <w:pPr>
              <w:pStyle w:val="TableNAm"/>
              <w:jc w:val="center"/>
            </w:pPr>
            <w:r>
              <w:t>371210</w:t>
            </w:r>
          </w:p>
        </w:tc>
        <w:tc>
          <w:tcPr>
            <w:tcW w:w="1809" w:type="dxa"/>
            <w:gridSpan w:val="2"/>
            <w:tcBorders>
              <w:bottom w:val="nil"/>
            </w:tcBorders>
          </w:tcPr>
          <w:p>
            <w:pPr>
              <w:pStyle w:val="TableNAm"/>
              <w:jc w:val="center"/>
            </w:pPr>
            <w:r>
              <w:t>6351320</w:t>
            </w:r>
          </w:p>
        </w:tc>
      </w:tr>
      <w:tr>
        <w:trPr>
          <w:gridAfter w:val="1"/>
          <w:wAfter w:w="14" w:type="dxa"/>
          <w:jc w:val="center"/>
        </w:trPr>
        <w:tc>
          <w:tcPr>
            <w:tcW w:w="1346" w:type="dxa"/>
            <w:gridSpan w:val="2"/>
            <w:tcBorders>
              <w:top w:val="nil"/>
              <w:bottom w:val="nil"/>
            </w:tcBorders>
          </w:tcPr>
          <w:p>
            <w:pPr>
              <w:pStyle w:val="TableNAm"/>
              <w:jc w:val="center"/>
            </w:pPr>
            <w:r>
              <w:t>2</w:t>
            </w:r>
          </w:p>
        </w:tc>
        <w:tc>
          <w:tcPr>
            <w:tcW w:w="2182" w:type="dxa"/>
            <w:gridSpan w:val="2"/>
            <w:tcBorders>
              <w:top w:val="nil"/>
              <w:bottom w:val="nil"/>
            </w:tcBorders>
          </w:tcPr>
          <w:p>
            <w:pPr>
              <w:pStyle w:val="TableNAm"/>
              <w:jc w:val="center"/>
            </w:pPr>
            <w:r>
              <w:t>372280</w:t>
            </w:r>
          </w:p>
        </w:tc>
        <w:tc>
          <w:tcPr>
            <w:tcW w:w="1809" w:type="dxa"/>
            <w:gridSpan w:val="2"/>
            <w:tcBorders>
              <w:top w:val="nil"/>
              <w:bottom w:val="nil"/>
            </w:tcBorders>
          </w:tcPr>
          <w:p>
            <w:pPr>
              <w:pStyle w:val="TableNAm"/>
              <w:jc w:val="center"/>
            </w:pPr>
            <w:r>
              <w:t>6352570</w:t>
            </w:r>
          </w:p>
        </w:tc>
      </w:tr>
      <w:tr>
        <w:trPr>
          <w:gridAfter w:val="1"/>
          <w:wAfter w:w="14" w:type="dxa"/>
          <w:jc w:val="center"/>
        </w:trPr>
        <w:tc>
          <w:tcPr>
            <w:tcW w:w="1346" w:type="dxa"/>
            <w:gridSpan w:val="2"/>
            <w:tcBorders>
              <w:top w:val="nil"/>
              <w:bottom w:val="nil"/>
            </w:tcBorders>
          </w:tcPr>
          <w:p>
            <w:pPr>
              <w:pStyle w:val="TableNAm"/>
              <w:jc w:val="center"/>
            </w:pPr>
            <w:r>
              <w:t>3</w:t>
            </w:r>
          </w:p>
        </w:tc>
        <w:tc>
          <w:tcPr>
            <w:tcW w:w="2182" w:type="dxa"/>
            <w:gridSpan w:val="2"/>
            <w:tcBorders>
              <w:top w:val="nil"/>
              <w:bottom w:val="nil"/>
            </w:tcBorders>
          </w:tcPr>
          <w:p>
            <w:pPr>
              <w:pStyle w:val="TableNAm"/>
              <w:jc w:val="center"/>
            </w:pPr>
            <w:r>
              <w:t>373820</w:t>
            </w:r>
          </w:p>
        </w:tc>
        <w:tc>
          <w:tcPr>
            <w:tcW w:w="1809" w:type="dxa"/>
            <w:gridSpan w:val="2"/>
            <w:tcBorders>
              <w:top w:val="nil"/>
              <w:bottom w:val="nil"/>
            </w:tcBorders>
          </w:tcPr>
          <w:p>
            <w:pPr>
              <w:pStyle w:val="TableNAm"/>
              <w:jc w:val="center"/>
            </w:pPr>
            <w:r>
              <w:t>6349485</w:t>
            </w:r>
          </w:p>
        </w:tc>
      </w:tr>
      <w:tr>
        <w:trPr>
          <w:gridAfter w:val="1"/>
          <w:wAfter w:w="14" w:type="dxa"/>
          <w:jc w:val="center"/>
        </w:trPr>
        <w:tc>
          <w:tcPr>
            <w:tcW w:w="1346" w:type="dxa"/>
            <w:gridSpan w:val="2"/>
            <w:tcBorders>
              <w:top w:val="nil"/>
              <w:bottom w:val="nil"/>
            </w:tcBorders>
          </w:tcPr>
          <w:p>
            <w:pPr>
              <w:pStyle w:val="TableNAm"/>
              <w:jc w:val="center"/>
            </w:pPr>
            <w:r>
              <w:t>4</w:t>
            </w:r>
          </w:p>
        </w:tc>
        <w:tc>
          <w:tcPr>
            <w:tcW w:w="2182" w:type="dxa"/>
            <w:gridSpan w:val="2"/>
            <w:tcBorders>
              <w:top w:val="nil"/>
              <w:bottom w:val="nil"/>
            </w:tcBorders>
          </w:tcPr>
          <w:p>
            <w:pPr>
              <w:pStyle w:val="TableNAm"/>
              <w:jc w:val="center"/>
            </w:pPr>
            <w:r>
              <w:t>373820</w:t>
            </w:r>
          </w:p>
        </w:tc>
        <w:tc>
          <w:tcPr>
            <w:tcW w:w="1809" w:type="dxa"/>
            <w:gridSpan w:val="2"/>
            <w:tcBorders>
              <w:top w:val="nil"/>
              <w:bottom w:val="nil"/>
            </w:tcBorders>
          </w:tcPr>
          <w:p>
            <w:pPr>
              <w:pStyle w:val="TableNAm"/>
              <w:jc w:val="center"/>
            </w:pPr>
            <w:r>
              <w:t>6349380</w:t>
            </w:r>
          </w:p>
        </w:tc>
      </w:tr>
      <w:tr>
        <w:trPr>
          <w:gridAfter w:val="1"/>
          <w:wAfter w:w="14" w:type="dxa"/>
          <w:jc w:val="center"/>
        </w:trPr>
        <w:tc>
          <w:tcPr>
            <w:tcW w:w="1346" w:type="dxa"/>
            <w:gridSpan w:val="2"/>
            <w:tcBorders>
              <w:top w:val="nil"/>
              <w:bottom w:val="nil"/>
            </w:tcBorders>
          </w:tcPr>
          <w:p>
            <w:pPr>
              <w:pStyle w:val="TableNAm"/>
              <w:jc w:val="center"/>
            </w:pPr>
            <w:r>
              <w:t>5</w:t>
            </w:r>
          </w:p>
        </w:tc>
        <w:tc>
          <w:tcPr>
            <w:tcW w:w="2182" w:type="dxa"/>
            <w:gridSpan w:val="2"/>
            <w:tcBorders>
              <w:top w:val="nil"/>
              <w:bottom w:val="nil"/>
            </w:tcBorders>
          </w:tcPr>
          <w:p>
            <w:pPr>
              <w:pStyle w:val="TableNAm"/>
              <w:jc w:val="center"/>
            </w:pPr>
            <w:r>
              <w:t>373320</w:t>
            </w:r>
          </w:p>
        </w:tc>
        <w:tc>
          <w:tcPr>
            <w:tcW w:w="1809" w:type="dxa"/>
            <w:gridSpan w:val="2"/>
            <w:tcBorders>
              <w:top w:val="nil"/>
              <w:bottom w:val="nil"/>
            </w:tcBorders>
          </w:tcPr>
          <w:p>
            <w:pPr>
              <w:pStyle w:val="TableNAm"/>
              <w:jc w:val="center"/>
            </w:pPr>
            <w:r>
              <w:t>6349590</w:t>
            </w:r>
          </w:p>
        </w:tc>
      </w:tr>
      <w:tr>
        <w:trPr>
          <w:gridAfter w:val="1"/>
          <w:wAfter w:w="14" w:type="dxa"/>
          <w:jc w:val="center"/>
        </w:trPr>
        <w:tc>
          <w:tcPr>
            <w:tcW w:w="1346" w:type="dxa"/>
            <w:gridSpan w:val="2"/>
            <w:tcBorders>
              <w:top w:val="nil"/>
              <w:bottom w:val="nil"/>
            </w:tcBorders>
          </w:tcPr>
          <w:p>
            <w:pPr>
              <w:pStyle w:val="TableNAm"/>
              <w:jc w:val="center"/>
            </w:pPr>
            <w:r>
              <w:t>6</w:t>
            </w:r>
          </w:p>
        </w:tc>
        <w:tc>
          <w:tcPr>
            <w:tcW w:w="2182" w:type="dxa"/>
            <w:gridSpan w:val="2"/>
            <w:tcBorders>
              <w:top w:val="nil"/>
              <w:bottom w:val="nil"/>
            </w:tcBorders>
          </w:tcPr>
          <w:p>
            <w:pPr>
              <w:pStyle w:val="TableNAm"/>
              <w:jc w:val="center"/>
            </w:pPr>
            <w:r>
              <w:t>371180</w:t>
            </w:r>
          </w:p>
        </w:tc>
        <w:tc>
          <w:tcPr>
            <w:tcW w:w="1809" w:type="dxa"/>
            <w:gridSpan w:val="2"/>
            <w:tcBorders>
              <w:top w:val="nil"/>
              <w:bottom w:val="nil"/>
            </w:tcBorders>
          </w:tcPr>
          <w:p>
            <w:pPr>
              <w:pStyle w:val="TableNAm"/>
              <w:jc w:val="center"/>
            </w:pPr>
            <w:r>
              <w:t>6349570</w:t>
            </w:r>
          </w:p>
        </w:tc>
      </w:tr>
      <w:tr>
        <w:trPr>
          <w:gridAfter w:val="1"/>
          <w:wAfter w:w="14" w:type="dxa"/>
          <w:jc w:val="center"/>
        </w:trPr>
        <w:tc>
          <w:tcPr>
            <w:tcW w:w="1346" w:type="dxa"/>
            <w:gridSpan w:val="2"/>
            <w:tcBorders>
              <w:top w:val="nil"/>
              <w:bottom w:val="single" w:sz="4" w:space="0" w:color="auto"/>
            </w:tcBorders>
          </w:tcPr>
          <w:p>
            <w:pPr>
              <w:pStyle w:val="TableNAm"/>
              <w:jc w:val="center"/>
            </w:pPr>
            <w:r>
              <w:t>7</w:t>
            </w:r>
          </w:p>
        </w:tc>
        <w:tc>
          <w:tcPr>
            <w:tcW w:w="2182" w:type="dxa"/>
            <w:gridSpan w:val="2"/>
            <w:tcBorders>
              <w:top w:val="nil"/>
              <w:bottom w:val="single" w:sz="4" w:space="0" w:color="auto"/>
            </w:tcBorders>
          </w:tcPr>
          <w:p>
            <w:pPr>
              <w:pStyle w:val="TableNAm"/>
              <w:jc w:val="center"/>
            </w:pPr>
            <w:r>
              <w:t>371210</w:t>
            </w:r>
          </w:p>
        </w:tc>
        <w:tc>
          <w:tcPr>
            <w:tcW w:w="1809" w:type="dxa"/>
            <w:gridSpan w:val="2"/>
            <w:tcBorders>
              <w:top w:val="nil"/>
              <w:bottom w:val="single" w:sz="4" w:space="0" w:color="auto"/>
            </w:tcBorders>
          </w:tcPr>
          <w:p>
            <w:pPr>
              <w:pStyle w:val="TableNAm"/>
              <w:jc w:val="center"/>
            </w:pPr>
            <w:r>
              <w:t>6351320</w:t>
            </w:r>
          </w:p>
        </w:tc>
      </w:tr>
    </w:tbl>
    <w:p>
      <w:pPr>
        <w:pStyle w:val="Subsection"/>
      </w:pPr>
      <w:r>
        <w:tab/>
        <w:t>(6)</w:t>
      </w:r>
      <w:r>
        <w:tab/>
        <w:t xml:space="preserve">Each scheme water area is shown on the appropriate map in Schedule 4 and a copy of each map is available for inspection at — </w:t>
      </w:r>
    </w:p>
    <w:p>
      <w:pPr>
        <w:pStyle w:val="Indenta"/>
      </w:pPr>
      <w:r>
        <w:tab/>
        <w:t>(a)</w:t>
      </w:r>
      <w:r>
        <w:tab/>
        <w:t xml:space="preserve">the Department of Water, 168 St Georges Terrace, </w:t>
      </w:r>
      <w:smartTag w:uri="urn:schemas-microsoft-com:office:smarttags" w:element="place">
        <w:smartTag w:uri="urn:schemas-microsoft-com:office:smarttags" w:element="City">
          <w:r>
            <w:t>Perth</w:t>
          </w:r>
        </w:smartTag>
      </w:smartTag>
      <w:r>
        <w:t>; and</w:t>
      </w:r>
    </w:p>
    <w:p>
      <w:pPr>
        <w:pStyle w:val="Indenta"/>
      </w:pPr>
      <w:r>
        <w:tab/>
        <w:t>(b)</w:t>
      </w:r>
      <w:r>
        <w:tab/>
        <w:t xml:space="preserve">the Shire of Esperance, Administration Centre, </w:t>
      </w:r>
      <w:smartTag w:uri="urn:schemas-microsoft-com:office:smarttags" w:element="Street">
        <w:smartTag w:uri="urn:schemas-microsoft-com:office:smarttags" w:element="address">
          <w:r>
            <w:t>Windich Street</w:t>
          </w:r>
        </w:smartTag>
      </w:smartTag>
      <w:r>
        <w:t>, Esperance; and</w:t>
      </w:r>
    </w:p>
    <w:p>
      <w:pPr>
        <w:pStyle w:val="Indenta"/>
      </w:pPr>
      <w:r>
        <w:tab/>
        <w:t>(c)</w:t>
      </w:r>
      <w:r>
        <w:tab/>
        <w:t xml:space="preserve">the Water Corporation, 629 Newcastle Street, Leederville or corner of </w:t>
      </w:r>
      <w:smartTag w:uri="urn:schemas-microsoft-com:office:smarttags" w:element="Street">
        <w:smartTag w:uri="urn:schemas-microsoft-com:office:smarttags" w:element="address">
          <w:r>
            <w:t>Harbour Road</w:t>
          </w:r>
        </w:smartTag>
      </w:smartTag>
      <w:r>
        <w:t xml:space="preserve"> and Sim Street, Esperance.</w:t>
      </w:r>
    </w:p>
    <w:p>
      <w:pPr>
        <w:pStyle w:val="Footnotesection"/>
      </w:pPr>
      <w:r>
        <w:tab/>
        <w:t xml:space="preserve">[By-law 10AA inserted in Gazette </w:t>
      </w:r>
      <w:r>
        <w:rPr>
          <w:szCs w:val="24"/>
        </w:rPr>
        <w:t>8 Mar 2011 p. 802</w:t>
      </w:r>
      <w:r>
        <w:rPr>
          <w:szCs w:val="24"/>
        </w:rPr>
        <w:noBreakHyphen/>
        <w:t>3; amended in Gazette 18 Nov 2011 p. 4819.]</w:t>
      </w:r>
    </w:p>
    <w:p>
      <w:pPr>
        <w:pStyle w:val="Heading5"/>
      </w:pPr>
      <w:bookmarkStart w:id="162" w:name="_Toc309309712"/>
      <w:r>
        <w:rPr>
          <w:rStyle w:val="CharSectno"/>
        </w:rPr>
        <w:t>10A</w:t>
      </w:r>
      <w:r>
        <w:t>.</w:t>
      </w:r>
      <w:r>
        <w:tab/>
        <w:t>Use of scheme water in Area 4 from 1 December 2010 to 31 May 2011</w:t>
      </w:r>
      <w:bookmarkEnd w:id="162"/>
    </w:p>
    <w:p>
      <w:pPr>
        <w:pStyle w:val="Subsection"/>
      </w:pPr>
      <w:r>
        <w:tab/>
        <w:t>(1)</w:t>
      </w:r>
      <w:r>
        <w:tab/>
        <w:t>In this by</w:t>
      </w:r>
      <w:r>
        <w:noBreakHyphen/>
        <w:t xml:space="preserve">law — </w:t>
      </w:r>
    </w:p>
    <w:p>
      <w:pPr>
        <w:pStyle w:val="Defstart"/>
      </w:pPr>
      <w:r>
        <w:tab/>
      </w:r>
      <w:r>
        <w:rPr>
          <w:rStyle w:val="CharDefText"/>
        </w:rPr>
        <w:t>coordinate</w:t>
      </w:r>
      <w:r>
        <w:t xml:space="preserve"> means a Map Grid of Australia (Geocentric Datum of Australia 1994) coordinate for zone 50.</w:t>
      </w:r>
    </w:p>
    <w:p>
      <w:pPr>
        <w:pStyle w:val="Subsection"/>
      </w:pPr>
      <w:r>
        <w:tab/>
        <w:t>(2)</w:t>
      </w:r>
      <w:r>
        <w:tab/>
        <w:t>This by</w:t>
      </w:r>
      <w:r>
        <w:noBreakHyphen/>
        <w:t>law applies from 1 December 2010 to 31 May 2011.</w:t>
      </w:r>
    </w:p>
    <w:p>
      <w:pPr>
        <w:pStyle w:val="Subsection"/>
      </w:pPr>
      <w:r>
        <w:tab/>
        <w:t>(3)</w:t>
      </w:r>
      <w:r>
        <w:tab/>
        <w:t xml:space="preserve">The stage of restrictions that applies in relation to the use of scheme water in the following areas is stage 5 — </w:t>
      </w:r>
    </w:p>
    <w:p>
      <w:pPr>
        <w:pStyle w:val="Indenta"/>
      </w:pPr>
      <w:r>
        <w:tab/>
        <w:t>(a)</w:t>
      </w:r>
      <w:r>
        <w:tab/>
        <w:t>the Balingup scheme water area;</w:t>
      </w:r>
    </w:p>
    <w:p>
      <w:pPr>
        <w:pStyle w:val="Indenta"/>
      </w:pPr>
      <w:r>
        <w:tab/>
        <w:t>(b)</w:t>
      </w:r>
      <w:r>
        <w:tab/>
        <w:t>the Greenbushes scheme water area;</w:t>
      </w:r>
    </w:p>
    <w:p>
      <w:pPr>
        <w:pStyle w:val="Indenta"/>
      </w:pPr>
      <w:r>
        <w:tab/>
        <w:t>(c)</w:t>
      </w:r>
      <w:r>
        <w:tab/>
        <w:t>the Kirup scheme water area;</w:t>
      </w:r>
    </w:p>
    <w:p>
      <w:pPr>
        <w:pStyle w:val="Indenta"/>
      </w:pPr>
      <w:r>
        <w:tab/>
        <w:t>(d)</w:t>
      </w:r>
      <w:r>
        <w:tab/>
        <w:t>the Mullalyup scheme water area.</w:t>
      </w:r>
    </w:p>
    <w:p>
      <w:pPr>
        <w:pStyle w:val="Subsection"/>
      </w:pPr>
      <w:r>
        <w:tab/>
        <w:t>(4)</w:t>
      </w:r>
      <w:r>
        <w:tab/>
        <w:t>The Balingup scheme water area is the area (around Balingup)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1896"/>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1896"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tcPr>
          <w:p>
            <w:pPr>
              <w:pStyle w:val="TableNAm"/>
              <w:jc w:val="center"/>
            </w:pPr>
            <w:r>
              <w:t>404138.56</w:t>
            </w:r>
          </w:p>
        </w:tc>
        <w:tc>
          <w:tcPr>
            <w:tcW w:w="1896" w:type="dxa"/>
            <w:tcBorders>
              <w:bottom w:val="nil"/>
            </w:tcBorders>
          </w:tcPr>
          <w:p>
            <w:pPr>
              <w:pStyle w:val="TableNAm"/>
              <w:jc w:val="center"/>
            </w:pPr>
            <w:r>
              <w:t>6262147.91</w:t>
            </w:r>
          </w:p>
        </w:tc>
      </w:tr>
      <w:tr>
        <w:tc>
          <w:tcPr>
            <w:tcW w:w="1276" w:type="dxa"/>
            <w:tcBorders>
              <w:top w:val="nil"/>
              <w:bottom w:val="nil"/>
            </w:tcBorders>
          </w:tcPr>
          <w:p>
            <w:pPr>
              <w:pStyle w:val="TableNAm"/>
              <w:jc w:val="center"/>
            </w:pPr>
            <w:r>
              <w:t>2</w:t>
            </w:r>
          </w:p>
        </w:tc>
        <w:tc>
          <w:tcPr>
            <w:tcW w:w="2250" w:type="dxa"/>
            <w:tcBorders>
              <w:top w:val="nil"/>
              <w:bottom w:val="nil"/>
            </w:tcBorders>
          </w:tcPr>
          <w:p>
            <w:pPr>
              <w:pStyle w:val="TableNAm"/>
              <w:jc w:val="center"/>
            </w:pPr>
            <w:r>
              <w:t>407338.58</w:t>
            </w:r>
          </w:p>
        </w:tc>
        <w:tc>
          <w:tcPr>
            <w:tcW w:w="1896" w:type="dxa"/>
            <w:tcBorders>
              <w:top w:val="nil"/>
              <w:bottom w:val="nil"/>
            </w:tcBorders>
          </w:tcPr>
          <w:p>
            <w:pPr>
              <w:pStyle w:val="TableNAm"/>
              <w:jc w:val="center"/>
            </w:pPr>
            <w:r>
              <w:t>6262147.90</w:t>
            </w:r>
          </w:p>
        </w:tc>
      </w:tr>
      <w:tr>
        <w:tc>
          <w:tcPr>
            <w:tcW w:w="1276" w:type="dxa"/>
            <w:tcBorders>
              <w:top w:val="nil"/>
              <w:bottom w:val="nil"/>
            </w:tcBorders>
          </w:tcPr>
          <w:p>
            <w:pPr>
              <w:pStyle w:val="TableNAm"/>
              <w:jc w:val="center"/>
            </w:pPr>
            <w:r>
              <w:t>3</w:t>
            </w:r>
          </w:p>
        </w:tc>
        <w:tc>
          <w:tcPr>
            <w:tcW w:w="2250" w:type="dxa"/>
            <w:tcBorders>
              <w:top w:val="nil"/>
              <w:bottom w:val="nil"/>
            </w:tcBorders>
          </w:tcPr>
          <w:p>
            <w:pPr>
              <w:pStyle w:val="TableNAm"/>
              <w:jc w:val="center"/>
            </w:pPr>
            <w:r>
              <w:t>407338.58</w:t>
            </w:r>
          </w:p>
        </w:tc>
        <w:tc>
          <w:tcPr>
            <w:tcW w:w="1896" w:type="dxa"/>
            <w:tcBorders>
              <w:top w:val="nil"/>
              <w:bottom w:val="nil"/>
            </w:tcBorders>
          </w:tcPr>
          <w:p>
            <w:pPr>
              <w:pStyle w:val="TableNAm"/>
              <w:jc w:val="center"/>
            </w:pPr>
            <w:r>
              <w:t>6260147.91</w:t>
            </w:r>
          </w:p>
        </w:tc>
      </w:tr>
      <w:tr>
        <w:tc>
          <w:tcPr>
            <w:tcW w:w="1276" w:type="dxa"/>
            <w:tcBorders>
              <w:top w:val="nil"/>
              <w:bottom w:val="nil"/>
            </w:tcBorders>
          </w:tcPr>
          <w:p>
            <w:pPr>
              <w:pStyle w:val="TableNAm"/>
              <w:jc w:val="center"/>
            </w:pPr>
            <w:r>
              <w:t>4</w:t>
            </w:r>
          </w:p>
        </w:tc>
        <w:tc>
          <w:tcPr>
            <w:tcW w:w="2250" w:type="dxa"/>
            <w:tcBorders>
              <w:top w:val="nil"/>
              <w:bottom w:val="nil"/>
            </w:tcBorders>
          </w:tcPr>
          <w:p>
            <w:pPr>
              <w:pStyle w:val="TableNAm"/>
              <w:jc w:val="center"/>
            </w:pPr>
            <w:r>
              <w:t>404138.56</w:t>
            </w:r>
          </w:p>
        </w:tc>
        <w:tc>
          <w:tcPr>
            <w:tcW w:w="1896" w:type="dxa"/>
            <w:tcBorders>
              <w:top w:val="nil"/>
              <w:bottom w:val="nil"/>
            </w:tcBorders>
          </w:tcPr>
          <w:p>
            <w:pPr>
              <w:pStyle w:val="TableNAm"/>
              <w:jc w:val="center"/>
            </w:pPr>
            <w:r>
              <w:t>6260147.89</w:t>
            </w:r>
          </w:p>
        </w:tc>
      </w:tr>
      <w:tr>
        <w:tc>
          <w:tcPr>
            <w:tcW w:w="1276" w:type="dxa"/>
            <w:tcBorders>
              <w:top w:val="nil"/>
            </w:tcBorders>
          </w:tcPr>
          <w:p>
            <w:pPr>
              <w:pStyle w:val="TableNAm"/>
              <w:jc w:val="center"/>
            </w:pPr>
            <w:r>
              <w:t>5</w:t>
            </w:r>
          </w:p>
        </w:tc>
        <w:tc>
          <w:tcPr>
            <w:tcW w:w="2250" w:type="dxa"/>
            <w:tcBorders>
              <w:top w:val="nil"/>
            </w:tcBorders>
          </w:tcPr>
          <w:p>
            <w:pPr>
              <w:pStyle w:val="TableNAm"/>
              <w:jc w:val="center"/>
            </w:pPr>
            <w:r>
              <w:t>404138.56</w:t>
            </w:r>
          </w:p>
        </w:tc>
        <w:tc>
          <w:tcPr>
            <w:tcW w:w="1896" w:type="dxa"/>
            <w:tcBorders>
              <w:top w:val="nil"/>
            </w:tcBorders>
          </w:tcPr>
          <w:p>
            <w:pPr>
              <w:pStyle w:val="TableNAm"/>
              <w:jc w:val="center"/>
            </w:pPr>
            <w:r>
              <w:t>6262147.91</w:t>
            </w:r>
          </w:p>
        </w:tc>
      </w:tr>
    </w:tbl>
    <w:p>
      <w:pPr>
        <w:pStyle w:val="Subsection"/>
      </w:pPr>
      <w:r>
        <w:tab/>
        <w:t>(5)</w:t>
      </w:r>
      <w:r>
        <w:tab/>
        <w:t>The Greenbushes scheme water area is the area (around Greenbushes)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2250"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tcPr>
          <w:p>
            <w:pPr>
              <w:pStyle w:val="TableNAm"/>
              <w:jc w:val="center"/>
            </w:pPr>
            <w:r>
              <w:t>412138.58</w:t>
            </w:r>
          </w:p>
        </w:tc>
        <w:tc>
          <w:tcPr>
            <w:tcW w:w="2250" w:type="dxa"/>
            <w:tcBorders>
              <w:bottom w:val="nil"/>
            </w:tcBorders>
          </w:tcPr>
          <w:p>
            <w:pPr>
              <w:pStyle w:val="TableNAm"/>
              <w:jc w:val="center"/>
            </w:pPr>
            <w:r>
              <w:t>6259147.88</w:t>
            </w:r>
          </w:p>
        </w:tc>
      </w:tr>
      <w:tr>
        <w:tc>
          <w:tcPr>
            <w:tcW w:w="1276" w:type="dxa"/>
            <w:tcBorders>
              <w:top w:val="nil"/>
              <w:bottom w:val="nil"/>
            </w:tcBorders>
          </w:tcPr>
          <w:p>
            <w:pPr>
              <w:pStyle w:val="TableNAm"/>
              <w:jc w:val="center"/>
            </w:pPr>
            <w:r>
              <w:t>2</w:t>
            </w:r>
          </w:p>
        </w:tc>
        <w:tc>
          <w:tcPr>
            <w:tcW w:w="2250" w:type="dxa"/>
            <w:tcBorders>
              <w:top w:val="nil"/>
              <w:bottom w:val="nil"/>
            </w:tcBorders>
          </w:tcPr>
          <w:p>
            <w:pPr>
              <w:pStyle w:val="TableNAm"/>
              <w:jc w:val="center"/>
            </w:pPr>
            <w:r>
              <w:t>413738.59</w:t>
            </w:r>
          </w:p>
        </w:tc>
        <w:tc>
          <w:tcPr>
            <w:tcW w:w="2250" w:type="dxa"/>
            <w:tcBorders>
              <w:top w:val="nil"/>
              <w:bottom w:val="nil"/>
            </w:tcBorders>
          </w:tcPr>
          <w:p>
            <w:pPr>
              <w:pStyle w:val="TableNAm"/>
              <w:jc w:val="center"/>
            </w:pPr>
            <w:r>
              <w:t>6259147.87</w:t>
            </w:r>
          </w:p>
        </w:tc>
      </w:tr>
      <w:tr>
        <w:tc>
          <w:tcPr>
            <w:tcW w:w="1276" w:type="dxa"/>
            <w:tcBorders>
              <w:top w:val="nil"/>
              <w:bottom w:val="nil"/>
            </w:tcBorders>
          </w:tcPr>
          <w:p>
            <w:pPr>
              <w:pStyle w:val="TableNAm"/>
              <w:jc w:val="center"/>
            </w:pPr>
            <w:r>
              <w:t>3</w:t>
            </w:r>
          </w:p>
        </w:tc>
        <w:tc>
          <w:tcPr>
            <w:tcW w:w="2250" w:type="dxa"/>
            <w:tcBorders>
              <w:top w:val="nil"/>
              <w:bottom w:val="nil"/>
            </w:tcBorders>
          </w:tcPr>
          <w:p>
            <w:pPr>
              <w:pStyle w:val="TableNAm"/>
              <w:jc w:val="center"/>
            </w:pPr>
            <w:r>
              <w:t>413738.62</w:t>
            </w:r>
          </w:p>
        </w:tc>
        <w:tc>
          <w:tcPr>
            <w:tcW w:w="2250" w:type="dxa"/>
            <w:tcBorders>
              <w:top w:val="nil"/>
              <w:bottom w:val="nil"/>
            </w:tcBorders>
          </w:tcPr>
          <w:p>
            <w:pPr>
              <w:pStyle w:val="TableNAm"/>
              <w:jc w:val="center"/>
            </w:pPr>
            <w:r>
              <w:t>6253147.90</w:t>
            </w:r>
          </w:p>
        </w:tc>
      </w:tr>
      <w:tr>
        <w:tc>
          <w:tcPr>
            <w:tcW w:w="1276" w:type="dxa"/>
            <w:tcBorders>
              <w:top w:val="nil"/>
              <w:bottom w:val="nil"/>
            </w:tcBorders>
          </w:tcPr>
          <w:p>
            <w:pPr>
              <w:pStyle w:val="TableNAm"/>
              <w:jc w:val="center"/>
            </w:pPr>
            <w:r>
              <w:t>4</w:t>
            </w:r>
          </w:p>
        </w:tc>
        <w:tc>
          <w:tcPr>
            <w:tcW w:w="2250" w:type="dxa"/>
            <w:tcBorders>
              <w:top w:val="nil"/>
              <w:bottom w:val="nil"/>
            </w:tcBorders>
          </w:tcPr>
          <w:p>
            <w:pPr>
              <w:pStyle w:val="TableNAm"/>
              <w:jc w:val="center"/>
            </w:pPr>
            <w:r>
              <w:t>412138.64</w:t>
            </w:r>
          </w:p>
        </w:tc>
        <w:tc>
          <w:tcPr>
            <w:tcW w:w="2250" w:type="dxa"/>
            <w:tcBorders>
              <w:top w:val="nil"/>
              <w:bottom w:val="nil"/>
            </w:tcBorders>
          </w:tcPr>
          <w:p>
            <w:pPr>
              <w:pStyle w:val="TableNAm"/>
              <w:jc w:val="center"/>
            </w:pPr>
            <w:r>
              <w:t>6253147.91</w:t>
            </w:r>
          </w:p>
        </w:tc>
      </w:tr>
      <w:tr>
        <w:tc>
          <w:tcPr>
            <w:tcW w:w="1276" w:type="dxa"/>
            <w:tcBorders>
              <w:top w:val="nil"/>
              <w:bottom w:val="nil"/>
            </w:tcBorders>
          </w:tcPr>
          <w:p>
            <w:pPr>
              <w:pStyle w:val="TableNAm"/>
              <w:jc w:val="center"/>
            </w:pPr>
            <w:r>
              <w:t>5</w:t>
            </w:r>
          </w:p>
        </w:tc>
        <w:tc>
          <w:tcPr>
            <w:tcW w:w="2250" w:type="dxa"/>
            <w:tcBorders>
              <w:top w:val="nil"/>
              <w:bottom w:val="nil"/>
            </w:tcBorders>
          </w:tcPr>
          <w:p>
            <w:pPr>
              <w:pStyle w:val="TableNAm"/>
              <w:jc w:val="center"/>
            </w:pPr>
            <w:r>
              <w:t>412138.61</w:t>
            </w:r>
          </w:p>
        </w:tc>
        <w:tc>
          <w:tcPr>
            <w:tcW w:w="2250" w:type="dxa"/>
            <w:tcBorders>
              <w:top w:val="nil"/>
              <w:bottom w:val="nil"/>
            </w:tcBorders>
          </w:tcPr>
          <w:p>
            <w:pPr>
              <w:pStyle w:val="TableNAm"/>
              <w:jc w:val="center"/>
            </w:pPr>
            <w:r>
              <w:t>6255147.90</w:t>
            </w:r>
          </w:p>
        </w:tc>
      </w:tr>
      <w:tr>
        <w:tc>
          <w:tcPr>
            <w:tcW w:w="1276" w:type="dxa"/>
            <w:tcBorders>
              <w:top w:val="nil"/>
              <w:bottom w:val="nil"/>
            </w:tcBorders>
          </w:tcPr>
          <w:p>
            <w:pPr>
              <w:pStyle w:val="TableNAm"/>
              <w:jc w:val="center"/>
            </w:pPr>
            <w:r>
              <w:t>6</w:t>
            </w:r>
          </w:p>
        </w:tc>
        <w:tc>
          <w:tcPr>
            <w:tcW w:w="2250" w:type="dxa"/>
            <w:tcBorders>
              <w:top w:val="nil"/>
              <w:bottom w:val="nil"/>
            </w:tcBorders>
          </w:tcPr>
          <w:p>
            <w:pPr>
              <w:pStyle w:val="TableNAm"/>
              <w:jc w:val="center"/>
            </w:pPr>
            <w:r>
              <w:t>410538.61</w:t>
            </w:r>
          </w:p>
        </w:tc>
        <w:tc>
          <w:tcPr>
            <w:tcW w:w="2250" w:type="dxa"/>
            <w:tcBorders>
              <w:top w:val="nil"/>
              <w:bottom w:val="nil"/>
            </w:tcBorders>
          </w:tcPr>
          <w:p>
            <w:pPr>
              <w:pStyle w:val="TableNAm"/>
              <w:jc w:val="center"/>
            </w:pPr>
            <w:r>
              <w:t>6255147.91</w:t>
            </w:r>
          </w:p>
        </w:tc>
      </w:tr>
      <w:tr>
        <w:tc>
          <w:tcPr>
            <w:tcW w:w="1276" w:type="dxa"/>
            <w:tcBorders>
              <w:top w:val="nil"/>
              <w:bottom w:val="nil"/>
            </w:tcBorders>
          </w:tcPr>
          <w:p>
            <w:pPr>
              <w:pStyle w:val="TableNAm"/>
              <w:jc w:val="center"/>
            </w:pPr>
            <w:r>
              <w:t>7</w:t>
            </w:r>
          </w:p>
        </w:tc>
        <w:tc>
          <w:tcPr>
            <w:tcW w:w="2250" w:type="dxa"/>
            <w:tcBorders>
              <w:top w:val="nil"/>
              <w:bottom w:val="nil"/>
            </w:tcBorders>
          </w:tcPr>
          <w:p>
            <w:pPr>
              <w:pStyle w:val="TableNAm"/>
              <w:jc w:val="center"/>
            </w:pPr>
            <w:r>
              <w:t>410538.59</w:t>
            </w:r>
          </w:p>
        </w:tc>
        <w:tc>
          <w:tcPr>
            <w:tcW w:w="2250" w:type="dxa"/>
            <w:tcBorders>
              <w:top w:val="nil"/>
              <w:bottom w:val="nil"/>
            </w:tcBorders>
          </w:tcPr>
          <w:p>
            <w:pPr>
              <w:pStyle w:val="TableNAm"/>
              <w:jc w:val="center"/>
            </w:pPr>
            <w:r>
              <w:t>6258147.91</w:t>
            </w:r>
          </w:p>
        </w:tc>
      </w:tr>
      <w:tr>
        <w:tc>
          <w:tcPr>
            <w:tcW w:w="1276" w:type="dxa"/>
            <w:tcBorders>
              <w:top w:val="nil"/>
              <w:bottom w:val="nil"/>
            </w:tcBorders>
          </w:tcPr>
          <w:p>
            <w:pPr>
              <w:pStyle w:val="TableNAm"/>
              <w:jc w:val="center"/>
            </w:pPr>
            <w:r>
              <w:t>8</w:t>
            </w:r>
          </w:p>
        </w:tc>
        <w:tc>
          <w:tcPr>
            <w:tcW w:w="2250" w:type="dxa"/>
            <w:tcBorders>
              <w:top w:val="nil"/>
              <w:bottom w:val="nil"/>
            </w:tcBorders>
          </w:tcPr>
          <w:p>
            <w:pPr>
              <w:pStyle w:val="TableNAm"/>
              <w:jc w:val="center"/>
            </w:pPr>
            <w:r>
              <w:t>412138.60</w:t>
            </w:r>
          </w:p>
        </w:tc>
        <w:tc>
          <w:tcPr>
            <w:tcW w:w="2250" w:type="dxa"/>
            <w:tcBorders>
              <w:top w:val="nil"/>
              <w:bottom w:val="nil"/>
            </w:tcBorders>
          </w:tcPr>
          <w:p>
            <w:pPr>
              <w:pStyle w:val="TableNAm"/>
              <w:jc w:val="center"/>
            </w:pPr>
            <w:r>
              <w:t>6258147.89</w:t>
            </w:r>
          </w:p>
        </w:tc>
      </w:tr>
      <w:tr>
        <w:tc>
          <w:tcPr>
            <w:tcW w:w="1276" w:type="dxa"/>
            <w:tcBorders>
              <w:top w:val="nil"/>
            </w:tcBorders>
          </w:tcPr>
          <w:p>
            <w:pPr>
              <w:pStyle w:val="TableNAm"/>
              <w:jc w:val="center"/>
            </w:pPr>
            <w:r>
              <w:t>9</w:t>
            </w:r>
          </w:p>
        </w:tc>
        <w:tc>
          <w:tcPr>
            <w:tcW w:w="2250" w:type="dxa"/>
            <w:tcBorders>
              <w:top w:val="nil"/>
            </w:tcBorders>
          </w:tcPr>
          <w:p>
            <w:pPr>
              <w:pStyle w:val="TableNAm"/>
              <w:jc w:val="center"/>
            </w:pPr>
            <w:r>
              <w:t>412138.58</w:t>
            </w:r>
          </w:p>
        </w:tc>
        <w:tc>
          <w:tcPr>
            <w:tcW w:w="2250" w:type="dxa"/>
            <w:tcBorders>
              <w:top w:val="nil"/>
            </w:tcBorders>
          </w:tcPr>
          <w:p>
            <w:pPr>
              <w:pStyle w:val="TableNAm"/>
              <w:jc w:val="center"/>
            </w:pPr>
            <w:r>
              <w:t>6259147.88</w:t>
            </w:r>
          </w:p>
        </w:tc>
      </w:tr>
    </w:tbl>
    <w:p>
      <w:pPr>
        <w:pStyle w:val="Subsection"/>
      </w:pPr>
      <w:r>
        <w:tab/>
        <w:t>(6)</w:t>
      </w:r>
      <w:r>
        <w:tab/>
        <w:t>The Kirup scheme water area is the area (around Kirup)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2250"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tcPr>
          <w:p>
            <w:pPr>
              <w:pStyle w:val="TableNAm"/>
              <w:jc w:val="center"/>
            </w:pPr>
            <w:r>
              <w:t>396138.54</w:t>
            </w:r>
          </w:p>
        </w:tc>
        <w:tc>
          <w:tcPr>
            <w:tcW w:w="2250" w:type="dxa"/>
            <w:tcBorders>
              <w:bottom w:val="nil"/>
            </w:tcBorders>
          </w:tcPr>
          <w:p>
            <w:pPr>
              <w:pStyle w:val="TableNAm"/>
              <w:jc w:val="center"/>
            </w:pPr>
            <w:r>
              <w:t>6270147.99</w:t>
            </w:r>
          </w:p>
        </w:tc>
      </w:tr>
      <w:tr>
        <w:tc>
          <w:tcPr>
            <w:tcW w:w="1276" w:type="dxa"/>
            <w:tcBorders>
              <w:top w:val="nil"/>
              <w:bottom w:val="nil"/>
            </w:tcBorders>
          </w:tcPr>
          <w:p>
            <w:pPr>
              <w:pStyle w:val="TableNAm"/>
              <w:jc w:val="center"/>
            </w:pPr>
            <w:r>
              <w:t>2</w:t>
            </w:r>
          </w:p>
        </w:tc>
        <w:tc>
          <w:tcPr>
            <w:tcW w:w="2250" w:type="dxa"/>
            <w:tcBorders>
              <w:top w:val="nil"/>
              <w:bottom w:val="nil"/>
            </w:tcBorders>
          </w:tcPr>
          <w:p>
            <w:pPr>
              <w:pStyle w:val="TableNAm"/>
              <w:jc w:val="center"/>
            </w:pPr>
            <w:r>
              <w:t>399338.57</w:t>
            </w:r>
          </w:p>
        </w:tc>
        <w:tc>
          <w:tcPr>
            <w:tcW w:w="2250" w:type="dxa"/>
            <w:tcBorders>
              <w:top w:val="nil"/>
              <w:bottom w:val="nil"/>
            </w:tcBorders>
          </w:tcPr>
          <w:p>
            <w:pPr>
              <w:pStyle w:val="TableNAm"/>
              <w:jc w:val="center"/>
            </w:pPr>
            <w:r>
              <w:t>6270147.99</w:t>
            </w:r>
          </w:p>
        </w:tc>
      </w:tr>
      <w:tr>
        <w:tc>
          <w:tcPr>
            <w:tcW w:w="1276" w:type="dxa"/>
            <w:tcBorders>
              <w:top w:val="nil"/>
              <w:bottom w:val="nil"/>
            </w:tcBorders>
          </w:tcPr>
          <w:p>
            <w:pPr>
              <w:pStyle w:val="TableNAm"/>
              <w:jc w:val="center"/>
            </w:pPr>
            <w:r>
              <w:t>3</w:t>
            </w:r>
          </w:p>
        </w:tc>
        <w:tc>
          <w:tcPr>
            <w:tcW w:w="2250" w:type="dxa"/>
            <w:tcBorders>
              <w:top w:val="nil"/>
              <w:bottom w:val="nil"/>
            </w:tcBorders>
          </w:tcPr>
          <w:p>
            <w:pPr>
              <w:pStyle w:val="TableNAm"/>
              <w:jc w:val="center"/>
            </w:pPr>
            <w:r>
              <w:t>399338.54</w:t>
            </w:r>
          </w:p>
        </w:tc>
        <w:tc>
          <w:tcPr>
            <w:tcW w:w="2250" w:type="dxa"/>
            <w:tcBorders>
              <w:top w:val="nil"/>
              <w:bottom w:val="nil"/>
            </w:tcBorders>
          </w:tcPr>
          <w:p>
            <w:pPr>
              <w:pStyle w:val="TableNAm"/>
              <w:jc w:val="center"/>
            </w:pPr>
            <w:r>
              <w:t>6266147.95</w:t>
            </w:r>
          </w:p>
        </w:tc>
      </w:tr>
      <w:tr>
        <w:tc>
          <w:tcPr>
            <w:tcW w:w="1276" w:type="dxa"/>
            <w:tcBorders>
              <w:top w:val="nil"/>
              <w:bottom w:val="nil"/>
            </w:tcBorders>
          </w:tcPr>
          <w:p>
            <w:pPr>
              <w:pStyle w:val="TableNAm"/>
              <w:jc w:val="center"/>
            </w:pPr>
            <w:r>
              <w:t>4</w:t>
            </w:r>
          </w:p>
        </w:tc>
        <w:tc>
          <w:tcPr>
            <w:tcW w:w="2250" w:type="dxa"/>
            <w:tcBorders>
              <w:top w:val="nil"/>
              <w:bottom w:val="nil"/>
            </w:tcBorders>
          </w:tcPr>
          <w:p>
            <w:pPr>
              <w:pStyle w:val="TableNAm"/>
              <w:jc w:val="center"/>
            </w:pPr>
            <w:r>
              <w:t>396138.50</w:t>
            </w:r>
          </w:p>
        </w:tc>
        <w:tc>
          <w:tcPr>
            <w:tcW w:w="2250" w:type="dxa"/>
            <w:tcBorders>
              <w:top w:val="nil"/>
              <w:bottom w:val="nil"/>
            </w:tcBorders>
          </w:tcPr>
          <w:p>
            <w:pPr>
              <w:pStyle w:val="TableNAm"/>
              <w:jc w:val="center"/>
            </w:pPr>
            <w:r>
              <w:t>6266147.95</w:t>
            </w:r>
          </w:p>
        </w:tc>
      </w:tr>
      <w:tr>
        <w:tc>
          <w:tcPr>
            <w:tcW w:w="1276" w:type="dxa"/>
            <w:tcBorders>
              <w:top w:val="nil"/>
            </w:tcBorders>
          </w:tcPr>
          <w:p>
            <w:pPr>
              <w:pStyle w:val="TableNAm"/>
              <w:jc w:val="center"/>
            </w:pPr>
            <w:r>
              <w:t>5</w:t>
            </w:r>
          </w:p>
        </w:tc>
        <w:tc>
          <w:tcPr>
            <w:tcW w:w="2250" w:type="dxa"/>
            <w:tcBorders>
              <w:top w:val="nil"/>
            </w:tcBorders>
          </w:tcPr>
          <w:p>
            <w:pPr>
              <w:pStyle w:val="TableNAm"/>
              <w:jc w:val="center"/>
            </w:pPr>
            <w:r>
              <w:t>396138.54</w:t>
            </w:r>
          </w:p>
        </w:tc>
        <w:tc>
          <w:tcPr>
            <w:tcW w:w="2250" w:type="dxa"/>
            <w:tcBorders>
              <w:top w:val="nil"/>
            </w:tcBorders>
          </w:tcPr>
          <w:p>
            <w:pPr>
              <w:pStyle w:val="TableNAm"/>
              <w:jc w:val="center"/>
            </w:pPr>
            <w:r>
              <w:t>6270147.99</w:t>
            </w:r>
          </w:p>
        </w:tc>
      </w:tr>
    </w:tbl>
    <w:p>
      <w:pPr>
        <w:pStyle w:val="Subsection"/>
      </w:pPr>
      <w:r>
        <w:tab/>
        <w:t>(7)</w:t>
      </w:r>
      <w:r>
        <w:tab/>
        <w:t>The Mullalyup scheme water area is the area (around Mullalyup)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2250"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tcPr>
          <w:p>
            <w:pPr>
              <w:pStyle w:val="TableNAm"/>
              <w:jc w:val="center"/>
            </w:pPr>
            <w:r>
              <w:t>399338.55</w:t>
            </w:r>
          </w:p>
        </w:tc>
        <w:tc>
          <w:tcPr>
            <w:tcW w:w="2250" w:type="dxa"/>
            <w:tcBorders>
              <w:bottom w:val="nil"/>
            </w:tcBorders>
          </w:tcPr>
          <w:p>
            <w:pPr>
              <w:pStyle w:val="TableNAm"/>
              <w:jc w:val="center"/>
            </w:pPr>
            <w:r>
              <w:t>6268147.97</w:t>
            </w:r>
          </w:p>
        </w:tc>
      </w:tr>
      <w:tr>
        <w:tc>
          <w:tcPr>
            <w:tcW w:w="1276" w:type="dxa"/>
            <w:tcBorders>
              <w:top w:val="nil"/>
              <w:bottom w:val="nil"/>
            </w:tcBorders>
          </w:tcPr>
          <w:p>
            <w:pPr>
              <w:pStyle w:val="TableNAm"/>
              <w:jc w:val="center"/>
            </w:pPr>
            <w:r>
              <w:t>2</w:t>
            </w:r>
          </w:p>
        </w:tc>
        <w:tc>
          <w:tcPr>
            <w:tcW w:w="2250" w:type="dxa"/>
            <w:tcBorders>
              <w:top w:val="nil"/>
              <w:bottom w:val="nil"/>
            </w:tcBorders>
          </w:tcPr>
          <w:p>
            <w:pPr>
              <w:pStyle w:val="TableNAm"/>
              <w:jc w:val="center"/>
            </w:pPr>
            <w:r>
              <w:t>404138.58</w:t>
            </w:r>
          </w:p>
        </w:tc>
        <w:tc>
          <w:tcPr>
            <w:tcW w:w="2250" w:type="dxa"/>
            <w:tcBorders>
              <w:top w:val="nil"/>
              <w:bottom w:val="nil"/>
            </w:tcBorders>
          </w:tcPr>
          <w:p>
            <w:pPr>
              <w:pStyle w:val="TableNAm"/>
              <w:jc w:val="center"/>
            </w:pPr>
            <w:r>
              <w:t>6268147.96</w:t>
            </w:r>
          </w:p>
        </w:tc>
      </w:tr>
      <w:tr>
        <w:tc>
          <w:tcPr>
            <w:tcW w:w="1276" w:type="dxa"/>
            <w:tcBorders>
              <w:top w:val="nil"/>
              <w:bottom w:val="nil"/>
            </w:tcBorders>
          </w:tcPr>
          <w:p>
            <w:pPr>
              <w:pStyle w:val="TableNAm"/>
              <w:jc w:val="center"/>
            </w:pPr>
            <w:r>
              <w:t>3</w:t>
            </w:r>
          </w:p>
        </w:tc>
        <w:tc>
          <w:tcPr>
            <w:tcW w:w="2250" w:type="dxa"/>
            <w:tcBorders>
              <w:top w:val="nil"/>
              <w:bottom w:val="nil"/>
            </w:tcBorders>
          </w:tcPr>
          <w:p>
            <w:pPr>
              <w:pStyle w:val="TableNAm"/>
              <w:jc w:val="center"/>
            </w:pPr>
            <w:r>
              <w:t>404138.57</w:t>
            </w:r>
          </w:p>
        </w:tc>
        <w:tc>
          <w:tcPr>
            <w:tcW w:w="2250" w:type="dxa"/>
            <w:tcBorders>
              <w:top w:val="nil"/>
              <w:bottom w:val="nil"/>
            </w:tcBorders>
          </w:tcPr>
          <w:p>
            <w:pPr>
              <w:pStyle w:val="TableNAm"/>
              <w:jc w:val="center"/>
            </w:pPr>
            <w:r>
              <w:t>6265147.93</w:t>
            </w:r>
          </w:p>
        </w:tc>
      </w:tr>
      <w:tr>
        <w:tc>
          <w:tcPr>
            <w:tcW w:w="1276" w:type="dxa"/>
            <w:tcBorders>
              <w:top w:val="nil"/>
              <w:bottom w:val="nil"/>
            </w:tcBorders>
          </w:tcPr>
          <w:p>
            <w:pPr>
              <w:pStyle w:val="TableNAm"/>
              <w:jc w:val="center"/>
            </w:pPr>
            <w:r>
              <w:t>4</w:t>
            </w:r>
          </w:p>
        </w:tc>
        <w:tc>
          <w:tcPr>
            <w:tcW w:w="2250" w:type="dxa"/>
            <w:tcBorders>
              <w:top w:val="nil"/>
              <w:bottom w:val="nil"/>
            </w:tcBorders>
          </w:tcPr>
          <w:p>
            <w:pPr>
              <w:pStyle w:val="TableNAm"/>
              <w:jc w:val="center"/>
            </w:pPr>
            <w:r>
              <w:t>399338.53</w:t>
            </w:r>
          </w:p>
        </w:tc>
        <w:tc>
          <w:tcPr>
            <w:tcW w:w="2250" w:type="dxa"/>
            <w:tcBorders>
              <w:top w:val="nil"/>
              <w:bottom w:val="nil"/>
            </w:tcBorders>
          </w:tcPr>
          <w:p>
            <w:pPr>
              <w:pStyle w:val="TableNAm"/>
              <w:jc w:val="center"/>
            </w:pPr>
            <w:r>
              <w:t>6265147.94</w:t>
            </w:r>
          </w:p>
        </w:tc>
      </w:tr>
      <w:tr>
        <w:tc>
          <w:tcPr>
            <w:tcW w:w="1276" w:type="dxa"/>
            <w:tcBorders>
              <w:top w:val="nil"/>
            </w:tcBorders>
          </w:tcPr>
          <w:p>
            <w:pPr>
              <w:pStyle w:val="TableNAm"/>
              <w:jc w:val="center"/>
            </w:pPr>
            <w:r>
              <w:t>5</w:t>
            </w:r>
          </w:p>
        </w:tc>
        <w:tc>
          <w:tcPr>
            <w:tcW w:w="2250" w:type="dxa"/>
            <w:tcBorders>
              <w:top w:val="nil"/>
            </w:tcBorders>
          </w:tcPr>
          <w:p>
            <w:pPr>
              <w:pStyle w:val="TableNAm"/>
              <w:jc w:val="center"/>
            </w:pPr>
            <w:r>
              <w:t>399338.55</w:t>
            </w:r>
          </w:p>
        </w:tc>
        <w:tc>
          <w:tcPr>
            <w:tcW w:w="2250" w:type="dxa"/>
            <w:tcBorders>
              <w:top w:val="nil"/>
            </w:tcBorders>
          </w:tcPr>
          <w:p>
            <w:pPr>
              <w:pStyle w:val="TableNAm"/>
              <w:jc w:val="center"/>
            </w:pPr>
            <w:r>
              <w:t>6268147.97</w:t>
            </w:r>
          </w:p>
        </w:tc>
      </w:tr>
    </w:tbl>
    <w:p>
      <w:pPr>
        <w:pStyle w:val="Subsection"/>
      </w:pPr>
      <w:r>
        <w:tab/>
        <w:t>(8)</w:t>
      </w:r>
      <w:r>
        <w:tab/>
        <w:t xml:space="preserve">Each scheme water area is shown on the appropriate map in Schedule 4 and a copy of each map is available for inspection at — </w:t>
      </w:r>
    </w:p>
    <w:p>
      <w:pPr>
        <w:pStyle w:val="Indenta"/>
      </w:pPr>
      <w:r>
        <w:tab/>
        <w:t>(a)</w:t>
      </w:r>
      <w:r>
        <w:tab/>
        <w:t xml:space="preserve">the Department of Water, 168 St Georges Terrace, </w:t>
      </w:r>
      <w:smartTag w:uri="urn:schemas-microsoft-com:office:smarttags" w:element="place">
        <w:smartTag w:uri="urn:schemas-microsoft-com:office:smarttags" w:element="City">
          <w:r>
            <w:t>Perth</w:t>
          </w:r>
        </w:smartTag>
      </w:smartTag>
      <w:r>
        <w:t xml:space="preserve"> or 35</w:t>
      </w:r>
      <w:r>
        <w:noBreakHyphen/>
        <w:t xml:space="preserve">39 </w:t>
      </w:r>
      <w:smartTag w:uri="urn:schemas-microsoft-com:office:smarttags" w:element="Street">
        <w:smartTag w:uri="urn:schemas-microsoft-com:office:smarttags" w:element="address">
          <w:r>
            <w:t>McCombe Road</w:t>
          </w:r>
        </w:smartTag>
      </w:smartTag>
      <w:r>
        <w:t>, Bunbury; and</w:t>
      </w:r>
    </w:p>
    <w:p>
      <w:pPr>
        <w:pStyle w:val="Indenta"/>
      </w:pPr>
      <w:r>
        <w:tab/>
        <w:t>(b)</w:t>
      </w:r>
      <w:r>
        <w:tab/>
        <w:t xml:space="preserve">the Water Corporation, </w:t>
      </w:r>
      <w:smartTag w:uri="urn:schemas-microsoft-com:office:smarttags" w:element="Street">
        <w:smartTag w:uri="urn:schemas-microsoft-com:office:smarttags" w:element="address">
          <w:r>
            <w:t>629 Newcastle Street</w:t>
          </w:r>
        </w:smartTag>
      </w:smartTag>
      <w:r>
        <w:t xml:space="preserve"> Leederville or Level 3, </w:t>
      </w:r>
      <w:smartTag w:uri="urn:schemas-microsoft-com:office:smarttags" w:element="Street">
        <w:smartTag w:uri="urn:schemas-microsoft-com:office:smarttags" w:element="address">
          <w:r>
            <w:t>61 Victoria Street</w:t>
          </w:r>
        </w:smartTag>
      </w:smartTag>
      <w:r>
        <w:t>, Bunbury.</w:t>
      </w:r>
    </w:p>
    <w:p>
      <w:pPr>
        <w:pStyle w:val="Footnotesection"/>
      </w:pPr>
      <w:r>
        <w:tab/>
        <w:t>[By-law 10A inserted in Gazette 30 Nov 2010 p. 6017</w:t>
      </w:r>
      <w:r>
        <w:noBreakHyphen/>
        <w:t>19.]</w:t>
      </w:r>
    </w:p>
    <w:p>
      <w:pPr>
        <w:pStyle w:val="Heading3"/>
      </w:pPr>
      <w:bookmarkStart w:id="163" w:name="_Toc278898236"/>
      <w:bookmarkStart w:id="164" w:name="_Toc278898341"/>
      <w:bookmarkStart w:id="165" w:name="_Toc287360946"/>
      <w:bookmarkStart w:id="166" w:name="_Toc287361005"/>
      <w:bookmarkStart w:id="167" w:name="_Toc287361064"/>
      <w:bookmarkStart w:id="168" w:name="_Toc309303099"/>
      <w:bookmarkStart w:id="169" w:name="_Toc309303158"/>
      <w:bookmarkStart w:id="170" w:name="_Toc309309713"/>
      <w:r>
        <w:rPr>
          <w:rStyle w:val="CharDivNo"/>
        </w:rPr>
        <w:t>Division 2</w:t>
      </w:r>
      <w:r>
        <w:t> — </w:t>
      </w:r>
      <w:r>
        <w:rPr>
          <w:rStyle w:val="CharDivText"/>
        </w:rPr>
        <w:t>Exemptions</w:t>
      </w:r>
      <w:bookmarkEnd w:id="157"/>
      <w:bookmarkEnd w:id="158"/>
      <w:bookmarkEnd w:id="159"/>
      <w:bookmarkEnd w:id="161"/>
      <w:bookmarkEnd w:id="163"/>
      <w:bookmarkEnd w:id="164"/>
      <w:bookmarkEnd w:id="165"/>
      <w:bookmarkEnd w:id="166"/>
      <w:bookmarkEnd w:id="167"/>
      <w:bookmarkEnd w:id="168"/>
      <w:bookmarkEnd w:id="169"/>
      <w:bookmarkEnd w:id="170"/>
    </w:p>
    <w:p>
      <w:pPr>
        <w:pStyle w:val="Heading5"/>
      </w:pPr>
      <w:bookmarkStart w:id="171" w:name="_Toc257638578"/>
      <w:bookmarkStart w:id="172" w:name="_Toc309309714"/>
      <w:r>
        <w:rPr>
          <w:rStyle w:val="CharSectno"/>
        </w:rPr>
        <w:t>10</w:t>
      </w:r>
      <w:r>
        <w:t>.</w:t>
      </w:r>
      <w:r>
        <w:tab/>
        <w:t xml:space="preserve">Licensees under </w:t>
      </w:r>
      <w:r>
        <w:rPr>
          <w:i/>
        </w:rPr>
        <w:t>Rights in Water and Irrigation Act </w:t>
      </w:r>
      <w:r>
        <w:rPr>
          <w:i/>
          <w:iCs/>
        </w:rPr>
        <w:t>1914</w:t>
      </w:r>
      <w:r>
        <w:t xml:space="preserve"> section 5C</w:t>
      </w:r>
      <w:bookmarkEnd w:id="171"/>
      <w:bookmarkEnd w:id="172"/>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173" w:name="_Toc257638579"/>
      <w:bookmarkStart w:id="174" w:name="_Toc309309715"/>
      <w:r>
        <w:rPr>
          <w:rStyle w:val="CharSectno"/>
        </w:rPr>
        <w:t>11</w:t>
      </w:r>
      <w:r>
        <w:t>.</w:t>
      </w:r>
      <w:r>
        <w:tab/>
        <w:t>Shared domestic bores</w:t>
      </w:r>
      <w:bookmarkEnd w:id="173"/>
      <w:bookmarkEnd w:id="174"/>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175" w:name="_Toc257638580"/>
      <w:bookmarkStart w:id="176" w:name="_Toc309309716"/>
      <w:r>
        <w:rPr>
          <w:rStyle w:val="CharSectno"/>
        </w:rPr>
        <w:t>12</w:t>
      </w:r>
      <w:r>
        <w:t>.</w:t>
      </w:r>
      <w:r>
        <w:tab/>
        <w:t>Installation, repair or testing reticulation systems</w:t>
      </w:r>
      <w:bookmarkEnd w:id="175"/>
      <w:bookmarkEnd w:id="176"/>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keepNext/>
        <w:keepLines/>
      </w:pPr>
      <w:r>
        <w:tab/>
        <w:t>(2)</w:t>
      </w:r>
      <w:r>
        <w:tab/>
        <w:t>A person does not commit an offence under by</w:t>
      </w:r>
      <w:r>
        <w:noBreakHyphen/>
        <w:t>law 4 if, in the course of the person’s occupation in the turf, garden or landscaping industries, the person operates a reticulation system using either scheme water or domestic bore water to the minimum extent necessary while the reticulation system is being installed, maintained, tested or repaired.</w:t>
      </w:r>
    </w:p>
    <w:p>
      <w:pPr>
        <w:pStyle w:val="Heading5"/>
      </w:pPr>
      <w:bookmarkStart w:id="177" w:name="_Toc257638581"/>
      <w:bookmarkStart w:id="178" w:name="_Toc309309717"/>
      <w:r>
        <w:rPr>
          <w:rStyle w:val="CharSectno"/>
        </w:rPr>
        <w:t>13</w:t>
      </w:r>
      <w:r>
        <w:t>.</w:t>
      </w:r>
      <w:r>
        <w:tab/>
        <w:t>Vertimowing or applying fertilisers or wetting agents</w:t>
      </w:r>
      <w:bookmarkEnd w:id="177"/>
      <w:bookmarkEnd w:id="178"/>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179" w:name="_Toc257638582"/>
      <w:bookmarkStart w:id="180" w:name="_Toc309309718"/>
      <w:r>
        <w:rPr>
          <w:rStyle w:val="CharSectno"/>
        </w:rPr>
        <w:t>14</w:t>
      </w:r>
      <w:r>
        <w:t>.</w:t>
      </w:r>
      <w:r>
        <w:tab/>
        <w:t>Market gardens or plant nurseries</w:t>
      </w:r>
      <w:bookmarkEnd w:id="179"/>
      <w:bookmarkEnd w:id="180"/>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181" w:name="_Toc257638583"/>
      <w:bookmarkStart w:id="182" w:name="_Toc309309719"/>
      <w:r>
        <w:rPr>
          <w:rStyle w:val="CharSectno"/>
        </w:rPr>
        <w:t>15</w:t>
      </w:r>
      <w:r>
        <w:t>.</w:t>
      </w:r>
      <w:r>
        <w:tab/>
        <w:t>Caravan park or camping ground sites</w:t>
      </w:r>
      <w:bookmarkEnd w:id="181"/>
      <w:bookmarkEnd w:id="182"/>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183" w:name="_Toc257638584"/>
      <w:bookmarkStart w:id="184" w:name="_Toc309309720"/>
      <w:r>
        <w:rPr>
          <w:rStyle w:val="CharSectno"/>
        </w:rPr>
        <w:t>16</w:t>
      </w:r>
      <w:r>
        <w:t>.</w:t>
      </w:r>
      <w:r>
        <w:tab/>
        <w:t>Maintenance of birds in aviaries</w:t>
      </w:r>
      <w:bookmarkEnd w:id="183"/>
      <w:bookmarkEnd w:id="184"/>
    </w:p>
    <w:p>
      <w:pPr>
        <w:pStyle w:val="Subsection"/>
      </w:pPr>
      <w:r>
        <w:tab/>
      </w:r>
      <w:r>
        <w:tab/>
        <w:t>A person does not commit an offence under by</w:t>
      </w:r>
      <w:r>
        <w:noBreakHyphen/>
        <w:t>law 4 if the person waters a aviary to the minimum extent necessary to maintain the birds in that aviary.</w:t>
      </w:r>
    </w:p>
    <w:p>
      <w:pPr>
        <w:pStyle w:val="Heading5"/>
        <w:keepNext w:val="0"/>
        <w:keepLines w:val="0"/>
      </w:pPr>
      <w:bookmarkStart w:id="185" w:name="_Toc257638585"/>
      <w:bookmarkStart w:id="186" w:name="_Toc309309721"/>
      <w:r>
        <w:rPr>
          <w:rStyle w:val="CharSectno"/>
        </w:rPr>
        <w:t>17</w:t>
      </w:r>
      <w:r>
        <w:t>.</w:t>
      </w:r>
      <w:r>
        <w:tab/>
        <w:t>Fire fighting</w:t>
      </w:r>
      <w:bookmarkEnd w:id="185"/>
      <w:bookmarkEnd w:id="186"/>
    </w:p>
    <w:p>
      <w:pPr>
        <w:pStyle w:val="Subsection"/>
      </w:pPr>
      <w:r>
        <w:tab/>
      </w:r>
      <w:r>
        <w:tab/>
        <w:t>A person does not commit an offence under by</w:t>
      </w:r>
      <w:r>
        <w:noBreakHyphen/>
        <w:t>law 4 if the person uses water to the minimum extent necessary for fire fighting or training for fire fighting.</w:t>
      </w:r>
    </w:p>
    <w:p>
      <w:pPr>
        <w:pStyle w:val="Heading2"/>
      </w:pPr>
      <w:bookmarkStart w:id="187" w:name="_Toc257638586"/>
      <w:bookmarkStart w:id="188" w:name="_Toc257639307"/>
      <w:bookmarkStart w:id="189" w:name="_Toc257643313"/>
      <w:bookmarkStart w:id="190" w:name="_Toc273439183"/>
      <w:bookmarkStart w:id="191" w:name="_Toc278898245"/>
      <w:bookmarkStart w:id="192" w:name="_Toc278898350"/>
      <w:bookmarkStart w:id="193" w:name="_Toc287360955"/>
      <w:bookmarkStart w:id="194" w:name="_Toc287361014"/>
      <w:bookmarkStart w:id="195" w:name="_Toc287361073"/>
      <w:bookmarkStart w:id="196" w:name="_Toc309303108"/>
      <w:bookmarkStart w:id="197" w:name="_Toc309303167"/>
      <w:bookmarkStart w:id="198" w:name="_Toc309309722"/>
      <w:r>
        <w:rPr>
          <w:rStyle w:val="CharPartNo"/>
        </w:rPr>
        <w:t>Part 3</w:t>
      </w:r>
      <w:r>
        <w:t> — </w:t>
      </w:r>
      <w:r>
        <w:rPr>
          <w:rStyle w:val="CharPartText"/>
        </w:rPr>
        <w:t>Scheme water efficiency management plans</w:t>
      </w:r>
      <w:bookmarkEnd w:id="187"/>
      <w:bookmarkEnd w:id="188"/>
      <w:bookmarkEnd w:id="189"/>
      <w:bookmarkEnd w:id="190"/>
      <w:bookmarkEnd w:id="191"/>
      <w:bookmarkEnd w:id="192"/>
      <w:bookmarkEnd w:id="193"/>
      <w:bookmarkEnd w:id="194"/>
      <w:bookmarkEnd w:id="195"/>
      <w:bookmarkEnd w:id="196"/>
      <w:bookmarkEnd w:id="197"/>
      <w:bookmarkEnd w:id="198"/>
    </w:p>
    <w:p>
      <w:pPr>
        <w:pStyle w:val="Heading3"/>
      </w:pPr>
      <w:bookmarkStart w:id="199" w:name="_Toc257638587"/>
      <w:bookmarkStart w:id="200" w:name="_Toc257639308"/>
      <w:bookmarkStart w:id="201" w:name="_Toc257643314"/>
      <w:bookmarkStart w:id="202" w:name="_Toc273439184"/>
      <w:bookmarkStart w:id="203" w:name="_Toc278898246"/>
      <w:bookmarkStart w:id="204" w:name="_Toc278898351"/>
      <w:bookmarkStart w:id="205" w:name="_Toc287360956"/>
      <w:bookmarkStart w:id="206" w:name="_Toc287361015"/>
      <w:bookmarkStart w:id="207" w:name="_Toc287361074"/>
      <w:bookmarkStart w:id="208" w:name="_Toc309303109"/>
      <w:bookmarkStart w:id="209" w:name="_Toc309303168"/>
      <w:bookmarkStart w:id="210" w:name="_Toc309309723"/>
      <w:r>
        <w:rPr>
          <w:rStyle w:val="CharDivNo"/>
        </w:rPr>
        <w:t>Division 1</w:t>
      </w:r>
      <w:r>
        <w:t> — </w:t>
      </w:r>
      <w:r>
        <w:rPr>
          <w:rStyle w:val="CharDivText"/>
        </w:rPr>
        <w:t>General</w:t>
      </w:r>
      <w:bookmarkEnd w:id="199"/>
      <w:bookmarkEnd w:id="200"/>
      <w:bookmarkEnd w:id="201"/>
      <w:bookmarkEnd w:id="202"/>
      <w:bookmarkEnd w:id="203"/>
      <w:bookmarkEnd w:id="204"/>
      <w:bookmarkEnd w:id="205"/>
      <w:bookmarkEnd w:id="206"/>
      <w:bookmarkEnd w:id="207"/>
      <w:bookmarkEnd w:id="208"/>
      <w:bookmarkEnd w:id="209"/>
      <w:bookmarkEnd w:id="210"/>
    </w:p>
    <w:p>
      <w:pPr>
        <w:pStyle w:val="Heading5"/>
      </w:pPr>
      <w:bookmarkStart w:id="211" w:name="_Toc257638588"/>
      <w:bookmarkStart w:id="212" w:name="_Toc309309724"/>
      <w:r>
        <w:rPr>
          <w:rStyle w:val="CharSectno"/>
        </w:rPr>
        <w:t>18</w:t>
      </w:r>
      <w:r>
        <w:t>.</w:t>
      </w:r>
      <w:r>
        <w:tab/>
        <w:t>Terms used</w:t>
      </w:r>
      <w:bookmarkEnd w:id="211"/>
      <w:bookmarkEnd w:id="212"/>
    </w:p>
    <w:p>
      <w:pPr>
        <w:pStyle w:val="Subsection"/>
      </w:pPr>
      <w:r>
        <w:tab/>
      </w:r>
      <w:r>
        <w:tab/>
        <w:t xml:space="preserve">In this Part — </w:t>
      </w:r>
    </w:p>
    <w:p>
      <w:pPr>
        <w:pStyle w:val="Defstart"/>
      </w:pPr>
      <w:r>
        <w:tab/>
      </w:r>
      <w:r>
        <w:rPr>
          <w:rStyle w:val="CharDefText"/>
        </w:rPr>
        <w:t>approved</w:t>
      </w:r>
      <w:r>
        <w:t xml:space="preserve"> means approved by the scheme water supplier;</w:t>
      </w:r>
    </w:p>
    <w:p>
      <w:pPr>
        <w:pStyle w:val="Defstart"/>
      </w:pPr>
      <w:r>
        <w:tab/>
      </w:r>
      <w:r>
        <w:rPr>
          <w:rStyle w:val="CharDefText"/>
        </w:rPr>
        <w:t>consumption year</w:t>
      </w:r>
      <w:r>
        <w:t xml:space="preserve"> has the meaning given in the </w:t>
      </w:r>
      <w:r>
        <w:rPr>
          <w:i/>
        </w:rPr>
        <w:t>Water Agencies (Charges) By</w:t>
      </w:r>
      <w:r>
        <w:rPr>
          <w:i/>
        </w:rPr>
        <w:noBreakHyphen/>
        <w:t>laws 1987</w:t>
      </w:r>
      <w:r>
        <w:t xml:space="preserve"> by</w:t>
      </w:r>
      <w:r>
        <w:noBreakHyphen/>
        <w:t>law 2(1);</w:t>
      </w:r>
    </w:p>
    <w:p>
      <w:pPr>
        <w:pStyle w:val="Defstart"/>
      </w:pPr>
      <w:r>
        <w:tab/>
      </w:r>
      <w:r>
        <w:rPr>
          <w:rStyle w:val="CharDefText"/>
        </w:rPr>
        <w:t>non</w:t>
      </w:r>
      <w:r>
        <w:rPr>
          <w:rStyle w:val="CharDefText"/>
        </w:rPr>
        <w:noBreakHyphen/>
        <w:t>residential lot</w:t>
      </w:r>
      <w:r>
        <w:t xml:space="preserve"> means a lot as defined in section 41GA(5) of the Act, except a habitable lot as defined in that section;</w:t>
      </w:r>
    </w:p>
    <w:p>
      <w:pPr>
        <w:pStyle w:val="Defstart"/>
      </w:pPr>
      <w:r>
        <w:tab/>
      </w:r>
      <w:r>
        <w:rPr>
          <w:rStyle w:val="CharDefText"/>
        </w:rPr>
        <w:t>scheme water efficiency management plan</w:t>
      </w:r>
      <w:r>
        <w:t>, in relation to a non</w:t>
      </w:r>
      <w:r>
        <w:noBreakHyphen/>
        <w:t>residential lot, means a plan for ensuring that water supplied to the lot is used as efficiently as practicable, prepared in the approved form and containing —</w:t>
      </w:r>
    </w:p>
    <w:p>
      <w:pPr>
        <w:pStyle w:val="Indenta"/>
      </w:pPr>
      <w:r>
        <w:tab/>
        <w:t>(a)</w:t>
      </w:r>
      <w:r>
        <w:tab/>
        <w:t>the full name and address of each owner and occupier of the lot; and</w:t>
      </w:r>
    </w:p>
    <w:p>
      <w:pPr>
        <w:pStyle w:val="Indenta"/>
      </w:pPr>
      <w:r>
        <w:tab/>
        <w:t>(b)</w:t>
      </w:r>
      <w:r>
        <w:tab/>
        <w:t>a description of the nature of any business or other work being conducted on the lot; and</w:t>
      </w:r>
    </w:p>
    <w:p>
      <w:pPr>
        <w:pStyle w:val="Indenta"/>
      </w:pPr>
      <w:r>
        <w:tab/>
        <w:t>(c)</w:t>
      </w:r>
      <w:r>
        <w:tab/>
        <w:t>details of the measures comprising the plan, including proposed timeframes for implementing each of those measures; and</w:t>
      </w:r>
    </w:p>
    <w:p>
      <w:pPr>
        <w:pStyle w:val="Indenta"/>
      </w:pPr>
      <w:r>
        <w:tab/>
        <w:t>(d)</w:t>
      </w:r>
      <w:r>
        <w:tab/>
        <w:t>the estimated savings in water use under the plan; and</w:t>
      </w:r>
    </w:p>
    <w:p>
      <w:pPr>
        <w:pStyle w:val="Indenta"/>
      </w:pPr>
      <w:r>
        <w:tab/>
        <w:t>(e)</w:t>
      </w:r>
      <w:r>
        <w:tab/>
        <w:t>the substance of the most recent report under by</w:t>
      </w:r>
      <w:r>
        <w:noBreakHyphen/>
        <w:t>law 29 (if any) prepared in relation to the lot; and</w:t>
      </w:r>
    </w:p>
    <w:p>
      <w:pPr>
        <w:pStyle w:val="Indenta"/>
      </w:pPr>
      <w:r>
        <w:tab/>
        <w:t>(f)</w:t>
      </w:r>
      <w:r>
        <w:tab/>
        <w:t>such other information as the scheme water supplier reasonably requires, as specified in any notice under by</w:t>
      </w:r>
      <w:r>
        <w:noBreakHyphen/>
        <w:t>law 20(2), 21(2) or 27(1);</w:t>
      </w:r>
    </w:p>
    <w:p>
      <w:pPr>
        <w:pStyle w:val="Defstart"/>
      </w:pPr>
      <w:r>
        <w:tab/>
      </w:r>
      <w:r>
        <w:rPr>
          <w:rStyle w:val="CharDefText"/>
        </w:rPr>
        <w:t>water</w:t>
      </w:r>
      <w:r>
        <w:t xml:space="preserve"> means scheme water.</w:t>
      </w:r>
    </w:p>
    <w:p>
      <w:pPr>
        <w:pStyle w:val="Heading5"/>
      </w:pPr>
      <w:bookmarkStart w:id="213" w:name="_Toc257638589"/>
      <w:bookmarkStart w:id="214" w:name="_Toc309309725"/>
      <w:r>
        <w:rPr>
          <w:rStyle w:val="CharSectno"/>
        </w:rPr>
        <w:t>19</w:t>
      </w:r>
      <w:r>
        <w:t>.</w:t>
      </w:r>
      <w:r>
        <w:tab/>
        <w:t>Extensions of time</w:t>
      </w:r>
      <w:bookmarkEnd w:id="213"/>
      <w:bookmarkEnd w:id="214"/>
    </w:p>
    <w:p>
      <w:pPr>
        <w:pStyle w:val="Subsection"/>
      </w:pPr>
      <w:r>
        <w:tab/>
        <w:t>(1)</w:t>
      </w:r>
      <w:r>
        <w:tab/>
        <w:t xml:space="preserve">Where under this Part — </w:t>
      </w:r>
    </w:p>
    <w:p>
      <w:pPr>
        <w:pStyle w:val="Indenta"/>
      </w:pPr>
      <w:r>
        <w:tab/>
        <w:t>(a)</w:t>
      </w:r>
      <w:r>
        <w:tab/>
        <w:t>it is an offence for a person to fail to do something within a specified period; and</w:t>
      </w:r>
    </w:p>
    <w:p>
      <w:pPr>
        <w:pStyle w:val="Indenta"/>
      </w:pPr>
      <w:r>
        <w:tab/>
        <w:t>(b)</w:t>
      </w:r>
      <w:r>
        <w:tab/>
        <w:t>in a particular case it is not practicable for the person to do the thing within that period,</w:t>
      </w:r>
    </w:p>
    <w:p>
      <w:pPr>
        <w:pStyle w:val="Subsection"/>
      </w:pPr>
      <w:r>
        <w:tab/>
      </w:r>
      <w:r>
        <w:tab/>
        <w:t>the person may, before the end of the period, make a written application to the scheme water supplier to extend that period.</w:t>
      </w:r>
    </w:p>
    <w:p>
      <w:pPr>
        <w:pStyle w:val="Subsection"/>
      </w:pPr>
      <w:r>
        <w:tab/>
        <w:t>(2)</w:t>
      </w:r>
      <w:r>
        <w:tab/>
        <w:t>The scheme water supplier may, on an application under sub</w:t>
      </w:r>
      <w:r>
        <w:noBreakHyphen/>
        <w:t>bylaw (1) extend the period.</w:t>
      </w:r>
    </w:p>
    <w:p>
      <w:pPr>
        <w:pStyle w:val="Subsection"/>
      </w:pPr>
      <w:r>
        <w:tab/>
        <w:t>(3)</w:t>
      </w:r>
      <w:r>
        <w:tab/>
        <w:t>The person does not commit the offence if the person does the thing within the extended period.</w:t>
      </w:r>
    </w:p>
    <w:p>
      <w:pPr>
        <w:pStyle w:val="Heading3"/>
      </w:pPr>
      <w:bookmarkStart w:id="215" w:name="_Toc257638590"/>
      <w:bookmarkStart w:id="216" w:name="_Toc257639311"/>
      <w:bookmarkStart w:id="217" w:name="_Toc257643317"/>
      <w:bookmarkStart w:id="218" w:name="_Toc273439187"/>
      <w:bookmarkStart w:id="219" w:name="_Toc278898249"/>
      <w:bookmarkStart w:id="220" w:name="_Toc278898354"/>
      <w:bookmarkStart w:id="221" w:name="_Toc287360959"/>
      <w:bookmarkStart w:id="222" w:name="_Toc287361018"/>
      <w:bookmarkStart w:id="223" w:name="_Toc287361077"/>
      <w:bookmarkStart w:id="224" w:name="_Toc309303112"/>
      <w:bookmarkStart w:id="225" w:name="_Toc309303171"/>
      <w:bookmarkStart w:id="226" w:name="_Toc309309726"/>
      <w:r>
        <w:rPr>
          <w:rStyle w:val="CharDivNo"/>
        </w:rPr>
        <w:t>Division 2</w:t>
      </w:r>
      <w:r>
        <w:t> — </w:t>
      </w:r>
      <w:r>
        <w:rPr>
          <w:rStyle w:val="CharDivText"/>
        </w:rPr>
        <w:t>Preparation, submission and approval of scheme water efficiency management plans</w:t>
      </w:r>
      <w:bookmarkEnd w:id="215"/>
      <w:bookmarkEnd w:id="216"/>
      <w:bookmarkEnd w:id="217"/>
      <w:bookmarkEnd w:id="218"/>
      <w:bookmarkEnd w:id="219"/>
      <w:bookmarkEnd w:id="220"/>
      <w:bookmarkEnd w:id="221"/>
      <w:bookmarkEnd w:id="222"/>
      <w:bookmarkEnd w:id="223"/>
      <w:bookmarkEnd w:id="224"/>
      <w:bookmarkEnd w:id="225"/>
      <w:bookmarkEnd w:id="226"/>
    </w:p>
    <w:p>
      <w:pPr>
        <w:pStyle w:val="Heading5"/>
      </w:pPr>
      <w:bookmarkStart w:id="227" w:name="_Toc257638591"/>
      <w:bookmarkStart w:id="228" w:name="_Toc309309727"/>
      <w:r>
        <w:rPr>
          <w:rStyle w:val="CharSectno"/>
        </w:rPr>
        <w:t>20</w:t>
      </w:r>
      <w:r>
        <w:t>.</w:t>
      </w:r>
      <w:r>
        <w:tab/>
        <w:t>Initial preparation and submission of scheme water efficiency management plan</w:t>
      </w:r>
      <w:bookmarkEnd w:id="227"/>
      <w:bookmarkEnd w:id="228"/>
    </w:p>
    <w:p>
      <w:pPr>
        <w:pStyle w:val="Subsection"/>
      </w:pPr>
      <w:r>
        <w:tab/>
        <w:t>(1)</w:t>
      </w:r>
      <w:r>
        <w:tab/>
        <w:t>This by</w:t>
      </w:r>
      <w:r>
        <w:noBreakHyphen/>
        <w:t>law applies to an owner or occupier of a non</w:t>
      </w:r>
      <w:r>
        <w:noBreakHyphen/>
        <w:t xml:space="preserve">residential lot in a particular consumption year unless — </w:t>
      </w:r>
    </w:p>
    <w:p>
      <w:pPr>
        <w:pStyle w:val="Indenta"/>
      </w:pPr>
      <w:r>
        <w:tab/>
        <w:t>(a)</w:t>
      </w:r>
      <w:r>
        <w:tab/>
        <w:t>the lot was supplied with less than 20 ML of water in the consumption year immediately before that year; or</w:t>
      </w:r>
    </w:p>
    <w:p>
      <w:pPr>
        <w:pStyle w:val="Indenta"/>
      </w:pPr>
      <w:r>
        <w:tab/>
        <w:t>(b)</w:t>
      </w:r>
      <w:r>
        <w:tab/>
        <w:t xml:space="preserve">the owner or occupier has submitted to the scheme water supplier a scheme water efficiency management plan, the approval of which — </w:t>
      </w:r>
    </w:p>
    <w:p>
      <w:pPr>
        <w:pStyle w:val="Indenti"/>
      </w:pPr>
      <w:r>
        <w:tab/>
        <w:t>(i)</w:t>
      </w:r>
      <w:r>
        <w:tab/>
        <w:t>is being considered under by</w:t>
      </w:r>
      <w:r>
        <w:noBreakHyphen/>
        <w:t>law 21; or</w:t>
      </w:r>
    </w:p>
    <w:p>
      <w:pPr>
        <w:pStyle w:val="Indenti"/>
      </w:pPr>
      <w:r>
        <w:tab/>
        <w:t>(ii)</w:t>
      </w:r>
      <w:r>
        <w:tab/>
        <w:t>has been given and remains in force under by</w:t>
      </w:r>
      <w:r>
        <w:noBreakHyphen/>
        <w:t>law 24.</w:t>
      </w:r>
    </w:p>
    <w:p>
      <w:pPr>
        <w:pStyle w:val="Subsection"/>
      </w:pPr>
      <w:r>
        <w:tab/>
        <w:t>(2)</w:t>
      </w:r>
      <w:r>
        <w:tab/>
        <w:t>The scheme water supplier may, by notice in writing, require the owner or occupier to prepare and submit for approval to the scheme water supplier a scheme water efficiency management plan.</w:t>
      </w:r>
    </w:p>
    <w:p>
      <w:pPr>
        <w:pStyle w:val="Subsection"/>
      </w:pPr>
      <w:r>
        <w:tab/>
        <w:t>(3)</w:t>
      </w:r>
      <w:r>
        <w:tab/>
        <w:t>A person who is served with a notice under sub</w:t>
      </w:r>
      <w:r>
        <w:noBreakHyphen/>
        <w:t>bylaw (2) must prepare the scheme water efficiency management plan and submit it for approval to the scheme water supplier within 90 days after the notice is served on the person.</w:t>
      </w:r>
    </w:p>
    <w:p>
      <w:pPr>
        <w:pStyle w:val="Penstart"/>
      </w:pPr>
      <w:r>
        <w:tab/>
        <w:t>Penalty: a fine of $2 000.</w:t>
      </w:r>
    </w:p>
    <w:p>
      <w:pPr>
        <w:pStyle w:val="Heading5"/>
      </w:pPr>
      <w:bookmarkStart w:id="229" w:name="_Toc257638592"/>
      <w:bookmarkStart w:id="230" w:name="_Toc309309728"/>
      <w:r>
        <w:rPr>
          <w:rStyle w:val="CharSectno"/>
        </w:rPr>
        <w:t>21</w:t>
      </w:r>
      <w:r>
        <w:t>.</w:t>
      </w:r>
      <w:r>
        <w:tab/>
        <w:t>Approvals, requests for further information and requests for amendments</w:t>
      </w:r>
      <w:bookmarkEnd w:id="229"/>
      <w:bookmarkEnd w:id="230"/>
    </w:p>
    <w:p>
      <w:pPr>
        <w:pStyle w:val="Subsection"/>
      </w:pPr>
      <w:r>
        <w:tab/>
        <w:t>(1)</w:t>
      </w:r>
      <w:r>
        <w:tab/>
        <w:t>This by</w:t>
      </w:r>
      <w:r>
        <w:noBreakHyphen/>
        <w:t>law applies when the scheme water supplier receives from a person —</w:t>
      </w:r>
    </w:p>
    <w:p>
      <w:pPr>
        <w:pStyle w:val="Indenta"/>
      </w:pPr>
      <w:r>
        <w:tab/>
        <w:t>(a)</w:t>
      </w:r>
      <w:r>
        <w:tab/>
        <w:t>a scheme water efficiency management plan prepared and submitted under sub</w:t>
      </w:r>
      <w:r>
        <w:noBreakHyphen/>
        <w:t>bylaw (4) or by</w:t>
      </w:r>
      <w:r>
        <w:noBreakHyphen/>
        <w:t>law 20(3), 22, 26 or 27(3); or</w:t>
      </w:r>
    </w:p>
    <w:p>
      <w:pPr>
        <w:pStyle w:val="Indenta"/>
      </w:pPr>
      <w:r>
        <w:tab/>
        <w:t>(b)</w:t>
      </w:r>
      <w:r>
        <w:tab/>
        <w:t>further information provided under sub</w:t>
      </w:r>
      <w:r>
        <w:noBreakHyphen/>
        <w:t>bylaw (3).</w:t>
      </w:r>
    </w:p>
    <w:p>
      <w:pPr>
        <w:pStyle w:val="Subsection"/>
      </w:pPr>
      <w:r>
        <w:tab/>
        <w:t>(2)</w:t>
      </w:r>
      <w:r>
        <w:tab/>
        <w:t xml:space="preserve">The scheme water supplier must, by notice in writing served on the person within 60 days after the plan is received by the scheme water supplier — </w:t>
      </w:r>
    </w:p>
    <w:p>
      <w:pPr>
        <w:pStyle w:val="Indenta"/>
      </w:pPr>
      <w:r>
        <w:tab/>
        <w:t>(a)</w:t>
      </w:r>
      <w:r>
        <w:tab/>
        <w:t>approve the plan in the form most recently submitted; or</w:t>
      </w:r>
    </w:p>
    <w:p>
      <w:pPr>
        <w:pStyle w:val="Indenta"/>
      </w:pPr>
      <w:r>
        <w:tab/>
        <w:t>(b)</w:t>
      </w:r>
      <w:r>
        <w:tab/>
        <w:t>request further information from the person relating to the plan, including the person’s comments on any specific amendments to the plan the scheme water supplier considers might be necessary; or</w:t>
      </w:r>
    </w:p>
    <w:p>
      <w:pPr>
        <w:pStyle w:val="Indenta"/>
      </w:pPr>
      <w:r>
        <w:tab/>
        <w:t>(c)</w:t>
      </w:r>
      <w:r>
        <w:tab/>
        <w:t>request an amended scheme water efficiency management plan in accordance with any instructions specified in the notice; or</w:t>
      </w:r>
    </w:p>
    <w:p>
      <w:pPr>
        <w:pStyle w:val="Indenta"/>
      </w:pPr>
      <w:r>
        <w:tab/>
        <w:t>(d)</w:t>
      </w:r>
      <w:r>
        <w:tab/>
        <w:t>if, while the scheme water supplier is considering the plan, a subsequent revised scheme water efficiency management plan is submitted to the scheme water supplier under by</w:t>
      </w:r>
      <w:r>
        <w:noBreakHyphen/>
        <w:t>law 22, do anything referred to in paragraph (a), (b) or (c) in relation to the revised plan.</w:t>
      </w:r>
    </w:p>
    <w:p>
      <w:pPr>
        <w:pStyle w:val="Subsection"/>
      </w:pPr>
      <w:r>
        <w:tab/>
        <w:t>(3)</w:t>
      </w:r>
      <w:r>
        <w:tab/>
        <w:t>A person who is served with a notice under sub</w:t>
      </w:r>
      <w:r>
        <w:noBreakHyphen/>
        <w:t>bylaw (2)(b) must provide the further information within 30 days after the notice is served on the person.</w:t>
      </w:r>
    </w:p>
    <w:p>
      <w:pPr>
        <w:pStyle w:val="Penstart"/>
      </w:pPr>
      <w:r>
        <w:tab/>
        <w:t>Penalty: a fine of $2 000.</w:t>
      </w:r>
    </w:p>
    <w:p>
      <w:pPr>
        <w:pStyle w:val="Subsection"/>
      </w:pPr>
      <w:r>
        <w:tab/>
        <w:t>(4)</w:t>
      </w:r>
      <w:r>
        <w:tab/>
        <w:t>A person who is served with a notice under sub</w:t>
      </w:r>
      <w:r>
        <w:noBreakHyphen/>
        <w:t>bylaw (2)(c) must prepare the amended scheme water efficiency management plan and submit it for approval to the scheme water supplier within 60 days after the notice is served on the person.</w:t>
      </w:r>
    </w:p>
    <w:p>
      <w:pPr>
        <w:pStyle w:val="Penstart"/>
      </w:pPr>
      <w:r>
        <w:tab/>
        <w:t>Penalty: a fine of $2 000.</w:t>
      </w:r>
    </w:p>
    <w:p>
      <w:pPr>
        <w:pStyle w:val="Heading5"/>
      </w:pPr>
      <w:bookmarkStart w:id="231" w:name="_Toc257638593"/>
      <w:bookmarkStart w:id="232" w:name="_Toc309309729"/>
      <w:r>
        <w:rPr>
          <w:rStyle w:val="CharSectno"/>
        </w:rPr>
        <w:t>22</w:t>
      </w:r>
      <w:r>
        <w:t>.</w:t>
      </w:r>
      <w:r>
        <w:tab/>
        <w:t>Persons may submit revised plans for approval at any time</w:t>
      </w:r>
      <w:bookmarkEnd w:id="231"/>
      <w:bookmarkEnd w:id="232"/>
    </w:p>
    <w:p>
      <w:pPr>
        <w:pStyle w:val="Subsection"/>
      </w:pPr>
      <w:r>
        <w:tab/>
      </w:r>
      <w:r>
        <w:tab/>
        <w:t>A person who has submitted a scheme water efficiency management plan for approval to the scheme water supplier under this Part may, at any time after that submission (whether or not the plan has been approved), prepare a revised scheme water efficiency management plan and submit it for approval to the scheme water supplier.</w:t>
      </w:r>
    </w:p>
    <w:p>
      <w:pPr>
        <w:pStyle w:val="Heading3"/>
      </w:pPr>
      <w:bookmarkStart w:id="233" w:name="_Toc257638594"/>
      <w:bookmarkStart w:id="234" w:name="_Toc257639315"/>
      <w:bookmarkStart w:id="235" w:name="_Toc257643321"/>
      <w:bookmarkStart w:id="236" w:name="_Toc273439191"/>
      <w:bookmarkStart w:id="237" w:name="_Toc278898253"/>
      <w:bookmarkStart w:id="238" w:name="_Toc278898358"/>
      <w:bookmarkStart w:id="239" w:name="_Toc287360963"/>
      <w:bookmarkStart w:id="240" w:name="_Toc287361022"/>
      <w:bookmarkStart w:id="241" w:name="_Toc287361081"/>
      <w:bookmarkStart w:id="242" w:name="_Toc309303116"/>
      <w:bookmarkStart w:id="243" w:name="_Toc309303175"/>
      <w:bookmarkStart w:id="244" w:name="_Toc309309730"/>
      <w:r>
        <w:rPr>
          <w:rStyle w:val="CharDivNo"/>
        </w:rPr>
        <w:t>Division 3</w:t>
      </w:r>
      <w:r>
        <w:t> — </w:t>
      </w:r>
      <w:r>
        <w:rPr>
          <w:rStyle w:val="CharDivText"/>
        </w:rPr>
        <w:t>After approval of scheme water efficiency management plans</w:t>
      </w:r>
      <w:bookmarkEnd w:id="233"/>
      <w:bookmarkEnd w:id="234"/>
      <w:bookmarkEnd w:id="235"/>
      <w:bookmarkEnd w:id="236"/>
      <w:bookmarkEnd w:id="237"/>
      <w:bookmarkEnd w:id="238"/>
      <w:bookmarkEnd w:id="239"/>
      <w:bookmarkEnd w:id="240"/>
      <w:bookmarkEnd w:id="241"/>
      <w:bookmarkEnd w:id="242"/>
      <w:bookmarkEnd w:id="243"/>
      <w:bookmarkEnd w:id="244"/>
    </w:p>
    <w:p>
      <w:pPr>
        <w:pStyle w:val="Heading5"/>
      </w:pPr>
      <w:bookmarkStart w:id="245" w:name="_Toc257638595"/>
      <w:bookmarkStart w:id="246" w:name="_Toc309309731"/>
      <w:r>
        <w:rPr>
          <w:rStyle w:val="CharSectno"/>
        </w:rPr>
        <w:t>23</w:t>
      </w:r>
      <w:r>
        <w:t>.</w:t>
      </w:r>
      <w:r>
        <w:tab/>
        <w:t>Application</w:t>
      </w:r>
      <w:bookmarkEnd w:id="245"/>
      <w:bookmarkEnd w:id="246"/>
    </w:p>
    <w:p>
      <w:pPr>
        <w:pStyle w:val="Subsection"/>
      </w:pPr>
      <w:r>
        <w:tab/>
      </w:r>
      <w:r>
        <w:tab/>
        <w:t>This Division applies where a person has submitted a scheme water efficiency management plan under by</w:t>
      </w:r>
      <w:r>
        <w:noBreakHyphen/>
        <w:t>law 20(3), 21(4), 22, 26 or 27(3) and the plan has been approved.</w:t>
      </w:r>
    </w:p>
    <w:p>
      <w:pPr>
        <w:pStyle w:val="Heading5"/>
      </w:pPr>
      <w:bookmarkStart w:id="247" w:name="_Toc257638596"/>
      <w:bookmarkStart w:id="248" w:name="_Toc309309732"/>
      <w:r>
        <w:rPr>
          <w:rStyle w:val="CharSectno"/>
        </w:rPr>
        <w:t>24</w:t>
      </w:r>
      <w:r>
        <w:t>.</w:t>
      </w:r>
      <w:r>
        <w:tab/>
        <w:t>Period of approval of scheme water efficiency management plan</w:t>
      </w:r>
      <w:bookmarkEnd w:id="247"/>
      <w:bookmarkEnd w:id="248"/>
    </w:p>
    <w:p>
      <w:pPr>
        <w:pStyle w:val="Subsection"/>
      </w:pPr>
      <w:r>
        <w:tab/>
      </w:r>
      <w:r>
        <w:tab/>
        <w:t>The approval remains in force on and from the day the approval was given until —</w:t>
      </w:r>
    </w:p>
    <w:p>
      <w:pPr>
        <w:pStyle w:val="Indenta"/>
      </w:pPr>
      <w:r>
        <w:tab/>
        <w:t>(a)</w:t>
      </w:r>
      <w:r>
        <w:tab/>
        <w:t>the person ceases to be an owner or occupier of the lot; or</w:t>
      </w:r>
    </w:p>
    <w:p>
      <w:pPr>
        <w:pStyle w:val="Indenta"/>
      </w:pPr>
      <w:r>
        <w:tab/>
        <w:t>(b)</w:t>
      </w:r>
      <w:r>
        <w:tab/>
        <w:t>the approval is revoked under by</w:t>
      </w:r>
      <w:r>
        <w:noBreakHyphen/>
        <w:t>law 28; or</w:t>
      </w:r>
    </w:p>
    <w:p>
      <w:pPr>
        <w:pStyle w:val="Indenta"/>
      </w:pPr>
      <w:r>
        <w:tab/>
        <w:t>(c)</w:t>
      </w:r>
      <w:r>
        <w:tab/>
        <w:t>a revised scheme water efficiency management plan is submitted by the person under by</w:t>
      </w:r>
      <w:r>
        <w:noBreakHyphen/>
        <w:t>law 22, 26 or 27(3) and is approved; or</w:t>
      </w:r>
    </w:p>
    <w:p>
      <w:pPr>
        <w:pStyle w:val="Indenta"/>
      </w:pPr>
      <w:r>
        <w:tab/>
        <w:t>(d)</w:t>
      </w:r>
      <w:r>
        <w:tab/>
        <w:t>a period of 5 years expires,</w:t>
      </w:r>
    </w:p>
    <w:p>
      <w:pPr>
        <w:pStyle w:val="Subsection"/>
      </w:pPr>
      <w:r>
        <w:tab/>
      </w:r>
      <w:r>
        <w:tab/>
        <w:t>whichever occurs first.</w:t>
      </w:r>
    </w:p>
    <w:p>
      <w:pPr>
        <w:pStyle w:val="Heading5"/>
      </w:pPr>
      <w:bookmarkStart w:id="249" w:name="_Toc257638597"/>
      <w:bookmarkStart w:id="250" w:name="_Toc309309733"/>
      <w:r>
        <w:rPr>
          <w:rStyle w:val="CharSectno"/>
        </w:rPr>
        <w:t>25</w:t>
      </w:r>
      <w:r>
        <w:t>.</w:t>
      </w:r>
      <w:r>
        <w:tab/>
        <w:t>Compliance with scheme water efficiency management plans</w:t>
      </w:r>
      <w:bookmarkEnd w:id="249"/>
      <w:bookmarkEnd w:id="250"/>
    </w:p>
    <w:p>
      <w:pPr>
        <w:pStyle w:val="Subsection"/>
      </w:pPr>
      <w:r>
        <w:tab/>
        <w:t>(1)</w:t>
      </w:r>
      <w:r>
        <w:tab/>
        <w:t>The person must comply with the scheme water efficiency management plan during the period that the approval remains in force under by</w:t>
      </w:r>
      <w:r>
        <w:noBreakHyphen/>
        <w:t>law 24.</w:t>
      </w:r>
    </w:p>
    <w:p>
      <w:pPr>
        <w:pStyle w:val="Penstart"/>
      </w:pPr>
      <w:r>
        <w:tab/>
        <w:t>Penalty: a fine of $2 000.</w:t>
      </w:r>
    </w:p>
    <w:p>
      <w:pPr>
        <w:pStyle w:val="Subsection"/>
      </w:pPr>
      <w:r>
        <w:tab/>
        <w:t>(2)</w:t>
      </w:r>
      <w:r>
        <w:tab/>
        <w:t>If the scheme water supplier reasonably suspects that the person has not complied, or is not complying, with the plan during the period that the approval remains in force under by</w:t>
      </w:r>
      <w:r>
        <w:noBreakHyphen/>
        <w:t>law 24, the scheme water supplier may, by notice in writing, require the person to provide a written report on the person’s implementation of the plan.</w:t>
      </w:r>
    </w:p>
    <w:p>
      <w:pPr>
        <w:pStyle w:val="Subsection"/>
      </w:pPr>
      <w:r>
        <w:tab/>
        <w:t>(3)</w:t>
      </w:r>
      <w:r>
        <w:tab/>
        <w:t>A person who is served with a notice under sub</w:t>
      </w:r>
      <w:r>
        <w:noBreakHyphen/>
        <w:t>bylaw (2) must prepare the report in an approved form and submit it to the scheme water supplier within 30 days after the notice is served on the person.</w:t>
      </w:r>
    </w:p>
    <w:p>
      <w:pPr>
        <w:pStyle w:val="Penstart"/>
      </w:pPr>
      <w:r>
        <w:tab/>
        <w:t>Penalty: a fine of $2 000.</w:t>
      </w:r>
    </w:p>
    <w:p>
      <w:pPr>
        <w:pStyle w:val="Heading5"/>
      </w:pPr>
      <w:bookmarkStart w:id="251" w:name="_Toc257638598"/>
      <w:bookmarkStart w:id="252" w:name="_Toc309309734"/>
      <w:r>
        <w:rPr>
          <w:rStyle w:val="CharSectno"/>
        </w:rPr>
        <w:t>26</w:t>
      </w:r>
      <w:r>
        <w:t>.</w:t>
      </w:r>
      <w:r>
        <w:tab/>
        <w:t>Persons to submit revised scheme water efficiency management plans before end of approval period</w:t>
      </w:r>
      <w:bookmarkEnd w:id="251"/>
      <w:bookmarkEnd w:id="252"/>
    </w:p>
    <w:p>
      <w:pPr>
        <w:pStyle w:val="Subsection"/>
      </w:pPr>
      <w:r>
        <w:tab/>
        <w:t>(1)</w:t>
      </w:r>
      <w:r>
        <w:tab/>
        <w:t>Except as provided in sub</w:t>
      </w:r>
      <w:r>
        <w:noBreakHyphen/>
        <w:t>bylaw (2), the person must, at least 90 days before the end of the period that the approval remains in force under by</w:t>
      </w:r>
      <w:r>
        <w:noBreakHyphen/>
        <w:t>law 24, prepare and submit for approval to the scheme water supplier a revised scheme water efficiency management plan.</w:t>
      </w:r>
    </w:p>
    <w:p>
      <w:pPr>
        <w:pStyle w:val="Penstart"/>
      </w:pPr>
      <w:r>
        <w:tab/>
        <w:t>Penalty: a fine of $2 000.</w:t>
      </w:r>
    </w:p>
    <w:p>
      <w:pPr>
        <w:pStyle w:val="Subsection"/>
      </w:pPr>
      <w:r>
        <w:tab/>
        <w:t>(2)</w:t>
      </w:r>
      <w:r>
        <w:tab/>
        <w:t>Sub</w:t>
      </w:r>
      <w:r>
        <w:noBreakHyphen/>
        <w:t xml:space="preserve">bylaw (1) does not apply to the person if — </w:t>
      </w:r>
    </w:p>
    <w:p>
      <w:pPr>
        <w:pStyle w:val="Indenta"/>
      </w:pPr>
      <w:r>
        <w:tab/>
        <w:t>(a)</w:t>
      </w:r>
      <w:r>
        <w:tab/>
        <w:t>the lot was supplied with less than 20 ML of water in the consumption year immediately before the consumption year in which the approval is due to expire; and</w:t>
      </w:r>
    </w:p>
    <w:p>
      <w:pPr>
        <w:pStyle w:val="Indenta"/>
      </w:pPr>
      <w:r>
        <w:tab/>
        <w:t>(b)</w:t>
      </w:r>
      <w:r>
        <w:tab/>
        <w:t xml:space="preserve">the person has submitted to the scheme water supplier a written notice in an approved form — </w:t>
      </w:r>
    </w:p>
    <w:p>
      <w:pPr>
        <w:pStyle w:val="Indenti"/>
      </w:pPr>
      <w:r>
        <w:tab/>
        <w:t>(i)</w:t>
      </w:r>
      <w:r>
        <w:tab/>
        <w:t>confirming the circumstances in paragraph (a); and</w:t>
      </w:r>
    </w:p>
    <w:p>
      <w:pPr>
        <w:pStyle w:val="Indenti"/>
      </w:pPr>
      <w:r>
        <w:tab/>
        <w:t>(ii)</w:t>
      </w:r>
      <w:r>
        <w:tab/>
        <w:t>stating that the person does not intend to use 20 ML or more of water in the consumption year in which the approval is due to expire.</w:t>
      </w:r>
    </w:p>
    <w:p>
      <w:pPr>
        <w:pStyle w:val="Heading5"/>
      </w:pPr>
      <w:bookmarkStart w:id="253" w:name="_Toc257638599"/>
      <w:bookmarkStart w:id="254" w:name="_Toc309309735"/>
      <w:r>
        <w:rPr>
          <w:rStyle w:val="CharSectno"/>
        </w:rPr>
        <w:t>27</w:t>
      </w:r>
      <w:r>
        <w:t>.</w:t>
      </w:r>
      <w:r>
        <w:tab/>
        <w:t>Scheme water supplier may require revised scheme water efficiency management plans</w:t>
      </w:r>
      <w:bookmarkEnd w:id="253"/>
      <w:bookmarkEnd w:id="254"/>
    </w:p>
    <w:p>
      <w:pPr>
        <w:pStyle w:val="Subsection"/>
      </w:pPr>
      <w:r>
        <w:tab/>
        <w:t>(1)</w:t>
      </w:r>
      <w:r>
        <w:tab/>
        <w:t>In addition to by</w:t>
      </w:r>
      <w:r>
        <w:noBreakHyphen/>
        <w:t>law 26, the scheme water supplier may, by notice in writing at any time during the period that the approval remains in force under by</w:t>
      </w:r>
      <w:r>
        <w:noBreakHyphen/>
        <w:t xml:space="preserve">law 24, require the person to prepare and submit for approval to the scheme water supplier a revised scheme water efficiency management plan if — </w:t>
      </w:r>
    </w:p>
    <w:p>
      <w:pPr>
        <w:pStyle w:val="Indenta"/>
      </w:pPr>
      <w:r>
        <w:tab/>
        <w:t>(a)</w:t>
      </w:r>
      <w:r>
        <w:tab/>
        <w:t xml:space="preserve">there has been a significant change in — </w:t>
      </w:r>
    </w:p>
    <w:p>
      <w:pPr>
        <w:pStyle w:val="Indenti"/>
      </w:pPr>
      <w:r>
        <w:tab/>
        <w:t>(i)</w:t>
      </w:r>
      <w:r>
        <w:tab/>
        <w:t>the use of water supplied to the lot; or</w:t>
      </w:r>
    </w:p>
    <w:p>
      <w:pPr>
        <w:pStyle w:val="Indenti"/>
      </w:pPr>
      <w:r>
        <w:tab/>
        <w:t>(ii)</w:t>
      </w:r>
      <w:r>
        <w:tab/>
        <w:t>the quantity of water available for supply to the lot,</w:t>
      </w:r>
    </w:p>
    <w:p>
      <w:pPr>
        <w:pStyle w:val="Indenta"/>
      </w:pPr>
      <w:r>
        <w:tab/>
      </w:r>
      <w:r>
        <w:tab/>
        <w:t>since the approval was given; or</w:t>
      </w:r>
    </w:p>
    <w:p>
      <w:pPr>
        <w:pStyle w:val="Indenta"/>
      </w:pPr>
      <w:r>
        <w:tab/>
        <w:t>(b)</w:t>
      </w:r>
      <w:r>
        <w:tab/>
        <w:t>otherwise where the scheme water supplier thinks it is necessary on the basis of a report under by</w:t>
      </w:r>
      <w:r>
        <w:noBreakHyphen/>
        <w:t>law 29.</w:t>
      </w:r>
    </w:p>
    <w:p>
      <w:pPr>
        <w:pStyle w:val="Subsection"/>
      </w:pPr>
      <w:r>
        <w:tab/>
        <w:t>(2)</w:t>
      </w:r>
      <w:r>
        <w:tab/>
        <w:t>The notice may specify measures to be included in the revised plan, including timeframes for implementing each of those measures.</w:t>
      </w:r>
    </w:p>
    <w:p>
      <w:pPr>
        <w:pStyle w:val="Subsection"/>
      </w:pPr>
      <w:r>
        <w:tab/>
        <w:t>(3)</w:t>
      </w:r>
      <w:r>
        <w:tab/>
        <w:t>A person who is served with a notice under sub</w:t>
      </w:r>
      <w:r>
        <w:noBreakHyphen/>
        <w:t>bylaw (1) must prepare the revised plan and submit it for approval to the scheme water supplier within 60 days after the notice is served on the person.</w:t>
      </w:r>
    </w:p>
    <w:p>
      <w:pPr>
        <w:pStyle w:val="Penstart"/>
      </w:pPr>
      <w:r>
        <w:tab/>
        <w:t>Penalty: a fine of $2 000.</w:t>
      </w:r>
    </w:p>
    <w:p>
      <w:pPr>
        <w:pStyle w:val="Heading5"/>
      </w:pPr>
      <w:bookmarkStart w:id="255" w:name="_Toc257638600"/>
      <w:bookmarkStart w:id="256" w:name="_Toc309309736"/>
      <w:r>
        <w:rPr>
          <w:rStyle w:val="CharSectno"/>
        </w:rPr>
        <w:t>28</w:t>
      </w:r>
      <w:r>
        <w:t>.</w:t>
      </w:r>
      <w:r>
        <w:tab/>
        <w:t>Scheme water supplier may revoke approval of scheme water efficiency management plan</w:t>
      </w:r>
      <w:bookmarkEnd w:id="255"/>
      <w:bookmarkEnd w:id="256"/>
    </w:p>
    <w:p>
      <w:pPr>
        <w:pStyle w:val="Subsection"/>
      </w:pPr>
      <w:r>
        <w:tab/>
        <w:t>(1)</w:t>
      </w:r>
      <w:r>
        <w:tab/>
        <w:t>The person may, in an approved form, make an application for the scheme water supplier to revoke the scheme water supplier’s approval of the scheme water efficiency management plan.</w:t>
      </w:r>
    </w:p>
    <w:p>
      <w:pPr>
        <w:pStyle w:val="Subsection"/>
      </w:pPr>
      <w:r>
        <w:tab/>
        <w:t>(2)</w:t>
      </w:r>
      <w:r>
        <w:tab/>
        <w:t>On an application under sub</w:t>
      </w:r>
      <w:r>
        <w:noBreakHyphen/>
        <w:t xml:space="preserve">bylaw (1) the scheme water supplier may revoke its approval if the scheme water supplier is satisfied that — </w:t>
      </w:r>
    </w:p>
    <w:p>
      <w:pPr>
        <w:pStyle w:val="Indenta"/>
      </w:pPr>
      <w:r>
        <w:tab/>
        <w:t>(a)</w:t>
      </w:r>
      <w:r>
        <w:tab/>
        <w:t>the lot was supplied with less than 20 ML of water in the consumption year immediately before the consumption year in which the application was made; and</w:t>
      </w:r>
    </w:p>
    <w:p>
      <w:pPr>
        <w:pStyle w:val="Indenta"/>
      </w:pPr>
      <w:r>
        <w:tab/>
        <w:t>(b)</w:t>
      </w:r>
      <w:r>
        <w:tab/>
        <w:t>the person does not intend to use 20 ML or more of water in the consumption year in which the application was made.</w:t>
      </w:r>
    </w:p>
    <w:p>
      <w:pPr>
        <w:pStyle w:val="Heading5"/>
      </w:pPr>
      <w:bookmarkStart w:id="257" w:name="_Toc257638601"/>
      <w:bookmarkStart w:id="258" w:name="_Toc309309737"/>
      <w:r>
        <w:rPr>
          <w:rStyle w:val="CharSectno"/>
        </w:rPr>
        <w:t>29</w:t>
      </w:r>
      <w:r>
        <w:t>.</w:t>
      </w:r>
      <w:r>
        <w:tab/>
        <w:t>Annual reports on scheme water efficiency management plans</w:t>
      </w:r>
      <w:bookmarkEnd w:id="257"/>
      <w:bookmarkEnd w:id="258"/>
    </w:p>
    <w:p>
      <w:pPr>
        <w:pStyle w:val="Subsection"/>
      </w:pPr>
      <w:r>
        <w:tab/>
        <w:t>(1)</w:t>
      </w:r>
      <w:r>
        <w:tab/>
        <w:t>During the period that the approval remains in force under by</w:t>
      </w:r>
      <w:r>
        <w:noBreakHyphen/>
        <w:t>law 24 the person must, within 30 days after each anniversary of the approval, prepare and submit to the scheme water supplier a report on the efficacy of the scheme water efficiency management plan.</w:t>
      </w:r>
    </w:p>
    <w:p>
      <w:pPr>
        <w:pStyle w:val="Penstart"/>
      </w:pPr>
      <w:r>
        <w:tab/>
        <w:t>Penalty: a fine of $2 000.</w:t>
      </w:r>
    </w:p>
    <w:p>
      <w:pPr>
        <w:pStyle w:val="Subsection"/>
      </w:pPr>
      <w:r>
        <w:tab/>
        <w:t>(2)</w:t>
      </w:r>
      <w:r>
        <w:tab/>
        <w:t xml:space="preserve">The report must be in an approved form and must — </w:t>
      </w:r>
    </w:p>
    <w:p>
      <w:pPr>
        <w:pStyle w:val="Indenta"/>
      </w:pPr>
      <w:r>
        <w:tab/>
        <w:t>(a)</w:t>
      </w:r>
      <w:r>
        <w:tab/>
        <w:t>compare the use of water supplied to the property during the period to which the report relates against the estimated savings in water use under the plan for that period; and</w:t>
      </w:r>
    </w:p>
    <w:p>
      <w:pPr>
        <w:pStyle w:val="Indenta"/>
      </w:pPr>
      <w:r>
        <w:tab/>
        <w:t>(b)</w:t>
      </w:r>
      <w:r>
        <w:tab/>
        <w:t xml:space="preserve">contain such other information relating to the efficacy of the plan as the scheme water supplier reasonably requires, as specified in — </w:t>
      </w:r>
    </w:p>
    <w:p>
      <w:pPr>
        <w:pStyle w:val="Indenti"/>
      </w:pPr>
      <w:r>
        <w:tab/>
        <w:t>(i)</w:t>
      </w:r>
      <w:r>
        <w:tab/>
        <w:t>any notice under by</w:t>
      </w:r>
      <w:r>
        <w:noBreakHyphen/>
        <w:t>law 20(2), 21(2) or 27(1); or</w:t>
      </w:r>
    </w:p>
    <w:p>
      <w:pPr>
        <w:pStyle w:val="Indenti"/>
      </w:pPr>
      <w:r>
        <w:tab/>
        <w:t>(ii)</w:t>
      </w:r>
      <w:r>
        <w:tab/>
        <w:t>any other written notice served on the person for the purposes of this paragraph.</w:t>
      </w:r>
    </w:p>
    <w:p>
      <w:pPr>
        <w:pStyle w:val="Subsection"/>
      </w:pPr>
      <w:r>
        <w:tab/>
        <w:t>(3)</w:t>
      </w:r>
      <w:r>
        <w:tab/>
        <w:t>The scheme water supplier may, by notice in writing served on the person within 90 days after the report is received by the scheme water supplier, request such further information from the person relating to the efficacy of the plan as the scheme water supplier reasonably requires.</w:t>
      </w:r>
    </w:p>
    <w:p>
      <w:pPr>
        <w:pStyle w:val="Subsection"/>
      </w:pPr>
      <w:r>
        <w:tab/>
        <w:t>(4)</w:t>
      </w:r>
      <w:r>
        <w:tab/>
        <w:t>A person who is served with a notice under sub</w:t>
      </w:r>
      <w:r>
        <w:noBreakHyphen/>
        <w:t>bylaw (3) must provide the information in an approved form and submit it to the scheme water supplier within 30 days after the notice is served on the person.</w:t>
      </w:r>
    </w:p>
    <w:p>
      <w:pPr>
        <w:pStyle w:val="Penstart"/>
      </w:pPr>
      <w:r>
        <w:tab/>
        <w:t>Penalty: a fine of $2 000.</w:t>
      </w:r>
    </w:p>
    <w:p>
      <w:pPr>
        <w:pStyle w:val="Heading2"/>
      </w:pPr>
      <w:bookmarkStart w:id="259" w:name="_Toc257638602"/>
      <w:bookmarkStart w:id="260" w:name="_Toc257639323"/>
      <w:bookmarkStart w:id="261" w:name="_Toc257643329"/>
      <w:bookmarkStart w:id="262" w:name="_Toc273439199"/>
      <w:bookmarkStart w:id="263" w:name="_Toc278898261"/>
      <w:bookmarkStart w:id="264" w:name="_Toc278898366"/>
      <w:bookmarkStart w:id="265" w:name="_Toc287360971"/>
      <w:bookmarkStart w:id="266" w:name="_Toc287361030"/>
      <w:bookmarkStart w:id="267" w:name="_Toc287361089"/>
      <w:bookmarkStart w:id="268" w:name="_Toc309303124"/>
      <w:bookmarkStart w:id="269" w:name="_Toc309303183"/>
      <w:bookmarkStart w:id="270" w:name="_Toc309309738"/>
      <w:r>
        <w:rPr>
          <w:rStyle w:val="CharPartNo"/>
        </w:rPr>
        <w:t>Part 4</w:t>
      </w:r>
      <w:r>
        <w:rPr>
          <w:rStyle w:val="CharDivNo"/>
        </w:rPr>
        <w:t> </w:t>
      </w:r>
      <w:r>
        <w:t>—</w:t>
      </w:r>
      <w:r>
        <w:rPr>
          <w:rStyle w:val="CharDivText"/>
        </w:rPr>
        <w:t> </w:t>
      </w:r>
      <w:r>
        <w:rPr>
          <w:rStyle w:val="CharPartText"/>
        </w:rPr>
        <w:t>Repeal, saving and transitional</w:t>
      </w:r>
      <w:bookmarkEnd w:id="259"/>
      <w:bookmarkEnd w:id="260"/>
      <w:bookmarkEnd w:id="261"/>
      <w:bookmarkEnd w:id="262"/>
      <w:bookmarkEnd w:id="263"/>
      <w:bookmarkEnd w:id="264"/>
      <w:bookmarkEnd w:id="265"/>
      <w:bookmarkEnd w:id="266"/>
      <w:bookmarkEnd w:id="267"/>
      <w:bookmarkEnd w:id="268"/>
      <w:bookmarkEnd w:id="269"/>
      <w:bookmarkEnd w:id="270"/>
    </w:p>
    <w:p>
      <w:pPr>
        <w:pStyle w:val="Heading5"/>
      </w:pPr>
      <w:bookmarkStart w:id="271" w:name="_Toc257638603"/>
      <w:bookmarkStart w:id="272" w:name="_Toc309309739"/>
      <w:r>
        <w:rPr>
          <w:rStyle w:val="CharSectno"/>
        </w:rPr>
        <w:t>30</w:t>
      </w:r>
      <w:r>
        <w:t>.</w:t>
      </w:r>
      <w:r>
        <w:tab/>
        <w:t>Repeal</w:t>
      </w:r>
      <w:bookmarkEnd w:id="271"/>
      <w:bookmarkEnd w:id="272"/>
    </w:p>
    <w:p>
      <w:pPr>
        <w:pStyle w:val="Subsection"/>
      </w:pPr>
      <w:r>
        <w:tab/>
      </w:r>
      <w:r>
        <w:tab/>
        <w:t xml:space="preserve">The </w:t>
      </w:r>
      <w:r>
        <w:rPr>
          <w:i/>
        </w:rPr>
        <w:t>Water Agencies (Water Use) By</w:t>
      </w:r>
      <w:r>
        <w:rPr>
          <w:i/>
        </w:rPr>
        <w:noBreakHyphen/>
        <w:t>laws 2007</w:t>
      </w:r>
      <w:r>
        <w:t xml:space="preserve"> are repealed.</w:t>
      </w:r>
    </w:p>
    <w:p>
      <w:pPr>
        <w:pStyle w:val="Heading5"/>
      </w:pPr>
      <w:bookmarkStart w:id="273" w:name="_Toc257638604"/>
      <w:bookmarkStart w:id="274" w:name="_Toc309309740"/>
      <w:r>
        <w:rPr>
          <w:rStyle w:val="CharSectno"/>
        </w:rPr>
        <w:t>31</w:t>
      </w:r>
      <w:r>
        <w:t>.</w:t>
      </w:r>
      <w:r>
        <w:tab/>
      </w:r>
      <w:r>
        <w:rPr>
          <w:rStyle w:val="CharSDivText"/>
        </w:rPr>
        <w:t xml:space="preserve">Saving and transitional provisions for the </w:t>
      </w:r>
      <w:r>
        <w:rPr>
          <w:rStyle w:val="CharSDivText"/>
          <w:i/>
        </w:rPr>
        <w:t>Water Agencies (Water Use) By</w:t>
      </w:r>
      <w:r>
        <w:rPr>
          <w:rStyle w:val="CharSDivText"/>
          <w:i/>
        </w:rPr>
        <w:noBreakHyphen/>
        <w:t>laws 2007</w:t>
      </w:r>
      <w:bookmarkEnd w:id="273"/>
      <w:bookmarkEnd w:id="274"/>
    </w:p>
    <w:p>
      <w:pPr>
        <w:pStyle w:val="Subsection"/>
      </w:pPr>
      <w:r>
        <w:tab/>
        <w:t>(1)</w:t>
      </w:r>
      <w:r>
        <w:tab/>
        <w:t>In this by</w:t>
      </w:r>
      <w:r>
        <w:noBreakHyphen/>
        <w:t>law —</w:t>
      </w:r>
    </w:p>
    <w:p>
      <w:pPr>
        <w:pStyle w:val="Defstart"/>
      </w:pPr>
      <w:r>
        <w:tab/>
      </w:r>
      <w:r>
        <w:rPr>
          <w:rStyle w:val="CharDefText"/>
        </w:rPr>
        <w:t>commencement day</w:t>
      </w:r>
      <w:r>
        <w:t xml:space="preserve"> means the day on which these by</w:t>
      </w:r>
      <w:r>
        <w:noBreakHyphen/>
        <w:t>laws, other than by</w:t>
      </w:r>
      <w:r>
        <w:noBreakHyphen/>
        <w:t>laws 1 and 2, come into operation;</w:t>
      </w:r>
    </w:p>
    <w:p>
      <w:pPr>
        <w:pStyle w:val="Defstart"/>
      </w:pPr>
      <w:r>
        <w:tab/>
      </w:r>
      <w:r>
        <w:rPr>
          <w:rStyle w:val="CharDefText"/>
        </w:rPr>
        <w:t>former plan</w:t>
      </w:r>
      <w:r>
        <w:t xml:space="preserve"> means a water efficiency management plan submitted and approved under the </w:t>
      </w:r>
      <w:r>
        <w:rPr>
          <w:i/>
          <w:iCs/>
        </w:rPr>
        <w:t>Water Agencies (Water Use) By</w:t>
      </w:r>
      <w:r>
        <w:rPr>
          <w:i/>
          <w:iCs/>
        </w:rPr>
        <w:noBreakHyphen/>
        <w:t xml:space="preserve">laws 2007 </w:t>
      </w:r>
      <w:r>
        <w:t>Part 3;</w:t>
      </w:r>
    </w:p>
    <w:p>
      <w:pPr>
        <w:pStyle w:val="Defstart"/>
      </w:pPr>
      <w:r>
        <w:tab/>
      </w:r>
      <w:r>
        <w:rPr>
          <w:rStyle w:val="CharDefText"/>
        </w:rPr>
        <w:t>restriction notice</w:t>
      </w:r>
      <w:r>
        <w:t xml:space="preserve"> means a notice under by</w:t>
      </w:r>
      <w:r>
        <w:noBreakHyphen/>
        <w:t>law 9;</w:t>
      </w:r>
    </w:p>
    <w:p>
      <w:pPr>
        <w:pStyle w:val="Defstart"/>
      </w:pPr>
      <w:r>
        <w:tab/>
      </w:r>
      <w:r>
        <w:rPr>
          <w:rStyle w:val="CharDefText"/>
        </w:rPr>
        <w:t>specified day</w:t>
      </w:r>
      <w:r>
        <w:t>, in a restriction notice, means the day from which a stage of restrictions applies under the notice.</w:t>
      </w:r>
    </w:p>
    <w:p>
      <w:pPr>
        <w:pStyle w:val="Subsection"/>
      </w:pPr>
      <w:r>
        <w:tab/>
        <w:t>(2)</w:t>
      </w:r>
      <w:r>
        <w:tab/>
        <w:t>Despite by</w:t>
      </w:r>
      <w:r>
        <w:noBreakHyphen/>
        <w:t xml:space="preserve">law 9(2), the specified day in the first restriction notice made in relation to an Area may be a day that is the later of — </w:t>
      </w:r>
    </w:p>
    <w:p>
      <w:pPr>
        <w:pStyle w:val="Indenta"/>
      </w:pPr>
      <w:r>
        <w:tab/>
        <w:t>(a)</w:t>
      </w:r>
      <w:r>
        <w:tab/>
        <w:t>1 April 2010; or</w:t>
      </w:r>
    </w:p>
    <w:p>
      <w:pPr>
        <w:pStyle w:val="Indenta"/>
      </w:pPr>
      <w:r>
        <w:tab/>
        <w:t>(b)</w:t>
      </w:r>
      <w:r>
        <w:tab/>
        <w:t xml:space="preserve">the day of the publication of the notice in the </w:t>
      </w:r>
      <w:r>
        <w:rPr>
          <w:i/>
          <w:iCs/>
        </w:rPr>
        <w:t>Gazette</w:t>
      </w:r>
      <w:r>
        <w:t>.</w:t>
      </w:r>
    </w:p>
    <w:p>
      <w:pPr>
        <w:pStyle w:val="Subsection"/>
      </w:pPr>
      <w:r>
        <w:tab/>
        <w:t>(3)</w:t>
      </w:r>
      <w:r>
        <w:tab/>
        <w:t>A former plan is, on and after the commencement day, to be taken to be a scheme water efficiency management plan submitted and approved under Part 3.</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275" w:name="_Toc257638605"/>
      <w:bookmarkStart w:id="276" w:name="_Toc257639326"/>
      <w:bookmarkStart w:id="277" w:name="_Toc257643332"/>
      <w:bookmarkStart w:id="278" w:name="_Toc273439202"/>
      <w:bookmarkStart w:id="279" w:name="_Toc278898264"/>
      <w:bookmarkStart w:id="280" w:name="_Toc278898369"/>
      <w:bookmarkStart w:id="281" w:name="_Toc287360974"/>
      <w:bookmarkStart w:id="282" w:name="_Toc287361033"/>
      <w:bookmarkStart w:id="283" w:name="_Toc287361092"/>
      <w:bookmarkStart w:id="284" w:name="_Toc309303127"/>
      <w:bookmarkStart w:id="285" w:name="_Toc309303186"/>
      <w:bookmarkStart w:id="286" w:name="_Toc309309741"/>
      <w:bookmarkStart w:id="287" w:name="_Toc113695922"/>
      <w:bookmarkStart w:id="288" w:name="_Toc256424129"/>
      <w:bookmarkStart w:id="289" w:name="_Toc256424729"/>
      <w:r>
        <w:rPr>
          <w:rStyle w:val="CharSchNo"/>
        </w:rPr>
        <w:t>Schedule 1</w:t>
      </w:r>
      <w:r>
        <w:rPr>
          <w:rStyle w:val="CharSDivNo"/>
        </w:rPr>
        <w:t> </w:t>
      </w:r>
      <w:r>
        <w:t>—</w:t>
      </w:r>
      <w:r>
        <w:rPr>
          <w:rStyle w:val="CharSDivText"/>
        </w:rPr>
        <w:t> </w:t>
      </w:r>
      <w:r>
        <w:rPr>
          <w:rStyle w:val="CharSchText"/>
        </w:rPr>
        <w:t>Maps showing Areas 1, 2, 3 and 4</w:t>
      </w:r>
      <w:bookmarkEnd w:id="275"/>
      <w:bookmarkEnd w:id="276"/>
      <w:bookmarkEnd w:id="277"/>
      <w:bookmarkEnd w:id="278"/>
      <w:bookmarkEnd w:id="279"/>
      <w:bookmarkEnd w:id="280"/>
      <w:bookmarkEnd w:id="281"/>
      <w:bookmarkEnd w:id="282"/>
      <w:bookmarkEnd w:id="283"/>
      <w:bookmarkEnd w:id="284"/>
      <w:bookmarkEnd w:id="285"/>
      <w:bookmarkEnd w:id="286"/>
    </w:p>
    <w:p>
      <w:pPr>
        <w:pStyle w:val="yShoulderClause"/>
      </w:pPr>
      <w:r>
        <w:t>[bl. 3]</w:t>
      </w:r>
    </w:p>
    <w:p>
      <w:pPr>
        <w:pStyle w:val="Graphics"/>
        <w:jc w:val="center"/>
      </w:pPr>
      <w:r>
        <w:rPr>
          <w:lang w:eastAsia="en-AU"/>
        </w:rPr>
        <w:drawing>
          <wp:inline distT="0" distB="0" distL="0" distR="0">
            <wp:extent cx="3962400" cy="5724525"/>
            <wp:effectExtent l="0" t="0" r="0" b="9525"/>
            <wp:docPr id="1" name="Picture 1" descr="WCSt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Stage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62400" cy="5724525"/>
                    </a:xfrm>
                    <a:prstGeom prst="rect">
                      <a:avLst/>
                    </a:prstGeom>
                    <a:noFill/>
                    <a:ln>
                      <a:noFill/>
                    </a:ln>
                  </pic:spPr>
                </pic:pic>
              </a:graphicData>
            </a:graphic>
          </wp:inline>
        </w:drawing>
      </w:r>
    </w:p>
    <w:p>
      <w:pPr>
        <w:pStyle w:val="Graphics"/>
        <w:jc w:val="center"/>
      </w:pPr>
      <w:r>
        <w:rPr>
          <w:lang w:eastAsia="en-AU"/>
        </w:rPr>
        <w:drawing>
          <wp:inline distT="0" distB="0" distL="0" distR="0">
            <wp:extent cx="3943350" cy="5676900"/>
            <wp:effectExtent l="0" t="0" r="0" b="0"/>
            <wp:docPr id="2" name="Picture 2" descr="WCStage6_SW3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CStage6_SW3_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43350" cy="5676900"/>
                    </a:xfrm>
                    <a:prstGeom prst="rect">
                      <a:avLst/>
                    </a:prstGeom>
                    <a:noFill/>
                    <a:ln>
                      <a:noFill/>
                    </a:ln>
                  </pic:spPr>
                </pic:pic>
              </a:graphicData>
            </a:graphic>
          </wp:inline>
        </w:drawing>
      </w:r>
    </w:p>
    <w:p>
      <w:pPr>
        <w:pStyle w:val="yScheduleHeading"/>
        <w:sectPr>
          <w:headerReference w:type="even" r:id="rId27"/>
          <w:headerReference w:type="default" r:id="rId28"/>
          <w:endnotePr>
            <w:numFmt w:val="decimal"/>
          </w:endnotePr>
          <w:pgSz w:w="11907" w:h="16840" w:code="9"/>
          <w:pgMar w:top="2381" w:right="2410" w:bottom="3544" w:left="2410" w:header="720" w:footer="3380" w:gutter="0"/>
          <w:cols w:space="720"/>
          <w:docGrid w:linePitch="326"/>
        </w:sectPr>
      </w:pPr>
      <w:bookmarkStart w:id="290" w:name="_Toc253407979"/>
      <w:bookmarkStart w:id="291" w:name="_Toc253409388"/>
      <w:bookmarkStart w:id="292" w:name="_Toc253409455"/>
      <w:bookmarkStart w:id="293" w:name="_Toc253409846"/>
      <w:bookmarkStart w:id="294" w:name="_Toc253409932"/>
      <w:bookmarkStart w:id="295" w:name="_Toc253411522"/>
      <w:bookmarkStart w:id="296" w:name="_Toc253412817"/>
      <w:bookmarkStart w:id="297" w:name="_Toc253412871"/>
      <w:bookmarkStart w:id="298" w:name="_Toc253472337"/>
      <w:bookmarkStart w:id="299" w:name="_Toc253482360"/>
      <w:bookmarkStart w:id="300" w:name="_Toc253729628"/>
      <w:bookmarkStart w:id="301" w:name="_Toc253729681"/>
      <w:bookmarkStart w:id="302" w:name="_Toc253730850"/>
      <w:bookmarkStart w:id="303" w:name="_Toc253730903"/>
      <w:bookmarkStart w:id="304" w:name="_Toc253730956"/>
    </w:p>
    <w:p>
      <w:pPr>
        <w:pStyle w:val="yScheduleHeading"/>
      </w:pPr>
      <w:bookmarkStart w:id="305" w:name="_Toc257638606"/>
      <w:bookmarkStart w:id="306" w:name="_Toc257639327"/>
      <w:bookmarkStart w:id="307" w:name="_Toc257643333"/>
      <w:bookmarkStart w:id="308" w:name="_Toc273439203"/>
      <w:bookmarkStart w:id="309" w:name="_Toc278898265"/>
      <w:bookmarkStart w:id="310" w:name="_Toc278898370"/>
      <w:bookmarkStart w:id="311" w:name="_Toc287360975"/>
      <w:bookmarkStart w:id="312" w:name="_Toc287361034"/>
      <w:bookmarkStart w:id="313" w:name="_Toc287361093"/>
      <w:bookmarkStart w:id="314" w:name="_Toc309303128"/>
      <w:bookmarkStart w:id="315" w:name="_Toc309303187"/>
      <w:bookmarkStart w:id="316" w:name="_Toc309309742"/>
      <w:r>
        <w:rPr>
          <w:rStyle w:val="CharSchNo"/>
        </w:rPr>
        <w:t>Schedule 2</w:t>
      </w:r>
      <w:r>
        <w:rPr>
          <w:rStyle w:val="CharSDivNo"/>
        </w:rPr>
        <w:t> </w:t>
      </w:r>
      <w:r>
        <w:t>—</w:t>
      </w:r>
      <w:r>
        <w:rPr>
          <w:rStyle w:val="CharSDivText"/>
        </w:rPr>
        <w:t> </w:t>
      </w:r>
      <w:r>
        <w:rPr>
          <w:rStyle w:val="CharSchText"/>
        </w:rPr>
        <w:t>Stages of restrictions</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yShoulderClause"/>
      </w:pPr>
      <w:r>
        <w:t>[bl. 3]</w:t>
      </w:r>
    </w:p>
    <w:p>
      <w:pPr>
        <w:pStyle w:val="yHeading5"/>
      </w:pPr>
      <w:bookmarkStart w:id="317" w:name="_Toc257638607"/>
      <w:bookmarkStart w:id="318" w:name="_Toc309309743"/>
      <w:r>
        <w:rPr>
          <w:rStyle w:val="CharSClsNo"/>
        </w:rPr>
        <w:t>1</w:t>
      </w:r>
      <w:r>
        <w:t>.</w:t>
      </w:r>
      <w:r>
        <w:tab/>
        <w:t>Stage 1</w:t>
      </w:r>
      <w:bookmarkEnd w:id="317"/>
      <w:bookmarkEnd w:id="318"/>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319" w:name="_Toc257638608"/>
      <w:bookmarkStart w:id="320" w:name="_Toc309309744"/>
      <w:r>
        <w:rPr>
          <w:rStyle w:val="CharSClsNo"/>
        </w:rPr>
        <w:t>2</w:t>
      </w:r>
      <w:r>
        <w:t>.</w:t>
      </w:r>
      <w:r>
        <w:tab/>
        <w:t>Stage 2</w:t>
      </w:r>
      <w:bookmarkEnd w:id="319"/>
      <w:bookmarkEnd w:id="320"/>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321" w:name="_Toc257638609"/>
      <w:bookmarkStart w:id="322" w:name="_Toc309309745"/>
      <w:r>
        <w:rPr>
          <w:rStyle w:val="CharSClsNo"/>
        </w:rPr>
        <w:t>3</w:t>
      </w:r>
      <w:r>
        <w:t>.</w:t>
      </w:r>
      <w:r>
        <w:tab/>
        <w:t>Stage 3</w:t>
      </w:r>
      <w:bookmarkEnd w:id="321"/>
      <w:bookmarkEnd w:id="322"/>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323" w:name="_Toc257638610"/>
      <w:bookmarkStart w:id="324" w:name="_Toc309309746"/>
      <w:r>
        <w:rPr>
          <w:rStyle w:val="CharSClsNo"/>
        </w:rPr>
        <w:t>4</w:t>
      </w:r>
      <w:r>
        <w:t>.</w:t>
      </w:r>
      <w:r>
        <w:tab/>
        <w:t>Stage 4</w:t>
      </w:r>
      <w:bookmarkEnd w:id="323"/>
      <w:bookmarkEnd w:id="324"/>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325" w:name="_Toc257638611"/>
      <w:bookmarkStart w:id="326" w:name="_Toc309309747"/>
      <w:r>
        <w:rPr>
          <w:rStyle w:val="CharSClsNo"/>
        </w:rPr>
        <w:t>5</w:t>
      </w:r>
      <w:r>
        <w:t>.</w:t>
      </w:r>
      <w:r>
        <w:tab/>
        <w:t>Stage 5</w:t>
      </w:r>
      <w:bookmarkEnd w:id="325"/>
      <w:bookmarkEnd w:id="326"/>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327" w:name="_Toc257638612"/>
      <w:bookmarkStart w:id="328" w:name="_Toc309309748"/>
      <w:r>
        <w:rPr>
          <w:rStyle w:val="CharSClsNo"/>
        </w:rPr>
        <w:t>6</w:t>
      </w:r>
      <w:r>
        <w:t>.</w:t>
      </w:r>
      <w:r>
        <w:tab/>
        <w:t>Stage 6</w:t>
      </w:r>
      <w:bookmarkEnd w:id="327"/>
      <w:bookmarkEnd w:id="328"/>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329" w:name="_Toc257638613"/>
      <w:bookmarkStart w:id="330" w:name="_Toc309309749"/>
      <w:r>
        <w:rPr>
          <w:rStyle w:val="CharSClsNo"/>
        </w:rPr>
        <w:t>7</w:t>
      </w:r>
      <w:r>
        <w:t>.</w:t>
      </w:r>
      <w:r>
        <w:tab/>
        <w:t>Stage 7</w:t>
      </w:r>
      <w:bookmarkEnd w:id="329"/>
      <w:bookmarkEnd w:id="330"/>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outlineLvl w:val="0"/>
        <w:sectPr>
          <w:headerReference w:type="even" r:id="rId29"/>
          <w:headerReference w:type="default" r:id="rId30"/>
          <w:endnotePr>
            <w:numFmt w:val="decimal"/>
          </w:endnotePr>
          <w:pgSz w:w="11907" w:h="16840" w:code="9"/>
          <w:pgMar w:top="2381" w:right="2410" w:bottom="3544" w:left="2410" w:header="720" w:footer="3380" w:gutter="0"/>
          <w:cols w:space="720"/>
          <w:docGrid w:linePitch="326"/>
        </w:sectPr>
      </w:pPr>
      <w:bookmarkStart w:id="331" w:name="_Toc253407987"/>
      <w:bookmarkStart w:id="332" w:name="_Toc253409396"/>
      <w:bookmarkStart w:id="333" w:name="_Toc253409463"/>
      <w:bookmarkStart w:id="334" w:name="_Toc253409854"/>
      <w:bookmarkStart w:id="335" w:name="_Toc253409940"/>
      <w:bookmarkStart w:id="336" w:name="_Toc253411530"/>
      <w:bookmarkStart w:id="337" w:name="_Toc253412825"/>
      <w:bookmarkStart w:id="338" w:name="_Toc253412879"/>
      <w:bookmarkStart w:id="339" w:name="_Toc253472345"/>
      <w:bookmarkStart w:id="340" w:name="_Toc253482368"/>
      <w:bookmarkStart w:id="341" w:name="_Toc253729636"/>
      <w:bookmarkStart w:id="342" w:name="_Toc253729689"/>
      <w:bookmarkStart w:id="343" w:name="_Toc253730858"/>
      <w:bookmarkStart w:id="344" w:name="_Toc253730911"/>
      <w:bookmarkStart w:id="345" w:name="_Toc253730964"/>
      <w:bookmarkStart w:id="346" w:name="_Toc254182210"/>
      <w:bookmarkStart w:id="347" w:name="_Toc254182515"/>
    </w:p>
    <w:p>
      <w:pPr>
        <w:pStyle w:val="yScheduleHeading"/>
      </w:pPr>
      <w:bookmarkStart w:id="348" w:name="_Toc257638614"/>
      <w:bookmarkStart w:id="349" w:name="_Toc257639335"/>
      <w:bookmarkStart w:id="350" w:name="_Toc257643341"/>
      <w:bookmarkStart w:id="351" w:name="_Toc273439211"/>
      <w:bookmarkStart w:id="352" w:name="_Toc278898273"/>
      <w:bookmarkStart w:id="353" w:name="_Toc278898378"/>
      <w:bookmarkStart w:id="354" w:name="_Toc287360983"/>
      <w:bookmarkStart w:id="355" w:name="_Toc287361042"/>
      <w:bookmarkStart w:id="356" w:name="_Toc287361101"/>
      <w:bookmarkStart w:id="357" w:name="_Toc309303136"/>
      <w:bookmarkStart w:id="358" w:name="_Toc309303195"/>
      <w:bookmarkStart w:id="359" w:name="_Toc309309750"/>
      <w:r>
        <w:rPr>
          <w:rStyle w:val="CharSchNo"/>
        </w:rPr>
        <w:t>Schedule 3</w:t>
      </w:r>
      <w:r>
        <w:t> — </w:t>
      </w:r>
      <w:r>
        <w:rPr>
          <w:rStyle w:val="CharSchText"/>
        </w:rPr>
        <w:t>Specified days for watering by reticulation</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pPr>
        <w:pStyle w:val="yShoulderClause"/>
      </w:pPr>
      <w:r>
        <w:t>[bl. 3, 6, Sch. 2 cl. 3, 4, 5 and 6]</w:t>
      </w:r>
    </w:p>
    <w:p>
      <w:pPr>
        <w:pStyle w:val="yHeading3"/>
        <w:spacing w:after="120"/>
      </w:pPr>
      <w:bookmarkStart w:id="360" w:name="_Toc257638615"/>
      <w:bookmarkStart w:id="361" w:name="_Toc257639336"/>
      <w:bookmarkStart w:id="362" w:name="_Toc257643342"/>
      <w:bookmarkStart w:id="363" w:name="_Toc273439212"/>
      <w:bookmarkStart w:id="364" w:name="_Toc278898274"/>
      <w:bookmarkStart w:id="365" w:name="_Toc278898379"/>
      <w:bookmarkStart w:id="366" w:name="_Toc287360984"/>
      <w:bookmarkStart w:id="367" w:name="_Toc287361043"/>
      <w:bookmarkStart w:id="368" w:name="_Toc287361102"/>
      <w:bookmarkStart w:id="369" w:name="_Toc309303137"/>
      <w:bookmarkStart w:id="370" w:name="_Toc309303196"/>
      <w:bookmarkStart w:id="371" w:name="_Toc309309751"/>
      <w:r>
        <w:rPr>
          <w:rStyle w:val="CharSDivNo"/>
        </w:rPr>
        <w:t>Division 1</w:t>
      </w:r>
      <w:r>
        <w:t> — </w:t>
      </w:r>
      <w:r>
        <w:rPr>
          <w:rStyle w:val="CharSDivText"/>
        </w:rPr>
        <w:t>Specified days for Schedule 2 clauses 3(1)(a), 4(2)(a), 5(2)(a) and 6(2)(a)</w:t>
      </w:r>
      <w:bookmarkEnd w:id="360"/>
      <w:bookmarkEnd w:id="361"/>
      <w:bookmarkEnd w:id="362"/>
      <w:bookmarkEnd w:id="363"/>
      <w:bookmarkEnd w:id="364"/>
      <w:bookmarkEnd w:id="365"/>
      <w:bookmarkEnd w:id="366"/>
      <w:bookmarkEnd w:id="367"/>
      <w:bookmarkEnd w:id="368"/>
      <w:bookmarkEnd w:id="369"/>
      <w:bookmarkEnd w:id="370"/>
      <w:bookmarkEnd w:id="37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jc w:val="center"/>
              <w:rPr>
                <w:b/>
                <w:bCs/>
              </w:rPr>
            </w:pPr>
            <w:r>
              <w:rPr>
                <w:b/>
                <w:bCs/>
              </w:rPr>
              <w:t>Days for watering by reticulation</w:t>
            </w:r>
          </w:p>
        </w:tc>
      </w:tr>
      <w:tr>
        <w:tc>
          <w:tcPr>
            <w:tcW w:w="3402" w:type="dxa"/>
            <w:tcBorders>
              <w:left w:val="nil"/>
              <w:bottom w:val="nil"/>
            </w:tcBorders>
          </w:tcPr>
          <w:p>
            <w:pPr>
              <w:pStyle w:val="yTableNAm"/>
              <w:jc w:val="center"/>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jc w:val="center"/>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jc w:val="center"/>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jc w:val="center"/>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jc w:val="center"/>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jc w:val="center"/>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jc w:val="center"/>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jc w:val="center"/>
            </w:pPr>
            <w:r>
              <w:t>0</w:t>
            </w:r>
          </w:p>
        </w:tc>
        <w:tc>
          <w:tcPr>
            <w:tcW w:w="3402" w:type="dxa"/>
            <w:tcBorders>
              <w:top w:val="nil"/>
              <w:right w:val="nil"/>
            </w:tcBorders>
          </w:tcPr>
          <w:p>
            <w:pPr>
              <w:pStyle w:val="yTableNAm"/>
            </w:pPr>
            <w:r>
              <w:t>Monday, Wednesday and Friday</w:t>
            </w:r>
          </w:p>
        </w:tc>
      </w:tr>
    </w:tbl>
    <w:p>
      <w:pPr>
        <w:pStyle w:val="yHeading3"/>
        <w:spacing w:after="120"/>
      </w:pPr>
      <w:bookmarkStart w:id="372" w:name="_Toc257638616"/>
      <w:bookmarkStart w:id="373" w:name="_Toc257639337"/>
      <w:bookmarkStart w:id="374" w:name="_Toc257643343"/>
      <w:bookmarkStart w:id="375" w:name="_Toc273439213"/>
      <w:bookmarkStart w:id="376" w:name="_Toc278898275"/>
      <w:bookmarkStart w:id="377" w:name="_Toc278898380"/>
      <w:bookmarkStart w:id="378" w:name="_Toc287360985"/>
      <w:bookmarkStart w:id="379" w:name="_Toc287361044"/>
      <w:bookmarkStart w:id="380" w:name="_Toc287361103"/>
      <w:bookmarkStart w:id="381" w:name="_Toc309303138"/>
      <w:bookmarkStart w:id="382" w:name="_Toc309303197"/>
      <w:bookmarkStart w:id="383" w:name="_Toc309309752"/>
      <w:r>
        <w:rPr>
          <w:rStyle w:val="CharSDivNo"/>
        </w:rPr>
        <w:t>Division 2</w:t>
      </w:r>
      <w:r>
        <w:t> — </w:t>
      </w:r>
      <w:r>
        <w:rPr>
          <w:rStyle w:val="CharSDivText"/>
        </w:rPr>
        <w:t>Specified days for Schedule 2 clause 4(1)(a)</w:t>
      </w:r>
      <w:bookmarkEnd w:id="372"/>
      <w:bookmarkEnd w:id="373"/>
      <w:bookmarkEnd w:id="374"/>
      <w:bookmarkEnd w:id="375"/>
      <w:bookmarkEnd w:id="376"/>
      <w:bookmarkEnd w:id="377"/>
      <w:bookmarkEnd w:id="378"/>
      <w:bookmarkEnd w:id="379"/>
      <w:bookmarkEnd w:id="380"/>
      <w:bookmarkEnd w:id="381"/>
      <w:bookmarkEnd w:id="382"/>
      <w:bookmarkEnd w:id="383"/>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jc w:val="center"/>
              <w:rPr>
                <w:b/>
                <w:bCs/>
              </w:rPr>
            </w:pPr>
            <w:r>
              <w:rPr>
                <w:b/>
                <w:bCs/>
              </w:rPr>
              <w:t>Days for watering by reticulation</w:t>
            </w:r>
          </w:p>
        </w:tc>
      </w:tr>
      <w:tr>
        <w:tc>
          <w:tcPr>
            <w:tcW w:w="3402" w:type="dxa"/>
            <w:tcBorders>
              <w:top w:val="single" w:sz="4" w:space="0" w:color="auto"/>
            </w:tcBorders>
          </w:tcPr>
          <w:p>
            <w:pPr>
              <w:pStyle w:val="yTableNAm"/>
              <w:jc w:val="center"/>
            </w:pPr>
            <w:r>
              <w:t>1</w:t>
            </w:r>
          </w:p>
        </w:tc>
        <w:tc>
          <w:tcPr>
            <w:tcW w:w="3402" w:type="dxa"/>
            <w:tcBorders>
              <w:top w:val="single" w:sz="4" w:space="0" w:color="auto"/>
            </w:tcBorders>
          </w:tcPr>
          <w:p>
            <w:pPr>
              <w:pStyle w:val="yTableNAm"/>
            </w:pPr>
            <w:r>
              <w:t>Wednesday and Saturday</w:t>
            </w:r>
          </w:p>
        </w:tc>
      </w:tr>
      <w:tr>
        <w:tc>
          <w:tcPr>
            <w:tcW w:w="3402" w:type="dxa"/>
          </w:tcPr>
          <w:p>
            <w:pPr>
              <w:pStyle w:val="yTableNAm"/>
              <w:jc w:val="center"/>
            </w:pPr>
            <w:r>
              <w:t>2</w:t>
            </w:r>
          </w:p>
        </w:tc>
        <w:tc>
          <w:tcPr>
            <w:tcW w:w="3402" w:type="dxa"/>
          </w:tcPr>
          <w:p>
            <w:pPr>
              <w:pStyle w:val="yTableNAm"/>
            </w:pPr>
            <w:r>
              <w:t>Sunday and Thursday</w:t>
            </w:r>
          </w:p>
        </w:tc>
      </w:tr>
      <w:tr>
        <w:tc>
          <w:tcPr>
            <w:tcW w:w="3402" w:type="dxa"/>
          </w:tcPr>
          <w:p>
            <w:pPr>
              <w:pStyle w:val="yTableNAm"/>
              <w:jc w:val="center"/>
            </w:pPr>
            <w:r>
              <w:t>3</w:t>
            </w:r>
          </w:p>
        </w:tc>
        <w:tc>
          <w:tcPr>
            <w:tcW w:w="3402" w:type="dxa"/>
          </w:tcPr>
          <w:p>
            <w:pPr>
              <w:pStyle w:val="yTableNAm"/>
            </w:pPr>
            <w:r>
              <w:t>Monday and Friday</w:t>
            </w:r>
          </w:p>
        </w:tc>
      </w:tr>
      <w:tr>
        <w:tc>
          <w:tcPr>
            <w:tcW w:w="3402" w:type="dxa"/>
          </w:tcPr>
          <w:p>
            <w:pPr>
              <w:pStyle w:val="yTableNAm"/>
              <w:jc w:val="center"/>
            </w:pPr>
            <w:r>
              <w:t>4</w:t>
            </w:r>
          </w:p>
        </w:tc>
        <w:tc>
          <w:tcPr>
            <w:tcW w:w="3402" w:type="dxa"/>
          </w:tcPr>
          <w:p>
            <w:pPr>
              <w:pStyle w:val="yTableNAm"/>
            </w:pPr>
            <w:r>
              <w:t>Tuesday and Saturday</w:t>
            </w:r>
          </w:p>
        </w:tc>
      </w:tr>
      <w:tr>
        <w:tc>
          <w:tcPr>
            <w:tcW w:w="3402" w:type="dxa"/>
          </w:tcPr>
          <w:p>
            <w:pPr>
              <w:pStyle w:val="yTableNAm"/>
              <w:jc w:val="center"/>
            </w:pPr>
            <w:r>
              <w:t>5</w:t>
            </w:r>
          </w:p>
        </w:tc>
        <w:tc>
          <w:tcPr>
            <w:tcW w:w="3402" w:type="dxa"/>
          </w:tcPr>
          <w:p>
            <w:pPr>
              <w:pStyle w:val="yTableNAm"/>
            </w:pPr>
            <w:r>
              <w:t>Sunday and Wednesday</w:t>
            </w:r>
          </w:p>
        </w:tc>
      </w:tr>
      <w:tr>
        <w:tc>
          <w:tcPr>
            <w:tcW w:w="3402" w:type="dxa"/>
          </w:tcPr>
          <w:p>
            <w:pPr>
              <w:pStyle w:val="yTableNAm"/>
              <w:jc w:val="center"/>
            </w:pPr>
            <w:r>
              <w:t>6</w:t>
            </w:r>
          </w:p>
        </w:tc>
        <w:tc>
          <w:tcPr>
            <w:tcW w:w="3402" w:type="dxa"/>
          </w:tcPr>
          <w:p>
            <w:pPr>
              <w:pStyle w:val="yTableNAm"/>
            </w:pPr>
            <w:r>
              <w:t>Monday and Thursday</w:t>
            </w:r>
          </w:p>
        </w:tc>
      </w:tr>
      <w:tr>
        <w:tc>
          <w:tcPr>
            <w:tcW w:w="3402" w:type="dxa"/>
          </w:tcPr>
          <w:p>
            <w:pPr>
              <w:pStyle w:val="yTableNAm"/>
              <w:jc w:val="center"/>
            </w:pPr>
            <w:r>
              <w:t>7</w:t>
            </w:r>
          </w:p>
        </w:tc>
        <w:tc>
          <w:tcPr>
            <w:tcW w:w="3402" w:type="dxa"/>
          </w:tcPr>
          <w:p>
            <w:pPr>
              <w:pStyle w:val="yTableNAm"/>
            </w:pPr>
            <w:r>
              <w:t>Tuesday and Friday</w:t>
            </w:r>
          </w:p>
        </w:tc>
      </w:tr>
      <w:tr>
        <w:tc>
          <w:tcPr>
            <w:tcW w:w="3402" w:type="dxa"/>
          </w:tcPr>
          <w:p>
            <w:pPr>
              <w:pStyle w:val="yTableNAm"/>
              <w:jc w:val="center"/>
            </w:pPr>
            <w:r>
              <w:t>8</w:t>
            </w:r>
          </w:p>
        </w:tc>
        <w:tc>
          <w:tcPr>
            <w:tcW w:w="3402" w:type="dxa"/>
          </w:tcPr>
          <w:p>
            <w:pPr>
              <w:pStyle w:val="yTableNAm"/>
            </w:pPr>
            <w:r>
              <w:t>Wednesday and Saturday</w:t>
            </w:r>
          </w:p>
        </w:tc>
      </w:tr>
      <w:tr>
        <w:tc>
          <w:tcPr>
            <w:tcW w:w="3402" w:type="dxa"/>
          </w:tcPr>
          <w:p>
            <w:pPr>
              <w:pStyle w:val="yTableNAm"/>
              <w:jc w:val="center"/>
            </w:pPr>
            <w:r>
              <w:t>9</w:t>
            </w:r>
          </w:p>
        </w:tc>
        <w:tc>
          <w:tcPr>
            <w:tcW w:w="3402" w:type="dxa"/>
          </w:tcPr>
          <w:p>
            <w:pPr>
              <w:pStyle w:val="yTableNAm"/>
            </w:pPr>
            <w:r>
              <w:t>Sunday and Thursday</w:t>
            </w:r>
          </w:p>
        </w:tc>
      </w:tr>
      <w:tr>
        <w:tc>
          <w:tcPr>
            <w:tcW w:w="3402" w:type="dxa"/>
          </w:tcPr>
          <w:p>
            <w:pPr>
              <w:pStyle w:val="yTableNAm"/>
              <w:jc w:val="center"/>
            </w:pPr>
            <w:r>
              <w:t>0</w:t>
            </w:r>
          </w:p>
        </w:tc>
        <w:tc>
          <w:tcPr>
            <w:tcW w:w="3402" w:type="dxa"/>
          </w:tcPr>
          <w:p>
            <w:pPr>
              <w:pStyle w:val="yTableNAm"/>
            </w:pPr>
            <w:r>
              <w:t>Monday and Friday</w:t>
            </w:r>
          </w:p>
        </w:tc>
      </w:tr>
    </w:tbl>
    <w:p>
      <w:pPr>
        <w:pStyle w:val="yHeading3"/>
        <w:spacing w:after="120"/>
      </w:pPr>
      <w:bookmarkStart w:id="384" w:name="_Toc257638617"/>
      <w:bookmarkStart w:id="385" w:name="_Toc257639338"/>
      <w:bookmarkStart w:id="386" w:name="_Toc257643344"/>
      <w:bookmarkStart w:id="387" w:name="_Toc273439214"/>
      <w:bookmarkStart w:id="388" w:name="_Toc278898276"/>
      <w:bookmarkStart w:id="389" w:name="_Toc278898381"/>
      <w:bookmarkStart w:id="390" w:name="_Toc287360986"/>
      <w:bookmarkStart w:id="391" w:name="_Toc287361045"/>
      <w:bookmarkStart w:id="392" w:name="_Toc287361104"/>
      <w:bookmarkStart w:id="393" w:name="_Toc309303139"/>
      <w:bookmarkStart w:id="394" w:name="_Toc309303198"/>
      <w:bookmarkStart w:id="395" w:name="_Toc309309753"/>
      <w:r>
        <w:rPr>
          <w:rStyle w:val="CharSDivNo"/>
        </w:rPr>
        <w:t>Division 3</w:t>
      </w:r>
      <w:r>
        <w:t> — </w:t>
      </w:r>
      <w:r>
        <w:rPr>
          <w:rStyle w:val="CharSDivText"/>
        </w:rPr>
        <w:t>Specified days for Schedule 2 clause 5(1)(a)</w:t>
      </w:r>
      <w:bookmarkEnd w:id="384"/>
      <w:bookmarkEnd w:id="385"/>
      <w:bookmarkEnd w:id="386"/>
      <w:bookmarkEnd w:id="387"/>
      <w:bookmarkEnd w:id="388"/>
      <w:bookmarkEnd w:id="389"/>
      <w:bookmarkEnd w:id="390"/>
      <w:bookmarkEnd w:id="391"/>
      <w:bookmarkEnd w:id="392"/>
      <w:bookmarkEnd w:id="393"/>
      <w:bookmarkEnd w:id="394"/>
      <w:bookmarkEnd w:id="395"/>
    </w:p>
    <w:p/>
    <w:tbl>
      <w:tblPr>
        <w:tblW w:w="0" w:type="auto"/>
        <w:tblInd w:w="234"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18"/>
        <w:gridCol w:w="3371"/>
      </w:tblGrid>
      <w:tr>
        <w:trPr>
          <w:tblHeader/>
        </w:trPr>
        <w:tc>
          <w:tcPr>
            <w:tcW w:w="3418" w:type="dxa"/>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371" w:type="dxa"/>
            <w:tcBorders>
              <w:top w:val="single" w:sz="4" w:space="0" w:color="auto"/>
              <w:bottom w:val="single" w:sz="4" w:space="0" w:color="auto"/>
            </w:tcBorders>
          </w:tcPr>
          <w:p>
            <w:pPr>
              <w:pStyle w:val="yTableNAm"/>
              <w:rPr>
                <w:b/>
                <w:bCs/>
              </w:rPr>
            </w:pPr>
            <w:r>
              <w:rPr>
                <w:b/>
                <w:bCs/>
              </w:rPr>
              <w:t>Day for watering by reticulation</w:t>
            </w:r>
          </w:p>
        </w:tc>
      </w:tr>
      <w:tr>
        <w:tc>
          <w:tcPr>
            <w:tcW w:w="3418" w:type="dxa"/>
            <w:tcBorders>
              <w:top w:val="single" w:sz="4" w:space="0" w:color="auto"/>
            </w:tcBorders>
          </w:tcPr>
          <w:p>
            <w:pPr>
              <w:pStyle w:val="yTableNAm"/>
              <w:jc w:val="center"/>
            </w:pPr>
            <w:r>
              <w:t>1</w:t>
            </w:r>
          </w:p>
        </w:tc>
        <w:tc>
          <w:tcPr>
            <w:tcW w:w="3371" w:type="dxa"/>
            <w:tcBorders>
              <w:top w:val="single" w:sz="4" w:space="0" w:color="auto"/>
            </w:tcBorders>
          </w:tcPr>
          <w:p>
            <w:pPr>
              <w:pStyle w:val="yTableNAm"/>
            </w:pPr>
            <w:r>
              <w:t>Wednesday</w:t>
            </w:r>
          </w:p>
        </w:tc>
      </w:tr>
      <w:tr>
        <w:tc>
          <w:tcPr>
            <w:tcW w:w="3418" w:type="dxa"/>
          </w:tcPr>
          <w:p>
            <w:pPr>
              <w:pStyle w:val="yTableNAm"/>
              <w:jc w:val="center"/>
            </w:pPr>
            <w:r>
              <w:t>2</w:t>
            </w:r>
          </w:p>
        </w:tc>
        <w:tc>
          <w:tcPr>
            <w:tcW w:w="3371" w:type="dxa"/>
          </w:tcPr>
          <w:p>
            <w:pPr>
              <w:pStyle w:val="yTableNAm"/>
            </w:pPr>
            <w:r>
              <w:t>Thursday</w:t>
            </w:r>
          </w:p>
        </w:tc>
      </w:tr>
      <w:tr>
        <w:tc>
          <w:tcPr>
            <w:tcW w:w="3418" w:type="dxa"/>
          </w:tcPr>
          <w:p>
            <w:pPr>
              <w:pStyle w:val="yTableNAm"/>
              <w:jc w:val="center"/>
            </w:pPr>
            <w:r>
              <w:t>3</w:t>
            </w:r>
          </w:p>
        </w:tc>
        <w:tc>
          <w:tcPr>
            <w:tcW w:w="3371" w:type="dxa"/>
          </w:tcPr>
          <w:p>
            <w:pPr>
              <w:pStyle w:val="yTableNAm"/>
            </w:pPr>
            <w:r>
              <w:t>Friday</w:t>
            </w:r>
          </w:p>
        </w:tc>
      </w:tr>
      <w:tr>
        <w:tc>
          <w:tcPr>
            <w:tcW w:w="3418" w:type="dxa"/>
          </w:tcPr>
          <w:p>
            <w:pPr>
              <w:pStyle w:val="yTableNAm"/>
              <w:jc w:val="center"/>
            </w:pPr>
            <w:r>
              <w:t>4</w:t>
            </w:r>
          </w:p>
        </w:tc>
        <w:tc>
          <w:tcPr>
            <w:tcW w:w="3371" w:type="dxa"/>
          </w:tcPr>
          <w:p>
            <w:pPr>
              <w:pStyle w:val="yTableNAm"/>
            </w:pPr>
            <w:r>
              <w:t>Saturday</w:t>
            </w:r>
          </w:p>
        </w:tc>
      </w:tr>
      <w:tr>
        <w:tc>
          <w:tcPr>
            <w:tcW w:w="3418" w:type="dxa"/>
          </w:tcPr>
          <w:p>
            <w:pPr>
              <w:pStyle w:val="yTableNAm"/>
              <w:jc w:val="center"/>
            </w:pPr>
            <w:r>
              <w:t>5</w:t>
            </w:r>
          </w:p>
        </w:tc>
        <w:tc>
          <w:tcPr>
            <w:tcW w:w="3371" w:type="dxa"/>
          </w:tcPr>
          <w:p>
            <w:pPr>
              <w:pStyle w:val="yTableNAm"/>
            </w:pPr>
            <w:r>
              <w:t>Sunday</w:t>
            </w:r>
          </w:p>
        </w:tc>
      </w:tr>
      <w:tr>
        <w:tc>
          <w:tcPr>
            <w:tcW w:w="3418" w:type="dxa"/>
          </w:tcPr>
          <w:p>
            <w:pPr>
              <w:pStyle w:val="yTableNAm"/>
              <w:jc w:val="center"/>
            </w:pPr>
            <w:r>
              <w:t>6</w:t>
            </w:r>
          </w:p>
        </w:tc>
        <w:tc>
          <w:tcPr>
            <w:tcW w:w="3371" w:type="dxa"/>
          </w:tcPr>
          <w:p>
            <w:pPr>
              <w:pStyle w:val="yTableNAm"/>
            </w:pPr>
            <w:r>
              <w:t>Monday</w:t>
            </w:r>
          </w:p>
        </w:tc>
      </w:tr>
      <w:tr>
        <w:tc>
          <w:tcPr>
            <w:tcW w:w="3418" w:type="dxa"/>
          </w:tcPr>
          <w:p>
            <w:pPr>
              <w:pStyle w:val="yTableNAm"/>
              <w:jc w:val="center"/>
            </w:pPr>
            <w:r>
              <w:t>7</w:t>
            </w:r>
          </w:p>
        </w:tc>
        <w:tc>
          <w:tcPr>
            <w:tcW w:w="3371" w:type="dxa"/>
          </w:tcPr>
          <w:p>
            <w:pPr>
              <w:pStyle w:val="yTableNAm"/>
            </w:pPr>
            <w:r>
              <w:t>Tuesday</w:t>
            </w:r>
          </w:p>
        </w:tc>
      </w:tr>
      <w:tr>
        <w:tc>
          <w:tcPr>
            <w:tcW w:w="3418" w:type="dxa"/>
          </w:tcPr>
          <w:p>
            <w:pPr>
              <w:pStyle w:val="yTableNAm"/>
              <w:jc w:val="center"/>
            </w:pPr>
            <w:r>
              <w:t>8</w:t>
            </w:r>
          </w:p>
        </w:tc>
        <w:tc>
          <w:tcPr>
            <w:tcW w:w="3371" w:type="dxa"/>
          </w:tcPr>
          <w:p>
            <w:pPr>
              <w:pStyle w:val="yTableNAm"/>
            </w:pPr>
            <w:r>
              <w:t>Wednesday</w:t>
            </w:r>
          </w:p>
        </w:tc>
      </w:tr>
      <w:tr>
        <w:tc>
          <w:tcPr>
            <w:tcW w:w="3418" w:type="dxa"/>
          </w:tcPr>
          <w:p>
            <w:pPr>
              <w:pStyle w:val="yTableNAm"/>
              <w:jc w:val="center"/>
            </w:pPr>
            <w:r>
              <w:t>9</w:t>
            </w:r>
          </w:p>
        </w:tc>
        <w:tc>
          <w:tcPr>
            <w:tcW w:w="3371" w:type="dxa"/>
          </w:tcPr>
          <w:p>
            <w:pPr>
              <w:pStyle w:val="yTableNAm"/>
            </w:pPr>
            <w:r>
              <w:t>Thursday</w:t>
            </w:r>
          </w:p>
        </w:tc>
      </w:tr>
      <w:tr>
        <w:tc>
          <w:tcPr>
            <w:tcW w:w="3418" w:type="dxa"/>
          </w:tcPr>
          <w:p>
            <w:pPr>
              <w:pStyle w:val="yTableNAm"/>
              <w:jc w:val="center"/>
            </w:pPr>
            <w:r>
              <w:t>0</w:t>
            </w:r>
          </w:p>
        </w:tc>
        <w:tc>
          <w:tcPr>
            <w:tcW w:w="3371" w:type="dxa"/>
          </w:tcPr>
          <w:p>
            <w:pPr>
              <w:pStyle w:val="yTableNAm"/>
            </w:pPr>
            <w:r>
              <w:t>Friday</w:t>
            </w:r>
          </w:p>
        </w:tc>
      </w:tr>
    </w:tbl>
    <w:p>
      <w:pPr>
        <w:pStyle w:val="yFootnotesection"/>
      </w:pPr>
      <w:r>
        <w:tab/>
        <w:t>[Division 3 amended in Gazette 28 Sep 2010 p. 5065.]</w:t>
      </w:r>
    </w:p>
    <w:p>
      <w:pPr>
        <w:pStyle w:val="BlankOpen"/>
      </w:pPr>
    </w:p>
    <w:p>
      <w:pPr>
        <w:pStyle w:val="yScheduleHeading"/>
      </w:pPr>
      <w:bookmarkStart w:id="396" w:name="_Toc287360987"/>
      <w:bookmarkStart w:id="397" w:name="_Toc287361046"/>
      <w:bookmarkStart w:id="398" w:name="_Toc287361105"/>
      <w:bookmarkStart w:id="399" w:name="_Toc309303140"/>
      <w:bookmarkStart w:id="400" w:name="_Toc309303199"/>
      <w:bookmarkStart w:id="401" w:name="_Toc309309754"/>
      <w:bookmarkStart w:id="402" w:name="_Toc278898277"/>
      <w:bookmarkStart w:id="403" w:name="_Toc278898382"/>
      <w:r>
        <w:rPr>
          <w:rStyle w:val="CharSchNo"/>
        </w:rPr>
        <w:t>Schedule 4</w:t>
      </w:r>
      <w:r>
        <w:rPr>
          <w:rStyle w:val="CharSDivNo"/>
        </w:rPr>
        <w:t> </w:t>
      </w:r>
      <w:r>
        <w:t>—</w:t>
      </w:r>
      <w:r>
        <w:rPr>
          <w:rStyle w:val="CharSDivText"/>
        </w:rPr>
        <w:t> </w:t>
      </w:r>
      <w:r>
        <w:rPr>
          <w:rStyle w:val="CharSchText"/>
        </w:rPr>
        <w:t>Maps of certain scheme water areas</w:t>
      </w:r>
      <w:bookmarkEnd w:id="396"/>
      <w:bookmarkEnd w:id="397"/>
      <w:bookmarkEnd w:id="398"/>
      <w:bookmarkEnd w:id="399"/>
      <w:bookmarkEnd w:id="400"/>
      <w:bookmarkEnd w:id="401"/>
      <w:r>
        <w:rPr>
          <w:rStyle w:val="CharSchText"/>
        </w:rPr>
        <w:t xml:space="preserve"> </w:t>
      </w:r>
      <w:bookmarkEnd w:id="402"/>
      <w:bookmarkEnd w:id="403"/>
    </w:p>
    <w:p>
      <w:pPr>
        <w:pStyle w:val="yShoulderClause"/>
      </w:pPr>
      <w:r>
        <w:t>[bl. 10AA(6) and 10A(8)]</w:t>
      </w:r>
    </w:p>
    <w:p>
      <w:pPr>
        <w:pStyle w:val="yFootnoteheading"/>
      </w:pPr>
      <w:r>
        <w:tab/>
        <w:t>[Heading inserted in Gazette 30 Nov 2010 p. 6019; amended in Gazette 8 Mar 2011 p. 803.]</w:t>
      </w:r>
    </w:p>
    <w:p>
      <w:pPr>
        <w:pStyle w:val="yMiscellaneousHeading"/>
        <w:rPr>
          <w:b/>
          <w:bCs/>
        </w:rPr>
      </w:pPr>
      <w:r>
        <w:rPr>
          <w:b/>
          <w:bCs/>
        </w:rPr>
        <w:t>Map 1 — the Balingup scheme water area</w:t>
      </w:r>
    </w:p>
    <w:p>
      <w:pPr>
        <w:pStyle w:val="Subsection"/>
      </w:pPr>
      <w:r>
        <w:rPr>
          <w:noProof/>
          <w:lang w:eastAsia="en-AU"/>
        </w:rPr>
        <w:drawing>
          <wp:inline distT="0" distB="0" distL="0" distR="0">
            <wp:extent cx="3924300" cy="2857500"/>
            <wp:effectExtent l="0" t="0" r="0" b="0"/>
            <wp:docPr id="3" name="Picture 3"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24300" cy="2857500"/>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MiscellaneousHeading"/>
        <w:rPr>
          <w:b/>
          <w:bCs/>
        </w:rPr>
      </w:pPr>
      <w:r>
        <w:rPr>
          <w:b/>
          <w:bCs/>
        </w:rPr>
        <w:t>Map 2 — the Greenbushes scheme water area</w:t>
      </w:r>
    </w:p>
    <w:p>
      <w:pPr>
        <w:pStyle w:val="Subsection"/>
        <w:jc w:val="center"/>
      </w:pPr>
      <w:r>
        <w:rPr>
          <w:noProof/>
          <w:lang w:eastAsia="en-AU"/>
        </w:rPr>
        <w:drawing>
          <wp:inline distT="0" distB="0" distL="0" distR="0">
            <wp:extent cx="3933825" cy="5524500"/>
            <wp:effectExtent l="0" t="0" r="9525" b="0"/>
            <wp:docPr id="4" name="Picture 4"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33825" cy="5524500"/>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zyMiscellaneousHeading"/>
        <w:rPr>
          <w:b/>
        </w:rPr>
      </w:pPr>
      <w:r>
        <w:rPr>
          <w:b/>
        </w:rPr>
        <w:t>Map 3A — the Grass Patch scheme water area</w:t>
      </w:r>
    </w:p>
    <w:p>
      <w:pPr>
        <w:pStyle w:val="zyMiscellaneousHeading"/>
        <w:rPr>
          <w:b/>
        </w:rPr>
      </w:pPr>
      <w:r>
        <w:rPr>
          <w:b/>
          <w:noProof/>
          <w:lang w:eastAsia="en-AU"/>
        </w:rPr>
        <w:drawing>
          <wp:inline distT="0" distB="0" distL="0" distR="0">
            <wp:extent cx="4105275" cy="2914650"/>
            <wp:effectExtent l="0" t="0" r="9525" b="0"/>
            <wp:docPr id="5" name="Picture 5" descr="Grass Patc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ss Patch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05275" cy="2914650"/>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MiscellaneousHeading"/>
        <w:rPr>
          <w:b/>
          <w:bCs/>
        </w:rPr>
      </w:pPr>
      <w:r>
        <w:rPr>
          <w:b/>
          <w:bCs/>
        </w:rPr>
        <w:t>Map 3 — the Kirup scheme water area</w:t>
      </w:r>
    </w:p>
    <w:p>
      <w:pPr>
        <w:pStyle w:val="Subsection"/>
        <w:jc w:val="center"/>
      </w:pPr>
      <w:r>
        <w:rPr>
          <w:noProof/>
          <w:lang w:eastAsia="en-AU"/>
        </w:rPr>
        <w:drawing>
          <wp:inline distT="0" distB="0" distL="0" distR="0">
            <wp:extent cx="4171950" cy="5838825"/>
            <wp:effectExtent l="0" t="0" r="0" b="9525"/>
            <wp:docPr id="6" name="Picture 6"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71950" cy="58388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MiscellaneousHeading"/>
        <w:rPr>
          <w:b/>
          <w:bCs/>
        </w:rPr>
      </w:pPr>
      <w:r>
        <w:rPr>
          <w:b/>
          <w:bCs/>
        </w:rPr>
        <w:t>Map 4 — the Mullalyup scheme water area</w:t>
      </w:r>
    </w:p>
    <w:p>
      <w:pPr>
        <w:pStyle w:val="Subsection"/>
        <w:jc w:val="center"/>
      </w:pPr>
      <w:r>
        <w:rPr>
          <w:noProof/>
          <w:lang w:eastAsia="en-AU"/>
        </w:rPr>
        <w:drawing>
          <wp:inline distT="0" distB="0" distL="0" distR="0">
            <wp:extent cx="4295775" cy="3143250"/>
            <wp:effectExtent l="0" t="0" r="9525" b="0"/>
            <wp:docPr id="7" name="Picture 7"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p"/>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95775" cy="3143250"/>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zyMiscellaneousHeading"/>
        <w:rPr>
          <w:b/>
          <w:bCs/>
        </w:rPr>
      </w:pPr>
      <w:r>
        <w:rPr>
          <w:b/>
          <w:bCs/>
        </w:rPr>
        <w:t>Map 5 — the Salmon Gums scheme water area</w:t>
      </w:r>
    </w:p>
    <w:p>
      <w:pPr>
        <w:pStyle w:val="zyMiscellaneousHeading"/>
        <w:rPr>
          <w:b/>
          <w:bCs/>
        </w:rPr>
      </w:pPr>
      <w:r>
        <w:rPr>
          <w:b/>
          <w:bCs/>
          <w:noProof/>
          <w:lang w:eastAsia="en-AU"/>
        </w:rPr>
        <w:drawing>
          <wp:inline distT="0" distB="0" distL="0" distR="0">
            <wp:extent cx="4219575" cy="2981325"/>
            <wp:effectExtent l="0" t="0" r="9525" b="9525"/>
            <wp:docPr id="8" name="Picture 8" descr="Salmon Gum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almon Gums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19575" cy="29813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Footnotesection"/>
      </w:pPr>
      <w:r>
        <w:tab/>
        <w:t>[Schedule 4 inserted in Gazette 30 Nov 2010 p. 6019</w:t>
      </w:r>
      <w:r>
        <w:noBreakHyphen/>
        <w:t>22; amended in Gazette 8 Mar 2011 p. 803</w:t>
      </w:r>
      <w:r>
        <w:noBreakHyphen/>
        <w:t>4.]</w:t>
      </w:r>
    </w:p>
    <w:p>
      <w:pPr>
        <w:sectPr>
          <w:headerReference w:type="even" r:id="rId37"/>
          <w:headerReference w:type="default" r:id="rId38"/>
          <w:endnotePr>
            <w:numFmt w:val="decimal"/>
          </w:endnotePr>
          <w:pgSz w:w="11907" w:h="16840" w:code="9"/>
          <w:pgMar w:top="2381" w:right="2410" w:bottom="3544" w:left="2410" w:header="720" w:footer="3380" w:gutter="0"/>
          <w:cols w:space="720"/>
          <w:docGrid w:linePitch="326"/>
        </w:sectPr>
      </w:pPr>
    </w:p>
    <w:p>
      <w:pPr>
        <w:pStyle w:val="nHeading2"/>
      </w:pPr>
      <w:bookmarkStart w:id="404" w:name="_Toc257639339"/>
      <w:bookmarkStart w:id="405" w:name="_Toc257643345"/>
      <w:bookmarkStart w:id="406" w:name="_Toc273439215"/>
      <w:bookmarkStart w:id="407" w:name="_Toc278898278"/>
      <w:bookmarkStart w:id="408" w:name="_Toc278898383"/>
      <w:bookmarkStart w:id="409" w:name="_Toc287360988"/>
      <w:bookmarkStart w:id="410" w:name="_Toc287361047"/>
      <w:bookmarkStart w:id="411" w:name="_Toc287361106"/>
      <w:bookmarkStart w:id="412" w:name="_Toc309303141"/>
      <w:bookmarkStart w:id="413" w:name="_Toc309303200"/>
      <w:bookmarkStart w:id="414" w:name="_Toc309309755"/>
      <w:r>
        <w:t>Notes</w:t>
      </w:r>
      <w:bookmarkEnd w:id="287"/>
      <w:bookmarkEnd w:id="288"/>
      <w:bookmarkEnd w:id="289"/>
      <w:bookmarkEnd w:id="404"/>
      <w:bookmarkEnd w:id="405"/>
      <w:bookmarkEnd w:id="406"/>
      <w:bookmarkEnd w:id="407"/>
      <w:bookmarkEnd w:id="408"/>
      <w:bookmarkEnd w:id="409"/>
      <w:bookmarkEnd w:id="410"/>
      <w:bookmarkEnd w:id="411"/>
      <w:bookmarkEnd w:id="412"/>
      <w:bookmarkEnd w:id="413"/>
      <w:bookmarkEnd w:id="414"/>
    </w:p>
    <w:p>
      <w:pPr>
        <w:pStyle w:val="nSubsection"/>
        <w:rPr>
          <w:snapToGrid w:val="0"/>
        </w:rPr>
      </w:pPr>
      <w:r>
        <w:rPr>
          <w:snapToGrid w:val="0"/>
          <w:vertAlign w:val="superscript"/>
        </w:rPr>
        <w:t>1</w:t>
      </w:r>
      <w:r>
        <w:rPr>
          <w:snapToGrid w:val="0"/>
        </w:rPr>
        <w:tab/>
        <w:t xml:space="preserve">This is a compilation of the </w:t>
      </w:r>
      <w:r>
        <w:rPr>
          <w:i/>
        </w:rPr>
        <w:t>Water Agencies (Water Use) By-laws 2010</w:t>
      </w:r>
      <w:r>
        <w:rPr>
          <w:snapToGrid w:val="0"/>
        </w:rPr>
        <w:t xml:space="preserve"> and includes the amendments made by the other written laws referred to in the following table.</w:t>
      </w:r>
    </w:p>
    <w:p>
      <w:pPr>
        <w:pStyle w:val="nHeading3"/>
      </w:pPr>
      <w:bookmarkStart w:id="415" w:name="_Toc70311430"/>
      <w:bookmarkStart w:id="416" w:name="_Toc113695923"/>
      <w:bookmarkStart w:id="417" w:name="_Toc309309756"/>
      <w:r>
        <w:t>Compilation table</w:t>
      </w:r>
      <w:bookmarkEnd w:id="415"/>
      <w:bookmarkEnd w:id="416"/>
      <w:bookmarkEnd w:id="41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Water Agencies (Water Use) By</w:t>
            </w:r>
            <w:r>
              <w:rPr>
                <w:i/>
                <w:sz w:val="19"/>
              </w:rPr>
              <w:noBreakHyphen/>
              <w:t xml:space="preserve">laws 2010 </w:t>
            </w:r>
          </w:p>
        </w:tc>
        <w:tc>
          <w:tcPr>
            <w:tcW w:w="1276" w:type="dxa"/>
            <w:tcBorders>
              <w:bottom w:val="nil"/>
            </w:tcBorders>
          </w:tcPr>
          <w:p>
            <w:pPr>
              <w:pStyle w:val="nTable"/>
              <w:spacing w:after="40"/>
              <w:rPr>
                <w:sz w:val="19"/>
              </w:rPr>
            </w:pPr>
            <w:r>
              <w:rPr>
                <w:sz w:val="19"/>
              </w:rPr>
              <w:t>16 Mar 2010 p. 999-1031</w:t>
            </w:r>
          </w:p>
        </w:tc>
        <w:tc>
          <w:tcPr>
            <w:tcW w:w="2693" w:type="dxa"/>
            <w:tcBorders>
              <w:bottom w:val="nil"/>
            </w:tcBorders>
          </w:tcPr>
          <w:p>
            <w:pPr>
              <w:pStyle w:val="nTable"/>
              <w:spacing w:after="40"/>
              <w:rPr>
                <w:sz w:val="19"/>
              </w:rPr>
            </w:pPr>
            <w:r>
              <w:rPr>
                <w:sz w:val="19"/>
              </w:rPr>
              <w:t>bl. 1 and 2: 16 Mar 2010 (see bl. 2(a));</w:t>
            </w:r>
            <w:r>
              <w:rPr>
                <w:sz w:val="19"/>
              </w:rPr>
              <w:br/>
              <w:t>By-laws other than bl. 1 and 2: 1 Apr 2010 (see bl. 2(b))</w:t>
            </w:r>
          </w:p>
        </w:tc>
      </w:tr>
      <w:tr>
        <w:tc>
          <w:tcPr>
            <w:tcW w:w="3118" w:type="dxa"/>
            <w:tcBorders>
              <w:top w:val="nil"/>
              <w:bottom w:val="nil"/>
            </w:tcBorders>
          </w:tcPr>
          <w:p>
            <w:pPr>
              <w:pStyle w:val="nTable"/>
              <w:spacing w:after="40"/>
              <w:rPr>
                <w:i/>
                <w:sz w:val="19"/>
              </w:rPr>
            </w:pPr>
            <w:r>
              <w:rPr>
                <w:i/>
                <w:sz w:val="19"/>
              </w:rPr>
              <w:t>Water Agencies (Water Use) Amendment By</w:t>
            </w:r>
            <w:r>
              <w:rPr>
                <w:i/>
                <w:sz w:val="19"/>
              </w:rPr>
              <w:noBreakHyphen/>
              <w:t>laws 2010</w:t>
            </w:r>
          </w:p>
        </w:tc>
        <w:tc>
          <w:tcPr>
            <w:tcW w:w="1276" w:type="dxa"/>
            <w:tcBorders>
              <w:top w:val="nil"/>
              <w:bottom w:val="nil"/>
            </w:tcBorders>
          </w:tcPr>
          <w:p>
            <w:pPr>
              <w:pStyle w:val="nTable"/>
              <w:spacing w:after="40"/>
              <w:rPr>
                <w:sz w:val="19"/>
              </w:rPr>
            </w:pPr>
            <w:r>
              <w:rPr>
                <w:sz w:val="19"/>
              </w:rPr>
              <w:t>28 Sep 2010 p. 5063-5</w:t>
            </w:r>
          </w:p>
        </w:tc>
        <w:tc>
          <w:tcPr>
            <w:tcW w:w="2693" w:type="dxa"/>
            <w:tcBorders>
              <w:top w:val="nil"/>
              <w:bottom w:val="nil"/>
            </w:tcBorders>
          </w:tcPr>
          <w:p>
            <w:pPr>
              <w:pStyle w:val="nTable"/>
              <w:spacing w:after="40"/>
              <w:rPr>
                <w:sz w:val="19"/>
              </w:rPr>
            </w:pPr>
            <w:r>
              <w:rPr>
                <w:sz w:val="19"/>
              </w:rPr>
              <w:t>bl. 1 and 2: 28 Sep 2010 (see bl. 2(a));</w:t>
            </w:r>
            <w:r>
              <w:rPr>
                <w:sz w:val="19"/>
              </w:rPr>
              <w:br/>
              <w:t>By-laws other than bl. 1 and 2: 1 Oct 2010 (see bl. 2(b))</w:t>
            </w:r>
          </w:p>
        </w:tc>
      </w:tr>
      <w:tr>
        <w:tc>
          <w:tcPr>
            <w:tcW w:w="3118" w:type="dxa"/>
            <w:tcBorders>
              <w:top w:val="nil"/>
              <w:bottom w:val="nil"/>
            </w:tcBorders>
          </w:tcPr>
          <w:p>
            <w:pPr>
              <w:pStyle w:val="nTable"/>
              <w:spacing w:after="40"/>
              <w:rPr>
                <w:i/>
                <w:sz w:val="19"/>
              </w:rPr>
            </w:pPr>
            <w:r>
              <w:rPr>
                <w:i/>
                <w:sz w:val="19"/>
              </w:rPr>
              <w:t>Water Agencies (Water Use) Amendment By</w:t>
            </w:r>
            <w:r>
              <w:rPr>
                <w:i/>
                <w:sz w:val="19"/>
              </w:rPr>
              <w:noBreakHyphen/>
              <w:t>laws (No. 2) 2010</w:t>
            </w:r>
          </w:p>
        </w:tc>
        <w:tc>
          <w:tcPr>
            <w:tcW w:w="1276" w:type="dxa"/>
            <w:tcBorders>
              <w:top w:val="nil"/>
              <w:bottom w:val="nil"/>
            </w:tcBorders>
          </w:tcPr>
          <w:p>
            <w:pPr>
              <w:pStyle w:val="nTable"/>
              <w:spacing w:after="40"/>
              <w:rPr>
                <w:sz w:val="19"/>
              </w:rPr>
            </w:pPr>
            <w:r>
              <w:rPr>
                <w:sz w:val="19"/>
              </w:rPr>
              <w:t>30 Nov 2010 p. 6016</w:t>
            </w:r>
            <w:r>
              <w:rPr>
                <w:sz w:val="19"/>
              </w:rPr>
              <w:noBreakHyphen/>
              <w:t>22</w:t>
            </w:r>
          </w:p>
        </w:tc>
        <w:tc>
          <w:tcPr>
            <w:tcW w:w="2693" w:type="dxa"/>
            <w:tcBorders>
              <w:top w:val="nil"/>
              <w:bottom w:val="nil"/>
            </w:tcBorders>
          </w:tcPr>
          <w:p>
            <w:pPr>
              <w:pStyle w:val="nTable"/>
              <w:spacing w:after="40"/>
              <w:rPr>
                <w:sz w:val="19"/>
              </w:rPr>
            </w:pPr>
            <w:r>
              <w:rPr>
                <w:sz w:val="19"/>
              </w:rPr>
              <w:t>bl. 1 and 2: 30 Nov 2010 (see bl. 2(a));</w:t>
            </w:r>
            <w:r>
              <w:rPr>
                <w:sz w:val="19"/>
              </w:rPr>
              <w:br/>
              <w:t>By-laws other than bl. 1 and 2: 1 Dec 2010 (see bl. 2(b))</w:t>
            </w:r>
          </w:p>
        </w:tc>
      </w:tr>
      <w:tr>
        <w:tc>
          <w:tcPr>
            <w:tcW w:w="3118" w:type="dxa"/>
            <w:tcBorders>
              <w:top w:val="nil"/>
              <w:bottom w:val="nil"/>
            </w:tcBorders>
          </w:tcPr>
          <w:p>
            <w:pPr>
              <w:pStyle w:val="nTable"/>
              <w:spacing w:after="40"/>
              <w:rPr>
                <w:i/>
                <w:sz w:val="19"/>
              </w:rPr>
            </w:pPr>
            <w:r>
              <w:rPr>
                <w:i/>
                <w:sz w:val="19"/>
              </w:rPr>
              <w:t>Water Agencies (Water Use) Amendment By</w:t>
            </w:r>
            <w:r>
              <w:rPr>
                <w:i/>
                <w:sz w:val="19"/>
              </w:rPr>
              <w:noBreakHyphen/>
              <w:t>laws 2011</w:t>
            </w:r>
          </w:p>
        </w:tc>
        <w:tc>
          <w:tcPr>
            <w:tcW w:w="1276" w:type="dxa"/>
            <w:tcBorders>
              <w:top w:val="nil"/>
              <w:bottom w:val="nil"/>
            </w:tcBorders>
          </w:tcPr>
          <w:p>
            <w:pPr>
              <w:pStyle w:val="nTable"/>
              <w:spacing w:after="40"/>
              <w:rPr>
                <w:sz w:val="19"/>
              </w:rPr>
            </w:pPr>
            <w:r>
              <w:rPr>
                <w:sz w:val="19"/>
              </w:rPr>
              <w:t>8 Mar 2011 p. 801</w:t>
            </w:r>
            <w:r>
              <w:rPr>
                <w:sz w:val="19"/>
              </w:rPr>
              <w:noBreakHyphen/>
              <w:t>4</w:t>
            </w:r>
          </w:p>
        </w:tc>
        <w:tc>
          <w:tcPr>
            <w:tcW w:w="2693" w:type="dxa"/>
            <w:tcBorders>
              <w:top w:val="nil"/>
              <w:bottom w:val="nil"/>
            </w:tcBorders>
          </w:tcPr>
          <w:p>
            <w:pPr>
              <w:pStyle w:val="nTable"/>
              <w:spacing w:after="40"/>
              <w:rPr>
                <w:sz w:val="19"/>
              </w:rPr>
            </w:pPr>
            <w:r>
              <w:rPr>
                <w:snapToGrid w:val="0"/>
                <w:spacing w:val="-2"/>
                <w:sz w:val="19"/>
                <w:lang w:val="en-US"/>
              </w:rPr>
              <w:t>bl. 1 and 2: 8 Mar 2011 (see bl. 2(a));</w:t>
            </w:r>
            <w:r>
              <w:rPr>
                <w:snapToGrid w:val="0"/>
                <w:spacing w:val="-2"/>
                <w:sz w:val="19"/>
                <w:lang w:val="en-US"/>
              </w:rPr>
              <w:br/>
              <w:t>By-laws other than bl. 1 and 2: 9 Mar 2011 (see bl. 2(b))</w:t>
            </w:r>
          </w:p>
        </w:tc>
      </w:tr>
      <w:tr>
        <w:tc>
          <w:tcPr>
            <w:tcW w:w="3118" w:type="dxa"/>
            <w:tcBorders>
              <w:top w:val="nil"/>
              <w:bottom w:val="single" w:sz="4" w:space="0" w:color="auto"/>
            </w:tcBorders>
          </w:tcPr>
          <w:p>
            <w:pPr>
              <w:pStyle w:val="nTable"/>
              <w:spacing w:after="40"/>
              <w:rPr>
                <w:i/>
                <w:sz w:val="19"/>
              </w:rPr>
            </w:pPr>
            <w:r>
              <w:rPr>
                <w:i/>
                <w:sz w:val="19"/>
              </w:rPr>
              <w:t>Water Agencies (Water Use) Amendment By</w:t>
            </w:r>
            <w:r>
              <w:rPr>
                <w:i/>
                <w:sz w:val="19"/>
              </w:rPr>
              <w:noBreakHyphen/>
              <w:t>laws (No. 2) 2011</w:t>
            </w:r>
          </w:p>
        </w:tc>
        <w:tc>
          <w:tcPr>
            <w:tcW w:w="1276" w:type="dxa"/>
            <w:tcBorders>
              <w:top w:val="nil"/>
              <w:bottom w:val="single" w:sz="4" w:space="0" w:color="auto"/>
            </w:tcBorders>
          </w:tcPr>
          <w:p>
            <w:pPr>
              <w:pStyle w:val="nTable"/>
              <w:spacing w:after="40"/>
              <w:rPr>
                <w:sz w:val="19"/>
              </w:rPr>
            </w:pPr>
            <w:r>
              <w:rPr>
                <w:sz w:val="19"/>
              </w:rPr>
              <w:t>18 Nov 2011 p. 4818</w:t>
            </w:r>
            <w:r>
              <w:rPr>
                <w:sz w:val="19"/>
              </w:rPr>
              <w:noBreakHyphen/>
              <w:t>19</w:t>
            </w:r>
          </w:p>
        </w:tc>
        <w:tc>
          <w:tcPr>
            <w:tcW w:w="2693" w:type="dxa"/>
            <w:tcBorders>
              <w:top w:val="nil"/>
              <w:bottom w:val="single" w:sz="4" w:space="0" w:color="auto"/>
            </w:tcBorders>
          </w:tcPr>
          <w:p>
            <w:pPr>
              <w:pStyle w:val="nTable"/>
              <w:spacing w:after="40"/>
              <w:rPr>
                <w:snapToGrid w:val="0"/>
                <w:spacing w:val="-2"/>
                <w:sz w:val="19"/>
                <w:lang w:val="en-US"/>
              </w:rPr>
            </w:pPr>
            <w:r>
              <w:rPr>
                <w:snapToGrid w:val="0"/>
                <w:spacing w:val="-2"/>
                <w:sz w:val="19"/>
                <w:lang w:val="en-US"/>
              </w:rPr>
              <w:t>bl. 1 and 2: 18 Nov 2011 (see bl. 2(a));</w:t>
            </w:r>
            <w:r>
              <w:rPr>
                <w:snapToGrid w:val="0"/>
                <w:spacing w:val="-2"/>
                <w:sz w:val="19"/>
                <w:lang w:val="en-US"/>
              </w:rPr>
              <w:br/>
              <w:t>By-laws other than bl. 1 and 2: 19 Nov 2011 (see bl. 2(b))</w:t>
            </w:r>
          </w:p>
        </w:tc>
      </w:tr>
    </w:tbl>
    <w:p>
      <w:bookmarkStart w:id="418" w:name="AutoSch"/>
      <w:bookmarkEnd w:id="418"/>
    </w:p>
    <w:p>
      <w:pPr>
        <w:sectPr>
          <w:headerReference w:type="even" r:id="rId39"/>
          <w:headerReference w:type="default" r:id="rId40"/>
          <w:headerReference w:type="first" r:id="rId41"/>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419" w:name="_Toc287360990"/>
      <w:bookmarkStart w:id="420" w:name="_Toc287361049"/>
      <w:bookmarkStart w:id="421" w:name="_Toc287361108"/>
      <w:bookmarkStart w:id="422" w:name="_Toc309303143"/>
      <w:bookmarkStart w:id="423" w:name="_Toc309303202"/>
      <w:bookmarkStart w:id="424" w:name="_Toc309309757"/>
      <w:r>
        <w:rPr>
          <w:sz w:val="28"/>
        </w:rPr>
        <w:t>Defined Terms</w:t>
      </w:r>
      <w:bookmarkEnd w:id="419"/>
      <w:bookmarkEnd w:id="420"/>
      <w:bookmarkEnd w:id="421"/>
      <w:bookmarkEnd w:id="422"/>
      <w:bookmarkEnd w:id="423"/>
      <w:bookmarkEnd w:id="42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25" w:name="DefinedTerms"/>
      <w:bookmarkEnd w:id="425"/>
      <w:r>
        <w:t>approved</w:t>
      </w:r>
      <w:r>
        <w:tab/>
        <w:t>18</w:t>
      </w:r>
    </w:p>
    <w:p>
      <w:pPr>
        <w:pStyle w:val="DefinedTerms"/>
      </w:pPr>
      <w:r>
        <w:t>Area</w:t>
      </w:r>
      <w:r>
        <w:tab/>
        <w:t>3</w:t>
      </w:r>
    </w:p>
    <w:p>
      <w:pPr>
        <w:pStyle w:val="DefinedTerms"/>
      </w:pPr>
      <w:r>
        <w:t>Area 1</w:t>
      </w:r>
      <w:r>
        <w:tab/>
        <w:t>3</w:t>
      </w:r>
    </w:p>
    <w:p>
      <w:pPr>
        <w:pStyle w:val="DefinedTerms"/>
      </w:pPr>
      <w:r>
        <w:t>Area 2</w:t>
      </w:r>
      <w:r>
        <w:tab/>
        <w:t>3</w:t>
      </w:r>
    </w:p>
    <w:p>
      <w:pPr>
        <w:pStyle w:val="DefinedTerms"/>
      </w:pPr>
      <w:r>
        <w:t>Area 3</w:t>
      </w:r>
      <w:r>
        <w:tab/>
        <w:t>3</w:t>
      </w:r>
    </w:p>
    <w:p>
      <w:pPr>
        <w:pStyle w:val="DefinedTerms"/>
      </w:pPr>
      <w:r>
        <w:t>Area 4</w:t>
      </w:r>
      <w:r>
        <w:tab/>
        <w:t>3</w:t>
      </w:r>
    </w:p>
    <w:p>
      <w:pPr>
        <w:pStyle w:val="DefinedTerms"/>
      </w:pPr>
      <w:r>
        <w:t>commencement day</w:t>
      </w:r>
      <w:r>
        <w:tab/>
        <w:t>10AA(1), 31(1)</w:t>
      </w:r>
    </w:p>
    <w:p>
      <w:pPr>
        <w:pStyle w:val="DefinedTerms"/>
      </w:pPr>
      <w:r>
        <w:t>consumption year</w:t>
      </w:r>
      <w:r>
        <w:tab/>
        <w:t>18</w:t>
      </w:r>
    </w:p>
    <w:p>
      <w:pPr>
        <w:pStyle w:val="DefinedTerms"/>
      </w:pPr>
      <w:r>
        <w:t>coordinate</w:t>
      </w:r>
      <w:r>
        <w:tab/>
        <w:t>10AA(1), 10A(1)</w:t>
      </w:r>
    </w:p>
    <w:p>
      <w:pPr>
        <w:pStyle w:val="DefinedTerms"/>
      </w:pPr>
      <w:r>
        <w:t>domestic bore</w:t>
      </w:r>
      <w:r>
        <w:tab/>
        <w:t>3</w:t>
      </w:r>
    </w:p>
    <w:p>
      <w:pPr>
        <w:pStyle w:val="DefinedTerms"/>
      </w:pPr>
      <w:r>
        <w:t>domestic bore water</w:t>
      </w:r>
      <w:r>
        <w:tab/>
        <w:t>3</w:t>
      </w:r>
    </w:p>
    <w:p>
      <w:pPr>
        <w:pStyle w:val="DefinedTerms"/>
      </w:pPr>
      <w:r>
        <w:t>evening period</w:t>
      </w:r>
      <w:r>
        <w:tab/>
        <w:t>3</w:t>
      </w:r>
    </w:p>
    <w:p>
      <w:pPr>
        <w:pStyle w:val="DefinedTerms"/>
      </w:pPr>
      <w:r>
        <w:t>former plan</w:t>
      </w:r>
      <w:r>
        <w:tab/>
        <w:t>31(1)</w:t>
      </w:r>
    </w:p>
    <w:p>
      <w:pPr>
        <w:pStyle w:val="DefinedTerms"/>
      </w:pPr>
      <w:r>
        <w:t>garden</w:t>
      </w:r>
      <w:r>
        <w:tab/>
        <w:t>3</w:t>
      </w:r>
    </w:p>
    <w:p>
      <w:pPr>
        <w:pStyle w:val="DefinedTerms"/>
      </w:pPr>
      <w:r>
        <w:t>high pressure water cleaner</w:t>
      </w:r>
      <w:r>
        <w:tab/>
        <w:t>3</w:t>
      </w:r>
    </w:p>
    <w:p>
      <w:pPr>
        <w:pStyle w:val="DefinedTerms"/>
      </w:pPr>
      <w:r>
        <w:t>lawn</w:t>
      </w:r>
      <w:r>
        <w:tab/>
        <w:t>3</w:t>
      </w:r>
    </w:p>
    <w:p>
      <w:pPr>
        <w:pStyle w:val="DefinedTerms"/>
      </w:pPr>
      <w:r>
        <w:t>morning period</w:t>
      </w:r>
      <w:r>
        <w:tab/>
        <w:t>3</w:t>
      </w:r>
    </w:p>
    <w:p>
      <w:pPr>
        <w:pStyle w:val="DefinedTerms"/>
      </w:pPr>
      <w:r>
        <w:t>non</w:t>
      </w:r>
      <w:r>
        <w:noBreakHyphen/>
        <w:t>residential lot</w:t>
      </w:r>
      <w:r>
        <w:tab/>
        <w:t>18</w:t>
      </w:r>
    </w:p>
    <w:p>
      <w:pPr>
        <w:pStyle w:val="DefinedTerms"/>
      </w:pPr>
      <w:r>
        <w:t>other property</w:t>
      </w:r>
      <w:r>
        <w:tab/>
        <w:t>11(1)</w:t>
      </w:r>
    </w:p>
    <w:p>
      <w:pPr>
        <w:pStyle w:val="DefinedTerms"/>
      </w:pPr>
      <w:r>
        <w:t>relevant property</w:t>
      </w:r>
      <w:r>
        <w:tab/>
        <w:t>3</w:t>
      </w:r>
    </w:p>
    <w:p>
      <w:pPr>
        <w:pStyle w:val="DefinedTerms"/>
      </w:pPr>
      <w:r>
        <w:t>restriction notice</w:t>
      </w:r>
      <w:r>
        <w:tab/>
        <w:t>31(1)</w:t>
      </w:r>
    </w:p>
    <w:p>
      <w:pPr>
        <w:pStyle w:val="DefinedTerms"/>
      </w:pPr>
      <w:r>
        <w:t xml:space="preserve">scheme water </w:t>
      </w:r>
      <w:r>
        <w:tab/>
        <w:t>3</w:t>
      </w:r>
    </w:p>
    <w:p>
      <w:pPr>
        <w:pStyle w:val="DefinedTerms"/>
      </w:pPr>
      <w:r>
        <w:t>scheme water efficiency management plan</w:t>
      </w:r>
      <w:r>
        <w:tab/>
        <w:t>18</w:t>
      </w:r>
    </w:p>
    <w:p>
      <w:pPr>
        <w:pStyle w:val="DefinedTerms"/>
      </w:pPr>
      <w:r>
        <w:t>scheme water supplier</w:t>
      </w:r>
      <w:r>
        <w:tab/>
        <w:t>3</w:t>
      </w:r>
    </w:p>
    <w:p>
      <w:pPr>
        <w:pStyle w:val="DefinedTerms"/>
      </w:pPr>
      <w:r>
        <w:t>specified day</w:t>
      </w:r>
      <w:r>
        <w:tab/>
        <w:t>31(1)</w:t>
      </w:r>
    </w:p>
    <w:p>
      <w:pPr>
        <w:pStyle w:val="DefinedTerms"/>
      </w:pPr>
      <w:r>
        <w:t>stage of restrictions</w:t>
      </w:r>
      <w:r>
        <w:tab/>
        <w:t>3</w:t>
      </w:r>
    </w:p>
    <w:p>
      <w:pPr>
        <w:pStyle w:val="DefinedTerms"/>
      </w:pPr>
      <w:r>
        <w:t>synthetic sporting ground</w:t>
      </w:r>
      <w:r>
        <w:tab/>
        <w:t>3</w:t>
      </w:r>
    </w:p>
    <w:p>
      <w:pPr>
        <w:pStyle w:val="DefinedTerms"/>
      </w:pPr>
      <w:r>
        <w:t>water</w:t>
      </w:r>
      <w:r>
        <w:tab/>
        <w:t>3, 18</w:t>
      </w:r>
    </w:p>
    <w:p>
      <w:pPr>
        <w:pStyle w:val="DefinedTerms"/>
      </w:pPr>
      <w:r>
        <w:t>week</w:t>
      </w:r>
      <w:r>
        <w:tab/>
        <w:t>3</w:t>
      </w:r>
    </w:p>
    <w:p>
      <w:pPr>
        <w:pStyle w:val="DefinedTerms"/>
      </w:pPr>
      <w:r>
        <w:t>written approval</w:t>
      </w:r>
      <w:r>
        <w:tab/>
        <w:t>4(1)</w:t>
      </w:r>
    </w:p>
    <w:p>
      <w:pPr>
        <w:pStyle w:val="DefinedTerms"/>
        <w:sectPr>
          <w:headerReference w:type="even" r:id="rId42"/>
          <w:headerReference w:type="default" r:id="rId43"/>
          <w:footerReference w:type="even" r:id="rId44"/>
          <w:footerReference w:type="default" r:id="rId45"/>
          <w:headerReference w:type="first" r:id="rId46"/>
          <w:footerReference w:type="first" r:id="rId47"/>
          <w:endnotePr>
            <w:numFmt w:val="decimal"/>
          </w:endnotePr>
          <w:pgSz w:w="11906" w:h="16838" w:code="9"/>
          <w:pgMar w:top="2376" w:right="2404" w:bottom="3544" w:left="2404" w:header="720" w:footer="3380" w:gutter="0"/>
          <w:cols w:space="720"/>
          <w:noEndnote/>
          <w:docGrid w:linePitch="326"/>
        </w:sectPr>
      </w:pPr>
    </w:p>
    <w:p/>
    <w:sectPr>
      <w:headerReference w:type="even" r:id="rId4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41</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p>
      <w:pPr>
        <w:pStyle w:val="nTable"/>
      </w:pPr>
      <w:r>
        <w:separator/>
      </w:r>
    </w:p>
  </w:footnote>
  <w:footnote w:type="continuationSeparator" w:id="0">
    <w:p>
      <w:pPr>
        <w:pStyle w:val="nTabl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Agencies (Water Use) By-laws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fldSimple w:instr=" styleref CharSDivText ">
            <w:r>
              <w:rPr>
                <w:noProof/>
              </w:rPr>
              <w:t>Saving and transitional provisions for the Water Agencies (Water Use) By-laws 2007</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Maps showing Areas 1, 2, 3 and 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6</w:instrText>
            </w:r>
          </w:fldSimple>
          <w:r>
            <w:instrText>"</w:instrTex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Maps showing Areas 1, 2, 3 and 4</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c>
        <w:tcPr>
          <w:tcW w:w="5715" w:type="dxa"/>
        </w:tcPr>
        <w:p>
          <w:pPr>
            <w:pStyle w:val="HeaderTextLeft"/>
          </w:pPr>
          <w:fldSimple w:instr=" styleref CharSchText ">
            <w:r>
              <w:rPr>
                <w:noProof/>
              </w:rPr>
              <w:t>Stages of restrictions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Stages of restrictions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bl.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bl.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fldSimple w:instr=" styleref CharSDivText ">
            <w:r>
              <w:rPr>
                <w:noProof/>
              </w:rPr>
              <w:t>Saving and transitional provisions for the Water Agencies (Water Use) By-laws 2007</w:t>
            </w:r>
          </w:fldSimple>
        </w:p>
      </w:tc>
    </w:tr>
    <w:tr>
      <w:tc>
        <w:tcPr>
          <w:tcW w:w="1548" w:type="dxa"/>
        </w:tcPr>
        <w:p>
          <w:pPr>
            <w:pStyle w:val="HeaderNumberLeft"/>
          </w:pP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B76CFA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89B20E2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72603"/>
    <w:docVar w:name="WAFER_20151209172603" w:val="RemoveTrackChanges"/>
    <w:docVar w:name="WAFER_20151209172603_GUID" w:val="6ce1a6f3-6375-47c7-a8c2-ccb6c769694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jpeg"/><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image" Target="media/image6.jpeg"/><Relationship Id="rId42" Type="http://schemas.openxmlformats.org/officeDocument/2006/relationships/header" Target="header18.xml"/><Relationship Id="rId47" Type="http://schemas.openxmlformats.org/officeDocument/2006/relationships/footer" Target="footer1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jpeg"/><Relationship Id="rId33" Type="http://schemas.openxmlformats.org/officeDocument/2006/relationships/image" Target="media/image5.jpeg"/><Relationship Id="rId38" Type="http://schemas.openxmlformats.org/officeDocument/2006/relationships/header" Target="header14.xml"/><Relationship Id="rId46" Type="http://schemas.openxmlformats.org/officeDocument/2006/relationships/header" Target="header2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image" Target="media/image4.jpeg"/><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image" Target="media/image8.jpeg"/><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3.jpeg"/><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image" Target="media/image7.jpeg"/><Relationship Id="rId43" Type="http://schemas.openxmlformats.org/officeDocument/2006/relationships/header" Target="header19.xml"/><Relationship Id="rId48" Type="http://schemas.openxmlformats.org/officeDocument/2006/relationships/header" Target="header2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7176</Words>
  <Characters>34230</Characters>
  <Application>Microsoft Office Word</Application>
  <DocSecurity>0</DocSecurity>
  <Lines>1180</Lines>
  <Paragraphs>862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40544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2010 - 00-f0-02</dc:title>
  <dc:subject/>
  <dc:creator/>
  <cp:keywords/>
  <dc:description/>
  <cp:lastModifiedBy>svcMRProcess</cp:lastModifiedBy>
  <cp:revision>4</cp:revision>
  <cp:lastPrinted>2011-03-08T04:56:00Z</cp:lastPrinted>
  <dcterms:created xsi:type="dcterms:W3CDTF">2018-09-18T05:31:00Z</dcterms:created>
  <dcterms:modified xsi:type="dcterms:W3CDTF">2018-09-18T05:31:00Z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CommencementDate">
    <vt:lpwstr>20111119</vt:lpwstr>
  </property>
  <property fmtid="{D5CDD505-2E9C-101B-9397-08002B2CF9AE}" pid="4" name="AsAtDate">
    <vt:lpwstr>19 Nov 2011</vt:lpwstr>
  </property>
  <property fmtid="{D5CDD505-2E9C-101B-9397-08002B2CF9AE}" pid="5" name="Suffix">
    <vt:lpwstr>00-f0-02</vt:lpwstr>
  </property>
  <property fmtid="{D5CDD505-2E9C-101B-9397-08002B2CF9AE}" pid="6" name="OwlsUID">
    <vt:i4>42426</vt:i4>
  </property>
  <property fmtid="{D5CDD505-2E9C-101B-9397-08002B2CF9AE}" pid="7" name="DocumentType">
    <vt:lpwstr>Reg</vt:lpwstr>
  </property>
</Properties>
</file>