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D96" w:rsidRDefault="00490028">
      <w:pPr>
        <w:pStyle w:val="WA"/>
      </w:pPr>
      <w:bookmarkStart w:id="0" w:name="_GoBack"/>
      <w:bookmarkEnd w:id="0"/>
      <w:r>
        <w:t>Western Australia</w:t>
      </w:r>
    </w:p>
    <w:p w:rsidR="002C7D96" w:rsidRDefault="00490028">
      <w:pPr>
        <w:pStyle w:val="NameofActRegPage1"/>
        <w:spacing w:before="3760" w:after="4200"/>
      </w:pPr>
      <w:r>
        <w:fldChar w:fldCharType="begin"/>
      </w:r>
      <w:r>
        <w:instrText xml:space="preserve"> STYLEREF "Name Of Act/Reg"</w:instrText>
      </w:r>
      <w:r>
        <w:fldChar w:fldCharType="separate"/>
      </w:r>
      <w:r w:rsidR="00FD03CA">
        <w:rPr>
          <w:noProof/>
        </w:rPr>
        <w:t>Carnarvon Electric Lighting Act 1924</w:t>
      </w:r>
      <w:r>
        <w:fldChar w:fldCharType="end"/>
      </w:r>
    </w:p>
    <w:p w:rsidR="002C7D96" w:rsidRDefault="002C7D96">
      <w:pPr>
        <w:jc w:val="center"/>
        <w:rPr>
          <w:b/>
        </w:rPr>
        <w:sectPr w:rsidR="002C7D9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299"/>
        </w:sectPr>
      </w:pPr>
    </w:p>
    <w:p w:rsidR="002C7D96" w:rsidRDefault="00490028">
      <w:pPr>
        <w:pStyle w:val="WA"/>
      </w:pPr>
      <w:r>
        <w:lastRenderedPageBreak/>
        <w:t>Western Australia</w:t>
      </w:r>
    </w:p>
    <w:p w:rsidR="002C7D96" w:rsidRDefault="00490028">
      <w:pPr>
        <w:pStyle w:val="NameofActRegPage1"/>
      </w:pPr>
      <w:r>
        <w:fldChar w:fldCharType="begin"/>
      </w:r>
      <w:r>
        <w:instrText xml:space="preserve"> STYLEREF "Name Of Act/Reg"</w:instrText>
      </w:r>
      <w:r>
        <w:fldChar w:fldCharType="separate"/>
      </w:r>
      <w:r w:rsidR="00FD03CA">
        <w:rPr>
          <w:noProof/>
        </w:rPr>
        <w:t>Carnarvon Electric Lighting Act 1924</w:t>
      </w:r>
      <w:r>
        <w:fldChar w:fldCharType="end"/>
      </w:r>
    </w:p>
    <w:p w:rsidR="002C7D96" w:rsidRDefault="00490028">
      <w:pPr>
        <w:pStyle w:val="Arrangement"/>
      </w:pPr>
      <w:r>
        <w:t>Contents</w:t>
      </w:r>
    </w:p>
    <w:p w:rsidR="00E00F52" w:rsidRDefault="00490028">
      <w:pPr>
        <w:pStyle w:val="TOC4"/>
        <w:rPr>
          <w:rFonts w:asciiTheme="minorHAnsi" w:eastAsiaTheme="minorEastAsia" w:hAnsiTheme="minorHAnsi" w:cstheme="minorBidi"/>
          <w:noProof/>
          <w:sz w:val="22"/>
          <w:szCs w:val="22"/>
        </w:rPr>
      </w:pPr>
      <w:r>
        <w:fldChar w:fldCharType="begin"/>
      </w:r>
      <w:r>
        <w:instrText xml:space="preserve"> TOC \o "1-3" \t "Heading 5,4" \n 2-3 </w:instrText>
      </w:r>
      <w:r>
        <w:fldChar w:fldCharType="separate"/>
      </w:r>
      <w:r w:rsidR="00E00F52">
        <w:rPr>
          <w:noProof/>
        </w:rPr>
        <w:t>1</w:t>
      </w:r>
      <w:r w:rsidR="00E00F52" w:rsidRPr="00C12A19">
        <w:rPr>
          <w:noProof/>
          <w:snapToGrid w:val="0"/>
        </w:rPr>
        <w:t>.</w:t>
      </w:r>
      <w:r w:rsidR="00E00F52">
        <w:rPr>
          <w:rFonts w:asciiTheme="minorHAnsi" w:eastAsiaTheme="minorEastAsia" w:hAnsiTheme="minorHAnsi" w:cstheme="minorBidi"/>
          <w:noProof/>
          <w:sz w:val="22"/>
          <w:szCs w:val="22"/>
        </w:rPr>
        <w:tab/>
      </w:r>
      <w:r w:rsidR="00E00F52" w:rsidRPr="00C12A19">
        <w:rPr>
          <w:noProof/>
          <w:snapToGrid w:val="0"/>
        </w:rPr>
        <w:t>Short title</w:t>
      </w:r>
      <w:r w:rsidR="00E00F52">
        <w:rPr>
          <w:noProof/>
        </w:rPr>
        <w:tab/>
      </w:r>
      <w:r w:rsidR="00E00F52">
        <w:rPr>
          <w:noProof/>
        </w:rPr>
        <w:fldChar w:fldCharType="begin"/>
      </w:r>
      <w:r w:rsidR="00E00F52">
        <w:rPr>
          <w:noProof/>
        </w:rPr>
        <w:instrText xml:space="preserve"> PAGEREF _Toc378069205 \h </w:instrText>
      </w:r>
      <w:r w:rsidR="00E00F52">
        <w:rPr>
          <w:noProof/>
        </w:rPr>
      </w:r>
      <w:r w:rsidR="00E00F52">
        <w:rPr>
          <w:noProof/>
        </w:rPr>
        <w:fldChar w:fldCharType="separate"/>
      </w:r>
      <w:r w:rsidR="00FD03CA">
        <w:rPr>
          <w:noProof/>
        </w:rPr>
        <w:t>1</w:t>
      </w:r>
      <w:r w:rsidR="00E00F52">
        <w:rPr>
          <w:noProof/>
        </w:rPr>
        <w:fldChar w:fldCharType="end"/>
      </w:r>
    </w:p>
    <w:p w:rsidR="00E00F52" w:rsidRDefault="00E00F52">
      <w:pPr>
        <w:pStyle w:val="TOC4"/>
        <w:rPr>
          <w:rFonts w:asciiTheme="minorHAnsi" w:eastAsiaTheme="minorEastAsia" w:hAnsiTheme="minorHAnsi" w:cstheme="minorBidi"/>
          <w:noProof/>
          <w:sz w:val="22"/>
          <w:szCs w:val="22"/>
        </w:rPr>
      </w:pPr>
      <w:r>
        <w:rPr>
          <w:noProof/>
        </w:rPr>
        <w:t>2</w:t>
      </w:r>
      <w:r w:rsidRPr="00C12A19">
        <w:rPr>
          <w:noProof/>
          <w:snapToGrid w:val="0"/>
        </w:rPr>
        <w:t>.</w:t>
      </w:r>
      <w:r>
        <w:rPr>
          <w:rFonts w:asciiTheme="minorHAnsi" w:eastAsiaTheme="minorEastAsia" w:hAnsiTheme="minorHAnsi" w:cstheme="minorBidi"/>
          <w:noProof/>
          <w:sz w:val="22"/>
          <w:szCs w:val="22"/>
        </w:rPr>
        <w:tab/>
      </w:r>
      <w:r w:rsidRPr="00C12A19">
        <w:rPr>
          <w:noProof/>
          <w:snapToGrid w:val="0"/>
        </w:rPr>
        <w:t>Power to exempt certain portions of the district from rates</w:t>
      </w:r>
      <w:r>
        <w:rPr>
          <w:noProof/>
        </w:rPr>
        <w:tab/>
      </w:r>
      <w:r>
        <w:rPr>
          <w:noProof/>
        </w:rPr>
        <w:fldChar w:fldCharType="begin"/>
      </w:r>
      <w:r>
        <w:rPr>
          <w:noProof/>
        </w:rPr>
        <w:instrText xml:space="preserve"> PAGEREF _Toc378069206 \h </w:instrText>
      </w:r>
      <w:r>
        <w:rPr>
          <w:noProof/>
        </w:rPr>
      </w:r>
      <w:r>
        <w:rPr>
          <w:noProof/>
        </w:rPr>
        <w:fldChar w:fldCharType="separate"/>
      </w:r>
      <w:r w:rsidR="00FD03CA">
        <w:rPr>
          <w:noProof/>
        </w:rPr>
        <w:t>1</w:t>
      </w:r>
      <w:r>
        <w:rPr>
          <w:noProof/>
        </w:rPr>
        <w:fldChar w:fldCharType="end"/>
      </w:r>
    </w:p>
    <w:p w:rsidR="00E00F52" w:rsidRDefault="00E00F52">
      <w:pPr>
        <w:pStyle w:val="TOC2"/>
        <w:tabs>
          <w:tab w:val="right" w:leader="dot" w:pos="7086"/>
        </w:tabs>
        <w:rPr>
          <w:rFonts w:asciiTheme="minorHAnsi" w:eastAsiaTheme="minorEastAsia" w:hAnsiTheme="minorHAnsi" w:cstheme="minorBidi"/>
          <w:b w:val="0"/>
          <w:noProof/>
          <w:sz w:val="22"/>
          <w:szCs w:val="22"/>
        </w:rPr>
      </w:pPr>
      <w:r>
        <w:rPr>
          <w:noProof/>
        </w:rPr>
        <w:t>Notes</w:t>
      </w:r>
    </w:p>
    <w:p w:rsidR="002C7D96" w:rsidRDefault="00490028">
      <w:pPr>
        <w:pStyle w:val="TOC2"/>
      </w:pPr>
      <w:r>
        <w:fldChar w:fldCharType="end"/>
      </w:r>
    </w:p>
    <w:p w:rsidR="002C7D96" w:rsidRDefault="0049002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2C7D96" w:rsidRDefault="002C7D96">
      <w:pPr>
        <w:pStyle w:val="NoteHeading"/>
        <w:sectPr w:rsidR="002C7D96">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299"/>
        </w:sectPr>
      </w:pPr>
    </w:p>
    <w:p w:rsidR="002C7D96" w:rsidRDefault="00490028">
      <w:pPr>
        <w:pStyle w:val="WA"/>
      </w:pPr>
      <w:r>
        <w:lastRenderedPageBreak/>
        <w:t>Western Australia</w:t>
      </w:r>
    </w:p>
    <w:p w:rsidR="002C7D96" w:rsidRDefault="00490028">
      <w:pPr>
        <w:pStyle w:val="NameofActReg"/>
      </w:pPr>
      <w:r>
        <w:t xml:space="preserve">Carnarvon Electric Lighting Act 1924 </w:t>
      </w:r>
    </w:p>
    <w:p w:rsidR="002C7D96" w:rsidRDefault="00490028">
      <w:pPr>
        <w:pStyle w:val="LongTitle"/>
        <w:rPr>
          <w:snapToGrid w:val="0"/>
        </w:rPr>
      </w:pPr>
      <w:r>
        <w:rPr>
          <w:snapToGrid w:val="0"/>
        </w:rPr>
        <w:t xml:space="preserve">An Act relating to Electric Lighting in the Municipality of Carnarvon. </w:t>
      </w:r>
    </w:p>
    <w:p w:rsidR="002C7D96" w:rsidRDefault="00490028">
      <w:pPr>
        <w:pStyle w:val="AssentNote"/>
      </w:pPr>
      <w:r>
        <w:t xml:space="preserve">[Assented to 9th December, 1924.] </w:t>
      </w:r>
    </w:p>
    <w:p w:rsidR="002C7D96" w:rsidRDefault="00490028">
      <w:pPr>
        <w:pStyle w:val="Enactment"/>
        <w:rPr>
          <w:snapToGrid w:val="0"/>
        </w:rPr>
      </w:pPr>
      <w:r>
        <w:rPr>
          <w:snapToGrid w:val="0"/>
        </w:rPr>
        <w:t xml:space="preserve">Be it enacted by the King’s Most Excellent Majesty, by and with the advice and consent of the Legislative Council and Legislative Assembly of Western Australia, in this present Parliament assembled, and by the authority of the same, as follows: —  </w:t>
      </w:r>
    </w:p>
    <w:p w:rsidR="002C7D96" w:rsidRDefault="00490028">
      <w:pPr>
        <w:pStyle w:val="Heading5"/>
        <w:rPr>
          <w:snapToGrid w:val="0"/>
        </w:rPr>
      </w:pPr>
      <w:bookmarkStart w:id="1" w:name="_Toc378069205"/>
      <w:r>
        <w:rPr>
          <w:rStyle w:val="CharSectno"/>
        </w:rPr>
        <w:t>1</w:t>
      </w:r>
      <w:r>
        <w:rPr>
          <w:snapToGrid w:val="0"/>
        </w:rPr>
        <w:t>.</w:t>
      </w:r>
      <w:r>
        <w:rPr>
          <w:snapToGrid w:val="0"/>
        </w:rPr>
        <w:tab/>
        <w:t>Short title</w:t>
      </w:r>
      <w:bookmarkEnd w:id="1"/>
      <w:r>
        <w:rPr>
          <w:snapToGrid w:val="0"/>
        </w:rPr>
        <w:t xml:space="preserve"> </w:t>
      </w:r>
    </w:p>
    <w:p w:rsidR="002C7D96" w:rsidRDefault="00490028">
      <w:pPr>
        <w:pStyle w:val="Subsection"/>
        <w:rPr>
          <w:snapToGrid w:val="0"/>
        </w:rPr>
      </w:pPr>
      <w:r>
        <w:rPr>
          <w:snapToGrid w:val="0"/>
        </w:rPr>
        <w:tab/>
      </w:r>
      <w:r>
        <w:rPr>
          <w:snapToGrid w:val="0"/>
        </w:rPr>
        <w:tab/>
        <w:t xml:space="preserve">This Act may be cited as the </w:t>
      </w:r>
      <w:r>
        <w:rPr>
          <w:i/>
          <w:snapToGrid w:val="0"/>
        </w:rPr>
        <w:t>Carnarvon Electric Lighting Act 1924</w:t>
      </w:r>
      <w:r>
        <w:rPr>
          <w:snapToGrid w:val="0"/>
        </w:rPr>
        <w:t>.</w:t>
      </w:r>
    </w:p>
    <w:p w:rsidR="002C7D96" w:rsidRDefault="00490028">
      <w:pPr>
        <w:pStyle w:val="Heading5"/>
        <w:rPr>
          <w:snapToGrid w:val="0"/>
        </w:rPr>
      </w:pPr>
      <w:bookmarkStart w:id="2" w:name="_Toc378069206"/>
      <w:r>
        <w:rPr>
          <w:rStyle w:val="CharSectno"/>
        </w:rPr>
        <w:t>2</w:t>
      </w:r>
      <w:r>
        <w:rPr>
          <w:snapToGrid w:val="0"/>
        </w:rPr>
        <w:t>.</w:t>
      </w:r>
      <w:r>
        <w:rPr>
          <w:snapToGrid w:val="0"/>
        </w:rPr>
        <w:tab/>
        <w:t>Power to exempt certain portions of the district from rates</w:t>
      </w:r>
      <w:bookmarkEnd w:id="2"/>
      <w:r>
        <w:rPr>
          <w:snapToGrid w:val="0"/>
        </w:rPr>
        <w:t xml:space="preserve"> </w:t>
      </w:r>
    </w:p>
    <w:p w:rsidR="002C7D96" w:rsidRDefault="00490028">
      <w:pPr>
        <w:pStyle w:val="Subsection"/>
        <w:rPr>
          <w:snapToGrid w:val="0"/>
        </w:rPr>
      </w:pPr>
      <w:r>
        <w:rPr>
          <w:snapToGrid w:val="0"/>
        </w:rPr>
        <w:tab/>
      </w:r>
      <w:r>
        <w:rPr>
          <w:snapToGrid w:val="0"/>
        </w:rPr>
        <w:tab/>
        <w:t>It shall be lawful for the Council of the Municipality of Carnarvon to exempt from liability for rates, in respect of electric lighting, such portions of the municipal district as the Council may, by any by</w:t>
      </w:r>
      <w:r>
        <w:rPr>
          <w:snapToGrid w:val="0"/>
        </w:rPr>
        <w:noBreakHyphen/>
        <w:t>law, prescribe, and until such by</w:t>
      </w:r>
      <w:r>
        <w:rPr>
          <w:snapToGrid w:val="0"/>
        </w:rPr>
        <w:noBreakHyphen/>
        <w:t>law is made the town lots within the municipal district numbered 260 and upwards.</w:t>
      </w:r>
    </w:p>
    <w:p w:rsidR="002C7D96" w:rsidRDefault="002C7D96">
      <w:pPr>
        <w:rPr>
          <w:rStyle w:val="CharDivText"/>
        </w:rPr>
        <w:sectPr w:rsidR="002C7D96">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299"/>
        </w:sectPr>
      </w:pPr>
    </w:p>
    <w:p w:rsidR="002C7D96" w:rsidRDefault="00490028">
      <w:pPr>
        <w:pStyle w:val="nHeading2"/>
      </w:pPr>
      <w:bookmarkStart w:id="3" w:name="_Toc378069207"/>
      <w:r>
        <w:t>Notes</w:t>
      </w:r>
      <w:bookmarkEnd w:id="3"/>
    </w:p>
    <w:p w:rsidR="002C7D96" w:rsidRDefault="00490028">
      <w:pPr>
        <w:pStyle w:val="nSubsection"/>
        <w:rPr>
          <w:snapToGrid w:val="0"/>
        </w:rPr>
      </w:pPr>
      <w:r>
        <w:rPr>
          <w:snapToGrid w:val="0"/>
        </w:rPr>
        <w:t xml:space="preserve">1. </w:t>
      </w:r>
      <w:r>
        <w:rPr>
          <w:snapToGrid w:val="0"/>
        </w:rPr>
        <w:tab/>
        <w:t xml:space="preserve">This is a compilation of the </w:t>
      </w:r>
      <w:r>
        <w:rPr>
          <w:i/>
          <w:snapToGrid w:val="0"/>
        </w:rPr>
        <w:t>Carnarvon Electric Lighting Act 1924</w:t>
      </w:r>
      <w:r>
        <w:rPr>
          <w:snapToGrid w:val="0"/>
        </w:rPr>
        <w:t xml:space="preserve"> and includes all amendments effected by the other Acts referred to in the following Table.</w:t>
      </w:r>
    </w:p>
    <w:p w:rsidR="002C7D96" w:rsidRDefault="00490028">
      <w:pPr>
        <w:pStyle w:val="MiscellaneousHeading"/>
        <w:jc w:val="center"/>
        <w:rPr>
          <w:b/>
          <w:snapToGrid w:val="0"/>
        </w:rPr>
      </w:pPr>
      <w:r>
        <w:rPr>
          <w:b/>
          <w:snapToGrid w:val="0"/>
        </w:rPr>
        <w:t>Table of Acts</w:t>
      </w:r>
    </w:p>
    <w:tbl>
      <w:tblPr>
        <w:tblW w:w="0" w:type="auto"/>
        <w:tblInd w:w="28" w:type="dxa"/>
        <w:tblLayout w:type="fixed"/>
        <w:tblCellMar>
          <w:left w:w="28" w:type="dxa"/>
          <w:right w:w="28" w:type="dxa"/>
        </w:tblCellMar>
        <w:tblLook w:val="0000" w:firstRow="0" w:lastRow="0" w:firstColumn="0" w:lastColumn="0" w:noHBand="0" w:noVBand="0"/>
      </w:tblPr>
      <w:tblGrid>
        <w:gridCol w:w="1701"/>
        <w:gridCol w:w="1089"/>
        <w:gridCol w:w="1440"/>
        <w:gridCol w:w="1530"/>
        <w:gridCol w:w="1327"/>
      </w:tblGrid>
      <w:tr w:rsidR="002C7D96">
        <w:trPr>
          <w:tblHeader/>
        </w:trPr>
        <w:tc>
          <w:tcPr>
            <w:tcW w:w="1701" w:type="dxa"/>
            <w:tcBorders>
              <w:top w:val="single" w:sz="4" w:space="0" w:color="auto"/>
            </w:tcBorders>
          </w:tcPr>
          <w:p w:rsidR="002C7D96" w:rsidRDefault="00490028">
            <w:pPr>
              <w:pStyle w:val="nTable"/>
            </w:pPr>
            <w:r>
              <w:t>Act</w:t>
            </w:r>
          </w:p>
        </w:tc>
        <w:tc>
          <w:tcPr>
            <w:tcW w:w="1089" w:type="dxa"/>
            <w:tcBorders>
              <w:top w:val="single" w:sz="4" w:space="0" w:color="auto"/>
            </w:tcBorders>
          </w:tcPr>
          <w:p w:rsidR="002C7D96" w:rsidRDefault="00490028">
            <w:pPr>
              <w:pStyle w:val="nTable"/>
            </w:pPr>
            <w:r>
              <w:t>Number and Year</w:t>
            </w:r>
          </w:p>
        </w:tc>
        <w:tc>
          <w:tcPr>
            <w:tcW w:w="1440" w:type="dxa"/>
            <w:tcBorders>
              <w:top w:val="single" w:sz="4" w:space="0" w:color="auto"/>
            </w:tcBorders>
          </w:tcPr>
          <w:p w:rsidR="002C7D96" w:rsidRDefault="00490028">
            <w:pPr>
              <w:pStyle w:val="nTable"/>
            </w:pPr>
            <w:r>
              <w:t>Assent</w:t>
            </w:r>
          </w:p>
        </w:tc>
        <w:tc>
          <w:tcPr>
            <w:tcW w:w="1530" w:type="dxa"/>
            <w:tcBorders>
              <w:top w:val="single" w:sz="4" w:space="0" w:color="auto"/>
            </w:tcBorders>
          </w:tcPr>
          <w:p w:rsidR="002C7D96" w:rsidRDefault="00490028">
            <w:pPr>
              <w:pStyle w:val="nTable"/>
            </w:pPr>
            <w:r>
              <w:t>Commencement</w:t>
            </w:r>
          </w:p>
        </w:tc>
        <w:tc>
          <w:tcPr>
            <w:tcW w:w="1327" w:type="dxa"/>
            <w:tcBorders>
              <w:top w:val="single" w:sz="4" w:space="0" w:color="auto"/>
            </w:tcBorders>
          </w:tcPr>
          <w:p w:rsidR="002C7D96" w:rsidRDefault="00490028">
            <w:pPr>
              <w:pStyle w:val="nTable"/>
            </w:pPr>
            <w:r>
              <w:t>Miscellaneous</w:t>
            </w:r>
          </w:p>
        </w:tc>
      </w:tr>
      <w:tr w:rsidR="002C7D96">
        <w:tc>
          <w:tcPr>
            <w:tcW w:w="1701" w:type="dxa"/>
            <w:tcBorders>
              <w:top w:val="single" w:sz="4" w:space="0" w:color="auto"/>
              <w:bottom w:val="single" w:sz="4" w:space="0" w:color="auto"/>
            </w:tcBorders>
          </w:tcPr>
          <w:p w:rsidR="002C7D96" w:rsidRDefault="00490028">
            <w:pPr>
              <w:pStyle w:val="nTable"/>
            </w:pPr>
            <w:r>
              <w:rPr>
                <w:i/>
              </w:rPr>
              <w:t>Carnarvon Electric Lighting Act 1924</w:t>
            </w:r>
          </w:p>
        </w:tc>
        <w:tc>
          <w:tcPr>
            <w:tcW w:w="1089" w:type="dxa"/>
            <w:tcBorders>
              <w:top w:val="single" w:sz="4" w:space="0" w:color="auto"/>
              <w:bottom w:val="single" w:sz="4" w:space="0" w:color="auto"/>
            </w:tcBorders>
          </w:tcPr>
          <w:p w:rsidR="002C7D96" w:rsidRDefault="00490028">
            <w:pPr>
              <w:pStyle w:val="nTable"/>
            </w:pPr>
            <w:r>
              <w:t>13 of 1924</w:t>
            </w:r>
          </w:p>
        </w:tc>
        <w:tc>
          <w:tcPr>
            <w:tcW w:w="1440" w:type="dxa"/>
            <w:tcBorders>
              <w:top w:val="single" w:sz="4" w:space="0" w:color="auto"/>
              <w:bottom w:val="single" w:sz="4" w:space="0" w:color="auto"/>
            </w:tcBorders>
          </w:tcPr>
          <w:p w:rsidR="002C7D96" w:rsidRDefault="00490028">
            <w:pPr>
              <w:pStyle w:val="nTable"/>
            </w:pPr>
            <w:r>
              <w:t>9 December 1924</w:t>
            </w:r>
          </w:p>
        </w:tc>
        <w:tc>
          <w:tcPr>
            <w:tcW w:w="1530" w:type="dxa"/>
            <w:tcBorders>
              <w:top w:val="single" w:sz="4" w:space="0" w:color="auto"/>
              <w:bottom w:val="single" w:sz="4" w:space="0" w:color="auto"/>
            </w:tcBorders>
          </w:tcPr>
          <w:p w:rsidR="002C7D96" w:rsidRDefault="00490028">
            <w:pPr>
              <w:pStyle w:val="nTable"/>
            </w:pPr>
            <w:r>
              <w:t>9 December 1924</w:t>
            </w:r>
          </w:p>
        </w:tc>
        <w:tc>
          <w:tcPr>
            <w:tcW w:w="1327" w:type="dxa"/>
            <w:tcBorders>
              <w:top w:val="single" w:sz="4" w:space="0" w:color="auto"/>
              <w:bottom w:val="single" w:sz="4" w:space="0" w:color="auto"/>
            </w:tcBorders>
          </w:tcPr>
          <w:p w:rsidR="002C7D96" w:rsidRDefault="002C7D96">
            <w:pPr>
              <w:pStyle w:val="nTable"/>
            </w:pPr>
          </w:p>
        </w:tc>
      </w:tr>
    </w:tbl>
    <w:p w:rsidR="002C7D96" w:rsidRDefault="002C7D96">
      <w:pPr>
        <w:sectPr w:rsidR="002C7D96">
          <w:headerReference w:type="even" r:id="rId26"/>
          <w:headerReference w:type="default" r:id="rId27"/>
          <w:headerReference w:type="first" r:id="rId28"/>
          <w:pgSz w:w="11906" w:h="16838" w:code="9"/>
          <w:pgMar w:top="2376" w:right="2405" w:bottom="3542" w:left="2405" w:header="706" w:footer="3380" w:gutter="0"/>
          <w:cols w:space="720"/>
          <w:noEndnote/>
          <w:docGrid w:linePitch="299"/>
        </w:sectPr>
      </w:pPr>
    </w:p>
    <w:p w:rsidR="002C7D96" w:rsidRDefault="002C7D96"/>
    <w:sectPr w:rsidR="002C7D96">
      <w:headerReference w:type="even" r:id="rId29"/>
      <w:headerReference w:type="default" r:id="rId30"/>
      <w:headerReference w:type="first" r:id="rId31"/>
      <w:type w:val="continuous"/>
      <w:pgSz w:w="11906" w:h="16838" w:code="9"/>
      <w:pgMar w:top="2376" w:right="2405" w:bottom="2981" w:left="2405" w:header="720" w:footer="3380" w:gutter="0"/>
      <w:paperSrc w:first="2" w:other="2"/>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D96" w:rsidRDefault="00490028">
      <w:r>
        <w:separator/>
      </w:r>
    </w:p>
  </w:endnote>
  <w:endnote w:type="continuationSeparator" w:id="0">
    <w:p w:rsidR="002C7D96" w:rsidRDefault="0049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p>
  <w:p w:rsidR="002C7D96" w:rsidRDefault="00490028">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r>
  </w:p>
  <w:p w:rsidR="002C7D96" w:rsidRDefault="00490028">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r>
  </w:p>
  <w:p w:rsidR="002C7D96" w:rsidRDefault="00490028">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20162">
      <w:rPr>
        <w:rStyle w:val="PageNumber"/>
        <w:rFonts w:ascii="Arial" w:hAnsi="Arial" w:cs="Arial"/>
        <w:noProof/>
      </w:rPr>
      <w:t>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p>
  <w:p w:rsidR="002C7D96" w:rsidRDefault="00490028">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20162">
      <w:rPr>
        <w:rStyle w:val="PageNumber"/>
        <w:rFonts w:ascii="Arial" w:hAnsi="Arial" w:cs="Arial"/>
        <w:noProof/>
      </w:rPr>
      <w:t>i</w:t>
    </w:r>
    <w:r>
      <w:rPr>
        <w:rStyle w:val="PageNumber"/>
        <w:rFonts w:ascii="Arial" w:hAnsi="Arial" w:cs="Arial"/>
      </w:rPr>
      <w:fldChar w:fldCharType="end"/>
    </w:r>
  </w:p>
  <w:p w:rsidR="002C7D96" w:rsidRDefault="00490028">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D03CA">
      <w:rPr>
        <w:rStyle w:val="PageNumber"/>
        <w:rFonts w:ascii="Arial" w:hAnsi="Arial" w:cs="Arial"/>
        <w:noProof/>
      </w:rPr>
      <w:t>i</w:t>
    </w:r>
    <w:r>
      <w:rPr>
        <w:rStyle w:val="PageNumber"/>
        <w:rFonts w:ascii="Arial" w:hAnsi="Arial" w:cs="Arial"/>
      </w:rPr>
      <w:fldChar w:fldCharType="end"/>
    </w:r>
  </w:p>
  <w:p w:rsidR="002C7D96" w:rsidRDefault="00490028">
    <w:pPr>
      <w:rPr>
        <w:i/>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03CA">
      <w:rPr>
        <w:rStyle w:val="CharPageNo"/>
        <w:rFonts w:ascii="Arial" w:hAnsi="Arial"/>
        <w:noProof/>
      </w:rPr>
      <w:t>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r>
      <w:rPr>
        <w:rFonts w:ascii="Arial" w:hAnsi="Arial" w:cs="Arial"/>
        <w:sz w:val="20"/>
      </w:rPr>
      <w:t xml:space="preserve"> </w:t>
    </w:r>
  </w:p>
  <w:p w:rsidR="002C7D96" w:rsidRDefault="00490028">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20162">
      <w:rPr>
        <w:rStyle w:val="CharPageNo"/>
        <w:rFonts w:ascii="Arial" w:hAnsi="Arial"/>
        <w:noProof/>
      </w:rPr>
      <w:t>2</w:t>
    </w:r>
    <w:r>
      <w:rPr>
        <w:rStyle w:val="CharPageNo"/>
        <w:rFonts w:ascii="Arial" w:hAnsi="Arial"/>
      </w:rPr>
      <w:fldChar w:fldCharType="end"/>
    </w:r>
  </w:p>
  <w:p w:rsidR="002C7D96" w:rsidRDefault="00490028">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Footer"/>
      <w:tabs>
        <w:tab w:val="clear" w:pos="4153"/>
        <w:tab w:val="right" w:pos="7088"/>
      </w:tabs>
      <w:rPr>
        <w:rStyle w:val="PageNumber"/>
      </w:rPr>
    </w:pPr>
  </w:p>
  <w:p w:rsidR="002C7D96" w:rsidRDefault="00490028">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sidR="00FD03CA">
      <w:rPr>
        <w:rFonts w:ascii="Arial" w:hAnsi="Arial" w:cs="Arial"/>
        <w:sz w:val="20"/>
      </w:rPr>
      <w:t>06 Jul 1998</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sidR="00FD03CA">
      <w:rPr>
        <w:rFonts w:ascii="Arial" w:hAnsi="Arial" w:cs="Arial"/>
        <w:sz w:val="20"/>
      </w:rPr>
      <w:t>00-a0-09</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D03CA">
      <w:rPr>
        <w:rStyle w:val="CharPageNo"/>
        <w:rFonts w:ascii="Arial" w:hAnsi="Arial"/>
        <w:noProof/>
      </w:rPr>
      <w:t>1</w:t>
    </w:r>
    <w:r>
      <w:rPr>
        <w:rStyle w:val="CharPageNo"/>
        <w:rFonts w:ascii="Arial" w:hAnsi="Arial"/>
      </w:rPr>
      <w:fldChar w:fldCharType="end"/>
    </w:r>
  </w:p>
  <w:p w:rsidR="002C7D96" w:rsidRDefault="00490028">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D96" w:rsidRDefault="00490028">
      <w:r>
        <w:separator/>
      </w:r>
    </w:p>
  </w:footnote>
  <w:footnote w:type="continuationSeparator" w:id="0">
    <w:p w:rsidR="002C7D96" w:rsidRDefault="00490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490028">
    <w:pPr>
      <w:pStyle w:val="headerpartodd"/>
      <w:ind w:left="0" w:firstLine="0"/>
      <w:rPr>
        <w:i/>
      </w:rPr>
    </w:pPr>
    <w:r>
      <w:rPr>
        <w:i/>
      </w:rPr>
      <w:fldChar w:fldCharType="begin"/>
    </w:r>
    <w:r>
      <w:rPr>
        <w:i/>
      </w:rPr>
      <w:instrText xml:space="preserve"> Styleref "Name of Act/Reg" </w:instrText>
    </w:r>
    <w:r>
      <w:rPr>
        <w:i/>
      </w:rPr>
      <w:fldChar w:fldCharType="separate"/>
    </w:r>
    <w:r w:rsidR="00FD03CA">
      <w:rPr>
        <w:i/>
        <w:noProof/>
      </w:rPr>
      <w:t>Carnarvon Electric Lighting Act 1924</w:t>
    </w:r>
    <w:r>
      <w:rPr>
        <w:i/>
      </w:rPr>
      <w:fldChar w:fldCharType="end"/>
    </w:r>
  </w:p>
  <w:p w:rsidR="002C7D96" w:rsidRDefault="0049002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2C7D96" w:rsidRDefault="0049002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2C7D96" w:rsidRDefault="002C7D96">
    <w:pPr>
      <w:pStyle w:val="headerpart"/>
      <w:rPr>
        <w:sz w:val="24"/>
      </w:rPr>
    </w:pPr>
  </w:p>
  <w:p w:rsidR="002C7D96" w:rsidRDefault="002C7D96">
    <w:pPr>
      <w:pBdr>
        <w:bottom w:val="single" w:sz="6" w:space="1" w:color="auto"/>
      </w:pBdr>
      <w:rPr>
        <w:b/>
      </w:rPr>
    </w:pPr>
  </w:p>
  <w:p w:rsidR="002C7D96" w:rsidRDefault="002C7D9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C7D96">
      <w:trPr>
        <w:cantSplit/>
      </w:trPr>
      <w:tc>
        <w:tcPr>
          <w:tcW w:w="7312" w:type="dxa"/>
          <w:gridSpan w:val="2"/>
        </w:tcPr>
        <w:p w:rsidR="002C7D96" w:rsidRDefault="00FD03CA">
          <w:pPr>
            <w:pStyle w:val="HeaderActNameLeft"/>
          </w:pPr>
          <w:r>
            <w:fldChar w:fldCharType="begin"/>
          </w:r>
          <w:r>
            <w:instrText xml:space="preserve"> Styleref "Name of Act/Reg" </w:instrText>
          </w:r>
          <w:r>
            <w:fldChar w:fldCharType="separate"/>
          </w:r>
          <w:r>
            <w:rPr>
              <w:noProof/>
            </w:rPr>
            <w:t>Carnarvon Electric Lighting Act 1924</w:t>
          </w:r>
          <w:r>
            <w:rPr>
              <w:noProof/>
            </w:rPr>
            <w:fldChar w:fldCharType="end"/>
          </w:r>
        </w:p>
      </w:tc>
    </w:tr>
    <w:tr w:rsidR="002C7D96">
      <w:tc>
        <w:tcPr>
          <w:tcW w:w="1548" w:type="dxa"/>
        </w:tcPr>
        <w:p w:rsidR="002C7D96" w:rsidRDefault="002C7D96">
          <w:pPr>
            <w:pStyle w:val="HeaderNumberLeft"/>
          </w:pPr>
        </w:p>
      </w:tc>
      <w:tc>
        <w:tcPr>
          <w:tcW w:w="5764" w:type="dxa"/>
        </w:tcPr>
        <w:p w:rsidR="002C7D96" w:rsidRDefault="002C7D96">
          <w:pPr>
            <w:pStyle w:val="HeaderTextLeft"/>
          </w:pPr>
        </w:p>
      </w:tc>
    </w:tr>
    <w:tr w:rsidR="002C7D96">
      <w:tc>
        <w:tcPr>
          <w:tcW w:w="1548" w:type="dxa"/>
        </w:tcPr>
        <w:p w:rsidR="002C7D96" w:rsidRDefault="002C7D96">
          <w:pPr>
            <w:pStyle w:val="HeaderNumberLeft"/>
          </w:pPr>
        </w:p>
      </w:tc>
      <w:tc>
        <w:tcPr>
          <w:tcW w:w="5764" w:type="dxa"/>
        </w:tcPr>
        <w:p w:rsidR="002C7D96" w:rsidRDefault="002C7D96">
          <w:pPr>
            <w:pStyle w:val="HeaderTextLeft"/>
          </w:pPr>
        </w:p>
      </w:tc>
    </w:tr>
    <w:tr w:rsidR="002C7D96">
      <w:trPr>
        <w:cantSplit/>
      </w:trPr>
      <w:tc>
        <w:tcPr>
          <w:tcW w:w="7312" w:type="dxa"/>
          <w:gridSpan w:val="2"/>
        </w:tcPr>
        <w:p w:rsidR="002C7D96" w:rsidRDefault="002C7D96">
          <w:pPr>
            <w:pStyle w:val="HeaderSectionLeft"/>
          </w:pPr>
        </w:p>
      </w:tc>
    </w:tr>
  </w:tbl>
  <w:p w:rsidR="002C7D96" w:rsidRDefault="002C7D9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C7D96">
      <w:trPr>
        <w:cantSplit/>
      </w:trPr>
      <w:tc>
        <w:tcPr>
          <w:tcW w:w="7312" w:type="dxa"/>
          <w:gridSpan w:val="2"/>
        </w:tcPr>
        <w:p w:rsidR="002C7D96" w:rsidRDefault="00FD03CA">
          <w:pPr>
            <w:pStyle w:val="HeaderActNameRight"/>
          </w:pPr>
          <w:r>
            <w:fldChar w:fldCharType="begin"/>
          </w:r>
          <w:r>
            <w:instrText xml:space="preserve"> Styleref "Name of Act/Reg" </w:instrText>
          </w:r>
          <w:r>
            <w:fldChar w:fldCharType="separate"/>
          </w:r>
          <w:r>
            <w:rPr>
              <w:noProof/>
            </w:rPr>
            <w:t>Carnarvon Electric Lighting Act 1924</w:t>
          </w:r>
          <w:r>
            <w:rPr>
              <w:noProof/>
            </w:rPr>
            <w:fldChar w:fldCharType="end"/>
          </w:r>
        </w:p>
      </w:tc>
    </w:tr>
    <w:tr w:rsidR="002C7D96">
      <w:tc>
        <w:tcPr>
          <w:tcW w:w="5760" w:type="dxa"/>
        </w:tcPr>
        <w:p w:rsidR="002C7D96" w:rsidRDefault="002C7D96">
          <w:pPr>
            <w:pStyle w:val="HeaderTextRight"/>
          </w:pPr>
        </w:p>
      </w:tc>
      <w:tc>
        <w:tcPr>
          <w:tcW w:w="1552" w:type="dxa"/>
        </w:tcPr>
        <w:p w:rsidR="002C7D96" w:rsidRDefault="002C7D96">
          <w:pPr>
            <w:pStyle w:val="HeaderNumberRight"/>
          </w:pPr>
        </w:p>
      </w:tc>
    </w:tr>
    <w:tr w:rsidR="002C7D96">
      <w:tc>
        <w:tcPr>
          <w:tcW w:w="5760" w:type="dxa"/>
        </w:tcPr>
        <w:p w:rsidR="002C7D96" w:rsidRDefault="002C7D96">
          <w:pPr>
            <w:pStyle w:val="HeaderTextRight"/>
          </w:pPr>
        </w:p>
      </w:tc>
      <w:tc>
        <w:tcPr>
          <w:tcW w:w="1552" w:type="dxa"/>
        </w:tcPr>
        <w:p w:rsidR="002C7D96" w:rsidRDefault="002C7D96">
          <w:pPr>
            <w:pStyle w:val="HeaderNumberRight"/>
          </w:pPr>
        </w:p>
      </w:tc>
    </w:tr>
    <w:tr w:rsidR="002C7D96">
      <w:trPr>
        <w:cantSplit/>
      </w:trPr>
      <w:tc>
        <w:tcPr>
          <w:tcW w:w="7312" w:type="dxa"/>
          <w:gridSpan w:val="2"/>
        </w:tcPr>
        <w:p w:rsidR="002C7D96" w:rsidRDefault="002C7D96">
          <w:pPr>
            <w:pStyle w:val="HeaderSectionRight"/>
          </w:pPr>
        </w:p>
      </w:tc>
    </w:tr>
  </w:tbl>
  <w:p w:rsidR="002C7D96" w:rsidRDefault="002C7D96">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490028">
    <w:pPr>
      <w:pStyle w:val="headerpartodd"/>
      <w:ind w:left="0" w:firstLine="0"/>
      <w:rPr>
        <w:i/>
      </w:rPr>
    </w:pPr>
    <w:r>
      <w:rPr>
        <w:i/>
      </w:rPr>
      <w:fldChar w:fldCharType="begin"/>
    </w:r>
    <w:r>
      <w:rPr>
        <w:i/>
      </w:rPr>
      <w:instrText xml:space="preserve"> Styleref "Name of Act/Reg" </w:instrText>
    </w:r>
    <w:r>
      <w:rPr>
        <w:i/>
      </w:rPr>
      <w:fldChar w:fldCharType="separate"/>
    </w:r>
    <w:r w:rsidR="00FD03CA">
      <w:rPr>
        <w:i/>
        <w:noProof/>
      </w:rPr>
      <w:t>Carnarvon Electric Lighting Act 1924</w:t>
    </w:r>
    <w:r>
      <w:rPr>
        <w:i/>
      </w:rPr>
      <w:fldChar w:fldCharType="end"/>
    </w:r>
  </w:p>
  <w:p w:rsidR="002C7D96" w:rsidRDefault="002C7D96">
    <w:pPr>
      <w:pStyle w:val="headerpartodd"/>
      <w:ind w:left="0" w:firstLine="0"/>
      <w:rPr>
        <w:b w:val="0"/>
        <w:i/>
      </w:rPr>
    </w:pPr>
  </w:p>
  <w:p w:rsidR="002C7D96" w:rsidRDefault="002C7D96">
    <w:pPr>
      <w:pStyle w:val="headerpart"/>
    </w:pPr>
  </w:p>
  <w:p w:rsidR="002C7D96" w:rsidRDefault="002C7D96">
    <w:pPr>
      <w:pStyle w:val="headerpart"/>
    </w:pPr>
  </w:p>
  <w:p w:rsidR="002C7D96" w:rsidRDefault="002C7D96">
    <w:pPr>
      <w:pBdr>
        <w:bottom w:val="single" w:sz="6" w:space="1" w:color="auto"/>
      </w:pBdr>
      <w:rPr>
        <w:b/>
      </w:rPr>
    </w:pPr>
  </w:p>
  <w:p w:rsidR="002C7D96" w:rsidRDefault="002C7D96">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490028">
    <w:pPr>
      <w:pStyle w:val="headerpartodd"/>
      <w:ind w:left="0" w:firstLine="0"/>
      <w:jc w:val="right"/>
      <w:rPr>
        <w:i/>
      </w:rPr>
    </w:pPr>
    <w:r>
      <w:rPr>
        <w:i/>
      </w:rPr>
      <w:fldChar w:fldCharType="begin"/>
    </w:r>
    <w:r>
      <w:rPr>
        <w:i/>
      </w:rPr>
      <w:instrText xml:space="preserve"> Styleref "Name of Act/Reg" </w:instrText>
    </w:r>
    <w:r>
      <w:rPr>
        <w:i/>
      </w:rPr>
      <w:fldChar w:fldCharType="separate"/>
    </w:r>
    <w:r w:rsidR="00FD03CA">
      <w:rPr>
        <w:i/>
        <w:noProof/>
      </w:rPr>
      <w:t>Carnarvon Electric Lighting Act 1924</w:t>
    </w:r>
    <w:r>
      <w:rPr>
        <w:i/>
      </w:rPr>
      <w:fldChar w:fldCharType="end"/>
    </w:r>
  </w:p>
  <w:p w:rsidR="002C7D96" w:rsidRDefault="002C7D96">
    <w:pPr>
      <w:pStyle w:val="headerpartodd"/>
      <w:ind w:left="0" w:firstLine="0"/>
      <w:jc w:val="right"/>
      <w:rPr>
        <w:b w:val="0"/>
        <w:i/>
      </w:rPr>
    </w:pPr>
  </w:p>
  <w:p w:rsidR="002C7D96" w:rsidRDefault="002C7D96">
    <w:pPr>
      <w:pStyle w:val="headerpart"/>
      <w:jc w:val="right"/>
    </w:pPr>
  </w:p>
  <w:p w:rsidR="002C7D96" w:rsidRDefault="002C7D96">
    <w:pPr>
      <w:pStyle w:val="headerpart"/>
      <w:jc w:val="right"/>
      <w:rPr>
        <w:sz w:val="24"/>
      </w:rPr>
    </w:pPr>
  </w:p>
  <w:p w:rsidR="002C7D96" w:rsidRDefault="002C7D96">
    <w:pPr>
      <w:pBdr>
        <w:bottom w:val="single" w:sz="6" w:space="1" w:color="auto"/>
      </w:pBdr>
      <w:jc w:val="right"/>
      <w:rPr>
        <w:b/>
      </w:rPr>
    </w:pPr>
  </w:p>
  <w:p w:rsidR="002C7D96" w:rsidRDefault="002C7D96">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3CA" w:rsidRDefault="00FD03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3CA" w:rsidRDefault="00FD03C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C7D96">
      <w:trPr>
        <w:cantSplit/>
      </w:trPr>
      <w:tc>
        <w:tcPr>
          <w:tcW w:w="7312" w:type="dxa"/>
          <w:gridSpan w:val="2"/>
        </w:tcPr>
        <w:p w:rsidR="002C7D96" w:rsidRDefault="00490028">
          <w:pPr>
            <w:pStyle w:val="HeaderActNameLeft"/>
          </w:pPr>
          <w:r>
            <w:rPr>
              <w:i w:val="0"/>
            </w:rPr>
            <w:fldChar w:fldCharType="begin"/>
          </w:r>
          <w:r>
            <w:rPr>
              <w:i w:val="0"/>
            </w:rPr>
            <w:instrText xml:space="preserve"> Styleref "Name of Act/Reg" </w:instrText>
          </w:r>
          <w:r>
            <w:rPr>
              <w:i w:val="0"/>
            </w:rPr>
            <w:fldChar w:fldCharType="separate"/>
          </w:r>
          <w:r w:rsidR="00FD03CA">
            <w:rPr>
              <w:i w:val="0"/>
              <w:noProof/>
            </w:rPr>
            <w:t>Carnarvon Electric Lighting Act 1924</w:t>
          </w:r>
          <w:r>
            <w:rPr>
              <w:i w:val="0"/>
            </w:rPr>
            <w:fldChar w:fldCharType="end"/>
          </w:r>
        </w:p>
      </w:tc>
    </w:tr>
    <w:tr w:rsidR="002C7D96">
      <w:tc>
        <w:tcPr>
          <w:tcW w:w="1548" w:type="dxa"/>
        </w:tcPr>
        <w:p w:rsidR="002C7D96" w:rsidRDefault="002C7D96">
          <w:pPr>
            <w:pStyle w:val="HeaderNumberLeft"/>
          </w:pPr>
        </w:p>
      </w:tc>
      <w:tc>
        <w:tcPr>
          <w:tcW w:w="5764" w:type="dxa"/>
        </w:tcPr>
        <w:p w:rsidR="002C7D96" w:rsidRDefault="002C7D96">
          <w:pPr>
            <w:pStyle w:val="HeaderTextLeft"/>
          </w:pPr>
        </w:p>
      </w:tc>
    </w:tr>
    <w:tr w:rsidR="002C7D96">
      <w:tc>
        <w:tcPr>
          <w:tcW w:w="1548" w:type="dxa"/>
        </w:tcPr>
        <w:p w:rsidR="002C7D96" w:rsidRDefault="002C7D96">
          <w:pPr>
            <w:pStyle w:val="HeaderNumberLeft"/>
          </w:pPr>
        </w:p>
      </w:tc>
      <w:tc>
        <w:tcPr>
          <w:tcW w:w="5764" w:type="dxa"/>
        </w:tcPr>
        <w:p w:rsidR="002C7D96" w:rsidRDefault="002C7D96">
          <w:pPr>
            <w:pStyle w:val="HeaderTextLeft"/>
          </w:pPr>
        </w:p>
      </w:tc>
    </w:tr>
    <w:tr w:rsidR="002C7D96">
      <w:trPr>
        <w:cantSplit/>
      </w:trPr>
      <w:tc>
        <w:tcPr>
          <w:tcW w:w="7312" w:type="dxa"/>
          <w:gridSpan w:val="2"/>
        </w:tcPr>
        <w:p w:rsidR="002C7D96" w:rsidRDefault="002C7D96">
          <w:pPr>
            <w:pStyle w:val="HeaderSectionLeft"/>
          </w:pPr>
        </w:p>
      </w:tc>
    </w:tr>
  </w:tbl>
  <w:p w:rsidR="002C7D96" w:rsidRDefault="002C7D9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2C7D96">
      <w:trPr>
        <w:cantSplit/>
      </w:trPr>
      <w:tc>
        <w:tcPr>
          <w:tcW w:w="7312" w:type="dxa"/>
          <w:gridSpan w:val="2"/>
        </w:tcPr>
        <w:p w:rsidR="002C7D96" w:rsidRDefault="00FD03CA">
          <w:pPr>
            <w:pStyle w:val="HeaderActNameRight"/>
          </w:pPr>
          <w:r>
            <w:fldChar w:fldCharType="begin"/>
          </w:r>
          <w:r>
            <w:instrText xml:space="preserve"> Styleref "Name of Act/Reg" </w:instrText>
          </w:r>
          <w:r>
            <w:fldChar w:fldCharType="separate"/>
          </w:r>
          <w:r>
            <w:rPr>
              <w:noProof/>
            </w:rPr>
            <w:t>Carnarvon Electric Lighting Act 1924</w:t>
          </w:r>
          <w:r>
            <w:rPr>
              <w:noProof/>
            </w:rPr>
            <w:fldChar w:fldCharType="end"/>
          </w:r>
        </w:p>
      </w:tc>
    </w:tr>
    <w:tr w:rsidR="002C7D96">
      <w:tc>
        <w:tcPr>
          <w:tcW w:w="5760" w:type="dxa"/>
        </w:tcPr>
        <w:p w:rsidR="002C7D96" w:rsidRDefault="002C7D96">
          <w:pPr>
            <w:pStyle w:val="HeaderTextRight"/>
          </w:pPr>
        </w:p>
      </w:tc>
      <w:tc>
        <w:tcPr>
          <w:tcW w:w="1552" w:type="dxa"/>
        </w:tcPr>
        <w:p w:rsidR="002C7D96" w:rsidRDefault="002C7D96">
          <w:pPr>
            <w:pStyle w:val="HeaderNumberRight"/>
          </w:pPr>
        </w:p>
      </w:tc>
    </w:tr>
    <w:tr w:rsidR="002C7D96">
      <w:tc>
        <w:tcPr>
          <w:tcW w:w="5760" w:type="dxa"/>
        </w:tcPr>
        <w:p w:rsidR="002C7D96" w:rsidRDefault="002C7D96">
          <w:pPr>
            <w:pStyle w:val="HeaderTextRight"/>
          </w:pPr>
        </w:p>
      </w:tc>
      <w:tc>
        <w:tcPr>
          <w:tcW w:w="1552" w:type="dxa"/>
        </w:tcPr>
        <w:p w:rsidR="002C7D96" w:rsidRDefault="002C7D96">
          <w:pPr>
            <w:pStyle w:val="HeaderNumberRight"/>
          </w:pPr>
        </w:p>
      </w:tc>
    </w:tr>
    <w:tr w:rsidR="002C7D96">
      <w:trPr>
        <w:cantSplit/>
      </w:trPr>
      <w:tc>
        <w:tcPr>
          <w:tcW w:w="7312" w:type="dxa"/>
          <w:gridSpan w:val="2"/>
        </w:tcPr>
        <w:p w:rsidR="002C7D96" w:rsidRDefault="002C7D96">
          <w:pPr>
            <w:pStyle w:val="HeaderSectionRight"/>
          </w:pPr>
        </w:p>
      </w:tc>
    </w:tr>
  </w:tbl>
  <w:p w:rsidR="002C7D96" w:rsidRDefault="002C7D9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2C7D96">
      <w:trPr>
        <w:cantSplit/>
      </w:trPr>
      <w:tc>
        <w:tcPr>
          <w:tcW w:w="7312" w:type="dxa"/>
          <w:gridSpan w:val="2"/>
        </w:tcPr>
        <w:p w:rsidR="002C7D96" w:rsidRDefault="00FD03CA">
          <w:pPr>
            <w:pStyle w:val="HeaderActNameLeft"/>
          </w:pPr>
          <w:r>
            <w:fldChar w:fldCharType="begin"/>
          </w:r>
          <w:r>
            <w:instrText xml:space="preserve"> Stylere</w:instrText>
          </w:r>
          <w:r>
            <w:instrText xml:space="preserve">f "Name of Act/Reg" </w:instrText>
          </w:r>
          <w:r>
            <w:fldChar w:fldCharType="separate"/>
          </w:r>
          <w:r>
            <w:rPr>
              <w:noProof/>
            </w:rPr>
            <w:t>Carnarvon Electric Lighting Act 1924</w:t>
          </w:r>
          <w:r>
            <w:rPr>
              <w:noProof/>
            </w:rPr>
            <w:fldChar w:fldCharType="end"/>
          </w:r>
        </w:p>
      </w:tc>
    </w:tr>
    <w:tr w:rsidR="002C7D96">
      <w:tc>
        <w:tcPr>
          <w:tcW w:w="1305" w:type="dxa"/>
        </w:tcPr>
        <w:p w:rsidR="002C7D96" w:rsidRDefault="00490028">
          <w:pPr>
            <w:pStyle w:val="HeaderNumberLeft"/>
          </w:pPr>
          <w:r>
            <w:fldChar w:fldCharType="begin"/>
          </w:r>
          <w:r>
            <w:instrText xml:space="preserve"> styleref CharPartNo </w:instrText>
          </w:r>
          <w:r>
            <w:fldChar w:fldCharType="end"/>
          </w:r>
        </w:p>
      </w:tc>
      <w:tc>
        <w:tcPr>
          <w:tcW w:w="6007" w:type="dxa"/>
        </w:tcPr>
        <w:p w:rsidR="002C7D96" w:rsidRDefault="00490028">
          <w:pPr>
            <w:pStyle w:val="HeaderTextLeft"/>
          </w:pPr>
          <w:r>
            <w:fldChar w:fldCharType="begin"/>
          </w:r>
          <w:r>
            <w:instrText xml:space="preserve"> styleref CharPartText </w:instrText>
          </w:r>
          <w:r>
            <w:fldChar w:fldCharType="end"/>
          </w:r>
        </w:p>
      </w:tc>
    </w:tr>
    <w:tr w:rsidR="002C7D96">
      <w:tc>
        <w:tcPr>
          <w:tcW w:w="1305" w:type="dxa"/>
        </w:tcPr>
        <w:p w:rsidR="002C7D96" w:rsidRDefault="00490028">
          <w:pPr>
            <w:pStyle w:val="HeaderNumberLeft"/>
          </w:pPr>
          <w:r>
            <w:fldChar w:fldCharType="begin"/>
          </w:r>
          <w:r>
            <w:instrText xml:space="preserve"> styleref CharDivNo </w:instrText>
          </w:r>
          <w:r>
            <w:fldChar w:fldCharType="end"/>
          </w:r>
        </w:p>
      </w:tc>
      <w:tc>
        <w:tcPr>
          <w:tcW w:w="6007" w:type="dxa"/>
        </w:tcPr>
        <w:p w:rsidR="002C7D96" w:rsidRDefault="00490028">
          <w:pPr>
            <w:pStyle w:val="HeaderTextLeft"/>
          </w:pPr>
          <w:r>
            <w:fldChar w:fldCharType="begin"/>
          </w:r>
          <w:r>
            <w:instrText xml:space="preserve"> styleref CharDivText </w:instrText>
          </w:r>
          <w:r>
            <w:fldChar w:fldCharType="end"/>
          </w:r>
        </w:p>
      </w:tc>
    </w:tr>
    <w:tr w:rsidR="002C7D96">
      <w:trPr>
        <w:cantSplit/>
      </w:trPr>
      <w:tc>
        <w:tcPr>
          <w:tcW w:w="7312" w:type="dxa"/>
          <w:gridSpan w:val="2"/>
        </w:tcPr>
        <w:p w:rsidR="002C7D96" w:rsidRDefault="00490028">
          <w:pPr>
            <w:pStyle w:val="HeaderSectionLeft"/>
          </w:pPr>
          <w:r>
            <w:t xml:space="preserve">s. </w:t>
          </w:r>
          <w:r w:rsidR="00FD03CA">
            <w:fldChar w:fldCharType="begin"/>
          </w:r>
          <w:r w:rsidR="00FD03CA">
            <w:instrText xml:space="preserve"> styleref CharSectno </w:instrText>
          </w:r>
          <w:r w:rsidR="00FD03CA">
            <w:fldChar w:fldCharType="separate"/>
          </w:r>
          <w:r w:rsidR="00FD03CA">
            <w:rPr>
              <w:noProof/>
            </w:rPr>
            <w:t>1</w:t>
          </w:r>
          <w:r w:rsidR="00FD03CA">
            <w:rPr>
              <w:noProof/>
            </w:rPr>
            <w:fldChar w:fldCharType="end"/>
          </w:r>
        </w:p>
      </w:tc>
    </w:tr>
  </w:tbl>
  <w:p w:rsidR="002C7D96" w:rsidRDefault="002C7D96">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2C7D96">
      <w:trPr>
        <w:cantSplit/>
      </w:trPr>
      <w:tc>
        <w:tcPr>
          <w:tcW w:w="7312" w:type="dxa"/>
          <w:gridSpan w:val="2"/>
        </w:tcPr>
        <w:p w:rsidR="002C7D96" w:rsidRDefault="00FD03CA">
          <w:pPr>
            <w:pStyle w:val="HeaderActNameRight"/>
          </w:pPr>
          <w:r>
            <w:fldChar w:fldCharType="begin"/>
          </w:r>
          <w:r>
            <w:instrText xml:space="preserve"> Styleref "Name of Act/Reg" </w:instrText>
          </w:r>
          <w:r>
            <w:fldChar w:fldCharType="separate"/>
          </w:r>
          <w:r>
            <w:rPr>
              <w:noProof/>
            </w:rPr>
            <w:t>Carnarvon Electric Lighting Act 1924</w:t>
          </w:r>
          <w:r>
            <w:rPr>
              <w:noProof/>
            </w:rPr>
            <w:fldChar w:fldCharType="end"/>
          </w:r>
        </w:p>
      </w:tc>
    </w:tr>
    <w:tr w:rsidR="002C7D96">
      <w:tc>
        <w:tcPr>
          <w:tcW w:w="5985" w:type="dxa"/>
        </w:tcPr>
        <w:p w:rsidR="002C7D96" w:rsidRDefault="00490028">
          <w:pPr>
            <w:pStyle w:val="HeaderTextRight"/>
          </w:pPr>
          <w:r>
            <w:fldChar w:fldCharType="begin"/>
          </w:r>
          <w:r>
            <w:instrText xml:space="preserve"> styleref CharPartText </w:instrText>
          </w:r>
          <w:r>
            <w:fldChar w:fldCharType="end"/>
          </w:r>
        </w:p>
      </w:tc>
      <w:tc>
        <w:tcPr>
          <w:tcW w:w="1327" w:type="dxa"/>
        </w:tcPr>
        <w:p w:rsidR="002C7D96" w:rsidRDefault="00490028">
          <w:pPr>
            <w:pStyle w:val="HeaderNumberRight"/>
          </w:pPr>
          <w:r>
            <w:fldChar w:fldCharType="begin"/>
          </w:r>
          <w:r>
            <w:instrText xml:space="preserve"> styleref CharPartNo </w:instrText>
          </w:r>
          <w:r>
            <w:fldChar w:fldCharType="end"/>
          </w:r>
        </w:p>
      </w:tc>
    </w:tr>
    <w:tr w:rsidR="002C7D96">
      <w:tc>
        <w:tcPr>
          <w:tcW w:w="5985" w:type="dxa"/>
        </w:tcPr>
        <w:p w:rsidR="002C7D96" w:rsidRDefault="00490028">
          <w:pPr>
            <w:pStyle w:val="HeaderTextRight"/>
          </w:pPr>
          <w:r>
            <w:fldChar w:fldCharType="begin"/>
          </w:r>
          <w:r>
            <w:instrText xml:space="preserve"> styleref CharDivText </w:instrText>
          </w:r>
          <w:r>
            <w:fldChar w:fldCharType="end"/>
          </w:r>
        </w:p>
      </w:tc>
      <w:tc>
        <w:tcPr>
          <w:tcW w:w="1327" w:type="dxa"/>
        </w:tcPr>
        <w:p w:rsidR="002C7D96" w:rsidRDefault="00490028">
          <w:pPr>
            <w:pStyle w:val="HeaderNumberRight"/>
          </w:pPr>
          <w:r>
            <w:fldChar w:fldCharType="begin"/>
          </w:r>
          <w:r>
            <w:instrText xml:space="preserve"> styleref CharDivNo </w:instrText>
          </w:r>
          <w:r>
            <w:fldChar w:fldCharType="end"/>
          </w:r>
        </w:p>
      </w:tc>
    </w:tr>
    <w:tr w:rsidR="002C7D96">
      <w:trPr>
        <w:cantSplit/>
      </w:trPr>
      <w:tc>
        <w:tcPr>
          <w:tcW w:w="7312" w:type="dxa"/>
          <w:gridSpan w:val="2"/>
        </w:tcPr>
        <w:p w:rsidR="002C7D96" w:rsidRDefault="00490028">
          <w:pPr>
            <w:pStyle w:val="HeaderSectionRight"/>
          </w:pPr>
          <w:r>
            <w:t xml:space="preserve">s. </w:t>
          </w:r>
          <w:r w:rsidR="00FD03CA">
            <w:fldChar w:fldCharType="begin"/>
          </w:r>
          <w:r w:rsidR="00FD03CA">
            <w:instrText xml:space="preserve"> styleref CharSectno </w:instrText>
          </w:r>
          <w:r w:rsidR="00FD03CA">
            <w:fldChar w:fldCharType="separate"/>
          </w:r>
          <w:r w:rsidR="00FD03CA">
            <w:rPr>
              <w:noProof/>
            </w:rPr>
            <w:t>1</w:t>
          </w:r>
          <w:r w:rsidR="00FD03CA">
            <w:rPr>
              <w:noProof/>
            </w:rPr>
            <w:fldChar w:fldCharType="end"/>
          </w:r>
        </w:p>
      </w:tc>
    </w:tr>
  </w:tbl>
  <w:p w:rsidR="002C7D96" w:rsidRDefault="002C7D96">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D96" w:rsidRDefault="002C7D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pStyle w:val="SectionNumbers"/>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22FF52EB"/>
    <w:multiLevelType w:val="multilevel"/>
    <w:tmpl w:val="A6FA58E8"/>
    <w:name w:val="DefinitionNumbers"/>
    <w:lvl w:ilvl="0">
      <w:start w:val="1"/>
      <w:numFmt w:val="none"/>
      <w:pStyle w:val="DefinitionNumbers"/>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2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10"/>
  <w:drawingGridVerticalSpacing w:val="299"/>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1114455"/>
    <w:docVar w:name="WAFER_20140121113449" w:val="RemoveTocBookmarks,RemoveUnusedBookmarks,RemoveLanguageTags,UsedStyles,ResetPageSize,UpdateArrangement"/>
    <w:docVar w:name="WAFER_20140121113449_GUID" w:val="a6a4655c-07cb-4747-a4d1-87135637c895"/>
    <w:docVar w:name="WAFER_20140121114455" w:val="RemoveTocBookmarks,RunningHeaders"/>
    <w:docVar w:name="WAFER_20140121114455_GUID" w:val="bc846d00-c34b-42c9-b069-9e5229066d33"/>
  </w:docVars>
  <w:rsids>
    <w:rsidRoot w:val="00490028"/>
    <w:rsid w:val="00153F40"/>
    <w:rsid w:val="00220162"/>
    <w:rsid w:val="002C7D96"/>
    <w:rsid w:val="00490028"/>
    <w:rsid w:val="00D76937"/>
    <w:rsid w:val="00E00F52"/>
    <w:rsid w:val="00FD03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sz w:val="24"/>
    </w:rPr>
  </w:style>
  <w:style w:type="paragraph" w:styleId="Heading5">
    <w:name w:val="heading 5"/>
    <w:next w:val="Normal"/>
    <w:qFormat/>
    <w:pPr>
      <w:keepNext/>
      <w:keepLines/>
      <w:tabs>
        <w:tab w:val="left" w:pos="893"/>
      </w:tabs>
      <w:spacing w:before="220" w:line="260" w:lineRule="atLeast"/>
      <w:ind w:left="893" w:hanging="893"/>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noProof w:val="0"/>
      <w:sz w:val="18"/>
    </w:rPr>
  </w:style>
  <w:style w:type="character" w:styleId="PageNumber">
    <w:name w:val="page number"/>
    <w:basedOn w:val="DefaultParagraphFont"/>
    <w:semiHidden/>
    <w:rPr>
      <w:noProof w:val="0"/>
      <w:sz w:val="2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rPr>
  </w:style>
  <w:style w:type="character" w:styleId="Strong">
    <w:name w:val="Strong"/>
    <w:basedOn w:val="DefaultParagraphFont"/>
    <w:qFormat/>
    <w:rPr>
      <w:b/>
      <w:noProof w:val="0"/>
      <w:sz w:val="24"/>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240" w:after="120" w:line="240" w:lineRule="auto"/>
      <w:ind w:left="648" w:right="288"/>
      <w:outlineLvl w:val="9"/>
    </w:pPr>
    <w:rPr>
      <w:snapToGrid/>
    </w:rPr>
  </w:style>
  <w:style w:type="paragraph" w:styleId="TOC4">
    <w:name w:val="toc 4"/>
    <w:basedOn w:val="Heading4"/>
    <w:next w:val="Normal"/>
    <w:uiPriority w:val="39"/>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noProof w:val="0"/>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rPr>
  </w:style>
  <w:style w:type="character" w:styleId="FollowedHyperlink">
    <w:name w:val="FollowedHyperlink"/>
    <w:basedOn w:val="DefaultParagraphFont"/>
    <w:semiHidden/>
    <w:rPr>
      <w:noProof w:val="0"/>
      <w:color w:val="800080"/>
      <w:sz w:val="24"/>
      <w:u w:val="single"/>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pPr>
      <w:spacing w:before="600"/>
    </w:pPr>
    <w:rPr>
      <w:b/>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rPr>
  </w:style>
  <w:style w:type="paragraph" w:customStyle="1" w:styleId="IndentA0">
    <w:name w:val="Indent(A)"/>
    <w:pPr>
      <w:keepLines/>
      <w:tabs>
        <w:tab w:val="right" w:pos="2621"/>
        <w:tab w:val="left" w:pos="2909"/>
      </w:tabs>
      <w:spacing w:before="80" w:line="260" w:lineRule="atLeast"/>
      <w:ind w:left="2909" w:hanging="2909"/>
    </w:pPr>
    <w:rPr>
      <w:sz w:val="24"/>
    </w:rPr>
  </w:style>
  <w:style w:type="paragraph" w:customStyle="1" w:styleId="Indenti">
    <w:name w:val="Indent(i)"/>
    <w:pPr>
      <w:tabs>
        <w:tab w:val="right" w:pos="2045"/>
        <w:tab w:val="left" w:pos="2333"/>
      </w:tabs>
      <w:spacing w:before="80" w:line="260" w:lineRule="atLeast"/>
      <w:ind w:left="2333" w:hanging="2333"/>
    </w:pPr>
    <w:rPr>
      <w:sz w:val="24"/>
    </w:rPr>
  </w:style>
  <w:style w:type="paragraph" w:customStyle="1" w:styleId="IndentI0">
    <w:name w:val="Indent(I)"/>
    <w:pPr>
      <w:keepLines/>
      <w:tabs>
        <w:tab w:val="right" w:pos="3197"/>
        <w:tab w:val="left" w:pos="3485"/>
      </w:tabs>
      <w:spacing w:before="80" w:line="260" w:lineRule="atLeast"/>
      <w:ind w:left="3485" w:hanging="3485"/>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325"/>
        <w:tab w:val="left" w:pos="1613"/>
      </w:tabs>
      <w:spacing w:before="80" w:line="260" w:lineRule="atLeast"/>
      <w:ind w:left="1613" w:hanging="1613"/>
    </w:pPr>
    <w:rPr>
      <w:sz w:val="24"/>
    </w:rPr>
  </w:style>
  <w:style w:type="paragraph" w:customStyle="1" w:styleId="Pensubpara">
    <w:name w:val="Pensubpara"/>
    <w:pPr>
      <w:tabs>
        <w:tab w:val="right" w:pos="2045"/>
        <w:tab w:val="left" w:pos="2333"/>
      </w:tabs>
      <w:spacing w:before="160" w:line="260" w:lineRule="atLeast"/>
      <w:ind w:firstLine="2333"/>
    </w:pPr>
    <w:rPr>
      <w:sz w:val="24"/>
    </w:rPr>
  </w:style>
  <w:style w:type="paragraph" w:customStyle="1" w:styleId="Penitem">
    <w:name w:val="Penitem"/>
    <w:pPr>
      <w:tabs>
        <w:tab w:val="right" w:pos="2765"/>
        <w:tab w:val="left" w:pos="3053"/>
      </w:tabs>
      <w:spacing w:before="80" w:line="260" w:lineRule="atLeast"/>
      <w:ind w:left="3053" w:hanging="3053"/>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2"/>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nzTable">
    <w:name w:val="n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character" w:customStyle="1" w:styleId="CharDefText">
    <w:name w:val="CharDefText"/>
    <w:basedOn w:val="DefaultParagraphFont"/>
    <w:rPr>
      <w:b/>
      <w:i/>
      <w:noProof w:val="0"/>
      <w:sz w:val="22"/>
    </w:rPr>
  </w:style>
  <w:style w:type="paragraph" w:customStyle="1" w:styleId="yFootnoteheading">
    <w:name w:val="yFootnote(heading)"/>
    <w:basedOn w:val="Footnoteheading"/>
    <w:rPr>
      <w:sz w:val="22"/>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sz w:val="24"/>
    </w:rPr>
  </w:style>
  <w:style w:type="paragraph" w:styleId="Heading5">
    <w:name w:val="heading 5"/>
    <w:next w:val="Normal"/>
    <w:qFormat/>
    <w:pPr>
      <w:keepNext/>
      <w:keepLines/>
      <w:tabs>
        <w:tab w:val="left" w:pos="893"/>
      </w:tabs>
      <w:spacing w:before="220" w:line="260" w:lineRule="atLeast"/>
      <w:ind w:left="893" w:hanging="893"/>
      <w:outlineLvl w:val="4"/>
    </w:pPr>
    <w:rPr>
      <w:b/>
      <w:sz w:val="24"/>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800"/>
      <w:jc w:val="center"/>
    </w:pPr>
    <w:rPr>
      <w:b/>
      <w:snapToGrid w:val="0"/>
      <w:sz w:val="38"/>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sz w:val="24"/>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noProof w:val="0"/>
      <w:sz w:val="18"/>
    </w:rPr>
  </w:style>
  <w:style w:type="character" w:styleId="PageNumber">
    <w:name w:val="page number"/>
    <w:basedOn w:val="DefaultParagraphFont"/>
    <w:semiHidden/>
    <w:rPr>
      <w:noProof w:val="0"/>
      <w:sz w:val="24"/>
    </w:rPr>
  </w:style>
  <w:style w:type="paragraph" w:customStyle="1" w:styleId="zPenstart">
    <w:name w:val="zPenstart"/>
    <w:basedOn w:val="Penstart"/>
    <w:pPr>
      <w:pBdr>
        <w:left w:val="threeDEngrave" w:sz="24" w:space="4" w:color="auto"/>
        <w:right w:val="threeDEmboss" w:sz="24" w:space="4" w:color="auto"/>
      </w:pBdr>
      <w:shd w:val="pct12" w:color="808080" w:fill="FFFFFF"/>
    </w:pPr>
  </w:style>
  <w:style w:type="paragraph" w:customStyle="1" w:styleId="Penstart">
    <w:name w:val="Penstart"/>
    <w:basedOn w:val="Normal"/>
    <w:pPr>
      <w:tabs>
        <w:tab w:val="left" w:pos="893"/>
      </w:tabs>
      <w:spacing w:before="80" w:line="260" w:lineRule="atLeast"/>
      <w:ind w:left="893" w:hanging="893"/>
    </w:pPr>
    <w:rPr>
      <w:sz w:val="24"/>
    </w:rPr>
  </w:style>
  <w:style w:type="paragraph" w:customStyle="1" w:styleId="Preamble">
    <w:name w:val="Preamble"/>
    <w:pPr>
      <w:tabs>
        <w:tab w:val="right" w:pos="605"/>
        <w:tab w:val="left" w:pos="893"/>
      </w:tabs>
      <w:spacing w:before="160" w:line="260" w:lineRule="atLeast"/>
    </w:pPr>
    <w:rPr>
      <w:sz w:val="24"/>
    </w:rPr>
  </w:style>
  <w:style w:type="character" w:styleId="Strong">
    <w:name w:val="Strong"/>
    <w:basedOn w:val="DefaultParagraphFont"/>
    <w:qFormat/>
    <w:rPr>
      <w:b/>
      <w:noProof w:val="0"/>
      <w:sz w:val="24"/>
    </w:rPr>
  </w:style>
  <w:style w:type="paragraph" w:customStyle="1" w:styleId="ySubsection">
    <w:name w:val="ySubsection"/>
    <w:basedOn w:val="Subsection"/>
    <w:rPr>
      <w:sz w:val="22"/>
    </w:rPr>
  </w:style>
  <w:style w:type="paragraph" w:customStyle="1" w:styleId="Subsection">
    <w:name w:val="Subsection"/>
    <w:pPr>
      <w:tabs>
        <w:tab w:val="right" w:pos="605"/>
        <w:tab w:val="left" w:pos="893"/>
      </w:tabs>
      <w:spacing w:before="160" w:line="260" w:lineRule="atLeast"/>
      <w:ind w:left="893" w:hanging="893"/>
    </w:pPr>
    <w:rPr>
      <w:sz w:val="24"/>
    </w:rPr>
  </w:style>
  <w:style w:type="paragraph" w:customStyle="1" w:styleId="Tablea">
    <w:name w:val="Table(a)"/>
    <w:aliases w:val="ta"/>
    <w:basedOn w:val="Normal"/>
    <w:pPr>
      <w:ind w:left="284" w:hanging="284"/>
    </w:pPr>
    <w:rPr>
      <w:rFonts w:ascii="NewCenturySchlbk" w:hAnsi="NewCenturySchlbk"/>
      <w:sz w:val="24"/>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sz w:val="24"/>
    </w:rPr>
  </w:style>
  <w:style w:type="paragraph" w:customStyle="1" w:styleId="Table">
    <w:name w:val="Table"/>
    <w:aliases w:val="t"/>
    <w:basedOn w:val="Normal"/>
    <w:pPr>
      <w:spacing w:before="60" w:line="240" w:lineRule="atLeast"/>
    </w:pPr>
    <w:rPr>
      <w:sz w:val="24"/>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240" w:after="120" w:line="240" w:lineRule="auto"/>
      <w:ind w:left="648" w:right="288"/>
      <w:outlineLvl w:val="9"/>
    </w:pPr>
    <w:rPr>
      <w:snapToGrid/>
    </w:rPr>
  </w:style>
  <w:style w:type="paragraph" w:styleId="TOC4">
    <w:name w:val="toc 4"/>
    <w:basedOn w:val="Heading4"/>
    <w:next w:val="Normal"/>
    <w:uiPriority w:val="39"/>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93"/>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noProof w:val="0"/>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rPr>
      <w:rFonts w:ascii="Tahoma" w:hAnsi="Tahoma"/>
    </w:rPr>
  </w:style>
  <w:style w:type="paragraph" w:customStyle="1" w:styleId="zSubsection">
    <w:name w:val="zSubsection"/>
    <w:basedOn w:val="Subsection"/>
    <w:pPr>
      <w:pBdr>
        <w:left w:val="threeDEngrave" w:sz="24" w:space="4" w:color="auto"/>
        <w:right w:val="threeDEmboss" w:sz="24" w:space="4" w:color="auto"/>
      </w:pBdr>
      <w:shd w:val="pct12" w:color="808080" w:fill="FFFFFF"/>
    </w:pPr>
  </w:style>
  <w:style w:type="character" w:styleId="Hyperlink">
    <w:name w:val="Hyperlink"/>
    <w:basedOn w:val="DefaultParagraphFont"/>
    <w:semiHidden/>
    <w:rPr>
      <w:noProof w:val="0"/>
      <w:color w:val="0000FF"/>
      <w:sz w:val="24"/>
      <w:u w:val="single"/>
    </w:rPr>
  </w:style>
  <w:style w:type="character" w:styleId="FollowedHyperlink">
    <w:name w:val="FollowedHyperlink"/>
    <w:basedOn w:val="DefaultParagraphFont"/>
    <w:semiHidden/>
    <w:rPr>
      <w:noProof w:val="0"/>
      <w:color w:val="800080"/>
      <w:sz w:val="24"/>
      <w:u w:val="single"/>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rPr>
      <w:rFonts w:ascii="NewCenturySchlbk" w:hAnsi="NewCenturySchlbk"/>
      <w:sz w:val="24"/>
    </w:r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pPr>
      <w:spacing w:before="600"/>
    </w:pPr>
    <w:rPr>
      <w:b/>
      <w:sz w:val="24"/>
    </w:rPr>
  </w:style>
  <w:style w:type="paragraph" w:styleId="Signature">
    <w:name w:val="Signature"/>
    <w:basedOn w:val="Normal"/>
    <w:semiHidden/>
    <w:pPr>
      <w:ind w:left="4252"/>
    </w:pPr>
    <w:rPr>
      <w:sz w:val="24"/>
    </w:rPr>
  </w:style>
  <w:style w:type="paragraph" w:styleId="List">
    <w:name w:val="List"/>
    <w:basedOn w:val="Normal"/>
    <w:semiHidden/>
    <w:pPr>
      <w:ind w:left="283" w:hanging="283"/>
    </w:pPr>
  </w:style>
  <w:style w:type="paragraph" w:customStyle="1" w:styleId="Indenta">
    <w:name w:val="Indent(a)"/>
    <w:pPr>
      <w:keepLines/>
      <w:tabs>
        <w:tab w:val="right" w:pos="1325"/>
        <w:tab w:val="left" w:pos="1613"/>
      </w:tabs>
      <w:spacing w:before="80" w:line="260" w:lineRule="atLeast"/>
      <w:ind w:left="1613" w:hanging="1613"/>
    </w:pPr>
    <w:rPr>
      <w:sz w:val="24"/>
    </w:rPr>
  </w:style>
  <w:style w:type="paragraph" w:customStyle="1" w:styleId="IndentA0">
    <w:name w:val="Indent(A)"/>
    <w:pPr>
      <w:keepLines/>
      <w:tabs>
        <w:tab w:val="right" w:pos="2621"/>
        <w:tab w:val="left" w:pos="2909"/>
      </w:tabs>
      <w:spacing w:before="80" w:line="260" w:lineRule="atLeast"/>
      <w:ind w:left="2909" w:hanging="2909"/>
    </w:pPr>
    <w:rPr>
      <w:sz w:val="24"/>
    </w:rPr>
  </w:style>
  <w:style w:type="paragraph" w:customStyle="1" w:styleId="Indenti">
    <w:name w:val="Indent(i)"/>
    <w:pPr>
      <w:tabs>
        <w:tab w:val="right" w:pos="2045"/>
        <w:tab w:val="left" w:pos="2333"/>
      </w:tabs>
      <w:spacing w:before="80" w:line="260" w:lineRule="atLeast"/>
      <w:ind w:left="2333" w:hanging="2333"/>
    </w:pPr>
    <w:rPr>
      <w:sz w:val="24"/>
    </w:rPr>
  </w:style>
  <w:style w:type="paragraph" w:customStyle="1" w:styleId="IndentI0">
    <w:name w:val="Indent(I)"/>
    <w:pPr>
      <w:keepLines/>
      <w:tabs>
        <w:tab w:val="right" w:pos="3197"/>
        <w:tab w:val="left" w:pos="3485"/>
      </w:tabs>
      <w:spacing w:before="80" w:line="260" w:lineRule="atLeast"/>
      <w:ind w:left="3485" w:hanging="3485"/>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60" w:line="260" w:lineRule="atLeast"/>
      <w:jc w:val="center"/>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before="160"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pBdr>
        <w:left w:val="threeDEngrave" w:sz="24" w:space="4" w:color="auto"/>
        <w:right w:val="threeDEmboss" w:sz="24" w:space="4" w:color="auto"/>
      </w:pBdr>
      <w:shd w:val="pct12" w:color="808080" w:fill="FFFFFF"/>
      <w:outlineLvl w:val="9"/>
    </w:pPr>
    <w:rPr>
      <w:sz w:val="36"/>
    </w:rPr>
  </w:style>
  <w:style w:type="paragraph" w:customStyle="1" w:styleId="zHeading2">
    <w:name w:val="zHeading 2"/>
    <w:basedOn w:val="Heading2"/>
    <w:pPr>
      <w:pBdr>
        <w:left w:val="threeDEngrave" w:sz="24" w:space="4" w:color="auto"/>
        <w:right w:val="threeDEmboss" w:sz="24" w:space="4" w:color="auto"/>
      </w:pBdr>
      <w:shd w:val="pct12" w:color="808080" w:fill="FFFFFF"/>
      <w:outlineLvl w:val="9"/>
    </w:pPr>
    <w:rPr>
      <w:sz w:val="32"/>
    </w:rPr>
  </w:style>
  <w:style w:type="paragraph" w:customStyle="1" w:styleId="zHeading3">
    <w:name w:val="zHeading 3"/>
    <w:basedOn w:val="Heading3"/>
    <w:pPr>
      <w:pBdr>
        <w:left w:val="threeDEngrave" w:sz="24" w:space="4" w:color="auto"/>
        <w:right w:val="threeDEmboss" w:sz="24" w:space="4" w:color="auto"/>
      </w:pBdr>
      <w:shd w:val="pct12" w:color="808080" w:fill="FFFFFF"/>
      <w:outlineLvl w:val="9"/>
    </w:pPr>
    <w:rPr>
      <w:sz w:val="28"/>
    </w:rPr>
  </w:style>
  <w:style w:type="paragraph" w:customStyle="1" w:styleId="zHeading4">
    <w:name w:val="zHeading 4"/>
    <w:basedOn w:val="Heading4"/>
    <w:pPr>
      <w:pBdr>
        <w:left w:val="threeDEngrave" w:sz="24" w:space="4" w:color="auto"/>
        <w:right w:val="threeDEmboss" w:sz="24" w:space="4" w:color="auto"/>
      </w:pBdr>
      <w:shd w:val="pct12" w:color="808080" w:fill="FFFFFF"/>
      <w:outlineLvl w:val="9"/>
    </w:pPr>
  </w:style>
  <w:style w:type="paragraph" w:customStyle="1" w:styleId="zHeading5">
    <w:name w:val="zHeading 5"/>
    <w:basedOn w:val="Heading5"/>
    <w:pPr>
      <w:pBdr>
        <w:left w:val="threeDEngrave" w:sz="24" w:space="4" w:color="auto"/>
        <w:right w:val="threeDEmboss" w:sz="24" w:space="4" w:color="auto"/>
      </w:pBdr>
      <w:shd w:val="pct12" w:color="808080" w:fill="FFFFFF"/>
      <w:outlineLvl w:val="9"/>
    </w:pPr>
  </w:style>
  <w:style w:type="paragraph" w:customStyle="1" w:styleId="yHeading2">
    <w:name w:val="yHeading 2"/>
    <w:basedOn w:val="Heading2"/>
    <w:pPr>
      <w:pageBreakBefore w:val="0"/>
      <w:outlineLvl w:val="9"/>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325"/>
        <w:tab w:val="left" w:pos="1613"/>
      </w:tabs>
      <w:spacing w:before="80" w:line="260" w:lineRule="atLeast"/>
      <w:ind w:left="1613" w:hanging="1613"/>
    </w:pPr>
    <w:rPr>
      <w:sz w:val="24"/>
    </w:rPr>
  </w:style>
  <w:style w:type="paragraph" w:customStyle="1" w:styleId="Pensubpara">
    <w:name w:val="Pensubpara"/>
    <w:pPr>
      <w:tabs>
        <w:tab w:val="right" w:pos="2045"/>
        <w:tab w:val="left" w:pos="2333"/>
      </w:tabs>
      <w:spacing w:before="160" w:line="260" w:lineRule="atLeast"/>
      <w:ind w:firstLine="2333"/>
    </w:pPr>
    <w:rPr>
      <w:sz w:val="24"/>
    </w:rPr>
  </w:style>
  <w:style w:type="paragraph" w:customStyle="1" w:styleId="Penitem">
    <w:name w:val="Penitem"/>
    <w:pPr>
      <w:tabs>
        <w:tab w:val="right" w:pos="2765"/>
        <w:tab w:val="left" w:pos="3053"/>
      </w:tabs>
      <w:spacing w:before="80" w:line="260" w:lineRule="atLeast"/>
      <w:ind w:left="3053" w:hanging="3053"/>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pBdr>
        <w:left w:val="threeDEngrave" w:sz="24" w:space="4" w:color="auto"/>
        <w:right w:val="threeDEmboss" w:sz="24" w:space="4" w:color="auto"/>
      </w:pBdr>
      <w:shd w:val="pct12" w:color="808080" w:fill="FFFFFF"/>
    </w:pPr>
  </w:style>
  <w:style w:type="paragraph" w:customStyle="1" w:styleId="zIndentA0">
    <w:name w:val="zIndent(A)"/>
    <w:basedOn w:val="IndentA0"/>
    <w:pPr>
      <w:pBdr>
        <w:left w:val="threeDEngrave" w:sz="24" w:space="4" w:color="auto"/>
        <w:right w:val="threeDEmboss" w:sz="24" w:space="4" w:color="auto"/>
      </w:pBdr>
      <w:shd w:val="pct12" w:color="808080" w:fill="FFFFFF"/>
    </w:pPr>
  </w:style>
  <w:style w:type="paragraph" w:customStyle="1" w:styleId="zIndenti">
    <w:name w:val="zIndent(i)"/>
    <w:basedOn w:val="Indenti"/>
    <w:pPr>
      <w:pBdr>
        <w:left w:val="threeDEngrave" w:sz="24" w:space="4" w:color="auto"/>
        <w:right w:val="threeDEmboss" w:sz="24" w:space="4" w:color="auto"/>
      </w:pBdr>
      <w:shd w:val="pct12" w:color="808080" w:fill="FFFFFF"/>
    </w:pPr>
  </w:style>
  <w:style w:type="paragraph" w:customStyle="1" w:styleId="zIndentI0">
    <w:name w:val="zIndent(I)"/>
    <w:basedOn w:val="IndentI0"/>
    <w:pPr>
      <w:pBdr>
        <w:left w:val="threeDEngrave" w:sz="24" w:space="4" w:color="auto"/>
        <w:right w:val="threeDEmboss" w:sz="24" w:space="4" w:color="auto"/>
      </w:pBdr>
      <w:shd w:val="pct12" w:color="808080" w:fill="FFFFFF"/>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pBdr>
        <w:left w:val="threeDEngrave" w:sz="24" w:space="4" w:color="auto"/>
        <w:right w:val="threeDEmboss" w:sz="24" w:space="4" w:color="auto"/>
      </w:pBdr>
      <w:shd w:val="pct12" w:color="808080" w:fill="FFFFFF"/>
    </w:pPr>
  </w:style>
  <w:style w:type="paragraph" w:customStyle="1" w:styleId="zPensubpara">
    <w:name w:val="zPensubpara"/>
    <w:basedOn w:val="Pensubpara"/>
    <w:pPr>
      <w:pBdr>
        <w:left w:val="threeDEngrave" w:sz="24" w:space="4" w:color="auto"/>
        <w:right w:val="threeDEmboss" w:sz="24" w:space="4" w:color="auto"/>
      </w:pBdr>
      <w:shd w:val="pct12" w:color="808080" w:fill="FFFFFF"/>
    </w:pPr>
  </w:style>
  <w:style w:type="paragraph" w:customStyle="1" w:styleId="zPenitem">
    <w:name w:val="zPenitem"/>
    <w:basedOn w:val="Penitem"/>
    <w:pPr>
      <w:pBdr>
        <w:left w:val="threeDEngrave" w:sz="24" w:space="4" w:color="auto"/>
        <w:right w:val="threeDEmboss" w:sz="24" w:space="4" w:color="auto"/>
      </w:pBdr>
      <w:shd w:val="pct12" w:color="808080" w:fill="FFFFFF"/>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Normal"/>
    <w:pPr>
      <w:tabs>
        <w:tab w:val="left" w:pos="312"/>
      </w:tabs>
      <w:spacing w:before="80" w:line="260" w:lineRule="atLeast"/>
      <w:ind w:left="1446" w:right="284" w:hanging="312"/>
    </w:pPr>
    <w:rPr>
      <w:snapToGrid w:val="0"/>
      <w:sz w:val="24"/>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sz w:val="24"/>
    </w:rPr>
  </w:style>
  <w:style w:type="paragraph" w:customStyle="1" w:styleId="zDefsubpara">
    <w:name w:val="zDefsubpara"/>
    <w:basedOn w:val="Normal"/>
    <w:pPr>
      <w:keepLines/>
      <w:tabs>
        <w:tab w:val="right" w:pos="2608"/>
        <w:tab w:val="left" w:pos="2892"/>
      </w:tabs>
      <w:spacing w:before="80" w:line="260" w:lineRule="atLeast"/>
      <w:ind w:left="2892" w:right="284" w:hanging="851"/>
    </w:pPr>
    <w:rPr>
      <w:sz w:val="24"/>
    </w:rPr>
  </w:style>
  <w:style w:type="paragraph" w:customStyle="1" w:styleId="zDefitem">
    <w:name w:val="zDefitem"/>
    <w:basedOn w:val="Normal"/>
    <w:pPr>
      <w:tabs>
        <w:tab w:val="right" w:pos="3459"/>
        <w:tab w:val="left" w:pos="3771"/>
      </w:tabs>
      <w:spacing w:before="80" w:line="260" w:lineRule="atLeast"/>
      <w:ind w:left="3686" w:right="284" w:hanging="851"/>
    </w:pPr>
    <w:rPr>
      <w:sz w:val="24"/>
    </w:r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noProof w:val="0"/>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noProof w:val="0"/>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rPr>
      <w:sz w:val="24"/>
    </w:rPr>
  </w:style>
  <w:style w:type="paragraph" w:styleId="NoteHeading">
    <w:name w:val="Note Heading"/>
    <w:basedOn w:val="Normal"/>
    <w:next w:val="Normal"/>
    <w:semiHidden/>
    <w:rPr>
      <w:sz w:val="24"/>
    </w:rPr>
  </w:style>
  <w:style w:type="paragraph" w:styleId="Salutation">
    <w:name w:val="Salutation"/>
    <w:basedOn w:val="Normal"/>
    <w:next w:val="Normal"/>
    <w:semiHidden/>
    <w:rPr>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rPr>
      <w:sz w:val="24"/>
    </w:rPr>
  </w:style>
  <w:style w:type="paragraph" w:styleId="TableofFigures">
    <w:name w:val="table of figures"/>
    <w:basedOn w:val="Normal"/>
    <w:next w:val="Normal"/>
    <w:semiHidden/>
    <w:pPr>
      <w:ind w:left="440" w:hanging="440"/>
    </w:pPr>
    <w:rPr>
      <w:sz w:val="24"/>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Subsection">
    <w:name w:val="nSubsection"/>
    <w:basedOn w:val="Subsection"/>
    <w:pPr>
      <w:tabs>
        <w:tab w:val="clear" w:pos="605"/>
        <w:tab w:val="clear" w:pos="893"/>
        <w:tab w:val="left" w:pos="461"/>
      </w:tabs>
      <w:ind w:left="461" w:hanging="461"/>
    </w:pPr>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2"/>
    </w:rPr>
  </w:style>
  <w:style w:type="paragraph" w:customStyle="1" w:styleId="Ednotesubsection">
    <w:name w:val="Ednote(subsection)"/>
    <w:basedOn w:val="Ednotesection"/>
    <w:pPr>
      <w:outlineLvl w:val="9"/>
    </w:pPr>
  </w:style>
  <w:style w:type="paragraph" w:customStyle="1" w:styleId="MiscellaneousHeading">
    <w:name w:val="Miscellaneous Heading"/>
    <w:pPr>
      <w:spacing w:before="160" w:line="260" w:lineRule="atLeast"/>
    </w:pPr>
    <w:rPr>
      <w:sz w:val="24"/>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rPr>
  </w:style>
  <w:style w:type="paragraph" w:customStyle="1" w:styleId="yScheduleHeading">
    <w:name w:val="yScheduleHeading"/>
    <w:basedOn w:val="yHeading2"/>
    <w:pPr>
      <w:pageBreakBefore/>
      <w:outlineLvl w:val="1"/>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2"/>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4"/>
      <w:jc w:val="center"/>
    </w:pPr>
    <w:rPr>
      <w:b/>
      <w:sz w:val="24"/>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nzTable">
    <w:name w:val="nzTable"/>
  </w:style>
  <w:style w:type="paragraph" w:customStyle="1" w:styleId="zMiscellaneousHeading">
    <w:name w:val="zMiscellaneousHeading"/>
    <w:basedOn w:val="zSubsection"/>
  </w:style>
  <w:style w:type="paragraph" w:customStyle="1" w:styleId="zMiscellaneousBody">
    <w:name w:val="zMiscellaneousBody"/>
    <w:basedOn w:val="zSubsection"/>
  </w:style>
  <w:style w:type="character" w:customStyle="1" w:styleId="CharDefText">
    <w:name w:val="CharDefText"/>
    <w:basedOn w:val="DefaultParagraphFont"/>
    <w:rPr>
      <w:b/>
      <w:i/>
      <w:noProof w:val="0"/>
      <w:sz w:val="22"/>
    </w:rPr>
  </w:style>
  <w:style w:type="paragraph" w:customStyle="1" w:styleId="yFootnoteheading">
    <w:name w:val="yFootnote(heading)"/>
    <w:basedOn w:val="Footnoteheading"/>
    <w:rPr>
      <w:sz w:val="22"/>
    </w:rPr>
  </w:style>
  <w:style w:type="paragraph" w:customStyle="1" w:styleId="TableAm">
    <w:name w:val="TableAm"/>
    <w:basedOn w:val="Normal"/>
    <w:pPr>
      <w:spacing w:before="120"/>
    </w:pPr>
    <w:rPr>
      <w:sz w:val="24"/>
    </w:rPr>
  </w:style>
  <w:style w:type="paragraph" w:customStyle="1" w:styleId="TableAmNote">
    <w:name w:val="TableAmNote"/>
    <w:basedOn w:val="Normal"/>
    <w:pPr>
      <w:spacing w:before="60"/>
    </w:pPr>
    <w:rPr>
      <w:rFonts w:ascii="Arial" w:hAnsi="Arial"/>
      <w:sz w:val="18"/>
    </w:rPr>
  </w:style>
  <w:style w:type="paragraph" w:customStyle="1" w:styleId="BlankOpen">
    <w:name w:val="BlankOpen"/>
    <w:basedOn w:val="Normal"/>
    <w:pPr>
      <w:keepNext/>
      <w:keepLines/>
      <w:jc w:val="center"/>
    </w:pPr>
    <w:rPr>
      <w:sz w:val="24"/>
      <w:szCs w:val="24"/>
    </w:rPr>
  </w:style>
  <w:style w:type="paragraph" w:customStyle="1" w:styleId="BlankClose">
    <w:name w:val="BlankClose"/>
    <w:basedOn w:val="Normal"/>
    <w:pPr>
      <w:keepLines/>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257</Words>
  <Characters>1327</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Carnarvon Electric Lighting Act 1924 - 00-a0-09</dc:title>
  <dc:subject/>
  <dc:creator>Dave Harrold</dc:creator>
  <cp:keywords/>
  <cp:lastModifiedBy>svcMRProcess</cp:lastModifiedBy>
  <cp:revision>4</cp:revision>
  <cp:lastPrinted>1997-12-16T03:11:00Z</cp:lastPrinted>
  <dcterms:created xsi:type="dcterms:W3CDTF">2014-01-21T04:19:00Z</dcterms:created>
  <dcterms:modified xsi:type="dcterms:W3CDTF">2014-01-21T04:19:00Z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 of 1924</vt:lpwstr>
  </property>
  <property fmtid="{D5CDD505-2E9C-101B-9397-08002B2CF9AE}" pid="3" name="CommencementDate">
    <vt:lpwstr>19980706</vt:lpwstr>
  </property>
  <property fmtid="{D5CDD505-2E9C-101B-9397-08002B2CF9AE}" pid="4" name="DocumentType">
    <vt:lpwstr>Act</vt:lpwstr>
  </property>
  <property fmtid="{D5CDD505-2E9C-101B-9397-08002B2CF9AE}" pid="5" name="AsAtDate">
    <vt:lpwstr>06 Jul 1998</vt:lpwstr>
  </property>
  <property fmtid="{D5CDD505-2E9C-101B-9397-08002B2CF9AE}" pid="6" name="Suffix">
    <vt:lpwstr>00-a0-09</vt:lpwstr>
  </property>
</Properties>
</file>