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Rail Safety Act 2010</w:t>
      </w:r>
    </w:p>
    <w:p>
      <w:pPr>
        <w:pStyle w:val="NameofActRegPage1"/>
        <w:spacing w:before="1800" w:after="4200"/>
      </w:pPr>
      <w:r>
        <w:fldChar w:fldCharType="begin"/>
      </w:r>
      <w:r>
        <w:instrText xml:space="preserve"> STYLEREF "Name Of Act/Reg"</w:instrText>
      </w:r>
      <w:r>
        <w:fldChar w:fldCharType="separate"/>
      </w:r>
      <w:r>
        <w:rPr>
          <w:noProof/>
        </w:rPr>
        <w:t>Rail Safety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_Toc309652680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_Toc309652681 \h </w:instrText>
      </w:r>
      <w:r>
        <w:fldChar w:fldCharType="separate"/>
      </w:r>
      <w:r>
        <w:t>1</w:t>
      </w:r>
      <w:r>
        <w:fldChar w:fldCharType="end"/>
      </w:r>
    </w:p>
    <w:p>
      <w:pPr>
        <w:pStyle w:val="TOC2"/>
        <w:tabs>
          <w:tab w:val="right" w:leader="dot" w:pos="7086"/>
        </w:tabs>
        <w:rPr>
          <w:b w:val="0"/>
          <w:sz w:val="24"/>
          <w:szCs w:val="24"/>
          <w:lang w:val="en-US"/>
        </w:rPr>
      </w:pPr>
      <w:r>
        <w:t>Part 2 — Accreditation</w:t>
      </w:r>
    </w:p>
    <w:p>
      <w:pPr>
        <w:pStyle w:val="TOC8"/>
        <w:rPr>
          <w:sz w:val="24"/>
          <w:szCs w:val="24"/>
          <w:lang w:val="en-US"/>
        </w:rPr>
      </w:pPr>
      <w:r>
        <w:t>3.</w:t>
      </w:r>
      <w:r>
        <w:tab/>
        <w:t>Application for accreditation</w:t>
      </w:r>
      <w:r>
        <w:tab/>
      </w:r>
      <w:r>
        <w:fldChar w:fldCharType="begin"/>
      </w:r>
      <w:r>
        <w:instrText xml:space="preserve"> PAGEREF _Toc309652683 \h </w:instrText>
      </w:r>
      <w:r>
        <w:fldChar w:fldCharType="separate"/>
      </w:r>
      <w:r>
        <w:t>2</w:t>
      </w:r>
      <w:r>
        <w:fldChar w:fldCharType="end"/>
      </w:r>
    </w:p>
    <w:p>
      <w:pPr>
        <w:pStyle w:val="TOC8"/>
        <w:rPr>
          <w:sz w:val="24"/>
          <w:szCs w:val="24"/>
          <w:lang w:val="en-US"/>
        </w:rPr>
      </w:pPr>
      <w:r>
        <w:t>4.</w:t>
      </w:r>
      <w:r>
        <w:tab/>
        <w:t>Prescribed details of accredited person</w:t>
      </w:r>
      <w:r>
        <w:tab/>
      </w:r>
      <w:r>
        <w:fldChar w:fldCharType="begin"/>
      </w:r>
      <w:r>
        <w:instrText xml:space="preserve"> PAGEREF _Toc309652684 \h </w:instrText>
      </w:r>
      <w:r>
        <w:fldChar w:fldCharType="separate"/>
      </w:r>
      <w:r>
        <w:t>4</w:t>
      </w:r>
      <w:r>
        <w:fldChar w:fldCharType="end"/>
      </w:r>
    </w:p>
    <w:p>
      <w:pPr>
        <w:pStyle w:val="TOC8"/>
        <w:rPr>
          <w:sz w:val="24"/>
          <w:szCs w:val="24"/>
          <w:lang w:val="en-US"/>
        </w:rPr>
      </w:pPr>
      <w:r>
        <w:t>5.</w:t>
      </w:r>
      <w:r>
        <w:tab/>
        <w:t>Prescribed conditions of, or restrictions on, accreditation</w:t>
      </w:r>
      <w:r>
        <w:tab/>
      </w:r>
      <w:r>
        <w:fldChar w:fldCharType="begin"/>
      </w:r>
      <w:r>
        <w:instrText xml:space="preserve"> PAGEREF _Toc309652685 \h </w:instrText>
      </w:r>
      <w:r>
        <w:fldChar w:fldCharType="separate"/>
      </w:r>
      <w:r>
        <w:t>4</w:t>
      </w:r>
      <w:r>
        <w:fldChar w:fldCharType="end"/>
      </w:r>
    </w:p>
    <w:p>
      <w:pPr>
        <w:pStyle w:val="TOC8"/>
        <w:rPr>
          <w:sz w:val="24"/>
          <w:szCs w:val="24"/>
          <w:lang w:val="en-US"/>
        </w:rPr>
      </w:pPr>
      <w:r>
        <w:t>6.</w:t>
      </w:r>
      <w:r>
        <w:tab/>
        <w:t>Surrender of accreditation</w:t>
      </w:r>
      <w:r>
        <w:tab/>
      </w:r>
      <w:r>
        <w:fldChar w:fldCharType="begin"/>
      </w:r>
      <w:r>
        <w:instrText xml:space="preserve"> PAGEREF _Toc309652686 \h </w:instrText>
      </w:r>
      <w:r>
        <w:fldChar w:fldCharType="separate"/>
      </w:r>
      <w:r>
        <w:t>8</w:t>
      </w:r>
      <w:r>
        <w:fldChar w:fldCharType="end"/>
      </w:r>
    </w:p>
    <w:p>
      <w:pPr>
        <w:pStyle w:val="TOC8"/>
        <w:rPr>
          <w:sz w:val="24"/>
          <w:szCs w:val="24"/>
          <w:lang w:val="en-US"/>
        </w:rPr>
      </w:pPr>
      <w:r>
        <w:t>7.</w:t>
      </w:r>
      <w:r>
        <w:tab/>
        <w:t>Application for a variation of an accreditation</w:t>
      </w:r>
      <w:r>
        <w:tab/>
      </w:r>
      <w:r>
        <w:fldChar w:fldCharType="begin"/>
      </w:r>
      <w:r>
        <w:instrText xml:space="preserve"> PAGEREF _Toc309652687 \h </w:instrText>
      </w:r>
      <w:r>
        <w:fldChar w:fldCharType="separate"/>
      </w:r>
      <w:r>
        <w:t>8</w:t>
      </w:r>
      <w:r>
        <w:fldChar w:fldCharType="end"/>
      </w:r>
    </w:p>
    <w:p>
      <w:pPr>
        <w:pStyle w:val="TOC2"/>
        <w:tabs>
          <w:tab w:val="right" w:leader="dot" w:pos="7086"/>
        </w:tabs>
        <w:rPr>
          <w:b w:val="0"/>
          <w:sz w:val="24"/>
          <w:szCs w:val="24"/>
          <w:lang w:val="en-US"/>
        </w:rPr>
      </w:pPr>
      <w:r>
        <w:t>Part 3 — Safety management</w:t>
      </w:r>
    </w:p>
    <w:p>
      <w:pPr>
        <w:pStyle w:val="TOC4"/>
        <w:tabs>
          <w:tab w:val="right" w:leader="dot" w:pos="7086"/>
        </w:tabs>
        <w:rPr>
          <w:b w:val="0"/>
          <w:sz w:val="24"/>
          <w:szCs w:val="24"/>
          <w:lang w:val="en-US"/>
        </w:rPr>
      </w:pPr>
      <w:r>
        <w:t>Division 1 — Safety management systems</w:t>
      </w:r>
    </w:p>
    <w:p>
      <w:pPr>
        <w:pStyle w:val="TOC8"/>
        <w:rPr>
          <w:sz w:val="24"/>
          <w:szCs w:val="24"/>
          <w:lang w:val="en-US"/>
        </w:rPr>
      </w:pPr>
      <w:r>
        <w:t>8.</w:t>
      </w:r>
      <w:r>
        <w:tab/>
        <w:t>Prescribed requirements for a safety management system</w:t>
      </w:r>
      <w:r>
        <w:tab/>
      </w:r>
      <w:r>
        <w:fldChar w:fldCharType="begin"/>
      </w:r>
      <w:r>
        <w:instrText xml:space="preserve"> PAGEREF _Toc309652690 \h </w:instrText>
      </w:r>
      <w:r>
        <w:fldChar w:fldCharType="separate"/>
      </w:r>
      <w:r>
        <w:t>9</w:t>
      </w:r>
      <w:r>
        <w:fldChar w:fldCharType="end"/>
      </w:r>
    </w:p>
    <w:p>
      <w:pPr>
        <w:pStyle w:val="TOC4"/>
        <w:tabs>
          <w:tab w:val="right" w:leader="dot" w:pos="7086"/>
        </w:tabs>
        <w:rPr>
          <w:b w:val="0"/>
          <w:sz w:val="24"/>
          <w:szCs w:val="24"/>
          <w:lang w:val="en-US"/>
        </w:rPr>
      </w:pPr>
      <w:r>
        <w:t>Division 2 — Private sidings</w:t>
      </w:r>
    </w:p>
    <w:p>
      <w:pPr>
        <w:pStyle w:val="TOC8"/>
        <w:rPr>
          <w:sz w:val="24"/>
          <w:szCs w:val="24"/>
          <w:lang w:val="en-US"/>
        </w:rPr>
      </w:pPr>
      <w:r>
        <w:t>9.</w:t>
      </w:r>
      <w:r>
        <w:tab/>
        <w:t>Maintenance and operational conditions</w:t>
      </w:r>
      <w:r>
        <w:tab/>
      </w:r>
      <w:r>
        <w:fldChar w:fldCharType="begin"/>
      </w:r>
      <w:r>
        <w:instrText xml:space="preserve"> PAGEREF _Toc309652692 \h </w:instrText>
      </w:r>
      <w:r>
        <w:fldChar w:fldCharType="separate"/>
      </w:r>
      <w:r>
        <w:t>9</w:t>
      </w:r>
      <w:r>
        <w:fldChar w:fldCharType="end"/>
      </w:r>
    </w:p>
    <w:p>
      <w:pPr>
        <w:pStyle w:val="TOC4"/>
        <w:tabs>
          <w:tab w:val="right" w:leader="dot" w:pos="7086"/>
        </w:tabs>
        <w:rPr>
          <w:b w:val="0"/>
          <w:sz w:val="24"/>
          <w:szCs w:val="24"/>
          <w:lang w:val="en-US"/>
        </w:rPr>
      </w:pPr>
      <w:r>
        <w:t>Division 3 — Interface coordination plans</w:t>
      </w:r>
    </w:p>
    <w:p>
      <w:pPr>
        <w:pStyle w:val="TOC8"/>
        <w:rPr>
          <w:sz w:val="24"/>
          <w:szCs w:val="24"/>
          <w:lang w:val="en-US"/>
        </w:rPr>
      </w:pPr>
      <w:r>
        <w:t>10.</w:t>
      </w:r>
      <w:r>
        <w:tab/>
        <w:t>Term used: interface agreement</w:t>
      </w:r>
      <w:r>
        <w:tab/>
      </w:r>
      <w:r>
        <w:fldChar w:fldCharType="begin"/>
      </w:r>
      <w:r>
        <w:instrText xml:space="preserve"> PAGEREF _Toc309652694 \h </w:instrText>
      </w:r>
      <w:r>
        <w:fldChar w:fldCharType="separate"/>
      </w:r>
      <w:r>
        <w:t>10</w:t>
      </w:r>
      <w:r>
        <w:fldChar w:fldCharType="end"/>
      </w:r>
    </w:p>
    <w:p>
      <w:pPr>
        <w:pStyle w:val="TOC4"/>
        <w:tabs>
          <w:tab w:val="right" w:leader="dot" w:pos="7086"/>
        </w:tabs>
        <w:rPr>
          <w:b w:val="0"/>
          <w:sz w:val="24"/>
          <w:szCs w:val="24"/>
          <w:lang w:val="en-US"/>
        </w:rPr>
      </w:pPr>
      <w:r>
        <w:t>Division 4 — Security management plans</w:t>
      </w:r>
    </w:p>
    <w:p>
      <w:pPr>
        <w:pStyle w:val="TOC8"/>
        <w:rPr>
          <w:sz w:val="24"/>
          <w:szCs w:val="24"/>
          <w:lang w:val="en-US"/>
        </w:rPr>
      </w:pPr>
      <w:r>
        <w:t>12.</w:t>
      </w:r>
      <w:r>
        <w:tab/>
        <w:t>Security management plan</w:t>
      </w:r>
      <w:r>
        <w:tab/>
      </w:r>
      <w:r>
        <w:fldChar w:fldCharType="begin"/>
      </w:r>
      <w:r>
        <w:instrText xml:space="preserve"> PAGEREF _Toc309652696 \h </w:instrText>
      </w:r>
      <w:r>
        <w:fldChar w:fldCharType="separate"/>
      </w:r>
      <w:r>
        <w:t>11</w:t>
      </w:r>
      <w:r>
        <w:fldChar w:fldCharType="end"/>
      </w:r>
    </w:p>
    <w:p>
      <w:pPr>
        <w:pStyle w:val="TOC4"/>
        <w:tabs>
          <w:tab w:val="right" w:leader="dot" w:pos="7086"/>
        </w:tabs>
        <w:rPr>
          <w:b w:val="0"/>
          <w:sz w:val="24"/>
          <w:szCs w:val="24"/>
          <w:lang w:val="en-US"/>
        </w:rPr>
      </w:pPr>
      <w:r>
        <w:t>Division 5 — Emergency management plans</w:t>
      </w:r>
    </w:p>
    <w:p>
      <w:pPr>
        <w:pStyle w:val="TOC8"/>
        <w:rPr>
          <w:sz w:val="24"/>
          <w:szCs w:val="24"/>
          <w:lang w:val="en-US"/>
        </w:rPr>
      </w:pPr>
      <w:r>
        <w:t>13.</w:t>
      </w:r>
      <w:r>
        <w:tab/>
        <w:t>Preparation of an emergency management plan</w:t>
      </w:r>
      <w:r>
        <w:tab/>
      </w:r>
      <w:r>
        <w:fldChar w:fldCharType="begin"/>
      </w:r>
      <w:r>
        <w:instrText xml:space="preserve"> PAGEREF _Toc309652698 \h </w:instrText>
      </w:r>
      <w:r>
        <w:fldChar w:fldCharType="separate"/>
      </w:r>
      <w:r>
        <w:t>12</w:t>
      </w:r>
      <w:r>
        <w:fldChar w:fldCharType="end"/>
      </w:r>
    </w:p>
    <w:p>
      <w:pPr>
        <w:pStyle w:val="TOC8"/>
        <w:rPr>
          <w:sz w:val="24"/>
          <w:szCs w:val="24"/>
          <w:lang w:val="en-US"/>
        </w:rPr>
      </w:pPr>
      <w:r>
        <w:t>14.</w:t>
      </w:r>
      <w:r>
        <w:tab/>
        <w:t>Matters to be included in an emergency management plan</w:t>
      </w:r>
      <w:r>
        <w:tab/>
      </w:r>
      <w:r>
        <w:fldChar w:fldCharType="begin"/>
      </w:r>
      <w:r>
        <w:instrText xml:space="preserve"> PAGEREF _Toc309652699 \h </w:instrText>
      </w:r>
      <w:r>
        <w:fldChar w:fldCharType="separate"/>
      </w:r>
      <w:r>
        <w:t>12</w:t>
      </w:r>
      <w:r>
        <w:fldChar w:fldCharType="end"/>
      </w:r>
    </w:p>
    <w:p>
      <w:pPr>
        <w:pStyle w:val="TOC8"/>
        <w:rPr>
          <w:sz w:val="24"/>
          <w:szCs w:val="24"/>
          <w:lang w:val="en-US"/>
        </w:rPr>
      </w:pPr>
      <w:r>
        <w:t>15.</w:t>
      </w:r>
      <w:r>
        <w:tab/>
        <w:t>Keeping, maintaining and testing an emergency management plan</w:t>
      </w:r>
      <w:r>
        <w:tab/>
      </w:r>
      <w:r>
        <w:fldChar w:fldCharType="begin"/>
      </w:r>
      <w:r>
        <w:instrText xml:space="preserve"> PAGEREF _Toc309652700 \h </w:instrText>
      </w:r>
      <w:r>
        <w:fldChar w:fldCharType="separate"/>
      </w:r>
      <w:r>
        <w:t>14</w:t>
      </w:r>
      <w:r>
        <w:fldChar w:fldCharType="end"/>
      </w:r>
    </w:p>
    <w:p>
      <w:pPr>
        <w:pStyle w:val="TOC4"/>
        <w:tabs>
          <w:tab w:val="right" w:leader="dot" w:pos="7086"/>
        </w:tabs>
        <w:rPr>
          <w:b w:val="0"/>
          <w:sz w:val="24"/>
          <w:szCs w:val="24"/>
          <w:lang w:val="en-US"/>
        </w:rPr>
      </w:pPr>
      <w:r>
        <w:t>Division 6 — Review</w:t>
      </w:r>
    </w:p>
    <w:p>
      <w:pPr>
        <w:pStyle w:val="TOC8"/>
        <w:rPr>
          <w:sz w:val="24"/>
          <w:szCs w:val="24"/>
          <w:lang w:val="en-US"/>
        </w:rPr>
      </w:pPr>
      <w:r>
        <w:t>16.</w:t>
      </w:r>
      <w:r>
        <w:tab/>
        <w:t>Review of safety management system</w:t>
      </w:r>
      <w:r>
        <w:tab/>
      </w:r>
      <w:r>
        <w:fldChar w:fldCharType="begin"/>
      </w:r>
      <w:r>
        <w:instrText xml:space="preserve"> PAGEREF _Toc309652702 \h </w:instrText>
      </w:r>
      <w:r>
        <w:fldChar w:fldCharType="separate"/>
      </w:r>
      <w:r>
        <w:t>15</w:t>
      </w:r>
      <w:r>
        <w:fldChar w:fldCharType="end"/>
      </w:r>
    </w:p>
    <w:p>
      <w:pPr>
        <w:pStyle w:val="TOC2"/>
        <w:tabs>
          <w:tab w:val="right" w:leader="dot" w:pos="7086"/>
        </w:tabs>
        <w:rPr>
          <w:b w:val="0"/>
          <w:sz w:val="24"/>
          <w:szCs w:val="24"/>
          <w:lang w:val="en-US"/>
        </w:rPr>
      </w:pPr>
      <w:r>
        <w:t>Part 4 — Rail safety workers</w:t>
      </w:r>
    </w:p>
    <w:p>
      <w:pPr>
        <w:pStyle w:val="TOC8"/>
        <w:rPr>
          <w:sz w:val="24"/>
          <w:szCs w:val="24"/>
          <w:lang w:val="en-US"/>
        </w:rPr>
      </w:pPr>
      <w:r>
        <w:t>17.</w:t>
      </w:r>
      <w:r>
        <w:tab/>
        <w:t>Health and fitness management programme</w:t>
      </w:r>
      <w:r>
        <w:tab/>
      </w:r>
      <w:r>
        <w:fldChar w:fldCharType="begin"/>
      </w:r>
      <w:r>
        <w:instrText xml:space="preserve"> PAGEREF _Toc309652704 \h </w:instrText>
      </w:r>
      <w:r>
        <w:fldChar w:fldCharType="separate"/>
      </w:r>
      <w:r>
        <w:t>17</w:t>
      </w:r>
      <w:r>
        <w:fldChar w:fldCharType="end"/>
      </w:r>
    </w:p>
    <w:p>
      <w:pPr>
        <w:pStyle w:val="TOC8"/>
        <w:rPr>
          <w:sz w:val="24"/>
          <w:szCs w:val="24"/>
          <w:lang w:val="en-US"/>
        </w:rPr>
      </w:pPr>
      <w:r>
        <w:t>18.</w:t>
      </w:r>
      <w:r>
        <w:tab/>
        <w:t>Matters to be included in alcohol and drug management programme</w:t>
      </w:r>
      <w:r>
        <w:tab/>
      </w:r>
      <w:r>
        <w:fldChar w:fldCharType="begin"/>
      </w:r>
      <w:r>
        <w:instrText xml:space="preserve"> PAGEREF _Toc309652705 \h </w:instrText>
      </w:r>
      <w:r>
        <w:fldChar w:fldCharType="separate"/>
      </w:r>
      <w:r>
        <w:t>17</w:t>
      </w:r>
      <w:r>
        <w:fldChar w:fldCharType="end"/>
      </w:r>
    </w:p>
    <w:p>
      <w:pPr>
        <w:pStyle w:val="TOC8"/>
        <w:rPr>
          <w:sz w:val="24"/>
          <w:szCs w:val="24"/>
          <w:lang w:val="en-US"/>
        </w:rPr>
      </w:pPr>
      <w:r>
        <w:t>19.</w:t>
      </w:r>
      <w:r>
        <w:tab/>
        <w:t>Fatigue management programme</w:t>
      </w:r>
      <w:r>
        <w:tab/>
      </w:r>
      <w:r>
        <w:fldChar w:fldCharType="begin"/>
      </w:r>
      <w:r>
        <w:instrText xml:space="preserve"> PAGEREF _Toc309652706 \h </w:instrText>
      </w:r>
      <w:r>
        <w:fldChar w:fldCharType="separate"/>
      </w:r>
      <w:r>
        <w:t>17</w:t>
      </w:r>
      <w:r>
        <w:fldChar w:fldCharType="end"/>
      </w:r>
    </w:p>
    <w:p>
      <w:pPr>
        <w:pStyle w:val="TOC8"/>
        <w:rPr>
          <w:sz w:val="24"/>
          <w:szCs w:val="24"/>
          <w:lang w:val="en-US"/>
        </w:rPr>
      </w:pPr>
      <w:r>
        <w:t>20.</w:t>
      </w:r>
      <w:r>
        <w:tab/>
        <w:t>Records of competence</w:t>
      </w:r>
      <w:r>
        <w:tab/>
      </w:r>
      <w:r>
        <w:fldChar w:fldCharType="begin"/>
      </w:r>
      <w:r>
        <w:instrText xml:space="preserve"> PAGEREF _Toc309652707 \h </w:instrText>
      </w:r>
      <w:r>
        <w:fldChar w:fldCharType="separate"/>
      </w:r>
      <w:r>
        <w:t>18</w:t>
      </w:r>
      <w:r>
        <w:fldChar w:fldCharType="end"/>
      </w:r>
    </w:p>
    <w:p>
      <w:pPr>
        <w:pStyle w:val="TOC2"/>
        <w:tabs>
          <w:tab w:val="right" w:leader="dot" w:pos="7086"/>
        </w:tabs>
        <w:rPr>
          <w:b w:val="0"/>
          <w:sz w:val="24"/>
          <w:szCs w:val="24"/>
          <w:lang w:val="en-US"/>
        </w:rPr>
      </w:pPr>
      <w:r>
        <w:t>Part 5 — Investigation powers</w:t>
      </w:r>
    </w:p>
    <w:p>
      <w:pPr>
        <w:pStyle w:val="TOC8"/>
        <w:rPr>
          <w:sz w:val="24"/>
          <w:szCs w:val="24"/>
          <w:lang w:val="en-US"/>
        </w:rPr>
      </w:pPr>
      <w:r>
        <w:t>21</w:t>
      </w:r>
      <w:r>
        <w:rPr>
          <w:snapToGrid w:val="0"/>
        </w:rPr>
        <w:t>.</w:t>
      </w:r>
      <w:r>
        <w:rPr>
          <w:snapToGrid w:val="0"/>
        </w:rPr>
        <w:tab/>
        <w:t>Terms used</w:t>
      </w:r>
      <w:r>
        <w:tab/>
      </w:r>
      <w:r>
        <w:fldChar w:fldCharType="begin"/>
      </w:r>
      <w:r>
        <w:instrText xml:space="preserve"> PAGEREF _Toc309652709 \h </w:instrText>
      </w:r>
      <w:r>
        <w:fldChar w:fldCharType="separate"/>
      </w:r>
      <w:r>
        <w:t>20</w:t>
      </w:r>
      <w:r>
        <w:fldChar w:fldCharType="end"/>
      </w:r>
    </w:p>
    <w:p>
      <w:pPr>
        <w:pStyle w:val="TOC8"/>
        <w:rPr>
          <w:sz w:val="24"/>
          <w:szCs w:val="24"/>
          <w:lang w:val="en-US"/>
        </w:rPr>
      </w:pPr>
      <w:r>
        <w:t>22.</w:t>
      </w:r>
      <w:r>
        <w:tab/>
        <w:t>Prescribed drugs</w:t>
      </w:r>
      <w:r>
        <w:tab/>
      </w:r>
      <w:r>
        <w:fldChar w:fldCharType="begin"/>
      </w:r>
      <w:r>
        <w:instrText xml:space="preserve"> PAGEREF _Toc309652710 \h </w:instrText>
      </w:r>
      <w:r>
        <w:fldChar w:fldCharType="separate"/>
      </w:r>
      <w:r>
        <w:t>20</w:t>
      </w:r>
      <w:r>
        <w:fldChar w:fldCharType="end"/>
      </w:r>
    </w:p>
    <w:p>
      <w:pPr>
        <w:pStyle w:val="TOC8"/>
        <w:rPr>
          <w:sz w:val="24"/>
          <w:szCs w:val="24"/>
          <w:lang w:val="en-US"/>
        </w:rPr>
      </w:pPr>
      <w:r>
        <w:t>24.</w:t>
      </w:r>
      <w:r>
        <w:tab/>
        <w:t>Breath test</w:t>
      </w:r>
      <w:r>
        <w:tab/>
      </w:r>
      <w:r>
        <w:fldChar w:fldCharType="begin"/>
      </w:r>
      <w:r>
        <w:instrText xml:space="preserve"> PAGEREF _Toc309652711 \h </w:instrText>
      </w:r>
      <w:r>
        <w:fldChar w:fldCharType="separate"/>
      </w:r>
      <w:r>
        <w:t>21</w:t>
      </w:r>
      <w:r>
        <w:fldChar w:fldCharType="end"/>
      </w:r>
    </w:p>
    <w:p>
      <w:pPr>
        <w:pStyle w:val="TOC8"/>
        <w:rPr>
          <w:sz w:val="24"/>
          <w:szCs w:val="24"/>
          <w:lang w:val="en-US"/>
        </w:rPr>
      </w:pPr>
      <w:r>
        <w:t>25.</w:t>
      </w:r>
      <w:r>
        <w:tab/>
        <w:t>Taking blood or urine sample</w:t>
      </w:r>
      <w:r>
        <w:tab/>
      </w:r>
      <w:r>
        <w:fldChar w:fldCharType="begin"/>
      </w:r>
      <w:r>
        <w:instrText xml:space="preserve"> PAGEREF _Toc309652712 \h </w:instrText>
      </w:r>
      <w:r>
        <w:fldChar w:fldCharType="separate"/>
      </w:r>
      <w:r>
        <w:t>21</w:t>
      </w:r>
      <w:r>
        <w:fldChar w:fldCharType="end"/>
      </w:r>
    </w:p>
    <w:p>
      <w:pPr>
        <w:pStyle w:val="TOC8"/>
        <w:rPr>
          <w:sz w:val="24"/>
          <w:szCs w:val="24"/>
          <w:lang w:val="en-US"/>
        </w:rPr>
      </w:pPr>
      <w:r>
        <w:t>26.</w:t>
      </w:r>
      <w:r>
        <w:tab/>
        <w:t>Procedures relating to blood or urine tests</w:t>
      </w:r>
      <w:r>
        <w:tab/>
      </w:r>
      <w:r>
        <w:fldChar w:fldCharType="begin"/>
      </w:r>
      <w:r>
        <w:instrText xml:space="preserve"> PAGEREF _Toc309652713 \h </w:instrText>
      </w:r>
      <w:r>
        <w:fldChar w:fldCharType="separate"/>
      </w:r>
      <w:r>
        <w:t>21</w:t>
      </w:r>
      <w:r>
        <w:fldChar w:fldCharType="end"/>
      </w:r>
    </w:p>
    <w:p>
      <w:pPr>
        <w:pStyle w:val="TOC8"/>
        <w:rPr>
          <w:sz w:val="24"/>
          <w:szCs w:val="24"/>
          <w:lang w:val="en-US"/>
        </w:rPr>
      </w:pPr>
      <w:r>
        <w:t>27.</w:t>
      </w:r>
      <w:r>
        <w:tab/>
        <w:t>Destruction of sample</w:t>
      </w:r>
      <w:r>
        <w:tab/>
      </w:r>
      <w:r>
        <w:fldChar w:fldCharType="begin"/>
      </w:r>
      <w:r>
        <w:instrText xml:space="preserve"> PAGEREF _Toc309652714 \h </w:instrText>
      </w:r>
      <w:r>
        <w:fldChar w:fldCharType="separate"/>
      </w:r>
      <w:r>
        <w:t>23</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28.</w:t>
      </w:r>
      <w:r>
        <w:tab/>
        <w:t>Prescribed concentration of alcohol in blood of rail safety worker: section 28(3)(c)(i)</w:t>
      </w:r>
      <w:r>
        <w:tab/>
      </w:r>
      <w:r>
        <w:fldChar w:fldCharType="begin"/>
      </w:r>
      <w:r>
        <w:instrText xml:space="preserve"> PAGEREF _Toc309652716 \h </w:instrText>
      </w:r>
      <w:r>
        <w:fldChar w:fldCharType="separate"/>
      </w:r>
      <w:r>
        <w:t>25</w:t>
      </w:r>
      <w:r>
        <w:fldChar w:fldCharType="end"/>
      </w:r>
    </w:p>
    <w:p>
      <w:pPr>
        <w:pStyle w:val="TOC8"/>
        <w:rPr>
          <w:sz w:val="24"/>
          <w:szCs w:val="24"/>
          <w:lang w:val="en-US"/>
        </w:rPr>
      </w:pPr>
      <w:r>
        <w:t>29.</w:t>
      </w:r>
      <w:r>
        <w:tab/>
        <w:t>Periodic returns</w:t>
      </w:r>
      <w:r>
        <w:tab/>
      </w:r>
      <w:r>
        <w:fldChar w:fldCharType="begin"/>
      </w:r>
      <w:r>
        <w:instrText xml:space="preserve"> PAGEREF _Toc309652717 \h </w:instrText>
      </w:r>
      <w:r>
        <w:fldChar w:fldCharType="separate"/>
      </w:r>
      <w:r>
        <w:t>25</w:t>
      </w:r>
      <w:r>
        <w:fldChar w:fldCharType="end"/>
      </w:r>
    </w:p>
    <w:p>
      <w:pPr>
        <w:pStyle w:val="TOC8"/>
        <w:rPr>
          <w:sz w:val="24"/>
          <w:szCs w:val="24"/>
          <w:lang w:val="en-US"/>
        </w:rPr>
      </w:pPr>
      <w:r>
        <w:t>30.</w:t>
      </w:r>
      <w:r>
        <w:tab/>
        <w:t>Prescribed public road: section 64(a)(i)</w:t>
      </w:r>
      <w:r>
        <w:tab/>
      </w:r>
      <w:r>
        <w:fldChar w:fldCharType="begin"/>
      </w:r>
      <w:r>
        <w:instrText xml:space="preserve"> PAGEREF _Toc309652718 \h </w:instrText>
      </w:r>
      <w:r>
        <w:fldChar w:fldCharType="separate"/>
      </w:r>
      <w:r>
        <w:t>25</w:t>
      </w:r>
      <w:r>
        <w:fldChar w:fldCharType="end"/>
      </w:r>
    </w:p>
    <w:p>
      <w:pPr>
        <w:pStyle w:val="TOC8"/>
        <w:rPr>
          <w:sz w:val="24"/>
          <w:szCs w:val="24"/>
          <w:lang w:val="en-US"/>
        </w:rPr>
      </w:pPr>
      <w:r>
        <w:t>31.</w:t>
      </w:r>
      <w:r>
        <w:tab/>
        <w:t>Periodic information to be supplied</w:t>
      </w:r>
      <w:r>
        <w:tab/>
      </w:r>
      <w:r>
        <w:fldChar w:fldCharType="begin"/>
      </w:r>
      <w:r>
        <w:instrText xml:space="preserve"> PAGEREF _Toc309652719 \h </w:instrText>
      </w:r>
      <w:r>
        <w:fldChar w:fldCharType="separate"/>
      </w:r>
      <w:r>
        <w:t>26</w:t>
      </w:r>
      <w:r>
        <w:fldChar w:fldCharType="end"/>
      </w:r>
    </w:p>
    <w:p>
      <w:pPr>
        <w:pStyle w:val="TOC8"/>
        <w:rPr>
          <w:sz w:val="24"/>
          <w:szCs w:val="24"/>
          <w:lang w:val="en-US"/>
        </w:rPr>
      </w:pPr>
      <w:r>
        <w:t>32.</w:t>
      </w:r>
      <w:r>
        <w:tab/>
        <w:t>Reporting of notifiable occurrences</w:t>
      </w:r>
      <w:r>
        <w:tab/>
      </w:r>
      <w:r>
        <w:fldChar w:fldCharType="begin"/>
      </w:r>
      <w:r>
        <w:instrText xml:space="preserve"> PAGEREF _Toc309652720 \h </w:instrText>
      </w:r>
      <w:r>
        <w:fldChar w:fldCharType="separate"/>
      </w:r>
      <w:r>
        <w:t>28</w:t>
      </w:r>
      <w:r>
        <w:fldChar w:fldCharType="end"/>
      </w:r>
    </w:p>
    <w:p>
      <w:pPr>
        <w:pStyle w:val="TOC8"/>
        <w:rPr>
          <w:sz w:val="24"/>
          <w:szCs w:val="24"/>
          <w:lang w:val="en-US"/>
        </w:rPr>
      </w:pPr>
      <w:r>
        <w:t>33.</w:t>
      </w:r>
      <w:r>
        <w:tab/>
        <w:t>Documents to be made available for public inspection</w:t>
      </w:r>
      <w:r>
        <w:tab/>
      </w:r>
      <w:r>
        <w:fldChar w:fldCharType="begin"/>
      </w:r>
      <w:r>
        <w:instrText xml:space="preserve"> PAGEREF _Toc309652721 \h </w:instrText>
      </w:r>
      <w:r>
        <w:fldChar w:fldCharType="separate"/>
      </w:r>
      <w:r>
        <w:t>31</w:t>
      </w:r>
      <w:r>
        <w:fldChar w:fldCharType="end"/>
      </w:r>
    </w:p>
    <w:p>
      <w:pPr>
        <w:pStyle w:val="TOC8"/>
        <w:rPr>
          <w:sz w:val="24"/>
          <w:szCs w:val="24"/>
          <w:lang w:val="en-US"/>
        </w:rPr>
      </w:pPr>
      <w:r>
        <w:t>34.</w:t>
      </w:r>
      <w:r>
        <w:tab/>
        <w:t>Embargo notices</w:t>
      </w:r>
      <w:r>
        <w:tab/>
      </w:r>
      <w:r>
        <w:fldChar w:fldCharType="begin"/>
      </w:r>
      <w:r>
        <w:instrText xml:space="preserve"> PAGEREF _Toc309652722 \h </w:instrText>
      </w:r>
      <w:r>
        <w:fldChar w:fldCharType="separate"/>
      </w:r>
      <w:r>
        <w:t>31</w:t>
      </w:r>
      <w:r>
        <w:fldChar w:fldCharType="end"/>
      </w:r>
    </w:p>
    <w:p>
      <w:pPr>
        <w:pStyle w:val="TOC8"/>
        <w:rPr>
          <w:sz w:val="24"/>
          <w:szCs w:val="24"/>
          <w:lang w:val="en-US"/>
        </w:rPr>
      </w:pPr>
      <w:r>
        <w:t>35.</w:t>
      </w:r>
      <w:r>
        <w:tab/>
        <w:t>Act not to apply in certain cases</w:t>
      </w:r>
      <w:r>
        <w:tab/>
      </w:r>
      <w:r>
        <w:fldChar w:fldCharType="begin"/>
      </w:r>
      <w:r>
        <w:instrText xml:space="preserve"> PAGEREF _Toc309652723 \h </w:instrText>
      </w:r>
      <w:r>
        <w:fldChar w:fldCharType="separate"/>
      </w:r>
      <w:r>
        <w:t>31</w:t>
      </w:r>
      <w:r>
        <w:fldChar w:fldCharType="end"/>
      </w:r>
    </w:p>
    <w:p>
      <w:pPr>
        <w:pStyle w:val="TOC8"/>
        <w:rPr>
          <w:sz w:val="24"/>
          <w:szCs w:val="24"/>
          <w:lang w:val="en-US"/>
        </w:rPr>
      </w:pPr>
      <w:r>
        <w:t>36.</w:t>
      </w:r>
      <w:r>
        <w:tab/>
        <w:t>Service of documents or notice</w:t>
      </w:r>
      <w:r>
        <w:tab/>
      </w:r>
      <w:r>
        <w:fldChar w:fldCharType="begin"/>
      </w:r>
      <w:r>
        <w:instrText xml:space="preserve"> PAGEREF _Toc309652724 \h </w:instrText>
      </w:r>
      <w:r>
        <w:fldChar w:fldCharType="separate"/>
      </w:r>
      <w:r>
        <w:t>32</w:t>
      </w:r>
      <w:r>
        <w:fldChar w:fldCharType="end"/>
      </w:r>
    </w:p>
    <w:p>
      <w:pPr>
        <w:pStyle w:val="TOC2"/>
        <w:tabs>
          <w:tab w:val="right" w:leader="dot" w:pos="7086"/>
        </w:tabs>
        <w:rPr>
          <w:b w:val="0"/>
          <w:sz w:val="24"/>
          <w:szCs w:val="24"/>
          <w:lang w:val="en-US"/>
        </w:rPr>
      </w:pPr>
      <w:r>
        <w:t>Part 7 — Fees</w:t>
      </w:r>
    </w:p>
    <w:p>
      <w:pPr>
        <w:pStyle w:val="TOC8"/>
        <w:rPr>
          <w:sz w:val="24"/>
          <w:szCs w:val="24"/>
          <w:lang w:val="en-US"/>
        </w:rPr>
      </w:pPr>
      <w:r>
        <w:t>37.</w:t>
      </w:r>
      <w:r>
        <w:tab/>
        <w:t>Annual fees for private sidings</w:t>
      </w:r>
      <w:r>
        <w:tab/>
      </w:r>
      <w:r>
        <w:fldChar w:fldCharType="begin"/>
      </w:r>
      <w:r>
        <w:instrText xml:space="preserve"> PAGEREF _Toc309652726 \h </w:instrText>
      </w:r>
      <w:r>
        <w:fldChar w:fldCharType="separate"/>
      </w:r>
      <w:r>
        <w:t>33</w:t>
      </w:r>
      <w:r>
        <w:fldChar w:fldCharType="end"/>
      </w:r>
    </w:p>
    <w:p>
      <w:pPr>
        <w:pStyle w:val="TOC8"/>
        <w:rPr>
          <w:sz w:val="24"/>
          <w:szCs w:val="24"/>
          <w:lang w:val="en-US"/>
        </w:rPr>
      </w:pPr>
      <w:r>
        <w:t>38.</w:t>
      </w:r>
      <w:r>
        <w:tab/>
        <w:t>Application fees</w:t>
      </w:r>
      <w:r>
        <w:tab/>
      </w:r>
      <w:r>
        <w:fldChar w:fldCharType="begin"/>
      </w:r>
      <w:r>
        <w:instrText xml:space="preserve"> PAGEREF _Toc309652727 \h </w:instrText>
      </w:r>
      <w:r>
        <w:fldChar w:fldCharType="separate"/>
      </w:r>
      <w:r>
        <w:t>33</w:t>
      </w:r>
      <w:r>
        <w:fldChar w:fldCharType="end"/>
      </w:r>
    </w:p>
    <w:p>
      <w:pPr>
        <w:pStyle w:val="TOC8"/>
        <w:rPr>
          <w:sz w:val="24"/>
          <w:szCs w:val="24"/>
          <w:lang w:val="en-US"/>
        </w:rPr>
      </w:pPr>
      <w:r>
        <w:t>39.</w:t>
      </w:r>
      <w:r>
        <w:tab/>
        <w:t>Annual fees</w:t>
      </w:r>
      <w:r>
        <w:tab/>
      </w:r>
      <w:r>
        <w:fldChar w:fldCharType="begin"/>
      </w:r>
      <w:r>
        <w:instrText xml:space="preserve"> PAGEREF _Toc309652728 \h </w:instrText>
      </w:r>
      <w:r>
        <w:fldChar w:fldCharType="separate"/>
      </w:r>
      <w:r>
        <w:t>33</w:t>
      </w:r>
      <w:r>
        <w:fldChar w:fldCharType="end"/>
      </w:r>
    </w:p>
    <w:p>
      <w:pPr>
        <w:pStyle w:val="TOC8"/>
        <w:rPr>
          <w:sz w:val="24"/>
          <w:szCs w:val="24"/>
          <w:lang w:val="en-US"/>
        </w:rPr>
      </w:pPr>
      <w:r>
        <w:t>40.</w:t>
      </w:r>
      <w:r>
        <w:tab/>
        <w:t>Late fees</w:t>
      </w:r>
      <w:r>
        <w:tab/>
      </w:r>
      <w:r>
        <w:fldChar w:fldCharType="begin"/>
      </w:r>
      <w:r>
        <w:instrText xml:space="preserve"> PAGEREF _Toc309652729 \h </w:instrText>
      </w:r>
      <w:r>
        <w:fldChar w:fldCharType="separate"/>
      </w:r>
      <w:r>
        <w:t>33</w:t>
      </w:r>
      <w:r>
        <w:fldChar w:fldCharType="end"/>
      </w:r>
    </w:p>
    <w:p>
      <w:pPr>
        <w:pStyle w:val="TOC8"/>
        <w:rPr>
          <w:sz w:val="24"/>
          <w:szCs w:val="24"/>
          <w:lang w:val="en-US"/>
        </w:rPr>
      </w:pPr>
      <w:r>
        <w:t>41.</w:t>
      </w:r>
      <w:r>
        <w:tab/>
        <w:t>Reduction, waiver or refund of fees</w:t>
      </w:r>
      <w:r>
        <w:tab/>
      </w:r>
      <w:r>
        <w:fldChar w:fldCharType="begin"/>
      </w:r>
      <w:r>
        <w:instrText xml:space="preserve"> PAGEREF _Toc309652730 \h </w:instrText>
      </w:r>
      <w:r>
        <w:fldChar w:fldCharType="separate"/>
      </w:r>
      <w:r>
        <w:t>33</w:t>
      </w:r>
      <w:r>
        <w:fldChar w:fldCharType="end"/>
      </w:r>
    </w:p>
    <w:p>
      <w:pPr>
        <w:pStyle w:val="TOC2"/>
        <w:tabs>
          <w:tab w:val="right" w:leader="dot" w:pos="7086"/>
        </w:tabs>
        <w:rPr>
          <w:b w:val="0"/>
          <w:sz w:val="24"/>
          <w:szCs w:val="24"/>
          <w:lang w:val="en-US"/>
        </w:rPr>
      </w:pPr>
      <w:r>
        <w:t>Schedule 1 — Content of the safety management system</w:t>
      </w:r>
    </w:p>
    <w:p>
      <w:pPr>
        <w:pStyle w:val="TOC8"/>
        <w:rPr>
          <w:sz w:val="24"/>
          <w:szCs w:val="24"/>
          <w:lang w:val="en-US"/>
        </w:rPr>
      </w:pPr>
      <w:r>
        <w:t>1.</w:t>
      </w:r>
      <w:r>
        <w:tab/>
        <w:t>Safety policy</w:t>
      </w:r>
      <w:r>
        <w:tab/>
      </w:r>
      <w:r>
        <w:fldChar w:fldCharType="begin"/>
      </w:r>
      <w:r>
        <w:instrText xml:space="preserve"> PAGEREF _Toc309652732 \h </w:instrText>
      </w:r>
      <w:r>
        <w:fldChar w:fldCharType="separate"/>
      </w:r>
      <w:r>
        <w:t>34</w:t>
      </w:r>
      <w:r>
        <w:fldChar w:fldCharType="end"/>
      </w:r>
    </w:p>
    <w:p>
      <w:pPr>
        <w:pStyle w:val="TOC8"/>
        <w:rPr>
          <w:sz w:val="24"/>
          <w:szCs w:val="24"/>
          <w:lang w:val="en-US"/>
        </w:rPr>
      </w:pPr>
      <w:r>
        <w:t>2.</w:t>
      </w:r>
      <w:r>
        <w:tab/>
        <w:t>Safety culture</w:t>
      </w:r>
      <w:r>
        <w:tab/>
      </w:r>
      <w:r>
        <w:fldChar w:fldCharType="begin"/>
      </w:r>
      <w:r>
        <w:instrText xml:space="preserve"> PAGEREF _Toc309652733 \h </w:instrText>
      </w:r>
      <w:r>
        <w:fldChar w:fldCharType="separate"/>
      </w:r>
      <w:r>
        <w:t>34</w:t>
      </w:r>
      <w:r>
        <w:fldChar w:fldCharType="end"/>
      </w:r>
    </w:p>
    <w:p>
      <w:pPr>
        <w:pStyle w:val="TOC8"/>
        <w:rPr>
          <w:sz w:val="24"/>
          <w:szCs w:val="24"/>
          <w:lang w:val="en-US"/>
        </w:rPr>
      </w:pPr>
      <w:r>
        <w:t>3.</w:t>
      </w:r>
      <w:r>
        <w:tab/>
        <w:t>Governance and internal control arrangements</w:t>
      </w:r>
      <w:r>
        <w:tab/>
      </w:r>
      <w:r>
        <w:fldChar w:fldCharType="begin"/>
      </w:r>
      <w:r>
        <w:instrText xml:space="preserve"> PAGEREF _Toc309652734 \h </w:instrText>
      </w:r>
      <w:r>
        <w:fldChar w:fldCharType="separate"/>
      </w:r>
      <w:r>
        <w:t>34</w:t>
      </w:r>
      <w:r>
        <w:fldChar w:fldCharType="end"/>
      </w:r>
    </w:p>
    <w:p>
      <w:pPr>
        <w:pStyle w:val="TOC8"/>
        <w:rPr>
          <w:sz w:val="24"/>
          <w:szCs w:val="24"/>
          <w:lang w:val="en-US"/>
        </w:rPr>
      </w:pPr>
      <w:r>
        <w:t>4.</w:t>
      </w:r>
      <w:r>
        <w:tab/>
        <w:t>Management, responsibilities, accountabilities and authorities</w:t>
      </w:r>
      <w:r>
        <w:tab/>
      </w:r>
      <w:r>
        <w:fldChar w:fldCharType="begin"/>
      </w:r>
      <w:r>
        <w:instrText xml:space="preserve"> PAGEREF _Toc309652735 \h </w:instrText>
      </w:r>
      <w:r>
        <w:fldChar w:fldCharType="separate"/>
      </w:r>
      <w:r>
        <w:t>35</w:t>
      </w:r>
      <w:r>
        <w:fldChar w:fldCharType="end"/>
      </w:r>
    </w:p>
    <w:p>
      <w:pPr>
        <w:pStyle w:val="TOC8"/>
        <w:rPr>
          <w:sz w:val="24"/>
          <w:szCs w:val="24"/>
          <w:lang w:val="en-US"/>
        </w:rPr>
      </w:pPr>
      <w:r>
        <w:t>5.</w:t>
      </w:r>
      <w:r>
        <w:tab/>
        <w:t>Regulatory compliance</w:t>
      </w:r>
      <w:r>
        <w:tab/>
      </w:r>
      <w:r>
        <w:fldChar w:fldCharType="begin"/>
      </w:r>
      <w:r>
        <w:instrText xml:space="preserve"> PAGEREF _Toc309652736 \h </w:instrText>
      </w:r>
      <w:r>
        <w:fldChar w:fldCharType="separate"/>
      </w:r>
      <w:r>
        <w:t>35</w:t>
      </w:r>
      <w:r>
        <w:fldChar w:fldCharType="end"/>
      </w:r>
    </w:p>
    <w:p>
      <w:pPr>
        <w:pStyle w:val="TOC8"/>
        <w:rPr>
          <w:sz w:val="24"/>
          <w:szCs w:val="24"/>
          <w:lang w:val="en-US"/>
        </w:rPr>
      </w:pPr>
      <w:r>
        <w:t>6.</w:t>
      </w:r>
      <w:r>
        <w:tab/>
        <w:t>Document control arrangements and information management</w:t>
      </w:r>
      <w:r>
        <w:tab/>
      </w:r>
      <w:r>
        <w:fldChar w:fldCharType="begin"/>
      </w:r>
      <w:r>
        <w:instrText xml:space="preserve"> PAGEREF _Toc309652737 \h </w:instrText>
      </w:r>
      <w:r>
        <w:fldChar w:fldCharType="separate"/>
      </w:r>
      <w:r>
        <w:t>35</w:t>
      </w:r>
      <w:r>
        <w:fldChar w:fldCharType="end"/>
      </w:r>
    </w:p>
    <w:p>
      <w:pPr>
        <w:pStyle w:val="TOC8"/>
        <w:rPr>
          <w:sz w:val="24"/>
          <w:szCs w:val="24"/>
          <w:lang w:val="en-US"/>
        </w:rPr>
      </w:pPr>
      <w:r>
        <w:t>7.</w:t>
      </w:r>
      <w:r>
        <w:tab/>
        <w:t>Review of the safety management system</w:t>
      </w:r>
      <w:r>
        <w:tab/>
      </w:r>
      <w:r>
        <w:fldChar w:fldCharType="begin"/>
      </w:r>
      <w:r>
        <w:instrText xml:space="preserve"> PAGEREF _Toc309652738 \h </w:instrText>
      </w:r>
      <w:r>
        <w:fldChar w:fldCharType="separate"/>
      </w:r>
      <w:r>
        <w:t>36</w:t>
      </w:r>
      <w:r>
        <w:fldChar w:fldCharType="end"/>
      </w:r>
    </w:p>
    <w:p>
      <w:pPr>
        <w:pStyle w:val="TOC8"/>
        <w:rPr>
          <w:sz w:val="24"/>
          <w:szCs w:val="24"/>
          <w:lang w:val="en-US"/>
        </w:rPr>
      </w:pPr>
      <w:r>
        <w:t>8.</w:t>
      </w:r>
      <w:r>
        <w:tab/>
        <w:t>Safety performance measures</w:t>
      </w:r>
      <w:r>
        <w:tab/>
      </w:r>
      <w:r>
        <w:fldChar w:fldCharType="begin"/>
      </w:r>
      <w:r>
        <w:instrText xml:space="preserve"> PAGEREF _Toc309652739 \h </w:instrText>
      </w:r>
      <w:r>
        <w:fldChar w:fldCharType="separate"/>
      </w:r>
      <w:r>
        <w:t>36</w:t>
      </w:r>
      <w:r>
        <w:fldChar w:fldCharType="end"/>
      </w:r>
    </w:p>
    <w:p>
      <w:pPr>
        <w:pStyle w:val="TOC8"/>
        <w:rPr>
          <w:sz w:val="24"/>
          <w:szCs w:val="24"/>
          <w:lang w:val="en-US"/>
        </w:rPr>
      </w:pPr>
      <w:r>
        <w:t>9.</w:t>
      </w:r>
      <w:r>
        <w:tab/>
        <w:t>Safety audit arrangements</w:t>
      </w:r>
      <w:r>
        <w:tab/>
      </w:r>
      <w:r>
        <w:fldChar w:fldCharType="begin"/>
      </w:r>
      <w:r>
        <w:instrText xml:space="preserve"> PAGEREF _Toc309652740 \h </w:instrText>
      </w:r>
      <w:r>
        <w:fldChar w:fldCharType="separate"/>
      </w:r>
      <w:r>
        <w:t>36</w:t>
      </w:r>
      <w:r>
        <w:fldChar w:fldCharType="end"/>
      </w:r>
    </w:p>
    <w:p>
      <w:pPr>
        <w:pStyle w:val="TOC8"/>
        <w:rPr>
          <w:sz w:val="24"/>
          <w:szCs w:val="24"/>
          <w:lang w:val="en-US"/>
        </w:rPr>
      </w:pPr>
      <w:r>
        <w:t>10.</w:t>
      </w:r>
      <w:r>
        <w:tab/>
        <w:t>Corrective action</w:t>
      </w:r>
      <w:r>
        <w:tab/>
      </w:r>
      <w:r>
        <w:fldChar w:fldCharType="begin"/>
      </w:r>
      <w:r>
        <w:instrText xml:space="preserve"> PAGEREF _Toc309652741 \h </w:instrText>
      </w:r>
      <w:r>
        <w:fldChar w:fldCharType="separate"/>
      </w:r>
      <w:r>
        <w:t>37</w:t>
      </w:r>
      <w:r>
        <w:fldChar w:fldCharType="end"/>
      </w:r>
    </w:p>
    <w:p>
      <w:pPr>
        <w:pStyle w:val="TOC8"/>
        <w:rPr>
          <w:sz w:val="24"/>
          <w:szCs w:val="24"/>
          <w:lang w:val="en-US"/>
        </w:rPr>
      </w:pPr>
      <w:r>
        <w:t>11.</w:t>
      </w:r>
      <w:r>
        <w:tab/>
        <w:t>Management of change</w:t>
      </w:r>
      <w:r>
        <w:tab/>
      </w:r>
      <w:r>
        <w:fldChar w:fldCharType="begin"/>
      </w:r>
      <w:r>
        <w:instrText xml:space="preserve"> PAGEREF _Toc309652742 \h </w:instrText>
      </w:r>
      <w:r>
        <w:fldChar w:fldCharType="separate"/>
      </w:r>
      <w:r>
        <w:t>37</w:t>
      </w:r>
      <w:r>
        <w:fldChar w:fldCharType="end"/>
      </w:r>
    </w:p>
    <w:p>
      <w:pPr>
        <w:pStyle w:val="TOC8"/>
        <w:rPr>
          <w:sz w:val="24"/>
          <w:szCs w:val="24"/>
          <w:lang w:val="en-US"/>
        </w:rPr>
      </w:pPr>
      <w:r>
        <w:t>12.</w:t>
      </w:r>
      <w:r>
        <w:tab/>
        <w:t>Consultation</w:t>
      </w:r>
      <w:r>
        <w:tab/>
      </w:r>
      <w:r>
        <w:fldChar w:fldCharType="begin"/>
      </w:r>
      <w:r>
        <w:instrText xml:space="preserve"> PAGEREF _Toc309652743 \h </w:instrText>
      </w:r>
      <w:r>
        <w:fldChar w:fldCharType="separate"/>
      </w:r>
      <w:r>
        <w:t>38</w:t>
      </w:r>
      <w:r>
        <w:fldChar w:fldCharType="end"/>
      </w:r>
    </w:p>
    <w:p>
      <w:pPr>
        <w:pStyle w:val="TOC8"/>
        <w:rPr>
          <w:sz w:val="24"/>
          <w:szCs w:val="24"/>
          <w:lang w:val="en-US"/>
        </w:rPr>
      </w:pPr>
      <w:r>
        <w:t>13.</w:t>
      </w:r>
      <w:r>
        <w:tab/>
        <w:t>Internal Communication</w:t>
      </w:r>
      <w:r>
        <w:tab/>
      </w:r>
      <w:r>
        <w:fldChar w:fldCharType="begin"/>
      </w:r>
      <w:r>
        <w:instrText xml:space="preserve"> PAGEREF _Toc309652744 \h </w:instrText>
      </w:r>
      <w:r>
        <w:fldChar w:fldCharType="separate"/>
      </w:r>
      <w:r>
        <w:t>38</w:t>
      </w:r>
      <w:r>
        <w:fldChar w:fldCharType="end"/>
      </w:r>
    </w:p>
    <w:p>
      <w:pPr>
        <w:pStyle w:val="TOC8"/>
        <w:rPr>
          <w:sz w:val="24"/>
          <w:szCs w:val="24"/>
          <w:lang w:val="en-US"/>
        </w:rPr>
      </w:pPr>
      <w:r>
        <w:t>14.</w:t>
      </w:r>
      <w:r>
        <w:tab/>
        <w:t>Risk management</w:t>
      </w:r>
      <w:r>
        <w:tab/>
      </w:r>
      <w:r>
        <w:fldChar w:fldCharType="begin"/>
      </w:r>
      <w:r>
        <w:instrText xml:space="preserve"> PAGEREF _Toc309652745 \h </w:instrText>
      </w:r>
      <w:r>
        <w:fldChar w:fldCharType="separate"/>
      </w:r>
      <w:r>
        <w:t>38</w:t>
      </w:r>
      <w:r>
        <w:fldChar w:fldCharType="end"/>
      </w:r>
    </w:p>
    <w:p>
      <w:pPr>
        <w:pStyle w:val="TOC8"/>
        <w:rPr>
          <w:sz w:val="24"/>
          <w:szCs w:val="24"/>
          <w:lang w:val="en-US"/>
        </w:rPr>
      </w:pPr>
      <w:r>
        <w:t>15.</w:t>
      </w:r>
      <w:r>
        <w:tab/>
        <w:t>Human factors</w:t>
      </w:r>
      <w:r>
        <w:tab/>
      </w:r>
      <w:r>
        <w:fldChar w:fldCharType="begin"/>
      </w:r>
      <w:r>
        <w:instrText xml:space="preserve"> PAGEREF _Toc309652746 \h </w:instrText>
      </w:r>
      <w:r>
        <w:fldChar w:fldCharType="separate"/>
      </w:r>
      <w:r>
        <w:t>39</w:t>
      </w:r>
      <w:r>
        <w:fldChar w:fldCharType="end"/>
      </w:r>
    </w:p>
    <w:p>
      <w:pPr>
        <w:pStyle w:val="TOC8"/>
        <w:rPr>
          <w:sz w:val="24"/>
          <w:szCs w:val="24"/>
          <w:lang w:val="en-US"/>
        </w:rPr>
      </w:pPr>
      <w:r>
        <w:t>16.</w:t>
      </w:r>
      <w:r>
        <w:tab/>
        <w:t>Procurement and contract management</w:t>
      </w:r>
      <w:r>
        <w:tab/>
      </w:r>
      <w:r>
        <w:fldChar w:fldCharType="begin"/>
      </w:r>
      <w:r>
        <w:instrText xml:space="preserve"> PAGEREF _Toc309652747 \h </w:instrText>
      </w:r>
      <w:r>
        <w:fldChar w:fldCharType="separate"/>
      </w:r>
      <w:r>
        <w:t>39</w:t>
      </w:r>
      <w:r>
        <w:fldChar w:fldCharType="end"/>
      </w:r>
    </w:p>
    <w:p>
      <w:pPr>
        <w:pStyle w:val="TOC8"/>
        <w:rPr>
          <w:sz w:val="24"/>
          <w:szCs w:val="24"/>
          <w:lang w:val="en-US"/>
        </w:rPr>
      </w:pPr>
      <w:r>
        <w:t>17.</w:t>
      </w:r>
      <w:r>
        <w:tab/>
        <w:t>General engineering and operational systems safety requirements</w:t>
      </w:r>
      <w:r>
        <w:tab/>
      </w:r>
      <w:r>
        <w:fldChar w:fldCharType="begin"/>
      </w:r>
      <w:r>
        <w:instrText xml:space="preserve"> PAGEREF _Toc309652748 \h </w:instrText>
      </w:r>
      <w:r>
        <w:fldChar w:fldCharType="separate"/>
      </w:r>
      <w:r>
        <w:t>40</w:t>
      </w:r>
      <w:r>
        <w:fldChar w:fldCharType="end"/>
      </w:r>
    </w:p>
    <w:p>
      <w:pPr>
        <w:pStyle w:val="TOC8"/>
        <w:rPr>
          <w:sz w:val="24"/>
          <w:szCs w:val="24"/>
          <w:lang w:val="en-US"/>
        </w:rPr>
      </w:pPr>
      <w:r>
        <w:t>18.</w:t>
      </w:r>
      <w:r>
        <w:tab/>
        <w:t>Process control</w:t>
      </w:r>
      <w:r>
        <w:tab/>
      </w:r>
      <w:r>
        <w:fldChar w:fldCharType="begin"/>
      </w:r>
      <w:r>
        <w:instrText xml:space="preserve"> PAGEREF _Toc309652749 \h </w:instrText>
      </w:r>
      <w:r>
        <w:fldChar w:fldCharType="separate"/>
      </w:r>
      <w:r>
        <w:t>40</w:t>
      </w:r>
      <w:r>
        <w:fldChar w:fldCharType="end"/>
      </w:r>
    </w:p>
    <w:p>
      <w:pPr>
        <w:pStyle w:val="TOC8"/>
        <w:rPr>
          <w:sz w:val="24"/>
          <w:szCs w:val="24"/>
          <w:lang w:val="en-US"/>
        </w:rPr>
      </w:pPr>
      <w:r>
        <w:t>19.</w:t>
      </w:r>
      <w:r>
        <w:tab/>
        <w:t>Asset management</w:t>
      </w:r>
      <w:r>
        <w:tab/>
      </w:r>
      <w:r>
        <w:fldChar w:fldCharType="begin"/>
      </w:r>
      <w:r>
        <w:instrText xml:space="preserve"> PAGEREF _Toc309652750 \h </w:instrText>
      </w:r>
      <w:r>
        <w:fldChar w:fldCharType="separate"/>
      </w:r>
      <w:r>
        <w:t>41</w:t>
      </w:r>
      <w:r>
        <w:fldChar w:fldCharType="end"/>
      </w:r>
    </w:p>
    <w:p>
      <w:pPr>
        <w:pStyle w:val="TOC8"/>
        <w:rPr>
          <w:sz w:val="24"/>
          <w:szCs w:val="24"/>
          <w:lang w:val="en-US"/>
        </w:rPr>
      </w:pPr>
      <w:r>
        <w:t>20.</w:t>
      </w:r>
      <w:r>
        <w:tab/>
        <w:t>Safety interface coordination</w:t>
      </w:r>
      <w:r>
        <w:tab/>
      </w:r>
      <w:r>
        <w:fldChar w:fldCharType="begin"/>
      </w:r>
      <w:r>
        <w:instrText xml:space="preserve"> PAGEREF _Toc309652751 \h </w:instrText>
      </w:r>
      <w:r>
        <w:fldChar w:fldCharType="separate"/>
      </w:r>
      <w:r>
        <w:t>41</w:t>
      </w:r>
      <w:r>
        <w:fldChar w:fldCharType="end"/>
      </w:r>
    </w:p>
    <w:p>
      <w:pPr>
        <w:pStyle w:val="TOC8"/>
        <w:rPr>
          <w:sz w:val="24"/>
          <w:szCs w:val="24"/>
          <w:lang w:val="en-US"/>
        </w:rPr>
      </w:pPr>
      <w:r>
        <w:t>21.</w:t>
      </w:r>
      <w:r>
        <w:tab/>
        <w:t>Management of notifiable occurrences</w:t>
      </w:r>
      <w:r>
        <w:tab/>
      </w:r>
      <w:r>
        <w:fldChar w:fldCharType="begin"/>
      </w:r>
      <w:r>
        <w:instrText xml:space="preserve"> PAGEREF _Toc309652752 \h </w:instrText>
      </w:r>
      <w:r>
        <w:fldChar w:fldCharType="separate"/>
      </w:r>
      <w:r>
        <w:t>41</w:t>
      </w:r>
      <w:r>
        <w:fldChar w:fldCharType="end"/>
      </w:r>
    </w:p>
    <w:p>
      <w:pPr>
        <w:pStyle w:val="TOC8"/>
        <w:rPr>
          <w:sz w:val="24"/>
          <w:szCs w:val="24"/>
          <w:lang w:val="en-US"/>
        </w:rPr>
      </w:pPr>
      <w:r>
        <w:t>22.</w:t>
      </w:r>
      <w:r>
        <w:tab/>
        <w:t>Rail safety worker competence</w:t>
      </w:r>
      <w:r>
        <w:tab/>
      </w:r>
      <w:r>
        <w:fldChar w:fldCharType="begin"/>
      </w:r>
      <w:r>
        <w:instrText xml:space="preserve"> PAGEREF _Toc309652753 \h </w:instrText>
      </w:r>
      <w:r>
        <w:fldChar w:fldCharType="separate"/>
      </w:r>
      <w:r>
        <w:t>41</w:t>
      </w:r>
      <w:r>
        <w:fldChar w:fldCharType="end"/>
      </w:r>
    </w:p>
    <w:p>
      <w:pPr>
        <w:pStyle w:val="TOC8"/>
        <w:rPr>
          <w:sz w:val="24"/>
          <w:szCs w:val="24"/>
          <w:lang w:val="en-US"/>
        </w:rPr>
      </w:pPr>
      <w:r>
        <w:t>23.</w:t>
      </w:r>
      <w:r>
        <w:tab/>
        <w:t>Security management</w:t>
      </w:r>
      <w:r>
        <w:tab/>
      </w:r>
      <w:r>
        <w:fldChar w:fldCharType="begin"/>
      </w:r>
      <w:r>
        <w:instrText xml:space="preserve"> PAGEREF _Toc309652754 \h </w:instrText>
      </w:r>
      <w:r>
        <w:fldChar w:fldCharType="separate"/>
      </w:r>
      <w:r>
        <w:t>41</w:t>
      </w:r>
      <w:r>
        <w:fldChar w:fldCharType="end"/>
      </w:r>
    </w:p>
    <w:p>
      <w:pPr>
        <w:pStyle w:val="TOC8"/>
        <w:rPr>
          <w:sz w:val="24"/>
          <w:szCs w:val="24"/>
          <w:lang w:val="en-US"/>
        </w:rPr>
      </w:pPr>
      <w:r>
        <w:t>24.</w:t>
      </w:r>
      <w:r>
        <w:tab/>
        <w:t>Emergency management</w:t>
      </w:r>
      <w:r>
        <w:tab/>
      </w:r>
      <w:r>
        <w:fldChar w:fldCharType="begin"/>
      </w:r>
      <w:r>
        <w:instrText xml:space="preserve"> PAGEREF _Toc309652755 \h </w:instrText>
      </w:r>
      <w:r>
        <w:fldChar w:fldCharType="separate"/>
      </w:r>
      <w:r>
        <w:t>42</w:t>
      </w:r>
      <w:r>
        <w:fldChar w:fldCharType="end"/>
      </w:r>
    </w:p>
    <w:p>
      <w:pPr>
        <w:pStyle w:val="TOC8"/>
        <w:rPr>
          <w:sz w:val="24"/>
          <w:szCs w:val="24"/>
          <w:lang w:val="en-US"/>
        </w:rPr>
      </w:pPr>
      <w:r>
        <w:t>25.</w:t>
      </w:r>
      <w:r>
        <w:tab/>
        <w:t>Fatigue</w:t>
      </w:r>
      <w:r>
        <w:tab/>
      </w:r>
      <w:r>
        <w:fldChar w:fldCharType="begin"/>
      </w:r>
      <w:r>
        <w:instrText xml:space="preserve"> PAGEREF _Toc309652756 \h </w:instrText>
      </w:r>
      <w:r>
        <w:fldChar w:fldCharType="separate"/>
      </w:r>
      <w:r>
        <w:t>42</w:t>
      </w:r>
      <w:r>
        <w:fldChar w:fldCharType="end"/>
      </w:r>
    </w:p>
    <w:p>
      <w:pPr>
        <w:pStyle w:val="TOC8"/>
        <w:rPr>
          <w:sz w:val="24"/>
          <w:szCs w:val="24"/>
          <w:lang w:val="en-US"/>
        </w:rPr>
      </w:pPr>
      <w:r>
        <w:t>26.</w:t>
      </w:r>
      <w:r>
        <w:tab/>
        <w:t>Drugs and alcohol</w:t>
      </w:r>
      <w:r>
        <w:tab/>
      </w:r>
      <w:r>
        <w:fldChar w:fldCharType="begin"/>
      </w:r>
      <w:r>
        <w:instrText xml:space="preserve"> PAGEREF _Toc309652757 \h </w:instrText>
      </w:r>
      <w:r>
        <w:fldChar w:fldCharType="separate"/>
      </w:r>
      <w:r>
        <w:t>42</w:t>
      </w:r>
      <w:r>
        <w:fldChar w:fldCharType="end"/>
      </w:r>
    </w:p>
    <w:p>
      <w:pPr>
        <w:pStyle w:val="TOC8"/>
        <w:rPr>
          <w:sz w:val="24"/>
          <w:szCs w:val="24"/>
          <w:lang w:val="en-US"/>
        </w:rPr>
      </w:pPr>
      <w:r>
        <w:t>27.</w:t>
      </w:r>
      <w:r>
        <w:tab/>
        <w:t>Health and fitness</w:t>
      </w:r>
      <w:r>
        <w:tab/>
      </w:r>
      <w:r>
        <w:fldChar w:fldCharType="begin"/>
      </w:r>
      <w:r>
        <w:instrText xml:space="preserve"> PAGEREF _Toc309652758 \h </w:instrText>
      </w:r>
      <w:r>
        <w:fldChar w:fldCharType="separate"/>
      </w:r>
      <w:r>
        <w:t>42</w:t>
      </w:r>
      <w:r>
        <w:fldChar w:fldCharType="end"/>
      </w:r>
    </w:p>
    <w:p>
      <w:pPr>
        <w:pStyle w:val="TOC8"/>
        <w:rPr>
          <w:sz w:val="24"/>
          <w:szCs w:val="24"/>
          <w:lang w:val="en-US"/>
        </w:rPr>
      </w:pPr>
      <w:r>
        <w:t>28.</w:t>
      </w:r>
      <w:r>
        <w:tab/>
        <w:t>Resource availability</w:t>
      </w:r>
      <w:r>
        <w:tab/>
      </w:r>
      <w:r>
        <w:fldChar w:fldCharType="begin"/>
      </w:r>
      <w:r>
        <w:instrText xml:space="preserve"> PAGEREF _Toc309652759 \h </w:instrText>
      </w:r>
      <w:r>
        <w:fldChar w:fldCharType="separate"/>
      </w:r>
      <w:r>
        <w:t>42</w:t>
      </w:r>
      <w:r>
        <w:fldChar w:fldCharType="end"/>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_Toc309652762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_Toc309652763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83891673"/>
      <w:bookmarkStart w:id="9" w:name="_Toc309652680"/>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11" w:name="_Toc283891674"/>
      <w:bookmarkStart w:id="12" w:name="_Toc309652681"/>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p>
    <w:p>
      <w:pPr>
        <w:pStyle w:val="Heading2"/>
      </w:pPr>
      <w:bookmarkStart w:id="13" w:name="_Toc283891675"/>
      <w:bookmarkStart w:id="14" w:name="_Toc283891759"/>
      <w:bookmarkStart w:id="15" w:name="_Toc283893609"/>
      <w:bookmarkStart w:id="16" w:name="_Toc283893869"/>
      <w:bookmarkStart w:id="17" w:name="_Toc297297232"/>
      <w:bookmarkStart w:id="18" w:name="_Toc306283848"/>
      <w:bookmarkStart w:id="19" w:name="_Toc309652682"/>
      <w:r>
        <w:rPr>
          <w:rStyle w:val="CharPartNo"/>
        </w:rPr>
        <w:t>Part 2</w:t>
      </w:r>
      <w:r>
        <w:rPr>
          <w:rStyle w:val="CharDivNo"/>
        </w:rPr>
        <w:t> </w:t>
      </w:r>
      <w:r>
        <w:t>—</w:t>
      </w:r>
      <w:r>
        <w:rPr>
          <w:rStyle w:val="CharDivText"/>
        </w:rPr>
        <w:t> </w:t>
      </w:r>
      <w:r>
        <w:rPr>
          <w:rStyle w:val="CharPartText"/>
        </w:rPr>
        <w:t>Accreditation</w:t>
      </w:r>
      <w:bookmarkEnd w:id="13"/>
      <w:bookmarkEnd w:id="14"/>
      <w:bookmarkEnd w:id="15"/>
      <w:bookmarkEnd w:id="16"/>
      <w:bookmarkEnd w:id="17"/>
      <w:bookmarkEnd w:id="18"/>
      <w:bookmarkEnd w:id="19"/>
    </w:p>
    <w:p>
      <w:pPr>
        <w:pStyle w:val="Heading5"/>
      </w:pPr>
      <w:bookmarkStart w:id="20" w:name="_Toc283891676"/>
      <w:bookmarkStart w:id="21" w:name="_Toc309652683"/>
      <w:r>
        <w:rPr>
          <w:rStyle w:val="CharSectno"/>
        </w:rPr>
        <w:t>3</w:t>
      </w:r>
      <w:r>
        <w:t>.</w:t>
      </w:r>
      <w:r>
        <w:tab/>
        <w:t>Application for accreditation</w:t>
      </w:r>
      <w:bookmarkEnd w:id="20"/>
      <w:bookmarkEnd w:id="21"/>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22" w:name="_Toc283891677"/>
      <w:bookmarkStart w:id="23" w:name="_Toc309652684"/>
      <w:r>
        <w:rPr>
          <w:rStyle w:val="CharSectno"/>
        </w:rPr>
        <w:t>4</w:t>
      </w:r>
      <w:r>
        <w:t>.</w:t>
      </w:r>
      <w:r>
        <w:tab/>
        <w:t>Prescribed details of accredited person</w:t>
      </w:r>
      <w:bookmarkEnd w:id="22"/>
      <w:bookmarkEnd w:id="2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24" w:name="_Toc283891678"/>
      <w:bookmarkStart w:id="25" w:name="_Toc309652685"/>
      <w:r>
        <w:rPr>
          <w:rStyle w:val="CharSectno"/>
        </w:rPr>
        <w:t>5</w:t>
      </w:r>
      <w:r>
        <w:t>.</w:t>
      </w:r>
      <w:r>
        <w:tab/>
        <w:t>Prescribed conditions of, or restrictions on, accreditation</w:t>
      </w:r>
      <w:bookmarkEnd w:id="24"/>
      <w:bookmarkEnd w:id="25"/>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jc w:val="center"/>
              <w:rPr>
                <w:b/>
                <w:bCs/>
              </w:rPr>
            </w:pPr>
            <w:r>
              <w:rPr>
                <w:b/>
                <w:bCs/>
              </w:rPr>
              <w:t>Item</w:t>
            </w:r>
          </w:p>
        </w:tc>
        <w:tc>
          <w:tcPr>
            <w:tcW w:w="2552" w:type="dxa"/>
          </w:tcPr>
          <w:p>
            <w:pPr>
              <w:pStyle w:val="TableNAm"/>
              <w:jc w:val="center"/>
              <w:rPr>
                <w:b/>
                <w:bCs/>
              </w:rPr>
            </w:pPr>
            <w:r>
              <w:rPr>
                <w:b/>
                <w:bCs/>
              </w:rPr>
              <w:t>Decision, event or change</w:t>
            </w:r>
          </w:p>
        </w:tc>
        <w:tc>
          <w:tcPr>
            <w:tcW w:w="2693" w:type="dxa"/>
          </w:tcPr>
          <w:p>
            <w:pPr>
              <w:pStyle w:val="TableNAm"/>
              <w:jc w:val="center"/>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26" w:name="_Toc283891679"/>
      <w:bookmarkStart w:id="27" w:name="_Toc309652686"/>
      <w:r>
        <w:rPr>
          <w:rStyle w:val="CharSectno"/>
        </w:rPr>
        <w:t>6</w:t>
      </w:r>
      <w:r>
        <w:t>.</w:t>
      </w:r>
      <w:r>
        <w:tab/>
        <w:t>Surrender of accreditation</w:t>
      </w:r>
      <w:bookmarkEnd w:id="26"/>
      <w:bookmarkEnd w:id="27"/>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28" w:name="_Toc283891680"/>
      <w:bookmarkStart w:id="29" w:name="_Toc309652687"/>
      <w:r>
        <w:rPr>
          <w:rStyle w:val="CharSectno"/>
        </w:rPr>
        <w:t>7</w:t>
      </w:r>
      <w:r>
        <w:t>.</w:t>
      </w:r>
      <w:r>
        <w:tab/>
        <w:t>Application for a variation of an accreditation</w:t>
      </w:r>
      <w:bookmarkEnd w:id="28"/>
      <w:bookmarkEnd w:id="29"/>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30" w:name="_Toc283891681"/>
      <w:bookmarkStart w:id="31" w:name="_Toc283891765"/>
      <w:bookmarkStart w:id="32" w:name="_Toc283893615"/>
      <w:bookmarkStart w:id="33" w:name="_Toc283893875"/>
      <w:bookmarkStart w:id="34" w:name="_Toc297297238"/>
      <w:bookmarkStart w:id="35" w:name="_Toc306283854"/>
      <w:bookmarkStart w:id="36" w:name="_Toc309652688"/>
      <w:r>
        <w:rPr>
          <w:rStyle w:val="CharPartNo"/>
        </w:rPr>
        <w:t>Part 3</w:t>
      </w:r>
      <w:r>
        <w:t> — </w:t>
      </w:r>
      <w:r>
        <w:rPr>
          <w:rStyle w:val="CharPartText"/>
        </w:rPr>
        <w:t>Safety management</w:t>
      </w:r>
      <w:bookmarkEnd w:id="30"/>
      <w:bookmarkEnd w:id="31"/>
      <w:bookmarkEnd w:id="32"/>
      <w:bookmarkEnd w:id="33"/>
      <w:bookmarkEnd w:id="34"/>
      <w:bookmarkEnd w:id="35"/>
      <w:bookmarkEnd w:id="36"/>
    </w:p>
    <w:p>
      <w:pPr>
        <w:pStyle w:val="Heading3"/>
      </w:pPr>
      <w:bookmarkStart w:id="37" w:name="_Toc283891682"/>
      <w:bookmarkStart w:id="38" w:name="_Toc283891766"/>
      <w:bookmarkStart w:id="39" w:name="_Toc283893616"/>
      <w:bookmarkStart w:id="40" w:name="_Toc283893876"/>
      <w:bookmarkStart w:id="41" w:name="_Toc297297239"/>
      <w:bookmarkStart w:id="42" w:name="_Toc306283855"/>
      <w:bookmarkStart w:id="43" w:name="_Toc309652689"/>
      <w:r>
        <w:rPr>
          <w:rStyle w:val="CharDivNo"/>
        </w:rPr>
        <w:t>Division 1</w:t>
      </w:r>
      <w:r>
        <w:t> — </w:t>
      </w:r>
      <w:r>
        <w:rPr>
          <w:rStyle w:val="CharDivText"/>
        </w:rPr>
        <w:t>Safety management systems</w:t>
      </w:r>
      <w:bookmarkEnd w:id="37"/>
      <w:bookmarkEnd w:id="38"/>
      <w:bookmarkEnd w:id="39"/>
      <w:bookmarkEnd w:id="40"/>
      <w:bookmarkEnd w:id="41"/>
      <w:bookmarkEnd w:id="42"/>
      <w:bookmarkEnd w:id="43"/>
    </w:p>
    <w:p>
      <w:pPr>
        <w:pStyle w:val="Heading5"/>
      </w:pPr>
      <w:bookmarkStart w:id="44" w:name="_Toc283891683"/>
      <w:bookmarkStart w:id="45" w:name="_Toc309652690"/>
      <w:r>
        <w:rPr>
          <w:rStyle w:val="CharSectno"/>
        </w:rPr>
        <w:t>8</w:t>
      </w:r>
      <w:r>
        <w:t>.</w:t>
      </w:r>
      <w:r>
        <w:tab/>
        <w:t>Prescribed requirements for a safety management system</w:t>
      </w:r>
      <w:bookmarkEnd w:id="44"/>
      <w:bookmarkEnd w:id="45"/>
    </w:p>
    <w:p>
      <w:pPr>
        <w:pStyle w:val="Subsection"/>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pPr>
      <w:bookmarkStart w:id="46" w:name="_Toc283891684"/>
      <w:bookmarkStart w:id="47" w:name="_Toc283891768"/>
      <w:bookmarkStart w:id="48" w:name="_Toc283893618"/>
      <w:bookmarkStart w:id="49" w:name="_Toc283893878"/>
      <w:bookmarkStart w:id="50" w:name="_Toc297297241"/>
      <w:bookmarkStart w:id="51" w:name="_Toc306283857"/>
      <w:bookmarkStart w:id="52" w:name="_Toc309652691"/>
      <w:r>
        <w:rPr>
          <w:rStyle w:val="CharDivNo"/>
        </w:rPr>
        <w:t>Division 2</w:t>
      </w:r>
      <w:r>
        <w:t> — </w:t>
      </w:r>
      <w:r>
        <w:rPr>
          <w:rStyle w:val="CharDivText"/>
        </w:rPr>
        <w:t>Private sidings</w:t>
      </w:r>
      <w:bookmarkEnd w:id="46"/>
      <w:bookmarkEnd w:id="47"/>
      <w:bookmarkEnd w:id="48"/>
      <w:bookmarkEnd w:id="49"/>
      <w:bookmarkEnd w:id="50"/>
      <w:bookmarkEnd w:id="51"/>
      <w:bookmarkEnd w:id="52"/>
    </w:p>
    <w:p>
      <w:pPr>
        <w:pStyle w:val="Heading5"/>
      </w:pPr>
      <w:bookmarkStart w:id="53" w:name="_Toc283891685"/>
      <w:bookmarkStart w:id="54" w:name="_Toc309652692"/>
      <w:r>
        <w:rPr>
          <w:rStyle w:val="CharSectno"/>
        </w:rPr>
        <w:t>9</w:t>
      </w:r>
      <w:r>
        <w:t>.</w:t>
      </w:r>
      <w:r>
        <w:tab/>
        <w:t>Maintenance and operational conditions</w:t>
      </w:r>
      <w:bookmarkEnd w:id="53"/>
      <w:bookmarkEnd w:id="54"/>
    </w:p>
    <w:p>
      <w:pPr>
        <w:pStyle w:val="Subsection"/>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55" w:name="_Toc283891686"/>
      <w:bookmarkStart w:id="56" w:name="_Toc283891770"/>
      <w:bookmarkStart w:id="57" w:name="_Toc283893620"/>
      <w:bookmarkStart w:id="58" w:name="_Toc283893880"/>
      <w:bookmarkStart w:id="59" w:name="_Toc297297243"/>
      <w:bookmarkStart w:id="60" w:name="_Toc306283859"/>
      <w:bookmarkStart w:id="61" w:name="_Toc309652693"/>
      <w:r>
        <w:rPr>
          <w:rStyle w:val="CharDivNo"/>
        </w:rPr>
        <w:t>Division 3</w:t>
      </w:r>
      <w:r>
        <w:t> — </w:t>
      </w:r>
      <w:r>
        <w:rPr>
          <w:rStyle w:val="CharDivText"/>
        </w:rPr>
        <w:t>Interface coordination plans</w:t>
      </w:r>
      <w:bookmarkEnd w:id="55"/>
      <w:bookmarkEnd w:id="56"/>
      <w:bookmarkEnd w:id="57"/>
      <w:bookmarkEnd w:id="58"/>
      <w:bookmarkEnd w:id="59"/>
      <w:bookmarkEnd w:id="60"/>
      <w:bookmarkEnd w:id="61"/>
    </w:p>
    <w:p>
      <w:pPr>
        <w:pStyle w:val="Heading5"/>
      </w:pPr>
      <w:bookmarkStart w:id="62" w:name="_Toc283891687"/>
      <w:bookmarkStart w:id="63" w:name="_Toc309652694"/>
      <w:r>
        <w:rPr>
          <w:rStyle w:val="CharSectno"/>
        </w:rPr>
        <w:t>10</w:t>
      </w:r>
      <w:r>
        <w:t>.</w:t>
      </w:r>
      <w:r>
        <w:tab/>
        <w:t>Term used: interface agreement</w:t>
      </w:r>
      <w:bookmarkEnd w:id="62"/>
      <w:bookmarkEnd w:id="63"/>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Ednotesection"/>
      </w:pPr>
      <w:r>
        <w:t>[</w:t>
      </w:r>
      <w:r>
        <w:rPr>
          <w:b/>
          <w:bCs/>
        </w:rPr>
        <w:t>11.</w:t>
      </w:r>
      <w:r>
        <w:rPr>
          <w:b/>
          <w:bCs/>
        </w:rPr>
        <w:tab/>
      </w:r>
      <w:r>
        <w:t>Has not come into operation</w:t>
      </w:r>
      <w:r>
        <w:rPr>
          <w:vertAlign w:val="superscript"/>
        </w:rPr>
        <w:t> </w:t>
      </w:r>
      <w:r>
        <w:rPr>
          <w:i w:val="0"/>
          <w:iCs/>
          <w:vertAlign w:val="superscript"/>
        </w:rPr>
        <w:t>2</w:t>
      </w:r>
      <w:r>
        <w:t>.]</w:t>
      </w:r>
    </w:p>
    <w:p>
      <w:pPr>
        <w:pStyle w:val="Heading3"/>
      </w:pPr>
      <w:bookmarkStart w:id="64" w:name="_Toc283891689"/>
      <w:bookmarkStart w:id="65" w:name="_Toc283891773"/>
      <w:bookmarkStart w:id="66" w:name="_Toc283893623"/>
      <w:bookmarkStart w:id="67" w:name="_Toc283893882"/>
      <w:bookmarkStart w:id="68" w:name="_Toc297297245"/>
      <w:bookmarkStart w:id="69" w:name="_Toc306283861"/>
      <w:bookmarkStart w:id="70" w:name="_Toc309652695"/>
      <w:r>
        <w:rPr>
          <w:rStyle w:val="CharDivNo"/>
        </w:rPr>
        <w:t>Division 4</w:t>
      </w:r>
      <w:r>
        <w:t> — </w:t>
      </w:r>
      <w:r>
        <w:rPr>
          <w:rStyle w:val="CharDivText"/>
        </w:rPr>
        <w:t>Security management plans</w:t>
      </w:r>
      <w:bookmarkEnd w:id="64"/>
      <w:bookmarkEnd w:id="65"/>
      <w:bookmarkEnd w:id="66"/>
      <w:bookmarkEnd w:id="67"/>
      <w:bookmarkEnd w:id="68"/>
      <w:bookmarkEnd w:id="69"/>
      <w:bookmarkEnd w:id="70"/>
    </w:p>
    <w:p>
      <w:pPr>
        <w:pStyle w:val="Heading5"/>
      </w:pPr>
      <w:bookmarkStart w:id="71" w:name="_Toc283891690"/>
      <w:bookmarkStart w:id="72" w:name="_Toc309652696"/>
      <w:r>
        <w:rPr>
          <w:rStyle w:val="CharSectno"/>
        </w:rPr>
        <w:t>12</w:t>
      </w:r>
      <w:r>
        <w:t>.</w:t>
      </w:r>
      <w:r>
        <w:tab/>
        <w:t>Security management plan</w:t>
      </w:r>
      <w:bookmarkEnd w:id="71"/>
      <w:bookmarkEnd w:id="72"/>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73" w:name="_Toc283891691"/>
      <w:bookmarkStart w:id="74" w:name="_Toc283891775"/>
      <w:bookmarkStart w:id="75" w:name="_Toc283893625"/>
      <w:bookmarkStart w:id="76" w:name="_Toc283893884"/>
      <w:bookmarkStart w:id="77" w:name="_Toc297297247"/>
      <w:bookmarkStart w:id="78" w:name="_Toc306283863"/>
      <w:bookmarkStart w:id="79" w:name="_Toc309652697"/>
      <w:r>
        <w:rPr>
          <w:rStyle w:val="CharDivNo"/>
        </w:rPr>
        <w:t>Division 5</w:t>
      </w:r>
      <w:r>
        <w:t> — </w:t>
      </w:r>
      <w:r>
        <w:rPr>
          <w:rStyle w:val="CharDivText"/>
        </w:rPr>
        <w:t>Emergency management plans</w:t>
      </w:r>
      <w:bookmarkEnd w:id="73"/>
      <w:bookmarkEnd w:id="74"/>
      <w:bookmarkEnd w:id="75"/>
      <w:bookmarkEnd w:id="76"/>
      <w:bookmarkEnd w:id="77"/>
      <w:bookmarkEnd w:id="78"/>
      <w:bookmarkEnd w:id="79"/>
    </w:p>
    <w:p>
      <w:pPr>
        <w:pStyle w:val="Heading5"/>
      </w:pPr>
      <w:bookmarkStart w:id="80" w:name="_Toc283891692"/>
      <w:bookmarkStart w:id="81" w:name="_Toc309652698"/>
      <w:r>
        <w:rPr>
          <w:rStyle w:val="CharSectno"/>
        </w:rPr>
        <w:t>13</w:t>
      </w:r>
      <w:r>
        <w:t>.</w:t>
      </w:r>
      <w:r>
        <w:tab/>
        <w:t>Preparation of an emergency management plan</w:t>
      </w:r>
      <w:bookmarkEnd w:id="80"/>
      <w:bookmarkEnd w:id="81"/>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82" w:name="_Toc283891693"/>
      <w:bookmarkStart w:id="83" w:name="_Toc309652699"/>
      <w:r>
        <w:rPr>
          <w:rStyle w:val="CharSectno"/>
        </w:rPr>
        <w:t>14</w:t>
      </w:r>
      <w:r>
        <w:t>.</w:t>
      </w:r>
      <w:r>
        <w:tab/>
        <w:t>Matters to be included in an emergency management plan</w:t>
      </w:r>
      <w:bookmarkEnd w:id="82"/>
      <w:bookmarkEnd w:id="83"/>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84" w:name="_Toc283891694"/>
      <w:bookmarkStart w:id="85" w:name="_Toc309652700"/>
      <w:r>
        <w:rPr>
          <w:rStyle w:val="CharSectno"/>
        </w:rPr>
        <w:t>15</w:t>
      </w:r>
      <w:r>
        <w:t>.</w:t>
      </w:r>
      <w:r>
        <w:tab/>
        <w:t>Keeping, maintaining and testing an emergency management plan</w:t>
      </w:r>
      <w:bookmarkEnd w:id="84"/>
      <w:bookmarkEnd w:id="85"/>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86" w:name="_Toc283891695"/>
      <w:bookmarkStart w:id="87" w:name="_Toc283891779"/>
      <w:bookmarkStart w:id="88" w:name="_Toc283893629"/>
      <w:bookmarkStart w:id="89" w:name="_Toc283893888"/>
      <w:bookmarkStart w:id="90" w:name="_Toc297297251"/>
      <w:bookmarkStart w:id="91" w:name="_Toc306283867"/>
      <w:bookmarkStart w:id="92" w:name="_Toc309652701"/>
      <w:r>
        <w:rPr>
          <w:rStyle w:val="CharDivNo"/>
        </w:rPr>
        <w:t>Division 6</w:t>
      </w:r>
      <w:r>
        <w:t> — </w:t>
      </w:r>
      <w:r>
        <w:rPr>
          <w:rStyle w:val="CharDivText"/>
        </w:rPr>
        <w:t>Review</w:t>
      </w:r>
      <w:bookmarkEnd w:id="86"/>
      <w:bookmarkEnd w:id="87"/>
      <w:bookmarkEnd w:id="88"/>
      <w:bookmarkEnd w:id="89"/>
      <w:bookmarkEnd w:id="90"/>
      <w:bookmarkEnd w:id="91"/>
      <w:bookmarkEnd w:id="92"/>
    </w:p>
    <w:p>
      <w:pPr>
        <w:pStyle w:val="Heading5"/>
      </w:pPr>
      <w:bookmarkStart w:id="93" w:name="_Toc283891696"/>
      <w:bookmarkStart w:id="94" w:name="_Toc309652702"/>
      <w:r>
        <w:rPr>
          <w:rStyle w:val="CharSectno"/>
        </w:rPr>
        <w:t>16</w:t>
      </w:r>
      <w:r>
        <w:t>.</w:t>
      </w:r>
      <w:r>
        <w:tab/>
        <w:t>Review of safety management system</w:t>
      </w:r>
      <w:bookmarkEnd w:id="93"/>
      <w:bookmarkEnd w:id="94"/>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95" w:name="_Toc283891697"/>
      <w:bookmarkStart w:id="96" w:name="_Toc283891781"/>
      <w:bookmarkStart w:id="97" w:name="_Toc283893631"/>
      <w:bookmarkStart w:id="98" w:name="_Toc283893890"/>
      <w:bookmarkStart w:id="99" w:name="_Toc297297253"/>
      <w:bookmarkStart w:id="100" w:name="_Toc306283869"/>
      <w:bookmarkStart w:id="101" w:name="_Toc309652703"/>
      <w:r>
        <w:rPr>
          <w:rStyle w:val="CharPartNo"/>
        </w:rPr>
        <w:t>Part 4</w:t>
      </w:r>
      <w:r>
        <w:rPr>
          <w:rStyle w:val="CharDivNo"/>
        </w:rPr>
        <w:t> </w:t>
      </w:r>
      <w:r>
        <w:t>—</w:t>
      </w:r>
      <w:r>
        <w:rPr>
          <w:rStyle w:val="CharDivText"/>
        </w:rPr>
        <w:t> </w:t>
      </w:r>
      <w:r>
        <w:rPr>
          <w:rStyle w:val="CharPartText"/>
        </w:rPr>
        <w:t>Rail safety workers</w:t>
      </w:r>
      <w:bookmarkEnd w:id="95"/>
      <w:bookmarkEnd w:id="96"/>
      <w:bookmarkEnd w:id="97"/>
      <w:bookmarkEnd w:id="98"/>
      <w:bookmarkEnd w:id="99"/>
      <w:bookmarkEnd w:id="100"/>
      <w:bookmarkEnd w:id="101"/>
    </w:p>
    <w:p>
      <w:pPr>
        <w:pStyle w:val="Heading5"/>
      </w:pPr>
      <w:bookmarkStart w:id="102" w:name="_Toc283891698"/>
      <w:bookmarkStart w:id="103" w:name="_Toc309652704"/>
      <w:r>
        <w:rPr>
          <w:rStyle w:val="CharSectno"/>
        </w:rPr>
        <w:t>17</w:t>
      </w:r>
      <w:r>
        <w:t>.</w:t>
      </w:r>
      <w:r>
        <w:tab/>
        <w:t>Health and fitness management programme</w:t>
      </w:r>
      <w:bookmarkEnd w:id="102"/>
      <w:bookmarkEnd w:id="10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pPr>
      <w:bookmarkStart w:id="104" w:name="_Toc283891699"/>
      <w:bookmarkStart w:id="105" w:name="_Toc309652705"/>
      <w:r>
        <w:rPr>
          <w:rStyle w:val="CharSectno"/>
        </w:rPr>
        <w:t>18</w:t>
      </w:r>
      <w:r>
        <w:t>.</w:t>
      </w:r>
      <w:r>
        <w:tab/>
        <w:t>Matters to be included in alcohol and drug management programme</w:t>
      </w:r>
      <w:bookmarkEnd w:id="104"/>
      <w:bookmarkEnd w:id="105"/>
    </w:p>
    <w:p>
      <w:pPr>
        <w:pStyle w:val="Subsection"/>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pPr>
      <w:bookmarkStart w:id="106" w:name="_Toc283891700"/>
      <w:bookmarkStart w:id="107" w:name="_Toc309652706"/>
      <w:r>
        <w:rPr>
          <w:rStyle w:val="CharSectno"/>
        </w:rPr>
        <w:t>19</w:t>
      </w:r>
      <w:r>
        <w:t>.</w:t>
      </w:r>
      <w:r>
        <w:tab/>
        <w:t>Fatigue management programme</w:t>
      </w:r>
      <w:bookmarkEnd w:id="106"/>
      <w:bookmarkEnd w:id="107"/>
    </w:p>
    <w:p>
      <w:pPr>
        <w:pStyle w:val="Subsection"/>
      </w:pPr>
      <w:r>
        <w:tab/>
      </w:r>
      <w:r>
        <w:tab/>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108" w:name="_Toc283891701"/>
      <w:bookmarkStart w:id="109" w:name="_Toc309652707"/>
      <w:r>
        <w:rPr>
          <w:rStyle w:val="CharSectno"/>
        </w:rPr>
        <w:t>20</w:t>
      </w:r>
      <w:r>
        <w:t>.</w:t>
      </w:r>
      <w:r>
        <w:tab/>
        <w:t>Records of competence</w:t>
      </w:r>
      <w:bookmarkEnd w:id="108"/>
      <w:bookmarkEnd w:id="109"/>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110" w:name="_Toc283891702"/>
      <w:bookmarkStart w:id="111" w:name="_Toc283891786"/>
      <w:bookmarkStart w:id="112" w:name="_Toc283893636"/>
      <w:bookmarkStart w:id="113" w:name="_Toc283893895"/>
      <w:bookmarkStart w:id="114" w:name="_Toc297297258"/>
      <w:bookmarkStart w:id="115" w:name="_Toc306283874"/>
      <w:bookmarkStart w:id="116" w:name="_Toc309652708"/>
      <w:r>
        <w:rPr>
          <w:rStyle w:val="CharPartNo"/>
        </w:rPr>
        <w:t>Part 5</w:t>
      </w:r>
      <w:r>
        <w:rPr>
          <w:rStyle w:val="CharDivNo"/>
        </w:rPr>
        <w:t> </w:t>
      </w:r>
      <w:r>
        <w:t>—</w:t>
      </w:r>
      <w:r>
        <w:rPr>
          <w:rStyle w:val="CharDivText"/>
        </w:rPr>
        <w:t> </w:t>
      </w:r>
      <w:r>
        <w:rPr>
          <w:rStyle w:val="CharPartText"/>
        </w:rPr>
        <w:t>Investigation powers</w:t>
      </w:r>
      <w:bookmarkEnd w:id="110"/>
      <w:bookmarkEnd w:id="111"/>
      <w:bookmarkEnd w:id="112"/>
      <w:bookmarkEnd w:id="113"/>
      <w:bookmarkEnd w:id="114"/>
      <w:bookmarkEnd w:id="115"/>
      <w:bookmarkEnd w:id="116"/>
    </w:p>
    <w:p>
      <w:pPr>
        <w:pStyle w:val="Heading5"/>
        <w:rPr>
          <w:snapToGrid w:val="0"/>
        </w:rPr>
      </w:pPr>
      <w:bookmarkStart w:id="117" w:name="_Toc283891703"/>
      <w:bookmarkStart w:id="118" w:name="_Toc309652709"/>
      <w:r>
        <w:rPr>
          <w:rStyle w:val="CharSectno"/>
        </w:rPr>
        <w:t>21</w:t>
      </w:r>
      <w:r>
        <w:rPr>
          <w:snapToGrid w:val="0"/>
        </w:rPr>
        <w:t>.</w:t>
      </w:r>
      <w:r>
        <w:rPr>
          <w:snapToGrid w:val="0"/>
        </w:rPr>
        <w:tab/>
        <w:t>Terms used</w:t>
      </w:r>
      <w:bookmarkEnd w:id="117"/>
      <w:bookmarkEnd w:id="118"/>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119" w:name="_Toc283891704"/>
      <w:bookmarkStart w:id="120" w:name="_Toc309652710"/>
      <w:r>
        <w:rPr>
          <w:rStyle w:val="CharSectno"/>
        </w:rPr>
        <w:t>22</w:t>
      </w:r>
      <w:r>
        <w:t>.</w:t>
      </w:r>
      <w:r>
        <w:tab/>
        <w:t>Prescribed drugs</w:t>
      </w:r>
      <w:bookmarkEnd w:id="119"/>
      <w:bookmarkEnd w:id="120"/>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121" w:name="_Toc283891706"/>
      <w:r>
        <w:t>[</w:t>
      </w:r>
      <w:r>
        <w:rPr>
          <w:b/>
        </w:rPr>
        <w:t>23.</w:t>
      </w:r>
      <w:r>
        <w:tab/>
        <w:t>Deleted in Gazette 14 Oct 2011 p. 4343.]</w:t>
      </w:r>
    </w:p>
    <w:p>
      <w:pPr>
        <w:pStyle w:val="Heading5"/>
      </w:pPr>
      <w:bookmarkStart w:id="122" w:name="_Toc309652711"/>
      <w:r>
        <w:rPr>
          <w:rStyle w:val="CharSectno"/>
        </w:rPr>
        <w:t>24</w:t>
      </w:r>
      <w:r>
        <w:t>.</w:t>
      </w:r>
      <w:r>
        <w:tab/>
        <w:t>Breath test</w:t>
      </w:r>
      <w:bookmarkEnd w:id="121"/>
      <w:bookmarkEnd w:id="122"/>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123" w:name="_Toc283891707"/>
      <w:bookmarkStart w:id="124" w:name="_Toc309652712"/>
      <w:r>
        <w:rPr>
          <w:rStyle w:val="CharSectno"/>
        </w:rPr>
        <w:t>25</w:t>
      </w:r>
      <w:r>
        <w:t>.</w:t>
      </w:r>
      <w:r>
        <w:tab/>
        <w:t>Taking blood or urine sample</w:t>
      </w:r>
      <w:bookmarkEnd w:id="123"/>
      <w:bookmarkEnd w:id="124"/>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125" w:name="_Toc283891708"/>
      <w:bookmarkStart w:id="126" w:name="_Toc309652713"/>
      <w:r>
        <w:rPr>
          <w:rStyle w:val="CharSectno"/>
        </w:rPr>
        <w:t>26</w:t>
      </w:r>
      <w:r>
        <w:t>.</w:t>
      </w:r>
      <w:r>
        <w:tab/>
        <w:t>Procedures relating to blood or urine tests</w:t>
      </w:r>
      <w:bookmarkEnd w:id="125"/>
      <w:bookmarkEnd w:id="126"/>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127" w:name="_Toc283891709"/>
      <w:bookmarkStart w:id="128" w:name="_Toc309652714"/>
      <w:r>
        <w:rPr>
          <w:rStyle w:val="CharSectno"/>
        </w:rPr>
        <w:t>27</w:t>
      </w:r>
      <w:r>
        <w:t>.</w:t>
      </w:r>
      <w:r>
        <w:tab/>
        <w:t>Destruction of sample</w:t>
      </w:r>
      <w:bookmarkEnd w:id="127"/>
      <w:bookmarkEnd w:id="128"/>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129" w:name="_Toc283891710"/>
      <w:bookmarkStart w:id="130" w:name="_Toc283891794"/>
      <w:bookmarkStart w:id="131" w:name="_Toc283893644"/>
      <w:bookmarkStart w:id="132" w:name="_Toc283893903"/>
      <w:bookmarkStart w:id="133" w:name="_Toc297297266"/>
      <w:r>
        <w:tab/>
        <w:t>[Regulation 27 amended in Gazette 14 Oct 2011 p. 4343.]</w:t>
      </w:r>
    </w:p>
    <w:p>
      <w:pPr>
        <w:pStyle w:val="Heading2"/>
      </w:pPr>
      <w:bookmarkStart w:id="134" w:name="_Toc306283881"/>
      <w:bookmarkStart w:id="135" w:name="_Toc309652715"/>
      <w:r>
        <w:rPr>
          <w:rStyle w:val="CharPartNo"/>
        </w:rPr>
        <w:t>Part 6</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p>
    <w:p>
      <w:pPr>
        <w:pStyle w:val="Heading5"/>
      </w:pPr>
      <w:bookmarkStart w:id="136" w:name="_Toc283891711"/>
      <w:bookmarkStart w:id="137" w:name="_Toc309652716"/>
      <w:r>
        <w:rPr>
          <w:rStyle w:val="CharSectno"/>
        </w:rPr>
        <w:t>28</w:t>
      </w:r>
      <w:r>
        <w:t>.</w:t>
      </w:r>
      <w:r>
        <w:tab/>
        <w:t>Prescribed concentration of alcohol in blood of rail safety worker: section 28(3)(c)(i)</w:t>
      </w:r>
      <w:bookmarkEnd w:id="136"/>
      <w:bookmarkEnd w:id="137"/>
    </w:p>
    <w:p>
      <w:pPr>
        <w:pStyle w:val="Subsection"/>
      </w:pPr>
      <w:r>
        <w:tab/>
      </w:r>
      <w:r>
        <w:tab/>
        <w:t>For the purposes of section 28(3)(c)(i) of the Act, the concentration prescribed is 0.02% of alcohol.</w:t>
      </w:r>
    </w:p>
    <w:p>
      <w:pPr>
        <w:pStyle w:val="Heading5"/>
      </w:pPr>
      <w:bookmarkStart w:id="138" w:name="_Toc283891712"/>
      <w:bookmarkStart w:id="139" w:name="_Toc309652717"/>
      <w:r>
        <w:rPr>
          <w:rStyle w:val="CharSectno"/>
        </w:rPr>
        <w:t>29</w:t>
      </w:r>
      <w:r>
        <w:t>.</w:t>
      </w:r>
      <w:r>
        <w:tab/>
        <w:t>Periodic returns</w:t>
      </w:r>
      <w:bookmarkEnd w:id="138"/>
      <w:bookmarkEnd w:id="139"/>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140" w:name="_Toc283891713"/>
      <w:bookmarkStart w:id="141" w:name="_Toc309652718"/>
      <w:r>
        <w:rPr>
          <w:rStyle w:val="CharSectno"/>
        </w:rPr>
        <w:t>30</w:t>
      </w:r>
      <w:r>
        <w:t>.</w:t>
      </w:r>
      <w:r>
        <w:tab/>
        <w:t>Prescribed public road: section 64(a)(i)</w:t>
      </w:r>
      <w:bookmarkEnd w:id="140"/>
      <w:bookmarkEnd w:id="141"/>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142" w:name="_Toc283891714"/>
      <w:bookmarkStart w:id="143" w:name="_Toc309652719"/>
      <w:r>
        <w:rPr>
          <w:rStyle w:val="CharSectno"/>
        </w:rPr>
        <w:t>31</w:t>
      </w:r>
      <w:r>
        <w:t>.</w:t>
      </w:r>
      <w:r>
        <w:tab/>
        <w:t>Periodic information to be supplied</w:t>
      </w:r>
      <w:bookmarkEnd w:id="142"/>
      <w:bookmarkEnd w:id="143"/>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144" w:name="_Toc283891715"/>
      <w:bookmarkStart w:id="145" w:name="_Toc309652720"/>
      <w:r>
        <w:rPr>
          <w:rStyle w:val="CharSectno"/>
        </w:rPr>
        <w:t>32</w:t>
      </w:r>
      <w:r>
        <w:t>.</w:t>
      </w:r>
      <w:r>
        <w:tab/>
        <w:t>Reporting of notifiable occurrences</w:t>
      </w:r>
      <w:bookmarkEnd w:id="144"/>
      <w:bookmarkEnd w:id="145"/>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146" w:name="_Toc283891716"/>
      <w:bookmarkStart w:id="147" w:name="_Toc309652721"/>
      <w:r>
        <w:rPr>
          <w:rStyle w:val="CharSectno"/>
        </w:rPr>
        <w:t>33</w:t>
      </w:r>
      <w:r>
        <w:t>.</w:t>
      </w:r>
      <w:r>
        <w:tab/>
        <w:t>Documents to be made available for public inspection</w:t>
      </w:r>
      <w:bookmarkEnd w:id="146"/>
      <w:bookmarkEnd w:id="147"/>
    </w:p>
    <w:p>
      <w:pPr>
        <w:pStyle w:val="Subsection"/>
      </w:pPr>
      <w:r>
        <w:tab/>
      </w:r>
      <w:r>
        <w:tab/>
        <w:t>For the purposes of section 48(c) of the Act, each annual safety performance report prepared under section 62 of the Act is prescribed.</w:t>
      </w:r>
    </w:p>
    <w:p>
      <w:pPr>
        <w:pStyle w:val="Heading5"/>
      </w:pPr>
      <w:bookmarkStart w:id="148" w:name="_Toc283891717"/>
      <w:bookmarkStart w:id="149" w:name="_Toc309652722"/>
      <w:r>
        <w:rPr>
          <w:rStyle w:val="CharSectno"/>
        </w:rPr>
        <w:t>34</w:t>
      </w:r>
      <w:r>
        <w:t>.</w:t>
      </w:r>
      <w:r>
        <w:tab/>
        <w:t>Embargo notices</w:t>
      </w:r>
      <w:bookmarkEnd w:id="148"/>
      <w:bookmarkEnd w:id="149"/>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150" w:name="_Toc283891718"/>
      <w:bookmarkStart w:id="151" w:name="_Toc309652723"/>
      <w:r>
        <w:rPr>
          <w:rStyle w:val="CharSectno"/>
        </w:rPr>
        <w:t>35</w:t>
      </w:r>
      <w:r>
        <w:t>.</w:t>
      </w:r>
      <w:r>
        <w:tab/>
        <w:t>Act not to apply in certain cases</w:t>
      </w:r>
      <w:bookmarkEnd w:id="150"/>
      <w:bookmarkEnd w:id="151"/>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152" w:name="_Toc283891719"/>
      <w:bookmarkStart w:id="153" w:name="_Toc309652724"/>
      <w:r>
        <w:rPr>
          <w:rStyle w:val="CharSectno"/>
        </w:rPr>
        <w:t>36</w:t>
      </w:r>
      <w:r>
        <w:t>.</w:t>
      </w:r>
      <w:r>
        <w:tab/>
        <w:t>Service of documents or notice</w:t>
      </w:r>
      <w:bookmarkEnd w:id="152"/>
      <w:bookmarkEnd w:id="153"/>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154" w:name="_Toc283891720"/>
      <w:bookmarkStart w:id="155" w:name="_Toc283891804"/>
      <w:bookmarkStart w:id="156" w:name="_Toc283893654"/>
      <w:bookmarkStart w:id="157" w:name="_Toc283893913"/>
      <w:bookmarkStart w:id="158" w:name="_Toc297297276"/>
      <w:bookmarkStart w:id="159" w:name="_Toc306283891"/>
      <w:bookmarkStart w:id="160" w:name="_Toc309652725"/>
      <w:r>
        <w:rPr>
          <w:rStyle w:val="CharPartNo"/>
        </w:rPr>
        <w:t>Part 7</w:t>
      </w:r>
      <w:r>
        <w:rPr>
          <w:rStyle w:val="CharDivNo"/>
        </w:rPr>
        <w:t> </w:t>
      </w:r>
      <w:r>
        <w:t>—</w:t>
      </w:r>
      <w:r>
        <w:rPr>
          <w:rStyle w:val="CharDivText"/>
        </w:rPr>
        <w:t> </w:t>
      </w:r>
      <w:r>
        <w:rPr>
          <w:rStyle w:val="CharPartText"/>
        </w:rPr>
        <w:t>Fees</w:t>
      </w:r>
      <w:bookmarkEnd w:id="154"/>
      <w:bookmarkEnd w:id="155"/>
      <w:bookmarkEnd w:id="156"/>
      <w:bookmarkEnd w:id="157"/>
      <w:bookmarkEnd w:id="158"/>
      <w:bookmarkEnd w:id="159"/>
      <w:bookmarkEnd w:id="160"/>
    </w:p>
    <w:p>
      <w:pPr>
        <w:pStyle w:val="Heading5"/>
      </w:pPr>
      <w:bookmarkStart w:id="161" w:name="_Toc283891721"/>
      <w:bookmarkStart w:id="162" w:name="_Toc309652726"/>
      <w:r>
        <w:rPr>
          <w:rStyle w:val="CharSectno"/>
        </w:rPr>
        <w:t>37</w:t>
      </w:r>
      <w:r>
        <w:t>.</w:t>
      </w:r>
      <w:r>
        <w:tab/>
        <w:t>Annual fees for private sidings</w:t>
      </w:r>
      <w:bookmarkEnd w:id="161"/>
      <w:bookmarkEnd w:id="162"/>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163" w:name="_Toc283891722"/>
      <w:bookmarkStart w:id="164" w:name="_Toc309652727"/>
      <w:r>
        <w:rPr>
          <w:rStyle w:val="CharSectno"/>
        </w:rPr>
        <w:t>38</w:t>
      </w:r>
      <w:r>
        <w:t>.</w:t>
      </w:r>
      <w:r>
        <w:tab/>
        <w:t>Application fees</w:t>
      </w:r>
      <w:bookmarkEnd w:id="163"/>
      <w:bookmarkEnd w:id="164"/>
    </w:p>
    <w:p>
      <w:pPr>
        <w:pStyle w:val="Subsection"/>
      </w:pPr>
      <w:r>
        <w:tab/>
      </w:r>
      <w:r>
        <w:tab/>
        <w:t>A rail transport operator must pay the relevant fee set out in item 2 of the Table in Schedule 2.</w:t>
      </w:r>
    </w:p>
    <w:p>
      <w:pPr>
        <w:pStyle w:val="Heading5"/>
      </w:pPr>
      <w:bookmarkStart w:id="165" w:name="_Toc283891723"/>
      <w:bookmarkStart w:id="166" w:name="_Toc309652728"/>
      <w:r>
        <w:rPr>
          <w:rStyle w:val="CharSectno"/>
        </w:rPr>
        <w:t>39</w:t>
      </w:r>
      <w:r>
        <w:t>.</w:t>
      </w:r>
      <w:r>
        <w:tab/>
        <w:t>Annual fees</w:t>
      </w:r>
      <w:bookmarkEnd w:id="165"/>
      <w:bookmarkEnd w:id="166"/>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167" w:name="_Toc283891724"/>
      <w:bookmarkStart w:id="168" w:name="_Toc309652729"/>
      <w:r>
        <w:rPr>
          <w:rStyle w:val="CharSectno"/>
        </w:rPr>
        <w:t>40</w:t>
      </w:r>
      <w:r>
        <w:t>.</w:t>
      </w:r>
      <w:r>
        <w:tab/>
        <w:t>Late fees</w:t>
      </w:r>
      <w:bookmarkEnd w:id="167"/>
      <w:bookmarkEnd w:id="168"/>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169" w:name="_Toc283891725"/>
      <w:bookmarkStart w:id="170" w:name="_Toc309652730"/>
      <w:r>
        <w:rPr>
          <w:rStyle w:val="CharSectno"/>
        </w:rPr>
        <w:t>41</w:t>
      </w:r>
      <w:r>
        <w:t>.</w:t>
      </w:r>
      <w:r>
        <w:tab/>
        <w:t>Reduction, waiver or refund of fees</w:t>
      </w:r>
      <w:bookmarkEnd w:id="169"/>
      <w:bookmarkEnd w:id="170"/>
    </w:p>
    <w:p>
      <w:pPr>
        <w:pStyle w:val="Subsection"/>
      </w:pPr>
      <w:r>
        <w:tab/>
      </w:r>
      <w:r>
        <w:tab/>
        <w:t>The Rail Safety Regulator may reduce, waive or refund, in whole or part, any fee provided for by these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71" w:name="_Toc283891726"/>
      <w:bookmarkStart w:id="172" w:name="_Toc283891810"/>
    </w:p>
    <w:p>
      <w:pPr>
        <w:pStyle w:val="yScheduleHeading"/>
        <w:outlineLvl w:val="0"/>
      </w:pPr>
      <w:bookmarkStart w:id="173" w:name="_Toc283893660"/>
      <w:bookmarkStart w:id="174" w:name="_Toc283893919"/>
      <w:bookmarkStart w:id="175" w:name="_Toc297297282"/>
      <w:bookmarkStart w:id="176" w:name="_Toc306283897"/>
      <w:bookmarkStart w:id="177" w:name="_Toc309652731"/>
      <w:r>
        <w:rPr>
          <w:rStyle w:val="CharSchNo"/>
        </w:rPr>
        <w:t>Schedule 1</w:t>
      </w:r>
      <w:r>
        <w:rPr>
          <w:rStyle w:val="CharSDivNo"/>
        </w:rPr>
        <w:t> </w:t>
      </w:r>
      <w:r>
        <w:t>—</w:t>
      </w:r>
      <w:bookmarkStart w:id="178" w:name="AutoSch"/>
      <w:bookmarkEnd w:id="178"/>
      <w:r>
        <w:rPr>
          <w:rStyle w:val="CharSDivText"/>
        </w:rPr>
        <w:t> </w:t>
      </w:r>
      <w:r>
        <w:rPr>
          <w:rStyle w:val="CharSchText"/>
        </w:rPr>
        <w:t>Content of the safety management system</w:t>
      </w:r>
      <w:bookmarkEnd w:id="171"/>
      <w:bookmarkEnd w:id="172"/>
      <w:bookmarkEnd w:id="173"/>
      <w:bookmarkEnd w:id="174"/>
      <w:bookmarkEnd w:id="175"/>
      <w:bookmarkEnd w:id="176"/>
      <w:bookmarkEnd w:id="177"/>
    </w:p>
    <w:p>
      <w:pPr>
        <w:pStyle w:val="yShoulderClause"/>
      </w:pPr>
      <w:r>
        <w:t>[r. 8]</w:t>
      </w:r>
    </w:p>
    <w:p>
      <w:pPr>
        <w:pStyle w:val="yHeading5"/>
      </w:pPr>
      <w:bookmarkStart w:id="179" w:name="_Toc283891727"/>
      <w:bookmarkStart w:id="180" w:name="_Toc309652732"/>
      <w:r>
        <w:rPr>
          <w:rStyle w:val="CharSClsNo"/>
        </w:rPr>
        <w:t>1</w:t>
      </w:r>
      <w:r>
        <w:t>.</w:t>
      </w:r>
      <w:r>
        <w:tab/>
        <w:t>Safety policy</w:t>
      </w:r>
      <w:bookmarkEnd w:id="179"/>
      <w:bookmarkEnd w:id="180"/>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181" w:name="_Toc283891728"/>
      <w:bookmarkStart w:id="182" w:name="_Toc309652733"/>
      <w:r>
        <w:rPr>
          <w:rStyle w:val="CharSClsNo"/>
        </w:rPr>
        <w:t>2</w:t>
      </w:r>
      <w:r>
        <w:t>.</w:t>
      </w:r>
      <w:r>
        <w:tab/>
        <w:t>Safety culture</w:t>
      </w:r>
      <w:bookmarkEnd w:id="181"/>
      <w:bookmarkEnd w:id="182"/>
    </w:p>
    <w:p>
      <w:pPr>
        <w:pStyle w:val="ySubsection"/>
      </w:pPr>
      <w:r>
        <w:tab/>
      </w:r>
      <w:r>
        <w:tab/>
        <w:t>Systems and procedures to enable and enhance the development, improvement and assessment of a positive safety culture.</w:t>
      </w:r>
    </w:p>
    <w:p>
      <w:pPr>
        <w:pStyle w:val="yHeading5"/>
      </w:pPr>
      <w:bookmarkStart w:id="183" w:name="_Toc283891729"/>
      <w:bookmarkStart w:id="184" w:name="_Toc309652734"/>
      <w:r>
        <w:rPr>
          <w:rStyle w:val="CharSClsNo"/>
        </w:rPr>
        <w:t>3</w:t>
      </w:r>
      <w:r>
        <w:t>.</w:t>
      </w:r>
      <w:r>
        <w:tab/>
        <w:t>Governance and internal control arrangements</w:t>
      </w:r>
      <w:bookmarkEnd w:id="183"/>
      <w:bookmarkEnd w:id="184"/>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185" w:name="_Toc283891730"/>
      <w:bookmarkStart w:id="186" w:name="_Toc309652735"/>
      <w:r>
        <w:rPr>
          <w:rStyle w:val="CharSClsNo"/>
        </w:rPr>
        <w:t>4</w:t>
      </w:r>
      <w:r>
        <w:t>.</w:t>
      </w:r>
      <w:r>
        <w:tab/>
        <w:t>Management, responsibilities, accountabilities and authorities</w:t>
      </w:r>
      <w:bookmarkEnd w:id="185"/>
      <w:bookmarkEnd w:id="186"/>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187" w:name="_Toc283891731"/>
      <w:bookmarkStart w:id="188" w:name="_Toc309652736"/>
      <w:r>
        <w:rPr>
          <w:rStyle w:val="CharSClsNo"/>
        </w:rPr>
        <w:t>5</w:t>
      </w:r>
      <w:r>
        <w:t>.</w:t>
      </w:r>
      <w:r>
        <w:tab/>
        <w:t>Regulatory compliance</w:t>
      </w:r>
      <w:bookmarkEnd w:id="187"/>
      <w:bookmarkEnd w:id="188"/>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189" w:name="_Toc283891732"/>
      <w:bookmarkStart w:id="190" w:name="_Toc309652737"/>
      <w:r>
        <w:rPr>
          <w:rStyle w:val="CharSClsNo"/>
        </w:rPr>
        <w:t>6</w:t>
      </w:r>
      <w:r>
        <w:t>.</w:t>
      </w:r>
      <w:r>
        <w:tab/>
        <w:t>Document control arrangements and information management</w:t>
      </w:r>
      <w:bookmarkEnd w:id="189"/>
      <w:bookmarkEnd w:id="190"/>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191" w:name="_Toc283891733"/>
      <w:bookmarkStart w:id="192" w:name="_Toc309652738"/>
      <w:r>
        <w:rPr>
          <w:rStyle w:val="CharSClsNo"/>
        </w:rPr>
        <w:t>7</w:t>
      </w:r>
      <w:r>
        <w:t>.</w:t>
      </w:r>
      <w:r>
        <w:tab/>
        <w:t>Review of the safety management system</w:t>
      </w:r>
      <w:bookmarkEnd w:id="191"/>
      <w:bookmarkEnd w:id="192"/>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193" w:name="_Toc283891734"/>
      <w:bookmarkStart w:id="194" w:name="_Toc309652739"/>
      <w:r>
        <w:rPr>
          <w:rStyle w:val="CharSClsNo"/>
        </w:rPr>
        <w:t>8</w:t>
      </w:r>
      <w:r>
        <w:t>.</w:t>
      </w:r>
      <w:r>
        <w:tab/>
        <w:t>Safety performance measures</w:t>
      </w:r>
      <w:bookmarkEnd w:id="193"/>
      <w:bookmarkEnd w:id="194"/>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195" w:name="_Toc283891735"/>
      <w:bookmarkStart w:id="196" w:name="_Toc309652740"/>
      <w:r>
        <w:rPr>
          <w:rStyle w:val="CharSClsNo"/>
        </w:rPr>
        <w:t>9</w:t>
      </w:r>
      <w:r>
        <w:t>.</w:t>
      </w:r>
      <w:r>
        <w:tab/>
        <w:t>Safety audit arrangements</w:t>
      </w:r>
      <w:bookmarkEnd w:id="195"/>
      <w:bookmarkEnd w:id="196"/>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197" w:name="_Toc283891736"/>
      <w:bookmarkStart w:id="198" w:name="_Toc309652741"/>
      <w:r>
        <w:rPr>
          <w:rStyle w:val="CharSClsNo"/>
        </w:rPr>
        <w:t>10</w:t>
      </w:r>
      <w:r>
        <w:t>.</w:t>
      </w:r>
      <w:r>
        <w:tab/>
        <w:t>Corrective action</w:t>
      </w:r>
      <w:bookmarkEnd w:id="197"/>
      <w:bookmarkEnd w:id="198"/>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199" w:name="_Toc265846251"/>
      <w:bookmarkStart w:id="200" w:name="_Toc283039601"/>
      <w:bookmarkStart w:id="201" w:name="_Toc309652742"/>
      <w:bookmarkStart w:id="202" w:name="_Toc283891738"/>
      <w:r>
        <w:rPr>
          <w:rStyle w:val="CharSClsNo"/>
        </w:rPr>
        <w:t>11</w:t>
      </w:r>
      <w:r>
        <w:t>.</w:t>
      </w:r>
      <w:r>
        <w:tab/>
        <w:t>Management of change</w:t>
      </w:r>
      <w:bookmarkEnd w:id="199"/>
      <w:bookmarkEnd w:id="200"/>
      <w:bookmarkEnd w:id="201"/>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203" w:name="_Toc309652743"/>
      <w:r>
        <w:rPr>
          <w:rStyle w:val="CharSClsNo"/>
        </w:rPr>
        <w:t>12</w:t>
      </w:r>
      <w:r>
        <w:t>.</w:t>
      </w:r>
      <w:r>
        <w:tab/>
        <w:t>Consultation</w:t>
      </w:r>
      <w:bookmarkEnd w:id="202"/>
      <w:bookmarkEnd w:id="203"/>
    </w:p>
    <w:p>
      <w:pPr>
        <w:pStyle w:val="ySubsection"/>
      </w:pPr>
      <w:r>
        <w:tab/>
      </w:r>
      <w:r>
        <w:tab/>
        <w:t>Systems and procedures to ensure that the consultation required by section 59(2) of the Act occurs when the safety management system is reviewed or varied.</w:t>
      </w:r>
    </w:p>
    <w:p>
      <w:pPr>
        <w:pStyle w:val="yHeading5"/>
      </w:pPr>
      <w:bookmarkStart w:id="204" w:name="_Toc283891739"/>
      <w:bookmarkStart w:id="205" w:name="_Toc309652744"/>
      <w:r>
        <w:rPr>
          <w:rStyle w:val="CharSClsNo"/>
        </w:rPr>
        <w:t>13</w:t>
      </w:r>
      <w:r>
        <w:t>.</w:t>
      </w:r>
      <w:r>
        <w:tab/>
        <w:t>Internal Communication</w:t>
      </w:r>
      <w:bookmarkEnd w:id="204"/>
      <w:bookmarkEnd w:id="205"/>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206" w:name="_Toc283891740"/>
      <w:bookmarkStart w:id="207" w:name="_Toc309652745"/>
      <w:r>
        <w:rPr>
          <w:rStyle w:val="CharSClsNo"/>
        </w:rPr>
        <w:t>14</w:t>
      </w:r>
      <w:r>
        <w:t>.</w:t>
      </w:r>
      <w:r>
        <w:tab/>
        <w:t>Risk management</w:t>
      </w:r>
      <w:bookmarkEnd w:id="206"/>
      <w:bookmarkEnd w:id="207"/>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208" w:name="_Toc283891741"/>
      <w:bookmarkStart w:id="209" w:name="_Toc309652746"/>
      <w:r>
        <w:rPr>
          <w:rStyle w:val="CharSClsNo"/>
        </w:rPr>
        <w:t>15</w:t>
      </w:r>
      <w:r>
        <w:t>.</w:t>
      </w:r>
      <w:r>
        <w:tab/>
        <w:t>Human factors</w:t>
      </w:r>
      <w:bookmarkEnd w:id="208"/>
      <w:bookmarkEnd w:id="209"/>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210" w:name="_Toc283891742"/>
      <w:bookmarkStart w:id="211" w:name="_Toc309652747"/>
      <w:r>
        <w:rPr>
          <w:rStyle w:val="CharSClsNo"/>
        </w:rPr>
        <w:t>16</w:t>
      </w:r>
      <w:r>
        <w:t>.</w:t>
      </w:r>
      <w:r>
        <w:tab/>
        <w:t>Procurement and contract management</w:t>
      </w:r>
      <w:bookmarkEnd w:id="210"/>
      <w:bookmarkEnd w:id="211"/>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212" w:name="_Toc283891743"/>
      <w:bookmarkStart w:id="213" w:name="_Toc309652748"/>
      <w:r>
        <w:rPr>
          <w:rStyle w:val="CharSClsNo"/>
        </w:rPr>
        <w:t>17</w:t>
      </w:r>
      <w:r>
        <w:t>.</w:t>
      </w:r>
      <w:r>
        <w:tab/>
        <w:t>General engineering and operational systems safety requirements</w:t>
      </w:r>
      <w:bookmarkEnd w:id="212"/>
      <w:bookmarkEnd w:id="213"/>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214" w:name="_Toc283891744"/>
      <w:bookmarkStart w:id="215" w:name="_Toc309652749"/>
      <w:r>
        <w:rPr>
          <w:rStyle w:val="CharSClsNo"/>
        </w:rPr>
        <w:t>18</w:t>
      </w:r>
      <w:r>
        <w:t>.</w:t>
      </w:r>
      <w:r>
        <w:tab/>
        <w:t>Process control</w:t>
      </w:r>
      <w:bookmarkEnd w:id="214"/>
      <w:bookmarkEnd w:id="215"/>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216" w:name="_Toc283891745"/>
      <w:bookmarkStart w:id="217" w:name="_Toc309652750"/>
      <w:r>
        <w:rPr>
          <w:rStyle w:val="CharSClsNo"/>
        </w:rPr>
        <w:t>19</w:t>
      </w:r>
      <w:r>
        <w:t>.</w:t>
      </w:r>
      <w:r>
        <w:tab/>
        <w:t>Asset management</w:t>
      </w:r>
      <w:bookmarkEnd w:id="216"/>
      <w:bookmarkEnd w:id="217"/>
    </w:p>
    <w:p>
      <w:pPr>
        <w:pStyle w:val="ySubsection"/>
      </w:pPr>
      <w:r>
        <w:tab/>
      </w:r>
      <w:r>
        <w:tab/>
        <w:t>An asset management policy and processes that address all phases of the asset lifecycle of the rail infrastructure or rolling stock operations.</w:t>
      </w:r>
    </w:p>
    <w:p>
      <w:pPr>
        <w:pStyle w:val="yHeading5"/>
      </w:pPr>
      <w:bookmarkStart w:id="218" w:name="_Toc283891746"/>
      <w:bookmarkStart w:id="219" w:name="_Toc309652751"/>
      <w:r>
        <w:rPr>
          <w:rStyle w:val="CharSClsNo"/>
        </w:rPr>
        <w:t>20</w:t>
      </w:r>
      <w:r>
        <w:t>.</w:t>
      </w:r>
      <w:r>
        <w:tab/>
        <w:t>Safety interface coordination</w:t>
      </w:r>
      <w:bookmarkEnd w:id="218"/>
      <w:bookmarkEnd w:id="219"/>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220" w:name="_Toc283891747"/>
      <w:bookmarkStart w:id="221" w:name="_Toc309652752"/>
      <w:r>
        <w:rPr>
          <w:rStyle w:val="CharSClsNo"/>
        </w:rPr>
        <w:t>21</w:t>
      </w:r>
      <w:r>
        <w:t>.</w:t>
      </w:r>
      <w:r>
        <w:tab/>
        <w:t>Management of notifiable occurrences</w:t>
      </w:r>
      <w:bookmarkEnd w:id="220"/>
      <w:bookmarkEnd w:id="221"/>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222" w:name="_Toc283891748"/>
      <w:bookmarkStart w:id="223" w:name="_Toc309652753"/>
      <w:r>
        <w:rPr>
          <w:rStyle w:val="CharSClsNo"/>
        </w:rPr>
        <w:t>22</w:t>
      </w:r>
      <w:r>
        <w:t>.</w:t>
      </w:r>
      <w:r>
        <w:tab/>
        <w:t>Rail safety worker competence</w:t>
      </w:r>
      <w:bookmarkEnd w:id="222"/>
      <w:bookmarkEnd w:id="223"/>
    </w:p>
    <w:p>
      <w:pPr>
        <w:pStyle w:val="ySubsection"/>
      </w:pPr>
      <w:r>
        <w:tab/>
      </w:r>
      <w:r>
        <w:tab/>
        <w:t>Procedures, and where necessary standards, to ensure compliance with section 77 of the Act and with regulation 20.</w:t>
      </w:r>
    </w:p>
    <w:p>
      <w:pPr>
        <w:pStyle w:val="yHeading5"/>
      </w:pPr>
      <w:bookmarkStart w:id="224" w:name="_Toc283891749"/>
      <w:bookmarkStart w:id="225" w:name="_Toc309652754"/>
      <w:r>
        <w:rPr>
          <w:rStyle w:val="CharSClsNo"/>
        </w:rPr>
        <w:t>23</w:t>
      </w:r>
      <w:r>
        <w:t>.</w:t>
      </w:r>
      <w:r>
        <w:tab/>
        <w:t>Security management</w:t>
      </w:r>
      <w:bookmarkEnd w:id="224"/>
      <w:bookmarkEnd w:id="225"/>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226" w:name="_Toc283891750"/>
      <w:bookmarkStart w:id="227" w:name="_Toc309652755"/>
      <w:r>
        <w:rPr>
          <w:rStyle w:val="CharSClsNo"/>
        </w:rPr>
        <w:t>24</w:t>
      </w:r>
      <w:r>
        <w:t>.</w:t>
      </w:r>
      <w:r>
        <w:tab/>
        <w:t>Emergency management</w:t>
      </w:r>
      <w:bookmarkEnd w:id="226"/>
      <w:bookmarkEnd w:id="227"/>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228" w:name="_Toc283891751"/>
      <w:bookmarkStart w:id="229" w:name="_Toc309652756"/>
      <w:r>
        <w:rPr>
          <w:rStyle w:val="CharSClsNo"/>
        </w:rPr>
        <w:t>25</w:t>
      </w:r>
      <w:r>
        <w:t>.</w:t>
      </w:r>
      <w:r>
        <w:tab/>
        <w:t>Fatigue</w:t>
      </w:r>
      <w:bookmarkEnd w:id="228"/>
      <w:bookmarkEnd w:id="229"/>
    </w:p>
    <w:p>
      <w:pPr>
        <w:pStyle w:val="ySubsection"/>
      </w:pPr>
      <w:r>
        <w:tab/>
      </w:r>
      <w:r>
        <w:tab/>
        <w:t>Systems and procedures to ensure compliance with section 76 of the Act and regulation 19.</w:t>
      </w:r>
    </w:p>
    <w:p>
      <w:pPr>
        <w:pStyle w:val="yHeading5"/>
      </w:pPr>
      <w:bookmarkStart w:id="230" w:name="_Toc283891752"/>
      <w:bookmarkStart w:id="231" w:name="_Toc309652757"/>
      <w:r>
        <w:rPr>
          <w:rStyle w:val="CharSClsNo"/>
        </w:rPr>
        <w:t>26</w:t>
      </w:r>
      <w:r>
        <w:t>.</w:t>
      </w:r>
      <w:r>
        <w:tab/>
        <w:t>Drugs and alcohol</w:t>
      </w:r>
      <w:bookmarkEnd w:id="230"/>
      <w:bookmarkEnd w:id="231"/>
    </w:p>
    <w:p>
      <w:pPr>
        <w:pStyle w:val="ySubsection"/>
      </w:pPr>
      <w:r>
        <w:tab/>
      </w:r>
      <w:r>
        <w:tab/>
        <w:t>Systems and procedures to ensure compliance with sections 74 and 75 of the Act and with regulation 18 and Part 5.</w:t>
      </w:r>
    </w:p>
    <w:p>
      <w:pPr>
        <w:pStyle w:val="yHeading5"/>
      </w:pPr>
      <w:bookmarkStart w:id="232" w:name="_Toc283891753"/>
      <w:bookmarkStart w:id="233" w:name="_Toc309652758"/>
      <w:r>
        <w:rPr>
          <w:rStyle w:val="CharSClsNo"/>
        </w:rPr>
        <w:t>27</w:t>
      </w:r>
      <w:r>
        <w:t>.</w:t>
      </w:r>
      <w:r>
        <w:tab/>
        <w:t>Health and fitness</w:t>
      </w:r>
      <w:bookmarkEnd w:id="232"/>
      <w:bookmarkEnd w:id="233"/>
    </w:p>
    <w:p>
      <w:pPr>
        <w:pStyle w:val="ySubsection"/>
      </w:pPr>
      <w:r>
        <w:tab/>
      </w:r>
      <w:r>
        <w:tab/>
        <w:t>Systems and procedures to ensure compliance with section 73 of the Act and with regulation 17.</w:t>
      </w:r>
    </w:p>
    <w:p>
      <w:pPr>
        <w:pStyle w:val="yHeading5"/>
      </w:pPr>
      <w:bookmarkStart w:id="234" w:name="_Toc283891754"/>
      <w:bookmarkStart w:id="235" w:name="_Toc309652759"/>
      <w:r>
        <w:rPr>
          <w:rStyle w:val="CharSClsNo"/>
        </w:rPr>
        <w:t>28</w:t>
      </w:r>
      <w:r>
        <w:t>.</w:t>
      </w:r>
      <w:r>
        <w:tab/>
        <w:t>Resource availability</w:t>
      </w:r>
      <w:bookmarkEnd w:id="234"/>
      <w:bookmarkEnd w:id="235"/>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36" w:name="_Toc297297311"/>
      <w:bookmarkStart w:id="237" w:name="_Toc306283926"/>
      <w:bookmarkStart w:id="238" w:name="_Toc309652760"/>
      <w:bookmarkStart w:id="239" w:name="_Toc113695922"/>
      <w:r>
        <w:rPr>
          <w:rStyle w:val="CharSchNo"/>
        </w:rPr>
        <w:t>Schedule 2</w:t>
      </w:r>
      <w:r>
        <w:rPr>
          <w:rStyle w:val="CharSDivNo"/>
        </w:rPr>
        <w:t> </w:t>
      </w:r>
      <w:r>
        <w:t>—</w:t>
      </w:r>
      <w:r>
        <w:rPr>
          <w:rStyle w:val="CharSDivText"/>
        </w:rPr>
        <w:t> </w:t>
      </w:r>
      <w:r>
        <w:rPr>
          <w:rStyle w:val="CharSchText"/>
        </w:rPr>
        <w:t>Fees</w:t>
      </w:r>
      <w:bookmarkEnd w:id="236"/>
      <w:bookmarkEnd w:id="237"/>
      <w:bookmarkEnd w:id="238"/>
    </w:p>
    <w:p>
      <w:pPr>
        <w:pStyle w:val="yShoulderClause"/>
      </w:pPr>
      <w:r>
        <w:t>[r. 37, 38 and 39]</w:t>
      </w:r>
    </w:p>
    <w:p>
      <w:pPr>
        <w:pStyle w:val="yFootnoteheading"/>
        <w:spacing w:after="60"/>
      </w:pPr>
      <w:r>
        <w:tab/>
        <w:t>[Heading inserted in Gazette 21 Jun 2011 p. 2254.]</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134"/>
        <w:gridCol w:w="1276"/>
        <w:gridCol w:w="992"/>
      </w:tblGrid>
      <w:tr>
        <w:trPr>
          <w:cantSplit/>
          <w:tblHeader/>
        </w:trPr>
        <w:tc>
          <w:tcPr>
            <w:tcW w:w="3402" w:type="dxa"/>
            <w:tcBorders>
              <w:bottom w:val="nil"/>
            </w:tcBorders>
          </w:tcPr>
          <w:p>
            <w:pPr>
              <w:pStyle w:val="yTableNAm"/>
              <w:jc w:val="center"/>
              <w:rPr>
                <w:b/>
                <w:sz w:val="20"/>
              </w:rPr>
            </w:pPr>
            <w:r>
              <w:rPr>
                <w:b/>
                <w:sz w:val="20"/>
              </w:rPr>
              <w:t>Type of fee</w:t>
            </w:r>
          </w:p>
        </w:tc>
        <w:tc>
          <w:tcPr>
            <w:tcW w:w="1134" w:type="dxa"/>
            <w:tcBorders>
              <w:bottom w:val="nil"/>
            </w:tcBorders>
          </w:tcPr>
          <w:p>
            <w:pPr>
              <w:pStyle w:val="yTableNAm"/>
              <w:jc w:val="center"/>
              <w:rPr>
                <w:b/>
                <w:sz w:val="20"/>
              </w:rPr>
            </w:pPr>
            <w:r>
              <w:rPr>
                <w:b/>
                <w:sz w:val="20"/>
              </w:rPr>
              <w:t>Provision</w:t>
            </w:r>
            <w:r>
              <w:rPr>
                <w:b/>
                <w:sz w:val="20"/>
              </w:rPr>
              <w:br/>
              <w:t>of Act</w:t>
            </w:r>
          </w:p>
        </w:tc>
        <w:tc>
          <w:tcPr>
            <w:tcW w:w="1276" w:type="dxa"/>
            <w:tcBorders>
              <w:bottom w:val="nil"/>
            </w:tcBorders>
          </w:tcPr>
          <w:p>
            <w:pPr>
              <w:pStyle w:val="yTableNAm"/>
              <w:jc w:val="center"/>
              <w:rPr>
                <w:b/>
                <w:sz w:val="20"/>
              </w:rPr>
            </w:pPr>
            <w:r>
              <w:rPr>
                <w:b/>
                <w:sz w:val="20"/>
              </w:rPr>
              <w:t>Regulation</w:t>
            </w:r>
          </w:p>
        </w:tc>
        <w:tc>
          <w:tcPr>
            <w:tcW w:w="992" w:type="dxa"/>
            <w:tcBorders>
              <w:bottom w:val="nil"/>
            </w:tcBorders>
          </w:tcPr>
          <w:p>
            <w:pPr>
              <w:pStyle w:val="yTableNAm"/>
              <w:jc w:val="center"/>
              <w:rPr>
                <w:b/>
                <w:sz w:val="20"/>
              </w:rPr>
            </w:pPr>
            <w:r>
              <w:rPr>
                <w:b/>
                <w:sz w:val="20"/>
              </w:rPr>
              <w:t>Fee</w:t>
            </w:r>
            <w:r>
              <w:rPr>
                <w:b/>
                <w:sz w:val="20"/>
              </w:rPr>
              <w:br/>
              <w:t>$</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1.</w:t>
            </w:r>
            <w:r>
              <w:rPr>
                <w:sz w:val="20"/>
              </w:rPr>
              <w:tab/>
              <w:t>Annual private siding registration fee, per siding</w:t>
            </w:r>
          </w:p>
        </w:tc>
        <w:tc>
          <w:tcPr>
            <w:tcW w:w="1134" w:type="dxa"/>
            <w:tcBorders>
              <w:bottom w:val="nil"/>
            </w:tcBorders>
          </w:tcPr>
          <w:p>
            <w:pPr>
              <w:pStyle w:val="yTableNAm"/>
              <w:rPr>
                <w:sz w:val="20"/>
              </w:rPr>
            </w:pPr>
            <w:r>
              <w:rPr>
                <w:sz w:val="20"/>
              </w:rPr>
              <w:t>s. 58(2)(a)</w:t>
            </w:r>
          </w:p>
        </w:tc>
        <w:tc>
          <w:tcPr>
            <w:tcW w:w="1276" w:type="dxa"/>
            <w:tcBorders>
              <w:bottom w:val="nil"/>
            </w:tcBorders>
          </w:tcPr>
          <w:p>
            <w:pPr>
              <w:pStyle w:val="yTableNAm"/>
              <w:rPr>
                <w:sz w:val="20"/>
              </w:rPr>
            </w:pPr>
            <w:r>
              <w:rPr>
                <w:sz w:val="20"/>
              </w:rPr>
              <w:t>r. 37</w:t>
            </w:r>
          </w:p>
        </w:tc>
        <w:tc>
          <w:tcPr>
            <w:tcW w:w="992" w:type="dxa"/>
            <w:tcBorders>
              <w:bottom w:val="nil"/>
            </w:tcBorders>
          </w:tcPr>
          <w:p>
            <w:pPr>
              <w:pStyle w:val="yTableNAm"/>
              <w:rPr>
                <w:sz w:val="20"/>
              </w:rPr>
            </w:pPr>
            <w:r>
              <w:rPr>
                <w:sz w:val="20"/>
              </w:rPr>
              <w:br/>
              <w:t>109.79</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2.</w:t>
            </w:r>
            <w:r>
              <w:rPr>
                <w:sz w:val="20"/>
              </w:rPr>
              <w:tab/>
              <w:t>Application for accreditation for —</w:t>
            </w:r>
          </w:p>
        </w:tc>
        <w:tc>
          <w:tcPr>
            <w:tcW w:w="1134" w:type="dxa"/>
            <w:tcBorders>
              <w:bottom w:val="nil"/>
            </w:tcBorders>
          </w:tcPr>
          <w:p>
            <w:pPr>
              <w:pStyle w:val="yTableNAm"/>
              <w:rPr>
                <w:sz w:val="20"/>
              </w:rPr>
            </w:pPr>
            <w:r>
              <w:rPr>
                <w:sz w:val="20"/>
              </w:rPr>
              <w:t>s. 34(2)(e)</w:t>
            </w:r>
          </w:p>
        </w:tc>
        <w:tc>
          <w:tcPr>
            <w:tcW w:w="1276" w:type="dxa"/>
            <w:tcBorders>
              <w:bottom w:val="nil"/>
            </w:tcBorders>
          </w:tcPr>
          <w:p>
            <w:pPr>
              <w:pStyle w:val="yTableNAm"/>
              <w:rPr>
                <w:sz w:val="20"/>
              </w:rPr>
            </w:pPr>
            <w:r>
              <w:rPr>
                <w:sz w:val="20"/>
              </w:rPr>
              <w:t>r. 38</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548.95</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3.</w:t>
            </w:r>
            <w:r>
              <w:rPr>
                <w:sz w:val="20"/>
              </w:rPr>
              <w:tab/>
              <w:t>Annual fee for a rail infrastructure manager (per kilometre of track or part thereof) with the minimum fee prescribed in item 7</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4.</w:t>
            </w:r>
            <w:r>
              <w:rPr>
                <w:sz w:val="20"/>
              </w:rPr>
              <w:tab/>
              <w:t>Annual fee for a rolling stock operator (per train/tram kilometre) with the minimum fee prescribed in item 7</w:t>
            </w:r>
          </w:p>
        </w:tc>
        <w:tc>
          <w:tcPr>
            <w:tcW w:w="1134" w:type="dxa"/>
          </w:tcPr>
          <w:p>
            <w:pPr>
              <w:pStyle w:val="yTableNAm"/>
              <w:rPr>
                <w:sz w:val="20"/>
              </w:rPr>
            </w:pPr>
            <w:r>
              <w:rPr>
                <w:sz w:val="20"/>
              </w:rPr>
              <w:t>s. 41(1)</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0.0324</w:t>
            </w:r>
          </w:p>
        </w:tc>
      </w:tr>
      <w:tr>
        <w:trPr>
          <w:cantSplit/>
        </w:trPr>
        <w:tc>
          <w:tcPr>
            <w:tcW w:w="3402" w:type="dxa"/>
          </w:tcPr>
          <w:p>
            <w:pPr>
              <w:pStyle w:val="yTableNAm"/>
              <w:tabs>
                <w:tab w:val="clear" w:pos="567"/>
                <w:tab w:val="left" w:pos="296"/>
              </w:tabs>
              <w:ind w:left="310" w:hanging="310"/>
              <w:rPr>
                <w:sz w:val="20"/>
              </w:rPr>
            </w:pPr>
            <w:r>
              <w:rPr>
                <w:sz w:val="20"/>
              </w:rPr>
              <w:t>5.</w:t>
            </w:r>
            <w:r>
              <w:rPr>
                <w:sz w:val="20"/>
              </w:rPr>
              <w:tab/>
              <w:t>Additional annual fee for a rail infrastructure manager if an accreditation is varied (per kilometre of track or part thereof)</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r>
            <w:r>
              <w:rPr>
                <w:sz w:val="20"/>
              </w:rPr>
              <w:br/>
              <w:t>52.6925</w:t>
            </w:r>
          </w:p>
        </w:tc>
      </w:tr>
      <w:tr>
        <w:trPr>
          <w:cantSplit/>
        </w:trPr>
        <w:tc>
          <w:tcPr>
            <w:tcW w:w="3402" w:type="dxa"/>
          </w:tcPr>
          <w:p>
            <w:pPr>
              <w:pStyle w:val="yTableNAm"/>
              <w:tabs>
                <w:tab w:val="clear" w:pos="567"/>
                <w:tab w:val="left" w:pos="296"/>
              </w:tabs>
              <w:ind w:left="310" w:hanging="310"/>
              <w:rPr>
                <w:sz w:val="20"/>
              </w:rPr>
            </w:pPr>
            <w:r>
              <w:rPr>
                <w:sz w:val="20"/>
              </w:rPr>
              <w:t>6.</w:t>
            </w:r>
            <w:r>
              <w:rPr>
                <w:sz w:val="20"/>
              </w:rPr>
              <w:tab/>
              <w:t>Additional annual fee for a rolling stock operator if an accreditation is varied (per train/tram kilometre)</w:t>
            </w:r>
          </w:p>
        </w:tc>
        <w:tc>
          <w:tcPr>
            <w:tcW w:w="1134" w:type="dxa"/>
          </w:tcPr>
          <w:p>
            <w:pPr>
              <w:pStyle w:val="yTableNAm"/>
              <w:rPr>
                <w:sz w:val="20"/>
              </w:rPr>
            </w:pPr>
            <w:r>
              <w:rPr>
                <w:sz w:val="20"/>
              </w:rPr>
              <w:t>s. 41(3)</w:t>
            </w:r>
          </w:p>
        </w:tc>
        <w:tc>
          <w:tcPr>
            <w:tcW w:w="1276" w:type="dxa"/>
          </w:tcPr>
          <w:p>
            <w:pPr>
              <w:pStyle w:val="yTableNAm"/>
              <w:rPr>
                <w:sz w:val="20"/>
              </w:rPr>
            </w:pPr>
            <w:r>
              <w:rPr>
                <w:sz w:val="20"/>
              </w:rPr>
              <w:t>r. 39</w:t>
            </w:r>
          </w:p>
        </w:tc>
        <w:tc>
          <w:tcPr>
            <w:tcW w:w="992" w:type="dxa"/>
          </w:tcPr>
          <w:p>
            <w:pPr>
              <w:pStyle w:val="yTableNAm"/>
              <w:rPr>
                <w:sz w:val="20"/>
              </w:rPr>
            </w:pPr>
            <w:r>
              <w:rPr>
                <w:sz w:val="20"/>
              </w:rPr>
              <w:br/>
            </w:r>
            <w:r>
              <w:rPr>
                <w:sz w:val="20"/>
              </w:rPr>
              <w:br/>
              <w:t>0.0324</w:t>
            </w:r>
          </w:p>
        </w:tc>
      </w:tr>
      <w:tr>
        <w:trPr>
          <w:cantSplit/>
        </w:trPr>
        <w:tc>
          <w:tcPr>
            <w:tcW w:w="3402" w:type="dxa"/>
            <w:tcBorders>
              <w:bottom w:val="nil"/>
            </w:tcBorders>
          </w:tcPr>
          <w:p>
            <w:pPr>
              <w:pStyle w:val="yTableNAm"/>
              <w:tabs>
                <w:tab w:val="clear" w:pos="567"/>
                <w:tab w:val="left" w:pos="296"/>
              </w:tabs>
              <w:ind w:left="310" w:hanging="310"/>
              <w:rPr>
                <w:sz w:val="20"/>
              </w:rPr>
            </w:pPr>
            <w:r>
              <w:rPr>
                <w:sz w:val="20"/>
              </w:rPr>
              <w:t>7.</w:t>
            </w:r>
            <w:r>
              <w:rPr>
                <w:sz w:val="20"/>
              </w:rPr>
              <w:tab/>
              <w:t>Minimum annual fee for —</w:t>
            </w:r>
          </w:p>
        </w:tc>
        <w:tc>
          <w:tcPr>
            <w:tcW w:w="1134" w:type="dxa"/>
            <w:tcBorders>
              <w:bottom w:val="nil"/>
            </w:tcBorders>
          </w:tcPr>
          <w:p>
            <w:pPr>
              <w:pStyle w:val="yTableNAm"/>
              <w:rPr>
                <w:sz w:val="20"/>
              </w:rPr>
            </w:pPr>
            <w:r>
              <w:rPr>
                <w:sz w:val="20"/>
              </w:rPr>
              <w:t>s. 41(1)</w:t>
            </w:r>
          </w:p>
        </w:tc>
        <w:tc>
          <w:tcPr>
            <w:tcW w:w="1276" w:type="dxa"/>
            <w:tcBorders>
              <w:bottom w:val="nil"/>
            </w:tcBorders>
          </w:tcPr>
          <w:p>
            <w:pPr>
              <w:pStyle w:val="yTableNAm"/>
              <w:rPr>
                <w:sz w:val="20"/>
              </w:rPr>
            </w:pPr>
            <w:r>
              <w:rPr>
                <w:sz w:val="20"/>
              </w:rPr>
              <w:t>r. 39</w:t>
            </w:r>
          </w:p>
        </w:tc>
        <w:tc>
          <w:tcPr>
            <w:tcW w:w="992" w:type="dxa"/>
            <w:tcBorders>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(a)</w:t>
            </w:r>
            <w:r>
              <w:rPr>
                <w:sz w:val="20"/>
              </w:rPr>
              <w:tab/>
              <w:t>a commercial enterprise</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t>8 120.70</w:t>
            </w:r>
          </w:p>
        </w:tc>
      </w:tr>
      <w:tr>
        <w:trPr>
          <w:cantSplit/>
        </w:trPr>
        <w:tc>
          <w:tcPr>
            <w:tcW w:w="3402" w:type="dxa"/>
            <w:tcBorders>
              <w:top w:val="nil"/>
              <w:bottom w:val="nil"/>
            </w:tcBorders>
          </w:tcPr>
          <w:p>
            <w:pPr>
              <w:pStyle w:val="yTableNAm"/>
              <w:tabs>
                <w:tab w:val="clear" w:pos="567"/>
                <w:tab w:val="left" w:pos="296"/>
                <w:tab w:val="left" w:pos="830"/>
              </w:tabs>
              <w:ind w:left="830" w:hanging="830"/>
              <w:rPr>
                <w:sz w:val="20"/>
              </w:rPr>
            </w:pPr>
            <w:r>
              <w:rPr>
                <w:sz w:val="20"/>
              </w:rPr>
              <w:tab/>
              <w:t>(b)</w:t>
            </w:r>
            <w:r>
              <w:rPr>
                <w:sz w:val="20"/>
              </w:rPr>
              <w:tab/>
              <w:t>a heritage, not</w:t>
            </w:r>
            <w:r>
              <w:rPr>
                <w:sz w:val="20"/>
              </w:rPr>
              <w:noBreakHyphen/>
              <w:t>for</w:t>
            </w:r>
            <w:r>
              <w:rPr>
                <w:sz w:val="20"/>
              </w:rPr>
              <w:noBreakHyphen/>
              <w:t xml:space="preserve">profit organisation — </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p>
        </w:tc>
      </w:tr>
      <w:tr>
        <w:trPr>
          <w:cantSplit/>
        </w:trPr>
        <w:tc>
          <w:tcPr>
            <w:tcW w:w="3402" w:type="dxa"/>
            <w:tcBorders>
              <w:top w:val="nil"/>
              <w:bottom w:val="nil"/>
            </w:tcBorders>
          </w:tcPr>
          <w:p>
            <w:pPr>
              <w:pStyle w:val="yTableNAm"/>
              <w:tabs>
                <w:tab w:val="clear" w:pos="567"/>
                <w:tab w:val="left" w:pos="830"/>
                <w:tab w:val="left" w:pos="1430"/>
              </w:tabs>
              <w:ind w:left="1430" w:hanging="1430"/>
              <w:rPr>
                <w:sz w:val="20"/>
              </w:rPr>
            </w:pPr>
            <w:r>
              <w:rPr>
                <w:sz w:val="20"/>
              </w:rPr>
              <w:tab/>
              <w:t>(i)</w:t>
            </w:r>
            <w:r>
              <w:rPr>
                <w:sz w:val="20"/>
              </w:rPr>
              <w:tab/>
              <w:t>with trains travelling more than 15 000 km per annum</w:t>
            </w:r>
          </w:p>
        </w:tc>
        <w:tc>
          <w:tcPr>
            <w:tcW w:w="1134" w:type="dxa"/>
            <w:tcBorders>
              <w:top w:val="nil"/>
              <w:bottom w:val="nil"/>
            </w:tcBorders>
          </w:tcPr>
          <w:p>
            <w:pPr>
              <w:pStyle w:val="yTableNAm"/>
              <w:rPr>
                <w:sz w:val="20"/>
              </w:rPr>
            </w:pPr>
          </w:p>
        </w:tc>
        <w:tc>
          <w:tcPr>
            <w:tcW w:w="1276" w:type="dxa"/>
            <w:tcBorders>
              <w:top w:val="nil"/>
              <w:bottom w:val="nil"/>
            </w:tcBorders>
          </w:tcPr>
          <w:p>
            <w:pPr>
              <w:pStyle w:val="yTableNAm"/>
              <w:rPr>
                <w:sz w:val="20"/>
              </w:rPr>
            </w:pPr>
          </w:p>
        </w:tc>
        <w:tc>
          <w:tcPr>
            <w:tcW w:w="992" w:type="dxa"/>
            <w:tcBorders>
              <w:top w:val="nil"/>
              <w:bottom w:val="nil"/>
            </w:tcBorders>
          </w:tcPr>
          <w:p>
            <w:pPr>
              <w:pStyle w:val="yTableNAm"/>
              <w:rPr>
                <w:sz w:val="20"/>
              </w:rPr>
            </w:pPr>
            <w:r>
              <w:rPr>
                <w:sz w:val="20"/>
              </w:rPr>
              <w:br/>
            </w:r>
            <w:r>
              <w:rPr>
                <w:sz w:val="20"/>
              </w:rPr>
              <w:br/>
              <w:t>1 317.48</w:t>
            </w:r>
          </w:p>
        </w:tc>
      </w:tr>
      <w:tr>
        <w:trPr>
          <w:cantSplit/>
        </w:trPr>
        <w:tc>
          <w:tcPr>
            <w:tcW w:w="3402" w:type="dxa"/>
            <w:tcBorders>
              <w:top w:val="nil"/>
              <w:bottom w:val="single" w:sz="4" w:space="0" w:color="auto"/>
            </w:tcBorders>
          </w:tcPr>
          <w:p>
            <w:pPr>
              <w:pStyle w:val="yTableNAm"/>
              <w:tabs>
                <w:tab w:val="clear" w:pos="567"/>
                <w:tab w:val="left" w:pos="830"/>
                <w:tab w:val="left" w:pos="1430"/>
              </w:tabs>
              <w:ind w:left="1430" w:hanging="1430"/>
              <w:rPr>
                <w:sz w:val="20"/>
              </w:rPr>
            </w:pPr>
            <w:r>
              <w:rPr>
                <w:sz w:val="20"/>
              </w:rPr>
              <w:tab/>
              <w:t>(ii)</w:t>
            </w:r>
            <w:r>
              <w:rPr>
                <w:sz w:val="20"/>
              </w:rPr>
              <w:tab/>
              <w:t>with trains travelling 15 000 km or less per annum</w:t>
            </w:r>
          </w:p>
        </w:tc>
        <w:tc>
          <w:tcPr>
            <w:tcW w:w="1134" w:type="dxa"/>
            <w:tcBorders>
              <w:top w:val="nil"/>
              <w:bottom w:val="single" w:sz="4" w:space="0" w:color="auto"/>
            </w:tcBorders>
          </w:tcPr>
          <w:p>
            <w:pPr>
              <w:pStyle w:val="yTableNAm"/>
              <w:rPr>
                <w:sz w:val="20"/>
              </w:rPr>
            </w:pPr>
          </w:p>
        </w:tc>
        <w:tc>
          <w:tcPr>
            <w:tcW w:w="1276" w:type="dxa"/>
            <w:tcBorders>
              <w:top w:val="nil"/>
              <w:bottom w:val="single" w:sz="4" w:space="0" w:color="auto"/>
            </w:tcBorders>
          </w:tcPr>
          <w:p>
            <w:pPr>
              <w:pStyle w:val="yTableNAm"/>
              <w:rPr>
                <w:sz w:val="20"/>
              </w:rPr>
            </w:pPr>
          </w:p>
        </w:tc>
        <w:tc>
          <w:tcPr>
            <w:tcW w:w="992" w:type="dxa"/>
            <w:tcBorders>
              <w:top w:val="nil"/>
              <w:bottom w:val="single" w:sz="4" w:space="0" w:color="auto"/>
            </w:tcBorders>
          </w:tcPr>
          <w:p>
            <w:pPr>
              <w:pStyle w:val="yTableNAm"/>
              <w:rPr>
                <w:sz w:val="20"/>
              </w:rPr>
            </w:pPr>
            <w:r>
              <w:rPr>
                <w:sz w:val="20"/>
              </w:rPr>
              <w:br/>
            </w:r>
            <w:r>
              <w:rPr>
                <w:sz w:val="20"/>
              </w:rPr>
              <w:br/>
              <w:t>548.95</w:t>
            </w:r>
          </w:p>
        </w:tc>
      </w:tr>
    </w:tbl>
    <w:p>
      <w:pPr>
        <w:pStyle w:val="yFootnotesection"/>
      </w:pPr>
      <w:r>
        <w:tab/>
        <w:t>[Schedule 2 inserted in Gazette 21 Jun 2011 p. 2254-5; amended in Gazette 22 Nov 2011 p. 4854.]</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240" w:name="_Toc283893689"/>
      <w:bookmarkStart w:id="241" w:name="_Toc283893948"/>
      <w:bookmarkStart w:id="242" w:name="_Toc297297312"/>
      <w:bookmarkStart w:id="243" w:name="_Toc306283927"/>
      <w:bookmarkStart w:id="244" w:name="_Toc309652761"/>
      <w:r>
        <w:t>Notes</w:t>
      </w:r>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rPr>
        <w:t>Rail Safety Regulations 2011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xml:space="preserve">.  </w:t>
      </w:r>
    </w:p>
    <w:p>
      <w:pPr>
        <w:pStyle w:val="nHeading3"/>
      </w:pPr>
      <w:bookmarkStart w:id="245" w:name="_Toc70311430"/>
      <w:bookmarkStart w:id="246" w:name="_Toc113695923"/>
      <w:bookmarkStart w:id="247" w:name="_Toc309652762"/>
      <w:r>
        <w:t>Compilation table</w:t>
      </w:r>
      <w:bookmarkEnd w:id="245"/>
      <w:bookmarkEnd w:id="246"/>
      <w:bookmarkEnd w:id="2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Rail Safety Regulations 2011</w:t>
            </w:r>
          </w:p>
        </w:tc>
        <w:tc>
          <w:tcPr>
            <w:tcW w:w="1276" w:type="dxa"/>
            <w:tcBorders>
              <w:bottom w:val="nil"/>
            </w:tcBorders>
          </w:tcPr>
          <w:p>
            <w:pPr>
              <w:pStyle w:val="nTable"/>
              <w:spacing w:after="40"/>
              <w:rPr>
                <w:sz w:val="19"/>
              </w:rPr>
            </w:pPr>
            <w:r>
              <w:rPr>
                <w:sz w:val="19"/>
              </w:rPr>
              <w:t>28 Jan 2011 p. 187</w:t>
            </w:r>
            <w:r>
              <w:rPr>
                <w:sz w:val="19"/>
              </w:rPr>
              <w:noBreakHyphen/>
              <w:t>238</w:t>
            </w:r>
          </w:p>
        </w:tc>
        <w:tc>
          <w:tcPr>
            <w:tcW w:w="2693" w:type="dxa"/>
            <w:tcBorders>
              <w:bottom w:val="nil"/>
            </w:tcBorders>
          </w:tcPr>
          <w:p>
            <w:pPr>
              <w:pStyle w:val="nTable"/>
              <w:spacing w:after="40"/>
              <w:rPr>
                <w:sz w:val="19"/>
              </w:rPr>
            </w:pPr>
            <w:r>
              <w:rPr>
                <w:snapToGrid w:val="0"/>
                <w:spacing w:val="-2"/>
                <w:sz w:val="19"/>
                <w:lang w:val="en-US"/>
              </w:rPr>
              <w:t>r. 1 and 2: 28 Jan 2011 (see r. 2(a));</w:t>
            </w:r>
            <w:r>
              <w:rPr>
                <w:snapToGrid w:val="0"/>
                <w:spacing w:val="-2"/>
                <w:sz w:val="19"/>
                <w:lang w:val="en-US"/>
              </w:rPr>
              <w:br/>
              <w:t xml:space="preserve">Regulations other than r. 1, 2 and 11: 1 Feb 2011 (see r. 2(c) and </w:t>
            </w:r>
            <w:r>
              <w:rPr>
                <w:i/>
                <w:iCs/>
                <w:snapToGrid w:val="0"/>
                <w:spacing w:val="-2"/>
                <w:sz w:val="19"/>
                <w:lang w:val="en-US"/>
              </w:rPr>
              <w:t>Gazette</w:t>
            </w:r>
            <w:r>
              <w:rPr>
                <w:snapToGrid w:val="0"/>
                <w:spacing w:val="-2"/>
                <w:sz w:val="19"/>
                <w:lang w:val="en-US"/>
              </w:rPr>
              <w:t xml:space="preserve"> 28 Jan 2011 p. 241)</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rPr>
                <w:sz w:val="19"/>
              </w:rPr>
            </w:pPr>
            <w:r>
              <w:rPr>
                <w:sz w:val="19"/>
              </w:rPr>
              <w:t>21 Jun 2011 p. 2254-5</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rPr>
                <w:sz w:val="19"/>
              </w:rPr>
            </w:pPr>
            <w:r>
              <w:rPr>
                <w:sz w:val="19"/>
              </w:rPr>
              <w:t>14 Oct 2011 p. 4342-3</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14 Oct 2011 (see r. 2(a));</w:t>
            </w:r>
            <w:r>
              <w:rPr>
                <w:snapToGrid w:val="0"/>
                <w:spacing w:val="-2"/>
                <w:sz w:val="19"/>
                <w:lang w:val="en-US"/>
              </w:rPr>
              <w:br/>
              <w:t>Regulations other than r. 1 and 2: 15 Oct 2011 (see r. 2(b))</w:t>
            </w:r>
          </w:p>
        </w:tc>
      </w:tr>
      <w:tr>
        <w:tc>
          <w:tcPr>
            <w:tcW w:w="3118" w:type="dxa"/>
            <w:tcBorders>
              <w:top w:val="nil"/>
              <w:bottom w:val="single" w:sz="4" w:space="0" w:color="auto"/>
            </w:tcBorders>
          </w:tcPr>
          <w:p>
            <w:pPr>
              <w:pStyle w:val="nTable"/>
              <w:spacing w:after="40"/>
              <w:rPr>
                <w:i/>
              </w:rPr>
            </w:pPr>
            <w:r>
              <w:rPr>
                <w:i/>
              </w:rPr>
              <w:t>Rail Safety Amendment Regulations (No. 3) 2011</w:t>
            </w:r>
          </w:p>
        </w:tc>
        <w:tc>
          <w:tcPr>
            <w:tcW w:w="1276" w:type="dxa"/>
            <w:tcBorders>
              <w:top w:val="nil"/>
              <w:bottom w:val="single" w:sz="4" w:space="0" w:color="auto"/>
            </w:tcBorders>
          </w:tcPr>
          <w:p>
            <w:pPr>
              <w:pStyle w:val="nTable"/>
              <w:spacing w:after="40"/>
              <w:rPr>
                <w:sz w:val="19"/>
              </w:rPr>
            </w:pPr>
            <w:r>
              <w:rPr>
                <w:sz w:val="19"/>
              </w:rPr>
              <w:t>22 Nov 2011 p. 4853-4</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1 Dec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48" w:name="_Toc7405065"/>
      <w:bookmarkStart w:id="249" w:name="_Toc309652763"/>
      <w:r>
        <w:t>Provisions that have not come into operation</w:t>
      </w:r>
      <w:bookmarkEnd w:id="248"/>
      <w:bookmarkEnd w:id="2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Cs/>
                <w:sz w:val="19"/>
                <w:vertAlign w:val="superscript"/>
              </w:rPr>
            </w:pPr>
            <w:r>
              <w:rPr>
                <w:i/>
              </w:rPr>
              <w:t>Rail Safety Regulations 2011</w:t>
            </w:r>
            <w:r>
              <w:rPr>
                <w:iCs/>
              </w:rPr>
              <w:t> r. 11 </w:t>
            </w:r>
            <w:r>
              <w:rPr>
                <w:iCs/>
                <w:vertAlign w:val="superscript"/>
              </w:rPr>
              <w:t>2</w:t>
            </w:r>
          </w:p>
        </w:tc>
        <w:tc>
          <w:tcPr>
            <w:tcW w:w="1276" w:type="dxa"/>
          </w:tcPr>
          <w:p>
            <w:pPr>
              <w:pStyle w:val="nTable"/>
              <w:spacing w:after="40"/>
              <w:rPr>
                <w:sz w:val="19"/>
              </w:rPr>
            </w:pPr>
            <w:r>
              <w:rPr>
                <w:sz w:val="19"/>
              </w:rPr>
              <w:t>28 Jan 2011 p. 187</w:t>
            </w:r>
            <w:r>
              <w:rPr>
                <w:sz w:val="19"/>
              </w:rPr>
              <w:noBreakHyphen/>
              <w:t>238</w:t>
            </w:r>
          </w:p>
        </w:tc>
        <w:tc>
          <w:tcPr>
            <w:tcW w:w="2693" w:type="dxa"/>
          </w:tcPr>
          <w:p>
            <w:pPr>
              <w:pStyle w:val="nTable"/>
              <w:spacing w:after="40"/>
              <w:rPr>
                <w:sz w:val="19"/>
              </w:rPr>
            </w:pPr>
            <w:r>
              <w:rPr>
                <w:snapToGrid w:val="0"/>
                <w:spacing w:val="-2"/>
                <w:sz w:val="19"/>
                <w:lang w:val="en-US"/>
              </w:rPr>
              <w:t>1 Feb 2012 (see r.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Rail Safety Regulations 2011 </w:t>
      </w:r>
      <w:r>
        <w:rPr>
          <w:iCs/>
          <w:snapToGrid w:val="0"/>
        </w:rPr>
        <w:t>r. 11</w:t>
      </w:r>
      <w:r>
        <w:rPr>
          <w:snapToGrid w:val="0"/>
        </w:rPr>
        <w:t xml:space="preserve"> had not come into operation.  It reads as follows:</w:t>
      </w:r>
    </w:p>
    <w:p>
      <w:pPr>
        <w:pStyle w:val="BlankOpen"/>
      </w:pPr>
    </w:p>
    <w:p>
      <w:pPr>
        <w:pStyle w:val="nzHeading5"/>
      </w:pPr>
      <w:bookmarkStart w:id="250" w:name="_Toc265846189"/>
      <w:bookmarkStart w:id="251" w:name="_Toc283039552"/>
      <w:r>
        <w:rPr>
          <w:rStyle w:val="CharSectno"/>
        </w:rPr>
        <w:t>11</w:t>
      </w:r>
      <w:r>
        <w:t>.</w:t>
      </w:r>
      <w:r>
        <w:tab/>
        <w:t>Obligations on rail transport operators</w:t>
      </w:r>
      <w:bookmarkEnd w:id="250"/>
      <w:bookmarkEnd w:id="251"/>
    </w:p>
    <w:p>
      <w:pPr>
        <w:pStyle w:val="nzSubsection"/>
      </w:pPr>
      <w:r>
        <w:tab/>
        <w:t>(1)</w:t>
      </w:r>
      <w:r>
        <w:tab/>
        <w:t xml:space="preserve">A rail transport operator must take the following steps to develop and implement an interface agreement for the purposes of section 63(1) of the Act — </w:t>
      </w:r>
    </w:p>
    <w:p>
      <w:pPr>
        <w:pStyle w:val="nzIndenta"/>
      </w:pPr>
      <w:r>
        <w:tab/>
        <w:t>(a)</w:t>
      </w:r>
      <w:r>
        <w:tab/>
        <w:t>the railway operations to which the agreement is to apply must be identified;</w:t>
      </w:r>
    </w:p>
    <w:p>
      <w:pPr>
        <w:pStyle w:val="nzIndenta"/>
      </w:pPr>
      <w:r>
        <w:tab/>
        <w:t>(b)</w:t>
      </w:r>
      <w:r>
        <w:tab/>
        <w:t>the risks to safety identified under section 63(1)(a) of the Act that may be caused by those operations must be assessed in conjunction with the other operator;</w:t>
      </w:r>
    </w:p>
    <w:p>
      <w:pPr>
        <w:pStyle w:val="nzIndenta"/>
      </w:pPr>
      <w:r>
        <w:tab/>
        <w:t>(c)</w:t>
      </w:r>
      <w:r>
        <w:tab/>
        <w:t>a process must be established to seek an interface agreement with the other operator;</w:t>
      </w:r>
    </w:p>
    <w:p>
      <w:pPr>
        <w:pStyle w:val="nzIndenta"/>
      </w:pPr>
      <w:r>
        <w:tab/>
        <w:t>(d)</w:t>
      </w:r>
      <w:r>
        <w:tab/>
        <w:t>the process must be undertaken and pursued until there is a written interface agreement between the rail transport operator and the other operator.</w:t>
      </w:r>
    </w:p>
    <w:p>
      <w:pPr>
        <w:pStyle w:val="nzSubsection"/>
      </w:pPr>
      <w:r>
        <w:tab/>
        <w:t>(2)</w:t>
      </w:r>
      <w:r>
        <w:tab/>
        <w:t>The process described in subregulation (1) must be repeated by the rail transport operator with respect to every other rail transport operator referred to in section 63(1)(a) of the Act.</w:t>
      </w:r>
    </w:p>
    <w:p>
      <w:pPr>
        <w:pStyle w:val="nz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BlankClose"/>
      </w:pPr>
    </w:p>
    <w:p>
      <w:pPr>
        <w:pStyle w:val="BlankClose"/>
      </w:pPr>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2" w:name="_Toc283893692"/>
      <w:bookmarkStart w:id="253" w:name="_Toc283893951"/>
      <w:bookmarkStart w:id="254" w:name="_Toc297297315"/>
      <w:bookmarkStart w:id="255" w:name="_Toc306283930"/>
      <w:bookmarkStart w:id="256" w:name="_Toc309652764"/>
      <w:r>
        <w:rPr>
          <w:sz w:val="28"/>
        </w:rPr>
        <w:t>Defined Terms</w:t>
      </w:r>
      <w:bookmarkEnd w:id="252"/>
      <w:bookmarkEnd w:id="253"/>
      <w:bookmarkEnd w:id="254"/>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7" w:name="DefinedTerms"/>
      <w:bookmarkEnd w:id="257"/>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Rail Safety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Rail Safety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28</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2011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Content of the safety management system</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2011</w:t>
            </w:r>
          </w:fldSimple>
        </w:p>
      </w:tc>
    </w:tr>
    <w:tr>
      <w:tc>
        <w:tcPr>
          <w:tcW w:w="5715" w:type="dxa"/>
          <w:vAlign w:val="bottom"/>
        </w:tcPr>
        <w:p>
          <w:pPr>
            <w:pStyle w:val="HeaderTextRight"/>
          </w:pPr>
          <w:fldSimple w:instr=" styleref CharSchText ">
            <w:r>
              <w:rPr>
                <w:noProof/>
              </w:rPr>
              <w:t>Content of the safety management system</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27"/>
  </w:num>
  <w:num w:numId="14">
    <w:abstractNumId w:val="15"/>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007"/>
    <w:docVar w:name="WAFER_20151209114007" w:val="RemoveTrackChanges"/>
    <w:docVar w:name="WAFER_20151209114007_GUID" w:val="2deaa05b-5534-4689-a5df-06160202b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10642</Words>
  <Characters>54702</Characters>
  <Application>Microsoft Office Word</Application>
  <DocSecurity>0</DocSecurity>
  <Lines>1657</Lines>
  <Paragraphs>895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vt:lpstr>
      <vt:lpstr>    Part 2 — Accreditation</vt:lpstr>
      <vt:lpstr>    Part 3 — Safety management</vt:lpstr>
      <vt:lpstr>        Division 1 — Safety management systems</vt:lpstr>
      <vt:lpstr>        Division 2 — Private sidings</vt:lpstr>
      <vt:lpstr>        Division 3 — Interface coordination plans</vt:lpstr>
      <vt:lpstr>        Division 4 — Security management plans</vt:lpstr>
      <vt:lpstr>        Division 5 — Emergency management plans</vt:lpstr>
      <vt:lpstr>        Division 6 — Review</vt:lpstr>
      <vt:lpstr>    Part 4 — Rail safety workers</vt:lpstr>
      <vt:lpstr>    Part 5 — Investigation powers</vt:lpstr>
      <vt:lpstr>    Part 6 — Miscellaneous</vt:lpstr>
      <vt:lpstr>    Part 7 — Fees</vt:lpstr>
      <vt:lpstr>Schedule 1 — Content of the safety management system</vt:lpstr>
      <vt:lpstr/>
      <vt:lpstr>    Schedule 2 — Fees</vt:lpstr>
      <vt:lpstr>    Notes</vt:lpstr>
      <vt:lpstr>    Defined Terms</vt:lpstr>
    </vt:vector>
  </TitlesOfParts>
  <Manager/>
  <Company/>
  <LinksUpToDate>false</LinksUpToDate>
  <CharactersWithSpaces>64449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2011 - 00-d0-02</dc:title>
  <dc:subject/>
  <dc:creator/>
  <cp:keywords/>
  <dc:description/>
  <cp:lastModifiedBy>svcMRProcess</cp:lastModifiedBy>
  <cp:revision>4</cp:revision>
  <cp:lastPrinted>2011-01-14T06:47:00Z</cp:lastPrinted>
  <dcterms:created xsi:type="dcterms:W3CDTF">2019-04-08T02:17:00Z</dcterms:created>
  <dcterms:modified xsi:type="dcterms:W3CDTF">2019-04-08T02:17:00Z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AsAtDate">
    <vt:lpwstr>01 Dec 2011</vt:lpwstr>
  </property>
  <property fmtid="{D5CDD505-2E9C-101B-9397-08002B2CF9AE}" pid="4" name="Suffix">
    <vt:lpwstr>00-d0-02</vt:lpwstr>
  </property>
  <property fmtid="{D5CDD505-2E9C-101B-9397-08002B2CF9AE}" pid="5" name="CommencementDate">
    <vt:lpwstr>20111201</vt:lpwstr>
  </property>
  <property fmtid="{D5CDD505-2E9C-101B-9397-08002B2CF9AE}" pid="6" name="DocumentType">
    <vt:lpwstr>Reg</vt:lpwstr>
  </property>
</Properties>
</file>