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Fines, Penalties and Infringement Notices Enforcement Act 1994</w:t>
      </w:r>
    </w:p>
    <w:p>
      <w:pPr>
        <w:pStyle w:val="NameofActRegPage1"/>
        <w:spacing w:before="1960" w:after="4200"/>
        <w:ind w:left="119" w:right="13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Fines, Penalties and Infringement Notices Enforcement Regulations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_Toc311537058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_Toc311537059 \h </w:instrText>
      </w:r>
      <w:r>
        <w:fldChar w:fldCharType="separate"/>
      </w:r>
      <w:r>
        <w:t>1</w:t>
      </w:r>
      <w:r>
        <w:fldChar w:fldCharType="end"/>
      </w:r>
    </w:p>
    <w:p>
      <w:pPr>
        <w:pStyle w:val="TOC8"/>
        <w:rPr>
          <w:sz w:val="24"/>
          <w:szCs w:val="24"/>
          <w:lang w:val="en-US"/>
        </w:rPr>
      </w:pPr>
      <w:r>
        <w:t>3</w:t>
      </w:r>
      <w:r>
        <w:rPr>
          <w:snapToGrid w:val="0"/>
        </w:rPr>
        <w:t>.</w:t>
      </w:r>
      <w:r>
        <w:rPr>
          <w:snapToGrid w:val="0"/>
        </w:rPr>
        <w:tab/>
        <w:t>Enactments to which Part 3 applies (s. 12)</w:t>
      </w:r>
      <w:r>
        <w:tab/>
      </w:r>
      <w:r>
        <w:fldChar w:fldCharType="begin"/>
      </w:r>
      <w:r>
        <w:instrText xml:space="preserve"> PAGEREF _Toc311537060 \h </w:instrText>
      </w:r>
      <w:r>
        <w:fldChar w:fldCharType="separate"/>
      </w:r>
      <w:r>
        <w:t>1</w:t>
      </w:r>
      <w:r>
        <w:fldChar w:fldCharType="end"/>
      </w:r>
    </w:p>
    <w:p>
      <w:pPr>
        <w:pStyle w:val="TOC8"/>
        <w:rPr>
          <w:sz w:val="24"/>
          <w:szCs w:val="24"/>
          <w:lang w:val="en-US"/>
        </w:rPr>
      </w:pPr>
      <w:r>
        <w:t>3A.</w:t>
      </w:r>
      <w:r>
        <w:tab/>
        <w:t>Form of request (s. 27A)</w:t>
      </w:r>
      <w:r>
        <w:tab/>
      </w:r>
      <w:r>
        <w:fldChar w:fldCharType="begin"/>
      </w:r>
      <w:r>
        <w:instrText xml:space="preserve"> PAGEREF _Toc311537061 \h </w:instrText>
      </w:r>
      <w:r>
        <w:fldChar w:fldCharType="separate"/>
      </w:r>
      <w:r>
        <w:t>1</w:t>
      </w:r>
      <w:r>
        <w:fldChar w:fldCharType="end"/>
      </w:r>
    </w:p>
    <w:p>
      <w:pPr>
        <w:pStyle w:val="TOC8"/>
        <w:rPr>
          <w:sz w:val="24"/>
          <w:szCs w:val="24"/>
          <w:lang w:val="en-US"/>
        </w:rPr>
      </w:pPr>
      <w:r>
        <w:t>4</w:t>
      </w:r>
      <w:r>
        <w:rPr>
          <w:snapToGrid w:val="0"/>
        </w:rPr>
        <w:t>.</w:t>
      </w:r>
      <w:r>
        <w:rPr>
          <w:snapToGrid w:val="0"/>
        </w:rPr>
        <w:tab/>
        <w:t>Matters included in the definition of fine for Part 4 (s. 28)</w:t>
      </w:r>
      <w:r>
        <w:tab/>
      </w:r>
      <w:r>
        <w:fldChar w:fldCharType="begin"/>
      </w:r>
      <w:r>
        <w:instrText xml:space="preserve"> PAGEREF _Toc311537062 \h </w:instrText>
      </w:r>
      <w:r>
        <w:fldChar w:fldCharType="separate"/>
      </w:r>
      <w:r>
        <w:t>1</w:t>
      </w:r>
      <w:r>
        <w:fldChar w:fldCharType="end"/>
      </w:r>
    </w:p>
    <w:p>
      <w:pPr>
        <w:pStyle w:val="TOC8"/>
        <w:rPr>
          <w:sz w:val="24"/>
          <w:szCs w:val="24"/>
          <w:lang w:val="en-US"/>
        </w:rPr>
      </w:pPr>
      <w:r>
        <w:t>5</w:t>
      </w:r>
      <w:r>
        <w:rPr>
          <w:snapToGrid w:val="0"/>
        </w:rPr>
        <w:t>.</w:t>
      </w:r>
      <w:r>
        <w:rPr>
          <w:snapToGrid w:val="0"/>
        </w:rPr>
        <w:tab/>
        <w:t>Fines to which sections 31 to 37 apply (s. 31)</w:t>
      </w:r>
      <w:r>
        <w:tab/>
      </w:r>
      <w:r>
        <w:fldChar w:fldCharType="begin"/>
      </w:r>
      <w:r>
        <w:instrText xml:space="preserve"> PAGEREF _Toc311537063 \h </w:instrText>
      </w:r>
      <w:r>
        <w:fldChar w:fldCharType="separate"/>
      </w:r>
      <w:r>
        <w:t>2</w:t>
      </w:r>
      <w:r>
        <w:fldChar w:fldCharType="end"/>
      </w:r>
    </w:p>
    <w:p>
      <w:pPr>
        <w:pStyle w:val="TOC8"/>
        <w:rPr>
          <w:sz w:val="24"/>
          <w:szCs w:val="24"/>
          <w:lang w:val="en-US"/>
        </w:rPr>
      </w:pPr>
      <w:r>
        <w:t>6</w:t>
      </w:r>
      <w:r>
        <w:rPr>
          <w:snapToGrid w:val="0"/>
        </w:rPr>
        <w:t>.</w:t>
      </w:r>
      <w:r>
        <w:rPr>
          <w:snapToGrid w:val="0"/>
        </w:rPr>
        <w:tab/>
        <w:t>Applications for time to pay orders</w:t>
      </w:r>
      <w:r>
        <w:tab/>
      </w:r>
      <w:r>
        <w:fldChar w:fldCharType="begin"/>
      </w:r>
      <w:r>
        <w:instrText xml:space="preserve"> PAGEREF _Toc311537064 \h </w:instrText>
      </w:r>
      <w:r>
        <w:fldChar w:fldCharType="separate"/>
      </w:r>
      <w:r>
        <w:t>2</w:t>
      </w:r>
      <w:r>
        <w:fldChar w:fldCharType="end"/>
      </w:r>
    </w:p>
    <w:p>
      <w:pPr>
        <w:pStyle w:val="TOC8"/>
        <w:rPr>
          <w:sz w:val="24"/>
          <w:szCs w:val="24"/>
          <w:lang w:val="en-US"/>
        </w:rPr>
      </w:pPr>
      <w:r>
        <w:t>6A</w:t>
      </w:r>
      <w:r>
        <w:rPr>
          <w:snapToGrid w:val="0"/>
        </w:rPr>
        <w:t>.</w:t>
      </w:r>
      <w:r>
        <w:rPr>
          <w:snapToGrid w:val="0"/>
        </w:rPr>
        <w:tab/>
        <w:t>Calculation of required hours for WDO (s. 49)</w:t>
      </w:r>
      <w:r>
        <w:tab/>
      </w:r>
      <w:r>
        <w:fldChar w:fldCharType="begin"/>
      </w:r>
      <w:r>
        <w:instrText xml:space="preserve"> PAGEREF _Toc311537065 \h </w:instrText>
      </w:r>
      <w:r>
        <w:fldChar w:fldCharType="separate"/>
      </w:r>
      <w:r>
        <w:t>3</w:t>
      </w:r>
      <w:r>
        <w:fldChar w:fldCharType="end"/>
      </w:r>
    </w:p>
    <w:p>
      <w:pPr>
        <w:pStyle w:val="TOC8"/>
        <w:rPr>
          <w:sz w:val="24"/>
          <w:szCs w:val="24"/>
          <w:lang w:val="en-US"/>
        </w:rPr>
      </w:pPr>
      <w:r>
        <w:t>6B</w:t>
      </w:r>
      <w:r>
        <w:rPr>
          <w:snapToGrid w:val="0"/>
        </w:rPr>
        <w:t>.</w:t>
      </w:r>
      <w:r>
        <w:rPr>
          <w:snapToGrid w:val="0"/>
        </w:rPr>
        <w:tab/>
        <w:t>Reduction of WDO amount when work performed or hours when payment made (s. 51)</w:t>
      </w:r>
      <w:r>
        <w:tab/>
      </w:r>
      <w:r>
        <w:fldChar w:fldCharType="begin"/>
      </w:r>
      <w:r>
        <w:instrText xml:space="preserve"> PAGEREF _Toc311537066 \h </w:instrText>
      </w:r>
      <w:r>
        <w:fldChar w:fldCharType="separate"/>
      </w:r>
      <w:r>
        <w:t>3</w:t>
      </w:r>
      <w:r>
        <w:fldChar w:fldCharType="end"/>
      </w:r>
    </w:p>
    <w:p>
      <w:pPr>
        <w:pStyle w:val="TOC8"/>
        <w:rPr>
          <w:sz w:val="24"/>
          <w:szCs w:val="24"/>
          <w:lang w:val="en-US"/>
        </w:rPr>
      </w:pPr>
      <w:r>
        <w:t>6BAA.</w:t>
      </w:r>
      <w:r>
        <w:tab/>
      </w:r>
      <w:r>
        <w:rPr>
          <w:bCs/>
        </w:rPr>
        <w:t>Prescribed amount for a warrant of commitment (s. 53(3))</w:t>
      </w:r>
      <w:r>
        <w:tab/>
      </w:r>
      <w:r>
        <w:fldChar w:fldCharType="begin"/>
      </w:r>
      <w:r>
        <w:instrText xml:space="preserve"> PAGEREF _Toc311537067 \h </w:instrText>
      </w:r>
      <w:r>
        <w:fldChar w:fldCharType="separate"/>
      </w:r>
      <w:r>
        <w:t>3</w:t>
      </w:r>
      <w:r>
        <w:fldChar w:fldCharType="end"/>
      </w:r>
    </w:p>
    <w:p>
      <w:pPr>
        <w:pStyle w:val="TOC8"/>
        <w:rPr>
          <w:sz w:val="24"/>
          <w:szCs w:val="24"/>
          <w:lang w:val="en-US"/>
        </w:rPr>
      </w:pPr>
      <w:r>
        <w:t>6BA.</w:t>
      </w:r>
      <w:r>
        <w:tab/>
        <w:t>Form of request (s. 55A)</w:t>
      </w:r>
      <w:r>
        <w:tab/>
      </w:r>
      <w:r>
        <w:fldChar w:fldCharType="begin"/>
      </w:r>
      <w:r>
        <w:instrText xml:space="preserve"> PAGEREF _Toc311537068 \h </w:instrText>
      </w:r>
      <w:r>
        <w:fldChar w:fldCharType="separate"/>
      </w:r>
      <w:r>
        <w:t>4</w:t>
      </w:r>
      <w:r>
        <w:fldChar w:fldCharType="end"/>
      </w:r>
    </w:p>
    <w:p>
      <w:pPr>
        <w:pStyle w:val="TOC8"/>
        <w:rPr>
          <w:sz w:val="24"/>
          <w:szCs w:val="24"/>
          <w:lang w:val="en-US"/>
        </w:rPr>
      </w:pPr>
      <w:r>
        <w:t>6C.</w:t>
      </w:r>
      <w:r>
        <w:tab/>
        <w:t>Reduction of liability to pay fine where WDO taken to be cancelled (</w:t>
      </w:r>
      <w:r>
        <w:rPr>
          <w:i/>
        </w:rPr>
        <w:t xml:space="preserve">Sentencing Act 1995 </w:t>
      </w:r>
      <w:r>
        <w:t>s. 57B(7))</w:t>
      </w:r>
      <w:r>
        <w:tab/>
      </w:r>
      <w:r>
        <w:fldChar w:fldCharType="begin"/>
      </w:r>
      <w:r>
        <w:instrText xml:space="preserve"> PAGEREF _Toc311537069 \h </w:instrText>
      </w:r>
      <w:r>
        <w:fldChar w:fldCharType="separate"/>
      </w:r>
      <w:r>
        <w:t>4</w:t>
      </w:r>
      <w:r>
        <w:fldChar w:fldCharType="end"/>
      </w:r>
    </w:p>
    <w:p>
      <w:pPr>
        <w:pStyle w:val="TOC8"/>
        <w:rPr>
          <w:sz w:val="24"/>
          <w:szCs w:val="24"/>
          <w:lang w:val="en-US"/>
        </w:rPr>
      </w:pPr>
      <w:r>
        <w:t>7</w:t>
      </w:r>
      <w:r>
        <w:rPr>
          <w:snapToGrid w:val="0"/>
        </w:rPr>
        <w:t>.</w:t>
      </w:r>
      <w:r>
        <w:rPr>
          <w:snapToGrid w:val="0"/>
        </w:rPr>
        <w:tab/>
        <w:t>Reciprocating States and courts for Part 6 (s. 60)</w:t>
      </w:r>
      <w:r>
        <w:tab/>
      </w:r>
      <w:r>
        <w:fldChar w:fldCharType="begin"/>
      </w:r>
      <w:r>
        <w:instrText xml:space="preserve"> PAGEREF _Toc311537070 \h </w:instrText>
      </w:r>
      <w:r>
        <w:fldChar w:fldCharType="separate"/>
      </w:r>
      <w:r>
        <w:t>4</w:t>
      </w:r>
      <w:r>
        <w:fldChar w:fldCharType="end"/>
      </w:r>
    </w:p>
    <w:p>
      <w:pPr>
        <w:pStyle w:val="TOC8"/>
        <w:rPr>
          <w:sz w:val="24"/>
          <w:szCs w:val="24"/>
          <w:lang w:val="en-US"/>
        </w:rPr>
      </w:pPr>
      <w:r>
        <w:t>8.</w:t>
      </w:r>
      <w:r>
        <w:tab/>
        <w:t>Property that cannot be seized and sold under a warrant</w:t>
      </w:r>
      <w:r>
        <w:tab/>
      </w:r>
      <w:r>
        <w:fldChar w:fldCharType="begin"/>
      </w:r>
      <w:r>
        <w:instrText xml:space="preserve"> PAGEREF _Toc311537071 \h </w:instrText>
      </w:r>
      <w:r>
        <w:fldChar w:fldCharType="separate"/>
      </w:r>
      <w:r>
        <w:t>5</w:t>
      </w:r>
      <w:r>
        <w:fldChar w:fldCharType="end"/>
      </w:r>
    </w:p>
    <w:p>
      <w:pPr>
        <w:pStyle w:val="TOC8"/>
        <w:rPr>
          <w:sz w:val="24"/>
          <w:szCs w:val="24"/>
          <w:lang w:val="en-US"/>
        </w:rPr>
      </w:pPr>
      <w:r>
        <w:t>8A</w:t>
      </w:r>
      <w:r>
        <w:rPr>
          <w:snapToGrid w:val="0"/>
        </w:rPr>
        <w:t>.</w:t>
      </w:r>
      <w:r>
        <w:rPr>
          <w:snapToGrid w:val="0"/>
        </w:rPr>
        <w:tab/>
        <w:t>Recommencing enforcement after successful application under section 101 or 101A</w:t>
      </w:r>
      <w:r>
        <w:tab/>
      </w:r>
      <w:r>
        <w:fldChar w:fldCharType="begin"/>
      </w:r>
      <w:r>
        <w:instrText xml:space="preserve"> PAGEREF _Toc311537072 \h </w:instrText>
      </w:r>
      <w:r>
        <w:fldChar w:fldCharType="separate"/>
      </w:r>
      <w:r>
        <w:t>6</w:t>
      </w:r>
      <w:r>
        <w:fldChar w:fldCharType="end"/>
      </w:r>
    </w:p>
    <w:p>
      <w:pPr>
        <w:pStyle w:val="TOC8"/>
        <w:rPr>
          <w:sz w:val="24"/>
          <w:szCs w:val="24"/>
          <w:lang w:val="en-US"/>
        </w:rPr>
      </w:pPr>
      <w:r>
        <w:t>8B</w:t>
      </w:r>
      <w:r>
        <w:rPr>
          <w:snapToGrid w:val="0"/>
        </w:rPr>
        <w:t>.</w:t>
      </w:r>
      <w:r>
        <w:rPr>
          <w:snapToGrid w:val="0"/>
        </w:rPr>
        <w:tab/>
        <w:t>Recommencing enforcement after an appeal (s. 101B)</w:t>
      </w:r>
      <w:r>
        <w:tab/>
      </w:r>
      <w:r>
        <w:fldChar w:fldCharType="begin"/>
      </w:r>
      <w:r>
        <w:instrText xml:space="preserve"> PAGEREF _Toc311537073 \h </w:instrText>
      </w:r>
      <w:r>
        <w:fldChar w:fldCharType="separate"/>
      </w:r>
      <w:r>
        <w:t>6</w:t>
      </w:r>
      <w:r>
        <w:fldChar w:fldCharType="end"/>
      </w:r>
    </w:p>
    <w:p>
      <w:pPr>
        <w:pStyle w:val="TOC8"/>
        <w:rPr>
          <w:sz w:val="24"/>
          <w:szCs w:val="24"/>
          <w:lang w:val="en-US"/>
        </w:rPr>
      </w:pPr>
      <w:r>
        <w:t>9.</w:t>
      </w:r>
      <w:r>
        <w:tab/>
        <w:t>Enforcement fees for Parts 3, 4 and 7</w:t>
      </w:r>
      <w:r>
        <w:tab/>
      </w:r>
      <w:r>
        <w:fldChar w:fldCharType="begin"/>
      </w:r>
      <w:r>
        <w:instrText xml:space="preserve"> PAGEREF _Toc311537074 \h </w:instrText>
      </w:r>
      <w:r>
        <w:fldChar w:fldCharType="separate"/>
      </w:r>
      <w:r>
        <w:t>7</w:t>
      </w:r>
      <w:r>
        <w:fldChar w:fldCharType="end"/>
      </w:r>
    </w:p>
    <w:p>
      <w:pPr>
        <w:pStyle w:val="TOC8"/>
        <w:rPr>
          <w:sz w:val="24"/>
          <w:szCs w:val="24"/>
          <w:lang w:val="en-US"/>
        </w:rPr>
      </w:pPr>
      <w:r>
        <w:t>10</w:t>
      </w:r>
      <w:r>
        <w:rPr>
          <w:snapToGrid w:val="0"/>
        </w:rPr>
        <w:t>.</w:t>
      </w:r>
      <w:r>
        <w:rPr>
          <w:snapToGrid w:val="0"/>
        </w:rPr>
        <w:tab/>
        <w:t>Exemption from fees</w:t>
      </w:r>
      <w:r>
        <w:tab/>
      </w:r>
      <w:r>
        <w:fldChar w:fldCharType="begin"/>
      </w:r>
      <w:r>
        <w:instrText xml:space="preserve"> PAGEREF _Toc311537075 \h </w:instrText>
      </w:r>
      <w:r>
        <w:fldChar w:fldCharType="separate"/>
      </w:r>
      <w:r>
        <w:t>8</w:t>
      </w:r>
      <w:r>
        <w:fldChar w:fldCharType="end"/>
      </w:r>
    </w:p>
    <w:p>
      <w:pPr>
        <w:pStyle w:val="TOC8"/>
        <w:rPr>
          <w:sz w:val="24"/>
          <w:szCs w:val="24"/>
          <w:lang w:val="en-US"/>
        </w:rPr>
      </w:pPr>
      <w:r>
        <w:t>11</w:t>
      </w:r>
      <w:r>
        <w:rPr>
          <w:snapToGrid w:val="0"/>
        </w:rPr>
        <w:t>.</w:t>
      </w:r>
      <w:r>
        <w:rPr>
          <w:snapToGrid w:val="0"/>
        </w:rPr>
        <w:tab/>
        <w:t>Methods of payment</w:t>
      </w:r>
      <w:r>
        <w:tab/>
      </w:r>
      <w:r>
        <w:fldChar w:fldCharType="begin"/>
      </w:r>
      <w:r>
        <w:instrText xml:space="preserve"> PAGEREF _Toc311537076 \h </w:instrText>
      </w:r>
      <w:r>
        <w:fldChar w:fldCharType="separate"/>
      </w:r>
      <w:r>
        <w:t>8</w:t>
      </w:r>
      <w:r>
        <w:fldChar w:fldCharType="end"/>
      </w:r>
    </w:p>
    <w:p>
      <w:pPr>
        <w:pStyle w:val="TOC8"/>
        <w:rPr>
          <w:sz w:val="24"/>
          <w:szCs w:val="24"/>
          <w:lang w:val="en-US"/>
        </w:rPr>
      </w:pPr>
      <w:r>
        <w:t>12</w:t>
      </w:r>
      <w:r>
        <w:rPr>
          <w:snapToGrid w:val="0"/>
        </w:rPr>
        <w:t>.</w:t>
      </w:r>
      <w:r>
        <w:rPr>
          <w:snapToGrid w:val="0"/>
        </w:rPr>
        <w:tab/>
        <w:t>Forms</w:t>
      </w:r>
      <w:r>
        <w:tab/>
      </w:r>
      <w:r>
        <w:fldChar w:fldCharType="begin"/>
      </w:r>
      <w:r>
        <w:instrText xml:space="preserve"> PAGEREF _Toc311537077 \h </w:instrText>
      </w:r>
      <w:r>
        <w:fldChar w:fldCharType="separate"/>
      </w:r>
      <w:r>
        <w:t>9</w:t>
      </w:r>
      <w:r>
        <w:fldChar w:fldCharType="end"/>
      </w:r>
    </w:p>
    <w:p>
      <w:pPr>
        <w:pStyle w:val="TOC2"/>
        <w:tabs>
          <w:tab w:val="right" w:leader="dot" w:pos="7086"/>
        </w:tabs>
        <w:rPr>
          <w:b w:val="0"/>
          <w:sz w:val="24"/>
          <w:szCs w:val="24"/>
          <w:lang w:val="en-US"/>
        </w:rPr>
      </w:pPr>
      <w:r>
        <w:t>Schedule 1 — Enactments to which Part 3 of the Act applies</w:t>
      </w:r>
    </w:p>
    <w:p>
      <w:pPr>
        <w:pStyle w:val="TOC2"/>
        <w:tabs>
          <w:tab w:val="right" w:leader="dot" w:pos="7086"/>
        </w:tabs>
        <w:rPr>
          <w:b w:val="0"/>
          <w:sz w:val="24"/>
          <w:szCs w:val="24"/>
          <w:lang w:val="en-US"/>
        </w:rPr>
      </w:pPr>
      <w:r>
        <w:t>Schedule 2 — Enforcement fees</w:t>
      </w:r>
    </w:p>
    <w:p>
      <w:pPr>
        <w:pStyle w:val="TOC4"/>
        <w:tabs>
          <w:tab w:val="right" w:leader="dot" w:pos="7086"/>
        </w:tabs>
        <w:rPr>
          <w:b w:val="0"/>
          <w:sz w:val="24"/>
          <w:szCs w:val="24"/>
          <w:lang w:val="en-US"/>
        </w:rPr>
      </w:pPr>
      <w:r>
        <w:t>Division 1</w:t>
      </w:r>
      <w:r>
        <w:rPr>
          <w:b w:val="0"/>
        </w:rPr>
        <w:t> — </w:t>
      </w:r>
      <w:r>
        <w:t>Enforcement fees for Part 3 of the Act</w:t>
      </w:r>
    </w:p>
    <w:p>
      <w:pPr>
        <w:pStyle w:val="TOC4"/>
        <w:tabs>
          <w:tab w:val="right" w:leader="dot" w:pos="7086"/>
        </w:tabs>
        <w:rPr>
          <w:b w:val="0"/>
          <w:sz w:val="24"/>
          <w:szCs w:val="24"/>
          <w:lang w:val="en-US"/>
        </w:rPr>
      </w:pPr>
      <w:r>
        <w:t>Division 2</w:t>
      </w:r>
      <w:r>
        <w:rPr>
          <w:b w:val="0"/>
        </w:rPr>
        <w:t> — </w:t>
      </w:r>
      <w:r>
        <w:t>Enforcement fees for Part 4 of the Act</w:t>
      </w:r>
    </w:p>
    <w:p>
      <w:pPr>
        <w:pStyle w:val="TOC4"/>
        <w:tabs>
          <w:tab w:val="right" w:leader="dot" w:pos="7086"/>
        </w:tabs>
        <w:rPr>
          <w:b w:val="0"/>
          <w:sz w:val="24"/>
          <w:szCs w:val="24"/>
          <w:lang w:val="en-US"/>
        </w:rPr>
      </w:pPr>
      <w:r>
        <w:t>Division 3</w:t>
      </w:r>
      <w:r>
        <w:rPr>
          <w:b w:val="0"/>
        </w:rPr>
        <w:t> — </w:t>
      </w:r>
      <w:r>
        <w:t>Enforcement fees for Part 7 of the Act</w:t>
      </w:r>
    </w:p>
    <w:p>
      <w:pPr>
        <w:pStyle w:val="TOC2"/>
        <w:tabs>
          <w:tab w:val="right" w:leader="dot" w:pos="7086"/>
        </w:tabs>
        <w:rPr>
          <w:b w:val="0"/>
          <w:sz w:val="24"/>
          <w:szCs w:val="24"/>
          <w:lang w:val="en-US"/>
        </w:rPr>
      </w:pPr>
      <w:r>
        <w:t>Schedule 3 —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_Toc311537085 \h </w:instrText>
      </w:r>
      <w:r>
        <w:fldChar w:fldCharType="separate"/>
      </w:r>
      <w:r>
        <w:t>28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spacing w:before="120" w:after="360"/>
        <w:rPr>
          <w:snapToGrid w:val="0"/>
        </w:rPr>
      </w:pPr>
      <w:r>
        <w:rPr>
          <w:snapToGrid w:val="0"/>
        </w:rPr>
        <w:t>Fines, Penalties and Infringement Notices Enforcement Act 1994</w:t>
      </w:r>
    </w:p>
    <w:p>
      <w:pPr>
        <w:pStyle w:val="NameofActReg"/>
        <w:spacing w:after="720"/>
      </w:pPr>
      <w:r>
        <w:t>Fines, Penalties and Infringement Notices Enforcement Regulations 1994</w:t>
      </w:r>
    </w:p>
    <w:p>
      <w:pPr>
        <w:pStyle w:val="Heading5"/>
        <w:rPr>
          <w:snapToGrid w:val="0"/>
        </w:rPr>
      </w:pPr>
      <w:bookmarkStart w:id="1" w:name="_Toc446133948"/>
      <w:bookmarkStart w:id="2" w:name="_Toc18144339"/>
      <w:bookmarkStart w:id="3" w:name="_Toc61253998"/>
      <w:bookmarkStart w:id="4" w:name="_Toc113952834"/>
      <w:bookmarkStart w:id="5" w:name="_Toc164759511"/>
      <w:bookmarkStart w:id="6" w:name="_Toc311537058"/>
      <w:r>
        <w:rPr>
          <w:rStyle w:val="CharSectno"/>
        </w:rPr>
        <w:t>1</w:t>
      </w:r>
      <w:r>
        <w:rPr>
          <w:snapToGrid w:val="0"/>
        </w:rPr>
        <w:t>.</w:t>
      </w:r>
      <w:r>
        <w:rPr>
          <w:snapToGrid w:val="0"/>
        </w:rPr>
        <w:tab/>
        <w:t>Citation</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7" w:name="_Toc446133949"/>
      <w:bookmarkStart w:id="8" w:name="_Toc18144340"/>
      <w:bookmarkStart w:id="9" w:name="_Toc61253999"/>
      <w:bookmarkStart w:id="10" w:name="_Toc113952835"/>
      <w:bookmarkStart w:id="11" w:name="_Toc164759512"/>
      <w:bookmarkStart w:id="12" w:name="_Toc311537059"/>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13" w:name="_Toc446133950"/>
      <w:bookmarkStart w:id="14" w:name="_Toc18144341"/>
      <w:bookmarkStart w:id="15" w:name="_Toc61254000"/>
      <w:bookmarkStart w:id="16" w:name="_Toc113952836"/>
      <w:bookmarkStart w:id="17" w:name="_Toc164759513"/>
      <w:bookmarkStart w:id="18" w:name="_Toc311537060"/>
      <w:r>
        <w:rPr>
          <w:rStyle w:val="CharSectno"/>
        </w:rPr>
        <w:t>3</w:t>
      </w:r>
      <w:r>
        <w:rPr>
          <w:snapToGrid w:val="0"/>
        </w:rPr>
        <w:t>.</w:t>
      </w:r>
      <w:r>
        <w:rPr>
          <w:snapToGrid w:val="0"/>
        </w:rPr>
        <w:tab/>
        <w:t>Enactments to which Part 3 applies (s. 12)</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9" w:name="_Toc18144342"/>
      <w:bookmarkStart w:id="20" w:name="_Toc61254001"/>
      <w:bookmarkStart w:id="21" w:name="_Toc113952837"/>
      <w:bookmarkStart w:id="22" w:name="_Toc164759514"/>
      <w:bookmarkStart w:id="23" w:name="_Toc311537061"/>
      <w:bookmarkStart w:id="24" w:name="_Toc446133951"/>
      <w:r>
        <w:rPr>
          <w:rStyle w:val="CharSectno"/>
        </w:rPr>
        <w:t>3A</w:t>
      </w:r>
      <w:r>
        <w:t>.</w:t>
      </w:r>
      <w:r>
        <w:tab/>
        <w:t>Form of request (s. 27A)</w:t>
      </w:r>
      <w:bookmarkEnd w:id="19"/>
      <w:bookmarkEnd w:id="20"/>
      <w:bookmarkEnd w:id="21"/>
      <w:bookmarkEnd w:id="22"/>
      <w:bookmarkEnd w:id="23"/>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25" w:name="_Toc18144343"/>
      <w:bookmarkStart w:id="26" w:name="_Toc61254002"/>
      <w:bookmarkStart w:id="27" w:name="_Toc113952838"/>
      <w:bookmarkStart w:id="28" w:name="_Toc164759515"/>
      <w:bookmarkStart w:id="29" w:name="_Toc311537062"/>
      <w:r>
        <w:rPr>
          <w:rStyle w:val="CharSectno"/>
        </w:rPr>
        <w:t>4</w:t>
      </w:r>
      <w:r>
        <w:rPr>
          <w:snapToGrid w:val="0"/>
        </w:rPr>
        <w:t>.</w:t>
      </w:r>
      <w:r>
        <w:rPr>
          <w:snapToGrid w:val="0"/>
        </w:rPr>
        <w:tab/>
        <w:t>Matters included in the definition of fine for Part 4 (s. 28)</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Injury Management Act 1981</w:t>
            </w:r>
            <w:r>
              <w:rPr>
                <w:i/>
                <w:snapToGrid w:val="0"/>
              </w:rPr>
              <w:t> </w:t>
            </w:r>
            <w:r>
              <w:rPr>
                <w:snapToGrid w:val="0"/>
                <w:vertAlign w:val="superscript"/>
              </w:rPr>
              <w:t>2</w:t>
            </w:r>
            <w:r>
              <w:rPr>
                <w:spacing w:val="-1"/>
              </w:rPr>
              <w:t>, s. 170(2)</w:t>
            </w:r>
          </w:p>
        </w:tc>
        <w:tc>
          <w:tcPr>
            <w:tcW w:w="3261" w:type="dxa"/>
          </w:tcPr>
          <w:p>
            <w:pPr>
              <w:pStyle w:val="Table"/>
              <w:rPr>
                <w:spacing w:val="-1"/>
              </w:rPr>
            </w:pPr>
            <w:r>
              <w:rPr>
                <w:spacing w:val="-1"/>
              </w:rPr>
              <w:t>An order that an employer pay an amount to the General Fund.</w:t>
            </w:r>
          </w:p>
        </w:tc>
      </w:tr>
    </w:tbl>
    <w:p>
      <w:pPr>
        <w:pStyle w:val="Heading5"/>
        <w:spacing w:before="260"/>
        <w:rPr>
          <w:snapToGrid w:val="0"/>
        </w:rPr>
      </w:pPr>
      <w:bookmarkStart w:id="30" w:name="_Toc446133952"/>
      <w:bookmarkStart w:id="31" w:name="_Toc18144344"/>
      <w:bookmarkStart w:id="32" w:name="_Toc61254003"/>
      <w:bookmarkStart w:id="33" w:name="_Toc113952839"/>
      <w:bookmarkStart w:id="34" w:name="_Toc164759516"/>
      <w:bookmarkStart w:id="35" w:name="_Toc311537063"/>
      <w:r>
        <w:rPr>
          <w:rStyle w:val="CharSectno"/>
        </w:rPr>
        <w:t>5</w:t>
      </w:r>
      <w:r>
        <w:rPr>
          <w:snapToGrid w:val="0"/>
        </w:rPr>
        <w:t>.</w:t>
      </w:r>
      <w:r>
        <w:rPr>
          <w:snapToGrid w:val="0"/>
        </w:rPr>
        <w:tab/>
        <w:t>Fines to which sections 31 to 37 apply (s. 31)</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For the purposes of section 31(b) this enactment is prescribed:</w:t>
      </w:r>
    </w:p>
    <w:p>
      <w:pPr>
        <w:pStyle w:val="Subsection"/>
        <w:rPr>
          <w:snapToGrid w:val="0"/>
        </w:rPr>
      </w:pPr>
      <w:r>
        <w:rPr>
          <w:snapToGrid w:val="0"/>
        </w:rPr>
        <w:tab/>
      </w:r>
      <w:r>
        <w:rPr>
          <w:snapToGrid w:val="0"/>
        </w:rPr>
        <w:tab/>
      </w:r>
      <w:r>
        <w:rPr>
          <w:i/>
          <w:snapToGrid w:val="0"/>
        </w:rPr>
        <w:t>Workers’ Compensation and Injury Management Act 1981 </w:t>
      </w:r>
      <w:r>
        <w:rPr>
          <w:snapToGrid w:val="0"/>
          <w:vertAlign w:val="superscript"/>
        </w:rPr>
        <w:t>2</w:t>
      </w:r>
      <w:r>
        <w:rPr>
          <w:snapToGrid w:val="0"/>
        </w:rPr>
        <w:t>.</w:t>
      </w:r>
    </w:p>
    <w:p>
      <w:pPr>
        <w:pStyle w:val="Heading5"/>
        <w:spacing w:before="240"/>
        <w:rPr>
          <w:snapToGrid w:val="0"/>
        </w:rPr>
      </w:pPr>
      <w:bookmarkStart w:id="36" w:name="_Toc446133953"/>
      <w:bookmarkStart w:id="37" w:name="_Toc18144345"/>
      <w:bookmarkStart w:id="38" w:name="_Toc61254004"/>
      <w:bookmarkStart w:id="39" w:name="_Toc113952840"/>
      <w:bookmarkStart w:id="40" w:name="_Toc164759517"/>
      <w:bookmarkStart w:id="41" w:name="_Toc311537064"/>
      <w:r>
        <w:rPr>
          <w:rStyle w:val="CharSectno"/>
        </w:rPr>
        <w:t>6</w:t>
      </w:r>
      <w:r>
        <w:rPr>
          <w:snapToGrid w:val="0"/>
        </w:rPr>
        <w:t>.</w:t>
      </w:r>
      <w:r>
        <w:rPr>
          <w:snapToGrid w:val="0"/>
        </w:rPr>
        <w:tab/>
        <w:t>Applications for time to pay orders</w:t>
      </w:r>
      <w:bookmarkEnd w:id="36"/>
      <w:bookmarkEnd w:id="37"/>
      <w:bookmarkEnd w:id="38"/>
      <w:bookmarkEnd w:id="39"/>
      <w:bookmarkEnd w:id="40"/>
      <w:bookmarkEnd w:id="41"/>
      <w:r>
        <w:rPr>
          <w:snapToGrid w:val="0"/>
        </w:rPr>
        <w:t xml:space="preserve"> </w:t>
      </w:r>
    </w:p>
    <w:p>
      <w:pPr>
        <w:pStyle w:val="Subsection"/>
        <w:spacing w:before="180"/>
        <w:rPr>
          <w:snapToGrid w:val="0"/>
        </w:rPr>
      </w:pPr>
      <w:r>
        <w:rPr>
          <w:snapToGrid w:val="0"/>
        </w:rPr>
        <w:tab/>
        <w:t>(1)</w:t>
      </w:r>
      <w:r>
        <w:rPr>
          <w:snapToGrid w:val="0"/>
        </w:rPr>
        <w:tab/>
        <w:t>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a court officer may require the applicant to produce documentary evidence to verify the applicant’s income or expenditure.</w:t>
      </w:r>
    </w:p>
    <w:p>
      <w:pPr>
        <w:pStyle w:val="Subsection"/>
        <w:spacing w:before="180"/>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 xml:space="preserve">[Regulation 6 amended in Gazette 5 Jul 1996 p. 3226.] </w:t>
      </w:r>
    </w:p>
    <w:p>
      <w:pPr>
        <w:pStyle w:val="Heading5"/>
        <w:rPr>
          <w:snapToGrid w:val="0"/>
        </w:rPr>
      </w:pPr>
      <w:bookmarkStart w:id="42" w:name="_Toc446133954"/>
      <w:bookmarkStart w:id="43" w:name="_Toc18144346"/>
      <w:bookmarkStart w:id="44" w:name="_Toc61254005"/>
      <w:bookmarkStart w:id="45" w:name="_Toc113952841"/>
      <w:bookmarkStart w:id="46" w:name="_Toc164759518"/>
      <w:bookmarkStart w:id="47" w:name="_Toc311537065"/>
      <w:r>
        <w:rPr>
          <w:rStyle w:val="CharSectno"/>
        </w:rPr>
        <w:t>6A</w:t>
      </w:r>
      <w:r>
        <w:rPr>
          <w:snapToGrid w:val="0"/>
        </w:rPr>
        <w:t>.</w:t>
      </w:r>
      <w:r>
        <w:rPr>
          <w:snapToGrid w:val="0"/>
        </w:rPr>
        <w:tab/>
        <w:t>Calculation of required hours for WDO (s. 49)</w:t>
      </w:r>
      <w:bookmarkEnd w:id="42"/>
      <w:bookmarkEnd w:id="43"/>
      <w:bookmarkEnd w:id="44"/>
      <w:bookmarkEnd w:id="45"/>
      <w:bookmarkEnd w:id="46"/>
      <w:bookmarkEnd w:id="47"/>
      <w:r>
        <w:rPr>
          <w:snapToGrid w:val="0"/>
        </w:rPr>
        <w:t xml:space="preserve"> </w:t>
      </w:r>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 xml:space="preserve">[Regulation 6A inserted in Gazette 30 Jun 1995 p. 2637; amended in Gazette 12 Mar 1999 p. 1163; 9 Sep 2005 p. 4156.] </w:t>
      </w:r>
    </w:p>
    <w:p>
      <w:pPr>
        <w:pStyle w:val="Heading5"/>
        <w:rPr>
          <w:snapToGrid w:val="0"/>
        </w:rPr>
      </w:pPr>
      <w:bookmarkStart w:id="48" w:name="_Toc446133955"/>
      <w:bookmarkStart w:id="49" w:name="_Toc18144347"/>
      <w:bookmarkStart w:id="50" w:name="_Toc61254006"/>
      <w:bookmarkStart w:id="51" w:name="_Toc113952842"/>
      <w:bookmarkStart w:id="52" w:name="_Toc164759519"/>
      <w:bookmarkStart w:id="53" w:name="_Toc311537066"/>
      <w:r>
        <w:rPr>
          <w:rStyle w:val="CharSectno"/>
        </w:rPr>
        <w:t>6B</w:t>
      </w:r>
      <w:r>
        <w:rPr>
          <w:snapToGrid w:val="0"/>
        </w:rPr>
        <w:t>.</w:t>
      </w:r>
      <w:r>
        <w:rPr>
          <w:snapToGrid w:val="0"/>
        </w:rPr>
        <w:tab/>
        <w:t>Reduction of WDO amount when work performed or hours when payment made (s. 51)</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 xml:space="preserve">[Regulation 6B inserted in Gazette 30 Jun 1995 p. 2637; amended in Gazette 12 Mar 1999 p. 1163; 9 Sep 2005 p. 4156.] </w:t>
      </w:r>
    </w:p>
    <w:p>
      <w:pPr>
        <w:pStyle w:val="Heading5"/>
      </w:pPr>
      <w:bookmarkStart w:id="54" w:name="_Toc311537067"/>
      <w:bookmarkStart w:id="55" w:name="_Toc18144348"/>
      <w:bookmarkStart w:id="56" w:name="_Toc61254007"/>
      <w:bookmarkStart w:id="57" w:name="_Toc113952843"/>
      <w:bookmarkStart w:id="58" w:name="_Toc164759520"/>
      <w:bookmarkStart w:id="59" w:name="_Toc446133956"/>
      <w:r>
        <w:rPr>
          <w:rStyle w:val="CharSectno"/>
        </w:rPr>
        <w:t>6BAA</w:t>
      </w:r>
      <w:r>
        <w:t>.</w:t>
      </w:r>
      <w:r>
        <w:tab/>
      </w:r>
      <w:r>
        <w:rPr>
          <w:bCs/>
        </w:rPr>
        <w:t>Prescribed amount for a warrant of commitment (s. 53(3))</w:t>
      </w:r>
      <w:bookmarkEnd w:id="54"/>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60" w:name="_Toc311537068"/>
      <w:r>
        <w:rPr>
          <w:rStyle w:val="CharSectno"/>
        </w:rPr>
        <w:t>6BA</w:t>
      </w:r>
      <w:r>
        <w:t>.</w:t>
      </w:r>
      <w:r>
        <w:tab/>
        <w:t>Form of request (s. 55A)</w:t>
      </w:r>
      <w:bookmarkEnd w:id="55"/>
      <w:bookmarkEnd w:id="56"/>
      <w:bookmarkEnd w:id="57"/>
      <w:bookmarkEnd w:id="58"/>
      <w:bookmarkEnd w:id="60"/>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spacing w:before="240"/>
      </w:pPr>
      <w:bookmarkStart w:id="61" w:name="_Toc18144349"/>
      <w:bookmarkStart w:id="62" w:name="_Toc61254008"/>
      <w:bookmarkStart w:id="63" w:name="_Toc113952844"/>
      <w:bookmarkStart w:id="64" w:name="_Toc164759521"/>
      <w:bookmarkStart w:id="65" w:name="_Toc311537069"/>
      <w:r>
        <w:rPr>
          <w:rStyle w:val="CharSectno"/>
        </w:rPr>
        <w:t>6C</w:t>
      </w:r>
      <w:r>
        <w:t>.</w:t>
      </w:r>
      <w:r>
        <w:tab/>
        <w:t>Reduction of liability to pay fine where WDO taken to be cancelled (</w:t>
      </w:r>
      <w:r>
        <w:rPr>
          <w:i/>
        </w:rPr>
        <w:t xml:space="preserve">Sentencing Act 1995 </w:t>
      </w:r>
      <w:r>
        <w:t>s. 57B(7))</w:t>
      </w:r>
      <w:bookmarkEnd w:id="61"/>
      <w:bookmarkEnd w:id="62"/>
      <w:bookmarkEnd w:id="63"/>
      <w:bookmarkEnd w:id="64"/>
      <w:bookmarkEnd w:id="65"/>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66" w:name="_Toc18144350"/>
      <w:bookmarkStart w:id="67" w:name="_Toc61254009"/>
      <w:bookmarkStart w:id="68" w:name="_Toc113952845"/>
      <w:bookmarkStart w:id="69" w:name="_Toc164759522"/>
      <w:bookmarkStart w:id="70" w:name="_Toc311537070"/>
      <w:r>
        <w:rPr>
          <w:rStyle w:val="CharSectno"/>
        </w:rPr>
        <w:t>7</w:t>
      </w:r>
      <w:r>
        <w:rPr>
          <w:snapToGrid w:val="0"/>
        </w:rPr>
        <w:t>.</w:t>
      </w:r>
      <w:r>
        <w:rPr>
          <w:snapToGrid w:val="0"/>
        </w:rPr>
        <w:tab/>
        <w:t>Reciprocating States and courts for Part 6 (s. 60)</w:t>
      </w:r>
      <w:bookmarkEnd w:id="59"/>
      <w:bookmarkEnd w:id="66"/>
      <w:bookmarkEnd w:id="67"/>
      <w:bookmarkEnd w:id="68"/>
      <w:bookmarkEnd w:id="69"/>
      <w:bookmarkEnd w:id="70"/>
      <w:r>
        <w:rPr>
          <w:snapToGrid w:val="0"/>
        </w:rPr>
        <w:t xml:space="preserve"> </w:t>
      </w:r>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Australian Capital Territory</w:t>
                </w:r>
              </w:smartTag>
            </w:smartTag>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New South Wales</w:t>
                </w:r>
              </w:smartTag>
            </w:smartTag>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Northern Territory</w:t>
                </w:r>
              </w:smartTag>
            </w:smartTag>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Queensland</w:t>
                </w:r>
              </w:smartTag>
            </w:smartTag>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South Australia</w:t>
                </w:r>
              </w:smartTag>
            </w:smartTag>
          </w:p>
        </w:tc>
        <w:tc>
          <w:tcPr>
            <w:tcW w:w="3544" w:type="dxa"/>
          </w:tcPr>
          <w:p>
            <w:pPr>
              <w:pStyle w:val="Table"/>
              <w:rPr>
                <w:spacing w:val="-1"/>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Tasmania</w:t>
                </w:r>
              </w:smartTag>
            </w:smartTag>
          </w:p>
        </w:tc>
        <w:tc>
          <w:tcPr>
            <w:tcW w:w="3544" w:type="dxa"/>
          </w:tcPr>
          <w:p>
            <w:pPr>
              <w:pStyle w:val="Table"/>
              <w:rPr>
                <w:spacing w:val="-4"/>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Victoria</w:t>
                </w:r>
              </w:smartTag>
            </w:smartTag>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71" w:name="_Toc164759523"/>
      <w:bookmarkStart w:id="72" w:name="_Toc311537071"/>
      <w:bookmarkStart w:id="73" w:name="_Toc446133958"/>
      <w:bookmarkStart w:id="74" w:name="_Toc18144352"/>
      <w:bookmarkStart w:id="75" w:name="_Toc61254011"/>
      <w:bookmarkStart w:id="76" w:name="_Toc113952847"/>
      <w:r>
        <w:rPr>
          <w:rStyle w:val="CharSectno"/>
        </w:rPr>
        <w:t>8</w:t>
      </w:r>
      <w:r>
        <w:t>.</w:t>
      </w:r>
      <w:r>
        <w:tab/>
        <w:t>Property that cannot be seized and sold under a warrant</w:t>
      </w:r>
      <w:bookmarkEnd w:id="71"/>
      <w:bookmarkEnd w:id="72"/>
    </w:p>
    <w:p>
      <w:pPr>
        <w:pStyle w:val="Subsection"/>
      </w:pPr>
      <w:r>
        <w:tab/>
        <w:t>(1)</w:t>
      </w:r>
      <w:r>
        <w:tab/>
        <w:t xml:space="preserve">For the purposes of the Act section 75(b), the following wearing apparel and personal items are prescribed — </w:t>
      </w:r>
    </w:p>
    <w:p>
      <w:pPr>
        <w:pStyle w:val="Indenta"/>
      </w:pPr>
      <w:r>
        <w:tab/>
        <w:t>(a)</w:t>
      </w:r>
      <w:r>
        <w:tab/>
        <w:t>wearing apparel of the offender to the value of $1 250;</w:t>
      </w:r>
    </w:p>
    <w:p>
      <w:pPr>
        <w:pStyle w:val="Indenta"/>
      </w:pPr>
      <w:r>
        <w:tab/>
        <w:t>(b)</w:t>
      </w:r>
      <w:r>
        <w:tab/>
        <w:t>wearing apparel of a dependant of the offender to the value of $1 250;</w:t>
      </w:r>
    </w:p>
    <w:p>
      <w:pPr>
        <w:pStyle w:val="Indenta"/>
      </w:pPr>
      <w:r>
        <w:tab/>
        <w:t>(c)</w:t>
      </w:r>
      <w:r>
        <w:tab/>
        <w:t>family diaries, photographs and portraits;</w:t>
      </w:r>
    </w:p>
    <w:p>
      <w:pPr>
        <w:pStyle w:val="Indenta"/>
      </w:pPr>
      <w:r>
        <w:tab/>
        <w:t>(d)</w:t>
      </w:r>
      <w:r>
        <w:tab/>
        <w:t>medical and dental aids and equipment.</w:t>
      </w:r>
    </w:p>
    <w:p>
      <w:pPr>
        <w:pStyle w:val="Subsection"/>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offender to the value of $500;</w:t>
      </w:r>
    </w:p>
    <w:p>
      <w:pPr>
        <w:pStyle w:val="Indenta"/>
      </w:pPr>
      <w:r>
        <w:tab/>
        <w:t>(c)</w:t>
      </w:r>
      <w:r>
        <w:tab/>
        <w:t>bedroom furniture and bedding of a dependant of the offender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spacing w:before="80"/>
        <w:ind w:left="890" w:hanging="890"/>
      </w:pPr>
      <w:r>
        <w:tab/>
        <w:t>[Regulation 8 inserted in Gazette 30 Dec 2005 p. 6876</w:t>
      </w:r>
      <w:r>
        <w:noBreakHyphen/>
        <w:t>7.]</w:t>
      </w:r>
    </w:p>
    <w:p>
      <w:pPr>
        <w:pStyle w:val="Heading5"/>
        <w:rPr>
          <w:snapToGrid w:val="0"/>
        </w:rPr>
      </w:pPr>
      <w:bookmarkStart w:id="77" w:name="_Toc164759524"/>
      <w:bookmarkStart w:id="78" w:name="_Toc311537072"/>
      <w:r>
        <w:rPr>
          <w:rStyle w:val="CharSectno"/>
        </w:rPr>
        <w:t>8A</w:t>
      </w:r>
      <w:r>
        <w:rPr>
          <w:snapToGrid w:val="0"/>
        </w:rPr>
        <w:t>.</w:t>
      </w:r>
      <w:r>
        <w:rPr>
          <w:snapToGrid w:val="0"/>
        </w:rPr>
        <w:tab/>
        <w:t>Recommencing enforcement after successful application under section 101 or 101A</w:t>
      </w:r>
      <w:bookmarkEnd w:id="73"/>
      <w:bookmarkEnd w:id="74"/>
      <w:bookmarkEnd w:id="75"/>
      <w:bookmarkEnd w:id="76"/>
      <w:bookmarkEnd w:id="77"/>
      <w:bookmarkEnd w:id="78"/>
      <w:r>
        <w:rPr>
          <w:snapToGrid w:val="0"/>
        </w:rPr>
        <w:t xml:space="preserve"> </w:t>
      </w:r>
    </w:p>
    <w:p>
      <w:pPr>
        <w:pStyle w:val="Subsection"/>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 xml:space="preserve">[Regulation 8A inserted in Gazette 5 Jul 1996 p. 3227; amended in Gazette 13 May 2005 p. 2079.] </w:t>
      </w:r>
    </w:p>
    <w:p>
      <w:pPr>
        <w:pStyle w:val="Heading5"/>
        <w:rPr>
          <w:snapToGrid w:val="0"/>
        </w:rPr>
      </w:pPr>
      <w:bookmarkStart w:id="79" w:name="_Toc446133959"/>
      <w:bookmarkStart w:id="80" w:name="_Toc18144353"/>
      <w:bookmarkStart w:id="81" w:name="_Toc61254012"/>
      <w:bookmarkStart w:id="82" w:name="_Toc113952848"/>
      <w:bookmarkStart w:id="83" w:name="_Toc164759525"/>
      <w:bookmarkStart w:id="84" w:name="_Toc311537073"/>
      <w:r>
        <w:rPr>
          <w:rStyle w:val="CharSectno"/>
        </w:rPr>
        <w:t>8B</w:t>
      </w:r>
      <w:r>
        <w:rPr>
          <w:snapToGrid w:val="0"/>
        </w:rPr>
        <w:t>.</w:t>
      </w:r>
      <w:r>
        <w:rPr>
          <w:snapToGrid w:val="0"/>
        </w:rPr>
        <w:tab/>
        <w:t>Recommencing enforcement after an appeal (s. 101B)</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This regulation applies if —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 xml:space="preserve">[Regulation 8B inserted in Gazette 5 Jul 1996 p. 3227.] </w:t>
      </w:r>
    </w:p>
    <w:p>
      <w:pPr>
        <w:pStyle w:val="Heading5"/>
      </w:pPr>
      <w:bookmarkStart w:id="85" w:name="_Toc113952849"/>
      <w:bookmarkStart w:id="86" w:name="_Toc164759526"/>
      <w:bookmarkStart w:id="87" w:name="_Toc311537074"/>
      <w:bookmarkStart w:id="88" w:name="_Toc446133961"/>
      <w:bookmarkStart w:id="89" w:name="_Toc18144355"/>
      <w:bookmarkStart w:id="90" w:name="_Toc61254014"/>
      <w:r>
        <w:rPr>
          <w:rStyle w:val="CharSectno"/>
        </w:rPr>
        <w:t>9</w:t>
      </w:r>
      <w:r>
        <w:t>.</w:t>
      </w:r>
      <w:r>
        <w:tab/>
        <w:t>Enforcement fees for Parts 3, 4 and 7</w:t>
      </w:r>
      <w:bookmarkEnd w:id="85"/>
      <w:bookmarkEnd w:id="86"/>
      <w:bookmarkEnd w:id="87"/>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rPr>
          <w:snapToGrid w:val="0"/>
        </w:rPr>
      </w:pPr>
      <w:bookmarkStart w:id="91" w:name="_Toc113952850"/>
      <w:bookmarkStart w:id="92" w:name="_Toc164759527"/>
      <w:bookmarkStart w:id="93" w:name="_Toc311537075"/>
      <w:r>
        <w:rPr>
          <w:rStyle w:val="CharSectno"/>
        </w:rPr>
        <w:t>10</w:t>
      </w:r>
      <w:r>
        <w:rPr>
          <w:snapToGrid w:val="0"/>
        </w:rPr>
        <w:t>.</w:t>
      </w:r>
      <w:r>
        <w:rPr>
          <w:snapToGrid w:val="0"/>
        </w:rPr>
        <w:tab/>
        <w:t>Exemption from fees</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These prosecuting authorities are exempted from payment of the fee for registering an infringement notice under Part 3 of the Act:</w:t>
      </w:r>
    </w:p>
    <w:p>
      <w:pPr>
        <w:pStyle w:val="Indenta"/>
        <w:rPr>
          <w:snapToGrid w:val="0"/>
        </w:rPr>
      </w:pPr>
      <w:r>
        <w:rPr>
          <w:snapToGrid w:val="0"/>
        </w:rPr>
        <w:tab/>
      </w:r>
      <w:r>
        <w:rPr>
          <w:snapToGrid w:val="0"/>
        </w:rPr>
        <w:tab/>
        <w:t>Commissioner of Police</w:t>
      </w:r>
    </w:p>
    <w:p>
      <w:pPr>
        <w:pStyle w:val="Indenta"/>
        <w:rPr>
          <w:snapToGrid w:val="0"/>
          <w:vertAlign w:val="superscript"/>
        </w:rPr>
      </w:pPr>
      <w:r>
        <w:rPr>
          <w:snapToGrid w:val="0"/>
        </w:rPr>
        <w:tab/>
      </w:r>
      <w:r>
        <w:rPr>
          <w:snapToGrid w:val="0"/>
        </w:rPr>
        <w:tab/>
        <w:t>Department of Agriculture </w:t>
      </w:r>
      <w:r>
        <w:rPr>
          <w:snapToGrid w:val="0"/>
          <w:vertAlign w:val="superscript"/>
        </w:rPr>
        <w:t>3</w:t>
      </w:r>
    </w:p>
    <w:p>
      <w:pPr>
        <w:pStyle w:val="Indenta"/>
        <w:rPr>
          <w:snapToGrid w:val="0"/>
        </w:rPr>
      </w:pPr>
      <w:r>
        <w:tab/>
      </w:r>
      <w:r>
        <w:tab/>
        <w:t>Department of the Attorney General</w:t>
      </w:r>
    </w:p>
    <w:p>
      <w:pPr>
        <w:pStyle w:val="Indenta"/>
      </w:pPr>
      <w:r>
        <w:tab/>
      </w:r>
      <w:r>
        <w:tab/>
        <w:t>Department of Conservation and Land Management</w:t>
      </w:r>
      <w:r>
        <w:rPr>
          <w:snapToGrid w:val="0"/>
        </w:rPr>
        <w:t> </w:t>
      </w:r>
      <w:r>
        <w:rPr>
          <w:snapToGrid w:val="0"/>
          <w:vertAlign w:val="superscript"/>
        </w:rPr>
        <w:t>4</w:t>
      </w:r>
    </w:p>
    <w:p>
      <w:pPr>
        <w:pStyle w:val="Indenta"/>
      </w:pPr>
      <w:r>
        <w:tab/>
      </w:r>
      <w:r>
        <w:tab/>
        <w:t>Department of Consumer and Employment Protection</w:t>
      </w:r>
    </w:p>
    <w:p>
      <w:pPr>
        <w:pStyle w:val="Indenta"/>
        <w:rPr>
          <w:snapToGrid w:val="0"/>
        </w:rPr>
      </w:pPr>
      <w:r>
        <w:rPr>
          <w:snapToGrid w:val="0"/>
        </w:rPr>
        <w:tab/>
      </w:r>
      <w:r>
        <w:rPr>
          <w:snapToGrid w:val="0"/>
        </w:rPr>
        <w:tab/>
        <w:t>Department of Environmental Protection </w:t>
      </w:r>
      <w:r>
        <w:rPr>
          <w:snapToGrid w:val="0"/>
          <w:vertAlign w:val="superscript"/>
        </w:rPr>
        <w:t>5</w:t>
      </w:r>
    </w:p>
    <w:p>
      <w:pPr>
        <w:pStyle w:val="Indenta"/>
      </w:pPr>
      <w:r>
        <w:tab/>
      </w:r>
      <w:r>
        <w:tab/>
        <w:t>Department for Planning and Infrastructure</w:t>
      </w:r>
    </w:p>
    <w:p>
      <w:pPr>
        <w:pStyle w:val="Indenta"/>
        <w:rPr>
          <w:snapToGrid w:val="0"/>
        </w:rPr>
      </w:pPr>
      <w:r>
        <w:rPr>
          <w:snapToGrid w:val="0"/>
        </w:rPr>
        <w:tab/>
      </w:r>
      <w:r>
        <w:rPr>
          <w:snapToGrid w:val="0"/>
        </w:rPr>
        <w:tab/>
        <w:t xml:space="preserve">Fisheries Department of WA </w:t>
      </w:r>
      <w:r>
        <w:rPr>
          <w:snapToGrid w:val="0"/>
          <w:vertAlign w:val="superscript"/>
        </w:rPr>
        <w:t>6</w:t>
      </w:r>
    </w:p>
    <w:p>
      <w:pPr>
        <w:pStyle w:val="Indenta"/>
        <w:ind w:left="1920" w:hanging="1920"/>
      </w:pPr>
      <w:r>
        <w:tab/>
      </w:r>
      <w:r>
        <w:tab/>
        <w:t xml:space="preserve">Gaming and Wagering Commission of </w:t>
      </w:r>
      <w:smartTag w:uri="urn:schemas-microsoft-com:office:smarttags" w:element="State">
        <w:smartTag w:uri="urn:schemas-microsoft-com:office:smarttags" w:element="place">
          <w:r>
            <w:t>Western Australia</w:t>
          </w:r>
        </w:smartTag>
      </w:smartTag>
    </w:p>
    <w:p>
      <w:pPr>
        <w:pStyle w:val="Indenta"/>
        <w:rPr>
          <w:snapToGrid w:val="0"/>
        </w:rPr>
      </w:pPr>
      <w:r>
        <w:rPr>
          <w:snapToGrid w:val="0"/>
        </w:rPr>
        <w:tab/>
      </w:r>
      <w:r>
        <w:rPr>
          <w:snapToGrid w:val="0"/>
        </w:rPr>
        <w:tab/>
        <w:t xml:space="preserve">Office of Racing, Gaming and Liquor </w:t>
      </w:r>
      <w:r>
        <w:rPr>
          <w:snapToGrid w:val="0"/>
          <w:vertAlign w:val="superscript"/>
        </w:rPr>
        <w:t>7</w:t>
      </w:r>
    </w:p>
    <w:p>
      <w:pPr>
        <w:pStyle w:val="Indenta"/>
        <w:rPr>
          <w:snapToGrid w:val="0"/>
        </w:rPr>
      </w:pPr>
      <w:r>
        <w:rPr>
          <w:snapToGrid w:val="0"/>
        </w:rPr>
        <w:tab/>
      </w:r>
      <w:r>
        <w:rPr>
          <w:snapToGrid w:val="0"/>
        </w:rPr>
        <w:tab/>
      </w:r>
      <w:smartTag w:uri="urn:schemas-microsoft-com:office:smarttags" w:element="City">
        <w:smartTag w:uri="urn:schemas-microsoft-com:office:smarttags" w:element="place">
          <w:r>
            <w:rPr>
              <w:snapToGrid w:val="0"/>
            </w:rPr>
            <w:t>Perth</w:t>
          </w:r>
        </w:smartTag>
      </w:smartTag>
      <w:r>
        <w:rPr>
          <w:snapToGrid w:val="0"/>
        </w:rPr>
        <w:t xml:space="preserve"> Market Authority</w:t>
      </w:r>
    </w:p>
    <w:p>
      <w:pPr>
        <w:pStyle w:val="Indenta"/>
      </w:pPr>
      <w:r>
        <w:tab/>
      </w:r>
      <w:r>
        <w:tab/>
        <w:t xml:space="preserve">Public Transport Authority of </w:t>
      </w:r>
      <w:smartTag w:uri="urn:schemas-microsoft-com:office:smarttags" w:element="State">
        <w:smartTag w:uri="urn:schemas-microsoft-com:office:smarttags" w:element="place">
          <w:r>
            <w:t>Western Australia</w:t>
          </w:r>
        </w:smartTag>
      </w:smartTag>
    </w:p>
    <w:p>
      <w:pPr>
        <w:pStyle w:val="Indenta"/>
        <w:rPr>
          <w:snapToGrid w:val="0"/>
        </w:rPr>
      </w:pPr>
      <w:r>
        <w:rPr>
          <w:snapToGrid w:val="0"/>
        </w:rPr>
        <w:tab/>
      </w:r>
      <w:r>
        <w:rPr>
          <w:snapToGrid w:val="0"/>
        </w:rPr>
        <w:tab/>
      </w: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Indenta"/>
        <w:rPr>
          <w:snapToGrid w:val="0"/>
        </w:rPr>
      </w:pPr>
      <w:r>
        <w:rPr>
          <w:snapToGrid w:val="0"/>
        </w:rPr>
        <w:tab/>
      </w:r>
      <w:r>
        <w:rPr>
          <w:snapToGrid w:val="0"/>
        </w:rPr>
        <w:tab/>
        <w:t>The Queen Elizabeth Medical Centre Trust</w:t>
      </w:r>
    </w:p>
    <w:p>
      <w:pPr>
        <w:pStyle w:val="Indenta"/>
        <w:rPr>
          <w:snapToGrid w:val="0"/>
          <w:vertAlign w:val="superscript"/>
        </w:rPr>
      </w:pPr>
      <w:r>
        <w:rPr>
          <w:snapToGrid w:val="0"/>
        </w:rPr>
        <w:tab/>
      </w:r>
      <w:r>
        <w:rPr>
          <w:snapToGrid w:val="0"/>
        </w:rPr>
        <w:tab/>
        <w:t xml:space="preserve">Water Authority of WA </w:t>
      </w:r>
      <w:r>
        <w:rPr>
          <w:snapToGrid w:val="0"/>
          <w:vertAlign w:val="superscript"/>
        </w:rPr>
        <w:t>8</w:t>
      </w:r>
    </w:p>
    <w:p>
      <w:pPr>
        <w:pStyle w:val="Indenta"/>
        <w:keepNext/>
        <w:rPr>
          <w:snapToGrid w:val="0"/>
        </w:rPr>
      </w:pPr>
      <w:r>
        <w:rPr>
          <w:snapToGrid w:val="0"/>
        </w:rPr>
        <w:tab/>
      </w:r>
      <w:r>
        <w:rPr>
          <w:snapToGrid w:val="0"/>
        </w:rPr>
        <w:tab/>
        <w:t>Western Australian Electoral Commission</w:t>
      </w:r>
    </w:p>
    <w:p>
      <w:pPr>
        <w:pStyle w:val="Indenta"/>
        <w:keepNext/>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 xml:space="preserve">7; 4 Jun 2004 p. 1933; 13 Dec 2011 p. 5281.] </w:t>
      </w:r>
    </w:p>
    <w:p>
      <w:pPr>
        <w:pStyle w:val="Heading5"/>
        <w:rPr>
          <w:snapToGrid w:val="0"/>
        </w:rPr>
      </w:pPr>
      <w:bookmarkStart w:id="94" w:name="_Toc446133962"/>
      <w:bookmarkStart w:id="95" w:name="_Toc18144356"/>
      <w:bookmarkStart w:id="96" w:name="_Toc61254015"/>
      <w:bookmarkStart w:id="97" w:name="_Toc113952851"/>
      <w:bookmarkStart w:id="98" w:name="_Toc164759528"/>
      <w:bookmarkStart w:id="99" w:name="_Toc311537076"/>
      <w:r>
        <w:rPr>
          <w:rStyle w:val="CharSectno"/>
        </w:rPr>
        <w:t>11</w:t>
      </w:r>
      <w:r>
        <w:rPr>
          <w:snapToGrid w:val="0"/>
        </w:rPr>
        <w:t>.</w:t>
      </w:r>
      <w:r>
        <w:rPr>
          <w:snapToGrid w:val="0"/>
        </w:rPr>
        <w:tab/>
        <w:t>Methods of payment</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100" w:name="_Toc446133963"/>
      <w:bookmarkStart w:id="101" w:name="_Toc18144357"/>
      <w:bookmarkStart w:id="102" w:name="_Toc61254016"/>
      <w:bookmarkStart w:id="103" w:name="_Toc113952852"/>
      <w:bookmarkStart w:id="104" w:name="_Toc164759529"/>
      <w:bookmarkStart w:id="105" w:name="_Toc311537077"/>
      <w:r>
        <w:rPr>
          <w:rStyle w:val="CharSectno"/>
        </w:rPr>
        <w:t>12</w:t>
      </w:r>
      <w:r>
        <w:rPr>
          <w:snapToGrid w:val="0"/>
        </w:rPr>
        <w:t>.</w:t>
      </w:r>
      <w:r>
        <w:rPr>
          <w:snapToGrid w:val="0"/>
        </w:rPr>
        <w:tab/>
        <w:t>Forms</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6" w:name="_Toc113952853"/>
      <w:bookmarkStart w:id="107" w:name="_Toc113952880"/>
      <w:bookmarkStart w:id="108" w:name="_Toc123622580"/>
      <w:bookmarkStart w:id="109" w:name="_Toc139079797"/>
      <w:bookmarkStart w:id="110" w:name="_Toc139275340"/>
      <w:bookmarkStart w:id="111" w:name="_Toc140636148"/>
      <w:bookmarkStart w:id="112" w:name="_Toc143320159"/>
      <w:bookmarkStart w:id="113" w:name="_Toc143481389"/>
      <w:bookmarkStart w:id="114" w:name="_Toc143481418"/>
      <w:bookmarkStart w:id="115" w:name="_Toc143481446"/>
      <w:bookmarkStart w:id="116" w:name="_Toc143499792"/>
      <w:bookmarkStart w:id="117" w:name="_Toc145304927"/>
      <w:bookmarkStart w:id="118" w:name="_Toc145305018"/>
      <w:bookmarkStart w:id="119" w:name="_Toc147656242"/>
      <w:bookmarkStart w:id="120" w:name="_Toc164759530"/>
      <w:bookmarkStart w:id="121" w:name="_Toc167172991"/>
      <w:bookmarkStart w:id="122" w:name="_Toc167173796"/>
      <w:bookmarkStart w:id="123" w:name="_Toc167177475"/>
      <w:bookmarkStart w:id="124" w:name="_Toc171051599"/>
      <w:bookmarkStart w:id="125" w:name="_Toc194380919"/>
      <w:bookmarkStart w:id="126" w:name="_Toc202852961"/>
      <w:bookmarkStart w:id="127" w:name="_Toc215391103"/>
      <w:bookmarkStart w:id="128" w:name="_Toc215894695"/>
      <w:bookmarkStart w:id="129" w:name="_Toc216237886"/>
      <w:bookmarkStart w:id="130" w:name="_Toc216255944"/>
      <w:bookmarkStart w:id="131" w:name="_Toc233538932"/>
      <w:bookmarkStart w:id="132" w:name="_Toc252515212"/>
      <w:bookmarkStart w:id="133" w:name="_Toc265148481"/>
      <w:bookmarkStart w:id="134" w:name="_Toc272409295"/>
      <w:bookmarkStart w:id="135" w:name="_Toc296075648"/>
      <w:bookmarkStart w:id="136" w:name="_Toc311537078"/>
      <w:r>
        <w:rPr>
          <w:rStyle w:val="CharSchNo"/>
        </w:rPr>
        <w:t>Schedule 1</w:t>
      </w:r>
      <w:r>
        <w:t> — </w:t>
      </w:r>
      <w:r>
        <w:rPr>
          <w:rStyle w:val="CharSchText"/>
        </w:rPr>
        <w:t>Enactments to which Part 3 of the Act applies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270"/>
              <w:jc w:val="right"/>
              <w:rPr>
                <w:b/>
                <w:bCs/>
              </w:rPr>
            </w:pPr>
          </w:p>
        </w:tc>
      </w:tr>
      <w:tr>
        <w:tc>
          <w:tcPr>
            <w:tcW w:w="5812" w:type="dxa"/>
          </w:tcPr>
          <w:p>
            <w:pPr>
              <w:pStyle w:val="yTableNAm"/>
              <w:rPr>
                <w:i/>
              </w:rPr>
            </w:pPr>
            <w:r>
              <w:rPr>
                <w:i/>
              </w:rPr>
              <w:t>Builders’ Registration Act 1939</w:t>
            </w:r>
          </w:p>
        </w:tc>
        <w:tc>
          <w:tcPr>
            <w:tcW w:w="1418" w:type="dxa"/>
          </w:tcPr>
          <w:p>
            <w:pPr>
              <w:pStyle w:val="yTableNAm"/>
              <w:tabs>
                <w:tab w:val="clear" w:pos="567"/>
              </w:tabs>
              <w:ind w:right="27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Classification (Publications, Films and Computer Games) Enforcement Act 1996</w:t>
            </w:r>
            <w:r>
              <w:rPr>
                <w:i/>
                <w:snapToGrid w:val="0"/>
              </w:rPr>
              <w:t> </w:t>
            </w:r>
            <w:r>
              <w:rPr>
                <w:snapToGrid w:val="0"/>
                <w:vertAlign w:val="superscript"/>
              </w:rPr>
              <w:t>9</w:t>
            </w:r>
          </w:p>
        </w:tc>
        <w:tc>
          <w:tcPr>
            <w:tcW w:w="1418" w:type="dxa"/>
          </w:tcPr>
          <w:p>
            <w:pPr>
              <w:pStyle w:val="yTableNAm"/>
              <w:tabs>
                <w:tab w:val="clear" w:pos="567"/>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rPr>
                <w:i/>
              </w:rPr>
            </w:pPr>
            <w:r>
              <w:rPr>
                <w:i/>
              </w:rPr>
              <w:t>Painters’ Registration Act 1961</w:t>
            </w:r>
          </w:p>
        </w:tc>
        <w:tc>
          <w:tcPr>
            <w:tcW w:w="1418" w:type="dxa"/>
          </w:tcPr>
          <w:p>
            <w:pPr>
              <w:pStyle w:val="yTableNAm"/>
              <w:tabs>
                <w:tab w:val="clear" w:pos="567"/>
              </w:tabs>
              <w:ind w:right="510"/>
              <w:jc w:val="right"/>
            </w:pPr>
          </w:p>
        </w:tc>
      </w:tr>
      <w:tr>
        <w:tc>
          <w:tcPr>
            <w:tcW w:w="5812" w:type="dxa"/>
          </w:tcPr>
          <w:p>
            <w:pPr>
              <w:pStyle w:val="yTableNAm"/>
              <w:rPr>
                <w:i/>
              </w:rPr>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pPr>
            <w:r>
              <w:rPr>
                <w:i/>
              </w:rPr>
              <w:t>Plant Diseases Act 1914</w:t>
            </w:r>
          </w:p>
        </w:tc>
        <w:tc>
          <w:tcPr>
            <w:tcW w:w="1418" w:type="dxa"/>
          </w:tcPr>
          <w:p>
            <w:pPr>
              <w:pStyle w:val="yTableNAm"/>
              <w:tabs>
                <w:tab w:val="clear" w:pos="567"/>
              </w:tabs>
              <w:ind w:right="510"/>
              <w:jc w:val="right"/>
            </w:pPr>
            <w:r>
              <w:t>35</w:t>
            </w: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pPr>
            <w:r>
              <w:rPr>
                <w:i/>
              </w:rPr>
              <w:t>Road Traffic Act 1974</w:t>
            </w:r>
          </w:p>
        </w:tc>
        <w:tc>
          <w:tcPr>
            <w:tcW w:w="1418" w:type="dxa"/>
          </w:tcPr>
          <w:p>
            <w:pPr>
              <w:pStyle w:val="yTableNAm"/>
              <w:tabs>
                <w:tab w:val="clear" w:pos="567"/>
              </w:tabs>
              <w:ind w:right="510"/>
              <w:jc w:val="right"/>
            </w:pPr>
            <w:r>
              <w:t>102</w:t>
            </w:r>
          </w:p>
        </w:tc>
      </w:tr>
      <w:tr>
        <w:tc>
          <w:tcPr>
            <w:tcW w:w="581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rPr>
                <w:i/>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 xml:space="preserve">19; 23 Jun 2009 p. 2466; 29 Jan 2010 p. 200; 25 Jun 2010 p. 2869; 17 Sep 2010 p. 4759; 17 Jun 2011 p. 2169; 13 Dec 2011 p. 5282.]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37" w:name="_Toc113952854"/>
      <w:bookmarkStart w:id="138" w:name="_Toc113952881"/>
      <w:bookmarkStart w:id="139" w:name="_Toc123622581"/>
      <w:bookmarkStart w:id="140" w:name="_Toc139079798"/>
      <w:bookmarkStart w:id="141" w:name="_Toc139275341"/>
      <w:bookmarkStart w:id="142" w:name="_Toc140636149"/>
      <w:bookmarkStart w:id="143" w:name="_Toc77399496"/>
    </w:p>
    <w:p>
      <w:pPr>
        <w:pStyle w:val="yScheduleHeading"/>
      </w:pPr>
      <w:bookmarkStart w:id="144" w:name="_Toc143320160"/>
      <w:bookmarkStart w:id="145" w:name="_Toc143481390"/>
      <w:bookmarkStart w:id="146" w:name="_Toc143481419"/>
      <w:bookmarkStart w:id="147" w:name="_Toc143481447"/>
      <w:bookmarkStart w:id="148" w:name="_Toc143499793"/>
      <w:bookmarkStart w:id="149" w:name="_Toc145304928"/>
      <w:bookmarkStart w:id="150" w:name="_Toc145305019"/>
      <w:bookmarkStart w:id="151" w:name="_Toc147656243"/>
      <w:bookmarkStart w:id="152" w:name="_Toc164759531"/>
      <w:bookmarkStart w:id="153" w:name="_Toc167172992"/>
      <w:bookmarkStart w:id="154" w:name="_Toc167173797"/>
      <w:bookmarkStart w:id="155" w:name="_Toc167177476"/>
      <w:bookmarkStart w:id="156" w:name="_Toc171051600"/>
      <w:bookmarkStart w:id="157" w:name="_Toc194380920"/>
      <w:bookmarkStart w:id="158" w:name="_Toc202852962"/>
      <w:bookmarkStart w:id="159" w:name="_Toc215391104"/>
      <w:bookmarkStart w:id="160" w:name="_Toc215894696"/>
      <w:bookmarkStart w:id="161" w:name="_Toc216237887"/>
      <w:bookmarkStart w:id="162" w:name="_Toc216255945"/>
      <w:bookmarkStart w:id="163" w:name="_Toc233538933"/>
      <w:bookmarkStart w:id="164" w:name="_Toc252515213"/>
      <w:bookmarkStart w:id="165" w:name="_Toc265148482"/>
      <w:bookmarkStart w:id="166" w:name="_Toc272409296"/>
      <w:bookmarkStart w:id="167" w:name="_Toc296075649"/>
      <w:bookmarkStart w:id="168" w:name="_Toc311537079"/>
      <w:r>
        <w:rPr>
          <w:rStyle w:val="CharSchNo"/>
        </w:rPr>
        <w:t>Schedule 2</w:t>
      </w:r>
      <w:r>
        <w:t> — </w:t>
      </w:r>
      <w:r>
        <w:rPr>
          <w:rStyle w:val="CharSchText"/>
        </w:rPr>
        <w:t>Enforcement fees</w:t>
      </w:r>
      <w:bookmarkEnd w:id="137"/>
      <w:bookmarkEnd w:id="138"/>
      <w:bookmarkEnd w:id="139"/>
      <w:bookmarkEnd w:id="140"/>
      <w:bookmarkEnd w:id="141"/>
      <w:bookmarkEnd w:id="142"/>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yShoulderClause"/>
      </w:pPr>
      <w:r>
        <w:t>[r. 9]</w:t>
      </w:r>
    </w:p>
    <w:p>
      <w:pPr>
        <w:pStyle w:val="yFootnoteheading"/>
      </w:pPr>
      <w:bookmarkStart w:id="169" w:name="_Toc113952855"/>
      <w:bookmarkStart w:id="170" w:name="_Toc113952882"/>
      <w:bookmarkStart w:id="171" w:name="_Toc123622582"/>
      <w:bookmarkStart w:id="172" w:name="_Toc139079799"/>
      <w:bookmarkStart w:id="173" w:name="_Toc139275342"/>
      <w:bookmarkStart w:id="174" w:name="_Toc140636150"/>
      <w:bookmarkStart w:id="175" w:name="_Toc143320161"/>
      <w:bookmarkStart w:id="176" w:name="_Toc143481391"/>
      <w:bookmarkStart w:id="177" w:name="_Toc143481420"/>
      <w:bookmarkStart w:id="178" w:name="_Toc143481448"/>
      <w:r>
        <w:tab/>
        <w:t>[Heading inserted in Gazette 13 May 2005 p. 2080.]</w:t>
      </w:r>
    </w:p>
    <w:p>
      <w:pPr>
        <w:pStyle w:val="yHeading3"/>
        <w:spacing w:after="60"/>
      </w:pPr>
      <w:bookmarkStart w:id="179" w:name="_Toc143499794"/>
      <w:bookmarkStart w:id="180" w:name="_Toc145304929"/>
      <w:bookmarkStart w:id="181" w:name="_Toc145305020"/>
      <w:bookmarkStart w:id="182" w:name="_Toc147656244"/>
      <w:bookmarkStart w:id="183" w:name="_Toc164759532"/>
      <w:bookmarkStart w:id="184" w:name="_Toc167172993"/>
      <w:bookmarkStart w:id="185" w:name="_Toc167173798"/>
      <w:bookmarkStart w:id="186" w:name="_Toc167177477"/>
      <w:bookmarkStart w:id="187" w:name="_Toc171051601"/>
      <w:bookmarkStart w:id="188" w:name="_Toc194380921"/>
      <w:bookmarkStart w:id="189" w:name="_Toc202852963"/>
      <w:bookmarkStart w:id="190" w:name="_Toc215391105"/>
      <w:bookmarkStart w:id="191" w:name="_Toc215894697"/>
      <w:bookmarkStart w:id="192" w:name="_Toc216237888"/>
      <w:bookmarkStart w:id="193" w:name="_Toc216255946"/>
      <w:bookmarkStart w:id="194" w:name="_Toc233538934"/>
      <w:bookmarkStart w:id="195" w:name="_Toc252515214"/>
      <w:bookmarkStart w:id="196" w:name="_Toc265148483"/>
      <w:bookmarkStart w:id="197" w:name="_Toc272409297"/>
      <w:bookmarkStart w:id="198" w:name="_Toc296075650"/>
      <w:bookmarkStart w:id="199" w:name="_Toc311537080"/>
      <w:r>
        <w:rPr>
          <w:rStyle w:val="CharSDivNo"/>
        </w:rPr>
        <w:t>Division 1</w:t>
      </w:r>
      <w:r>
        <w:rPr>
          <w:b w:val="0"/>
        </w:rPr>
        <w:t> — </w:t>
      </w:r>
      <w:r>
        <w:rPr>
          <w:rStyle w:val="CharSDivText"/>
        </w:rPr>
        <w:t>Enforcement fees for Part 3 of the Act</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final demand ......................................</w:t>
            </w:r>
          </w:p>
          <w:p>
            <w:pPr>
              <w:pStyle w:val="yTable"/>
              <w:ind w:left="567" w:hanging="567"/>
            </w:pPr>
            <w:r>
              <w:tab/>
              <w:t>(To be imposed when the final demand is issued.)</w:t>
            </w:r>
          </w:p>
        </w:tc>
        <w:tc>
          <w:tcPr>
            <w:tcW w:w="1134" w:type="dxa"/>
          </w:tcPr>
          <w:p>
            <w:pPr>
              <w:pStyle w:val="yTable"/>
              <w:ind w:left="567" w:hanging="567"/>
            </w:pPr>
            <w:r>
              <w:t>$13.50</w:t>
            </w:r>
          </w:p>
        </w:tc>
      </w:tr>
      <w:tr>
        <w:tc>
          <w:tcPr>
            <w:tcW w:w="5670" w:type="dxa"/>
          </w:tcPr>
          <w:p>
            <w:pPr>
              <w:pStyle w:val="yTable"/>
              <w:ind w:left="567" w:hanging="567"/>
            </w:pPr>
            <w:r>
              <w:t>2.</w:t>
            </w:r>
            <w:r>
              <w:tab/>
              <w:t>Fee for preparing an enforcement certificate in relation to an infringement notice, for each infringement notice .......................................................</w:t>
            </w:r>
          </w:p>
          <w:p>
            <w:pPr>
              <w:pStyle w:val="yTable"/>
              <w:ind w:left="567" w:hanging="567"/>
            </w:pPr>
            <w:r>
              <w:tab/>
              <w:t>(To be imposed when the infringement notice is registered.)</w:t>
            </w:r>
          </w:p>
        </w:tc>
        <w:tc>
          <w:tcPr>
            <w:tcW w:w="1134" w:type="dxa"/>
          </w:tcPr>
          <w:p>
            <w:pPr>
              <w:pStyle w:val="yTable"/>
            </w:pPr>
            <w:r>
              <w:br/>
            </w:r>
            <w:r>
              <w:br/>
              <w:t>$11.50</w:t>
            </w:r>
          </w:p>
        </w:tc>
      </w:tr>
      <w:tr>
        <w:tc>
          <w:tcPr>
            <w:tcW w:w="5670" w:type="dxa"/>
          </w:tcPr>
          <w:p>
            <w:pPr>
              <w:pStyle w:val="yTable"/>
              <w:ind w:left="567" w:hanging="567"/>
            </w:pPr>
            <w:r>
              <w:t>3.</w:t>
            </w:r>
            <w:r>
              <w:tab/>
              <w:t>Fee for registering an infringement notice with the Registry .........................................................................</w:t>
            </w:r>
          </w:p>
          <w:p>
            <w:pPr>
              <w:pStyle w:val="yTable"/>
              <w:ind w:left="567" w:hanging="567"/>
            </w:pPr>
            <w:r>
              <w:tab/>
              <w:t>(To be imposed when the notice is registered.)</w:t>
            </w:r>
          </w:p>
        </w:tc>
        <w:tc>
          <w:tcPr>
            <w:tcW w:w="1134" w:type="dxa"/>
          </w:tcPr>
          <w:p>
            <w:pPr>
              <w:pStyle w:val="yTable"/>
              <w:spacing w:before="0"/>
            </w:pPr>
          </w:p>
          <w:p>
            <w:pPr>
              <w:pStyle w:val="yTable"/>
              <w:ind w:left="567" w:hanging="567"/>
            </w:pPr>
            <w:r>
              <w:t>$43.00</w:t>
            </w:r>
          </w:p>
        </w:tc>
      </w:tr>
      <w:tr>
        <w:tc>
          <w:tcPr>
            <w:tcW w:w="5670" w:type="dxa"/>
          </w:tcPr>
          <w:p>
            <w:pPr>
              <w:pStyle w:val="yTable"/>
              <w:ind w:left="567" w:hanging="567"/>
            </w:pPr>
            <w:r>
              <w:t>4.</w:t>
            </w:r>
            <w:r>
              <w:tab/>
              <w:t>Fee for issuing a notice of intention to suspend</w:t>
            </w:r>
            <w:r>
              <w:br/>
              <w:t>licences .........................................................................</w:t>
            </w:r>
          </w:p>
          <w:p>
            <w:pPr>
              <w:pStyle w:val="yTable"/>
              <w:ind w:left="567" w:hanging="567"/>
            </w:pPr>
            <w:r>
              <w:tab/>
              <w:t>(To be imposed when a licence suspension order is made.)</w:t>
            </w:r>
          </w:p>
        </w:tc>
        <w:tc>
          <w:tcPr>
            <w:tcW w:w="1134" w:type="dxa"/>
          </w:tcPr>
          <w:p>
            <w:pPr>
              <w:pStyle w:val="yTable"/>
            </w:pPr>
            <w:r>
              <w:br/>
              <w:t>$28.50</w:t>
            </w:r>
          </w:p>
        </w:tc>
      </w:tr>
    </w:tbl>
    <w:p>
      <w:pPr>
        <w:pStyle w:val="yFootnotesection"/>
      </w:pPr>
      <w:bookmarkStart w:id="200" w:name="_Toc113952856"/>
      <w:bookmarkStart w:id="201" w:name="_Toc113952883"/>
      <w:bookmarkStart w:id="202" w:name="_Toc123622583"/>
      <w:r>
        <w:tab/>
        <w:t>[Division 1 inserted in Gazette 13 May 2005 p. 2080; amended in Gazette 23 Jun 2006 p. 2191; 26 Jun 2007 p. 3032.]</w:t>
      </w:r>
    </w:p>
    <w:p>
      <w:pPr>
        <w:pStyle w:val="yHeading3"/>
        <w:spacing w:after="60"/>
      </w:pPr>
      <w:bookmarkStart w:id="203" w:name="_Toc139079800"/>
      <w:bookmarkStart w:id="204" w:name="_Toc139275343"/>
      <w:bookmarkStart w:id="205" w:name="_Toc140636151"/>
      <w:bookmarkStart w:id="206" w:name="_Toc143320162"/>
      <w:bookmarkStart w:id="207" w:name="_Toc143481392"/>
      <w:bookmarkStart w:id="208" w:name="_Toc143481421"/>
      <w:bookmarkStart w:id="209" w:name="_Toc143481449"/>
      <w:bookmarkStart w:id="210" w:name="_Toc143499795"/>
      <w:bookmarkStart w:id="211" w:name="_Toc145304930"/>
      <w:bookmarkStart w:id="212" w:name="_Toc145305021"/>
      <w:bookmarkStart w:id="213" w:name="_Toc147656245"/>
      <w:bookmarkStart w:id="214" w:name="_Toc164759533"/>
      <w:bookmarkStart w:id="215" w:name="_Toc167172994"/>
      <w:bookmarkStart w:id="216" w:name="_Toc167173799"/>
      <w:bookmarkStart w:id="217" w:name="_Toc167177478"/>
      <w:bookmarkStart w:id="218" w:name="_Toc171051602"/>
      <w:bookmarkStart w:id="219" w:name="_Toc194380922"/>
      <w:bookmarkStart w:id="220" w:name="_Toc202852964"/>
      <w:bookmarkStart w:id="221" w:name="_Toc215391106"/>
      <w:bookmarkStart w:id="222" w:name="_Toc215894698"/>
      <w:bookmarkStart w:id="223" w:name="_Toc216237889"/>
      <w:bookmarkStart w:id="224" w:name="_Toc216255947"/>
      <w:bookmarkStart w:id="225" w:name="_Toc233538935"/>
      <w:bookmarkStart w:id="226" w:name="_Toc252515215"/>
      <w:bookmarkStart w:id="227" w:name="_Toc265148484"/>
      <w:bookmarkStart w:id="228" w:name="_Toc272409298"/>
      <w:bookmarkStart w:id="229" w:name="_Toc296075651"/>
      <w:bookmarkStart w:id="230" w:name="_Toc311537081"/>
      <w:r>
        <w:rPr>
          <w:rStyle w:val="CharSDivNo"/>
        </w:rPr>
        <w:t>Division 2</w:t>
      </w:r>
      <w:r>
        <w:rPr>
          <w:b w:val="0"/>
        </w:rPr>
        <w:t> — </w:t>
      </w:r>
      <w:r>
        <w:rPr>
          <w:rStyle w:val="CharSDivText"/>
        </w:rPr>
        <w:t>Enforcement fees for Part 4 of the Act</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notice of intention to suspend licences .........................................................................</w:t>
            </w:r>
          </w:p>
          <w:p>
            <w:pPr>
              <w:pStyle w:val="yTable"/>
              <w:ind w:left="567" w:hanging="567"/>
            </w:pPr>
            <w:r>
              <w:tab/>
              <w:t>(To be imposed when a licence suspension order is made or when a warrant of execution is issued, but not twice.)</w:t>
            </w:r>
          </w:p>
        </w:tc>
        <w:tc>
          <w:tcPr>
            <w:tcW w:w="1134" w:type="dxa"/>
          </w:tcPr>
          <w:p>
            <w:pPr>
              <w:pStyle w:val="yTable"/>
              <w:ind w:left="24" w:hanging="24"/>
            </w:pPr>
            <w:r>
              <w:br/>
              <w:t>$28.50</w:t>
            </w:r>
          </w:p>
        </w:tc>
      </w:tr>
      <w:tr>
        <w:tc>
          <w:tcPr>
            <w:tcW w:w="5670" w:type="dxa"/>
          </w:tcPr>
          <w:p>
            <w:pPr>
              <w:pStyle w:val="yTable"/>
              <w:ind w:left="567" w:hanging="567"/>
            </w:pPr>
            <w:r>
              <w:t>2.</w:t>
            </w:r>
            <w:r>
              <w:tab/>
              <w:t>Fee for issuing a warrant of execution .........................</w:t>
            </w:r>
          </w:p>
          <w:p>
            <w:pPr>
              <w:pStyle w:val="yTable"/>
              <w:ind w:left="567" w:hanging="567"/>
            </w:pPr>
            <w:r>
              <w:tab/>
              <w:t>(To be imposed when the warrant is issued.)</w:t>
            </w:r>
          </w:p>
        </w:tc>
        <w:tc>
          <w:tcPr>
            <w:tcW w:w="1134" w:type="dxa"/>
          </w:tcPr>
          <w:p>
            <w:pPr>
              <w:pStyle w:val="yTable"/>
              <w:ind w:left="567" w:hanging="567"/>
            </w:pPr>
            <w:r>
              <w:t>$134.00</w:t>
            </w:r>
          </w:p>
        </w:tc>
      </w:tr>
    </w:tbl>
    <w:p>
      <w:pPr>
        <w:pStyle w:val="yFootnotesection"/>
      </w:pPr>
      <w:bookmarkStart w:id="231" w:name="_Toc113952857"/>
      <w:bookmarkStart w:id="232" w:name="_Toc113952884"/>
      <w:bookmarkStart w:id="233" w:name="_Toc123622584"/>
      <w:r>
        <w:tab/>
        <w:t>[Division 2 inserted in Gazette 13 May 2005 p. 2080; amended in Gazette 23 Jun 2006 p. 2191; 26 Jun 2007 p. 3032.]</w:t>
      </w:r>
    </w:p>
    <w:p>
      <w:pPr>
        <w:pStyle w:val="yHeading3"/>
        <w:spacing w:after="60"/>
      </w:pPr>
      <w:bookmarkStart w:id="234" w:name="_Toc139079801"/>
      <w:bookmarkStart w:id="235" w:name="_Toc139275344"/>
      <w:bookmarkStart w:id="236" w:name="_Toc140636152"/>
      <w:bookmarkStart w:id="237" w:name="_Toc143320163"/>
      <w:bookmarkStart w:id="238" w:name="_Toc143481393"/>
      <w:bookmarkStart w:id="239" w:name="_Toc143481422"/>
      <w:bookmarkStart w:id="240" w:name="_Toc143481450"/>
      <w:bookmarkStart w:id="241" w:name="_Toc143499796"/>
      <w:bookmarkStart w:id="242" w:name="_Toc145304931"/>
      <w:bookmarkStart w:id="243" w:name="_Toc145305022"/>
      <w:bookmarkStart w:id="244" w:name="_Toc147656246"/>
      <w:bookmarkStart w:id="245" w:name="_Toc164759534"/>
      <w:bookmarkStart w:id="246" w:name="_Toc167172995"/>
      <w:bookmarkStart w:id="247" w:name="_Toc167173800"/>
      <w:bookmarkStart w:id="248" w:name="_Toc167177479"/>
      <w:bookmarkStart w:id="249" w:name="_Toc171051603"/>
      <w:bookmarkStart w:id="250" w:name="_Toc194380923"/>
      <w:bookmarkStart w:id="251" w:name="_Toc202852965"/>
      <w:bookmarkStart w:id="252" w:name="_Toc215391107"/>
      <w:bookmarkStart w:id="253" w:name="_Toc215894699"/>
      <w:bookmarkStart w:id="254" w:name="_Toc216237890"/>
      <w:bookmarkStart w:id="255" w:name="_Toc216255948"/>
      <w:bookmarkStart w:id="256" w:name="_Toc233538936"/>
      <w:bookmarkStart w:id="257" w:name="_Toc252515216"/>
      <w:bookmarkStart w:id="258" w:name="_Toc265148485"/>
      <w:bookmarkStart w:id="259" w:name="_Toc272409299"/>
      <w:bookmarkStart w:id="260" w:name="_Toc296075652"/>
      <w:bookmarkStart w:id="261" w:name="_Toc311537082"/>
      <w:r>
        <w:rPr>
          <w:rStyle w:val="CharSDivNo"/>
        </w:rPr>
        <w:t>Division 3</w:t>
      </w:r>
      <w:r>
        <w:rPr>
          <w:b w:val="0"/>
        </w:rPr>
        <w:t> — </w:t>
      </w:r>
      <w:r>
        <w:rPr>
          <w:rStyle w:val="CharSDivText"/>
        </w:rPr>
        <w:t>Enforcement fees for Part 7 of the Act</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keepNext/>
              <w:spacing w:after="40"/>
              <w:ind w:left="567" w:hanging="567"/>
            </w:pPr>
            <w:r>
              <w:t>1.</w:t>
            </w:r>
            <w:r>
              <w:tab/>
              <w:t xml:space="preserve">Fee for attending the </w:t>
            </w:r>
            <w:smartTag w:uri="urn:schemas-microsoft-com:office:smarttags" w:element="Street">
              <w:smartTag w:uri="urn:schemas-microsoft-com:office:smarttags" w:element="address">
                <w:r>
                  <w:t>Magistrates Court</w:t>
                </w:r>
              </w:smartTag>
            </w:smartTag>
            <w:r>
              <w:t xml:space="preserve"> in connection with proceedings to examine a person under section 69, for each hour or part of an hour .................</w:t>
            </w:r>
          </w:p>
        </w:tc>
        <w:tc>
          <w:tcPr>
            <w:tcW w:w="1134" w:type="dxa"/>
          </w:tcPr>
          <w:p>
            <w:pPr>
              <w:pStyle w:val="yTable"/>
              <w:keepNext/>
              <w:spacing w:after="40"/>
            </w:pPr>
            <w:r>
              <w:br/>
            </w:r>
            <w:r>
              <w:br/>
              <w:t>$59.50</w:t>
            </w:r>
          </w:p>
        </w:tc>
      </w:tr>
      <w:tr>
        <w:tc>
          <w:tcPr>
            <w:tcW w:w="5670" w:type="dxa"/>
          </w:tcPr>
          <w:p>
            <w:pPr>
              <w:pStyle w:val="yTable"/>
              <w:spacing w:after="40"/>
              <w:ind w:left="567" w:hanging="567"/>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after="40"/>
              <w:ind w:left="567" w:hanging="567"/>
            </w:pPr>
          </w:p>
        </w:tc>
      </w:tr>
      <w:tr>
        <w:tc>
          <w:tcPr>
            <w:tcW w:w="5670" w:type="dxa"/>
          </w:tcPr>
          <w:p>
            <w:pPr>
              <w:pStyle w:val="yTable"/>
              <w:spacing w:after="40"/>
              <w:ind w:left="567" w:hanging="567"/>
            </w:pPr>
            <w:r>
              <w:t>3.</w:t>
            </w:r>
            <w:r>
              <w:tab/>
              <w:t>Fee for inspecting personal property under seizure ......</w:t>
            </w:r>
          </w:p>
        </w:tc>
        <w:tc>
          <w:tcPr>
            <w:tcW w:w="1134" w:type="dxa"/>
          </w:tcPr>
          <w:p>
            <w:pPr>
              <w:pStyle w:val="yTable"/>
              <w:spacing w:after="40"/>
              <w:ind w:left="567" w:hanging="567"/>
            </w:pPr>
            <w:r>
              <w:t>$40.00</w:t>
            </w:r>
          </w:p>
        </w:tc>
      </w:tr>
      <w:tr>
        <w:tc>
          <w:tcPr>
            <w:tcW w:w="5670" w:type="dxa"/>
          </w:tcPr>
          <w:p>
            <w:pPr>
              <w:pStyle w:val="yTable"/>
              <w:spacing w:after="40"/>
              <w:ind w:left="567" w:hanging="567"/>
            </w:pPr>
            <w:r>
              <w:t>4.</w:t>
            </w:r>
            <w:r>
              <w:tab/>
              <w:t>Fee for lodging a memorial under section 89 ...............</w:t>
            </w:r>
          </w:p>
        </w:tc>
        <w:tc>
          <w:tcPr>
            <w:tcW w:w="1134" w:type="dxa"/>
          </w:tcPr>
          <w:p>
            <w:pPr>
              <w:pStyle w:val="yTable"/>
              <w:spacing w:after="40"/>
              <w:ind w:left="567" w:hanging="567"/>
            </w:pPr>
            <w:r>
              <w:t>$43.00</w:t>
            </w:r>
          </w:p>
        </w:tc>
      </w:tr>
      <w:tr>
        <w:tc>
          <w:tcPr>
            <w:tcW w:w="5670" w:type="dxa"/>
          </w:tcPr>
          <w:p>
            <w:pPr>
              <w:pStyle w:val="yTable"/>
              <w:spacing w:after="40"/>
              <w:ind w:left="567" w:hanging="567"/>
            </w:pPr>
            <w:r>
              <w:t>5.</w:t>
            </w:r>
            <w:r>
              <w:tab/>
              <w:t>Fee for lodging a withdrawal of memorial under section 90 ......................................................................</w:t>
            </w:r>
          </w:p>
        </w:tc>
        <w:tc>
          <w:tcPr>
            <w:tcW w:w="1134" w:type="dxa"/>
          </w:tcPr>
          <w:p>
            <w:pPr>
              <w:pStyle w:val="yTable"/>
              <w:spacing w:after="40"/>
            </w:pPr>
            <w:r>
              <w:br/>
              <w:t>$28.50</w:t>
            </w:r>
          </w:p>
        </w:tc>
      </w:tr>
      <w:tr>
        <w:trPr>
          <w:cantSplit/>
        </w:trPr>
        <w:tc>
          <w:tcPr>
            <w:tcW w:w="5670" w:type="dxa"/>
          </w:tcPr>
          <w:p>
            <w:pPr>
              <w:pStyle w:val="yTable"/>
              <w:spacing w:after="40"/>
              <w:ind w:left="567" w:hanging="567"/>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after="40"/>
            </w:pPr>
          </w:p>
        </w:tc>
      </w:tr>
      <w:tr>
        <w:tc>
          <w:tcPr>
            <w:tcW w:w="5670" w:type="dxa"/>
          </w:tcPr>
          <w:p>
            <w:pPr>
              <w:pStyle w:val="yTable"/>
              <w:spacing w:after="40"/>
              <w:ind w:left="567" w:hanging="567"/>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after="40"/>
            </w:pPr>
          </w:p>
        </w:tc>
      </w:tr>
      <w:tr>
        <w:tblPrEx>
          <w:tblCellMar>
            <w:left w:w="113" w:type="dxa"/>
            <w:right w:w="113" w:type="dxa"/>
          </w:tblCellMar>
        </w:tblPrEx>
        <w:tc>
          <w:tcPr>
            <w:tcW w:w="5670" w:type="dxa"/>
          </w:tcPr>
          <w:p>
            <w:pPr>
              <w:pStyle w:val="yTable"/>
              <w:spacing w:after="40"/>
              <w:ind w:left="567" w:hanging="567"/>
            </w:pPr>
            <w:r>
              <w:t>8.</w:t>
            </w:r>
            <w:r>
              <w:tab/>
              <w:t>Fee for arranging a sale of personal property or land, including preparing advertisements and conditions of sale, but excluding disbursements, not exceeding .........</w:t>
            </w:r>
          </w:p>
        </w:tc>
        <w:tc>
          <w:tcPr>
            <w:tcW w:w="1134" w:type="dxa"/>
          </w:tcPr>
          <w:p>
            <w:pPr>
              <w:pStyle w:val="yTable"/>
              <w:spacing w:after="40"/>
            </w:pPr>
            <w:r>
              <w:br/>
            </w:r>
            <w:r>
              <w:br/>
              <w:t>$141.00</w:t>
            </w:r>
          </w:p>
        </w:tc>
      </w:tr>
      <w:tr>
        <w:tblPrEx>
          <w:tblCellMar>
            <w:left w:w="113" w:type="dxa"/>
            <w:right w:w="113" w:type="dxa"/>
          </w:tblCellMar>
        </w:tblPrEx>
        <w:tc>
          <w:tcPr>
            <w:tcW w:w="5670" w:type="dxa"/>
          </w:tcPr>
          <w:p>
            <w:pPr>
              <w:pStyle w:val="yTable"/>
              <w:spacing w:after="40"/>
              <w:ind w:left="567" w:hanging="567"/>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spacing w:after="40"/>
            </w:pPr>
          </w:p>
        </w:tc>
      </w:tr>
      <w:tr>
        <w:tblPrEx>
          <w:tblCellMar>
            <w:left w:w="113" w:type="dxa"/>
            <w:right w:w="113" w:type="dxa"/>
          </w:tblCellMar>
        </w:tblPrEx>
        <w:tc>
          <w:tcPr>
            <w:tcW w:w="5670" w:type="dxa"/>
          </w:tcPr>
          <w:p>
            <w:pPr>
              <w:pStyle w:val="yTable"/>
              <w:spacing w:after="40"/>
            </w:pPr>
            <w:r>
              <w:t>10.</w:t>
            </w:r>
            <w:r>
              <w:tab/>
              <w:t>Fee for attending a sale of personal property or land ....</w:t>
            </w:r>
          </w:p>
        </w:tc>
        <w:tc>
          <w:tcPr>
            <w:tcW w:w="1134" w:type="dxa"/>
          </w:tcPr>
          <w:p>
            <w:pPr>
              <w:pStyle w:val="yTable"/>
              <w:spacing w:after="40"/>
            </w:pPr>
            <w:r>
              <w:t>$63.50</w:t>
            </w:r>
          </w:p>
        </w:tc>
      </w:tr>
      <w:tr>
        <w:tblPrEx>
          <w:tblCellMar>
            <w:left w:w="113" w:type="dxa"/>
            <w:right w:w="113" w:type="dxa"/>
          </w:tblCellMar>
        </w:tblPrEx>
        <w:tc>
          <w:tcPr>
            <w:tcW w:w="5670" w:type="dxa"/>
          </w:tcPr>
          <w:p>
            <w:pPr>
              <w:pStyle w:val="yTable"/>
              <w:spacing w:after="40"/>
              <w:ind w:left="567" w:hanging="567"/>
            </w:pPr>
            <w:r>
              <w:t>11.</w:t>
            </w:r>
            <w:r>
              <w:tab/>
              <w:t xml:space="preserve">Fee for preparing and executing a transfer of land sold </w:t>
            </w:r>
          </w:p>
        </w:tc>
        <w:tc>
          <w:tcPr>
            <w:tcW w:w="1134" w:type="dxa"/>
          </w:tcPr>
          <w:p>
            <w:pPr>
              <w:pStyle w:val="yTable"/>
              <w:spacing w:after="40"/>
            </w:pPr>
            <w:r>
              <w:t>$141.00</w:t>
            </w:r>
          </w:p>
        </w:tc>
      </w:tr>
      <w:tr>
        <w:tblPrEx>
          <w:tblCellMar>
            <w:left w:w="113" w:type="dxa"/>
            <w:right w:w="113" w:type="dxa"/>
          </w:tblCellMar>
        </w:tblPrEx>
        <w:tc>
          <w:tcPr>
            <w:tcW w:w="5670" w:type="dxa"/>
          </w:tcPr>
          <w:p>
            <w:pPr>
              <w:pStyle w:val="yTable"/>
              <w:spacing w:after="40"/>
              <w:ind w:left="567" w:hanging="567"/>
            </w:pPr>
            <w:r>
              <w:t>12.</w:t>
            </w:r>
            <w:r>
              <w:tab/>
              <w:t>Fee for attending a court in connection with interpleader proceedings, for each half hour or part of a half hour .........................................................................</w:t>
            </w:r>
          </w:p>
        </w:tc>
        <w:tc>
          <w:tcPr>
            <w:tcW w:w="1134" w:type="dxa"/>
          </w:tcPr>
          <w:p>
            <w:pPr>
              <w:pStyle w:val="yTable"/>
              <w:spacing w:after="40"/>
            </w:pPr>
            <w:r>
              <w:br/>
            </w:r>
            <w:r>
              <w:br/>
              <w:t>$20.00</w:t>
            </w:r>
          </w:p>
        </w:tc>
      </w:tr>
      <w:tr>
        <w:tblPrEx>
          <w:tblCellMar>
            <w:left w:w="113" w:type="dxa"/>
            <w:right w:w="113" w:type="dxa"/>
          </w:tblCellMar>
        </w:tblPrEx>
        <w:trPr>
          <w:cantSplit/>
        </w:trPr>
        <w:tc>
          <w:tcPr>
            <w:tcW w:w="5670" w:type="dxa"/>
          </w:tcPr>
          <w:p>
            <w:pPr>
              <w:pStyle w:val="yTable"/>
              <w:spacing w:after="40"/>
              <w:ind w:left="567" w:hanging="567"/>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
              <w:spacing w:after="40"/>
              <w:ind w:left="567" w:hanging="567"/>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p>
        </w:tc>
        <w:tc>
          <w:tcPr>
            <w:tcW w:w="1134" w:type="dxa"/>
          </w:tcPr>
          <w:p>
            <w:pPr>
              <w:pStyle w:val="yTable"/>
              <w:spacing w:after="40"/>
            </w:pPr>
          </w:p>
        </w:tc>
      </w:tr>
    </w:tbl>
    <w:p>
      <w:pPr>
        <w:pStyle w:val="yFootnotesection"/>
      </w:pPr>
      <w:r>
        <w:tab/>
        <w:t>[Division 3 inserted in Gazette 13 May 2005 p. 2080</w:t>
      </w:r>
      <w:r>
        <w:noBreakHyphen/>
        <w:t>1; amended in Gazette 23 Jun 2006 p. 2192; 26 Jun 2007 p. 3032.]</w:t>
      </w:r>
    </w:p>
    <w:p>
      <w:pPr>
        <w:pStyle w:val="yScheduleHeading"/>
      </w:pPr>
      <w:bookmarkStart w:id="262" w:name="_Toc113952858"/>
      <w:bookmarkStart w:id="263" w:name="_Toc113952885"/>
      <w:bookmarkStart w:id="264" w:name="_Toc123622585"/>
      <w:bookmarkStart w:id="265" w:name="_Toc139079802"/>
      <w:bookmarkStart w:id="266" w:name="_Toc139275345"/>
      <w:bookmarkStart w:id="267" w:name="_Toc140636153"/>
      <w:bookmarkStart w:id="268" w:name="_Toc143320164"/>
      <w:bookmarkStart w:id="269" w:name="_Toc143481394"/>
      <w:bookmarkStart w:id="270" w:name="_Toc143481423"/>
      <w:bookmarkStart w:id="271" w:name="_Toc143481451"/>
      <w:bookmarkStart w:id="272" w:name="_Toc143499797"/>
      <w:bookmarkStart w:id="273" w:name="_Toc145304932"/>
      <w:bookmarkStart w:id="274" w:name="_Toc145305023"/>
      <w:bookmarkStart w:id="275" w:name="_Toc147656247"/>
      <w:bookmarkStart w:id="276" w:name="_Toc164759535"/>
      <w:bookmarkStart w:id="277" w:name="_Toc167172996"/>
      <w:bookmarkStart w:id="278" w:name="_Toc167173801"/>
      <w:bookmarkStart w:id="279" w:name="_Toc167177480"/>
      <w:bookmarkStart w:id="280" w:name="_Toc171051604"/>
      <w:bookmarkStart w:id="281" w:name="_Toc194380924"/>
      <w:bookmarkStart w:id="282" w:name="_Toc202852966"/>
      <w:bookmarkStart w:id="283" w:name="_Toc215391108"/>
      <w:bookmarkStart w:id="284" w:name="_Toc215894700"/>
      <w:bookmarkStart w:id="285" w:name="_Toc216237891"/>
      <w:bookmarkStart w:id="286" w:name="_Toc216255949"/>
      <w:bookmarkStart w:id="287" w:name="_Toc233538937"/>
      <w:bookmarkStart w:id="288" w:name="_Toc252515217"/>
      <w:bookmarkStart w:id="289" w:name="_Toc265148486"/>
      <w:bookmarkStart w:id="290" w:name="_Toc272409300"/>
      <w:bookmarkStart w:id="291" w:name="_Toc296075653"/>
      <w:bookmarkStart w:id="292" w:name="_Toc311537083"/>
      <w:bookmarkEnd w:id="143"/>
      <w:r>
        <w:rPr>
          <w:rStyle w:val="CharSchNo"/>
        </w:rPr>
        <w:t>Schedule 3</w:t>
      </w:r>
      <w:r>
        <w:rPr>
          <w:rStyle w:val="CharSDivNo"/>
        </w:rPr>
        <w:t> </w:t>
      </w:r>
      <w:r>
        <w:t>—</w:t>
      </w:r>
      <w:r>
        <w:rPr>
          <w:rStyle w:val="CharSDivText"/>
        </w:rPr>
        <w:t> </w:t>
      </w:r>
      <w:r>
        <w:rPr>
          <w:rStyle w:val="CharSchText"/>
        </w:rPr>
        <w:t>Forms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yShoulderClause"/>
      </w:pPr>
      <w:r>
        <w:t>[r. 12]</w:t>
      </w:r>
    </w:p>
    <w:p>
      <w:pPr>
        <w:pStyle w:val="yFootnoteheading"/>
      </w:pPr>
      <w:r>
        <w:tab/>
        <w:t>[Heading inserted in Gazette 13 May 2005 p. 2081.]</w:t>
      </w:r>
    </w:p>
    <w:p>
      <w:pPr>
        <w:pStyle w:val="ySubsection"/>
        <w:rPr>
          <w:b/>
          <w:snapToGrid w:val="0"/>
        </w:rPr>
      </w:pPr>
      <w:r>
        <w:rPr>
          <w:rStyle w:val="CharSClsNo"/>
          <w:b/>
        </w:rPr>
        <w:t>1</w:t>
      </w:r>
      <w:r>
        <w:rPr>
          <w:b/>
          <w:snapToGrid w:val="0"/>
        </w:rPr>
        <w:t>.</w:t>
      </w:r>
      <w:r>
        <w:rPr>
          <w:b/>
          <w:snapToGrid w:val="0"/>
        </w:rPr>
        <w:tab/>
      </w:r>
      <w:r>
        <w:rPr>
          <w:b/>
          <w:snapToGrid w:val="0"/>
        </w:rPr>
        <w:tab/>
        <w:t>Notice of withdrawal for the purposes of section 22</w:t>
      </w:r>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943"/>
      </w:tblGrid>
      <w:tr>
        <w:tc>
          <w:tcPr>
            <w:tcW w:w="7304" w:type="dxa"/>
            <w:gridSpan w:val="2"/>
          </w:tcPr>
          <w:p>
            <w:pPr>
              <w:pStyle w:val="yTable"/>
              <w:spacing w:before="120"/>
              <w:rPr>
                <w:b/>
                <w:snapToGrid w:val="0"/>
              </w:rPr>
            </w:pPr>
            <w:r>
              <w:rPr>
                <w:b/>
                <w:snapToGrid w:val="0"/>
              </w:rPr>
              <w:t>NOTICE OF WITHDRAWAL OF PROCEEDINGS UNDER PART 3</w:t>
            </w:r>
          </w:p>
        </w:tc>
      </w:tr>
      <w:tr>
        <w:tc>
          <w:tcPr>
            <w:tcW w:w="7304" w:type="dxa"/>
            <w:gridSpan w:val="2"/>
          </w:tcPr>
          <w:p>
            <w:pPr>
              <w:pStyle w:val="yTable"/>
              <w:rPr>
                <w:b/>
                <w:snapToGrid w:val="0"/>
              </w:rPr>
            </w:pPr>
            <w:r>
              <w:rPr>
                <w:b/>
                <w:snapToGrid w:val="0"/>
              </w:rPr>
              <w:t>To:</w:t>
            </w:r>
          </w:p>
        </w:tc>
      </w:tr>
      <w:tr>
        <w:tc>
          <w:tcPr>
            <w:tcW w:w="7304"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304" w:type="dxa"/>
            <w:gridSpan w:val="2"/>
          </w:tcPr>
          <w:p>
            <w:pPr>
              <w:pStyle w:val="yTable"/>
              <w:rPr>
                <w:b/>
                <w:snapToGrid w:val="0"/>
              </w:rPr>
            </w:pPr>
            <w:r>
              <w:rPr>
                <w:b/>
                <w:snapToGrid w:val="0"/>
              </w:rPr>
              <w:t>Details of infringement notice and alleged offence</w:t>
            </w:r>
          </w:p>
        </w:tc>
      </w:tr>
      <w:tr>
        <w:trPr>
          <w:trHeight w:val="1890"/>
        </w:trPr>
        <w:tc>
          <w:tcPr>
            <w:tcW w:w="7304"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304" w:type="dxa"/>
            <w:gridSpan w:val="2"/>
          </w:tcPr>
          <w:p>
            <w:pPr>
              <w:pStyle w:val="yTable"/>
              <w:rPr>
                <w:b/>
                <w:snapToGrid w:val="0"/>
              </w:rPr>
            </w:pPr>
            <w:r>
              <w:rPr>
                <w:b/>
                <w:snapToGrid w:val="0"/>
              </w:rPr>
              <w:t>Fines Enforcement Registry details</w:t>
            </w:r>
          </w:p>
        </w:tc>
      </w:tr>
      <w:tr>
        <w:tc>
          <w:tcPr>
            <w:tcW w:w="7304"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304"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943"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Subsection"/>
        <w:keepNext/>
        <w:pageBreakBefore/>
        <w:spacing w:before="80"/>
        <w:rPr>
          <w:b/>
          <w:snapToGrid w:val="0"/>
        </w:rPr>
      </w:pPr>
      <w:r>
        <w:rPr>
          <w:rStyle w:val="CharSClsNo"/>
          <w:b/>
        </w:rPr>
        <w:t>2</w:t>
      </w:r>
      <w:r>
        <w:rPr>
          <w:b/>
          <w:snapToGrid w:val="0"/>
        </w:rPr>
        <w:t>.</w:t>
      </w:r>
      <w:r>
        <w:rPr>
          <w:b/>
          <w:snapToGrid w:val="0"/>
        </w:rPr>
        <w:tab/>
      </w:r>
      <w:r>
        <w:rPr>
          <w:b/>
          <w:snapToGrid w:val="0"/>
        </w:rPr>
        <w:tab/>
        <w:t>Warrant of execution for the purposes of section 45 (and Part 5)</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45 (&amp; Part 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127"/>
      </w:tblGrid>
      <w:tr>
        <w:tc>
          <w:tcPr>
            <w:tcW w:w="1539" w:type="dxa"/>
          </w:tcPr>
          <w:p>
            <w:pPr>
              <w:pStyle w:val="yTable"/>
              <w:spacing w:before="120"/>
              <w:rPr>
                <w:spacing w:val="-2"/>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564" w:type="dxa"/>
            <w:gridSpan w:val="3"/>
          </w:tcPr>
          <w:p>
            <w:pPr>
              <w:pStyle w:val="yTable"/>
              <w:rPr>
                <w:spacing w:val="-2"/>
                <w:sz w:val="20"/>
              </w:rPr>
            </w:pPr>
          </w:p>
          <w:p>
            <w:pPr>
              <w:pStyle w:val="yTable"/>
              <w:spacing w:before="40"/>
              <w:rPr>
                <w:spacing w:val="-2"/>
                <w:sz w:val="20"/>
              </w:rPr>
            </w:pPr>
          </w:p>
          <w:p>
            <w:pPr>
              <w:pStyle w:val="yTable"/>
              <w:spacing w:before="40"/>
              <w:rPr>
                <w:spacing w:val="-2"/>
                <w:sz w:val="20"/>
              </w:rPr>
            </w:pPr>
          </w:p>
        </w:tc>
        <w:tc>
          <w:tcPr>
            <w:tcW w:w="2127" w:type="dxa"/>
            <w:tcBorders>
              <w:top w:val="single" w:sz="7" w:space="0" w:color="auto"/>
              <w:left w:val="single" w:sz="7" w:space="0" w:color="auto"/>
              <w:right w:val="single" w:sz="7" w:space="0" w:color="auto"/>
            </w:tcBorders>
          </w:tcPr>
          <w:p>
            <w:pPr>
              <w:pStyle w:val="yTable"/>
              <w:rPr>
                <w:spacing w:val="-2"/>
                <w:sz w:val="20"/>
              </w:rPr>
            </w:pPr>
            <w:r>
              <w:rPr>
                <w:spacing w:val="-2"/>
                <w:sz w:val="20"/>
              </w:rPr>
              <w:t>Warrant No.</w:t>
            </w:r>
          </w:p>
          <w:p>
            <w:pPr>
              <w:pStyle w:val="yTable"/>
              <w:spacing w:before="40"/>
              <w:rPr>
                <w:spacing w:val="-2"/>
                <w:sz w:val="20"/>
              </w:rPr>
            </w:pPr>
            <w:r>
              <w:rPr>
                <w:spacing w:val="-2"/>
                <w:sz w:val="20"/>
              </w:rPr>
              <w:t>ACN No.</w:t>
            </w:r>
          </w:p>
          <w:p>
            <w:pPr>
              <w:pStyle w:val="yTable"/>
              <w:spacing w:before="40"/>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127"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670"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670"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sz w:val="20"/>
              </w:rPr>
            </w:pPr>
          </w:p>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964"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0"/>
        <w:rPr>
          <w:b/>
          <w:snapToGrid w:val="0"/>
          <w:sz w:val="20"/>
        </w:rPr>
      </w:pPr>
    </w:p>
    <w:p>
      <w:pPr>
        <w:pStyle w:val="yTable"/>
        <w:pBdr>
          <w:bottom w:val="single" w:sz="4" w:space="1" w:color="auto"/>
        </w:pBdr>
        <w:tabs>
          <w:tab w:val="left" w:pos="1134"/>
          <w:tab w:val="left" w:pos="5103"/>
        </w:tabs>
        <w:spacing w:before="40"/>
        <w:rPr>
          <w:b/>
          <w:snapToGrid w:val="0"/>
          <w:sz w:val="20"/>
        </w:rPr>
      </w:pPr>
      <w:r>
        <w:rPr>
          <w:b/>
          <w:snapToGrid w:val="0"/>
          <w:sz w:val="20"/>
        </w:rPr>
        <w:tab/>
        <w:t>REGISTRAR</w:t>
      </w:r>
      <w:r>
        <w:rPr>
          <w:b/>
          <w:snapToGrid w:val="0"/>
          <w:sz w:val="20"/>
        </w:rPr>
        <w:tab/>
        <w:t xml:space="preserve">DATE </w:t>
      </w:r>
    </w:p>
    <w:p>
      <w:pPr>
        <w:pStyle w:val="yFootnotesection"/>
        <w:spacing w:before="100"/>
      </w:pPr>
      <w:r>
        <w:tab/>
        <w:t>[Form 2 inserted in Gazette 30 Jun 1995 p. 2638; amended in Gazette 13 May 2005 p. 2082.]</w:t>
      </w:r>
    </w:p>
    <w:p>
      <w:pPr>
        <w:pStyle w:val="ySubsection"/>
        <w:keepNext/>
        <w:pageBreakBefore/>
        <w:rPr>
          <w:b/>
          <w:snapToGrid w:val="0"/>
        </w:rPr>
      </w:pPr>
      <w:r>
        <w:rPr>
          <w:rStyle w:val="CharSClsNo"/>
          <w:b/>
        </w:rPr>
        <w:t>3</w:t>
      </w:r>
      <w:r>
        <w:rPr>
          <w:b/>
          <w:snapToGrid w:val="0"/>
        </w:rPr>
        <w:t>.</w:t>
      </w:r>
      <w:r>
        <w:rPr>
          <w:b/>
          <w:snapToGrid w:val="0"/>
        </w:rPr>
        <w:tab/>
      </w:r>
      <w:r>
        <w:rPr>
          <w:b/>
          <w:snapToGrid w:val="0"/>
        </w:rPr>
        <w:tab/>
        <w:t xml:space="preserve">Warrant of commitment for the purposes of section 53 (and </w:t>
      </w:r>
      <w:r>
        <w:rPr>
          <w:b/>
        </w:rPr>
        <w:t>Part 5</w:t>
      </w:r>
      <w:r>
        <w:rPr>
          <w:b/>
          <w:snapToGrid w:val="0"/>
        </w:rPr>
        <w:t>)</w:t>
      </w:r>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345"/>
        <w:gridCol w:w="3770"/>
        <w:gridCol w:w="1686"/>
      </w:tblGrid>
      <w:tr>
        <w:tc>
          <w:tcPr>
            <w:tcW w:w="1345"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70" w:type="dxa"/>
          </w:tcPr>
          <w:p>
            <w:pPr>
              <w:pStyle w:val="yTable"/>
              <w:spacing w:before="180"/>
              <w:jc w:val="center"/>
              <w:rPr>
                <w:spacing w:val="-2"/>
              </w:rPr>
            </w:pPr>
            <w:r>
              <w:rPr>
                <w:b/>
                <w:spacing w:val="-2"/>
              </w:rPr>
              <w:t>WARRANT OF COMMITMENT</w:t>
            </w:r>
          </w:p>
        </w:tc>
        <w:tc>
          <w:tcPr>
            <w:tcW w:w="1686"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345" w:type="dxa"/>
          </w:tcPr>
          <w:p>
            <w:pPr>
              <w:pStyle w:val="yTable"/>
              <w:rPr>
                <w:sz w:val="14"/>
              </w:rPr>
            </w:pPr>
            <w:r>
              <w:rPr>
                <w:sz w:val="14"/>
              </w:rPr>
              <w:t>Fines Enforcement Registry</w:t>
            </w:r>
          </w:p>
        </w:tc>
        <w:tc>
          <w:tcPr>
            <w:tcW w:w="3770" w:type="dxa"/>
          </w:tcPr>
          <w:p>
            <w:pPr>
              <w:pStyle w:val="yTable"/>
              <w:rPr>
                <w:sz w:val="12"/>
              </w:rPr>
            </w:pPr>
          </w:p>
        </w:tc>
        <w:tc>
          <w:tcPr>
            <w:tcW w:w="1686"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r>
        <w:rPr>
          <w:snapToGrid w:val="0"/>
          <w:sz w:val="14"/>
        </w:rPr>
        <w:t xml:space="preserve"> </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019"/>
      </w:tblGrid>
      <w:tr>
        <w:tc>
          <w:tcPr>
            <w:tcW w:w="1782" w:type="dxa"/>
          </w:tcPr>
          <w:p>
            <w:pPr>
              <w:pStyle w:val="yTable"/>
            </w:pPr>
          </w:p>
        </w:tc>
        <w:tc>
          <w:tcPr>
            <w:tcW w:w="5019"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019"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 4 Jul 2008 p. 3171.]</w:t>
      </w:r>
    </w:p>
    <w:p>
      <w:pPr>
        <w:pStyle w:val="ySubsection"/>
        <w:pageBreakBefore/>
        <w:rPr>
          <w:b/>
          <w:snapToGrid w:val="0"/>
        </w:rPr>
      </w:pPr>
      <w:r>
        <w:rPr>
          <w:rStyle w:val="CharSClsNo"/>
          <w:b/>
        </w:rPr>
        <w:t>4</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236"/>
        <w:gridCol w:w="2029"/>
      </w:tblGrid>
      <w:tr>
        <w:tc>
          <w:tcPr>
            <w:tcW w:w="1539"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236" w:type="dxa"/>
          </w:tcPr>
          <w:p>
            <w:pPr>
              <w:pStyle w:val="yTable"/>
              <w:jc w:val="center"/>
            </w:pPr>
          </w:p>
          <w:p>
            <w:pPr>
              <w:pStyle w:val="yTable"/>
              <w:spacing w:before="120"/>
              <w:jc w:val="center"/>
              <w:rPr>
                <w:spacing w:val="-2"/>
              </w:rPr>
            </w:pPr>
            <w:r>
              <w:rPr>
                <w:b/>
                <w:spacing w:val="-2"/>
              </w:rPr>
              <w:t>WARRANT OF EXECUTION</w:t>
            </w:r>
          </w:p>
        </w:tc>
        <w:tc>
          <w:tcPr>
            <w:tcW w:w="2029"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ACN No.</w:t>
            </w:r>
          </w:p>
          <w:p>
            <w:pPr>
              <w:pStyle w:val="yTable"/>
              <w:rPr>
                <w:sz w:val="14"/>
              </w:rPr>
            </w:pPr>
            <w:r>
              <w:rPr>
                <w:sz w:val="14"/>
              </w:rPr>
              <w:t>Case No.</w:t>
            </w:r>
          </w:p>
        </w:tc>
      </w:tr>
      <w:tr>
        <w:tc>
          <w:tcPr>
            <w:tcW w:w="1539" w:type="dxa"/>
          </w:tcPr>
          <w:p>
            <w:pPr>
              <w:pStyle w:val="yTable"/>
              <w:rPr>
                <w:sz w:val="14"/>
              </w:rPr>
            </w:pPr>
            <w:r>
              <w:rPr>
                <w:sz w:val="14"/>
              </w:rPr>
              <w:t>Fines Enforcement Registry</w:t>
            </w:r>
          </w:p>
        </w:tc>
        <w:tc>
          <w:tcPr>
            <w:tcW w:w="3236" w:type="dxa"/>
          </w:tcPr>
          <w:p>
            <w:pPr>
              <w:pStyle w:val="yTable"/>
              <w:rPr>
                <w:snapToGrid w:val="0"/>
                <w:sz w:val="14"/>
              </w:rPr>
            </w:pPr>
          </w:p>
          <w:p>
            <w:pPr>
              <w:pStyle w:val="yTable"/>
            </w:pPr>
            <w:r>
              <w:rPr>
                <w:snapToGrid w:val="0"/>
                <w:sz w:val="14"/>
              </w:rPr>
              <w:t>To:</w:t>
            </w:r>
            <w:r>
              <w:rPr>
                <w:snapToGrid w:val="0"/>
                <w:sz w:val="14"/>
              </w:rPr>
              <w:tab/>
              <w:t>The Sheriff of Western Australia</w:t>
            </w:r>
          </w:p>
        </w:tc>
        <w:tc>
          <w:tcPr>
            <w:tcW w:w="2029" w:type="dxa"/>
            <w:tcBorders>
              <w:top w:val="single" w:sz="7" w:space="0" w:color="auto"/>
            </w:tcBorders>
          </w:tcPr>
          <w:p>
            <w:pPr>
              <w:pStyle w:val="yTable"/>
            </w:pPr>
          </w:p>
        </w:tc>
      </w:tr>
    </w:tbl>
    <w:p>
      <w:pPr>
        <w:pStyle w:val="yTable"/>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535"/>
      </w:tblGrid>
      <w:tr>
        <w:tc>
          <w:tcPr>
            <w:tcW w:w="1782" w:type="dxa"/>
            <w:tcBorders>
              <w:top w:val="single" w:sz="7" w:space="0" w:color="auto"/>
              <w:left w:val="single" w:sz="7" w:space="0" w:color="auto"/>
            </w:tcBorders>
          </w:tcPr>
          <w:p>
            <w:pPr>
              <w:pStyle w:val="yTable"/>
              <w:spacing w:before="120"/>
              <w:rPr>
                <w:sz w:val="14"/>
              </w:rPr>
            </w:pPr>
            <w:r>
              <w:rPr>
                <w:sz w:val="14"/>
              </w:rPr>
              <w:t>Offender’s</w:t>
            </w:r>
          </w:p>
          <w:p>
            <w:pPr>
              <w:pStyle w:val="yTable"/>
              <w:spacing w:before="0"/>
              <w:rPr>
                <w:sz w:val="14"/>
              </w:rPr>
            </w:pPr>
            <w:r>
              <w:rPr>
                <w:sz w:val="14"/>
              </w:rPr>
              <w:t>details</w:t>
            </w:r>
          </w:p>
        </w:tc>
        <w:tc>
          <w:tcPr>
            <w:tcW w:w="5019" w:type="dxa"/>
            <w:gridSpan w:val="2"/>
            <w:tcBorders>
              <w:top w:val="single" w:sz="7" w:space="0" w:color="auto"/>
              <w:left w:val="single" w:sz="7" w:space="0" w:color="auto"/>
              <w:right w:val="single" w:sz="7" w:space="0" w:color="auto"/>
            </w:tcBorders>
          </w:tcPr>
          <w:p>
            <w:pPr>
              <w:pStyle w:val="yTable"/>
              <w:rPr>
                <w:sz w:val="14"/>
              </w:rPr>
            </w:pPr>
            <w:r>
              <w:rPr>
                <w:sz w:val="14"/>
              </w:rPr>
              <w:t>Name:</w:t>
            </w:r>
          </w:p>
          <w:p>
            <w:pPr>
              <w:pStyle w:val="yTable"/>
              <w:spacing w:before="40"/>
              <w:rPr>
                <w:sz w:val="14"/>
              </w:rPr>
            </w:pPr>
            <w:r>
              <w:rPr>
                <w:sz w:val="14"/>
              </w:rPr>
              <w:t>Address:</w:t>
            </w:r>
          </w:p>
          <w:p>
            <w:pPr>
              <w:pStyle w:val="yTable"/>
              <w:spacing w:before="40"/>
              <w:rPr>
                <w:sz w:val="14"/>
              </w:rPr>
            </w:pPr>
            <w:r>
              <w:rPr>
                <w:sz w:val="14"/>
              </w:rPr>
              <w:t>A.C.N.:</w:t>
            </w:r>
          </w:p>
        </w:tc>
      </w:tr>
      <w:tr>
        <w:tc>
          <w:tcPr>
            <w:tcW w:w="1782" w:type="dxa"/>
            <w:tcBorders>
              <w:top w:val="double" w:sz="7" w:space="0" w:color="auto"/>
              <w:left w:val="single" w:sz="7" w:space="0" w:color="auto"/>
            </w:tcBorders>
          </w:tcPr>
          <w:p>
            <w:pPr>
              <w:pStyle w:val="yTable"/>
              <w:rPr>
                <w:sz w:val="14"/>
              </w:rPr>
            </w:pPr>
          </w:p>
          <w:p>
            <w:pPr>
              <w:pStyle w:val="yTable"/>
              <w:rPr>
                <w:sz w:val="14"/>
              </w:rPr>
            </w:pPr>
          </w:p>
          <w:p>
            <w:pPr>
              <w:pStyle w:val="yTable"/>
              <w:rPr>
                <w:sz w:val="14"/>
              </w:rPr>
            </w:pPr>
            <w:r>
              <w:rPr>
                <w:sz w:val="14"/>
              </w:rPr>
              <w:t>Case details</w:t>
            </w:r>
          </w:p>
        </w:tc>
        <w:tc>
          <w:tcPr>
            <w:tcW w:w="5019" w:type="dxa"/>
            <w:gridSpan w:val="2"/>
            <w:tcBorders>
              <w:top w:val="double" w:sz="7" w:space="0" w:color="auto"/>
              <w:left w:val="single" w:sz="7" w:space="0" w:color="auto"/>
              <w:right w:val="single" w:sz="7" w:space="0" w:color="auto"/>
            </w:tcBorders>
          </w:tcPr>
          <w:p>
            <w:pPr>
              <w:pStyle w:val="yTable"/>
              <w:rPr>
                <w:sz w:val="14"/>
              </w:rPr>
            </w:pPr>
            <w:r>
              <w:rPr>
                <w:sz w:val="14"/>
              </w:rPr>
              <w:t>Reciprocating Court:</w:t>
            </w:r>
          </w:p>
          <w:p>
            <w:pPr>
              <w:pStyle w:val="yTable"/>
              <w:spacing w:before="40"/>
              <w:rPr>
                <w:sz w:val="14"/>
              </w:rPr>
            </w:pPr>
            <w:r>
              <w:rPr>
                <w:sz w:val="14"/>
              </w:rPr>
              <w:t>Location of Reciprocating Court:</w:t>
            </w:r>
          </w:p>
          <w:p>
            <w:pPr>
              <w:pStyle w:val="yTable"/>
              <w:spacing w:before="40"/>
              <w:rPr>
                <w:sz w:val="14"/>
              </w:rPr>
            </w:pPr>
            <w:r>
              <w:rPr>
                <w:sz w:val="14"/>
              </w:rPr>
              <w:t>Date of Order:</w:t>
            </w:r>
          </w:p>
          <w:p>
            <w:pPr>
              <w:pStyle w:val="yTable"/>
              <w:spacing w:before="40" w:after="60"/>
              <w:rPr>
                <w:sz w:val="14"/>
              </w:rPr>
            </w:pPr>
            <w:r>
              <w:rPr>
                <w:sz w:val="14"/>
              </w:rPr>
              <w:t>Nature of Court Order:</w:t>
            </w:r>
          </w:p>
          <w:p>
            <w:pPr>
              <w:pStyle w:val="yTable"/>
              <w:rPr>
                <w:sz w:val="14"/>
              </w:rPr>
            </w:pPr>
            <w:r>
              <w:rPr>
                <w:sz w:val="14"/>
              </w:rPr>
              <w:t>Date of Offence:</w:t>
            </w:r>
          </w:p>
          <w:p>
            <w:pPr>
              <w:pStyle w:val="yTable"/>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rPr>
                <w:sz w:val="14"/>
              </w:rPr>
            </w:pPr>
          </w:p>
          <w:p>
            <w:pPr>
              <w:pStyle w:val="yTable"/>
              <w:rPr>
                <w:sz w:val="14"/>
              </w:rPr>
            </w:pPr>
          </w:p>
          <w:p>
            <w:pPr>
              <w:pStyle w:val="yTable"/>
              <w:rPr>
                <w:sz w:val="14"/>
              </w:rPr>
            </w:pPr>
            <w:r>
              <w:rPr>
                <w:sz w:val="14"/>
              </w:rPr>
              <w:t>Amount</w:t>
            </w:r>
          </w:p>
          <w:p>
            <w:pPr>
              <w:pStyle w:val="yTable"/>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rPr>
                <w:sz w:val="14"/>
              </w:rPr>
            </w:pPr>
            <w:r>
              <w:rPr>
                <w:sz w:val="14"/>
              </w:rPr>
              <w:t>Fine/forfeited amount:</w:t>
            </w:r>
          </w:p>
          <w:p>
            <w:pPr>
              <w:pStyle w:val="yTable"/>
              <w:spacing w:before="40"/>
              <w:rPr>
                <w:sz w:val="14"/>
              </w:rPr>
            </w:pPr>
            <w:r>
              <w:rPr>
                <w:sz w:val="14"/>
              </w:rPr>
              <w:t>Costs:</w:t>
            </w:r>
          </w:p>
          <w:p>
            <w:pPr>
              <w:pStyle w:val="yTable"/>
              <w:spacing w:before="40" w:after="60"/>
              <w:rPr>
                <w:sz w:val="14"/>
              </w:rPr>
            </w:pPr>
            <w:r>
              <w:rPr>
                <w:sz w:val="14"/>
              </w:rPr>
              <w:t>Enforcement fee:</w:t>
            </w:r>
          </w:p>
          <w:p>
            <w:pPr>
              <w:pStyle w:val="yTable"/>
              <w:rPr>
                <w:sz w:val="14"/>
              </w:rPr>
            </w:pPr>
            <w:r>
              <w:rPr>
                <w:sz w:val="14"/>
              </w:rPr>
              <w:t>Sub</w:t>
            </w:r>
            <w:r>
              <w:rPr>
                <w:sz w:val="14"/>
              </w:rPr>
              <w:noBreakHyphen/>
              <w:t>total:</w:t>
            </w:r>
          </w:p>
          <w:p>
            <w:pPr>
              <w:pStyle w:val="yTable"/>
              <w:spacing w:before="40" w:after="60"/>
              <w:rPr>
                <w:sz w:val="14"/>
              </w:rPr>
            </w:pPr>
            <w:r>
              <w:rPr>
                <w:sz w:val="14"/>
              </w:rPr>
              <w:t>Less amount paid:</w:t>
            </w:r>
          </w:p>
          <w:p>
            <w:pPr>
              <w:pStyle w:val="yTable"/>
              <w:rPr>
                <w:sz w:val="14"/>
              </w:rPr>
            </w:pPr>
            <w:r>
              <w:rPr>
                <w:sz w:val="14"/>
              </w:rPr>
              <w:t>AMOUNT OUTSTANDING:</w:t>
            </w:r>
          </w:p>
        </w:tc>
        <w:tc>
          <w:tcPr>
            <w:tcW w:w="2535" w:type="dxa"/>
            <w:tcBorders>
              <w:top w:val="double" w:sz="7" w:space="0" w:color="auto"/>
              <w:left w:val="single" w:sz="7" w:space="0" w:color="auto"/>
              <w:bottom w:val="single" w:sz="7" w:space="0" w:color="auto"/>
              <w:right w:val="single" w:sz="7" w:space="0" w:color="auto"/>
            </w:tcBorders>
          </w:tcPr>
          <w:p>
            <w:pPr>
              <w:pStyle w:val="yTable"/>
              <w:rPr>
                <w:sz w:val="14"/>
              </w:rPr>
            </w:pPr>
          </w:p>
          <w:p>
            <w:pPr>
              <w:pStyle w:val="yTable"/>
              <w:spacing w:before="40"/>
              <w:rPr>
                <w:sz w:val="14"/>
              </w:rPr>
            </w:pPr>
            <w:r>
              <w:rPr>
                <w:sz w:val="14"/>
              </w:rPr>
              <w:t>+</w:t>
            </w:r>
          </w:p>
          <w:p>
            <w:pPr>
              <w:pStyle w:val="yTable"/>
              <w:spacing w:before="40" w:after="60"/>
              <w:rPr>
                <w:sz w:val="14"/>
              </w:rPr>
            </w:pPr>
            <w:r>
              <w:rPr>
                <w:sz w:val="14"/>
              </w:rPr>
              <w:t>+</w:t>
            </w:r>
          </w:p>
          <w:p>
            <w:pPr>
              <w:pStyle w:val="yTable"/>
              <w:rPr>
                <w:sz w:val="14"/>
              </w:rPr>
            </w:pPr>
            <w:r>
              <w:rPr>
                <w:sz w:val="14"/>
              </w:rPr>
              <w:t>=</w:t>
            </w:r>
          </w:p>
          <w:p>
            <w:pPr>
              <w:pStyle w:val="yTable"/>
              <w:spacing w:before="40" w:after="60"/>
              <w:rPr>
                <w:sz w:val="14"/>
              </w:rPr>
            </w:pPr>
            <w:r>
              <w:rPr>
                <w:sz w:val="14"/>
              </w:rPr>
              <w:t>—</w:t>
            </w:r>
          </w:p>
          <w:p>
            <w:pPr>
              <w:pStyle w:val="yTable"/>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Subsection"/>
        <w:pageBreakBefore/>
        <w:spacing w:before="120"/>
        <w:rPr>
          <w:b/>
          <w:snapToGrid w:val="0"/>
        </w:rPr>
      </w:pPr>
      <w:r>
        <w:rPr>
          <w:rStyle w:val="CharSClsNo"/>
          <w:b/>
        </w:rPr>
        <w:t>6</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4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 xml:space="preserve">The </w:t>
            </w:r>
            <w:smartTag w:uri="urn:schemas-microsoft-com:office:smarttags" w:element="Street">
              <w:smartTag w:uri="urn:schemas-microsoft-com:office:smarttags" w:element="address">
                <w:r>
                  <w:rPr>
                    <w:snapToGrid w:val="0"/>
                    <w:sz w:val="20"/>
                  </w:rPr>
                  <w:t>Magistrates Court</w:t>
                </w:r>
              </w:smartTag>
            </w:smartTag>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 xml:space="preserve">The Sheriff of </w:t>
            </w:r>
            <w:smartTag w:uri="urn:schemas-microsoft-com:office:smarttags" w:element="State">
              <w:smartTag w:uri="urn:schemas-microsoft-com:office:smarttags" w:element="place">
                <w:r>
                  <w:rPr>
                    <w:b/>
                    <w:spacing w:val="-1"/>
                    <w:sz w:val="20"/>
                  </w:rPr>
                  <w:t>Western Australia</w:t>
                </w:r>
              </w:smartTag>
            </w:smartTag>
            <w:r>
              <w:rPr>
                <w:b/>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spacing w:before="100"/>
      </w:pPr>
      <w:r>
        <w:tab/>
        <w:t>[Form 6 amended in Gazette 13 May 2005 p. 2082.]</w:t>
      </w:r>
    </w:p>
    <w:p>
      <w:pPr>
        <w:pStyle w:val="ySubsection"/>
        <w:pageBreakBefore/>
        <w:spacing w:before="60"/>
        <w:rPr>
          <w:b/>
        </w:rPr>
      </w:pPr>
      <w:r>
        <w:rPr>
          <w:rStyle w:val="CharSClsNo"/>
          <w:b/>
        </w:rPr>
        <w:t>6A</w:t>
      </w:r>
      <w:r>
        <w:rPr>
          <w:b/>
        </w:rPr>
        <w:t>.</w:t>
      </w:r>
      <w:r>
        <w:rPr>
          <w:b/>
        </w:rPr>
        <w:tab/>
      </w:r>
      <w:r>
        <w:rPr>
          <w:b/>
        </w:rPr>
        <w:tab/>
        <w:t>Memorial of land for the purposes of section 89(2)</w:t>
      </w:r>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188"/>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694"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694"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188"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188"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552"/>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552"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 xml:space="preserve">............................ </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Subsection"/>
        <w:pageBreakBefore/>
        <w:rPr>
          <w:b/>
        </w:rPr>
      </w:pPr>
      <w:r>
        <w:rPr>
          <w:rStyle w:val="CharSClsNo"/>
          <w:b/>
        </w:rPr>
        <w:t>6B</w:t>
      </w:r>
      <w:r>
        <w:rPr>
          <w:b/>
        </w:rPr>
        <w:t>.</w:t>
      </w:r>
      <w:r>
        <w:rPr>
          <w:b/>
        </w:rPr>
        <w:tab/>
      </w:r>
      <w:r>
        <w:rPr>
          <w:b/>
        </w:rPr>
        <w:tab/>
        <w:t>Withdrawal of Memorial of land for the purposes of section 90</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134"/>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962"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694"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134"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spacing w:before="120"/>
              <w:rPr>
                <w:sz w:val="14"/>
              </w:rPr>
            </w:pPr>
            <w:r>
              <w:rPr>
                <w:sz w:val="14"/>
              </w:rPr>
              <w:t>Memorial</w:t>
            </w:r>
            <w:r>
              <w:rPr>
                <w:sz w:val="14"/>
              </w:rPr>
              <w:tab/>
            </w:r>
            <w:r>
              <w:rPr>
                <w:sz w:val="14"/>
              </w:rPr>
              <w:tab/>
              <w:t>Number</w:t>
            </w:r>
          </w:p>
        </w:tc>
      </w:tr>
      <w:tr>
        <w:trPr>
          <w:cantSplit/>
          <w:trHeight w:val="690"/>
        </w:trPr>
        <w:tc>
          <w:tcPr>
            <w:tcW w:w="7230"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405"/>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 xml:space="preserve">............................ </w:t>
            </w:r>
          </w:p>
          <w:p>
            <w:pPr>
              <w:pStyle w:val="yTable"/>
              <w:keepNext/>
              <w:spacing w:before="0"/>
              <w:jc w:val="center"/>
              <w:rPr>
                <w:sz w:val="14"/>
              </w:rPr>
            </w:pPr>
            <w:r>
              <w:t>Sheriff</w:t>
            </w:r>
          </w:p>
        </w:tc>
        <w:tc>
          <w:tcPr>
            <w:tcW w:w="5405"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Subsection"/>
        <w:spacing w:before="240"/>
        <w:rPr>
          <w:b/>
        </w:rPr>
      </w:pPr>
      <w:r>
        <w:rPr>
          <w:rStyle w:val="CharSClsNo"/>
          <w:b/>
        </w:rPr>
        <w:t>8</w:t>
      </w:r>
      <w:r>
        <w:rPr>
          <w:b/>
        </w:rPr>
        <w:t>.</w:t>
      </w:r>
      <w:r>
        <w:rPr>
          <w:b/>
        </w:rPr>
        <w:tab/>
      </w:r>
      <w:r>
        <w:rPr>
          <w:b/>
        </w:rPr>
        <w:tab/>
      </w:r>
      <w:r>
        <w:rPr>
          <w:b/>
          <w:snapToGrid w:val="0"/>
        </w:rPr>
        <w:t>Certificate</w:t>
      </w:r>
      <w:r>
        <w:rPr>
          <w:b/>
        </w:rPr>
        <w:t xml:space="preserve"> under section 101C (Part 3 order)</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 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keepNext/>
        <w:keepLines/>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Subsection"/>
        <w:pageBreakBefore/>
        <w:rPr>
          <w:b/>
        </w:rPr>
      </w:pPr>
      <w:r>
        <w:rPr>
          <w:rStyle w:val="CharSClsNo"/>
          <w:b/>
        </w:rPr>
        <w:t>9</w:t>
      </w:r>
      <w:r>
        <w:rPr>
          <w:b/>
        </w:rPr>
        <w:t>.</w:t>
      </w:r>
      <w:r>
        <w:rPr>
          <w:b/>
        </w:rPr>
        <w:tab/>
      </w:r>
      <w:r>
        <w:rPr>
          <w:b/>
        </w:rPr>
        <w:tab/>
      </w:r>
      <w:r>
        <w:rPr>
          <w:b/>
          <w:snapToGrid w:val="0"/>
        </w:rPr>
        <w:t>Certificate</w:t>
      </w:r>
      <w:r>
        <w:rPr>
          <w:b/>
        </w:rPr>
        <w:t xml:space="preserve"> under section 101C (Part 4 order)</w:t>
      </w:r>
    </w:p>
    <w:p>
      <w:pPr>
        <w:pStyle w:val="ySubsection"/>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pPr>
      <w:r>
        <w:t>Offender:</w:t>
      </w:r>
    </w:p>
    <w:p>
      <w:pPr>
        <w:pStyle w:val="ySubsection"/>
        <w:spacing w:before="0"/>
      </w:pPr>
      <w:r>
        <w:t>Address:</w:t>
      </w:r>
    </w:p>
    <w:p>
      <w:pPr>
        <w:pStyle w:val="ySubsection"/>
        <w:ind w:left="0" w:firstLine="0"/>
      </w:pPr>
      <w:r>
        <w:t>In relation to this offender the following matters are certified as being true and correct:</w:t>
      </w:r>
    </w:p>
    <w:p>
      <w:pPr>
        <w:pStyle w:val="ySubsection"/>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pPr>
      <w:r>
        <w:tab/>
      </w:r>
      <w:r>
        <w:tab/>
        <w:t>The amount of the fine (as defined in section 28(1) of the Act) is [</w:t>
      </w:r>
      <w:r>
        <w:rPr>
          <w:i/>
        </w:rPr>
        <w:t>$</w:t>
      </w:r>
      <w:r>
        <w:t>].</w:t>
      </w:r>
    </w:p>
    <w:p>
      <w:pPr>
        <w:pStyle w:val="ySubsection"/>
      </w:pPr>
      <w:r>
        <w:tab/>
        <w:t>2.</w:t>
      </w:r>
      <w:r>
        <w:tab/>
        <w:t>On [</w:t>
      </w:r>
      <w:r>
        <w:rPr>
          <w:i/>
        </w:rPr>
        <w:t>date</w:t>
      </w:r>
      <w:r>
        <w:t>] the fine was registered under Part 4 of the Act with the Fines Enforcement Registry for enforcement on [</w:t>
      </w:r>
      <w:r>
        <w:rPr>
          <w:i/>
        </w:rPr>
        <w:t>date</w:t>
      </w:r>
      <w:r>
        <w:t>] and was allocated case number [</w:t>
      </w:r>
      <w:r>
        <w:rPr>
          <w:i/>
        </w:rPr>
        <w:t>no.</w:t>
      </w:r>
      <w:r>
        <w:t>].</w:t>
      </w:r>
    </w:p>
    <w:p>
      <w:pPr>
        <w:pStyle w:val="ySubsection"/>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pPr>
      <w:bookmarkStart w:id="293" w:name="_Toc72555449"/>
      <w:bookmarkStart w:id="294" w:name="_Toc72558298"/>
      <w:bookmarkStart w:id="295" w:name="_Toc78176851"/>
      <w:bookmarkStart w:id="296" w:name="_Toc103677334"/>
      <w:bookmarkStart w:id="297" w:name="_Toc103677556"/>
      <w:bookmarkStart w:id="298" w:name="_Toc103677803"/>
      <w:bookmarkStart w:id="299" w:name="_Toc106010756"/>
      <w:bookmarkStart w:id="300" w:name="_Toc113945063"/>
      <w:bookmarkStart w:id="301" w:name="_Toc113945094"/>
      <w:bookmarkStart w:id="302" w:name="_Toc113952859"/>
      <w:bookmarkStart w:id="303" w:name="_Toc113952886"/>
      <w:bookmarkStart w:id="304" w:name="_Toc123622586"/>
      <w:bookmarkStart w:id="305" w:name="_Toc139079803"/>
      <w:bookmarkStart w:id="306" w:name="_Toc139275346"/>
      <w:bookmarkStart w:id="307" w:name="_Toc140636154"/>
      <w:bookmarkStart w:id="308" w:name="_Toc143320165"/>
      <w:bookmarkStart w:id="309" w:name="_Toc143481395"/>
      <w:bookmarkStart w:id="310" w:name="_Toc143481424"/>
      <w:bookmarkStart w:id="311" w:name="_Toc143481452"/>
      <w:bookmarkStart w:id="312" w:name="_Toc143499798"/>
      <w:bookmarkStart w:id="313" w:name="_Toc145304933"/>
      <w:bookmarkStart w:id="314" w:name="_Toc145305024"/>
      <w:bookmarkStart w:id="315" w:name="_Toc147656248"/>
      <w:bookmarkStart w:id="316" w:name="_Toc164759536"/>
      <w:bookmarkStart w:id="317" w:name="_Toc167172997"/>
      <w:bookmarkStart w:id="318" w:name="_Toc167173802"/>
      <w:bookmarkStart w:id="319" w:name="_Toc167177481"/>
      <w:bookmarkStart w:id="320" w:name="_Toc171051605"/>
      <w:bookmarkStart w:id="321" w:name="_Toc194380925"/>
      <w:bookmarkStart w:id="322" w:name="_Toc202852967"/>
      <w:bookmarkStart w:id="323" w:name="_Toc215391109"/>
      <w:bookmarkStart w:id="324" w:name="_Toc215894701"/>
      <w:bookmarkStart w:id="325" w:name="_Toc216237892"/>
      <w:bookmarkStart w:id="326" w:name="_Toc216255950"/>
      <w:bookmarkStart w:id="327" w:name="_Toc233538938"/>
      <w:bookmarkStart w:id="328" w:name="_Toc252515218"/>
      <w:bookmarkStart w:id="329" w:name="_Toc265148487"/>
      <w:bookmarkStart w:id="330" w:name="_Toc272409301"/>
      <w:bookmarkStart w:id="331" w:name="_Toc296075654"/>
      <w:bookmarkStart w:id="332" w:name="_Toc311537084"/>
      <w:r>
        <w:t>Notes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333" w:name="_Toc311537085"/>
      <w:r>
        <w:t>Compilation table</w:t>
      </w:r>
      <w:bookmarkEnd w:id="33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sz w:val="19"/>
              </w:rPr>
            </w:pPr>
            <w:r>
              <w:rPr>
                <w:i/>
                <w:sz w:val="19"/>
              </w:rPr>
              <w:t>Fines, Penalties and Infringement Notices Enforcement Amendment Regulations 1997</w:t>
            </w:r>
            <w:r>
              <w:rPr>
                <w:sz w:val="19"/>
                <w:vertAlign w:val="superscript"/>
              </w:rPr>
              <w:t> 10</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w:t>
            </w:r>
            <w:r>
              <w:rPr>
                <w:sz w:val="19"/>
              </w:rPr>
              <w:noBreakHyphen/>
              <w:t>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w:t>
            </w:r>
            <w:r>
              <w:rPr>
                <w:sz w:val="19"/>
              </w:rPr>
              <w:noBreakHyphen/>
              <w:t>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r>
              <w:rPr>
                <w:sz w:val="19"/>
              </w:rPr>
              <w:b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w:t>
            </w:r>
            <w:r>
              <w:rPr>
                <w:sz w:val="19"/>
              </w:rPr>
              <w:noBreakHyphen/>
              <w:t>2</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3) 2008</w:t>
            </w:r>
          </w:p>
        </w:tc>
        <w:tc>
          <w:tcPr>
            <w:tcW w:w="1276" w:type="dxa"/>
          </w:tcPr>
          <w:p>
            <w:pPr>
              <w:pStyle w:val="nTable"/>
              <w:spacing w:after="40"/>
              <w:rPr>
                <w:sz w:val="19"/>
              </w:rPr>
            </w:pPr>
            <w:r>
              <w:rPr>
                <w:sz w:val="19"/>
              </w:rPr>
              <w:t>27 Mar 2008 p. 903</w:t>
            </w:r>
            <w:r>
              <w:rPr>
                <w:sz w:val="19"/>
              </w:rPr>
              <w:noBreakHyphen/>
              <w:t>4</w:t>
            </w:r>
          </w:p>
        </w:tc>
        <w:tc>
          <w:tcPr>
            <w:tcW w:w="2693" w:type="dxa"/>
          </w:tcPr>
          <w:p>
            <w:pPr>
              <w:pStyle w:val="nTable"/>
              <w:spacing w:after="40"/>
              <w:rPr>
                <w:snapToGrid w:val="0"/>
                <w:sz w:val="19"/>
                <w:lang w:val="en-US"/>
              </w:rPr>
            </w:pPr>
            <w:r>
              <w:rPr>
                <w:snapToGrid w:val="0"/>
                <w:sz w:val="19"/>
                <w:lang w:val="en-US"/>
              </w:rPr>
              <w:t>r. 1 and 2: 27 Mar 2008 (see r. 2(a));</w:t>
            </w:r>
            <w:r>
              <w:rPr>
                <w:snapToGrid w:val="0"/>
                <w:sz w:val="19"/>
                <w:lang w:val="en-US"/>
              </w:rPr>
              <w:br/>
              <w:t xml:space="preserve">Regulations other than r. 1 and 2: 28 Mar 2008 (see r. 2(b) and </w:t>
            </w:r>
            <w:r>
              <w:rPr>
                <w:i/>
                <w:iCs/>
                <w:snapToGrid w:val="0"/>
                <w:sz w:val="19"/>
                <w:lang w:val="en-US"/>
              </w:rPr>
              <w:t>Gazette</w:t>
            </w:r>
            <w:r>
              <w:rPr>
                <w:snapToGrid w:val="0"/>
                <w:sz w:val="19"/>
                <w:lang w:val="en-US"/>
              </w:rPr>
              <w:t xml:space="preserve"> 27 Mar 2008 p. 899)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2008</w:t>
            </w:r>
          </w:p>
        </w:tc>
        <w:tc>
          <w:tcPr>
            <w:tcW w:w="1276" w:type="dxa"/>
          </w:tcPr>
          <w:p>
            <w:pPr>
              <w:pStyle w:val="nTable"/>
              <w:spacing w:after="40"/>
              <w:rPr>
                <w:sz w:val="19"/>
              </w:rPr>
            </w:pPr>
            <w:r>
              <w:rPr>
                <w:sz w:val="19"/>
              </w:rPr>
              <w:t>4 Jul 2008 p. 3171</w:t>
            </w:r>
          </w:p>
        </w:tc>
        <w:tc>
          <w:tcPr>
            <w:tcW w:w="2693" w:type="dxa"/>
          </w:tcPr>
          <w:p>
            <w:pPr>
              <w:pStyle w:val="nTable"/>
              <w:spacing w:after="40"/>
              <w:rPr>
                <w:snapToGrid w:val="0"/>
                <w:sz w:val="19"/>
                <w:lang w:val="en-US"/>
              </w:rPr>
            </w:pPr>
            <w:r>
              <w:rPr>
                <w:snapToGrid w:val="0"/>
                <w:sz w:val="19"/>
                <w:lang w:val="en-US"/>
              </w:rPr>
              <w:t>r. 1 and 2: 4 Jul 2008 (see r. 2(a));</w:t>
            </w:r>
            <w:r>
              <w:rPr>
                <w:snapToGrid w:val="0"/>
                <w:sz w:val="19"/>
                <w:lang w:val="en-US"/>
              </w:rPr>
              <w:br/>
              <w:t>Regulations other than r. 1 and 2: 5 Jul 2008 (see r. 2(b))</w:t>
            </w:r>
          </w:p>
        </w:tc>
      </w:tr>
      <w:tr>
        <w:trPr>
          <w:cantSplit/>
        </w:trPr>
        <w:tc>
          <w:tcPr>
            <w:tcW w:w="7087" w:type="dxa"/>
            <w:gridSpan w:val="3"/>
          </w:tcPr>
          <w:p>
            <w:pPr>
              <w:pStyle w:val="nTable"/>
              <w:spacing w:after="40"/>
              <w:rPr>
                <w:snapToGrid w:val="0"/>
                <w:sz w:val="19"/>
                <w:lang w:val="en-US"/>
              </w:rPr>
            </w:pPr>
            <w:r>
              <w:rPr>
                <w:b/>
                <w:sz w:val="19"/>
              </w:rPr>
              <w:t xml:space="preserve">Reprint 4: The </w:t>
            </w:r>
            <w:r>
              <w:rPr>
                <w:b/>
                <w:i/>
                <w:sz w:val="19"/>
              </w:rPr>
              <w:t>Fines, Penalties and Infringement Notices Enforcement Regulations 1994</w:t>
            </w:r>
            <w:r>
              <w:rPr>
                <w:b/>
                <w:sz w:val="19"/>
              </w:rPr>
              <w:t xml:space="preserve"> as at 12 Dec 2008</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2009</w:t>
            </w:r>
          </w:p>
        </w:tc>
        <w:tc>
          <w:tcPr>
            <w:tcW w:w="1276" w:type="dxa"/>
          </w:tcPr>
          <w:p>
            <w:pPr>
              <w:pStyle w:val="nTable"/>
              <w:spacing w:after="40"/>
              <w:rPr>
                <w:sz w:val="19"/>
              </w:rPr>
            </w:pPr>
            <w:r>
              <w:rPr>
                <w:sz w:val="19"/>
              </w:rPr>
              <w:t>23 Jun 2009 p. 2466</w:t>
            </w:r>
          </w:p>
        </w:tc>
        <w:tc>
          <w:tcPr>
            <w:tcW w:w="2693" w:type="dxa"/>
          </w:tcPr>
          <w:p>
            <w:pPr>
              <w:pStyle w:val="nTable"/>
              <w:spacing w:after="40"/>
              <w:rPr>
                <w:snapToGrid w:val="0"/>
                <w:sz w:val="19"/>
                <w:lang w:val="en-US"/>
              </w:rPr>
            </w:pPr>
            <w:r>
              <w:rPr>
                <w:snapToGrid w:val="0"/>
                <w:sz w:val="19"/>
                <w:lang w:val="en-US"/>
              </w:rPr>
              <w:t>r. 1 and 2: 23 Jun 2009(see r. 2(a));</w:t>
            </w:r>
            <w:r>
              <w:rPr>
                <w:snapToGrid w:val="0"/>
                <w:sz w:val="19"/>
                <w:lang w:val="en-US"/>
              </w:rPr>
              <w:br/>
              <w:t>Regulations other than r. 1 and 2: 24 Jun 2009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2009</w:t>
            </w:r>
          </w:p>
        </w:tc>
        <w:tc>
          <w:tcPr>
            <w:tcW w:w="1276" w:type="dxa"/>
          </w:tcPr>
          <w:p>
            <w:pPr>
              <w:pStyle w:val="nTable"/>
              <w:spacing w:after="40"/>
              <w:rPr>
                <w:sz w:val="19"/>
              </w:rPr>
            </w:pPr>
            <w:r>
              <w:rPr>
                <w:sz w:val="19"/>
              </w:rPr>
              <w:t>29 Jan 2010 p. 199-200</w:t>
            </w:r>
          </w:p>
        </w:tc>
        <w:tc>
          <w:tcPr>
            <w:tcW w:w="2693" w:type="dxa"/>
          </w:tcPr>
          <w:p>
            <w:pPr>
              <w:pStyle w:val="nTable"/>
              <w:spacing w:after="40"/>
              <w:rPr>
                <w:snapToGrid w:val="0"/>
                <w:sz w:val="19"/>
                <w:lang w:val="en-US"/>
              </w:rPr>
            </w:pPr>
            <w:r>
              <w:rPr>
                <w:snapToGrid w:val="0"/>
                <w:sz w:val="19"/>
                <w:lang w:val="en-US"/>
              </w:rPr>
              <w:t>r. 1 and 2: 29 Jan 2010 (see r. 2(a));</w:t>
            </w:r>
            <w:r>
              <w:rPr>
                <w:snapToGrid w:val="0"/>
                <w:sz w:val="19"/>
                <w:lang w:val="en-US"/>
              </w:rPr>
              <w:br/>
              <w:t>Regulations other than r. 1 and 2: 30 Jan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2010</w:t>
            </w:r>
          </w:p>
        </w:tc>
        <w:tc>
          <w:tcPr>
            <w:tcW w:w="1276" w:type="dxa"/>
          </w:tcPr>
          <w:p>
            <w:pPr>
              <w:pStyle w:val="nTable"/>
              <w:spacing w:after="40"/>
              <w:rPr>
                <w:sz w:val="19"/>
              </w:rPr>
            </w:pPr>
            <w:r>
              <w:rPr>
                <w:sz w:val="19"/>
              </w:rPr>
              <w:t>25 Jun 2010 p. 2869</w:t>
            </w:r>
          </w:p>
        </w:tc>
        <w:tc>
          <w:tcPr>
            <w:tcW w:w="2693" w:type="dxa"/>
          </w:tcPr>
          <w:p>
            <w:pPr>
              <w:pStyle w:val="nTable"/>
              <w:spacing w:after="40"/>
              <w:rPr>
                <w:snapToGrid w:val="0"/>
                <w:sz w:val="19"/>
                <w:lang w:val="en-US"/>
              </w:rPr>
            </w:pPr>
            <w:r>
              <w:rPr>
                <w:snapToGrid w:val="0"/>
                <w:sz w:val="19"/>
                <w:lang w:val="en-US"/>
              </w:rPr>
              <w:t>r. 1 and 2: 25 Jun 2010 (see r. 2(a));</w:t>
            </w:r>
            <w:r>
              <w:rPr>
                <w:snapToGrid w:val="0"/>
                <w:sz w:val="19"/>
                <w:lang w:val="en-US"/>
              </w:rPr>
              <w:br/>
              <w:t>Regulations other than r. 1 and 2: 26 Jun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2010</w:t>
            </w:r>
          </w:p>
        </w:tc>
        <w:tc>
          <w:tcPr>
            <w:tcW w:w="1276" w:type="dxa"/>
          </w:tcPr>
          <w:p>
            <w:pPr>
              <w:pStyle w:val="nTable"/>
              <w:spacing w:after="40"/>
              <w:rPr>
                <w:sz w:val="19"/>
              </w:rPr>
            </w:pPr>
            <w:r>
              <w:rPr>
                <w:sz w:val="19"/>
              </w:rPr>
              <w:t>17 Sep 2010 p. 4759</w:t>
            </w:r>
          </w:p>
        </w:tc>
        <w:tc>
          <w:tcPr>
            <w:tcW w:w="2693" w:type="dxa"/>
          </w:tcPr>
          <w:p>
            <w:pPr>
              <w:pStyle w:val="nTable"/>
              <w:spacing w:after="40"/>
              <w:rPr>
                <w:snapToGrid w:val="0"/>
                <w:sz w:val="19"/>
                <w:lang w:val="en-US"/>
              </w:rPr>
            </w:pPr>
            <w:r>
              <w:rPr>
                <w:snapToGrid w:val="0"/>
                <w:sz w:val="19"/>
                <w:lang w:val="en-US"/>
              </w:rPr>
              <w:t>r. 1 and 2: 17 Sep 2010 (see r. 2(a));</w:t>
            </w:r>
            <w:r>
              <w:rPr>
                <w:snapToGrid w:val="0"/>
                <w:sz w:val="19"/>
                <w:lang w:val="en-US"/>
              </w:rPr>
              <w:br/>
              <w:t>Regulations other than r. 1 and 2: 18 Sep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2011</w:t>
            </w:r>
          </w:p>
        </w:tc>
        <w:tc>
          <w:tcPr>
            <w:tcW w:w="1276" w:type="dxa"/>
          </w:tcPr>
          <w:p>
            <w:pPr>
              <w:pStyle w:val="nTable"/>
              <w:spacing w:after="40"/>
              <w:rPr>
                <w:sz w:val="19"/>
              </w:rPr>
            </w:pPr>
            <w:r>
              <w:rPr>
                <w:sz w:val="19"/>
              </w:rPr>
              <w:t>17 Jun 2011 p. 2169</w:t>
            </w:r>
          </w:p>
        </w:tc>
        <w:tc>
          <w:tcPr>
            <w:tcW w:w="2693" w:type="dxa"/>
          </w:tcPr>
          <w:p>
            <w:pPr>
              <w:pStyle w:val="nTable"/>
              <w:spacing w:after="40"/>
              <w:rPr>
                <w:snapToGrid w:val="0"/>
                <w:sz w:val="19"/>
                <w:lang w:val="en-US"/>
              </w:rPr>
            </w:pPr>
            <w:r>
              <w:rPr>
                <w:snapToGrid w:val="0"/>
                <w:sz w:val="19"/>
                <w:lang w:val="en-US"/>
              </w:rPr>
              <w:t>r. 1 and 2: 17 Jun 2011 (see r. 2(a));</w:t>
            </w:r>
            <w:r>
              <w:rPr>
                <w:snapToGrid w:val="0"/>
                <w:sz w:val="19"/>
                <w:lang w:val="en-US"/>
              </w:rPr>
              <w:br/>
              <w:t>Regulations other than r. 1 and 2: 18 Jun 2011 (see r. 2(b))</w:t>
            </w:r>
          </w:p>
        </w:tc>
      </w:tr>
      <w:tr>
        <w:trPr>
          <w:cantSplit/>
        </w:trPr>
        <w:tc>
          <w:tcPr>
            <w:tcW w:w="3118" w:type="dxa"/>
            <w:tcBorders>
              <w:bottom w:val="single" w:sz="4" w:space="0" w:color="auto"/>
            </w:tcBorders>
          </w:tcPr>
          <w:p>
            <w:pPr>
              <w:pStyle w:val="nTable"/>
              <w:spacing w:after="40"/>
              <w:ind w:right="170"/>
              <w:rPr>
                <w:i/>
                <w:sz w:val="19"/>
              </w:rPr>
            </w:pPr>
            <w:r>
              <w:rPr>
                <w:i/>
              </w:rPr>
              <w:t>Fines, Penalties and Infringement Notices Enforcement Amendment Regulations (No. 4) 2011</w:t>
            </w:r>
          </w:p>
        </w:tc>
        <w:tc>
          <w:tcPr>
            <w:tcW w:w="1276" w:type="dxa"/>
            <w:tcBorders>
              <w:bottom w:val="single" w:sz="4" w:space="0" w:color="auto"/>
            </w:tcBorders>
          </w:tcPr>
          <w:p>
            <w:pPr>
              <w:pStyle w:val="nTable"/>
              <w:spacing w:after="40"/>
              <w:rPr>
                <w:sz w:val="19"/>
              </w:rPr>
            </w:pPr>
            <w:r>
              <w:rPr>
                <w:sz w:val="19"/>
              </w:rPr>
              <w:t>13 Dec 2011 p. 5281</w:t>
            </w:r>
            <w:r>
              <w:rPr>
                <w:sz w:val="19"/>
              </w:rPr>
              <w:noBreakHyphen/>
              <w:t>2</w:t>
            </w:r>
          </w:p>
        </w:tc>
        <w:tc>
          <w:tcPr>
            <w:tcW w:w="2693" w:type="dxa"/>
            <w:tcBorders>
              <w:bottom w:val="single" w:sz="4" w:space="0" w:color="auto"/>
            </w:tcBorders>
          </w:tcPr>
          <w:p>
            <w:pPr>
              <w:pStyle w:val="nTable"/>
              <w:spacing w:after="40"/>
              <w:rPr>
                <w:snapToGrid w:val="0"/>
                <w:sz w:val="19"/>
                <w:lang w:val="en-US"/>
              </w:rPr>
            </w:pPr>
            <w:r>
              <w:rPr>
                <w:snapToGrid w:val="0"/>
                <w:spacing w:val="-2"/>
                <w:sz w:val="19"/>
                <w:lang w:val="en-US"/>
              </w:rPr>
              <w:t>r. 1 and 2: 13 Dec 2011 (see r. 2(a));</w:t>
            </w:r>
            <w:r>
              <w:rPr>
                <w:snapToGrid w:val="0"/>
                <w:spacing w:val="-2"/>
                <w:sz w:val="19"/>
                <w:lang w:val="en-US"/>
              </w:rPr>
              <w:br/>
              <w:t>Regulations other than r. 1 and 2: 14 Dec 2011 (see r. 2(b))</w:t>
            </w:r>
          </w:p>
        </w:tc>
      </w:tr>
    </w:tbl>
    <w:p>
      <w:pPr>
        <w:pStyle w:val="nSubsection"/>
        <w:spacing w:before="12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160"/>
        <w:rPr>
          <w:snapToGrid w:val="0"/>
        </w:rPr>
      </w:pPr>
      <w:r>
        <w:rPr>
          <w:snapToGrid w:val="0"/>
          <w:vertAlign w:val="superscript"/>
        </w:rPr>
        <w:t>3</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snapToGrid w:val="0"/>
          <w:vertAlign w:val="superscript"/>
        </w:rPr>
        <w:t>4</w:t>
      </w:r>
      <w:r>
        <w:tab/>
        <w:t xml:space="preserve">Under the </w:t>
      </w:r>
      <w:r>
        <w:rPr>
          <w:i/>
        </w:rPr>
        <w:t>Public Sector Management Act 1994</w:t>
      </w:r>
      <w:r>
        <w:t xml:space="preserve"> the names of departments may be changed. At the time of this compilation the former Department of Conservation and Land Management was called the Department of Environment and Conservation.</w:t>
      </w:r>
    </w:p>
    <w:p>
      <w:pPr>
        <w:pStyle w:val="nSubsection"/>
      </w:pPr>
      <w:r>
        <w:rPr>
          <w:vertAlign w:val="superscript"/>
        </w:rPr>
        <w:t>5</w:t>
      </w:r>
      <w:r>
        <w:tab/>
        <w:t xml:space="preserve">Under the </w:t>
      </w:r>
      <w:r>
        <w:rPr>
          <w:i/>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rPr>
        <w:t>Public Sector Management Act 1994</w:t>
      </w:r>
      <w:r>
        <w:t xml:space="preserve"> the names of departments may be changed. At the time of this compilation the former Department of Environment was called the Department of Environment and Conservation.</w:t>
      </w:r>
    </w:p>
    <w:p>
      <w:pPr>
        <w:pStyle w:val="nSubsection"/>
        <w:ind w:left="480" w:hanging="480"/>
      </w:pPr>
      <w:r>
        <w:rPr>
          <w:vertAlign w:val="superscript"/>
        </w:rPr>
        <w:t>6</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ind w:left="480" w:hanging="480"/>
      </w:pPr>
      <w:r>
        <w:rPr>
          <w:vertAlign w:val="superscript"/>
        </w:rPr>
        <w:t>7</w:t>
      </w:r>
      <w:r>
        <w:rPr>
          <w:vertAlign w:val="superscript"/>
        </w:rPr>
        <w:tab/>
      </w:r>
      <w:r>
        <w:t xml:space="preserve">Under the </w:t>
      </w:r>
      <w:r>
        <w:rPr>
          <w:i/>
        </w:rPr>
        <w:t>Alteration of Statutory Designations Order (No. 3) 2001</w:t>
      </w:r>
      <w:r>
        <w:t xml:space="preserve"> a reference in any law to the Office of Racing, Gaming and Liquor is read and construed as a reference to the Department of Racing, Gaming and Liquor.</w:t>
      </w:r>
    </w:p>
    <w:p>
      <w:pPr>
        <w:pStyle w:val="nSubsection"/>
      </w:pPr>
      <w:r>
        <w:rPr>
          <w:vertAlign w:val="superscript"/>
        </w:rPr>
        <w:t>8</w:t>
      </w:r>
      <w:r>
        <w:tab/>
        <w:t>Now superseded by the Water Corporation.</w:t>
      </w:r>
    </w:p>
    <w:p>
      <w:pPr>
        <w:pStyle w:val="nSubsection"/>
      </w:pPr>
      <w:r>
        <w:rPr>
          <w:vertAlign w:val="superscript"/>
        </w:rPr>
        <w:t>9</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lang w:val="en-US"/>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pPr>
      <w:r>
        <w:rPr>
          <w:vertAlign w:val="superscript"/>
        </w:rPr>
        <w:t>10</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78"/>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Enactments to which Part 3 of the Act applies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Enforcement fees for Part 3 of the Act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Enactments to which Part 3 of the Act applies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Enforcement fees for Part 3 of the Act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18CE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BCEE6E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7B8D0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3AA7B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BCAC932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730E5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C56ED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71A9E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410A754"/>
    <w:lvl w:ilvl="0">
      <w:start w:val="1"/>
      <w:numFmt w:val="decimal"/>
      <w:pStyle w:val="ListNumber"/>
      <w:lvlText w:val="%1."/>
      <w:lvlJc w:val="left"/>
      <w:pPr>
        <w:tabs>
          <w:tab w:val="num" w:pos="360"/>
        </w:tabs>
        <w:ind w:left="360" w:hanging="360"/>
      </w:pPr>
    </w:lvl>
  </w:abstractNum>
  <w:abstractNum w:abstractNumId="9">
    <w:nsid w:val="FFFFFF89"/>
    <w:multiLevelType w:val="singleLevel"/>
    <w:tmpl w:val="451838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A15002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38D0ECB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0"/>
  </w:num>
  <w:num w:numId="14">
    <w:abstractNumId w:val="17"/>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0337"/>
    <w:docVar w:name="WAFER_20151210140337" w:val="RemoveTrackChanges"/>
    <w:docVar w:name="WAFER_20151210140337_GUID" w:val="2b97552d-b2d3-4f6c-8186-07a2568127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6892</Words>
  <Characters>35841</Characters>
  <Application>Microsoft Office Word</Application>
  <DocSecurity>0</DocSecurity>
  <Lines>1378</Lines>
  <Paragraphs>890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1994 - 04-g0-02</dc:title>
  <dc:subject/>
  <dc:creator/>
  <cp:keywords/>
  <dc:description/>
  <cp:lastModifiedBy>svcMRProcess</cp:lastModifiedBy>
  <cp:revision>4</cp:revision>
  <cp:lastPrinted>2008-12-08T00:55:00Z</cp:lastPrinted>
  <dcterms:created xsi:type="dcterms:W3CDTF">2020-02-25T16:24:00Z</dcterms:created>
  <dcterms:modified xsi:type="dcterms:W3CDTF">2020-02-25T16:24:00Z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20111214</vt:lpwstr>
  </property>
  <property fmtid="{D5CDD505-2E9C-101B-9397-08002B2CF9AE}" pid="4" name="DocumentType">
    <vt:lpwstr>Reg</vt:lpwstr>
  </property>
  <property fmtid="{D5CDD505-2E9C-101B-9397-08002B2CF9AE}" pid="5" name="OwlsUID">
    <vt:i4>4443</vt:i4>
  </property>
  <property fmtid="{D5CDD505-2E9C-101B-9397-08002B2CF9AE}" pid="6" name="ReprintNo">
    <vt:lpwstr>4</vt:lpwstr>
  </property>
  <property fmtid="{D5CDD505-2E9C-101B-9397-08002B2CF9AE}" pid="7" name="AsAtDate">
    <vt:lpwstr>14 Dec 2011</vt:lpwstr>
  </property>
  <property fmtid="{D5CDD505-2E9C-101B-9397-08002B2CF9AE}" pid="8" name="Suffix">
    <vt:lpwstr>04-g0-02</vt:lpwstr>
  </property>
</Properties>
</file>