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Trading Stamp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Trading Stamp Act 1981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_Toc103073203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_Toc103073204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_Toc103073205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_Toc103073206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Liability where offence committed by body corporate</w:t>
      </w:r>
      <w:r>
        <w:rPr>
          <w:noProof/>
        </w:rPr>
        <w:tab/>
      </w:r>
      <w:r>
        <w:rPr>
          <w:noProof/>
        </w:rPr>
        <w:fldChar w:fldCharType="begin"/>
      </w:r>
      <w:r>
        <w:rPr>
          <w:noProof/>
        </w:rPr>
        <w:instrText xml:space="preserve"> PAGEREF _Toc103073207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Consent of Attorney General to prosecutions</w:t>
      </w:r>
      <w:r>
        <w:rPr>
          <w:noProof/>
        </w:rPr>
        <w:tab/>
      </w:r>
      <w:r>
        <w:rPr>
          <w:noProof/>
        </w:rPr>
        <w:fldChar w:fldCharType="begin"/>
      </w:r>
      <w:r>
        <w:rPr>
          <w:noProof/>
        </w:rPr>
        <w:instrText xml:space="preserve"> PAGEREF _Toc103073208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_Toc103073210 \h </w:instrText>
      </w:r>
      <w:r>
        <w:rPr>
          <w:noProof/>
        </w:rPr>
      </w:r>
      <w:r>
        <w:rPr>
          <w:noProof/>
        </w:rPr>
        <w:fldChar w:fldCharType="separate"/>
      </w:r>
      <w:r>
        <w:rPr>
          <w:noProof/>
        </w:rPr>
        <w:t>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Trading Stamp Act 1981 </w:t>
      </w:r>
    </w:p>
    <w:p>
      <w:pPr>
        <w:pStyle w:val="LongTitle"/>
        <w:rPr>
          <w:snapToGrid w:val="0"/>
        </w:rPr>
      </w:pPr>
      <w:r>
        <w:rPr>
          <w:snapToGrid w:val="0"/>
        </w:rPr>
        <w:t>An Act to prohibit third</w:t>
      </w:r>
      <w:r>
        <w:rPr>
          <w:snapToGrid w:val="0"/>
        </w:rPr>
        <w:noBreakHyphen/>
        <w:t xml:space="preserve">party trading stamps, to repeal the </w:t>
      </w:r>
      <w:r>
        <w:rPr>
          <w:i/>
          <w:snapToGrid w:val="0"/>
        </w:rPr>
        <w:t>Trading Stamp Act 1948 </w:t>
      </w:r>
      <w:r>
        <w:rPr>
          <w:snapToGrid w:val="0"/>
          <w:vertAlign w:val="superscript"/>
        </w:rPr>
        <w:t>2</w:t>
      </w:r>
      <w:r>
        <w:rPr>
          <w:snapToGrid w:val="0"/>
        </w:rPr>
        <w:t xml:space="preserve">, and for connected purposes. </w:t>
      </w:r>
    </w:p>
    <w:p>
      <w:pPr>
        <w:pStyle w:val="Heading5"/>
        <w:rPr>
          <w:snapToGrid w:val="0"/>
        </w:rPr>
      </w:pPr>
      <w:bookmarkStart w:id="2" w:name="_Toc411819489"/>
      <w:bookmarkStart w:id="3" w:name="_Toc10307320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Trading Stamp Act 1981</w:t>
      </w:r>
      <w:r>
        <w:rPr>
          <w:snapToGrid w:val="0"/>
          <w:vertAlign w:val="superscript"/>
        </w:rPr>
        <w:t> 1</w:t>
      </w:r>
      <w:r>
        <w:rPr>
          <w:snapToGrid w:val="0"/>
        </w:rPr>
        <w:t>.</w:t>
      </w:r>
    </w:p>
    <w:p>
      <w:pPr>
        <w:pStyle w:val="Heading5"/>
        <w:rPr>
          <w:snapToGrid w:val="0"/>
        </w:rPr>
      </w:pPr>
      <w:bookmarkStart w:id="4" w:name="_Toc411819490"/>
      <w:bookmarkStart w:id="5" w:name="_Toc10307320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11819491"/>
      <w:bookmarkStart w:id="7" w:name="_Toc103073205"/>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redeem</w:t>
      </w:r>
      <w:r>
        <w:rPr>
          <w:b/>
        </w:rPr>
        <w:t>”</w:t>
      </w:r>
      <w:r>
        <w:t xml:space="preserve">, in relation to a trading stamp, means to give any form of prize, gift, or other benefit in return for, on production of, or otherwise in respect of, a trading stamp; and </w:t>
      </w:r>
      <w:r>
        <w:rPr>
          <w:b/>
        </w:rPr>
        <w:t>“</w:t>
      </w:r>
      <w:r>
        <w:rPr>
          <w:rStyle w:val="CharDefText"/>
        </w:rPr>
        <w:t>redeemable</w:t>
      </w:r>
      <w:r>
        <w:rPr>
          <w:b/>
        </w:rPr>
        <w:t>”</w:t>
      </w:r>
      <w:r>
        <w:t xml:space="preserve"> has a corresponding meaning;</w:t>
      </w:r>
    </w:p>
    <w:p>
      <w:pPr>
        <w:pStyle w:val="Defstart"/>
      </w:pPr>
      <w:r>
        <w:rPr>
          <w:b/>
        </w:rPr>
        <w:tab/>
        <w:t>“</w:t>
      </w:r>
      <w:r>
        <w:rPr>
          <w:rStyle w:val="CharDefText"/>
        </w:rPr>
        <w:t>sale</w:t>
      </w:r>
      <w:r>
        <w:rPr>
          <w:b/>
        </w:rPr>
        <w:t>”</w:t>
      </w:r>
      <w:r>
        <w:t xml:space="preserve">, in relation to services, means the making of a contract under which one party (in this Act referred to as </w:t>
      </w:r>
      <w:r>
        <w:rPr>
          <w:b/>
        </w:rPr>
        <w:t>“</w:t>
      </w:r>
      <w:r>
        <w:rPr>
          <w:rStyle w:val="CharDefText"/>
        </w:rPr>
        <w:t>the vendor</w:t>
      </w:r>
      <w:r>
        <w:rPr>
          <w:b/>
        </w:rPr>
        <w:t>”</w:t>
      </w:r>
      <w:r>
        <w:t xml:space="preserve"> of the services) agrees to provide services for another party (in this Act referred to as </w:t>
      </w:r>
      <w:r>
        <w:rPr>
          <w:b/>
        </w:rPr>
        <w:t>“</w:t>
      </w:r>
      <w:r>
        <w:rPr>
          <w:rStyle w:val="CharDefText"/>
        </w:rPr>
        <w:t>the purchaser</w:t>
      </w:r>
      <w:r>
        <w:rPr>
          <w:b/>
        </w:rPr>
        <w:t>”</w:t>
      </w:r>
      <w:r>
        <w:t xml:space="preserve"> of the services);</w:t>
      </w:r>
    </w:p>
    <w:p>
      <w:pPr>
        <w:pStyle w:val="Defstart"/>
        <w:keepNext/>
        <w:keepLines/>
      </w:pPr>
      <w:r>
        <w:rPr>
          <w:b/>
        </w:rPr>
        <w:tab/>
        <w:t>“</w:t>
      </w:r>
      <w:r>
        <w:rPr>
          <w:rStyle w:val="CharDefText"/>
        </w:rPr>
        <w:t>third</w:t>
      </w:r>
      <w:r>
        <w:rPr>
          <w:rStyle w:val="CharDefText"/>
        </w:rPr>
        <w:noBreakHyphen/>
        <w:t>party trading stamp</w:t>
      </w:r>
      <w:r>
        <w:rPr>
          <w:b/>
        </w:rPr>
        <w:t>”</w:t>
      </w:r>
      <w:r>
        <w:t xml:space="preserve"> means a trading stamp that is redeemable by a person other than — </w:t>
      </w:r>
    </w:p>
    <w:p>
      <w:pPr>
        <w:pStyle w:val="Defpara"/>
      </w:pPr>
      <w:r>
        <w:tab/>
        <w:t>(a)</w:t>
      </w:r>
      <w:r>
        <w:tab/>
        <w:t>the manufacturer or a vendor of the goods; or</w:t>
      </w:r>
    </w:p>
    <w:p>
      <w:pPr>
        <w:pStyle w:val="Defpara"/>
      </w:pPr>
      <w:r>
        <w:tab/>
        <w:t>(b)</w:t>
      </w:r>
      <w:r>
        <w:tab/>
        <w:t>the vendor of the services,</w:t>
      </w:r>
    </w:p>
    <w:p>
      <w:pPr>
        <w:pStyle w:val="Defstart"/>
      </w:pPr>
      <w:r>
        <w:tab/>
      </w:r>
      <w:r>
        <w:tab/>
        <w:t>in connection with the sale of which, or for the purpose of promoting the sale of which, the trading stamp is, or is intended to be, supplied;</w:t>
      </w:r>
    </w:p>
    <w:p>
      <w:pPr>
        <w:pStyle w:val="Defstart"/>
      </w:pPr>
      <w:r>
        <w:rPr>
          <w:b/>
        </w:rPr>
        <w:tab/>
        <w:t>“</w:t>
      </w:r>
      <w:r>
        <w:rPr>
          <w:rStyle w:val="CharDefText"/>
        </w:rPr>
        <w:t>trading stamp</w:t>
      </w:r>
      <w:r>
        <w:rPr>
          <w:b/>
        </w:rPr>
        <w:t>”</w:t>
      </w:r>
      <w:r>
        <w:t xml:space="preserve"> means a stamp, coupon, token, voucher, ticket, or other thing — </w:t>
      </w:r>
    </w:p>
    <w:p>
      <w:pPr>
        <w:pStyle w:val="Defpara"/>
      </w:pPr>
      <w:r>
        <w:tab/>
        <w:t>(a)</w:t>
      </w:r>
      <w:r>
        <w:tab/>
        <w:t>that is, or is intended to be, supplied — </w:t>
      </w:r>
    </w:p>
    <w:p>
      <w:pPr>
        <w:pStyle w:val="Defsubpara"/>
        <w:rPr>
          <w:snapToGrid w:val="0"/>
        </w:rPr>
      </w:pPr>
      <w:r>
        <w:rPr>
          <w:snapToGrid w:val="0"/>
        </w:rPr>
        <w:tab/>
        <w:t>(i)</w:t>
      </w:r>
      <w:r>
        <w:rPr>
          <w:snapToGrid w:val="0"/>
        </w:rPr>
        <w:tab/>
        <w:t>in connection with the sale of goods or services; or</w:t>
      </w:r>
    </w:p>
    <w:p>
      <w:pPr>
        <w:pStyle w:val="Defsubpara"/>
        <w:rPr>
          <w:snapToGrid w:val="0"/>
        </w:rPr>
      </w:pPr>
      <w:r>
        <w:rPr>
          <w:snapToGrid w:val="0"/>
        </w:rPr>
        <w:tab/>
        <w:t>(ii)</w:t>
      </w:r>
      <w:r>
        <w:rPr>
          <w:snapToGrid w:val="0"/>
        </w:rPr>
        <w:tab/>
        <w:t xml:space="preserve">for the purpose of promoting the sale of goods or services; </w:t>
      </w:r>
    </w:p>
    <w:p>
      <w:pPr>
        <w:pStyle w:val="Defpara"/>
      </w:pPr>
      <w:r>
        <w:tab/>
      </w:r>
      <w:r>
        <w:tab/>
        <w:t>and</w:t>
      </w:r>
    </w:p>
    <w:p>
      <w:pPr>
        <w:pStyle w:val="Defpara"/>
      </w:pPr>
      <w:r>
        <w:tab/>
        <w:t>(b)</w:t>
      </w:r>
      <w:r>
        <w:tab/>
        <w:t>by virtue of which the purchaser of the goods or services, or any other person, may become entitled to, or may qualify for, a prize, gift, or other benefit (whether the trading stamp constitutes an absolute or conditional entitlement or qualification).</w:t>
      </w:r>
    </w:p>
    <w:p>
      <w:pPr>
        <w:pStyle w:val="Heading5"/>
        <w:rPr>
          <w:snapToGrid w:val="0"/>
        </w:rPr>
      </w:pPr>
      <w:bookmarkStart w:id="8" w:name="_Toc411819492"/>
      <w:bookmarkStart w:id="9" w:name="_Toc103073206"/>
      <w:r>
        <w:rPr>
          <w:rStyle w:val="CharSectno"/>
        </w:rPr>
        <w:t>4</w:t>
      </w:r>
      <w:r>
        <w:rPr>
          <w:snapToGrid w:val="0"/>
        </w:rPr>
        <w:t>.</w:t>
      </w:r>
      <w:r>
        <w:rPr>
          <w:snapToGrid w:val="0"/>
        </w:rPr>
        <w:tab/>
        <w:t>Offences</w:t>
      </w:r>
      <w:bookmarkEnd w:id="8"/>
      <w:bookmarkEnd w:id="9"/>
      <w:r>
        <w:rPr>
          <w:snapToGrid w:val="0"/>
        </w:rPr>
        <w:t xml:space="preserve"> </w:t>
      </w:r>
    </w:p>
    <w:p>
      <w:pPr>
        <w:pStyle w:val="Subsection"/>
        <w:rPr>
          <w:snapToGrid w:val="0"/>
        </w:rPr>
      </w:pPr>
      <w:r>
        <w:rPr>
          <w:snapToGrid w:val="0"/>
        </w:rPr>
        <w:tab/>
        <w:t>(1)</w:t>
      </w:r>
      <w:r>
        <w:rPr>
          <w:snapToGrid w:val="0"/>
        </w:rPr>
        <w:tab/>
        <w:t>A person shall not supply or offer to supply a third</w:t>
      </w:r>
      <w:r>
        <w:rPr>
          <w:snapToGrid w:val="0"/>
        </w:rPr>
        <w:noBreakHyphen/>
        <w:t>party trading stamp in connection with the sale of goods or services or for the purpose of promoting the sale of goods or services.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redeem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publish or cause to be published an advertisement relating to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(4)</w:t>
      </w:r>
      <w:r>
        <w:rPr>
          <w:snapToGrid w:val="0"/>
        </w:rPr>
        <w:tab/>
        <w:t>It is a defence to a charge of an offence against subsection (3) for the accused to prove that he did not know, and could not reasonably be expected to have known, that the trading stamps to which the advertisement related were third</w:t>
      </w:r>
      <w:r>
        <w:rPr>
          <w:snapToGrid w:val="0"/>
        </w:rPr>
        <w:noBreakHyphen/>
        <w:t>party trading stamps.</w:t>
      </w:r>
    </w:p>
    <w:p>
      <w:pPr>
        <w:pStyle w:val="Footnotesection"/>
      </w:pPr>
      <w:r>
        <w:tab/>
        <w:t xml:space="preserve">[Section 4 amended by No. 84 of 2004 s. 82.] </w:t>
      </w:r>
    </w:p>
    <w:p>
      <w:pPr>
        <w:pStyle w:val="Heading5"/>
        <w:rPr>
          <w:snapToGrid w:val="0"/>
        </w:rPr>
      </w:pPr>
      <w:bookmarkStart w:id="10" w:name="_Toc411819493"/>
      <w:bookmarkStart w:id="11" w:name="_Toc103073207"/>
      <w:r>
        <w:rPr>
          <w:rStyle w:val="CharSectno"/>
        </w:rPr>
        <w:t>5</w:t>
      </w:r>
      <w:r>
        <w:rPr>
          <w:snapToGrid w:val="0"/>
        </w:rPr>
        <w:t>.</w:t>
      </w:r>
      <w:r>
        <w:rPr>
          <w:snapToGrid w:val="0"/>
        </w:rPr>
        <w:tab/>
        <w:t>Liability where offence committed by body corporate</w:t>
      </w:r>
      <w:bookmarkEnd w:id="10"/>
      <w:bookmarkEnd w:id="11"/>
      <w:r>
        <w:rPr>
          <w:snapToGrid w:val="0"/>
        </w:rPr>
        <w:t xml:space="preserve"> </w:t>
      </w:r>
    </w:p>
    <w:p>
      <w:pPr>
        <w:pStyle w:val="Subsection"/>
        <w:rPr>
          <w:snapToGrid w:val="0"/>
        </w:rPr>
      </w:pPr>
      <w:r>
        <w:rPr>
          <w:snapToGrid w:val="0"/>
        </w:rPr>
        <w:tab/>
      </w:r>
      <w:r>
        <w:rPr>
          <w:snapToGrid w:val="0"/>
        </w:rPr>
        <w:tab/>
        <w:t>Where a person by whom an offence against this Act is committed is a body corporate, every director or other officer concerned in any capacity in the management of the body corporate is guilty of the like offence unless he proves that the offence was committed without his consent or connivance and that he exercised all such due diligence to prevent the commission of the offence as he ought to have exercised having regard to the nature of his functions in that capacity and to all the circumstances.</w:t>
      </w:r>
    </w:p>
    <w:p>
      <w:pPr>
        <w:pStyle w:val="Heading5"/>
        <w:rPr>
          <w:snapToGrid w:val="0"/>
        </w:rPr>
      </w:pPr>
      <w:bookmarkStart w:id="12" w:name="_Toc411819494"/>
      <w:bookmarkStart w:id="13" w:name="_Toc103073208"/>
      <w:r>
        <w:rPr>
          <w:rStyle w:val="CharSectno"/>
        </w:rPr>
        <w:t>6</w:t>
      </w:r>
      <w:r>
        <w:rPr>
          <w:snapToGrid w:val="0"/>
        </w:rPr>
        <w:t>.</w:t>
      </w:r>
      <w:r>
        <w:rPr>
          <w:snapToGrid w:val="0"/>
        </w:rPr>
        <w:tab/>
        <w:t>Consent of Attorney General to prosecutions</w:t>
      </w:r>
      <w:bookmarkEnd w:id="12"/>
      <w:bookmarkEnd w:id="13"/>
      <w:r>
        <w:rPr>
          <w:snapToGrid w:val="0"/>
        </w:rPr>
        <w:t xml:space="preserve"> </w:t>
      </w:r>
    </w:p>
    <w:p>
      <w:pPr>
        <w:pStyle w:val="Subsection"/>
        <w:rPr>
          <w:snapToGrid w:val="0"/>
        </w:rPr>
      </w:pPr>
      <w:r>
        <w:rPr>
          <w:snapToGrid w:val="0"/>
        </w:rPr>
        <w:tab/>
        <w:t>(1)</w:t>
      </w:r>
      <w:r>
        <w:rPr>
          <w:snapToGrid w:val="0"/>
        </w:rPr>
        <w:tab/>
        <w:t>No prosecution for an offence against this Act shall be instituted without the consent in writing of the Attorney General.</w:t>
      </w:r>
    </w:p>
    <w:p>
      <w:pPr>
        <w:pStyle w:val="Subsection"/>
        <w:rPr>
          <w:snapToGrid w:val="0"/>
        </w:rPr>
      </w:pPr>
      <w:r>
        <w:rPr>
          <w:snapToGrid w:val="0"/>
        </w:rPr>
        <w:tab/>
        <w:t>(2)</w:t>
      </w:r>
      <w:r>
        <w:rPr>
          <w:snapToGrid w:val="0"/>
        </w:rPr>
        <w:tab/>
        <w:t>A document purporting to be the consent of the Attorney General to the institution of a prosecution for an offence against this Act shall, for the purposes of this section, be taken to be such consent unless the contrary is proved.</w:t>
      </w:r>
    </w:p>
    <w:p>
      <w:pPr>
        <w:pStyle w:val="Ednotesection"/>
      </w:pPr>
      <w:r>
        <w:t>[</w:t>
      </w:r>
      <w:r>
        <w:rPr>
          <w:b/>
        </w:rPr>
        <w:t>7.</w:t>
      </w:r>
      <w:r>
        <w:tab/>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 w:name="_Toc95902596"/>
      <w:bookmarkStart w:id="15" w:name="_Toc95902739"/>
      <w:bookmarkStart w:id="16" w:name="_Toc95903413"/>
      <w:bookmarkStart w:id="17" w:name="_Toc96918724"/>
      <w:bookmarkStart w:id="18" w:name="_Toc103073209"/>
      <w:r>
        <w:t>Notes</w:t>
      </w:r>
      <w:bookmarkEnd w:id="14"/>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Trading Stamp Act 1981</w:t>
      </w:r>
      <w:r>
        <w:rPr>
          <w:snapToGrid w:val="0"/>
        </w:rPr>
        <w:t xml:space="preserve">.  The following table contains information about that Act and any reprint. </w:t>
      </w:r>
    </w:p>
    <w:p>
      <w:pPr>
        <w:pStyle w:val="nHeading3"/>
        <w:rPr>
          <w:snapToGrid w:val="0"/>
        </w:rPr>
      </w:pPr>
      <w:bookmarkStart w:id="19" w:name="_Toc103073210"/>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Trading Stamp Act 1981</w:t>
            </w:r>
          </w:p>
        </w:tc>
        <w:tc>
          <w:tcPr>
            <w:tcW w:w="1134" w:type="dxa"/>
          </w:tcPr>
          <w:p>
            <w:pPr>
              <w:pStyle w:val="nTable"/>
              <w:spacing w:after="40"/>
              <w:rPr>
                <w:sz w:val="19"/>
              </w:rPr>
            </w:pPr>
            <w:r>
              <w:rPr>
                <w:sz w:val="19"/>
              </w:rPr>
              <w:t>46 of 1981</w:t>
            </w:r>
          </w:p>
        </w:tc>
        <w:tc>
          <w:tcPr>
            <w:tcW w:w="1134" w:type="dxa"/>
          </w:tcPr>
          <w:p>
            <w:pPr>
              <w:pStyle w:val="nTable"/>
              <w:spacing w:after="40"/>
              <w:rPr>
                <w:sz w:val="19"/>
              </w:rPr>
            </w:pPr>
            <w:r>
              <w:rPr>
                <w:sz w:val="19"/>
              </w:rPr>
              <w:t>16 Sep 1981</w:t>
            </w:r>
          </w:p>
        </w:tc>
        <w:tc>
          <w:tcPr>
            <w:tcW w:w="2551" w:type="dxa"/>
          </w:tcPr>
          <w:p>
            <w:pPr>
              <w:pStyle w:val="nTable"/>
              <w:spacing w:after="40"/>
              <w:rPr>
                <w:sz w:val="19"/>
              </w:rPr>
            </w:pPr>
            <w:r>
              <w:rPr>
                <w:sz w:val="19"/>
              </w:rPr>
              <w:t xml:space="preserve">1 Nov 1981 (see s. 2 and </w:t>
            </w:r>
            <w:r>
              <w:rPr>
                <w:i/>
                <w:sz w:val="19"/>
              </w:rPr>
              <w:t>Gazette</w:t>
            </w:r>
            <w:r>
              <w:rPr>
                <w:sz w:val="19"/>
              </w:rPr>
              <w:t xml:space="preserve"> 23 Oct 1981 p. 4360)</w:t>
            </w:r>
          </w:p>
        </w:tc>
      </w:tr>
      <w:tr>
        <w:trPr>
          <w:cantSplit/>
        </w:trPr>
        <w:tc>
          <w:tcPr>
            <w:tcW w:w="7087" w:type="dxa"/>
            <w:gridSpan w:val="4"/>
          </w:tcPr>
          <w:p>
            <w:pPr>
              <w:pStyle w:val="nTable"/>
              <w:spacing w:after="40"/>
              <w:rPr>
                <w:b/>
                <w:sz w:val="19"/>
              </w:rPr>
            </w:pPr>
            <w:r>
              <w:rPr>
                <w:b/>
                <w:sz w:val="19"/>
              </w:rPr>
              <w:t xml:space="preserve">Reprint 1: The </w:t>
            </w:r>
            <w:r>
              <w:rPr>
                <w:b/>
                <w:i/>
                <w:noProof/>
                <w:snapToGrid w:val="0"/>
                <w:sz w:val="19"/>
              </w:rPr>
              <w:t>Trading Stamp Act 1981</w:t>
            </w:r>
            <w:r>
              <w:rPr>
                <w:i/>
                <w:snapToGrid w:val="0"/>
              </w:rPr>
              <w:t xml:space="preserve"> </w:t>
            </w:r>
            <w:r>
              <w:rPr>
                <w:b/>
                <w:sz w:val="19"/>
              </w:rPr>
              <w:t>as at 9 May 2003</w:t>
            </w:r>
          </w:p>
        </w:tc>
      </w:tr>
      <w:tr>
        <w:tc>
          <w:tcPr>
            <w:tcW w:w="2268" w:type="dxa"/>
            <w:tcBorders>
              <w:bottom w:val="single" w:sz="4" w:space="0" w:color="auto"/>
            </w:tcBorders>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after="40"/>
              <w:rPr>
                <w:sz w:val="19"/>
              </w:rPr>
            </w:pPr>
            <w:r>
              <w:rPr>
                <w:snapToGrid w:val="0"/>
                <w:sz w:val="19"/>
                <w:lang w:val="en-US"/>
              </w:rPr>
              <w:t>84 of 2004</w:t>
            </w:r>
          </w:p>
        </w:tc>
        <w:tc>
          <w:tcPr>
            <w:tcW w:w="1134" w:type="dxa"/>
            <w:tcBorders>
              <w:bottom w:val="single" w:sz="4" w:space="0" w:color="auto"/>
            </w:tcBorders>
          </w:tcPr>
          <w:p>
            <w:pPr>
              <w:pStyle w:val="nTable"/>
              <w:spacing w:after="40"/>
              <w:rPr>
                <w:sz w:val="19"/>
              </w:rPr>
            </w:pPr>
            <w:r>
              <w:rPr>
                <w:sz w:val="19"/>
              </w:rPr>
              <w:t>16 Dec 2004</w:t>
            </w:r>
          </w:p>
        </w:tc>
        <w:tc>
          <w:tcPr>
            <w:tcW w:w="2551" w:type="dxa"/>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The provision in this Act repealing that Act has been omitted under s. 7(4)(f) of the </w:t>
      </w:r>
      <w:r>
        <w:rPr>
          <w:i/>
        </w:rPr>
        <w:t>Reprints Act 1984</w:t>
      </w:r>
      <w:r>
        <w:t xml:space="preserve"> from this compilation</w:t>
      </w:r>
      <w:r>
        <w:rPr>
          <w:i/>
        </w:rPr>
        <w:t>.</w:t>
      </w:r>
      <w:r>
        <w:t xml:space="preserve"> </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Trading Stamp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Trading Stamp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Trading Stamp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Trading Stamp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56"/>
    <w:docVar w:name="WAFER_20151211085456" w:val="RemoveTrackChanges"/>
    <w:docVar w:name="WAFER_20151211085456_GUID" w:val="8a5889b5-0c6f-4970-9fc4-3aeec8463e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867</Words>
  <Characters>4080</Characters>
  <Application>Microsoft Office Word</Application>
  <DocSecurity>0</DocSecurity>
  <Lines>136</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Stamp Act 1981 - 01-b0-03</dc:title>
  <dc:subject/>
  <dc:creator/>
  <cp:keywords/>
  <dc:description/>
  <cp:lastModifiedBy>svcMRProcess</cp:lastModifiedBy>
  <cp:revision>4</cp:revision>
  <cp:lastPrinted>2003-05-22T07:23:00Z</cp:lastPrinted>
  <dcterms:created xsi:type="dcterms:W3CDTF">2015-12-14T18:15:00Z</dcterms:created>
  <dcterms:modified xsi:type="dcterms:W3CDTF">2015-12-14T18:15:00Z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1981</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826</vt:i4>
  </property>
  <property fmtid="{D5CDD505-2E9C-101B-9397-08002B2CF9AE}" pid="6" name="AsAtDate">
    <vt:lpwstr>02 May 2005</vt:lpwstr>
  </property>
  <property fmtid="{D5CDD505-2E9C-101B-9397-08002B2CF9AE}" pid="7" name="Suffix">
    <vt:lpwstr>01-b0-03</vt:lpwstr>
  </property>
</Properties>
</file>