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Control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Casino Control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_Toc415232272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_Toc415232273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_Toc415232274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Commission’s staff for casinos</w:t>
      </w:r>
      <w:r>
        <w:tab/>
      </w:r>
      <w:r>
        <w:fldChar w:fldCharType="begin"/>
      </w:r>
      <w:r>
        <w:instrText xml:space="preserve"> PAGEREF _Toc415232276 \h </w:instrText>
      </w:r>
      <w:r>
        <w:fldChar w:fldCharType="separate"/>
      </w:r>
      <w:r>
        <w:t>6</w:t>
      </w:r>
      <w:r>
        <w:fldChar w:fldCharType="end"/>
      </w:r>
    </w:p>
    <w:p>
      <w:pPr>
        <w:pStyle w:val="TOC8"/>
        <w:rPr>
          <w:rFonts w:asciiTheme="minorHAnsi" w:eastAsiaTheme="minorEastAsia" w:hAnsiTheme="minorHAnsi" w:cstheme="minorBidi"/>
          <w:szCs w:val="22"/>
        </w:rPr>
      </w:pPr>
      <w:r>
        <w:t>10.</w:t>
      </w:r>
      <w:r>
        <w:tab/>
        <w:t>Protection from liability for Commission’s officers and Crown</w:t>
      </w:r>
      <w:r>
        <w:tab/>
      </w:r>
      <w:r>
        <w:fldChar w:fldCharType="begin"/>
      </w:r>
      <w:r>
        <w:instrText xml:space="preserve"> PAGEREF _Toc415232277 \h </w:instrText>
      </w:r>
      <w:r>
        <w:fldChar w:fldCharType="separate"/>
      </w:r>
      <w:r>
        <w:t>7</w:t>
      </w:r>
      <w:r>
        <w:fldChar w:fldCharType="end"/>
      </w:r>
    </w:p>
    <w:p>
      <w:pPr>
        <w:pStyle w:val="TOC8"/>
        <w:rPr>
          <w:rFonts w:asciiTheme="minorHAnsi" w:eastAsiaTheme="minorEastAsia" w:hAnsiTheme="minorHAnsi" w:cstheme="minorBidi"/>
          <w:szCs w:val="22"/>
        </w:rPr>
      </w:pPr>
      <w:r>
        <w:t>11.</w:t>
      </w:r>
      <w:r>
        <w:tab/>
        <w:t>Chief Casino Officer may delegate</w:t>
      </w:r>
      <w:r>
        <w:tab/>
      </w:r>
      <w:r>
        <w:fldChar w:fldCharType="begin"/>
      </w:r>
      <w:r>
        <w:instrText xml:space="preserve"> PAGEREF _Toc415232278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certain information authorised</w:t>
      </w:r>
      <w:r>
        <w:tab/>
      </w:r>
      <w:r>
        <w:fldChar w:fldCharType="begin"/>
      </w:r>
      <w:r>
        <w:instrText xml:space="preserve"> PAGEREF _Toc415232279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available for administering this Act</w:t>
      </w:r>
      <w:r>
        <w:tab/>
      </w:r>
      <w:r>
        <w:fldChar w:fldCharType="begin"/>
      </w:r>
      <w:r>
        <w:instrText xml:space="preserve"> PAGEREF _Toc415232280 \h </w:instrText>
      </w:r>
      <w:r>
        <w:fldChar w:fldCharType="separate"/>
      </w:r>
      <w:r>
        <w:t>9</w:t>
      </w:r>
      <w:r>
        <w:fldChar w:fldCharType="end"/>
      </w:r>
    </w:p>
    <w:p>
      <w:pPr>
        <w:pStyle w:val="TOC8"/>
        <w:rPr>
          <w:rFonts w:asciiTheme="minorHAnsi" w:eastAsiaTheme="minorEastAsia" w:hAnsiTheme="minorHAnsi" w:cstheme="minorBidi"/>
          <w:szCs w:val="22"/>
        </w:rPr>
      </w:pPr>
      <w:r>
        <w:t>15.</w:t>
      </w:r>
      <w:r>
        <w:tab/>
        <w:t>Unclaimed winnings</w:t>
      </w:r>
      <w:r>
        <w:tab/>
      </w:r>
      <w:r>
        <w:fldChar w:fldCharType="begin"/>
      </w:r>
      <w:r>
        <w:instrText xml:space="preserve"> PAGEREF _Toc415232281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Casino complex agreement</w:t>
      </w:r>
    </w:p>
    <w:p>
      <w:pPr>
        <w:pStyle w:val="TOC8"/>
        <w:rPr>
          <w:rFonts w:asciiTheme="minorHAnsi" w:eastAsiaTheme="minorEastAsia" w:hAnsiTheme="minorHAnsi" w:cstheme="minorBidi"/>
          <w:szCs w:val="22"/>
        </w:rPr>
      </w:pPr>
      <w:r>
        <w:t>18</w:t>
      </w:r>
      <w:r>
        <w:rPr>
          <w:snapToGrid w:val="0"/>
        </w:rPr>
        <w:t>.</w:t>
      </w:r>
      <w:r>
        <w:tab/>
      </w:r>
      <w:r>
        <w:rPr>
          <w:snapToGrid w:val="0"/>
        </w:rPr>
        <w:t>Terms used</w:t>
      </w:r>
      <w:r>
        <w:tab/>
      </w:r>
      <w:r>
        <w:fldChar w:fldCharType="begin"/>
      </w:r>
      <w:r>
        <w:instrText xml:space="preserve"> PAGEREF _Toc415232283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enter into agreement with respect to construction and establishment of casino complex</w:t>
      </w:r>
      <w:r>
        <w:tab/>
      </w:r>
      <w:r>
        <w:fldChar w:fldCharType="begin"/>
      </w:r>
      <w:r>
        <w:instrText xml:space="preserve"> PAGEREF _Toc415232284 \h </w:instrText>
      </w:r>
      <w:r>
        <w:fldChar w:fldCharType="separate"/>
      </w:r>
      <w:r>
        <w:t>13</w:t>
      </w:r>
      <w:r>
        <w:fldChar w:fldCharType="end"/>
      </w:r>
    </w:p>
    <w:p>
      <w:pPr>
        <w:pStyle w:val="TOC8"/>
        <w:rPr>
          <w:rFonts w:asciiTheme="minorHAnsi" w:eastAsiaTheme="minorEastAsia" w:hAnsiTheme="minorHAnsi" w:cstheme="minorBidi"/>
          <w:szCs w:val="22"/>
        </w:rPr>
      </w:pPr>
      <w:r>
        <w:t>19A.</w:t>
      </w:r>
      <w:r>
        <w:tab/>
        <w:t>Notice to be given of proposal to exercise power under s. 19B(1)</w:t>
      </w:r>
      <w:r>
        <w:tab/>
      </w:r>
      <w:r>
        <w:fldChar w:fldCharType="begin"/>
      </w:r>
      <w:r>
        <w:instrText xml:space="preserve"> PAGEREF _Toc415232285 \h </w:instrText>
      </w:r>
      <w:r>
        <w:fldChar w:fldCharType="separate"/>
      </w:r>
      <w:r>
        <w:t>15</w:t>
      </w:r>
      <w:r>
        <w:fldChar w:fldCharType="end"/>
      </w:r>
    </w:p>
    <w:p>
      <w:pPr>
        <w:pStyle w:val="TOC8"/>
        <w:rPr>
          <w:rFonts w:asciiTheme="minorHAnsi" w:eastAsiaTheme="minorEastAsia" w:hAnsiTheme="minorHAnsi" w:cstheme="minorBidi"/>
          <w:szCs w:val="22"/>
        </w:rPr>
      </w:pPr>
      <w:r>
        <w:t>19B.</w:t>
      </w:r>
      <w:r>
        <w:tab/>
        <w:t>Close associate of public company may be required to dispose of shares etc.</w:t>
      </w:r>
      <w:r>
        <w:tab/>
      </w:r>
      <w:r>
        <w:fldChar w:fldCharType="begin"/>
      </w:r>
      <w:r>
        <w:instrText xml:space="preserve"> PAGEREF _Toc415232286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Casino gaming licence fees and taxes</w:t>
      </w:r>
      <w:r>
        <w:tab/>
      </w:r>
      <w:r>
        <w:fldChar w:fldCharType="begin"/>
      </w:r>
      <w:r>
        <w:instrText xml:space="preserve"> PAGEREF _Toc415232287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Late payment of licence fee or tax, penalty for</w:t>
      </w:r>
      <w:r>
        <w:tab/>
      </w:r>
      <w:r>
        <w:fldChar w:fldCharType="begin"/>
      </w:r>
      <w:r>
        <w:instrText xml:space="preserve"> PAGEREF _Toc415232288 \h </w:instrText>
      </w:r>
      <w:r>
        <w:fldChar w:fldCharType="separate"/>
      </w:r>
      <w:r>
        <w:t>17</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Recovery of, and liability for, licence fees, taxes and penalties</w:t>
      </w:r>
      <w:r>
        <w:tab/>
      </w:r>
      <w:r>
        <w:fldChar w:fldCharType="begin"/>
      </w:r>
      <w:r>
        <w:instrText xml:space="preserve"> PAGEREF _Toc415232289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Casino gaming licence</w:t>
      </w:r>
    </w:p>
    <w:p>
      <w:pPr>
        <w:pStyle w:val="TOC8"/>
        <w:rPr>
          <w:rFonts w:asciiTheme="minorHAnsi" w:eastAsiaTheme="minorEastAsia" w:hAnsiTheme="minorHAnsi" w:cstheme="minorBidi"/>
          <w:szCs w:val="22"/>
        </w:rPr>
      </w:pPr>
      <w:r>
        <w:t>21</w:t>
      </w:r>
      <w:r>
        <w:rPr>
          <w:snapToGrid w:val="0"/>
        </w:rPr>
        <w:t>.</w:t>
      </w:r>
      <w:r>
        <w:rPr>
          <w:snapToGrid w:val="0"/>
        </w:rPr>
        <w:tab/>
        <w:t>Applications for and grant of casino gaming licences</w:t>
      </w:r>
      <w:r>
        <w:tab/>
      </w:r>
      <w:r>
        <w:fldChar w:fldCharType="begin"/>
      </w:r>
      <w:r>
        <w:instrText xml:space="preserve"> PAGEREF _Toc415232291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Investigations etc., Commission’s powers as to</w:t>
      </w:r>
      <w:r>
        <w:tab/>
      </w:r>
      <w:r>
        <w:fldChar w:fldCharType="begin"/>
      </w:r>
      <w:r>
        <w:instrText xml:space="preserve"> PAGEREF _Toc415232292 \h </w:instrText>
      </w:r>
      <w:r>
        <w:fldChar w:fldCharType="separate"/>
      </w:r>
      <w:r>
        <w:t>23</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Report etc. under s. 21A, Minister’s powers on receiving</w:t>
      </w:r>
      <w:r>
        <w:tab/>
      </w:r>
      <w:r>
        <w:fldChar w:fldCharType="begin"/>
      </w:r>
      <w:r>
        <w:instrText xml:space="preserve"> PAGEREF _Toc415232293 \h </w:instrText>
      </w:r>
      <w:r>
        <w:fldChar w:fldCharType="separate"/>
      </w:r>
      <w:r>
        <w:t>26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Termination of casino complex agreement, Minister may revoke licence on</w:t>
      </w:r>
      <w:r>
        <w:tab/>
      </w:r>
      <w:r>
        <w:fldChar w:fldCharType="begin"/>
      </w:r>
      <w:r>
        <w:instrText xml:space="preserve"> PAGEREF _Toc415232294 \h </w:instrText>
      </w:r>
      <w:r>
        <w:fldChar w:fldCharType="separate"/>
      </w:r>
      <w:r>
        <w:t>28</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Casino gaming licence may be surrendered</w:t>
      </w:r>
      <w:r>
        <w:tab/>
      </w:r>
      <w:r>
        <w:fldChar w:fldCharType="begin"/>
      </w:r>
      <w:r>
        <w:instrText xml:space="preserve"> PAGEREF _Toc415232295 \h </w:instrText>
      </w:r>
      <w:r>
        <w:fldChar w:fldCharType="separate"/>
      </w:r>
      <w:r>
        <w:t>28</w:t>
      </w:r>
      <w:r>
        <w:fldChar w:fldCharType="end"/>
      </w:r>
    </w:p>
    <w:p>
      <w:pPr>
        <w:pStyle w:val="TOC8"/>
        <w:rPr>
          <w:rFonts w:asciiTheme="minorHAnsi" w:eastAsiaTheme="minorEastAsia" w:hAnsiTheme="minorHAnsi" w:cstheme="minorBidi"/>
          <w:szCs w:val="22"/>
        </w:rPr>
      </w:pPr>
      <w:r>
        <w:t>21E</w:t>
      </w:r>
      <w:r>
        <w:rPr>
          <w:snapToGrid w:val="0"/>
        </w:rPr>
        <w:t>.</w:t>
      </w:r>
      <w:r>
        <w:rPr>
          <w:snapToGrid w:val="0"/>
        </w:rPr>
        <w:tab/>
        <w:t>Suspension or revocation of licence, administrator may be appointed</w:t>
      </w:r>
      <w:r>
        <w:tab/>
      </w:r>
      <w:r>
        <w:fldChar w:fldCharType="begin"/>
      </w:r>
      <w:r>
        <w:instrText xml:space="preserve"> PAGEREF _Toc415232296 \h </w:instrText>
      </w:r>
      <w:r>
        <w:fldChar w:fldCharType="separate"/>
      </w:r>
      <w:r>
        <w:t>28</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Casino licensee’s powers to mortgage, sell, assign etc. its licence, premises etc.</w:t>
      </w:r>
      <w:r>
        <w:tab/>
      </w:r>
      <w:r>
        <w:fldChar w:fldCharType="begin"/>
      </w:r>
      <w:r>
        <w:instrText xml:space="preserve"> PAGEREF _Toc415232297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Control of casino</w:t>
      </w:r>
    </w:p>
    <w:p>
      <w:pPr>
        <w:pStyle w:val="TOC8"/>
        <w:rPr>
          <w:rFonts w:asciiTheme="minorHAnsi" w:eastAsiaTheme="minorEastAsia" w:hAnsiTheme="minorHAnsi" w:cstheme="minorBidi"/>
          <w:szCs w:val="22"/>
        </w:rPr>
      </w:pPr>
      <w:r>
        <w:t>22</w:t>
      </w:r>
      <w:r>
        <w:rPr>
          <w:snapToGrid w:val="0"/>
        </w:rPr>
        <w:t>.</w:t>
      </w:r>
      <w:r>
        <w:rPr>
          <w:snapToGrid w:val="0"/>
        </w:rPr>
        <w:tab/>
        <w:t>Authorised games, rules of games</w:t>
      </w:r>
      <w:r>
        <w:tab/>
      </w:r>
      <w:r>
        <w:fldChar w:fldCharType="begin"/>
      </w:r>
      <w:r>
        <w:instrText xml:space="preserve"> PAGEREF _Toc415232299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games, miscellaneous provisions about</w:t>
      </w:r>
      <w:r>
        <w:tab/>
      </w:r>
      <w:r>
        <w:fldChar w:fldCharType="begin"/>
      </w:r>
      <w:r>
        <w:instrText xml:space="preserve"> PAGEREF _Toc415232300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Gaming operations at casino, Commission may direct licensee as to</w:t>
      </w:r>
      <w:r>
        <w:tab/>
      </w:r>
      <w:r>
        <w:fldChar w:fldCharType="begin"/>
      </w:r>
      <w:r>
        <w:instrText xml:space="preserve"> PAGEREF _Toc415232301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Records of gaming operations etc.</w:t>
      </w:r>
      <w:r>
        <w:tab/>
      </w:r>
      <w:r>
        <w:fldChar w:fldCharType="begin"/>
      </w:r>
      <w:r>
        <w:instrText xml:space="preserve"> PAGEREF _Toc415232302 \h </w:instrText>
      </w:r>
      <w:r>
        <w:fldChar w:fldCharType="separate"/>
      </w:r>
      <w:r>
        <w:t>39</w:t>
      </w:r>
      <w:r>
        <w:fldChar w:fldCharType="end"/>
      </w:r>
    </w:p>
    <w:p>
      <w:pPr>
        <w:pStyle w:val="TOC8"/>
        <w:rPr>
          <w:rFonts w:asciiTheme="minorHAnsi" w:eastAsiaTheme="minorEastAsia" w:hAnsiTheme="minorHAnsi" w:cstheme="minorBidi"/>
          <w:szCs w:val="22"/>
        </w:rPr>
      </w:pPr>
      <w:r>
        <w:t>25A.</w:t>
      </w:r>
      <w:r>
        <w:tab/>
        <w:t>Junkets and junket operators, regulations about</w:t>
      </w:r>
      <w:r>
        <w:tab/>
      </w:r>
      <w:r>
        <w:fldChar w:fldCharType="begin"/>
      </w:r>
      <w:r>
        <w:instrText xml:space="preserve"> PAGEREF _Toc415232303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Banning people from casinos</w:t>
      </w:r>
      <w:r>
        <w:tab/>
      </w:r>
      <w:r>
        <w:fldChar w:fldCharType="begin"/>
      </w:r>
      <w:r>
        <w:instrText xml:space="preserve"> PAGEREF _Toc415232304 \h </w:instrText>
      </w:r>
      <w:r>
        <w:fldChar w:fldCharType="separate"/>
      </w:r>
      <w:r>
        <w:t>41</w:t>
      </w:r>
      <w:r>
        <w:fldChar w:fldCharType="end"/>
      </w:r>
    </w:p>
    <w:p>
      <w:pPr>
        <w:pStyle w:val="TOC8"/>
        <w:rPr>
          <w:rFonts w:asciiTheme="minorHAnsi" w:eastAsiaTheme="minorEastAsia" w:hAnsiTheme="minorHAnsi" w:cstheme="minorBidi"/>
          <w:szCs w:val="22"/>
        </w:rPr>
      </w:pPr>
      <w:r>
        <w:rPr>
          <w:spacing w:val="-6"/>
        </w:rPr>
        <w:t>26A.</w:t>
      </w:r>
      <w:r>
        <w:rPr>
          <w:spacing w:val="-6"/>
        </w:rPr>
        <w:tab/>
        <w:t>Ban under s. 26, review of</w:t>
      </w:r>
      <w:r>
        <w:tab/>
      </w:r>
      <w:r>
        <w:fldChar w:fldCharType="begin"/>
      </w:r>
      <w:r>
        <w:instrText xml:space="preserve"> PAGEREF _Toc415232305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Children not permitted in casinos except in some cases</w:t>
      </w:r>
      <w:r>
        <w:tab/>
      </w:r>
      <w:r>
        <w:fldChar w:fldCharType="begin"/>
      </w:r>
      <w:r>
        <w:instrText xml:space="preserve"> PAGEREF _Toc415232306 \h </w:instrText>
      </w:r>
      <w:r>
        <w:fldChar w:fldCharType="separate"/>
      </w:r>
      <w:r>
        <w:t>44</w:t>
      </w:r>
      <w:r>
        <w:fldChar w:fldCharType="end"/>
      </w:r>
    </w:p>
    <w:p>
      <w:pPr>
        <w:pStyle w:val="TOC8"/>
        <w:rPr>
          <w:rFonts w:asciiTheme="minorHAnsi" w:eastAsiaTheme="minorEastAsia" w:hAnsiTheme="minorHAnsi" w:cstheme="minorBidi"/>
          <w:szCs w:val="22"/>
        </w:rPr>
      </w:pPr>
      <w:r>
        <w:t>27A.</w:t>
      </w:r>
      <w:r>
        <w:tab/>
        <w:t>Proof of age may be required</w:t>
      </w:r>
      <w:r>
        <w:tab/>
      </w:r>
      <w:r>
        <w:fldChar w:fldCharType="begin"/>
      </w:r>
      <w:r>
        <w:instrText xml:space="preserve"> PAGEREF _Toc415232307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Entry powers to licensed casinos of police and others</w:t>
      </w:r>
      <w:r>
        <w:tab/>
      </w:r>
      <w:r>
        <w:fldChar w:fldCharType="begin"/>
      </w:r>
      <w:r>
        <w:instrText xml:space="preserve"> PAGEREF _Toc415232308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Casino gaming licence may contain conditions about casino staff</w:t>
      </w:r>
      <w:r>
        <w:tab/>
      </w:r>
      <w:r>
        <w:fldChar w:fldCharType="begin"/>
      </w:r>
      <w:r>
        <w:instrText xml:space="preserve"> PAGEREF _Toc415232309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VA — Controlled contracts</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_Toc415232311 \h </w:instrText>
      </w:r>
      <w:r>
        <w:fldChar w:fldCharType="separate"/>
      </w:r>
      <w:r>
        <w:t>49</w:t>
      </w:r>
      <w:r>
        <w:fldChar w:fldCharType="end"/>
      </w:r>
    </w:p>
    <w:p>
      <w:pPr>
        <w:pStyle w:val="TOC8"/>
        <w:rPr>
          <w:rFonts w:asciiTheme="minorHAnsi" w:eastAsiaTheme="minorEastAsia" w:hAnsiTheme="minorHAnsi" w:cstheme="minorBidi"/>
          <w:szCs w:val="22"/>
        </w:rPr>
      </w:pPr>
      <w:r>
        <w:t>29B.</w:t>
      </w:r>
      <w:r>
        <w:tab/>
        <w:t>Prerequisites for controlled contracts</w:t>
      </w:r>
      <w:r>
        <w:tab/>
      </w:r>
      <w:r>
        <w:fldChar w:fldCharType="begin"/>
      </w:r>
      <w:r>
        <w:instrText xml:space="preserve"> PAGEREF _Toc415232312 \h </w:instrText>
      </w:r>
      <w:r>
        <w:fldChar w:fldCharType="separate"/>
      </w:r>
      <w:r>
        <w:t>49</w:t>
      </w:r>
      <w:r>
        <w:fldChar w:fldCharType="end"/>
      </w:r>
    </w:p>
    <w:p>
      <w:pPr>
        <w:pStyle w:val="TOC8"/>
        <w:rPr>
          <w:rFonts w:asciiTheme="minorHAnsi" w:eastAsiaTheme="minorEastAsia" w:hAnsiTheme="minorHAnsi" w:cstheme="minorBidi"/>
          <w:szCs w:val="22"/>
        </w:rPr>
      </w:pPr>
      <w:r>
        <w:t>29C.</w:t>
      </w:r>
      <w:r>
        <w:tab/>
        <w:t>Commission may require controlled contract to be terminated</w:t>
      </w:r>
      <w:r>
        <w:tab/>
      </w:r>
      <w:r>
        <w:fldChar w:fldCharType="begin"/>
      </w:r>
      <w:r>
        <w:instrText xml:space="preserve"> PAGEREF _Toc415232313 \h </w:instrText>
      </w:r>
      <w:r>
        <w:fldChar w:fldCharType="separate"/>
      </w:r>
      <w:r>
        <w:t>50</w:t>
      </w:r>
      <w:r>
        <w:fldChar w:fldCharType="end"/>
      </w:r>
    </w:p>
    <w:p>
      <w:pPr>
        <w:pStyle w:val="TOC8"/>
        <w:rPr>
          <w:rFonts w:asciiTheme="minorHAnsi" w:eastAsiaTheme="minorEastAsia" w:hAnsiTheme="minorHAnsi" w:cstheme="minorBidi"/>
          <w:szCs w:val="22"/>
        </w:rPr>
      </w:pPr>
      <w:r>
        <w:t>29D.</w:t>
      </w:r>
      <w:r>
        <w:tab/>
        <w:t>Effect of termination under s. 29C</w:t>
      </w:r>
      <w:r>
        <w:tab/>
      </w:r>
      <w:r>
        <w:fldChar w:fldCharType="begin"/>
      </w:r>
      <w:r>
        <w:instrText xml:space="preserve"> PAGEREF _Toc415232314 \h </w:instrText>
      </w:r>
      <w:r>
        <w:fldChar w:fldCharType="separate"/>
      </w:r>
      <w:r>
        <w:t>51</w:t>
      </w:r>
      <w:r>
        <w:fldChar w:fldCharType="end"/>
      </w:r>
    </w:p>
    <w:p>
      <w:pPr>
        <w:pStyle w:val="TOC8"/>
        <w:rPr>
          <w:rFonts w:asciiTheme="minorHAnsi" w:eastAsiaTheme="minorEastAsia" w:hAnsiTheme="minorHAnsi" w:cstheme="minorBidi"/>
          <w:szCs w:val="22"/>
        </w:rPr>
      </w:pPr>
      <w:r>
        <w:t>29E.</w:t>
      </w:r>
      <w:r>
        <w:tab/>
        <w:t>Parties not to give further effect to terminated contract</w:t>
      </w:r>
      <w:r>
        <w:tab/>
      </w:r>
      <w:r>
        <w:fldChar w:fldCharType="begin"/>
      </w:r>
      <w:r>
        <w:instrText xml:space="preserve"> PAGEREF _Toc415232315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VB — Infringement notices</w:t>
      </w:r>
    </w:p>
    <w:p>
      <w:pPr>
        <w:pStyle w:val="TOC8"/>
        <w:rPr>
          <w:rFonts w:asciiTheme="minorHAnsi" w:eastAsiaTheme="minorEastAsia" w:hAnsiTheme="minorHAnsi" w:cstheme="minorBidi"/>
          <w:szCs w:val="22"/>
        </w:rPr>
      </w:pPr>
      <w:r>
        <w:t>29F.</w:t>
      </w:r>
      <w:r>
        <w:tab/>
        <w:t>Term used: authorised person</w:t>
      </w:r>
      <w:r>
        <w:tab/>
      </w:r>
      <w:r>
        <w:fldChar w:fldCharType="begin"/>
      </w:r>
      <w:r>
        <w:instrText xml:space="preserve"> PAGEREF _Toc415232317 \h </w:instrText>
      </w:r>
      <w:r>
        <w:fldChar w:fldCharType="separate"/>
      </w:r>
      <w:r>
        <w:t>53</w:t>
      </w:r>
      <w:r>
        <w:fldChar w:fldCharType="end"/>
      </w:r>
    </w:p>
    <w:p>
      <w:pPr>
        <w:pStyle w:val="TOC8"/>
        <w:rPr>
          <w:rFonts w:asciiTheme="minorHAnsi" w:eastAsiaTheme="minorEastAsia" w:hAnsiTheme="minorHAnsi" w:cstheme="minorBidi"/>
          <w:szCs w:val="22"/>
        </w:rPr>
      </w:pPr>
      <w:r>
        <w:t>29G.</w:t>
      </w:r>
      <w:r>
        <w:tab/>
        <w:t>Authorised persons, appointment of</w:t>
      </w:r>
      <w:r>
        <w:tab/>
      </w:r>
      <w:r>
        <w:fldChar w:fldCharType="begin"/>
      </w:r>
      <w:r>
        <w:instrText xml:space="preserve"> PAGEREF _Toc415232318 \h </w:instrText>
      </w:r>
      <w:r>
        <w:fldChar w:fldCharType="separate"/>
      </w:r>
      <w:r>
        <w:t>53</w:t>
      </w:r>
      <w:r>
        <w:fldChar w:fldCharType="end"/>
      </w:r>
    </w:p>
    <w:p>
      <w:pPr>
        <w:pStyle w:val="TOC8"/>
        <w:rPr>
          <w:rFonts w:asciiTheme="minorHAnsi" w:eastAsiaTheme="minorEastAsia" w:hAnsiTheme="minorHAnsi" w:cstheme="minorBidi"/>
          <w:szCs w:val="22"/>
        </w:rPr>
      </w:pPr>
      <w:r>
        <w:t>29H.</w:t>
      </w:r>
      <w:r>
        <w:tab/>
        <w:t>Serving infringement notices</w:t>
      </w:r>
      <w:r>
        <w:tab/>
      </w:r>
      <w:r>
        <w:fldChar w:fldCharType="begin"/>
      </w:r>
      <w:r>
        <w:instrText xml:space="preserve"> PAGEREF _Toc415232319 \h </w:instrText>
      </w:r>
      <w:r>
        <w:fldChar w:fldCharType="separate"/>
      </w:r>
      <w:r>
        <w:t>53</w:t>
      </w:r>
      <w:r>
        <w:fldChar w:fldCharType="end"/>
      </w:r>
    </w:p>
    <w:p>
      <w:pPr>
        <w:pStyle w:val="TOC8"/>
        <w:rPr>
          <w:rFonts w:asciiTheme="minorHAnsi" w:eastAsiaTheme="minorEastAsia" w:hAnsiTheme="minorHAnsi" w:cstheme="minorBidi"/>
          <w:szCs w:val="22"/>
        </w:rPr>
      </w:pPr>
      <w:r>
        <w:t>29I.</w:t>
      </w:r>
      <w:r>
        <w:tab/>
        <w:t>Form of infringement notice</w:t>
      </w:r>
      <w:r>
        <w:tab/>
      </w:r>
      <w:r>
        <w:fldChar w:fldCharType="begin"/>
      </w:r>
      <w:r>
        <w:instrText xml:space="preserve"> PAGEREF _Toc415232320 \h </w:instrText>
      </w:r>
      <w:r>
        <w:fldChar w:fldCharType="separate"/>
      </w:r>
      <w:r>
        <w:t>54</w:t>
      </w:r>
      <w:r>
        <w:fldChar w:fldCharType="end"/>
      </w:r>
    </w:p>
    <w:p>
      <w:pPr>
        <w:pStyle w:val="TOC8"/>
        <w:rPr>
          <w:rFonts w:asciiTheme="minorHAnsi" w:eastAsiaTheme="minorEastAsia" w:hAnsiTheme="minorHAnsi" w:cstheme="minorBidi"/>
          <w:szCs w:val="22"/>
        </w:rPr>
      </w:pPr>
      <w:r>
        <w:t>29J.</w:t>
      </w:r>
      <w:r>
        <w:tab/>
        <w:t>Extension of time for payment of modified penalty</w:t>
      </w:r>
      <w:r>
        <w:tab/>
      </w:r>
      <w:r>
        <w:fldChar w:fldCharType="begin"/>
      </w:r>
      <w:r>
        <w:instrText xml:space="preserve"> PAGEREF _Toc415232321 \h </w:instrText>
      </w:r>
      <w:r>
        <w:fldChar w:fldCharType="separate"/>
      </w:r>
      <w:r>
        <w:t>54</w:t>
      </w:r>
      <w:r>
        <w:fldChar w:fldCharType="end"/>
      </w:r>
    </w:p>
    <w:p>
      <w:pPr>
        <w:pStyle w:val="TOC8"/>
        <w:rPr>
          <w:rFonts w:asciiTheme="minorHAnsi" w:eastAsiaTheme="minorEastAsia" w:hAnsiTheme="minorHAnsi" w:cstheme="minorBidi"/>
          <w:szCs w:val="22"/>
        </w:rPr>
      </w:pPr>
      <w:r>
        <w:t>29K.</w:t>
      </w:r>
      <w:r>
        <w:tab/>
        <w:t>Withdrawal of infringement notices</w:t>
      </w:r>
      <w:r>
        <w:tab/>
      </w:r>
      <w:r>
        <w:fldChar w:fldCharType="begin"/>
      </w:r>
      <w:r>
        <w:instrText xml:space="preserve"> PAGEREF _Toc415232322 \h </w:instrText>
      </w:r>
      <w:r>
        <w:fldChar w:fldCharType="separate"/>
      </w:r>
      <w:r>
        <w:t>54</w:t>
      </w:r>
      <w:r>
        <w:fldChar w:fldCharType="end"/>
      </w:r>
    </w:p>
    <w:p>
      <w:pPr>
        <w:pStyle w:val="TOC8"/>
        <w:rPr>
          <w:rFonts w:asciiTheme="minorHAnsi" w:eastAsiaTheme="minorEastAsia" w:hAnsiTheme="minorHAnsi" w:cstheme="minorBidi"/>
          <w:szCs w:val="22"/>
        </w:rPr>
      </w:pPr>
      <w:r>
        <w:t>29L.</w:t>
      </w:r>
      <w:r>
        <w:tab/>
        <w:t>Benefit of payment of modified penalty</w:t>
      </w:r>
      <w:r>
        <w:tab/>
      </w:r>
      <w:r>
        <w:fldChar w:fldCharType="begin"/>
      </w:r>
      <w:r>
        <w:instrText xml:space="preserve"> PAGEREF _Toc415232323 \h </w:instrText>
      </w:r>
      <w:r>
        <w:fldChar w:fldCharType="separate"/>
      </w:r>
      <w:r>
        <w:t>55</w:t>
      </w:r>
      <w:r>
        <w:fldChar w:fldCharType="end"/>
      </w:r>
    </w:p>
    <w:p>
      <w:pPr>
        <w:pStyle w:val="TOC8"/>
        <w:rPr>
          <w:rFonts w:asciiTheme="minorHAnsi" w:eastAsiaTheme="minorEastAsia" w:hAnsiTheme="minorHAnsi" w:cstheme="minorBidi"/>
          <w:szCs w:val="22"/>
        </w:rPr>
      </w:pPr>
      <w:r>
        <w:t>29M.</w:t>
      </w:r>
      <w:r>
        <w:tab/>
        <w:t>Application of modified penalties</w:t>
      </w:r>
      <w:r>
        <w:tab/>
      </w:r>
      <w:r>
        <w:fldChar w:fldCharType="begin"/>
      </w:r>
      <w:r>
        <w:instrText xml:space="preserve"> PAGEREF _Toc415232324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30</w:t>
      </w:r>
      <w:r>
        <w:rPr>
          <w:snapToGrid w:val="0"/>
        </w:rPr>
        <w:t>.</w:t>
      </w:r>
      <w:r>
        <w:rPr>
          <w:snapToGrid w:val="0"/>
        </w:rPr>
        <w:tab/>
        <w:t>Fraudulent etc. practices in casinos or gaming operations</w:t>
      </w:r>
      <w:r>
        <w:tab/>
      </w:r>
      <w:r>
        <w:fldChar w:fldCharType="begin"/>
      </w:r>
      <w:r>
        <w:instrText xml:space="preserve"> PAGEREF _Toc415232326 \h </w:instrText>
      </w:r>
      <w:r>
        <w:fldChar w:fldCharType="separate"/>
      </w:r>
      <w:r>
        <w:t>56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Forging, personation etc. in casinos</w:t>
      </w:r>
      <w:r>
        <w:tab/>
      </w:r>
      <w:r>
        <w:fldChar w:fldCharType="begin"/>
      </w:r>
      <w:r>
        <w:instrText xml:space="preserve"> PAGEREF _Toc415232327 \h </w:instrText>
      </w:r>
      <w:r>
        <w:fldChar w:fldCharType="separate"/>
      </w:r>
      <w:r>
        <w:t>57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Suspected offenders may be detained until police attend</w:t>
      </w:r>
      <w:r>
        <w:tab/>
      </w:r>
      <w:r>
        <w:fldChar w:fldCharType="begin"/>
      </w:r>
      <w:r>
        <w:instrText xml:space="preserve"> PAGEREF _Toc415232328 \h </w:instrText>
      </w:r>
      <w:r>
        <w:fldChar w:fldCharType="separate"/>
      </w:r>
      <w:r>
        <w:t>58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Directions, contravention of</w:t>
      </w:r>
      <w:r>
        <w:tab/>
      </w:r>
      <w:r>
        <w:fldChar w:fldCharType="begin"/>
      </w:r>
      <w:r>
        <w:instrText xml:space="preserve"> PAGEREF _Toc415232329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Prosecutions, institution of, evidence in etc.</w:t>
      </w:r>
      <w:r>
        <w:tab/>
      </w:r>
      <w:r>
        <w:fldChar w:fldCharType="begin"/>
      </w:r>
      <w:r>
        <w:instrText xml:space="preserve"> PAGEREF _Toc415232330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_Toc415232331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in respect of which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_Toc415232334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2011</w:t>
            </w:r>
          </w:p>
        </w:tc>
      </w:tr>
    </w:tbl>
    <w:p>
      <w:pPr>
        <w:pStyle w:val="WA"/>
        <w:spacing w:before="12"/>
      </w:pPr>
      <w:r>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3" w:name="_Toc377048122"/>
      <w:bookmarkStart w:id="4" w:name="_Toc415232207"/>
      <w:bookmarkStart w:id="5" w:name="_Toc415232271"/>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048123"/>
      <w:bookmarkStart w:id="7" w:name="_Toc41523227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8" w:name="_Toc377048124"/>
      <w:bookmarkStart w:id="9" w:name="_Toc41523227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10" w:name="_Toc377048125"/>
      <w:bookmarkStart w:id="11" w:name="_Toc415232274"/>
      <w:r>
        <w:rPr>
          <w:rStyle w:val="CharSectno"/>
        </w:rPr>
        <w:t>3</w:t>
      </w:r>
      <w:r>
        <w:t>.</w:t>
      </w:r>
      <w: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w:t>
      </w:r>
    </w:p>
    <w:p>
      <w:pPr>
        <w:pStyle w:val="Heading2"/>
      </w:pPr>
      <w:bookmarkStart w:id="12" w:name="_Toc377048126"/>
      <w:bookmarkStart w:id="13" w:name="_Toc415232211"/>
      <w:bookmarkStart w:id="14" w:name="_Toc415232275"/>
      <w:r>
        <w:rPr>
          <w:rStyle w:val="CharPartNo"/>
        </w:rPr>
        <w:t>Part II</w:t>
      </w:r>
      <w:r>
        <w:rPr>
          <w:rStyle w:val="CharDivNo"/>
        </w:rPr>
        <w:t> </w:t>
      </w:r>
      <w:r>
        <w:t>—</w:t>
      </w:r>
      <w:r>
        <w:rPr>
          <w:rStyle w:val="CharDivText"/>
        </w:rPr>
        <w:t> </w:t>
      </w:r>
      <w:r>
        <w:rPr>
          <w:rStyle w:val="CharPartText"/>
        </w:rPr>
        <w:t>Administration</w:t>
      </w:r>
      <w:bookmarkEnd w:id="12"/>
      <w:bookmarkEnd w:id="13"/>
      <w:bookmarkEnd w:id="14"/>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15" w:name="_Toc377048127"/>
      <w:bookmarkStart w:id="16" w:name="_Toc415232276"/>
      <w:r>
        <w:rPr>
          <w:rStyle w:val="CharSectno"/>
        </w:rPr>
        <w:t>9</w:t>
      </w:r>
      <w:r>
        <w:rPr>
          <w:snapToGrid w:val="0"/>
        </w:rPr>
        <w:t>.</w:t>
      </w:r>
      <w:r>
        <w:rPr>
          <w:snapToGrid w:val="0"/>
        </w:rPr>
        <w:tab/>
        <w:t>Commission’s staff for casinos</w:t>
      </w:r>
      <w:bookmarkEnd w:id="15"/>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17" w:name="_Toc377048128"/>
      <w:bookmarkStart w:id="18" w:name="_Toc415232277"/>
      <w:r>
        <w:rPr>
          <w:rStyle w:val="CharSectno"/>
        </w:rPr>
        <w:t>10</w:t>
      </w:r>
      <w:r>
        <w:t>.</w:t>
      </w:r>
      <w:r>
        <w:tab/>
        <w:t>Protection from liability for Commission’s officers and Crown</w:t>
      </w:r>
      <w:bookmarkEnd w:id="17"/>
      <w:bookmarkEnd w:id="18"/>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w:t>
      </w:r>
    </w:p>
    <w:p>
      <w:pPr>
        <w:pStyle w:val="Heading5"/>
      </w:pPr>
      <w:bookmarkStart w:id="19" w:name="_Toc377048129"/>
      <w:bookmarkStart w:id="20" w:name="_Toc415232278"/>
      <w:r>
        <w:rPr>
          <w:rStyle w:val="CharSectno"/>
        </w:rPr>
        <w:t>11</w:t>
      </w:r>
      <w:r>
        <w:t>.</w:t>
      </w:r>
      <w:r>
        <w:tab/>
        <w:t>Chief Casino Officer may delegate</w:t>
      </w:r>
      <w:bookmarkEnd w:id="19"/>
      <w:bookmarkEnd w:id="20"/>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21" w:name="_Toc377048130"/>
      <w:bookmarkStart w:id="22" w:name="_Toc415232279"/>
      <w:r>
        <w:rPr>
          <w:rStyle w:val="CharSectno"/>
        </w:rPr>
        <w:t>13</w:t>
      </w:r>
      <w:r>
        <w:rPr>
          <w:snapToGrid w:val="0"/>
        </w:rPr>
        <w:t>.</w:t>
      </w:r>
      <w:r>
        <w:rPr>
          <w:snapToGrid w:val="0"/>
        </w:rPr>
        <w:tab/>
        <w:t>Disclosure of certain information authorised</w:t>
      </w:r>
      <w:bookmarkEnd w:id="21"/>
      <w:bookmarkEnd w:id="22"/>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23" w:name="_Toc377048131"/>
      <w:bookmarkStart w:id="24" w:name="_Toc415232280"/>
      <w:r>
        <w:rPr>
          <w:rStyle w:val="CharSectno"/>
        </w:rPr>
        <w:t>14</w:t>
      </w:r>
      <w:r>
        <w:rPr>
          <w:snapToGrid w:val="0"/>
        </w:rPr>
        <w:t>.</w:t>
      </w:r>
      <w:r>
        <w:rPr>
          <w:snapToGrid w:val="0"/>
        </w:rPr>
        <w:tab/>
        <w:t>Funds available for administering this Act</w:t>
      </w:r>
      <w:bookmarkEnd w:id="23"/>
      <w:bookmarkEnd w:id="24"/>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25" w:name="_Toc377048132"/>
      <w:bookmarkStart w:id="26" w:name="_Toc415232281"/>
      <w:r>
        <w:rPr>
          <w:rStyle w:val="CharSectno"/>
        </w:rPr>
        <w:t>15</w:t>
      </w:r>
      <w:r>
        <w:t>.</w:t>
      </w:r>
      <w:r>
        <w:tab/>
        <w:t>Unclaimed winnings</w:t>
      </w:r>
      <w:bookmarkEnd w:id="25"/>
      <w:bookmarkEnd w:id="2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27" w:name="_Toc377048133"/>
      <w:bookmarkStart w:id="28" w:name="_Toc415232218"/>
      <w:bookmarkStart w:id="29" w:name="_Toc415232282"/>
      <w:r>
        <w:rPr>
          <w:rStyle w:val="CharPartNo"/>
        </w:rPr>
        <w:t>Part III</w:t>
      </w:r>
      <w:r>
        <w:rPr>
          <w:rStyle w:val="CharDivNo"/>
        </w:rPr>
        <w:t> </w:t>
      </w:r>
      <w:r>
        <w:t>—</w:t>
      </w:r>
      <w:r>
        <w:rPr>
          <w:rStyle w:val="CharDivText"/>
        </w:rPr>
        <w:t> </w:t>
      </w:r>
      <w:r>
        <w:rPr>
          <w:rStyle w:val="CharPartText"/>
        </w:rPr>
        <w:t>Casino complex agreement</w:t>
      </w:r>
      <w:bookmarkEnd w:id="27"/>
      <w:bookmarkEnd w:id="28"/>
      <w:bookmarkEnd w:id="29"/>
    </w:p>
    <w:p>
      <w:pPr>
        <w:pStyle w:val="Footnoteheading"/>
      </w:pPr>
      <w:r>
        <w:tab/>
        <w:t>[Heading amended: No. 10 of 1985 s. 28.]</w:t>
      </w:r>
    </w:p>
    <w:p>
      <w:pPr>
        <w:pStyle w:val="Heading5"/>
        <w:rPr>
          <w:snapToGrid w:val="0"/>
        </w:rPr>
      </w:pPr>
      <w:bookmarkStart w:id="30" w:name="_Toc377048134"/>
      <w:bookmarkStart w:id="31" w:name="_Toc415232283"/>
      <w:r>
        <w:rPr>
          <w:rStyle w:val="CharSectno"/>
        </w:rPr>
        <w:t>18</w:t>
      </w:r>
      <w:r>
        <w:rPr>
          <w:snapToGrid w:val="0"/>
        </w:rPr>
        <w:t>.</w:t>
      </w:r>
      <w:r>
        <w:rPr>
          <w:rStyle w:val="CharSectno"/>
        </w:rPr>
        <w:tab/>
      </w:r>
      <w:r>
        <w:rPr>
          <w:snapToGrid w:val="0"/>
        </w:rPr>
        <w:t>Terms used</w:t>
      </w:r>
      <w:bookmarkEnd w:id="30"/>
      <w:bookmarkEnd w:id="31"/>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No. 24 of 1998 s. 12.]</w:t>
      </w:r>
    </w:p>
    <w:p>
      <w:pPr>
        <w:pStyle w:val="Heading5"/>
        <w:rPr>
          <w:snapToGrid w:val="0"/>
        </w:rPr>
      </w:pPr>
      <w:bookmarkStart w:id="32" w:name="_Toc377048135"/>
      <w:bookmarkStart w:id="33" w:name="_Toc415232284"/>
      <w:r>
        <w:rPr>
          <w:rStyle w:val="CharSectno"/>
        </w:rPr>
        <w:t>19</w:t>
      </w:r>
      <w:r>
        <w:rPr>
          <w:snapToGrid w:val="0"/>
        </w:rPr>
        <w:t>.</w:t>
      </w:r>
      <w:r>
        <w:rPr>
          <w:snapToGrid w:val="0"/>
        </w:rPr>
        <w:tab/>
        <w:t>Minister may enter into agreement with respect to construction and establishment of casino complex</w:t>
      </w:r>
      <w:bookmarkEnd w:id="32"/>
      <w:bookmarkEnd w:id="33"/>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34" w:name="_Toc377048136"/>
      <w:bookmarkStart w:id="35" w:name="_Toc415232285"/>
      <w:r>
        <w:rPr>
          <w:rStyle w:val="CharSectno"/>
        </w:rPr>
        <w:t>19A</w:t>
      </w:r>
      <w:r>
        <w:t>.</w:t>
      </w:r>
      <w:r>
        <w:tab/>
        <w:t>Notice to be given of proposal to exercise power under s. 19B(1)</w:t>
      </w:r>
      <w:bookmarkEnd w:id="34"/>
      <w:bookmarkEnd w:id="35"/>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36" w:name="_Toc377048137"/>
      <w:bookmarkStart w:id="37" w:name="_Toc415232286"/>
      <w:r>
        <w:rPr>
          <w:rStyle w:val="CharSectno"/>
        </w:rPr>
        <w:t>19B</w:t>
      </w:r>
      <w:r>
        <w:t>.</w:t>
      </w:r>
      <w:r>
        <w:tab/>
        <w:t>Close associate of public company may be required to dispose of shares etc.</w:t>
      </w:r>
      <w:bookmarkEnd w:id="36"/>
      <w:bookmarkEnd w:id="37"/>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w:t>
      </w:r>
    </w:p>
    <w:p>
      <w:pPr>
        <w:pStyle w:val="Heading5"/>
        <w:rPr>
          <w:snapToGrid w:val="0"/>
        </w:rPr>
      </w:pPr>
      <w:bookmarkStart w:id="38" w:name="_Toc377048138"/>
      <w:bookmarkStart w:id="39" w:name="_Toc415232287"/>
      <w:r>
        <w:rPr>
          <w:rStyle w:val="CharSectno"/>
        </w:rPr>
        <w:t>20</w:t>
      </w:r>
      <w:r>
        <w:rPr>
          <w:snapToGrid w:val="0"/>
        </w:rPr>
        <w:t>.</w:t>
      </w:r>
      <w:r>
        <w:rPr>
          <w:snapToGrid w:val="0"/>
        </w:rPr>
        <w:tab/>
        <w:t>Casino gaming licence fees and taxes</w:t>
      </w:r>
      <w:bookmarkEnd w:id="38"/>
      <w:bookmarkEnd w:id="39"/>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40" w:name="_Toc377048139"/>
      <w:bookmarkStart w:id="41" w:name="_Toc415232288"/>
      <w:r>
        <w:rPr>
          <w:rStyle w:val="CharSectno"/>
        </w:rPr>
        <w:t>20A</w:t>
      </w:r>
      <w:r>
        <w:rPr>
          <w:snapToGrid w:val="0"/>
        </w:rPr>
        <w:t>.</w:t>
      </w:r>
      <w:r>
        <w:rPr>
          <w:snapToGrid w:val="0"/>
        </w:rPr>
        <w:tab/>
        <w:t>Late payment of licence fee or tax, penalty for</w:t>
      </w:r>
      <w:bookmarkEnd w:id="40"/>
      <w:bookmarkEnd w:id="41"/>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42" w:name="_Toc377048140"/>
      <w:bookmarkStart w:id="43" w:name="_Toc415232289"/>
      <w:r>
        <w:rPr>
          <w:rStyle w:val="CharSectno"/>
        </w:rPr>
        <w:t>20B</w:t>
      </w:r>
      <w:r>
        <w:rPr>
          <w:snapToGrid w:val="0"/>
        </w:rPr>
        <w:t>.</w:t>
      </w:r>
      <w:r>
        <w:rPr>
          <w:snapToGrid w:val="0"/>
        </w:rPr>
        <w:tab/>
        <w:t>Recovery of, and liability for, licence fees, taxes and penalties</w:t>
      </w:r>
      <w:bookmarkEnd w:id="42"/>
      <w:bookmarkEnd w:id="43"/>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44" w:name="_Toc377048141"/>
      <w:bookmarkStart w:id="45" w:name="_Toc415232226"/>
      <w:bookmarkStart w:id="46" w:name="_Toc415232290"/>
      <w:r>
        <w:rPr>
          <w:rStyle w:val="CharPartNo"/>
        </w:rPr>
        <w:t>Part IV</w:t>
      </w:r>
      <w:r>
        <w:rPr>
          <w:rStyle w:val="CharDivNo"/>
        </w:rPr>
        <w:t> </w:t>
      </w:r>
      <w:r>
        <w:t>—</w:t>
      </w:r>
      <w:r>
        <w:rPr>
          <w:rStyle w:val="CharDivText"/>
        </w:rPr>
        <w:t> </w:t>
      </w:r>
      <w:r>
        <w:rPr>
          <w:rStyle w:val="CharPartText"/>
        </w:rPr>
        <w:t>Casino gaming licence</w:t>
      </w:r>
      <w:bookmarkEnd w:id="44"/>
      <w:bookmarkEnd w:id="45"/>
      <w:bookmarkEnd w:id="46"/>
    </w:p>
    <w:p>
      <w:pPr>
        <w:pStyle w:val="Heading5"/>
        <w:rPr>
          <w:snapToGrid w:val="0"/>
        </w:rPr>
      </w:pPr>
      <w:bookmarkStart w:id="47" w:name="_Toc377048142"/>
      <w:bookmarkStart w:id="48" w:name="_Toc415232291"/>
      <w:r>
        <w:rPr>
          <w:rStyle w:val="CharSectno"/>
        </w:rPr>
        <w:t>21</w:t>
      </w:r>
      <w:r>
        <w:rPr>
          <w:snapToGrid w:val="0"/>
        </w:rPr>
        <w:t>.</w:t>
      </w:r>
      <w:r>
        <w:rPr>
          <w:snapToGrid w:val="0"/>
        </w:rPr>
        <w:tab/>
        <w:t>Applications for and grant of casino gaming licences</w:t>
      </w:r>
      <w:bookmarkEnd w:id="47"/>
      <w:bookmarkEnd w:id="48"/>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49" w:name="_Toc377048143"/>
      <w:bookmarkStart w:id="50" w:name="_Toc415232292"/>
      <w:r>
        <w:rPr>
          <w:rStyle w:val="CharSectno"/>
        </w:rPr>
        <w:t>21A</w:t>
      </w:r>
      <w:r>
        <w:rPr>
          <w:snapToGrid w:val="0"/>
        </w:rPr>
        <w:t>.</w:t>
      </w:r>
      <w:r>
        <w:rPr>
          <w:snapToGrid w:val="0"/>
        </w:rPr>
        <w:tab/>
        <w:t>Investigations etc., Commission’s powers as to</w:t>
      </w:r>
      <w:bookmarkEnd w:id="49"/>
      <w:bookmarkEnd w:id="50"/>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51" w:name="_Toc377048144"/>
      <w:bookmarkStart w:id="52" w:name="_Toc415232293"/>
      <w:r>
        <w:rPr>
          <w:rStyle w:val="CharSectno"/>
        </w:rPr>
        <w:t>21B</w:t>
      </w:r>
      <w:r>
        <w:rPr>
          <w:snapToGrid w:val="0"/>
        </w:rPr>
        <w:t>.</w:t>
      </w:r>
      <w:r>
        <w:rPr>
          <w:snapToGrid w:val="0"/>
        </w:rPr>
        <w:tab/>
        <w:t>Report etc. under s. 21A, Minister’s powers on receiving</w:t>
      </w:r>
      <w:bookmarkEnd w:id="51"/>
      <w:bookmarkEnd w:id="52"/>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17.]</w:t>
      </w:r>
    </w:p>
    <w:p>
      <w:pPr>
        <w:pStyle w:val="Heading5"/>
        <w:rPr>
          <w:snapToGrid w:val="0"/>
        </w:rPr>
      </w:pPr>
      <w:bookmarkStart w:id="53" w:name="_Toc377048145"/>
      <w:bookmarkStart w:id="54" w:name="_Toc415232294"/>
      <w:r>
        <w:rPr>
          <w:rStyle w:val="CharSectno"/>
        </w:rPr>
        <w:t>21C</w:t>
      </w:r>
      <w:r>
        <w:rPr>
          <w:snapToGrid w:val="0"/>
        </w:rPr>
        <w:t>.</w:t>
      </w:r>
      <w:r>
        <w:rPr>
          <w:snapToGrid w:val="0"/>
        </w:rPr>
        <w:tab/>
        <w:t>Termination of casino complex agreement, Minister may revoke licence on</w:t>
      </w:r>
      <w:bookmarkEnd w:id="53"/>
      <w:bookmarkEnd w:id="54"/>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55" w:name="_Toc377048146"/>
      <w:bookmarkStart w:id="56" w:name="_Toc415232295"/>
      <w:r>
        <w:rPr>
          <w:rStyle w:val="CharSectno"/>
        </w:rPr>
        <w:t>21D</w:t>
      </w:r>
      <w:r>
        <w:rPr>
          <w:snapToGrid w:val="0"/>
        </w:rPr>
        <w:t>.</w:t>
      </w:r>
      <w:r>
        <w:rPr>
          <w:snapToGrid w:val="0"/>
        </w:rPr>
        <w:tab/>
        <w:t>Casino gaming licence may be surrendered</w:t>
      </w:r>
      <w:bookmarkEnd w:id="55"/>
      <w:bookmarkEnd w:id="56"/>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 No. 10 of 1985 s. 31; amended: No. 74 of 1987 s. 25.]</w:t>
      </w:r>
    </w:p>
    <w:p>
      <w:pPr>
        <w:pStyle w:val="Heading5"/>
        <w:rPr>
          <w:snapToGrid w:val="0"/>
        </w:rPr>
      </w:pPr>
      <w:bookmarkStart w:id="57" w:name="_Toc377048147"/>
      <w:bookmarkStart w:id="58" w:name="_Toc415232296"/>
      <w:r>
        <w:rPr>
          <w:rStyle w:val="CharSectno"/>
        </w:rPr>
        <w:t>21E</w:t>
      </w:r>
      <w:r>
        <w:rPr>
          <w:snapToGrid w:val="0"/>
        </w:rPr>
        <w:t>.</w:t>
      </w:r>
      <w:r>
        <w:rPr>
          <w:snapToGrid w:val="0"/>
        </w:rPr>
        <w:tab/>
        <w:t>Suspension or revocation of licence, administrator may be appointed</w:t>
      </w:r>
      <w:bookmarkEnd w:id="57"/>
      <w:bookmarkEnd w:id="58"/>
    </w:p>
    <w:p>
      <w:pPr>
        <w:pStyle w:val="Subsection"/>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59" w:name="_Toc377048148"/>
      <w:bookmarkStart w:id="60" w:name="_Toc415232297"/>
      <w:r>
        <w:rPr>
          <w:rStyle w:val="CharSectno"/>
        </w:rPr>
        <w:t>21F</w:t>
      </w:r>
      <w:r>
        <w:rPr>
          <w:snapToGrid w:val="0"/>
        </w:rPr>
        <w:t>.</w:t>
      </w:r>
      <w:r>
        <w:rPr>
          <w:snapToGrid w:val="0"/>
        </w:rPr>
        <w:tab/>
        <w:t>Casino licensee’s powers to mortgage, sell, assign etc. its licence, premises etc.</w:t>
      </w:r>
      <w:bookmarkEnd w:id="59"/>
      <w:bookmarkEnd w:id="60"/>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61" w:name="_Toc377048149"/>
      <w:bookmarkStart w:id="62" w:name="_Toc415232234"/>
      <w:bookmarkStart w:id="63" w:name="_Toc415232298"/>
      <w:r>
        <w:rPr>
          <w:rStyle w:val="CharPartNo"/>
        </w:rPr>
        <w:t>Part V</w:t>
      </w:r>
      <w:r>
        <w:rPr>
          <w:rStyle w:val="CharDivNo"/>
        </w:rPr>
        <w:t> </w:t>
      </w:r>
      <w:r>
        <w:t>—</w:t>
      </w:r>
      <w:r>
        <w:rPr>
          <w:rStyle w:val="CharDivText"/>
        </w:rPr>
        <w:t> </w:t>
      </w:r>
      <w:r>
        <w:rPr>
          <w:rStyle w:val="CharPartText"/>
        </w:rPr>
        <w:t>Control of casino</w:t>
      </w:r>
      <w:bookmarkEnd w:id="61"/>
      <w:bookmarkEnd w:id="62"/>
      <w:bookmarkEnd w:id="63"/>
    </w:p>
    <w:p>
      <w:pPr>
        <w:pStyle w:val="Heading5"/>
        <w:rPr>
          <w:snapToGrid w:val="0"/>
        </w:rPr>
      </w:pPr>
      <w:bookmarkStart w:id="64" w:name="_Toc377048150"/>
      <w:bookmarkStart w:id="65" w:name="_Toc415232299"/>
      <w:r>
        <w:rPr>
          <w:rStyle w:val="CharSectno"/>
        </w:rPr>
        <w:t>22</w:t>
      </w:r>
      <w:r>
        <w:rPr>
          <w:snapToGrid w:val="0"/>
        </w:rPr>
        <w:t>.</w:t>
      </w:r>
      <w:r>
        <w:rPr>
          <w:snapToGrid w:val="0"/>
        </w:rPr>
        <w:tab/>
        <w:t>Authorised games, rules of games</w:t>
      </w:r>
      <w:bookmarkEnd w:id="64"/>
      <w:bookmarkEnd w:id="65"/>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spacing w:before="70"/>
        <w:rPr>
          <w:snapToGrid w:val="0"/>
        </w:rPr>
      </w:pPr>
      <w:r>
        <w:rPr>
          <w:snapToGrid w:val="0"/>
        </w:rPr>
        <w:tab/>
        <w:t>Penalty: $5 000.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t>Penalty: $2 500.</w:t>
      </w:r>
    </w:p>
    <w:p>
      <w:pPr>
        <w:pStyle w:val="Footnotesection"/>
        <w:spacing w:before="80"/>
        <w:ind w:left="890" w:hanging="890"/>
        <w:rPr>
          <w:spacing w:val="-4"/>
        </w:rPr>
      </w:pPr>
      <w:r>
        <w:rPr>
          <w:spacing w:val="-4"/>
        </w:rPr>
        <w:tab/>
        <w:t>[Section 22 amended: No. 10 of 1985 s. 32; No. 74 of 1987 s. 26.]</w:t>
      </w:r>
    </w:p>
    <w:p>
      <w:pPr>
        <w:pStyle w:val="Heading5"/>
        <w:spacing w:before="180"/>
        <w:rPr>
          <w:snapToGrid w:val="0"/>
        </w:rPr>
      </w:pPr>
      <w:bookmarkStart w:id="66" w:name="_Toc377048151"/>
      <w:bookmarkStart w:id="67" w:name="_Toc415232300"/>
      <w:r>
        <w:rPr>
          <w:rStyle w:val="CharSectno"/>
        </w:rPr>
        <w:t>23</w:t>
      </w:r>
      <w:r>
        <w:rPr>
          <w:snapToGrid w:val="0"/>
        </w:rPr>
        <w:t>.</w:t>
      </w:r>
      <w:r>
        <w:rPr>
          <w:snapToGrid w:val="0"/>
        </w:rPr>
        <w:tab/>
        <w:t>Authorised games, miscellaneous provisions about</w:t>
      </w:r>
      <w:bookmarkEnd w:id="66"/>
      <w:bookmarkEnd w:id="67"/>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w:t>
      </w:r>
    </w:p>
    <w:p>
      <w:pPr>
        <w:pStyle w:val="Heading5"/>
        <w:rPr>
          <w:snapToGrid w:val="0"/>
        </w:rPr>
      </w:pPr>
      <w:bookmarkStart w:id="68" w:name="_Toc377048152"/>
      <w:bookmarkStart w:id="69" w:name="_Toc415232301"/>
      <w:r>
        <w:rPr>
          <w:rStyle w:val="CharSectno"/>
        </w:rPr>
        <w:t>24</w:t>
      </w:r>
      <w:r>
        <w:rPr>
          <w:snapToGrid w:val="0"/>
        </w:rPr>
        <w:t>.</w:t>
      </w:r>
      <w:r>
        <w:rPr>
          <w:snapToGrid w:val="0"/>
        </w:rPr>
        <w:tab/>
        <w:t>Gaming operations at casino, Commission may direct licensee as to</w:t>
      </w:r>
      <w:bookmarkEnd w:id="68"/>
      <w:bookmarkEnd w:id="69"/>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w:t>
      </w:r>
    </w:p>
    <w:p>
      <w:pPr>
        <w:pStyle w:val="Heading5"/>
        <w:rPr>
          <w:snapToGrid w:val="0"/>
        </w:rPr>
      </w:pPr>
      <w:bookmarkStart w:id="70" w:name="_Toc377048153"/>
      <w:bookmarkStart w:id="71" w:name="_Toc415232302"/>
      <w:r>
        <w:rPr>
          <w:rStyle w:val="CharSectno"/>
        </w:rPr>
        <w:t>25</w:t>
      </w:r>
      <w:r>
        <w:rPr>
          <w:snapToGrid w:val="0"/>
        </w:rPr>
        <w:t>.</w:t>
      </w:r>
      <w:r>
        <w:rPr>
          <w:snapToGrid w:val="0"/>
        </w:rPr>
        <w:tab/>
        <w:t>Records of gaming operations etc.</w:t>
      </w:r>
      <w:bookmarkEnd w:id="70"/>
      <w:bookmarkEnd w:id="71"/>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72" w:name="_Toc377048154"/>
      <w:bookmarkStart w:id="73" w:name="_Toc415232303"/>
      <w:r>
        <w:rPr>
          <w:rStyle w:val="CharSectno"/>
        </w:rPr>
        <w:t>25A</w:t>
      </w:r>
      <w:r>
        <w:t>.</w:t>
      </w:r>
      <w:r>
        <w:tab/>
        <w:t>Junkets and junket operators, regulations about</w:t>
      </w:r>
      <w:bookmarkEnd w:id="72"/>
      <w:bookmarkEnd w:id="73"/>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74" w:name="_Toc377048155"/>
      <w:bookmarkStart w:id="75" w:name="_Toc415232304"/>
      <w:r>
        <w:rPr>
          <w:rStyle w:val="CharSectno"/>
        </w:rPr>
        <w:t>26</w:t>
      </w:r>
      <w:r>
        <w:rPr>
          <w:snapToGrid w:val="0"/>
        </w:rPr>
        <w:t>.</w:t>
      </w:r>
      <w:r>
        <w:rPr>
          <w:snapToGrid w:val="0"/>
        </w:rPr>
        <w:tab/>
        <w:t>Banning people from casinos</w:t>
      </w:r>
      <w:bookmarkEnd w:id="74"/>
      <w:bookmarkEnd w:id="75"/>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w:t>
      </w:r>
    </w:p>
    <w:p>
      <w:pPr>
        <w:pStyle w:val="Heading5"/>
        <w:spacing w:before="260"/>
        <w:rPr>
          <w:spacing w:val="-6"/>
        </w:rPr>
      </w:pPr>
      <w:bookmarkStart w:id="76" w:name="_Toc377048156"/>
      <w:bookmarkStart w:id="77" w:name="_Toc415232305"/>
      <w:r>
        <w:rPr>
          <w:rStyle w:val="CharSectno"/>
          <w:spacing w:val="-6"/>
        </w:rPr>
        <w:t>26A</w:t>
      </w:r>
      <w:r>
        <w:rPr>
          <w:spacing w:val="-6"/>
        </w:rPr>
        <w:t>.</w:t>
      </w:r>
      <w:r>
        <w:rPr>
          <w:spacing w:val="-6"/>
        </w:rPr>
        <w:tab/>
        <w:t>Ban under s. 26, review of</w:t>
      </w:r>
      <w:bookmarkEnd w:id="76"/>
      <w:bookmarkEnd w:id="77"/>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78" w:name="_Toc377048157"/>
      <w:bookmarkStart w:id="79" w:name="_Toc415232306"/>
      <w:r>
        <w:rPr>
          <w:rStyle w:val="CharSectno"/>
        </w:rPr>
        <w:t>27</w:t>
      </w:r>
      <w:r>
        <w:rPr>
          <w:snapToGrid w:val="0"/>
        </w:rPr>
        <w:t>.</w:t>
      </w:r>
      <w:r>
        <w:rPr>
          <w:snapToGrid w:val="0"/>
        </w:rPr>
        <w:tab/>
        <w:t>Children not permitted in casinos except in some cases</w:t>
      </w:r>
      <w:bookmarkEnd w:id="78"/>
      <w:bookmarkEnd w:id="79"/>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w:t>
      </w:r>
    </w:p>
    <w:p>
      <w:pPr>
        <w:pStyle w:val="Heading5"/>
      </w:pPr>
      <w:bookmarkStart w:id="80" w:name="_Toc377048158"/>
      <w:bookmarkStart w:id="81" w:name="_Toc415232307"/>
      <w:r>
        <w:rPr>
          <w:rStyle w:val="CharSectno"/>
        </w:rPr>
        <w:t>27A</w:t>
      </w:r>
      <w:r>
        <w:t>.</w:t>
      </w:r>
      <w:r>
        <w:tab/>
        <w:t>Proof of age may be required</w:t>
      </w:r>
      <w:bookmarkEnd w:id="80"/>
      <w:bookmarkEnd w:id="81"/>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w:t>
      </w:r>
    </w:p>
    <w:p>
      <w:pPr>
        <w:pStyle w:val="Heading5"/>
        <w:rPr>
          <w:snapToGrid w:val="0"/>
        </w:rPr>
      </w:pPr>
      <w:bookmarkStart w:id="82" w:name="_Toc377048159"/>
      <w:bookmarkStart w:id="83" w:name="_Toc415232308"/>
      <w:r>
        <w:rPr>
          <w:rStyle w:val="CharSectno"/>
        </w:rPr>
        <w:t>28</w:t>
      </w:r>
      <w:r>
        <w:rPr>
          <w:snapToGrid w:val="0"/>
        </w:rPr>
        <w:t>.</w:t>
      </w:r>
      <w:r>
        <w:rPr>
          <w:snapToGrid w:val="0"/>
        </w:rPr>
        <w:tab/>
        <w:t>Entry powers to licensed casinos of police and others</w:t>
      </w:r>
      <w:bookmarkEnd w:id="82"/>
      <w:bookmarkEnd w:id="83"/>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84" w:name="_Toc377048160"/>
      <w:bookmarkStart w:id="85" w:name="_Toc415232309"/>
      <w:r>
        <w:rPr>
          <w:rStyle w:val="CharSectno"/>
        </w:rPr>
        <w:t>29</w:t>
      </w:r>
      <w:r>
        <w:rPr>
          <w:snapToGrid w:val="0"/>
        </w:rPr>
        <w:t>.</w:t>
      </w:r>
      <w:r>
        <w:rPr>
          <w:snapToGrid w:val="0"/>
        </w:rPr>
        <w:tab/>
        <w:t>Casino gaming licence may contain conditions about casino staff</w:t>
      </w:r>
      <w:bookmarkEnd w:id="84"/>
      <w:bookmarkEnd w:id="85"/>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86" w:name="_Toc377048161"/>
      <w:bookmarkStart w:id="87" w:name="_Toc415232246"/>
      <w:bookmarkStart w:id="88" w:name="_Toc41523231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t xml:space="preserve"> — </w:t>
      </w:r>
      <w:r>
        <w:rPr>
          <w:rStyle w:val="CharPartText"/>
        </w:rPr>
        <w:t>Controlled contracts</w:t>
      </w:r>
      <w:bookmarkEnd w:id="86"/>
      <w:bookmarkEnd w:id="87"/>
      <w:bookmarkEnd w:id="88"/>
    </w:p>
    <w:p>
      <w:pPr>
        <w:pStyle w:val="Footnoteheading"/>
        <w:tabs>
          <w:tab w:val="left" w:pos="851"/>
        </w:tabs>
      </w:pPr>
      <w:r>
        <w:tab/>
        <w:t>[Heading inserted: No. 24 of 1998 s. 27.]</w:t>
      </w:r>
    </w:p>
    <w:p>
      <w:pPr>
        <w:pStyle w:val="Heading5"/>
      </w:pPr>
      <w:bookmarkStart w:id="89" w:name="_Toc377048162"/>
      <w:bookmarkStart w:id="90" w:name="_Toc415232311"/>
      <w:r>
        <w:rPr>
          <w:rStyle w:val="CharSectno"/>
        </w:rPr>
        <w:t>29A</w:t>
      </w:r>
      <w:r>
        <w:t>.</w:t>
      </w:r>
      <w:r>
        <w:tab/>
        <w:t>Terms used</w:t>
      </w:r>
      <w:bookmarkEnd w:id="89"/>
      <w:bookmarkEnd w:id="90"/>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91" w:name="_Toc377048163"/>
      <w:bookmarkStart w:id="92" w:name="_Toc415232312"/>
      <w:r>
        <w:rPr>
          <w:rStyle w:val="CharSectno"/>
        </w:rPr>
        <w:t>29B</w:t>
      </w:r>
      <w:r>
        <w:t>.</w:t>
      </w:r>
      <w:r>
        <w:tab/>
        <w:t>Prerequisites for controlled contracts</w:t>
      </w:r>
      <w:bookmarkEnd w:id="91"/>
      <w:bookmarkEnd w:id="92"/>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93" w:name="_Toc377048164"/>
      <w:bookmarkStart w:id="94" w:name="_Toc415232313"/>
      <w:r>
        <w:rPr>
          <w:rStyle w:val="CharSectno"/>
        </w:rPr>
        <w:t>29C</w:t>
      </w:r>
      <w:r>
        <w:t>.</w:t>
      </w:r>
      <w:r>
        <w:tab/>
        <w:t>Commission may require controlled contract to be terminated</w:t>
      </w:r>
      <w:bookmarkEnd w:id="93"/>
      <w:bookmarkEnd w:id="94"/>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95" w:name="_Toc377048165"/>
      <w:bookmarkStart w:id="96" w:name="_Toc415232314"/>
      <w:r>
        <w:rPr>
          <w:rStyle w:val="CharSectno"/>
        </w:rPr>
        <w:t>29D</w:t>
      </w:r>
      <w:r>
        <w:t>.</w:t>
      </w:r>
      <w:r>
        <w:tab/>
        <w:t>Effect of termination under s. 29C</w:t>
      </w:r>
      <w:bookmarkEnd w:id="95"/>
      <w:bookmarkEnd w:id="96"/>
    </w:p>
    <w:p>
      <w:pPr>
        <w:pStyle w:val="Subsection"/>
      </w:pPr>
      <w:r>
        <w:tab/>
      </w:r>
      <w:r>
        <w:tab/>
        <w:t>If a contract is terminated under section 29C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97" w:name="_Toc377048166"/>
      <w:bookmarkStart w:id="98" w:name="_Toc415232315"/>
      <w:r>
        <w:rPr>
          <w:rStyle w:val="CharSectno"/>
        </w:rPr>
        <w:t>29E</w:t>
      </w:r>
      <w:r>
        <w:t>.</w:t>
      </w:r>
      <w:r>
        <w:tab/>
        <w:t>Parties not to give further effect to terminated contract</w:t>
      </w:r>
      <w:bookmarkEnd w:id="97"/>
      <w:bookmarkEnd w:id="98"/>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No. 24 of 1998 s. 27.]</w:t>
      </w:r>
    </w:p>
    <w:p>
      <w:pPr>
        <w:pStyle w:val="Heading2"/>
      </w:pPr>
      <w:bookmarkStart w:id="99" w:name="_Toc377048167"/>
      <w:bookmarkStart w:id="100" w:name="_Toc415232252"/>
      <w:bookmarkStart w:id="101" w:name="_Toc415232316"/>
      <w:r>
        <w:rPr>
          <w:rStyle w:val="CharPartNo"/>
        </w:rPr>
        <w:t>Part VB</w:t>
      </w:r>
      <w:r>
        <w:t xml:space="preserve"> — </w:t>
      </w:r>
      <w:r>
        <w:rPr>
          <w:rStyle w:val="CharPartText"/>
        </w:rPr>
        <w:t>Infringement notices</w:t>
      </w:r>
      <w:bookmarkEnd w:id="99"/>
      <w:bookmarkEnd w:id="100"/>
      <w:bookmarkEnd w:id="101"/>
    </w:p>
    <w:p>
      <w:pPr>
        <w:pStyle w:val="Footnoteheading"/>
        <w:tabs>
          <w:tab w:val="left" w:pos="851"/>
        </w:tabs>
      </w:pPr>
      <w:r>
        <w:tab/>
        <w:t>[Heading inserted: No. 24 of 1998 s. 27.]</w:t>
      </w:r>
    </w:p>
    <w:p>
      <w:pPr>
        <w:pStyle w:val="Heading5"/>
      </w:pPr>
      <w:bookmarkStart w:id="102" w:name="_Toc377048168"/>
      <w:bookmarkStart w:id="103" w:name="_Toc415232317"/>
      <w:r>
        <w:rPr>
          <w:rStyle w:val="CharSectno"/>
        </w:rPr>
        <w:t>29F</w:t>
      </w:r>
      <w:r>
        <w:t>.</w:t>
      </w:r>
      <w:r>
        <w:tab/>
        <w:t>Term used: authorised person</w:t>
      </w:r>
      <w:bookmarkEnd w:id="102"/>
      <w:bookmarkEnd w:id="103"/>
    </w:p>
    <w:p>
      <w:pPr>
        <w:pStyle w:val="Subsection"/>
      </w:pPr>
      <w:r>
        <w:tab/>
      </w:r>
      <w:r>
        <w:tab/>
        <w:t>In this Part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No. 24 of 1998 s. 27.]</w:t>
      </w:r>
    </w:p>
    <w:p>
      <w:pPr>
        <w:pStyle w:val="Heading5"/>
      </w:pPr>
      <w:bookmarkStart w:id="104" w:name="_Toc377048169"/>
      <w:bookmarkStart w:id="105" w:name="_Toc415232318"/>
      <w:r>
        <w:rPr>
          <w:rStyle w:val="CharSectno"/>
        </w:rPr>
        <w:t>29G</w:t>
      </w:r>
      <w:r>
        <w:t>.</w:t>
      </w:r>
      <w:r>
        <w:tab/>
        <w:t>Authorised persons, appointment of</w:t>
      </w:r>
      <w:bookmarkEnd w:id="104"/>
      <w:bookmarkEnd w:id="105"/>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No. 24 of 1998 s. 27.]</w:t>
      </w:r>
    </w:p>
    <w:p>
      <w:pPr>
        <w:pStyle w:val="Heading5"/>
      </w:pPr>
      <w:bookmarkStart w:id="106" w:name="_Toc377048170"/>
      <w:bookmarkStart w:id="107" w:name="_Toc415232319"/>
      <w:r>
        <w:rPr>
          <w:rStyle w:val="CharSectno"/>
        </w:rPr>
        <w:t>29H</w:t>
      </w:r>
      <w:r>
        <w:t>.</w:t>
      </w:r>
      <w:r>
        <w:tab/>
        <w:t>Serving infringement notices</w:t>
      </w:r>
      <w:bookmarkEnd w:id="106"/>
      <w:bookmarkEnd w:id="107"/>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No. 24 of 1998 s. 27.]</w:t>
      </w:r>
    </w:p>
    <w:p>
      <w:pPr>
        <w:pStyle w:val="Heading5"/>
      </w:pPr>
      <w:bookmarkStart w:id="108" w:name="_Toc377048171"/>
      <w:bookmarkStart w:id="109" w:name="_Toc415232320"/>
      <w:r>
        <w:rPr>
          <w:rStyle w:val="CharSectno"/>
        </w:rPr>
        <w:t>29I</w:t>
      </w:r>
      <w:r>
        <w:t>.</w:t>
      </w:r>
      <w:r>
        <w:tab/>
        <w:t>Form of infringement notice</w:t>
      </w:r>
      <w:bookmarkEnd w:id="108"/>
      <w:bookmarkEnd w:id="109"/>
    </w:p>
    <w:p>
      <w:pPr>
        <w:pStyle w:val="Subsection"/>
      </w:pPr>
      <w:r>
        <w:tab/>
        <w:t>(1)</w:t>
      </w:r>
      <w:r>
        <w:tab/>
        <w:t>An infringement notice shall be in the prescribed form and shall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No. 24 of 1998 s. 27; amended: No. 84 of 2004 s. 80.]</w:t>
      </w:r>
    </w:p>
    <w:p>
      <w:pPr>
        <w:pStyle w:val="Heading5"/>
      </w:pPr>
      <w:bookmarkStart w:id="110" w:name="_Toc377048172"/>
      <w:bookmarkStart w:id="111" w:name="_Toc415232321"/>
      <w:r>
        <w:rPr>
          <w:rStyle w:val="CharSectno"/>
        </w:rPr>
        <w:t>29J</w:t>
      </w:r>
      <w:r>
        <w:t>.</w:t>
      </w:r>
      <w:r>
        <w:tab/>
        <w:t>Extension of time for payment of modified penalty</w:t>
      </w:r>
      <w:bookmarkEnd w:id="110"/>
      <w:bookmarkEnd w:id="11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No. 24 of 1998 s. 27.]</w:t>
      </w:r>
    </w:p>
    <w:p>
      <w:pPr>
        <w:pStyle w:val="Heading5"/>
      </w:pPr>
      <w:bookmarkStart w:id="112" w:name="_Toc377048173"/>
      <w:bookmarkStart w:id="113" w:name="_Toc415232322"/>
      <w:r>
        <w:rPr>
          <w:rStyle w:val="CharSectno"/>
        </w:rPr>
        <w:t>29K</w:t>
      </w:r>
      <w:r>
        <w:t>.</w:t>
      </w:r>
      <w:r>
        <w:tab/>
        <w:t>Withdrawal of infringement notices</w:t>
      </w:r>
      <w:bookmarkEnd w:id="112"/>
      <w:bookmarkEnd w:id="113"/>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No. 24 of 1998 s. 27.]</w:t>
      </w:r>
    </w:p>
    <w:p>
      <w:pPr>
        <w:pStyle w:val="Heading5"/>
      </w:pPr>
      <w:bookmarkStart w:id="114" w:name="_Toc377048174"/>
      <w:bookmarkStart w:id="115" w:name="_Toc415232323"/>
      <w:r>
        <w:rPr>
          <w:rStyle w:val="CharSectno"/>
        </w:rPr>
        <w:t>29L</w:t>
      </w:r>
      <w:r>
        <w:t>.</w:t>
      </w:r>
      <w:r>
        <w:tab/>
        <w:t>Benefit of payment of modified penalty</w:t>
      </w:r>
      <w:bookmarkEnd w:id="114"/>
      <w:bookmarkEnd w:id="115"/>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No. 24 of 1998 s. 27.]</w:t>
      </w:r>
    </w:p>
    <w:p>
      <w:pPr>
        <w:pStyle w:val="Heading5"/>
      </w:pPr>
      <w:bookmarkStart w:id="116" w:name="_Toc377048175"/>
      <w:bookmarkStart w:id="117" w:name="_Toc415232324"/>
      <w:r>
        <w:rPr>
          <w:rStyle w:val="CharSectno"/>
        </w:rPr>
        <w:t>29M</w:t>
      </w:r>
      <w:r>
        <w:t>.</w:t>
      </w:r>
      <w:r>
        <w:tab/>
        <w:t>Application of modified penalties</w:t>
      </w:r>
      <w:bookmarkEnd w:id="116"/>
      <w:bookmarkEnd w:id="117"/>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No. 24 of 1998 s. 27; amended: No. 35 of 2003 s. 171(3).]</w:t>
      </w:r>
    </w:p>
    <w:p>
      <w:pPr>
        <w:pStyle w:val="Heading2"/>
      </w:pPr>
      <w:bookmarkStart w:id="118" w:name="_Toc377048176"/>
      <w:bookmarkStart w:id="119" w:name="_Toc415232261"/>
      <w:bookmarkStart w:id="120" w:name="_Toc415232325"/>
      <w:r>
        <w:rPr>
          <w:rStyle w:val="CharPartNo"/>
        </w:rPr>
        <w:t>Part VI</w:t>
      </w:r>
      <w:r>
        <w:rPr>
          <w:rStyle w:val="CharDivNo"/>
        </w:rPr>
        <w:t> </w:t>
      </w:r>
      <w:r>
        <w:t>—</w:t>
      </w:r>
      <w:r>
        <w:rPr>
          <w:rStyle w:val="CharDivText"/>
        </w:rPr>
        <w:t> </w:t>
      </w:r>
      <w:r>
        <w:rPr>
          <w:rStyle w:val="CharPartText"/>
        </w:rPr>
        <w:t>General</w:t>
      </w:r>
      <w:bookmarkEnd w:id="118"/>
      <w:bookmarkEnd w:id="119"/>
      <w:bookmarkEnd w:id="120"/>
    </w:p>
    <w:p>
      <w:pPr>
        <w:pStyle w:val="Heading5"/>
        <w:rPr>
          <w:snapToGrid w:val="0"/>
        </w:rPr>
      </w:pPr>
      <w:bookmarkStart w:id="121" w:name="_Toc377048177"/>
      <w:bookmarkStart w:id="122" w:name="_Toc415232326"/>
      <w:r>
        <w:rPr>
          <w:rStyle w:val="CharSectno"/>
        </w:rPr>
        <w:t>30</w:t>
      </w:r>
      <w:r>
        <w:rPr>
          <w:snapToGrid w:val="0"/>
        </w:rPr>
        <w:t>.</w:t>
      </w:r>
      <w:r>
        <w:rPr>
          <w:snapToGrid w:val="0"/>
        </w:rPr>
        <w:tab/>
        <w:t>Fraudulent etc. practices in casinos or gaming operations</w:t>
      </w:r>
      <w:bookmarkEnd w:id="121"/>
      <w:bookmarkEnd w:id="122"/>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w:t>
      </w:r>
    </w:p>
    <w:p>
      <w:pPr>
        <w:pStyle w:val="Heading5"/>
        <w:spacing w:before="200"/>
        <w:rPr>
          <w:snapToGrid w:val="0"/>
        </w:rPr>
      </w:pPr>
      <w:bookmarkStart w:id="123" w:name="_Toc377048178"/>
      <w:bookmarkStart w:id="124" w:name="_Toc415232327"/>
      <w:r>
        <w:rPr>
          <w:rStyle w:val="CharSectno"/>
        </w:rPr>
        <w:t>31</w:t>
      </w:r>
      <w:r>
        <w:rPr>
          <w:snapToGrid w:val="0"/>
        </w:rPr>
        <w:t>.</w:t>
      </w:r>
      <w:r>
        <w:rPr>
          <w:snapToGrid w:val="0"/>
        </w:rPr>
        <w:tab/>
        <w:t>Forging, personation etc. in casinos</w:t>
      </w:r>
      <w:bookmarkEnd w:id="123"/>
      <w:bookmarkEnd w:id="124"/>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31 inserted: No. 74 of 1987 s. 33.]</w:t>
      </w:r>
    </w:p>
    <w:p>
      <w:pPr>
        <w:pStyle w:val="Heading5"/>
        <w:rPr>
          <w:snapToGrid w:val="0"/>
        </w:rPr>
      </w:pPr>
      <w:bookmarkStart w:id="125" w:name="_Toc377048179"/>
      <w:bookmarkStart w:id="126" w:name="_Toc415232328"/>
      <w:r>
        <w:rPr>
          <w:rStyle w:val="CharSectno"/>
        </w:rPr>
        <w:t>32</w:t>
      </w:r>
      <w:r>
        <w:rPr>
          <w:snapToGrid w:val="0"/>
        </w:rPr>
        <w:t>.</w:t>
      </w:r>
      <w:r>
        <w:rPr>
          <w:snapToGrid w:val="0"/>
        </w:rPr>
        <w:tab/>
        <w:t>Suspected offenders may be detained until police attend</w:t>
      </w:r>
      <w:bookmarkEnd w:id="125"/>
      <w:bookmarkEnd w:id="1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rPr>
          <w:snapToGrid w:val="0"/>
        </w:rPr>
      </w:pPr>
      <w:bookmarkStart w:id="127" w:name="_Toc377048180"/>
      <w:bookmarkStart w:id="128" w:name="_Toc415232329"/>
      <w:r>
        <w:rPr>
          <w:rStyle w:val="CharSectno"/>
        </w:rPr>
        <w:t>33</w:t>
      </w:r>
      <w:r>
        <w:rPr>
          <w:snapToGrid w:val="0"/>
        </w:rPr>
        <w:t>.</w:t>
      </w:r>
      <w:r>
        <w:rPr>
          <w:snapToGrid w:val="0"/>
        </w:rPr>
        <w:tab/>
        <w:t>Directions, contravention of</w:t>
      </w:r>
      <w:bookmarkEnd w:id="127"/>
      <w:bookmarkEnd w:id="1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[Section 33 inserted: No. 74 of 1987 s. 34; amended: No. 24 of 1998 s. 29.]</w:t>
      </w:r>
    </w:p>
    <w:p>
      <w:pPr>
        <w:pStyle w:val="Ednotesection"/>
      </w:pPr>
      <w:r>
        <w:t>[</w:t>
      </w:r>
      <w:r>
        <w:rPr>
          <w:b/>
        </w:rPr>
        <w:t>34, 35.</w:t>
      </w:r>
      <w:r>
        <w:tab/>
        <w:t>Deleted: No. 74 of 1987 s. 35.]</w:t>
      </w:r>
    </w:p>
    <w:p>
      <w:pPr>
        <w:pStyle w:val="Heading5"/>
        <w:rPr>
          <w:snapToGrid w:val="0"/>
        </w:rPr>
      </w:pPr>
      <w:bookmarkStart w:id="129" w:name="_Toc377048181"/>
      <w:bookmarkStart w:id="130" w:name="_Toc415232330"/>
      <w:r>
        <w:rPr>
          <w:rStyle w:val="CharSectno"/>
        </w:rPr>
        <w:t>36</w:t>
      </w:r>
      <w:r>
        <w:rPr>
          <w:snapToGrid w:val="0"/>
        </w:rPr>
        <w:t>.</w:t>
      </w:r>
      <w:r>
        <w:rPr>
          <w:snapToGrid w:val="0"/>
        </w:rPr>
        <w:tab/>
        <w:t>Prosecutions, institution of, evidence in etc.</w:t>
      </w:r>
      <w:bookmarkEnd w:id="129"/>
      <w:bookmarkEnd w:id="130"/>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131" w:name="_Toc377048182"/>
      <w:bookmarkStart w:id="132" w:name="_Toc415232331"/>
      <w:r>
        <w:rPr>
          <w:rStyle w:val="CharSectno"/>
        </w:rPr>
        <w:t>37</w:t>
      </w:r>
      <w:r>
        <w:rPr>
          <w:snapToGrid w:val="0"/>
        </w:rPr>
        <w:t>.</w:t>
      </w:r>
      <w:r>
        <w:rPr>
          <w:snapToGrid w:val="0"/>
        </w:rPr>
        <w:tab/>
        <w:t>Regulations</w:t>
      </w:r>
      <w:bookmarkEnd w:id="131"/>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yEdnoteschedule"/>
      </w:pPr>
      <w:r>
        <w:t>[Schedule 1 deleted: No. 73 of 1994 s. 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7048183"/>
      <w:bookmarkStart w:id="134" w:name="_Toc415232268"/>
      <w:bookmarkStart w:id="135" w:name="_Toc415232332"/>
      <w:r>
        <w:rPr>
          <w:rStyle w:val="CharSchNo"/>
        </w:rPr>
        <w:t>Schedule 2</w:t>
      </w:r>
      <w:r>
        <w:t> — </w:t>
      </w:r>
      <w:r>
        <w:rPr>
          <w:rStyle w:val="CharSchText"/>
        </w:rPr>
        <w:t>Matters in respect of which Governor may make regulations</w:t>
      </w:r>
      <w:bookmarkEnd w:id="133"/>
      <w:bookmarkEnd w:id="134"/>
      <w:bookmarkEnd w:id="135"/>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[Schedule 2 amended: No. 10 of 1985 s. 43; No. 24 of 1998 s. 31.]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7" w:name="_Toc377048184"/>
      <w:bookmarkStart w:id="138" w:name="_Toc415232269"/>
      <w:bookmarkStart w:id="139" w:name="_Toc415232333"/>
      <w:r>
        <w:t>Notes</w:t>
      </w:r>
      <w:bookmarkEnd w:id="137"/>
      <w:bookmarkEnd w:id="138"/>
      <w:bookmarkEnd w:id="13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December 2011</w:t>
      </w:r>
      <w:r>
        <w:rPr>
          <w:snapToGrid w:val="0"/>
        </w:rPr>
        <w:fldChar w:fldCharType="end"/>
      </w:r>
      <w:r>
        <w:rPr>
          <w:snapToGrid w:val="0"/>
        </w:rPr>
        <w:t xml:space="preserve"> of the </w:t>
      </w:r>
      <w:r>
        <w:rPr>
          <w:i/>
          <w:noProof/>
          <w:snapToGrid w:val="0"/>
        </w:rPr>
        <w:t>Casino Control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377048185"/>
      <w:bookmarkStart w:id="141" w:name="_Toc415232334"/>
      <w:r>
        <w:rPr>
          <w:snapToGrid w:val="0"/>
        </w:rPr>
        <w:t>Compilation table</w:t>
      </w:r>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2</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7"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3</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7"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7"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bl>
    <w:p>
      <w:pPr>
        <w:pStyle w:val="nSubsection"/>
        <w:spacing w:before="120"/>
      </w:pPr>
      <w:r>
        <w:rPr>
          <w:vertAlign w:val="superscript"/>
        </w:rPr>
        <w:t>2</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rPr>
          <w:snapToGrid w:val="0"/>
        </w:rPr>
      </w:pPr>
      <w:r>
        <w:rPr>
          <w:snapToGrid w:val="0"/>
        </w:rPr>
        <w:tab/>
      </w:r>
      <w:r>
        <w:rPr>
          <w:snapToGrid w:val="0"/>
        </w:rPr>
        <w:tab/>
        <w:t>Notwithstanding that the Minister to whom the administration of the principal Act was during the period — </w:t>
      </w:r>
    </w:p>
    <w:p>
      <w:pPr>
        <w:pStyle w:val="nzIndenta"/>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43" w:name="_Toc415232335"/>
      <w:r>
        <w:rPr>
          <w:sz w:val="28"/>
        </w:rPr>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applicant</w:t>
      </w:r>
      <w:r>
        <w:tab/>
        <w:t>21(1), 26A(1)</w:t>
      </w:r>
    </w:p>
    <w:p>
      <w:pPr>
        <w:pStyle w:val="DefinedTerms"/>
      </w:pPr>
      <w:r>
        <w:t>authorised game</w:t>
      </w:r>
      <w:r>
        <w:tab/>
        <w:t>3(1)</w:t>
      </w:r>
    </w:p>
    <w:p>
      <w:pPr>
        <w:pStyle w:val="DefinedTerms"/>
      </w:pPr>
      <w:r>
        <w:t>authorised person</w:t>
      </w:r>
      <w:r>
        <w:tab/>
        <w:t>27A(5), 29F</w:t>
      </w:r>
    </w:p>
    <w:p>
      <w:pPr>
        <w:pStyle w:val="DefinedTerms"/>
      </w:pPr>
      <w:r>
        <w:t>books</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employee</w:t>
      </w:r>
      <w:r>
        <w:tab/>
        <w:t>3(1)</w:t>
      </w:r>
    </w:p>
    <w:p>
      <w:pPr>
        <w:pStyle w:val="DefinedTerms"/>
      </w:pPr>
      <w:r>
        <w:t>casino gaming licence</w:t>
      </w:r>
      <w:r>
        <w:tab/>
        <w:t>3(1)</w:t>
      </w:r>
    </w:p>
    <w:p>
      <w:pPr>
        <w:pStyle w:val="DefinedTerms"/>
      </w:pPr>
      <w:r>
        <w:t>casino key employee</w:t>
      </w:r>
      <w:r>
        <w:tab/>
        <w:t>3(1)</w:t>
      </w:r>
    </w:p>
    <w:p>
      <w:pPr>
        <w:pStyle w:val="DefinedTerms"/>
      </w:pPr>
      <w:r>
        <w:t>casino licensee</w:t>
      </w:r>
      <w:r>
        <w:tab/>
        <w:t>3(1)</w:t>
      </w:r>
    </w:p>
    <w:p>
      <w:pPr>
        <w:pStyle w:val="DefinedTerms"/>
      </w:pPr>
      <w:r>
        <w:t>Chief Casino Officer</w:t>
      </w:r>
      <w:r>
        <w:tab/>
        <w:t>3(1)</w:t>
      </w:r>
    </w:p>
    <w:p>
      <w:pPr>
        <w:pStyle w:val="DefinedTerms"/>
      </w:pPr>
      <w:r>
        <w:t>close associate</w:t>
      </w:r>
      <w:r>
        <w:tab/>
        <w:t>18(1)</w:t>
      </w:r>
    </w:p>
    <w:p>
      <w:pPr>
        <w:pStyle w:val="DefinedTerms"/>
      </w:pPr>
      <w:r>
        <w:t>Commission</w:t>
      </w:r>
      <w:r>
        <w:tab/>
        <w:t>3(1)</w:t>
      </w:r>
    </w:p>
    <w:p>
      <w:pPr>
        <w:pStyle w:val="DefinedTerms"/>
      </w:pPr>
      <w:r>
        <w:t>common gaming house</w:t>
      </w:r>
      <w:r>
        <w:tab/>
        <w:t>3(1)</w:t>
      </w:r>
    </w:p>
    <w:p>
      <w:pPr>
        <w:pStyle w:val="DefinedTerms"/>
      </w:pPr>
      <w:r>
        <w:t>condition</w:t>
      </w:r>
      <w:r>
        <w:tab/>
        <w:t>3(2)</w:t>
      </w:r>
    </w:p>
    <w:p>
      <w:pPr>
        <w:pStyle w:val="DefinedTerms"/>
      </w:pPr>
      <w:r>
        <w:t>conduct</w:t>
      </w:r>
      <w:r>
        <w:tab/>
        <w:t>3(2)</w:t>
      </w:r>
    </w:p>
    <w:p>
      <w:pPr>
        <w:pStyle w:val="DefinedTerms"/>
      </w:pPr>
      <w:r>
        <w:t>contract</w:t>
      </w:r>
      <w:r>
        <w:tab/>
        <w:t>29A</w:t>
      </w:r>
    </w:p>
    <w:p>
      <w:pPr>
        <w:pStyle w:val="DefinedTerms"/>
      </w:pPr>
      <w:r>
        <w:t>contract notice</w:t>
      </w:r>
      <w:r>
        <w:tab/>
        <w:t>29B(1)</w:t>
      </w:r>
    </w:p>
    <w:p>
      <w:pPr>
        <w:pStyle w:val="DefinedTerms"/>
      </w:pPr>
      <w:r>
        <w:t>controlled contract</w:t>
      </w:r>
      <w:r>
        <w:tab/>
        <w:t>29A</w:t>
      </w:r>
    </w:p>
    <w:p>
      <w:pPr>
        <w:pStyle w:val="DefinedTerms"/>
      </w:pPr>
      <w:r>
        <w:t>dispose of</w:t>
      </w:r>
      <w:r>
        <w:tab/>
        <w:t>21F(8)</w:t>
      </w:r>
    </w:p>
    <w:p>
      <w:pPr>
        <w:pStyle w:val="DefinedTerms"/>
      </w:pPr>
      <w:r>
        <w:t>game</w:t>
      </w:r>
      <w:r>
        <w:tab/>
        <w:t>3(1)</w:t>
      </w:r>
    </w:p>
    <w:p>
      <w:pPr>
        <w:pStyle w:val="DefinedTerms"/>
      </w:pPr>
      <w:r>
        <w:t>gaming</w:t>
      </w:r>
      <w:r>
        <w:tab/>
        <w:t>3(2)</w:t>
      </w:r>
    </w:p>
    <w:p>
      <w:pPr>
        <w:pStyle w:val="DefinedTerms"/>
      </w:pPr>
      <w:r>
        <w:t>gaming equipment</w:t>
      </w:r>
      <w:r>
        <w:tab/>
        <w:t>3(2)</w:t>
      </w:r>
    </w:p>
    <w:p>
      <w:pPr>
        <w:pStyle w:val="DefinedTerms"/>
      </w:pPr>
      <w:r>
        <w:t>gaming operations</w:t>
      </w:r>
      <w:r>
        <w:tab/>
        <w:t>3(1)</w:t>
      </w:r>
    </w:p>
    <w:p>
      <w:pPr>
        <w:pStyle w:val="DefinedTerms"/>
      </w:pPr>
      <w:r>
        <w:t>government inspector</w:t>
      </w:r>
      <w:r>
        <w:tab/>
        <w:t>3(1)</w:t>
      </w:r>
    </w:p>
    <w:p>
      <w:pPr>
        <w:pStyle w:val="DefinedTerms"/>
      </w:pPr>
      <w:r>
        <w:t>instruments of gaming</w:t>
      </w:r>
      <w:r>
        <w:tab/>
        <w:t>3(2)</w:t>
      </w:r>
    </w:p>
    <w:p>
      <w:pPr>
        <w:pStyle w:val="DefinedTerms"/>
      </w:pPr>
      <w:r>
        <w:t>junket</w:t>
      </w:r>
      <w:r>
        <w:tab/>
        <w:t>25A(3)</w:t>
      </w:r>
    </w:p>
    <w:p>
      <w:pPr>
        <w:pStyle w:val="DefinedTerms"/>
      </w:pPr>
      <w:r>
        <w:t>licensed casino</w:t>
      </w:r>
      <w:r>
        <w:tab/>
        <w:t>3(1)</w:t>
      </w:r>
    </w:p>
    <w:p>
      <w:pPr>
        <w:pStyle w:val="DefinedTerms"/>
      </w:pPr>
      <w:r>
        <w:t>machine</w:t>
      </w:r>
      <w:r>
        <w:tab/>
        <w:t>3(2)</w:t>
      </w:r>
    </w:p>
    <w:p>
      <w:pPr>
        <w:pStyle w:val="DefinedTerms"/>
      </w:pPr>
      <w:r>
        <w:t>mortgagee</w:t>
      </w:r>
      <w:r>
        <w:tab/>
        <w:t>3(1)</w:t>
      </w:r>
    </w:p>
    <w:p>
      <w:pPr>
        <w:pStyle w:val="DefinedTerms"/>
      </w:pPr>
      <w:r>
        <w:t>possession</w:t>
      </w:r>
      <w:r>
        <w:tab/>
        <w:t>3(2)</w:t>
      </w:r>
    </w:p>
    <w:p>
      <w:pPr>
        <w:pStyle w:val="DefinedTerms"/>
      </w:pPr>
      <w:r>
        <w:t>preliminary requirements</w:t>
      </w:r>
      <w:r>
        <w:tab/>
        <w:t>21(6)</w:t>
      </w:r>
    </w:p>
    <w:p>
      <w:pPr>
        <w:pStyle w:val="DefinedTerms"/>
      </w:pPr>
      <w:r>
        <w:t>proposed assignee</w:t>
      </w:r>
      <w:r>
        <w:tab/>
        <w:t>21F(6)</w:t>
      </w:r>
    </w:p>
    <w:p>
      <w:pPr>
        <w:pStyle w:val="DefinedTerms"/>
      </w:pPr>
      <w:r>
        <w:t>proposed assignment</w:t>
      </w:r>
      <w:r>
        <w:tab/>
        <w:t>21F(6)</w:t>
      </w:r>
    </w:p>
    <w:p>
      <w:pPr>
        <w:pStyle w:val="DefinedTerms"/>
      </w:pPr>
      <w:r>
        <w:t>public company</w:t>
      </w:r>
      <w:r>
        <w:tab/>
        <w:t>3(1)</w:t>
      </w:r>
    </w:p>
    <w:p>
      <w:pPr>
        <w:pStyle w:val="DefinedTerms"/>
      </w:pPr>
      <w:r>
        <w:t>public interest</w:t>
      </w:r>
      <w:r>
        <w:tab/>
        <w:t>3(1)</w:t>
      </w:r>
    </w:p>
    <w:p>
      <w:pPr>
        <w:pStyle w:val="DefinedTerms"/>
      </w:pPr>
      <w:r>
        <w:t>receiver</w:t>
      </w:r>
      <w:r>
        <w:tab/>
        <w:t>21F(8)</w:t>
      </w:r>
    </w:p>
    <w:p>
      <w:pPr>
        <w:pStyle w:val="DefinedTerms"/>
      </w:pPr>
      <w:r>
        <w:t>relevant financial interest</w:t>
      </w:r>
      <w:r>
        <w:tab/>
        <w:t>18(2)</w:t>
      </w:r>
    </w:p>
    <w:p>
      <w:pPr>
        <w:pStyle w:val="DefinedTerms"/>
      </w:pPr>
      <w:r>
        <w:t>relevant position</w:t>
      </w:r>
      <w:r>
        <w:tab/>
        <w:t>18(2)</w:t>
      </w:r>
    </w:p>
    <w:p>
      <w:pPr>
        <w:pStyle w:val="DefinedTerms"/>
      </w:pPr>
      <w:r>
        <w:t>relevant power</w:t>
      </w:r>
      <w:r>
        <w:tab/>
        <w:t>18(2)</w:t>
      </w:r>
    </w:p>
    <w:p>
      <w:pPr>
        <w:pStyle w:val="DefinedTerms"/>
      </w:pPr>
      <w:r>
        <w:t>special circumstances</w:t>
      </w:r>
      <w:r>
        <w:tab/>
        <w:t>29B(6)</w:t>
      </w:r>
    </w:p>
    <w:p>
      <w:pPr>
        <w:pStyle w:val="DefinedTerms"/>
      </w:pPr>
      <w:r>
        <w:t>specified</w:t>
      </w:r>
      <w:r>
        <w:tab/>
        <w:t>21(6), 37(3)</w:t>
      </w:r>
    </w:p>
    <w:p>
      <w:pPr>
        <w:pStyle w:val="DefinedTerms"/>
      </w:pPr>
      <w:r>
        <w:t>specified person</w:t>
      </w:r>
      <w:r>
        <w:tab/>
        <w:t>21E(7)</w:t>
      </w:r>
    </w:p>
    <w:p>
      <w:pPr>
        <w:pStyle w:val="DefinedTerms"/>
      </w:pPr>
      <w:r>
        <w:t>token</w:t>
      </w:r>
      <w:r>
        <w:tab/>
        <w:t>3(2)</w:t>
      </w:r>
    </w:p>
    <w:p>
      <w:pPr>
        <w:pStyle w:val="DefinedTerms"/>
      </w:pPr>
      <w:r>
        <w:t>unclaimed winnings</w:t>
      </w:r>
      <w:r>
        <w:tab/>
        <w:t>15(1), 15(6)</w:t>
      </w:r>
    </w:p>
    <w:p>
      <w:pPr>
        <w:pStyle w:val="DefinedTerms"/>
      </w:pPr>
      <w:r>
        <w:t>winner</w:t>
      </w:r>
      <w:r>
        <w:tab/>
        <w:t>15(1)</w:t>
      </w:r>
    </w:p>
    <w:p>
      <w:pPr>
        <w:pStyle w:val="DefinedTerms"/>
      </w:pPr>
      <w:r>
        <w:t>winnings</w:t>
      </w:r>
      <w:r>
        <w:tab/>
        <w:t>3(2)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546"/>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17789</Words>
  <Characters>85035</Characters>
  <Application>Microsoft Office Word</Application>
  <DocSecurity>0</DocSecurity>
  <Lines>2298</Lines>
  <Paragraphs>1155</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101669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1984 - 04-a0-08</dc:title>
  <dc:subject/>
  <dc:creator/>
  <cp:keywords/>
  <dc:description/>
  <cp:lastModifiedBy>svcMRProcess</cp:lastModifiedBy>
  <cp:revision>4</cp:revision>
  <cp:lastPrinted>2011-12-20T02:25:00Z</cp:lastPrinted>
  <dcterms:created xsi:type="dcterms:W3CDTF">2019-01-18T07:02:00Z</dcterms:created>
  <dcterms:modified xsi:type="dcterms:W3CDTF">2019-01-18T07:03:00Z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20111216</vt:lpwstr>
  </property>
  <property fmtid="{D5CDD505-2E9C-101B-9397-08002B2CF9AE}" pid="4" name="DocumentType">
    <vt:lpwstr>Act</vt:lpwstr>
  </property>
  <property fmtid="{D5CDD505-2E9C-101B-9397-08002B2CF9AE}" pid="5" name="OwlsUID">
    <vt:i4>108</vt:i4>
  </property>
  <property fmtid="{D5CDD505-2E9C-101B-9397-08002B2CF9AE}" pid="6" name="ReprintNo">
    <vt:lpwstr>4</vt:lpwstr>
  </property>
  <property fmtid="{D5CDD505-2E9C-101B-9397-08002B2CF9AE}" pid="7" name="ReprintedAsAt">
    <vt:filetime>2011-12-15T16:00:00Z</vt:filetime>
  </property>
  <property fmtid="{D5CDD505-2E9C-101B-9397-08002B2CF9AE}" pid="8" name="AsAtDate">
    <vt:lpwstr>16 Dec 2011</vt:lpwstr>
  </property>
  <property fmtid="{D5CDD505-2E9C-101B-9397-08002B2CF9AE}" pid="9" name="Suffix">
    <vt:lpwstr>04-a0-08</vt:lpwstr>
  </property>
</Properties>
</file>