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Subiaco Redevelopment Act 1994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Metropolitan Redevelopment Authority Act 2011</w:t>
      </w:r>
      <w:r>
        <w:rPr>
          <w:color w:val="000000"/>
          <w:sz w:val="22"/>
          <w:szCs w:val="22"/>
        </w:rPr>
        <w:t xml:space="preserve"> s. 134(d) (No. 45 of 2011) as at 31 Dec 2011 (see s. 2(b) and </w:t>
      </w:r>
      <w:r>
        <w:rPr>
          <w:i/>
          <w:iCs/>
          <w:color w:val="000000"/>
          <w:sz w:val="22"/>
          <w:szCs w:val="22"/>
        </w:rPr>
        <w:t>Gazette</w:t>
      </w:r>
      <w:r>
        <w:rPr>
          <w:color w:val="000000"/>
          <w:sz w:val="22"/>
          <w:szCs w:val="22"/>
        </w:rPr>
        <w:t xml:space="preserve"> 30 Dec 2011 p. 5573).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Subiaco Redevelopment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_Toc426029621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_Toc426029622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_Toc426029623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Redevelopment area defined (Sch. 1)</w:t>
      </w:r>
      <w:r>
        <w:tab/>
      </w:r>
      <w:r>
        <w:fldChar w:fldCharType="begin"/>
      </w:r>
      <w:r>
        <w:instrText xml:space="preserve"> PAGEREF _Toc426029624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where area amended</w:t>
      </w:r>
      <w:r>
        <w:tab/>
      </w:r>
      <w:r>
        <w:fldChar w:fldCharType="begin"/>
      </w:r>
      <w:r>
        <w:instrText xml:space="preserve"> PAGEREF _Toc426029625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Subiaco Redevelopment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of Authority</w:t>
      </w:r>
    </w:p>
    <w:p>
      <w:pPr>
        <w:pStyle w:val="TOC8"/>
        <w:rPr>
          <w:rFonts w:asciiTheme="minorHAnsi" w:eastAsiaTheme="minorEastAsia" w:hAnsiTheme="minorHAnsi" w:cstheme="minorBidi"/>
          <w:szCs w:val="22"/>
        </w:rPr>
      </w:pPr>
      <w:r>
        <w:t>6</w:t>
      </w:r>
      <w:r>
        <w:rPr>
          <w:snapToGrid w:val="0"/>
        </w:rPr>
        <w:t>.</w:t>
      </w:r>
      <w:r>
        <w:rPr>
          <w:snapToGrid w:val="0"/>
        </w:rPr>
        <w:tab/>
        <w:t>Authority established</w:t>
      </w:r>
      <w:r>
        <w:tab/>
      </w:r>
      <w:r>
        <w:fldChar w:fldCharType="begin"/>
      </w:r>
      <w:r>
        <w:instrText xml:space="preserve"> PAGEREF _Toc426029628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Membership of Authority</w:t>
      </w:r>
      <w:r>
        <w:tab/>
      </w:r>
      <w:r>
        <w:fldChar w:fldCharType="begin"/>
      </w:r>
      <w:r>
        <w:instrText xml:space="preserve"> PAGEREF _Toc426029629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Chairperson and deputy chairperson</w:t>
      </w:r>
      <w:r>
        <w:tab/>
      </w:r>
      <w:r>
        <w:fldChar w:fldCharType="begin"/>
      </w:r>
      <w:r>
        <w:instrText xml:space="preserve"> PAGEREF _Toc426029630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and proceedings (Sch. 2)</w:t>
      </w:r>
      <w:r>
        <w:tab/>
      </w:r>
      <w:r>
        <w:fldChar w:fldCharType="begin"/>
      </w:r>
      <w:r>
        <w:instrText xml:space="preserve"> PAGEREF _Toc426029631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and expenses of members</w:t>
      </w:r>
      <w:r>
        <w:tab/>
      </w:r>
      <w:r>
        <w:fldChar w:fldCharType="begin"/>
      </w:r>
      <w:r>
        <w:instrText xml:space="preserve"> PAGEREF _Toc426029632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Protection from personal liability</w:t>
      </w:r>
      <w:r>
        <w:tab/>
      </w:r>
      <w:r>
        <w:fldChar w:fldCharType="begin"/>
      </w:r>
      <w:r>
        <w:instrText xml:space="preserve"> PAGEREF _Toc426029633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Particular functions of members</w:t>
      </w:r>
      <w:r>
        <w:tab/>
      </w:r>
      <w:r>
        <w:fldChar w:fldCharType="begin"/>
      </w:r>
      <w:r>
        <w:instrText xml:space="preserve"> PAGEREF _Toc426029634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w:t>
      </w:r>
    </w:p>
    <w:p>
      <w:pPr>
        <w:pStyle w:val="TOC8"/>
        <w:rPr>
          <w:rFonts w:asciiTheme="minorHAnsi" w:eastAsiaTheme="minorEastAsia" w:hAnsiTheme="minorHAnsi" w:cstheme="minorBidi"/>
          <w:szCs w:val="22"/>
        </w:rPr>
      </w:pPr>
      <w:r>
        <w:t>14</w:t>
      </w:r>
      <w:r>
        <w:rPr>
          <w:snapToGrid w:val="0"/>
        </w:rPr>
        <w:t>.</w:t>
      </w:r>
      <w:r>
        <w:rPr>
          <w:snapToGrid w:val="0"/>
        </w:rPr>
        <w:tab/>
        <w:t>Chief executive officer</w:t>
      </w:r>
      <w:r>
        <w:tab/>
      </w:r>
      <w:r>
        <w:fldChar w:fldCharType="begin"/>
      </w:r>
      <w:r>
        <w:instrText xml:space="preserve"> PAGEREF _Toc426029636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 of staff and facilities of departments etc.</w:t>
      </w:r>
      <w:r>
        <w:tab/>
      </w:r>
      <w:r>
        <w:fldChar w:fldCharType="begin"/>
      </w:r>
      <w:r>
        <w:instrText xml:space="preserve"> PAGEREF _Toc426029637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Consultants etc.</w:t>
      </w:r>
      <w:r>
        <w:tab/>
      </w:r>
      <w:r>
        <w:fldChar w:fldCharType="begin"/>
      </w:r>
      <w:r>
        <w:instrText xml:space="preserve"> PAGEREF _Toc426029638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Senior Executive Service</w:t>
      </w:r>
      <w:r>
        <w:tab/>
      </w:r>
      <w:r>
        <w:fldChar w:fldCharType="begin"/>
      </w:r>
      <w:r>
        <w:instrText xml:space="preserve"> PAGEREF _Toc426029639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18</w:t>
      </w:r>
      <w:r>
        <w:rPr>
          <w:snapToGrid w:val="0"/>
        </w:rPr>
        <w:t>.</w:t>
      </w:r>
      <w:r>
        <w:rPr>
          <w:snapToGrid w:val="0"/>
        </w:rPr>
        <w:tab/>
        <w:t>Compliance with written laws</w:t>
      </w:r>
      <w:r>
        <w:tab/>
      </w:r>
      <w:r>
        <w:fldChar w:fldCharType="begin"/>
      </w:r>
      <w:r>
        <w:instrText xml:space="preserve"> PAGEREF _Toc426029641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Authority exempt from rates, taxes etc.</w:t>
      </w:r>
      <w:r>
        <w:tab/>
      </w:r>
      <w:r>
        <w:fldChar w:fldCharType="begin"/>
      </w:r>
      <w:r>
        <w:instrText xml:space="preserve"> PAGEREF _Toc426029642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Functions of Authority</w:t>
      </w:r>
      <w:r>
        <w:tab/>
      </w:r>
      <w:r>
        <w:fldChar w:fldCharType="begin"/>
      </w:r>
      <w:r>
        <w:instrText xml:space="preserve"> PAGEREF _Toc426029643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21</w:t>
      </w:r>
      <w:r>
        <w:rPr>
          <w:snapToGrid w:val="0"/>
        </w:rPr>
        <w:t>.</w:t>
      </w:r>
      <w:r>
        <w:rPr>
          <w:snapToGrid w:val="0"/>
        </w:rPr>
        <w:tab/>
        <w:t>Powers of Authority</w:t>
      </w:r>
      <w:r>
        <w:tab/>
      </w:r>
      <w:r>
        <w:fldChar w:fldCharType="begin"/>
      </w:r>
      <w:r>
        <w:instrText xml:space="preserve"> PAGEREF _Toc426029644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Further restrictions on exercise of power</w:t>
      </w:r>
      <w:r>
        <w:tab/>
      </w:r>
      <w:r>
        <w:fldChar w:fldCharType="begin"/>
      </w:r>
      <w:r>
        <w:instrText xml:space="preserve"> PAGEREF _Toc426029645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Conditions on disposal of land, imposition of by Authority</w:t>
      </w:r>
      <w:r>
        <w:tab/>
      </w:r>
      <w:r>
        <w:fldChar w:fldCharType="begin"/>
      </w:r>
      <w:r>
        <w:instrText xml:space="preserve"> PAGEREF _Toc426029646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Compulsory taking of land</w:t>
      </w:r>
      <w:r>
        <w:tab/>
      </w:r>
      <w:r>
        <w:fldChar w:fldCharType="begin"/>
      </w:r>
      <w:r>
        <w:instrText xml:space="preserve"> PAGEREF _Toc426029647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Governor may direct transfer of land to Authority</w:t>
      </w:r>
      <w:r>
        <w:tab/>
      </w:r>
      <w:r>
        <w:fldChar w:fldCharType="begin"/>
      </w:r>
      <w:r>
        <w:instrText xml:space="preserve"> PAGEREF _Toc426029648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Temporary closure of streets</w:t>
      </w:r>
      <w:r>
        <w:tab/>
      </w:r>
      <w:r>
        <w:fldChar w:fldCharType="begin"/>
      </w:r>
      <w:r>
        <w:instrText xml:space="preserve"> PAGEREF _Toc426029649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Permanent closure of streets</w:t>
      </w:r>
      <w:r>
        <w:tab/>
      </w:r>
      <w:r>
        <w:fldChar w:fldCharType="begin"/>
      </w:r>
      <w:r>
        <w:instrText xml:space="preserve"> PAGEREF _Toc426029650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Delegation by Authority</w:t>
      </w:r>
      <w:r>
        <w:tab/>
      </w:r>
      <w:r>
        <w:fldChar w:fldCharType="begin"/>
      </w:r>
      <w:r>
        <w:instrText xml:space="preserve"> PAGEREF _Toc426029651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direct Authority</w:t>
      </w:r>
      <w:r>
        <w:tab/>
      </w:r>
      <w:r>
        <w:fldChar w:fldCharType="begin"/>
      </w:r>
      <w:r>
        <w:instrText xml:space="preserve"> PAGEREF _Toc426029652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Minister to have access to information</w:t>
      </w:r>
      <w:r>
        <w:tab/>
      </w:r>
      <w:r>
        <w:fldChar w:fldCharType="begin"/>
      </w:r>
      <w:r>
        <w:instrText xml:space="preserve"> PAGEREF _Toc426029653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Redevelopment scheme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31</w:t>
      </w:r>
      <w:r>
        <w:rPr>
          <w:snapToGrid w:val="0"/>
        </w:rPr>
        <w:t>.</w:t>
      </w:r>
      <w:r>
        <w:rPr>
          <w:snapToGrid w:val="0"/>
        </w:rPr>
        <w:tab/>
        <w:t>Authority to comply with redevelopment scheme</w:t>
      </w:r>
      <w:r>
        <w:tab/>
      </w:r>
      <w:r>
        <w:fldChar w:fldCharType="begin"/>
      </w:r>
      <w:r>
        <w:instrText xml:space="preserve"> PAGEREF _Toc426029656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Contents of redevelopment scheme</w:t>
      </w:r>
      <w:r>
        <w:tab/>
      </w:r>
      <w:r>
        <w:fldChar w:fldCharType="begin"/>
      </w:r>
      <w:r>
        <w:instrText xml:space="preserve"> PAGEREF _Toc426029657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Preparation and approval of redevelopment scheme</w:t>
      </w:r>
    </w:p>
    <w:p>
      <w:pPr>
        <w:pStyle w:val="TOC8"/>
        <w:rPr>
          <w:rFonts w:asciiTheme="minorHAnsi" w:eastAsiaTheme="minorEastAsia" w:hAnsiTheme="minorHAnsi" w:cstheme="minorBidi"/>
          <w:szCs w:val="22"/>
        </w:rPr>
      </w:pPr>
      <w:r>
        <w:t>33</w:t>
      </w:r>
      <w:r>
        <w:rPr>
          <w:snapToGrid w:val="0"/>
        </w:rPr>
        <w:t>.</w:t>
      </w:r>
      <w:r>
        <w:rPr>
          <w:snapToGrid w:val="0"/>
        </w:rPr>
        <w:tab/>
        <w:t>Proposed scheme, submission and approval of for public notification</w:t>
      </w:r>
      <w:r>
        <w:tab/>
      </w:r>
      <w:r>
        <w:fldChar w:fldCharType="begin"/>
      </w:r>
      <w:r>
        <w:instrText xml:space="preserve"> PAGEREF _Toc426029659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Proposed scheme to be publicly notified</w:t>
      </w:r>
      <w:r>
        <w:tab/>
      </w:r>
      <w:r>
        <w:fldChar w:fldCharType="begin"/>
      </w:r>
      <w:r>
        <w:instrText xml:space="preserve"> PAGEREF _Toc426029660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Public submissions about proposed scheme</w:t>
      </w:r>
      <w:r>
        <w:tab/>
      </w:r>
      <w:r>
        <w:fldChar w:fldCharType="begin"/>
      </w:r>
      <w:r>
        <w:instrText xml:space="preserve"> PAGEREF _Toc426029661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Approval of scheme by Minister</w:t>
      </w:r>
      <w:r>
        <w:tab/>
      </w:r>
      <w:r>
        <w:fldChar w:fldCharType="begin"/>
      </w:r>
      <w:r>
        <w:instrText xml:space="preserve"> PAGEREF _Toc426029662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Public notice of approval of scheme; commencement of scheme</w:t>
      </w:r>
      <w:r>
        <w:tab/>
      </w:r>
      <w:r>
        <w:fldChar w:fldCharType="begin"/>
      </w:r>
      <w:r>
        <w:instrText xml:space="preserve"> PAGEREF _Toc426029663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Amendment of redevelopment scheme</w:t>
      </w:r>
    </w:p>
    <w:p>
      <w:pPr>
        <w:pStyle w:val="TOC8"/>
        <w:rPr>
          <w:rFonts w:asciiTheme="minorHAnsi" w:eastAsiaTheme="minorEastAsia" w:hAnsiTheme="minorHAnsi" w:cstheme="minorBidi"/>
          <w:szCs w:val="22"/>
        </w:rPr>
      </w:pPr>
      <w:r>
        <w:t>38</w:t>
      </w:r>
      <w:r>
        <w:rPr>
          <w:snapToGrid w:val="0"/>
        </w:rPr>
        <w:t>.</w:t>
      </w:r>
      <w:r>
        <w:rPr>
          <w:snapToGrid w:val="0"/>
        </w:rPr>
        <w:tab/>
        <w:t>Amending a scheme</w:t>
      </w:r>
      <w:r>
        <w:tab/>
      </w:r>
      <w:r>
        <w:fldChar w:fldCharType="begin"/>
      </w:r>
      <w:r>
        <w:instrText xml:space="preserve"> PAGEREF _Toc426029665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Saving</w:t>
      </w:r>
      <w:r>
        <w:tab/>
      </w:r>
      <w:r>
        <w:fldChar w:fldCharType="begin"/>
      </w:r>
      <w:r>
        <w:instrText xml:space="preserve"> PAGEREF _Toc426029666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Role of Environmental Protection Authority in respect of redevelopment schemes, etc.</w:t>
      </w:r>
    </w:p>
    <w:p>
      <w:pPr>
        <w:pStyle w:val="TOC8"/>
        <w:rPr>
          <w:rFonts w:asciiTheme="minorHAnsi" w:eastAsiaTheme="minorEastAsia" w:hAnsiTheme="minorHAnsi" w:cstheme="minorBidi"/>
          <w:szCs w:val="22"/>
        </w:rPr>
      </w:pPr>
      <w:r>
        <w:t>40</w:t>
      </w:r>
      <w:r>
        <w:rPr>
          <w:snapToGrid w:val="0"/>
        </w:rPr>
        <w:t>.</w:t>
      </w:r>
      <w:r>
        <w:rPr>
          <w:snapToGrid w:val="0"/>
        </w:rPr>
        <w:tab/>
        <w:t>Reference of proposed schemes, and proposed amendments to schemes, to EPA</w:t>
      </w:r>
      <w:r>
        <w:tab/>
      </w:r>
      <w:r>
        <w:fldChar w:fldCharType="begin"/>
      </w:r>
      <w:r>
        <w:instrText xml:space="preserve"> PAGEREF _Toc426029668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Prerequisite to submission of proposed schemes, and proposed amendments, to Minister for approval before public notification</w:t>
      </w:r>
      <w:r>
        <w:tab/>
      </w:r>
      <w:r>
        <w:fldChar w:fldCharType="begin"/>
      </w:r>
      <w:r>
        <w:instrText xml:space="preserve"> PAGEREF _Toc426029669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Authority’s duties as to environmental issues</w:t>
      </w:r>
      <w:r>
        <w:tab/>
      </w:r>
      <w:r>
        <w:fldChar w:fldCharType="begin"/>
      </w:r>
      <w:r>
        <w:instrText xml:space="preserve"> PAGEREF _Toc426029670 \h </w:instrText>
      </w:r>
      <w:r>
        <w:fldChar w:fldCharType="separate"/>
      </w:r>
      <w:r>
        <w:t>28</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Prerequisite to final approval by Minister of proposed schemes and proposed amendments</w:t>
      </w:r>
      <w:r>
        <w:tab/>
      </w:r>
      <w:r>
        <w:fldChar w:fldCharType="begin"/>
      </w:r>
      <w:r>
        <w:instrText xml:space="preserve"> PAGEREF _Toc426029671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control</w:t>
      </w:r>
    </w:p>
    <w:p>
      <w:pPr>
        <w:pStyle w:val="TOC8"/>
        <w:rPr>
          <w:rFonts w:asciiTheme="minorHAnsi" w:eastAsiaTheme="minorEastAsia" w:hAnsiTheme="minorHAnsi" w:cstheme="minorBidi"/>
          <w:szCs w:val="22"/>
        </w:rPr>
      </w:pPr>
      <w:r>
        <w:t>43</w:t>
      </w:r>
      <w:r>
        <w:rPr>
          <w:snapToGrid w:val="0"/>
        </w:rPr>
        <w:t>.</w:t>
      </w:r>
      <w:r>
        <w:rPr>
          <w:snapToGrid w:val="0"/>
        </w:rPr>
        <w:tab/>
        <w:t>Term used: appointed day</w:t>
      </w:r>
      <w:r>
        <w:tab/>
      </w:r>
      <w:r>
        <w:fldChar w:fldCharType="begin"/>
      </w:r>
      <w:r>
        <w:instrText xml:space="preserve"> PAGEREF _Toc426029673 \h </w:instrText>
      </w:r>
      <w:r>
        <w:fldChar w:fldCharType="separate"/>
      </w:r>
      <w:r>
        <w:t>31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Crown bound</w:t>
      </w:r>
      <w:r>
        <w:tab/>
      </w:r>
      <w:r>
        <w:fldChar w:fldCharType="begin"/>
      </w:r>
      <w:r>
        <w:instrText xml:space="preserve"> PAGEREF _Toc426029674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Certain planning schemes cease to apply</w:t>
      </w:r>
      <w:r>
        <w:tab/>
      </w:r>
      <w:r>
        <w:fldChar w:fldCharType="begin"/>
      </w:r>
      <w:r>
        <w:instrText xml:space="preserve"> PAGEREF _Toc426029675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Saving</w:t>
      </w:r>
      <w:r>
        <w:tab/>
      </w:r>
      <w:r>
        <w:fldChar w:fldCharType="begin"/>
      </w:r>
      <w:r>
        <w:instrText xml:space="preserve"> PAGEREF _Toc426029676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No development without approval</w:t>
      </w:r>
      <w:r>
        <w:tab/>
      </w:r>
      <w:r>
        <w:fldChar w:fldCharType="begin"/>
      </w:r>
      <w:r>
        <w:instrText xml:space="preserve"> PAGEREF _Toc426029677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Applying for development approval</w:t>
      </w:r>
      <w:r>
        <w:tab/>
      </w:r>
      <w:r>
        <w:fldChar w:fldCharType="begin"/>
      </w:r>
      <w:r>
        <w:instrText xml:space="preserve"> PAGEREF _Toc426029678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authorities to be consulted about proposed development</w:t>
      </w:r>
      <w:r>
        <w:tab/>
      </w:r>
      <w:r>
        <w:fldChar w:fldCharType="begin"/>
      </w:r>
      <w:r>
        <w:instrText xml:space="preserve"> PAGEREF _Toc426029679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Authority’s decision as to proposed development</w:t>
      </w:r>
      <w:r>
        <w:tab/>
      </w:r>
      <w:r>
        <w:fldChar w:fldCharType="begin"/>
      </w:r>
      <w:r>
        <w:instrText xml:space="preserve"> PAGEREF _Toc426029680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Certain applications to be referred to Minister</w:t>
      </w:r>
      <w:r>
        <w:tab/>
      </w:r>
      <w:r>
        <w:fldChar w:fldCharType="begin"/>
      </w:r>
      <w:r>
        <w:instrText xml:space="preserve"> PAGEREF _Toc426029681 \h </w:instrText>
      </w:r>
      <w:r>
        <w:fldChar w:fldCharType="separate"/>
      </w:r>
      <w:r>
        <w:t>34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Review by SAT of s. 50 decisions</w:t>
      </w:r>
      <w:r>
        <w:tab/>
      </w:r>
      <w:r>
        <w:fldChar w:fldCharType="begin"/>
      </w:r>
      <w:r>
        <w:instrText xml:space="preserve"> PAGEREF _Toc426029682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Liability of officers for offence committed by body corporate</w:t>
      </w:r>
      <w:r>
        <w:tab/>
      </w:r>
      <w:r>
        <w:fldChar w:fldCharType="begin"/>
      </w:r>
      <w:r>
        <w:instrText xml:space="preserve"> PAGEREF _Toc426029683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Unlawful development, power to direct cessation or removal of</w:t>
      </w:r>
      <w:r>
        <w:tab/>
      </w:r>
      <w:r>
        <w:fldChar w:fldCharType="begin"/>
      </w:r>
      <w:r>
        <w:instrText xml:space="preserve"> PAGEREF _Toc426029684 \h </w:instrText>
      </w:r>
      <w:r>
        <w:fldChar w:fldCharType="separate"/>
      </w:r>
      <w:r>
        <w:t>36</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Minister’s powers to ensure environmental conditions are met</w:t>
      </w:r>
      <w:r>
        <w:tab/>
      </w:r>
      <w:r>
        <w:fldChar w:fldCharType="begin"/>
      </w:r>
      <w:r>
        <w:instrText xml:space="preserve"> PAGEREF _Toc426029685 \h </w:instrText>
      </w:r>
      <w:r>
        <w:fldChar w:fldCharType="separate"/>
      </w:r>
      <w:r>
        <w:t>37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Compensation for injurious affection etc.</w:t>
      </w:r>
      <w:r>
        <w:tab/>
      </w:r>
      <w:r>
        <w:fldChar w:fldCharType="begin"/>
      </w:r>
      <w:r>
        <w:instrText xml:space="preserve"> PAGEREF _Toc426029686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56</w:t>
      </w:r>
      <w:r>
        <w:rPr>
          <w:snapToGrid w:val="0"/>
        </w:rPr>
        <w:t>.</w:t>
      </w:r>
      <w:r>
        <w:rPr>
          <w:snapToGrid w:val="0"/>
        </w:rPr>
        <w:tab/>
        <w:t>Funds of Authority</w:t>
      </w:r>
      <w:r>
        <w:tab/>
      </w:r>
      <w:r>
        <w:fldChar w:fldCharType="begin"/>
      </w:r>
      <w:r>
        <w:instrText xml:space="preserve"> PAGEREF _Toc426029688 \h </w:instrText>
      </w:r>
      <w:r>
        <w:fldChar w:fldCharType="separate"/>
      </w:r>
      <w:r>
        <w:t>40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Investment</w:t>
      </w:r>
      <w:r>
        <w:tab/>
      </w:r>
      <w:r>
        <w:fldChar w:fldCharType="begin"/>
      </w:r>
      <w:r>
        <w:instrText xml:space="preserve"> PAGEREF _Toc426029689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Borrowing by Authority from Treasurer</w:t>
      </w:r>
      <w:r>
        <w:tab/>
      </w:r>
      <w:r>
        <w:fldChar w:fldCharType="begin"/>
      </w:r>
      <w:r>
        <w:instrText xml:space="preserve"> PAGEREF _Toc426029690 \h </w:instrText>
      </w:r>
      <w:r>
        <w:fldChar w:fldCharType="separate"/>
      </w:r>
      <w:r>
        <w:t>41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Borrowing by Authority generally</w:t>
      </w:r>
      <w:r>
        <w:tab/>
      </w:r>
      <w:r>
        <w:fldChar w:fldCharType="begin"/>
      </w:r>
      <w:r>
        <w:instrText xml:space="preserve"> PAGEREF _Toc426029691 \h </w:instrText>
      </w:r>
      <w:r>
        <w:fldChar w:fldCharType="separate"/>
      </w:r>
      <w:r>
        <w:t>41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Guarantee by Treasurer</w:t>
      </w:r>
      <w:r>
        <w:tab/>
      </w:r>
      <w:r>
        <w:fldChar w:fldCharType="begin"/>
      </w:r>
      <w:r>
        <w:instrText xml:space="preserve"> PAGEREF _Toc426029692 \h </w:instrText>
      </w:r>
      <w:r>
        <w:fldChar w:fldCharType="separate"/>
      </w:r>
      <w:r>
        <w:t>42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r>
        <w:tab/>
      </w:r>
      <w:r>
        <w:fldChar w:fldCharType="begin"/>
      </w:r>
      <w:r>
        <w:instrText xml:space="preserve"> PAGEREF _Toc426029693 \h </w:instrText>
      </w:r>
      <w:r>
        <w:fldChar w:fldCharType="separate"/>
      </w:r>
      <w:r>
        <w:t>43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Surplus</w:t>
      </w:r>
      <w:r>
        <w:tab/>
      </w:r>
      <w:r>
        <w:fldChar w:fldCharType="begin"/>
      </w:r>
      <w:r>
        <w:instrText xml:space="preserve"> PAGEREF _Toc426029694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63</w:t>
      </w:r>
      <w:r>
        <w:rPr>
          <w:snapToGrid w:val="0"/>
        </w:rPr>
        <w:t>.</w:t>
      </w:r>
      <w:r>
        <w:rPr>
          <w:snapToGrid w:val="0"/>
        </w:rPr>
        <w:tab/>
        <w:t>Modification of other laws</w:t>
      </w:r>
      <w:r>
        <w:tab/>
      </w:r>
      <w:r>
        <w:fldChar w:fldCharType="begin"/>
      </w:r>
      <w:r>
        <w:instrText xml:space="preserve"> PAGEREF _Toc426029696 \h </w:instrText>
      </w:r>
      <w:r>
        <w:fldChar w:fldCharType="separate"/>
      </w:r>
      <w:r>
        <w:t>44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Execution of documents by Authority</w:t>
      </w:r>
      <w:r>
        <w:tab/>
      </w:r>
      <w:r>
        <w:fldChar w:fldCharType="begin"/>
      </w:r>
      <w:r>
        <w:instrText xml:space="preserve"> PAGEREF _Toc426029697 \h </w:instrText>
      </w:r>
      <w:r>
        <w:fldChar w:fldCharType="separate"/>
      </w:r>
      <w:r>
        <w:t>44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Regulations</w:t>
      </w:r>
      <w:r>
        <w:tab/>
      </w:r>
      <w:r>
        <w:fldChar w:fldCharType="begin"/>
      </w:r>
      <w:r>
        <w:instrText xml:space="preserve"> PAGEREF _Toc426029698 \h </w:instrText>
      </w:r>
      <w:r>
        <w:fldChar w:fldCharType="separate"/>
      </w:r>
      <w:r>
        <w:t>45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Review of Act</w:t>
      </w:r>
      <w:r>
        <w:tab/>
      </w:r>
      <w:r>
        <w:fldChar w:fldCharType="begin"/>
      </w:r>
      <w:r>
        <w:instrText xml:space="preserve"> PAGEREF _Toc426029699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Redevelopment Area</w:t>
      </w:r>
    </w:p>
    <w:p>
      <w:pPr>
        <w:pStyle w:val="TOC2"/>
        <w:tabs>
          <w:tab w:val="right" w:leader="dot" w:pos="7077"/>
        </w:tabs>
        <w:rPr>
          <w:rFonts w:asciiTheme="minorHAnsi" w:eastAsiaTheme="minorEastAsia" w:hAnsiTheme="minorHAnsi" w:cstheme="minorBidi"/>
          <w:b w:val="0"/>
          <w:sz w:val="22"/>
          <w:szCs w:val="22"/>
        </w:rPr>
      </w:pPr>
      <w:r>
        <w:t>Schedule 2 — Provisions as to constitution and proceedings of the Authority</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_Toc426029702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_Toc426029703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members</w:t>
      </w:r>
      <w:r>
        <w:tab/>
      </w:r>
      <w:r>
        <w:fldChar w:fldCharType="begin"/>
      </w:r>
      <w:r>
        <w:instrText xml:space="preserve"> PAGEREF _Toc426029704 \h </w:instrText>
      </w:r>
      <w:r>
        <w:fldChar w:fldCharType="separate"/>
      </w:r>
      <w:r>
        <w:t>50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Resignation etc. of deputy chairperson</w:t>
      </w:r>
      <w:r>
        <w:tab/>
      </w:r>
      <w:r>
        <w:fldChar w:fldCharType="begin"/>
      </w:r>
      <w:r>
        <w:instrText xml:space="preserve"> PAGEREF _Toc426029705 \h </w:instrText>
      </w:r>
      <w:r>
        <w:fldChar w:fldCharType="separate"/>
      </w:r>
      <w:r>
        <w:t>50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Function of deputy chairperson</w:t>
      </w:r>
      <w:r>
        <w:tab/>
      </w:r>
      <w:r>
        <w:fldChar w:fldCharType="begin"/>
      </w:r>
      <w:r>
        <w:instrText xml:space="preserve"> PAGEREF _Toc426029706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Meetings</w:t>
      </w:r>
      <w:r>
        <w:tab/>
      </w:r>
      <w:r>
        <w:fldChar w:fldCharType="begin"/>
      </w:r>
      <w:r>
        <w:instrText xml:space="preserve"> PAGEREF _Toc426029707 \h </w:instrText>
      </w:r>
      <w:r>
        <w:fldChar w:fldCharType="separate"/>
      </w:r>
      <w:r>
        <w:t>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Committees</w:t>
      </w:r>
      <w:r>
        <w:tab/>
      </w:r>
      <w:r>
        <w:fldChar w:fldCharType="begin"/>
      </w:r>
      <w:r>
        <w:instrText xml:space="preserve"> PAGEREF _Toc426029708 \h </w:instrText>
      </w:r>
      <w:r>
        <w:fldChar w:fldCharType="separate"/>
      </w:r>
      <w:r>
        <w:t>51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_Toc426029709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Leave of absence</w:t>
      </w:r>
      <w:r>
        <w:tab/>
      </w:r>
      <w:r>
        <w:fldChar w:fldCharType="begin"/>
      </w:r>
      <w:r>
        <w:instrText xml:space="preserve"> PAGEREF _Toc426029710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Authority to determine own procedures</w:t>
      </w:r>
      <w:r>
        <w:tab/>
      </w:r>
      <w:r>
        <w:fldChar w:fldCharType="begin"/>
      </w:r>
      <w:r>
        <w:instrText xml:space="preserve"> PAGEREF _Toc426029711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_Toc426029713 \h </w:instrText>
      </w:r>
      <w:r>
        <w:fldChar w:fldCharType="separate"/>
      </w:r>
      <w:r>
        <w:t>53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Subiaco Redevelopment Act 1994</w:t>
      </w:r>
    </w:p>
    <w:p>
      <w:pPr>
        <w:pStyle w:val="LongTitle"/>
        <w:rPr>
          <w:snapToGrid w:val="0"/>
        </w:rPr>
      </w:pPr>
      <w:r>
        <w:rPr>
          <w:snapToGrid w:val="0"/>
        </w:rPr>
        <w:t>An Act to provide for the development and redevelopment of certain land in the local government districts of Subiaco and Cambridge, to establish an Authority with planning, development control and other functions in respect of that land, and for related purposes.</w:t>
      </w:r>
    </w:p>
    <w:p>
      <w:pPr>
        <w:pStyle w:val="Footnotelongtitle"/>
      </w:pPr>
      <w:r>
        <w:tab/>
        <w:t>[Long title amended by No. 14 of 1996 s. 4.]</w:t>
      </w:r>
    </w:p>
    <w:p>
      <w:pPr>
        <w:pStyle w:val="Heading2"/>
      </w:pPr>
      <w:bookmarkStart w:id="3" w:name="_Toc379203057"/>
      <w:bookmarkStart w:id="4" w:name="_Toc426029620"/>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203058"/>
      <w:bookmarkStart w:id="6" w:name="_Toc426029621"/>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Subiaco Redevelopment Act 1994</w:t>
      </w:r>
      <w:r>
        <w:rPr>
          <w:snapToGrid w:val="0"/>
          <w:vertAlign w:val="superscript"/>
        </w:rPr>
        <w:t xml:space="preserve"> 1</w:t>
      </w:r>
      <w:r>
        <w:rPr>
          <w:snapToGrid w:val="0"/>
        </w:rPr>
        <w:t>.</w:t>
      </w:r>
    </w:p>
    <w:p>
      <w:pPr>
        <w:pStyle w:val="Heading5"/>
        <w:rPr>
          <w:snapToGrid w:val="0"/>
        </w:rPr>
      </w:pPr>
      <w:bookmarkStart w:id="7" w:name="_Toc379203059"/>
      <w:bookmarkStart w:id="8" w:name="_Toc426029622"/>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9" w:name="_Toc379203060"/>
      <w:bookmarkStart w:id="10" w:name="_Toc426029623"/>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Subiaco Redevelopment Authority Account referred to in section 56;</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Subiaco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committee</w:t>
      </w:r>
      <w:r>
        <w:t xml:space="preserve"> means a committee established under clause 7 of Schedule 2;</w:t>
      </w:r>
    </w:p>
    <w:p>
      <w:pPr>
        <w:pStyle w:val="Defstart"/>
      </w:pPr>
      <w:r>
        <w:rPr>
          <w:b/>
        </w:rPr>
        <w:tab/>
      </w:r>
      <w:r>
        <w:rPr>
          <w:rStyle w:val="CharDefText"/>
        </w:rPr>
        <w:t>council</w:t>
      </w:r>
      <w:r>
        <w:t xml:space="preserve"> means, in relation to the Town of </w:t>
      </w:r>
      <w:smartTag w:uri="urn:schemas-microsoft-com:office:smarttags" w:element="City">
        <w:r>
          <w:t>Cambridge</w:t>
        </w:r>
      </w:smartTag>
      <w:r>
        <w:t xml:space="preserve">, the commission appointed under section 6 of the </w:t>
      </w:r>
      <w:r>
        <w:rPr>
          <w:i/>
        </w:rPr>
        <w:t xml:space="preserve">City of </w:t>
      </w:r>
      <w:smartTag w:uri="urn:schemas-microsoft-com:office:smarttags" w:element="City">
        <w:r>
          <w:rPr>
            <w:i/>
          </w:rPr>
          <w:t>Perth Restructuring Act</w:t>
        </w:r>
      </w:smartTag>
      <w:r>
        <w:rPr>
          <w:i/>
        </w:rPr>
        <w:t> 1993</w:t>
      </w:r>
      <w:r>
        <w:t xml:space="preserve"> until the commencement of the first properly constituted meeting of the council of the Town of </w:t>
      </w:r>
      <w:smartTag w:uri="urn:schemas-microsoft-com:office:smarttags" w:element="place">
        <w:smartTag w:uri="urn:schemas-microsoft-com:office:smarttags" w:element="City">
          <w:r>
            <w:t>Cambridge</w:t>
          </w:r>
        </w:smartTag>
      </w:smartTag>
      <w:r>
        <w:t>;</w:t>
      </w:r>
    </w:p>
    <w:p>
      <w:pPr>
        <w:pStyle w:val="Defstart"/>
      </w:pPr>
      <w:r>
        <w:rPr>
          <w:b/>
        </w:rPr>
        <w:tab/>
      </w:r>
      <w:r>
        <w:rPr>
          <w:rStyle w:val="CharDefText"/>
        </w:rPr>
        <w:t>development</w:t>
      </w:r>
      <w:r>
        <w:t xml:space="preserve"> has the same meaning as it has in the </w:t>
      </w:r>
      <w:r>
        <w:rPr>
          <w:i/>
        </w:rPr>
        <w:t>Planning and Development Act 2005</w:t>
      </w:r>
      <w:r>
        <w:t>, but does not include any work, act or activity declared by regulations made under section 65 not to constitute development;</w:t>
      </w:r>
    </w:p>
    <w:p>
      <w:pPr>
        <w:pStyle w:val="Defstart"/>
      </w:pPr>
      <w:r>
        <w:rPr>
          <w:b/>
        </w:rPr>
        <w:tab/>
      </w:r>
      <w:r>
        <w:rPr>
          <w:rStyle w:val="CharDefText"/>
        </w:rPr>
        <w:t xml:space="preserve">dispose of </w:t>
      </w:r>
      <w:r>
        <w:t>includes sell, lease, let, grant a licence and grant any easement or right of way;</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a legal or equitable estate or interest in land;</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rPr>
          <w:b/>
        </w:rPr>
        <w:tab/>
      </w:r>
      <w:r>
        <w:rPr>
          <w:rStyle w:val="CharDefText"/>
        </w:rPr>
        <w:t>Metropolitan Region Scheme</w:t>
      </w:r>
      <w:r>
        <w:t xml:space="preserve"> has the same meaning as it has in the</w:t>
      </w:r>
      <w:r>
        <w:rPr>
          <w:iCs/>
        </w:rPr>
        <w:t xml:space="preserve"> </w:t>
      </w:r>
      <w:r>
        <w:rPr>
          <w:i/>
        </w:rPr>
        <w:t>Planning and Development Act 2005</w:t>
      </w:r>
      <w:r>
        <w:t>;</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area</w:t>
      </w:r>
      <w:r>
        <w:t xml:space="preserve"> means the area referred to in section 4(1);</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Defstart"/>
        <w:keepNext/>
      </w:pPr>
      <w:r>
        <w:rPr>
          <w:b/>
        </w:rPr>
        <w:tab/>
      </w:r>
      <w:r>
        <w:rPr>
          <w:rStyle w:val="CharDefText"/>
        </w:rPr>
        <w:t>Western Australian Land Authority</w:t>
      </w:r>
      <w:r>
        <w:t xml:space="preserve"> means the Western Australian Land Authority established by section 5 of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Footnotesection"/>
      </w:pPr>
      <w:r>
        <w:tab/>
        <w:t>[Section 3 amended by No. 14 of 1996 s. 4; No. 23 of 1996 s. 35; No. 38 of 2005 s. 15; No. 39 of 2010 s. 86(2).]</w:t>
      </w:r>
    </w:p>
    <w:p>
      <w:pPr>
        <w:pStyle w:val="Heading5"/>
        <w:rPr>
          <w:snapToGrid w:val="0"/>
        </w:rPr>
      </w:pPr>
      <w:bookmarkStart w:id="11" w:name="_Toc379203061"/>
      <w:bookmarkStart w:id="12" w:name="_Toc426029624"/>
      <w:r>
        <w:rPr>
          <w:rStyle w:val="CharSectno"/>
        </w:rPr>
        <w:t>4</w:t>
      </w:r>
      <w:r>
        <w:rPr>
          <w:snapToGrid w:val="0"/>
        </w:rPr>
        <w:t>.</w:t>
      </w:r>
      <w:r>
        <w:rPr>
          <w:snapToGrid w:val="0"/>
        </w:rPr>
        <w:tab/>
        <w:t>Redevelopment area defined (Sch. 1)</w:t>
      </w:r>
      <w:bookmarkEnd w:id="11"/>
      <w:bookmarkEnd w:id="12"/>
    </w:p>
    <w:p>
      <w:pPr>
        <w:pStyle w:val="Subsection"/>
        <w:rPr>
          <w:snapToGrid w:val="0"/>
        </w:rPr>
      </w:pPr>
      <w:r>
        <w:rPr>
          <w:snapToGrid w:val="0"/>
        </w:rPr>
        <w:tab/>
        <w:t>(1)</w:t>
      </w:r>
      <w:r>
        <w:rPr>
          <w:snapToGrid w:val="0"/>
        </w:rPr>
        <w:tab/>
        <w:t>The redevelopment area for the purposes of this Act is the area referred to in Schedule 1.</w:t>
      </w:r>
    </w:p>
    <w:p>
      <w:pPr>
        <w:pStyle w:val="Subsection"/>
        <w:keepNext/>
        <w:rPr>
          <w:snapToGrid w:val="0"/>
        </w:rPr>
      </w:pPr>
      <w:r>
        <w:rPr>
          <w:snapToGrid w:val="0"/>
        </w:rPr>
        <w:tab/>
        <w:t>(2)</w:t>
      </w:r>
      <w:r>
        <w:rPr>
          <w:snapToGrid w:val="0"/>
        </w:rPr>
        <w:tab/>
        <w:t>Regulations may be made under section 65 amending Schedule 1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is to consult with the City of </w:t>
      </w:r>
      <w:smartTag w:uri="urn:schemas-microsoft-com:office:smarttags" w:element="City">
        <w:r>
          <w:rPr>
            <w:snapToGrid w:val="0"/>
          </w:rPr>
          <w:t>Subiaco</w:t>
        </w:r>
      </w:smartTag>
      <w:r>
        <w:rPr>
          <w:snapToGrid w:val="0"/>
        </w:rPr>
        <w:t xml:space="preserve"> or the Town of </w:t>
      </w:r>
      <w:smartTag w:uri="urn:schemas-microsoft-com:office:smarttags" w:element="place">
        <w:smartTag w:uri="urn:schemas-microsoft-com:office:smarttags" w:element="City">
          <w:r>
            <w:rPr>
              <w:snapToGrid w:val="0"/>
            </w:rPr>
            <w:t>Cambridge</w:t>
          </w:r>
        </w:smartTag>
      </w:smartTag>
      <w:r>
        <w:rPr>
          <w:snapToGrid w:val="0"/>
        </w:rPr>
        <w:t>, as the case requires.</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they are to be accompanied by an explanatory memorandum showing how and why it is intended to amend the redevelopment area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[Section 4 amended by No. 14 of 1996 s. 4.]</w:t>
      </w:r>
    </w:p>
    <w:p>
      <w:pPr>
        <w:pStyle w:val="Heading5"/>
        <w:rPr>
          <w:snapToGrid w:val="0"/>
        </w:rPr>
      </w:pPr>
      <w:bookmarkStart w:id="13" w:name="_Toc379203062"/>
      <w:bookmarkStart w:id="14" w:name="_Toc426029625"/>
      <w:r>
        <w:rPr>
          <w:rStyle w:val="CharSectno"/>
        </w:rPr>
        <w:t>5</w:t>
      </w:r>
      <w:r>
        <w:rPr>
          <w:snapToGrid w:val="0"/>
        </w:rPr>
        <w:t>.</w:t>
      </w:r>
      <w:r>
        <w:rPr>
          <w:snapToGrid w:val="0"/>
        </w:rPr>
        <w:tab/>
        <w:t>Transitional provisions where area amended</w:t>
      </w:r>
      <w:bookmarkEnd w:id="13"/>
      <w:bookmarkEnd w:id="14"/>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38.</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45(3))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section 4(2) may make further provisions of a transitional nature that are expedient to be made in respect of an amendment to Schedule 1 under that subsection including provision —</w:t>
      </w:r>
    </w:p>
    <w:p>
      <w:pPr>
        <w:pStyle w:val="Indenta"/>
        <w:rPr>
          <w:snapToGrid w:val="0"/>
        </w:rPr>
      </w:pPr>
      <w:r>
        <w:rPr>
          <w:snapToGrid w:val="0"/>
        </w:rPr>
        <w:tab/>
        <w:t>(a)</w:t>
      </w:r>
      <w:r>
        <w:rPr>
          <w:snapToGrid w:val="0"/>
        </w:rPr>
        <w:tab/>
        <w:t xml:space="preserve">empowering the Minister, if land is subtracted from the redevelopment area, to amend the Metropolitan Region Scheme or a relevant local planning scheme </w:t>
      </w:r>
      <w:r>
        <w:t>or improvement scheme</w:t>
      </w:r>
      <w:r>
        <w:rPr>
          <w:snapToGrid w:val="0"/>
        </w:rPr>
        <w:t xml:space="preserve"> to provide for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under the redevelopment scheme in force immediately before it was subtracted;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38(2).]</w:t>
      </w:r>
    </w:p>
    <w:p>
      <w:pPr>
        <w:pStyle w:val="Heading2"/>
      </w:pPr>
      <w:bookmarkStart w:id="15" w:name="_Toc379203063"/>
      <w:bookmarkStart w:id="16" w:name="_Toc426029626"/>
      <w:r>
        <w:rPr>
          <w:rStyle w:val="CharPartNo"/>
        </w:rPr>
        <w:t>Part 2</w:t>
      </w:r>
      <w:r>
        <w:t> — </w:t>
      </w:r>
      <w:r>
        <w:rPr>
          <w:rStyle w:val="CharPartText"/>
        </w:rPr>
        <w:t>Subiaco Redevelopment Authority</w:t>
      </w:r>
      <w:bookmarkEnd w:id="15"/>
      <w:bookmarkEnd w:id="16"/>
    </w:p>
    <w:p>
      <w:pPr>
        <w:pStyle w:val="Heading3"/>
      </w:pPr>
      <w:bookmarkStart w:id="17" w:name="_Toc379203064"/>
      <w:bookmarkStart w:id="18" w:name="_Toc426029627"/>
      <w:r>
        <w:rPr>
          <w:rStyle w:val="CharDivNo"/>
        </w:rPr>
        <w:t>Division 1</w:t>
      </w:r>
      <w:r>
        <w:rPr>
          <w:snapToGrid w:val="0"/>
        </w:rPr>
        <w:t> — </w:t>
      </w:r>
      <w:r>
        <w:rPr>
          <w:rStyle w:val="CharDivText"/>
        </w:rPr>
        <w:t>Establishment of Authority</w:t>
      </w:r>
      <w:bookmarkEnd w:id="17"/>
      <w:bookmarkEnd w:id="18"/>
    </w:p>
    <w:p>
      <w:pPr>
        <w:pStyle w:val="Heading5"/>
        <w:rPr>
          <w:snapToGrid w:val="0"/>
        </w:rPr>
      </w:pPr>
      <w:bookmarkStart w:id="19" w:name="_Toc379203065"/>
      <w:bookmarkStart w:id="20" w:name="_Toc426029628"/>
      <w:r>
        <w:rPr>
          <w:rStyle w:val="CharSectno"/>
        </w:rPr>
        <w:t>6</w:t>
      </w:r>
      <w:r>
        <w:rPr>
          <w:snapToGrid w:val="0"/>
        </w:rPr>
        <w:t>.</w:t>
      </w:r>
      <w:r>
        <w:rPr>
          <w:snapToGrid w:val="0"/>
        </w:rPr>
        <w:tab/>
        <w:t>Authority established</w:t>
      </w:r>
      <w:bookmarkEnd w:id="19"/>
      <w:bookmarkEnd w:id="20"/>
    </w:p>
    <w:p>
      <w:pPr>
        <w:pStyle w:val="Subsection"/>
        <w:rPr>
          <w:snapToGrid w:val="0"/>
        </w:rPr>
      </w:pPr>
      <w:r>
        <w:rPr>
          <w:snapToGrid w:val="0"/>
        </w:rPr>
        <w:tab/>
        <w:t>(1)</w:t>
      </w:r>
      <w:r>
        <w:rPr>
          <w:snapToGrid w:val="0"/>
        </w:rPr>
        <w:tab/>
        <w:t>A body by the name of the Subiaco Redevelopment Authority is established.</w:t>
      </w:r>
    </w:p>
    <w:p>
      <w:pPr>
        <w:pStyle w:val="Subsection"/>
        <w:rPr>
          <w:snapToGrid w:val="0"/>
        </w:rPr>
      </w:pPr>
      <w:r>
        <w:rPr>
          <w:snapToGrid w:val="0"/>
        </w:rPr>
        <w:tab/>
        <w:t>(2)</w:t>
      </w:r>
      <w:r>
        <w:rPr>
          <w:snapToGrid w:val="0"/>
        </w:rPr>
        <w:tab/>
        <w:t>The Authority is a body corporate with perpetual succession and a common seal.</w:t>
      </w:r>
    </w:p>
    <w:p>
      <w:pPr>
        <w:pStyle w:val="Subsection"/>
        <w:rPr>
          <w:snapToGrid w:val="0"/>
        </w:rPr>
      </w:pPr>
      <w:r>
        <w:rPr>
          <w:snapToGrid w:val="0"/>
        </w:rPr>
        <w:tab/>
        <w:t>(3)</w:t>
      </w:r>
      <w:r>
        <w:rPr>
          <w:snapToGrid w:val="0"/>
        </w:rPr>
        <w:tab/>
        <w:t>Proceedings may be taken by or against the Authority in its corporate name.</w:t>
      </w:r>
    </w:p>
    <w:p>
      <w:pPr>
        <w:pStyle w:val="Subsection"/>
        <w:rPr>
          <w:snapToGrid w:val="0"/>
        </w:rPr>
      </w:pPr>
      <w:r>
        <w:rPr>
          <w:snapToGrid w:val="0"/>
        </w:rPr>
        <w:tab/>
        <w:t>(4)</w:t>
      </w:r>
      <w:r>
        <w:rPr>
          <w:snapToGrid w:val="0"/>
        </w:rPr>
        <w:tab/>
        <w:t>The Authority is an agent of the Crown in right of the State and, except as provided in section 18, enjoys the status, immunities and privileges of the Crown.</w:t>
      </w:r>
    </w:p>
    <w:p>
      <w:pPr>
        <w:pStyle w:val="Heading5"/>
        <w:rPr>
          <w:snapToGrid w:val="0"/>
        </w:rPr>
      </w:pPr>
      <w:bookmarkStart w:id="21" w:name="_Toc379203066"/>
      <w:bookmarkStart w:id="22" w:name="_Toc426029629"/>
      <w:r>
        <w:rPr>
          <w:rStyle w:val="CharSectno"/>
        </w:rPr>
        <w:t>7</w:t>
      </w:r>
      <w:r>
        <w:rPr>
          <w:snapToGrid w:val="0"/>
        </w:rPr>
        <w:t>.</w:t>
      </w:r>
      <w:r>
        <w:rPr>
          <w:snapToGrid w:val="0"/>
        </w:rPr>
        <w:tab/>
        <w:t>Membership of Authority</w:t>
      </w:r>
      <w:bookmarkEnd w:id="21"/>
      <w:bookmarkEnd w:id="22"/>
    </w:p>
    <w:p>
      <w:pPr>
        <w:pStyle w:val="Subsection"/>
        <w:rPr>
          <w:snapToGrid w:val="0"/>
        </w:rPr>
      </w:pPr>
      <w:r>
        <w:rPr>
          <w:snapToGrid w:val="0"/>
        </w:rPr>
        <w:tab/>
        <w:t>(1)</w:t>
      </w:r>
      <w:r>
        <w:rPr>
          <w:snapToGrid w:val="0"/>
        </w:rPr>
        <w:tab/>
        <w:t>The Authority consists of 5 members appointed by the Minister of whom —</w:t>
      </w:r>
    </w:p>
    <w:p>
      <w:pPr>
        <w:pStyle w:val="Indenta"/>
        <w:rPr>
          <w:snapToGrid w:val="0"/>
        </w:rPr>
      </w:pPr>
      <w:r>
        <w:rPr>
          <w:snapToGrid w:val="0"/>
        </w:rPr>
        <w:tab/>
        <w:t>(a)</w:t>
      </w:r>
      <w:r>
        <w:rPr>
          <w:snapToGrid w:val="0"/>
        </w:rPr>
        <w:tab/>
        <w:t>2 are to be persons who, in the opinion of the Minister, have a relevant qualification; and</w:t>
      </w:r>
    </w:p>
    <w:p>
      <w:pPr>
        <w:pStyle w:val="Indenta"/>
        <w:rPr>
          <w:snapToGrid w:val="0"/>
        </w:rPr>
      </w:pPr>
      <w:r>
        <w:rPr>
          <w:snapToGrid w:val="0"/>
        </w:rPr>
        <w:tab/>
        <w:t>(b)</w:t>
      </w:r>
      <w:r>
        <w:rPr>
          <w:snapToGrid w:val="0"/>
        </w:rPr>
        <w:tab/>
        <w:t>2 are to be persons nominated by the City of Subiaco who are members of the Council of, or employees of, the City of Subiaco;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one is to be a person nominated by the Minister to whom the administration of the </w:t>
      </w:r>
      <w:r>
        <w:rPr>
          <w:i/>
          <w:snapToGrid w:val="0"/>
        </w:rPr>
        <w:t>Transport Co</w:t>
      </w:r>
      <w:r>
        <w:rPr>
          <w:i/>
          <w:snapToGrid w:val="0"/>
        </w:rPr>
        <w:noBreakHyphen/>
        <w:t>ordination Act 1966</w:t>
      </w:r>
      <w:r>
        <w:rPr>
          <w:snapToGrid w:val="0"/>
        </w:rPr>
        <w:t xml:space="preserve"> is for the time being committed by the Governor.</w:t>
      </w:r>
    </w:p>
    <w:p>
      <w:pPr>
        <w:pStyle w:val="Subsection"/>
        <w:rPr>
          <w:snapToGrid w:val="0"/>
        </w:rPr>
      </w:pPr>
      <w:r>
        <w:rPr>
          <w:snapToGrid w:val="0"/>
        </w:rPr>
        <w:tab/>
        <w:t>(2)</w:t>
      </w:r>
      <w:r>
        <w:rPr>
          <w:snapToGrid w:val="0"/>
        </w:rPr>
        <w:tab/>
        <w:t>In subsection (1</w:t>
      </w:r>
      <w:r>
        <w:t xml:space="preserve">), a </w:t>
      </w:r>
      <w:r>
        <w:rPr>
          <w:rStyle w:val="CharDefText"/>
        </w:rPr>
        <w:t>relevant qualification</w:t>
      </w:r>
      <w:r>
        <w:rPr>
          <w:snapToGrid w:val="0"/>
        </w:rPr>
        <w:t xml:space="preserve"> means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is to comprise persons who between them have knowledge or experience covering all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Footnotesection"/>
      </w:pPr>
      <w:r>
        <w:tab/>
        <w:t>[Section 7 amended by No. 14 of 1996 s. 4; No. 57 of 1997 s. 116(1).]</w:t>
      </w:r>
    </w:p>
    <w:p>
      <w:pPr>
        <w:pStyle w:val="Heading5"/>
        <w:rPr>
          <w:snapToGrid w:val="0"/>
        </w:rPr>
      </w:pPr>
      <w:bookmarkStart w:id="23" w:name="_Toc379203067"/>
      <w:bookmarkStart w:id="24" w:name="_Toc426029630"/>
      <w:r>
        <w:rPr>
          <w:rStyle w:val="CharSectno"/>
        </w:rPr>
        <w:t>8</w:t>
      </w:r>
      <w:r>
        <w:rPr>
          <w:snapToGrid w:val="0"/>
        </w:rPr>
        <w:t>.</w:t>
      </w:r>
      <w:r>
        <w:rPr>
          <w:snapToGrid w:val="0"/>
        </w:rPr>
        <w:tab/>
        <w:t>Chairperson and deputy chairperson</w:t>
      </w:r>
      <w:bookmarkEnd w:id="23"/>
      <w:bookmarkEnd w:id="24"/>
    </w:p>
    <w:p>
      <w:pPr>
        <w:pStyle w:val="Subsection"/>
        <w:rPr>
          <w:snapToGrid w:val="0"/>
        </w:rPr>
      </w:pPr>
      <w:r>
        <w:rPr>
          <w:snapToGrid w:val="0"/>
        </w:rPr>
        <w:tab/>
        <w:t>(1)</w:t>
      </w:r>
      <w:r>
        <w:rPr>
          <w:snapToGrid w:val="0"/>
        </w:rPr>
        <w:tab/>
        <w:t>The member appointed under section 7(1)(a) is to be the chairperson of the Authority.</w:t>
      </w:r>
    </w:p>
    <w:p>
      <w:pPr>
        <w:pStyle w:val="Subsection"/>
        <w:rPr>
          <w:snapToGrid w:val="0"/>
        </w:rPr>
      </w:pPr>
      <w:r>
        <w:rPr>
          <w:snapToGrid w:val="0"/>
        </w:rPr>
        <w:tab/>
        <w:t>(2)</w:t>
      </w:r>
      <w:r>
        <w:rPr>
          <w:snapToGrid w:val="0"/>
        </w:rPr>
        <w:tab/>
        <w:t>The Minister is to appoint another member to be the deputy chairperson of the Authority.</w:t>
      </w:r>
    </w:p>
    <w:p>
      <w:pPr>
        <w:pStyle w:val="Heading5"/>
        <w:rPr>
          <w:snapToGrid w:val="0"/>
        </w:rPr>
      </w:pPr>
      <w:bookmarkStart w:id="25" w:name="_Toc379203068"/>
      <w:bookmarkStart w:id="26" w:name="_Toc426029631"/>
      <w:r>
        <w:rPr>
          <w:rStyle w:val="CharSectno"/>
        </w:rPr>
        <w:t>9</w:t>
      </w:r>
      <w:r>
        <w:rPr>
          <w:snapToGrid w:val="0"/>
        </w:rPr>
        <w:t>.</w:t>
      </w:r>
      <w:r>
        <w:rPr>
          <w:snapToGrid w:val="0"/>
        </w:rPr>
        <w:tab/>
        <w:t>Constitution and proceedings (Sch. 2)</w:t>
      </w:r>
      <w:bookmarkEnd w:id="25"/>
      <w:bookmarkEnd w:id="26"/>
    </w:p>
    <w:p>
      <w:pPr>
        <w:pStyle w:val="Subsection"/>
        <w:rPr>
          <w:snapToGrid w:val="0"/>
        </w:rPr>
      </w:pPr>
      <w:r>
        <w:rPr>
          <w:snapToGrid w:val="0"/>
        </w:rPr>
        <w:tab/>
      </w:r>
      <w:r>
        <w:rPr>
          <w:snapToGrid w:val="0"/>
        </w:rPr>
        <w:tab/>
        <w:t>The provisions of Schedule 2 have effect with respect to the constitution and proceedings of the Authority.</w:t>
      </w:r>
    </w:p>
    <w:p>
      <w:pPr>
        <w:pStyle w:val="Heading5"/>
        <w:rPr>
          <w:snapToGrid w:val="0"/>
        </w:rPr>
      </w:pPr>
      <w:bookmarkStart w:id="27" w:name="_Toc379203069"/>
      <w:bookmarkStart w:id="28" w:name="_Toc426029632"/>
      <w:r>
        <w:rPr>
          <w:rStyle w:val="CharSectno"/>
        </w:rPr>
        <w:t>10</w:t>
      </w:r>
      <w:r>
        <w:rPr>
          <w:snapToGrid w:val="0"/>
        </w:rPr>
        <w:t>.</w:t>
      </w:r>
      <w:r>
        <w:rPr>
          <w:snapToGrid w:val="0"/>
        </w:rPr>
        <w:tab/>
        <w:t>Remuneration and expenses of members</w:t>
      </w:r>
      <w:bookmarkEnd w:id="27"/>
      <w:bookmarkEnd w:id="28"/>
    </w:p>
    <w:p>
      <w:pPr>
        <w:pStyle w:val="Subsection"/>
      </w:pPr>
      <w:r>
        <w:rPr>
          <w:snapToGrid w:val="0"/>
        </w:rPr>
        <w:tab/>
      </w:r>
      <w:r>
        <w:rPr>
          <w:snapToGrid w:val="0"/>
        </w:rPr>
        <w:tab/>
        <w:t>A member is to be paid out of the funds of the Authority the remuneration and travelling and other allowances that are determined in his or her case by the Minister on the recommendation of the</w:t>
      </w:r>
      <w:r>
        <w:t xml:space="preserve"> Public Sector Commissioner.</w:t>
      </w:r>
    </w:p>
    <w:p>
      <w:pPr>
        <w:pStyle w:val="Footnotesection"/>
      </w:pPr>
      <w:r>
        <w:tab/>
        <w:t>[Section 10 amended by No. 39 of 2010 s. 86(3).]</w:t>
      </w:r>
    </w:p>
    <w:p>
      <w:pPr>
        <w:pStyle w:val="Heading5"/>
        <w:rPr>
          <w:snapToGrid w:val="0"/>
        </w:rPr>
      </w:pPr>
      <w:bookmarkStart w:id="29" w:name="_Toc379203070"/>
      <w:bookmarkStart w:id="30" w:name="_Toc426029633"/>
      <w:r>
        <w:rPr>
          <w:rStyle w:val="CharSectno"/>
        </w:rPr>
        <w:t>11</w:t>
      </w:r>
      <w:r>
        <w:rPr>
          <w:snapToGrid w:val="0"/>
        </w:rPr>
        <w:t>.</w:t>
      </w:r>
      <w:r>
        <w:rPr>
          <w:snapToGrid w:val="0"/>
        </w:rPr>
        <w:tab/>
        <w:t>Protection from personal liability</w:t>
      </w:r>
      <w:bookmarkEnd w:id="29"/>
      <w:bookmarkEnd w:id="30"/>
    </w:p>
    <w:p>
      <w:pPr>
        <w:pStyle w:val="Subsection"/>
        <w:rPr>
          <w:snapToGrid w:val="0"/>
        </w:rPr>
      </w:pPr>
      <w:r>
        <w:rPr>
          <w:snapToGrid w:val="0"/>
        </w:rPr>
        <w:tab/>
        <w:t>(1)</w:t>
      </w:r>
      <w:r>
        <w:rPr>
          <w:snapToGrid w:val="0"/>
        </w:rPr>
        <w:tab/>
        <w:t>A member or the chief executive officer of the Authority, or any person referred to in section 15 whose services are used by the Authority, is not personally liable for any act done or omitted to be done in good faith by the Authority or in the performance of any function under this Act.</w:t>
      </w:r>
    </w:p>
    <w:p>
      <w:pPr>
        <w:pStyle w:val="Subsection"/>
        <w:keepNext/>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11 amended by No. 41 of 1996 s. 3.]</w:t>
      </w:r>
    </w:p>
    <w:p>
      <w:pPr>
        <w:pStyle w:val="Ednotesection"/>
      </w:pPr>
      <w:r>
        <w:t>[</w:t>
      </w:r>
      <w:r>
        <w:rPr>
          <w:b/>
        </w:rPr>
        <w:t>12</w:t>
      </w:r>
      <w:r>
        <w:t>.</w:t>
      </w:r>
      <w:r>
        <w:tab/>
        <w:t>Deleted by No. 14 of 1996 s. 4.]</w:t>
      </w:r>
    </w:p>
    <w:p>
      <w:pPr>
        <w:pStyle w:val="Heading5"/>
        <w:rPr>
          <w:snapToGrid w:val="0"/>
        </w:rPr>
      </w:pPr>
      <w:bookmarkStart w:id="31" w:name="_Toc379203071"/>
      <w:bookmarkStart w:id="32" w:name="_Toc426029634"/>
      <w:r>
        <w:rPr>
          <w:rStyle w:val="CharSectno"/>
        </w:rPr>
        <w:t>13</w:t>
      </w:r>
      <w:r>
        <w:rPr>
          <w:snapToGrid w:val="0"/>
        </w:rPr>
        <w:t>.</w:t>
      </w:r>
      <w:r>
        <w:rPr>
          <w:snapToGrid w:val="0"/>
        </w:rPr>
        <w:tab/>
        <w:t>Particular functions of members</w:t>
      </w:r>
      <w:bookmarkEnd w:id="31"/>
      <w:bookmarkEnd w:id="32"/>
    </w:p>
    <w:p>
      <w:pPr>
        <w:pStyle w:val="Ednotesubsection"/>
      </w:pPr>
      <w:r>
        <w:tab/>
        <w:t>[(1)</w:t>
      </w:r>
      <w:r>
        <w:tab/>
        <w:t>deleted]</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rPr>
          <w:snapToGrid w:val="0"/>
        </w:rPr>
      </w:pPr>
      <w:r>
        <w:rPr>
          <w:snapToGrid w:val="0"/>
        </w:rPr>
        <w:tab/>
        <w:t>(3)</w:t>
      </w:r>
      <w:r>
        <w:rPr>
          <w:snapToGrid w:val="0"/>
        </w:rPr>
        <w:tab/>
        <w:t>A member must not disclose any information acquired by virtue of the performance of any function unless the disclosure is made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those proceedings; or</w:t>
      </w:r>
    </w:p>
    <w:p>
      <w:pPr>
        <w:pStyle w:val="Indenta"/>
        <w:rPr>
          <w:snapToGrid w:val="0"/>
        </w:rPr>
      </w:pPr>
      <w:r>
        <w:rPr>
          <w:snapToGrid w:val="0"/>
        </w:rPr>
        <w:tab/>
        <w:t>(c)</w:t>
      </w:r>
      <w:r>
        <w:rPr>
          <w:snapToGrid w:val="0"/>
        </w:rPr>
        <w:tab/>
        <w:t>in the case of a member appointed under section 7(1)(b) who is a member of the council of the City of Subiaco —</w:t>
      </w:r>
    </w:p>
    <w:p>
      <w:pPr>
        <w:pStyle w:val="Indenti"/>
        <w:rPr>
          <w:snapToGrid w:val="0"/>
        </w:rPr>
      </w:pPr>
      <w:r>
        <w:rPr>
          <w:snapToGrid w:val="0"/>
        </w:rPr>
        <w:tab/>
        <w:t>(i)</w:t>
      </w:r>
      <w:r>
        <w:rPr>
          <w:snapToGrid w:val="0"/>
        </w:rPr>
        <w:tab/>
        <w:t>in connection with the performance of his or her functions as a member of the council; and</w:t>
      </w:r>
    </w:p>
    <w:p>
      <w:pPr>
        <w:pStyle w:val="Indenti"/>
        <w:rPr>
          <w:snapToGrid w:val="0"/>
        </w:rPr>
      </w:pPr>
      <w:r>
        <w:rPr>
          <w:snapToGrid w:val="0"/>
        </w:rPr>
        <w:tab/>
        <w:t>(ii)</w:t>
      </w:r>
      <w:r>
        <w:rPr>
          <w:snapToGrid w:val="0"/>
        </w:rPr>
        <w:tab/>
        <w:t>to a closed meeting, or a closed committee meeting, of the council.</w:t>
      </w:r>
    </w:p>
    <w:p>
      <w:pPr>
        <w:pStyle w:val="Ednotesubsection"/>
      </w:pPr>
      <w:r>
        <w:tab/>
        <w:t>[(4)</w:t>
      </w:r>
      <w:r>
        <w:tab/>
        <w:t>deleted]</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13 amended by No. 84 of 1994 s. 49; No. 41 of 1996 s. 3.]</w:t>
      </w:r>
    </w:p>
    <w:p>
      <w:pPr>
        <w:pStyle w:val="Heading3"/>
        <w:spacing w:before="220"/>
      </w:pPr>
      <w:bookmarkStart w:id="33" w:name="_Toc379203072"/>
      <w:bookmarkStart w:id="34" w:name="_Toc426029635"/>
      <w:r>
        <w:rPr>
          <w:rStyle w:val="CharDivNo"/>
        </w:rPr>
        <w:t>Division 2</w:t>
      </w:r>
      <w:r>
        <w:rPr>
          <w:snapToGrid w:val="0"/>
        </w:rPr>
        <w:t> — </w:t>
      </w:r>
      <w:r>
        <w:rPr>
          <w:rStyle w:val="CharDivText"/>
        </w:rPr>
        <w:t>Staff</w:t>
      </w:r>
      <w:bookmarkEnd w:id="33"/>
      <w:bookmarkEnd w:id="34"/>
    </w:p>
    <w:p>
      <w:pPr>
        <w:pStyle w:val="Heading5"/>
        <w:rPr>
          <w:snapToGrid w:val="0"/>
        </w:rPr>
      </w:pPr>
      <w:bookmarkStart w:id="35" w:name="_Toc379203073"/>
      <w:bookmarkStart w:id="36" w:name="_Toc426029636"/>
      <w:r>
        <w:rPr>
          <w:rStyle w:val="CharSectno"/>
        </w:rPr>
        <w:t>14</w:t>
      </w:r>
      <w:r>
        <w:rPr>
          <w:snapToGrid w:val="0"/>
        </w:rPr>
        <w:t>.</w:t>
      </w:r>
      <w:r>
        <w:rPr>
          <w:snapToGrid w:val="0"/>
        </w:rPr>
        <w:tab/>
        <w:t>Chief executive officer</w:t>
      </w:r>
      <w:bookmarkEnd w:id="35"/>
      <w:bookmarkEnd w:id="36"/>
    </w:p>
    <w:p>
      <w:pPr>
        <w:pStyle w:val="Subsection"/>
        <w:rPr>
          <w:snapToGrid w:val="0"/>
        </w:rPr>
      </w:pPr>
      <w:r>
        <w:rPr>
          <w:snapToGrid w:val="0"/>
        </w:rPr>
        <w:tab/>
        <w:t>(1)</w:t>
      </w:r>
      <w:r>
        <w:rPr>
          <w:snapToGrid w:val="0"/>
        </w:rPr>
        <w:tab/>
        <w:t xml:space="preserve">There is to be appointed under the </w:t>
      </w:r>
      <w:r>
        <w:rPr>
          <w:i/>
        </w:rPr>
        <w:t>Public Sector Management Act 1994</w:t>
      </w:r>
      <w:r>
        <w:rPr>
          <w:iCs/>
        </w:rPr>
        <w:t xml:space="preserve"> </w:t>
      </w:r>
      <w:r>
        <w:rPr>
          <w:snapToGrid w:val="0"/>
        </w:rPr>
        <w:t>a chief executive officer of the Authority.</w:t>
      </w:r>
    </w:p>
    <w:p>
      <w:pPr>
        <w:pStyle w:val="Subsection"/>
        <w:rPr>
          <w:snapToGrid w:val="0"/>
        </w:rPr>
      </w:pPr>
      <w:r>
        <w:rPr>
          <w:snapToGrid w:val="0"/>
        </w:rPr>
        <w:tab/>
        <w:t>(2)</w:t>
      </w:r>
      <w:r>
        <w:rPr>
          <w:snapToGrid w:val="0"/>
        </w:rPr>
        <w:tab/>
        <w:t>The chief executive officer is to administer the day to day operations of the Authority.</w:t>
      </w:r>
    </w:p>
    <w:p>
      <w:pPr>
        <w:pStyle w:val="Footnotesection"/>
      </w:pPr>
      <w:r>
        <w:tab/>
        <w:t>[Section 14 amended by No. 39 of 2010 s. 86(4).]</w:t>
      </w:r>
    </w:p>
    <w:p>
      <w:pPr>
        <w:pStyle w:val="Heading5"/>
        <w:rPr>
          <w:snapToGrid w:val="0"/>
        </w:rPr>
      </w:pPr>
      <w:bookmarkStart w:id="37" w:name="_Toc379203074"/>
      <w:bookmarkStart w:id="38" w:name="_Toc426029637"/>
      <w:r>
        <w:rPr>
          <w:rStyle w:val="CharSectno"/>
        </w:rPr>
        <w:t>15</w:t>
      </w:r>
      <w:r>
        <w:rPr>
          <w:snapToGrid w:val="0"/>
        </w:rPr>
        <w:t>.</w:t>
      </w:r>
      <w:r>
        <w:rPr>
          <w:snapToGrid w:val="0"/>
        </w:rPr>
        <w:tab/>
        <w:t>Use of staff and facilities of departments etc.</w:t>
      </w:r>
      <w:bookmarkEnd w:id="37"/>
      <w:bookmarkEnd w:id="38"/>
    </w:p>
    <w:p>
      <w:pPr>
        <w:pStyle w:val="Subsection"/>
        <w:rPr>
          <w:snapToGrid w:val="0"/>
        </w:rPr>
      </w:pPr>
      <w:r>
        <w:rPr>
          <w:snapToGrid w:val="0"/>
        </w:rPr>
        <w:tab/>
        <w:t>(1)</w:t>
      </w:r>
      <w:r>
        <w:rPr>
          <w:snapToGrid w:val="0"/>
        </w:rPr>
        <w:tab/>
        <w:t xml:space="preserve">The Authority may, by arrangement between it and the Minister concerned, and on such terms and conditions as may be agreed by it with that Minister and the </w:t>
      </w:r>
      <w:r>
        <w:t>Public Sector Commissioner</w:t>
      </w:r>
      <w:r>
        <w:rPr>
          <w:snapToGrid w:val="0"/>
        </w:rPr>
        <w:t xml:space="preserv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there is no arrangement under subsection (1); or</w:t>
      </w:r>
    </w:p>
    <w:p>
      <w:pPr>
        <w:pStyle w:val="Indenta"/>
        <w:rPr>
          <w:snapToGrid w:val="0"/>
        </w:rPr>
      </w:pPr>
      <w:r>
        <w:rPr>
          <w:snapToGrid w:val="0"/>
        </w:rPr>
        <w:tab/>
        <w:t>(b)</w:t>
      </w:r>
      <w:r>
        <w:rPr>
          <w:snapToGrid w:val="0"/>
        </w:rPr>
        <w:tab/>
        <w:t>in the opinion of the Minister, arrangements under subsection (1) are not sufficient to enable the Authority to perform its functions,</w:t>
      </w:r>
    </w:p>
    <w:p>
      <w:pPr>
        <w:pStyle w:val="Subsection"/>
        <w:rPr>
          <w:snapToGrid w:val="0"/>
        </w:rPr>
      </w:pPr>
      <w:r>
        <w:rPr>
          <w:snapToGrid w:val="0"/>
        </w:rPr>
        <w:tab/>
      </w:r>
      <w:r>
        <w:rPr>
          <w:snapToGrid w:val="0"/>
        </w:rPr>
        <w:tab/>
        <w:t>an arrangement is to be made for the use by the Authority of the services of officers and other employees of the Western Australian Land Authority to enable the Authority to perform its functions.</w:t>
      </w:r>
    </w:p>
    <w:p>
      <w:pPr>
        <w:pStyle w:val="Subsection"/>
        <w:rPr>
          <w:snapToGrid w:val="0"/>
        </w:rPr>
      </w:pPr>
      <w:r>
        <w:rPr>
          <w:snapToGrid w:val="0"/>
        </w:rPr>
        <w:tab/>
        <w:t>(3)</w:t>
      </w:r>
      <w:r>
        <w:rPr>
          <w:snapToGrid w:val="0"/>
        </w:rPr>
        <w:tab/>
        <w:t>An arrangement under subsection (2) is to be made between the Authority and the Western Australian Land Authority and on the terms and conditions that are agreed by them and approved by the Minister.</w:t>
      </w:r>
    </w:p>
    <w:p>
      <w:pPr>
        <w:pStyle w:val="Subsection"/>
        <w:rPr>
          <w:snapToGrid w:val="0"/>
        </w:rPr>
      </w:pPr>
      <w:r>
        <w:rPr>
          <w:snapToGrid w:val="0"/>
        </w:rPr>
        <w:tab/>
        <w:t>(4)</w:t>
      </w:r>
      <w:r>
        <w:rPr>
          <w:snapToGrid w:val="0"/>
        </w:rPr>
        <w:tab/>
        <w:t xml:space="preserve">If any disagreement arises between the Authority and the Western Australian Land Authority as to the operation of subsection (2), the matter is to be determined as agreed by the Minister and the Minister to whom the administration of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 xml:space="preserve"> is for the time being committed by the Governor.</w:t>
      </w:r>
    </w:p>
    <w:p>
      <w:pPr>
        <w:pStyle w:val="Subsection"/>
        <w:rPr>
          <w:snapToGrid w:val="0"/>
        </w:rPr>
      </w:pPr>
      <w:r>
        <w:rPr>
          <w:snapToGrid w:val="0"/>
        </w:rPr>
        <w:tab/>
        <w:t>(5)</w:t>
      </w:r>
      <w:r>
        <w:rPr>
          <w:snapToGrid w:val="0"/>
        </w:rPr>
        <w:tab/>
        <w:t xml:space="preserve">The Western Australian Land Authority is authorised to comply with this section despite any provision of the </w:t>
      </w:r>
      <w:smartTag w:uri="urn:schemas-microsoft-com:office:smarttags" w:element="place">
        <w:smartTag w:uri="urn:schemas-microsoft-com:office:smarttags" w:element="PlaceName">
          <w:r>
            <w:rPr>
              <w:i/>
              <w:snapToGrid w:val="0"/>
            </w:rPr>
            <w:t>Western</w:t>
          </w:r>
        </w:smartTag>
        <w:r>
          <w:rPr>
            <w:i/>
            <w:snapToGrid w:val="0"/>
          </w:rPr>
          <w:t xml:space="preserve"> </w:t>
        </w:r>
        <w:smartTag w:uri="urn:schemas-microsoft-com:office:smarttags" w:element="PlaceName">
          <w:r>
            <w:rPr>
              <w:i/>
              <w:snapToGrid w:val="0"/>
            </w:rPr>
            <w:t>Australian</w:t>
          </w:r>
        </w:smartTag>
        <w:r>
          <w:rPr>
            <w:i/>
            <w:snapToGrid w:val="0"/>
          </w:rPr>
          <w:t xml:space="preserve"> </w:t>
        </w:r>
        <w:smartTag w:uri="urn:schemas-microsoft-com:office:smarttags" w:element="PlaceType">
          <w:r>
            <w:rPr>
              <w:i/>
              <w:snapToGrid w:val="0"/>
            </w:rPr>
            <w:t>Land</w:t>
          </w:r>
        </w:smartTag>
      </w:smartTag>
      <w:r>
        <w:rPr>
          <w:i/>
          <w:snapToGrid w:val="0"/>
        </w:rPr>
        <w:t xml:space="preserve"> Authority Act 1992</w:t>
      </w:r>
      <w:r>
        <w:rPr>
          <w:snapToGrid w:val="0"/>
        </w:rPr>
        <w:t>.</w:t>
      </w:r>
    </w:p>
    <w:p>
      <w:pPr>
        <w:pStyle w:val="Footnotesection"/>
      </w:pPr>
      <w:r>
        <w:tab/>
        <w:t>[Section 15 amended by No. 39 of 2010 s. 86(5).]</w:t>
      </w:r>
    </w:p>
    <w:p>
      <w:pPr>
        <w:pStyle w:val="Heading5"/>
        <w:rPr>
          <w:snapToGrid w:val="0"/>
        </w:rPr>
      </w:pPr>
      <w:bookmarkStart w:id="39" w:name="_Toc379203075"/>
      <w:bookmarkStart w:id="40" w:name="_Toc426029638"/>
      <w:r>
        <w:rPr>
          <w:rStyle w:val="CharSectno"/>
        </w:rPr>
        <w:t>16</w:t>
      </w:r>
      <w:r>
        <w:rPr>
          <w:snapToGrid w:val="0"/>
        </w:rPr>
        <w:t>.</w:t>
      </w:r>
      <w:r>
        <w:rPr>
          <w:snapToGrid w:val="0"/>
        </w:rPr>
        <w:tab/>
        <w:t>Consultants etc.</w:t>
      </w:r>
      <w:bookmarkEnd w:id="39"/>
      <w:bookmarkEnd w:id="40"/>
    </w:p>
    <w:p>
      <w:pPr>
        <w:pStyle w:val="Subsection"/>
        <w:rPr>
          <w:snapToGrid w:val="0"/>
        </w:rPr>
      </w:pPr>
      <w:r>
        <w:rPr>
          <w:snapToGrid w:val="0"/>
        </w:rPr>
        <w:tab/>
      </w:r>
      <w:r>
        <w:rPr>
          <w:snapToGrid w:val="0"/>
        </w:rPr>
        <w:tab/>
        <w:t>The Authority may engage, under a contract for services or other arrangement, any consultants and professional or technical or other assistance that it considers necessary to enable it to perform its functions.</w:t>
      </w:r>
    </w:p>
    <w:p>
      <w:pPr>
        <w:pStyle w:val="Heading5"/>
        <w:rPr>
          <w:snapToGrid w:val="0"/>
        </w:rPr>
      </w:pPr>
      <w:bookmarkStart w:id="41" w:name="_Toc379203076"/>
      <w:bookmarkStart w:id="42" w:name="_Toc426029639"/>
      <w:r>
        <w:rPr>
          <w:rStyle w:val="CharSectno"/>
        </w:rPr>
        <w:t>17</w:t>
      </w:r>
      <w:r>
        <w:rPr>
          <w:snapToGrid w:val="0"/>
        </w:rPr>
        <w:t>.</w:t>
      </w:r>
      <w:r>
        <w:rPr>
          <w:snapToGrid w:val="0"/>
        </w:rPr>
        <w:tab/>
        <w:t>Senior Executive Service</w:t>
      </w:r>
      <w:bookmarkEnd w:id="41"/>
      <w:bookmarkEnd w:id="42"/>
    </w:p>
    <w:p>
      <w:pPr>
        <w:pStyle w:val="Subsection"/>
        <w:rPr>
          <w:snapToGrid w:val="0"/>
        </w:rPr>
      </w:pPr>
      <w:r>
        <w:rPr>
          <w:snapToGrid w:val="0"/>
        </w:rPr>
        <w:tab/>
      </w:r>
      <w:r>
        <w:rPr>
          <w:snapToGrid w:val="0"/>
        </w:rPr>
        <w:tab/>
        <w:t>Despite anything in this division, if there is, in the case of the chief executive officer who is a member of the Senior Executive Service under the</w:t>
      </w:r>
      <w:r>
        <w:rPr>
          <w:i/>
        </w:rPr>
        <w:t xml:space="preserve"> Public Sector Management Act 1994</w:t>
      </w:r>
      <w:r>
        <w:rPr>
          <w:snapToGrid w:val="0"/>
        </w:rPr>
        <w:t>, an inconsistency between this Act and that Act, that Act is to prevail.</w:t>
      </w:r>
    </w:p>
    <w:p>
      <w:pPr>
        <w:pStyle w:val="Footnotesection"/>
      </w:pPr>
      <w:r>
        <w:tab/>
        <w:t>[Section 17 amended by No. 39 of 2010 s. 86(6).]</w:t>
      </w:r>
    </w:p>
    <w:p>
      <w:pPr>
        <w:pStyle w:val="Heading2"/>
      </w:pPr>
      <w:bookmarkStart w:id="43" w:name="_Toc379203077"/>
      <w:bookmarkStart w:id="44" w:name="_Toc426029640"/>
      <w:r>
        <w:rPr>
          <w:rStyle w:val="CharPartNo"/>
        </w:rPr>
        <w:t>Part 3</w:t>
      </w:r>
      <w:r>
        <w:rPr>
          <w:rStyle w:val="CharDivNo"/>
        </w:rPr>
        <w:t> </w:t>
      </w:r>
      <w:r>
        <w:t>—</w:t>
      </w:r>
      <w:r>
        <w:rPr>
          <w:rStyle w:val="CharDivText"/>
        </w:rPr>
        <w:t> </w:t>
      </w:r>
      <w:r>
        <w:rPr>
          <w:rStyle w:val="CharPartText"/>
        </w:rPr>
        <w:t>Functions and powers</w:t>
      </w:r>
      <w:bookmarkEnd w:id="43"/>
      <w:bookmarkEnd w:id="44"/>
    </w:p>
    <w:p>
      <w:pPr>
        <w:pStyle w:val="Heading5"/>
        <w:rPr>
          <w:snapToGrid w:val="0"/>
        </w:rPr>
      </w:pPr>
      <w:bookmarkStart w:id="45" w:name="_Toc379203078"/>
      <w:bookmarkStart w:id="46" w:name="_Toc426029641"/>
      <w:r>
        <w:rPr>
          <w:rStyle w:val="CharSectno"/>
        </w:rPr>
        <w:t>18</w:t>
      </w:r>
      <w:r>
        <w:rPr>
          <w:snapToGrid w:val="0"/>
        </w:rPr>
        <w:t>.</w:t>
      </w:r>
      <w:r>
        <w:rPr>
          <w:snapToGrid w:val="0"/>
        </w:rPr>
        <w:tab/>
        <w:t>Compliance with written laws</w:t>
      </w:r>
      <w:bookmarkEnd w:id="45"/>
      <w:bookmarkEnd w:id="46"/>
    </w:p>
    <w:p>
      <w:pPr>
        <w:pStyle w:val="Subsection"/>
        <w:rPr>
          <w:snapToGrid w:val="0"/>
        </w:rPr>
      </w:pPr>
      <w:r>
        <w:rPr>
          <w:snapToGrid w:val="0"/>
        </w:rPr>
        <w:tab/>
      </w:r>
      <w:r>
        <w:rPr>
          <w:snapToGrid w:val="0"/>
        </w:rPr>
        <w:tab/>
        <w:t>Subject to sections 19 and 21(7), nothing in this Act is to be read as conferring on the Authority in the performance of its functions any immunity from the operation of any written law.</w:t>
      </w:r>
    </w:p>
    <w:p>
      <w:pPr>
        <w:pStyle w:val="Heading5"/>
        <w:rPr>
          <w:snapToGrid w:val="0"/>
        </w:rPr>
      </w:pPr>
      <w:bookmarkStart w:id="47" w:name="_Toc379203079"/>
      <w:bookmarkStart w:id="48" w:name="_Toc426029642"/>
      <w:r>
        <w:rPr>
          <w:rStyle w:val="CharSectno"/>
        </w:rPr>
        <w:t>19</w:t>
      </w:r>
      <w:r>
        <w:rPr>
          <w:snapToGrid w:val="0"/>
        </w:rPr>
        <w:t>.</w:t>
      </w:r>
      <w:r>
        <w:rPr>
          <w:snapToGrid w:val="0"/>
        </w:rPr>
        <w:tab/>
        <w:t>Authority exempt from rates, taxes etc.</w:t>
      </w:r>
      <w:bookmarkEnd w:id="47"/>
      <w:bookmarkEnd w:id="48"/>
    </w:p>
    <w:p>
      <w:pPr>
        <w:pStyle w:val="Subsection"/>
        <w:rPr>
          <w:snapToGrid w:val="0"/>
        </w:rPr>
      </w:pPr>
      <w:r>
        <w:rPr>
          <w:snapToGrid w:val="0"/>
        </w:rPr>
        <w:tab/>
        <w:t>(1)</w:t>
      </w:r>
      <w:r>
        <w:rPr>
          <w:snapToGrid w:val="0"/>
        </w:rPr>
        <w:tab/>
        <w:t>Subject to subsection (2), the Authority is not liable to pay any local government rate or charge, land tax, metropolitan region improvement tax, water rate, pay</w:t>
      </w:r>
      <w:r>
        <w:rPr>
          <w:snapToGrid w:val="0"/>
        </w:rPr>
        <w:noBreakHyphen/>
        <w:t>roll tax or other rate, tax, duty, fee or charge imposed by or under a written law.</w:t>
      </w:r>
    </w:p>
    <w:p>
      <w:pPr>
        <w:pStyle w:val="Subsection"/>
        <w:rPr>
          <w:snapToGrid w:val="0"/>
        </w:rPr>
      </w:pPr>
      <w:r>
        <w:rPr>
          <w:snapToGrid w:val="0"/>
        </w:rPr>
        <w:tab/>
        <w:t>(2)</w:t>
      </w:r>
      <w:r>
        <w:rPr>
          <w:snapToGrid w:val="0"/>
        </w:rPr>
        <w:tab/>
        <w:t>Subsection (1) does not apply to the liability to pay any rate, charge, tax, duty or fee in respect of land held under a lease or tenancy agreement from the Authority.</w:t>
      </w:r>
    </w:p>
    <w:p>
      <w:pPr>
        <w:pStyle w:val="Footnotesection"/>
      </w:pPr>
      <w:r>
        <w:tab/>
        <w:t>[Section 19 amended by No. 12 of 2008 Sch. 1 cl. 37.]</w:t>
      </w:r>
    </w:p>
    <w:p>
      <w:pPr>
        <w:pStyle w:val="Heading5"/>
        <w:rPr>
          <w:snapToGrid w:val="0"/>
        </w:rPr>
      </w:pPr>
      <w:bookmarkStart w:id="49" w:name="_Toc379203080"/>
      <w:bookmarkStart w:id="50" w:name="_Toc426029643"/>
      <w:r>
        <w:rPr>
          <w:rStyle w:val="CharSectno"/>
        </w:rPr>
        <w:t>20</w:t>
      </w:r>
      <w:r>
        <w:rPr>
          <w:snapToGrid w:val="0"/>
        </w:rPr>
        <w:t>.</w:t>
      </w:r>
      <w:r>
        <w:rPr>
          <w:snapToGrid w:val="0"/>
        </w:rPr>
        <w:tab/>
        <w:t>Functions of Authority</w:t>
      </w:r>
      <w:bookmarkEnd w:id="49"/>
      <w:bookmarkEnd w:id="5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plan, undertake, promote and coordinate the development and redevelopment of land in the redevelopment area; and</w:t>
      </w:r>
    </w:p>
    <w:p>
      <w:pPr>
        <w:pStyle w:val="Indenta"/>
        <w:rPr>
          <w:snapToGrid w:val="0"/>
        </w:rPr>
      </w:pPr>
      <w:r>
        <w:rPr>
          <w:snapToGrid w:val="0"/>
        </w:rPr>
        <w:tab/>
        <w:t>(b)</w:t>
      </w:r>
      <w:r>
        <w:rPr>
          <w:snapToGrid w:val="0"/>
        </w:rPr>
        <w:tab/>
        <w:t>for that purpose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51" w:name="_Toc379203081"/>
      <w:bookmarkStart w:id="52" w:name="_Toc426029644"/>
      <w:r>
        <w:rPr>
          <w:rStyle w:val="CharSectno"/>
        </w:rPr>
        <w:t>21</w:t>
      </w:r>
      <w:r>
        <w:rPr>
          <w:snapToGrid w:val="0"/>
        </w:rPr>
        <w:t>.</w:t>
      </w:r>
      <w:r>
        <w:rPr>
          <w:snapToGrid w:val="0"/>
        </w:rPr>
        <w:tab/>
        <w:t>Powers of Authority</w:t>
      </w:r>
      <w:bookmarkEnd w:id="51"/>
      <w:bookmarkEnd w:id="52"/>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keepNext/>
        <w:keepLines/>
        <w:rPr>
          <w:snapToGrid w:val="0"/>
        </w:rPr>
      </w:pPr>
      <w:r>
        <w:rPr>
          <w:snapToGrid w:val="0"/>
        </w:rPr>
        <w:tab/>
        <w:t>(2)</w:t>
      </w:r>
      <w:r>
        <w:rPr>
          <w:snapToGrid w:val="0"/>
        </w:rPr>
        <w:tab/>
        <w:t>Without limiting the generality of subsection (1), the Authority may —</w:t>
      </w:r>
    </w:p>
    <w:p>
      <w:pPr>
        <w:pStyle w:val="Indenta"/>
        <w:rPr>
          <w:snapToGrid w:val="0"/>
        </w:rPr>
      </w:pPr>
      <w:r>
        <w:rPr>
          <w:snapToGrid w:val="0"/>
        </w:rPr>
        <w:tab/>
        <w:t>(a)</w:t>
      </w:r>
      <w:r>
        <w:rPr>
          <w:snapToGrid w:val="0"/>
        </w:rPr>
        <w:tab/>
        <w:t>acquire, hold, manage and dispose of land but, in the case of an acquisition or disposal of land that, in the opinion of the Authority, exceeds $1 000 000 in value, only with the approval of the Minister and subject to any conditions attached to the approval; and</w:t>
      </w:r>
    </w:p>
    <w:p>
      <w:pPr>
        <w:pStyle w:val="Indenta"/>
        <w:rPr>
          <w:snapToGrid w:val="0"/>
        </w:rPr>
      </w:pPr>
      <w:r>
        <w:rPr>
          <w:snapToGrid w:val="0"/>
        </w:rPr>
        <w:tab/>
        <w:t>(b)</w:t>
      </w:r>
      <w:r>
        <w:rPr>
          <w:snapToGrid w:val="0"/>
        </w:rPr>
        <w:tab/>
        <w:t>subdivide, amalgamate, improve, develop and alter land; and</w:t>
      </w:r>
    </w:p>
    <w:p>
      <w:pPr>
        <w:pStyle w:val="Indenta"/>
        <w:rPr>
          <w:snapToGrid w:val="0"/>
        </w:rPr>
      </w:pPr>
      <w:r>
        <w:rPr>
          <w:snapToGrid w:val="0"/>
        </w:rPr>
        <w:tab/>
        <w:t>(c)</w:t>
      </w:r>
      <w:r>
        <w:rPr>
          <w:snapToGrid w:val="0"/>
        </w:rPr>
        <w:tab/>
        <w:t>subject to section 22(1) —</w:t>
      </w:r>
    </w:p>
    <w:p>
      <w:pPr>
        <w:pStyle w:val="Indenti"/>
        <w:rPr>
          <w:snapToGrid w:val="0"/>
        </w:rPr>
      </w:pPr>
      <w:r>
        <w:rPr>
          <w:snapToGrid w:val="0"/>
        </w:rPr>
        <w:tab/>
        <w:t>(i)</w:t>
      </w:r>
      <w:r>
        <w:rPr>
          <w:snapToGrid w:val="0"/>
        </w:rPr>
        <w:tab/>
        <w:t>participate in any business arrangement; or</w:t>
      </w:r>
    </w:p>
    <w:p>
      <w:pPr>
        <w:pStyle w:val="Indenti"/>
        <w:rPr>
          <w:snapToGrid w:val="0"/>
        </w:rPr>
      </w:pPr>
      <w:r>
        <w:rPr>
          <w:snapToGrid w:val="0"/>
        </w:rPr>
        <w:tab/>
        <w:t>(ii)</w:t>
      </w:r>
      <w:r>
        <w:rPr>
          <w:snapToGrid w:val="0"/>
        </w:rPr>
        <w:tab/>
        <w:t>acquire, hold and dispose of shares, units or other interests in any business arrangement;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subject to subsection (3), 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rPr>
          <w:snapToGrid w:val="0"/>
        </w:rPr>
      </w:pPr>
      <w:r>
        <w:rPr>
          <w:snapToGrid w:val="0"/>
        </w:rPr>
        <w:tab/>
        <w:t>(4)</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(5)</w:t>
      </w:r>
      <w:r>
        <w:rPr>
          <w:snapToGrid w:val="0"/>
        </w:rPr>
        <w:tab/>
        <w:t>In performing its functions the Authority is to have regard to, and is to seek to enhance and preserve, the colonial heritage and significance of the redevelopment area and its adjacent areas.</w:t>
      </w:r>
    </w:p>
    <w:p>
      <w:pPr>
        <w:pStyle w:val="Subsection"/>
        <w:rPr>
          <w:snapToGrid w:val="0"/>
        </w:rPr>
      </w:pPr>
      <w:r>
        <w:rPr>
          <w:snapToGrid w:val="0"/>
        </w:rPr>
        <w:tab/>
        <w:t>(6)</w:t>
      </w:r>
      <w:r>
        <w:rPr>
          <w:snapToGrid w:val="0"/>
        </w:rPr>
        <w:tab/>
        <w:t>Despite anything in this section or in section 20, the Authority may pay for the carrying out of any work on land that is contiguous to the redevelopment area if the work is, in its opinion, directly related to the improvement of the redevelopment area or to the functions of the Authority.</w:t>
      </w:r>
    </w:p>
    <w:p>
      <w:pPr>
        <w:pStyle w:val="Subsection"/>
        <w:rPr>
          <w:snapToGrid w:val="0"/>
        </w:rPr>
      </w:pPr>
      <w:r>
        <w:rPr>
          <w:snapToGrid w:val="0"/>
        </w:rPr>
        <w:tab/>
        <w:t>(7)</w:t>
      </w:r>
      <w:r>
        <w:rPr>
          <w:snapToGrid w:val="0"/>
        </w:rPr>
        <w:tab/>
        <w:t xml:space="preserve">In exercising any power under this section the Authority is not required to comply with </w:t>
      </w:r>
      <w:r>
        <w:t xml:space="preserve">sections 135 and 136 of the </w:t>
      </w:r>
      <w:r>
        <w:rPr>
          <w:i/>
        </w:rPr>
        <w:t>Planning and Development Act 2005</w:t>
      </w:r>
      <w:r>
        <w:rPr>
          <w:iCs/>
        </w:rPr>
        <w:t xml:space="preserve"> </w:t>
      </w:r>
      <w:r>
        <w:rPr>
          <w:snapToGrid w:val="0"/>
        </w:rPr>
        <w:t>but —</w:t>
      </w:r>
    </w:p>
    <w:p>
      <w:pPr>
        <w:pStyle w:val="Indenta"/>
        <w:rPr>
          <w:snapToGrid w:val="0"/>
        </w:rPr>
      </w:pPr>
      <w:r>
        <w:rPr>
          <w:snapToGrid w:val="0"/>
        </w:rPr>
        <w:tab/>
        <w:t>(a)</w:t>
      </w:r>
      <w:r>
        <w:rPr>
          <w:snapToGrid w:val="0"/>
        </w:rPr>
        <w:tab/>
        <w:t xml:space="preserve">anything that would otherwise require the approval of the </w:t>
      </w:r>
      <w:r>
        <w:t>Western Australian Planning Commission</w:t>
      </w:r>
      <w:r>
        <w:rPr>
          <w:snapToGrid w:val="0"/>
        </w:rPr>
        <w:t xml:space="preserve"> under </w:t>
      </w:r>
      <w:r>
        <w:t>those sections</w:t>
      </w:r>
      <w:r>
        <w:rPr>
          <w:snapToGrid w:val="0"/>
        </w:rPr>
        <w:t xml:space="preserve"> may be done with the approval of the Minister and subject to any conditions attached to the approval; and</w:t>
      </w:r>
    </w:p>
    <w:p>
      <w:pPr>
        <w:pStyle w:val="Indenta"/>
        <w:rPr>
          <w:snapToGrid w:val="0"/>
        </w:rPr>
      </w:pPr>
      <w:r>
        <w:rPr>
          <w:snapToGrid w:val="0"/>
        </w:rPr>
        <w:tab/>
        <w:t>(b)</w:t>
      </w:r>
      <w:r>
        <w:rPr>
          <w:snapToGrid w:val="0"/>
        </w:rPr>
        <w:tab/>
        <w:t xml:space="preserve">before the Minister makes any decision required by paragraph (a) he or she is to seek the advice of the </w:t>
      </w:r>
      <w:r>
        <w:t>Western Australian Planning Commission</w:t>
      </w:r>
      <w:r>
        <w:rPr>
          <w:snapToGrid w:val="0"/>
        </w:rPr>
        <w:t xml:space="preserve"> and consider any advice offered; and</w:t>
      </w:r>
    </w:p>
    <w:p>
      <w:pPr>
        <w:pStyle w:val="Indenta"/>
        <w:rPr>
          <w:snapToGrid w:val="0"/>
        </w:rPr>
      </w:pPr>
      <w:r>
        <w:rPr>
          <w:snapToGrid w:val="0"/>
        </w:rPr>
        <w:tab/>
        <w:t>(c)</w:t>
      </w:r>
      <w:r>
        <w:rPr>
          <w:snapToGrid w:val="0"/>
        </w:rPr>
        <w:tab/>
        <w:t>if this section applies,</w:t>
      </w:r>
      <w:r>
        <w:t xml:space="preserve"> section 147 of the </w:t>
      </w:r>
      <w:r>
        <w:rPr>
          <w:i/>
        </w:rPr>
        <w:t>Planning and Development Act 2005</w:t>
      </w:r>
      <w:r>
        <w:rPr>
          <w:snapToGrid w:val="0"/>
        </w:rPr>
        <w:t xml:space="preserve"> is to be read as if references to the Commission were references to the Minister.</w:t>
      </w:r>
    </w:p>
    <w:p>
      <w:pPr>
        <w:pStyle w:val="Subsection"/>
        <w:rPr>
          <w:snapToGrid w:val="0"/>
        </w:rPr>
      </w:pPr>
      <w:r>
        <w:rPr>
          <w:snapToGrid w:val="0"/>
        </w:rPr>
        <w:tab/>
        <w:t>(8)</w:t>
      </w:r>
      <w:r>
        <w:rPr>
          <w:snapToGrid w:val="0"/>
        </w:rPr>
        <w:tab/>
        <w:t>In subsection (2)(c)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21 amended by No. 84 of 1994 s. 50; No. 14 of 1996 s. 4; No. 38 of 2005 s. 15; No. 46 of 2009 s. 17.]</w:t>
      </w:r>
    </w:p>
    <w:p>
      <w:pPr>
        <w:pStyle w:val="Heading5"/>
        <w:rPr>
          <w:snapToGrid w:val="0"/>
        </w:rPr>
      </w:pPr>
      <w:bookmarkStart w:id="53" w:name="_Toc379203082"/>
      <w:bookmarkStart w:id="54" w:name="_Toc426029645"/>
      <w:r>
        <w:rPr>
          <w:rStyle w:val="CharSectno"/>
        </w:rPr>
        <w:t>22</w:t>
      </w:r>
      <w:r>
        <w:rPr>
          <w:snapToGrid w:val="0"/>
        </w:rPr>
        <w:t>.</w:t>
      </w:r>
      <w:r>
        <w:rPr>
          <w:snapToGrid w:val="0"/>
        </w:rPr>
        <w:tab/>
        <w:t>Further restrictions on exercise of power</w:t>
      </w:r>
      <w:bookmarkEnd w:id="53"/>
      <w:bookmarkEnd w:id="54"/>
    </w:p>
    <w:p>
      <w:pPr>
        <w:pStyle w:val="Subsection"/>
        <w:rPr>
          <w:snapToGrid w:val="0"/>
        </w:rPr>
      </w:pPr>
      <w:r>
        <w:rPr>
          <w:snapToGrid w:val="0"/>
        </w:rPr>
        <w:tab/>
        <w:t>(1)</w:t>
      </w:r>
      <w:r>
        <w:rPr>
          <w:snapToGrid w:val="0"/>
        </w:rPr>
        <w:tab/>
        <w:t>Any power conferred by section 21(2)(c) is only exercisable with the approval of the Governor and subject to any conditions attached to the approval.</w:t>
      </w:r>
    </w:p>
    <w:p>
      <w:pPr>
        <w:pStyle w:val="Subsection"/>
        <w:rPr>
          <w:snapToGrid w:val="0"/>
        </w:rPr>
      </w:pPr>
      <w:r>
        <w:rPr>
          <w:snapToGrid w:val="0"/>
        </w:rPr>
        <w:tab/>
        <w:t>(2)</w:t>
      </w:r>
      <w:r>
        <w:rPr>
          <w:snapToGrid w:val="0"/>
        </w:rPr>
        <w:tab/>
        <w:t>When the Minister gives any approval under section 21, or the Governor gives any approval under subsection (1), the text of that approval is to be laid before each House of Parliament within 28 sitting days of that House after the day on which the approval is given.</w:t>
      </w:r>
    </w:p>
    <w:p>
      <w:pPr>
        <w:pStyle w:val="Subsection"/>
        <w:rPr>
          <w:snapToGrid w:val="0"/>
        </w:rPr>
      </w:pPr>
      <w:r>
        <w:rPr>
          <w:snapToGrid w:val="0"/>
        </w:rPr>
        <w:tab/>
        <w:t>(3)</w:t>
      </w:r>
      <w:r>
        <w:rPr>
          <w:snapToGrid w:val="0"/>
        </w:rPr>
        <w:tab/>
        <w:t>The annual report submitted by the accountable authority of the Authority under</w:t>
      </w:r>
      <w:r>
        <w:t xml:space="preserve"> Part 5 of the </w:t>
      </w:r>
      <w:r>
        <w:rPr>
          <w:i/>
          <w:iCs/>
        </w:rPr>
        <w:t>Financial Management Act 2006</w:t>
      </w:r>
      <w:r>
        <w:rPr>
          <w:snapToGrid w:val="0"/>
        </w:rPr>
        <w:t xml:space="preserve"> is to include a summary of any approval referred to in subsection (2).</w:t>
      </w:r>
    </w:p>
    <w:p>
      <w:pPr>
        <w:pStyle w:val="Footnotesection"/>
      </w:pPr>
      <w:r>
        <w:tab/>
        <w:t>[Section 22 amended by No. 77 of 2006 Sch. 1 cl. 163(1).]</w:t>
      </w:r>
    </w:p>
    <w:p>
      <w:pPr>
        <w:pStyle w:val="Heading5"/>
        <w:rPr>
          <w:snapToGrid w:val="0"/>
        </w:rPr>
      </w:pPr>
      <w:bookmarkStart w:id="55" w:name="_Toc379203083"/>
      <w:bookmarkStart w:id="56" w:name="_Toc426029646"/>
      <w:r>
        <w:rPr>
          <w:rStyle w:val="CharSectno"/>
        </w:rPr>
        <w:t>23</w:t>
      </w:r>
      <w:r>
        <w:rPr>
          <w:snapToGrid w:val="0"/>
        </w:rPr>
        <w:t>.</w:t>
      </w:r>
      <w:r>
        <w:rPr>
          <w:snapToGrid w:val="0"/>
        </w:rPr>
        <w:tab/>
        <w:t>Conditions on disposal of land, imposition of by Authority</w:t>
      </w:r>
      <w:bookmarkEnd w:id="55"/>
      <w:bookmarkEnd w:id="56"/>
    </w:p>
    <w:p>
      <w:pPr>
        <w:pStyle w:val="Subsection"/>
        <w:rPr>
          <w:snapToGrid w:val="0"/>
        </w:rPr>
      </w:pPr>
      <w:r>
        <w:rPr>
          <w:snapToGrid w:val="0"/>
        </w:rPr>
        <w:tab/>
        <w:t>(1)</w:t>
      </w:r>
      <w:r>
        <w:rPr>
          <w:snapToGrid w:val="0"/>
        </w:rPr>
        <w:tab/>
        <w:t>The Authority may attach any condition or restriction to a disposal of land under section 21(2)(a).</w:t>
      </w:r>
    </w:p>
    <w:p>
      <w:pPr>
        <w:pStyle w:val="Subsection"/>
        <w:rPr>
          <w:snapToGrid w:val="0"/>
        </w:rPr>
      </w:pPr>
      <w:r>
        <w:rPr>
          <w:snapToGrid w:val="0"/>
        </w:rPr>
        <w:tab/>
        <w:t>(2)</w:t>
      </w:r>
      <w:r>
        <w:rPr>
          <w:snapToGrid w:val="0"/>
        </w:rPr>
        <w:tab/>
        <w:t>Without limiting subsection (1), the Authority and a transferee may agree that the transferee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who, on payment of the appropriate fee, is to register the memorial against the relevant land.</w:t>
      </w:r>
    </w:p>
    <w:p>
      <w:pPr>
        <w:pStyle w:val="Subsection"/>
        <w:rPr>
          <w:snapToGrid w:val="0"/>
        </w:rPr>
      </w:pPr>
      <w:r>
        <w:rPr>
          <w:snapToGrid w:val="0"/>
        </w:rPr>
        <w:tab/>
        <w:t>(4)</w:t>
      </w:r>
      <w:r>
        <w:rPr>
          <w:snapToGrid w:val="0"/>
        </w:rPr>
        <w:tab/>
        <w:t>A memorial under subsection (3) is to be in a form approved by the Registrar.</w:t>
      </w:r>
    </w:p>
    <w:p>
      <w:pPr>
        <w:pStyle w:val="Subsection"/>
        <w:rPr>
          <w:snapToGrid w:val="0"/>
        </w:rPr>
      </w:pPr>
      <w:r>
        <w:rPr>
          <w:snapToGrid w:val="0"/>
        </w:rPr>
        <w:tab/>
        <w:t>(5)</w:t>
      </w:r>
      <w:r>
        <w:rPr>
          <w:snapToGrid w:val="0"/>
        </w:rPr>
        <w:tab/>
        <w:t xml:space="preserve">While a memorial is registered under subsection (3), the Registrar is not to register under the </w:t>
      </w:r>
      <w:r>
        <w:rPr>
          <w:i/>
          <w:snapToGrid w:val="0"/>
        </w:rPr>
        <w:t>Transfer of Land Act 1893</w:t>
      </w:r>
      <w:r>
        <w:rPr>
          <w:snapToGrid w:val="0"/>
        </w:rPr>
        <w:t>, without the consent in writing of the Authority, any instrument affecting the land to which the memorial relates.</w:t>
      </w:r>
    </w:p>
    <w:p>
      <w:pPr>
        <w:pStyle w:val="Subsection"/>
        <w:rPr>
          <w:snapToGrid w:val="0"/>
        </w:rPr>
      </w:pPr>
      <w:r>
        <w:rPr>
          <w:snapToGrid w:val="0"/>
        </w:rPr>
        <w:tab/>
        <w:t>(6)</w:t>
      </w:r>
      <w:r>
        <w:rPr>
          <w:snapToGrid w:val="0"/>
        </w:rP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rPr>
          <w:snapToGrid w:val="0"/>
        </w:rPr>
      </w:pPr>
      <w:r>
        <w:rPr>
          <w:snapToGrid w:val="0"/>
        </w:rPr>
        <w:tab/>
        <w:t>(7)</w:t>
      </w:r>
      <w:r>
        <w:rPr>
          <w:snapToGrid w:val="0"/>
        </w:rPr>
        <w:tab/>
        <w:t xml:space="preserve">In this section, </w:t>
      </w:r>
      <w:r>
        <w:rPr>
          <w:rStyle w:val="CharDefText"/>
        </w:rPr>
        <w:t>Registrar</w:t>
      </w:r>
      <w:r>
        <w:rPr>
          <w:snapToGrid w:val="0"/>
        </w:rPr>
        <w:t xml:space="preserve"> means Registrar of Titles.</w:t>
      </w:r>
    </w:p>
    <w:p>
      <w:pPr>
        <w:pStyle w:val="Heading5"/>
        <w:rPr>
          <w:snapToGrid w:val="0"/>
        </w:rPr>
      </w:pPr>
      <w:bookmarkStart w:id="57" w:name="_Toc379203084"/>
      <w:bookmarkStart w:id="58" w:name="_Toc426029647"/>
      <w:r>
        <w:rPr>
          <w:rStyle w:val="CharSectno"/>
        </w:rPr>
        <w:t>24</w:t>
      </w:r>
      <w:r>
        <w:rPr>
          <w:snapToGrid w:val="0"/>
        </w:rPr>
        <w:t>.</w:t>
      </w:r>
      <w:r>
        <w:rPr>
          <w:snapToGrid w:val="0"/>
        </w:rPr>
        <w:tab/>
        <w:t>Compulsory taking of land</w:t>
      </w:r>
      <w:bookmarkEnd w:id="57"/>
      <w:bookmarkEnd w:id="58"/>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w:t>
      </w:r>
    </w:p>
    <w:p>
      <w:pPr>
        <w:pStyle w:val="Indenta"/>
        <w:rPr>
          <w:snapToGrid w:val="0"/>
        </w:rPr>
      </w:pPr>
      <w:r>
        <w:rPr>
          <w:snapToGrid w:val="0"/>
        </w:rPr>
        <w:tab/>
        <w:t>(a)</w:t>
      </w:r>
      <w:r>
        <w:rPr>
          <w:snapToGrid w:val="0"/>
        </w:rPr>
        <w:tab/>
        <w:t>land in those Acts has the same meaning as it has in section 3 of this Act;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24 amended by No. 31 of 1997 s. 84(1) and (2).]</w:t>
      </w:r>
    </w:p>
    <w:p>
      <w:pPr>
        <w:pStyle w:val="Heading5"/>
        <w:rPr>
          <w:snapToGrid w:val="0"/>
        </w:rPr>
      </w:pPr>
      <w:bookmarkStart w:id="59" w:name="_Toc379203085"/>
      <w:bookmarkStart w:id="60" w:name="_Toc426029648"/>
      <w:r>
        <w:rPr>
          <w:rStyle w:val="CharSectno"/>
        </w:rPr>
        <w:t>25</w:t>
      </w:r>
      <w:r>
        <w:rPr>
          <w:snapToGrid w:val="0"/>
        </w:rPr>
        <w:t>.</w:t>
      </w:r>
      <w:r>
        <w:rPr>
          <w:snapToGrid w:val="0"/>
        </w:rPr>
        <w:tab/>
        <w:t>Governor may direct transfer of land to Authority</w:t>
      </w:r>
      <w:bookmarkEnd w:id="59"/>
      <w:bookmarkEnd w:id="60"/>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disposal in a piece of land specified in the order.</w:t>
      </w:r>
    </w:p>
    <w:p>
      <w:pPr>
        <w:pStyle w:val="Subsection"/>
        <w:rPr>
          <w:snapToGrid w:val="0"/>
        </w:rPr>
      </w:pPr>
      <w:r>
        <w:rPr>
          <w:snapToGrid w:val="0"/>
        </w:rPr>
        <w:tab/>
        <w:t>(2)</w:t>
      </w:r>
      <w:r>
        <w:rPr>
          <w:snapToGrid w:val="0"/>
        </w:rP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is to specify the terms and conditions subject to which the transfer is to be made.</w:t>
      </w:r>
    </w:p>
    <w:p>
      <w:pPr>
        <w:pStyle w:val="Subsection"/>
        <w:rPr>
          <w:snapToGrid w:val="0"/>
        </w:rPr>
      </w:pPr>
      <w:r>
        <w:rPr>
          <w:snapToGrid w:val="0"/>
        </w:rPr>
        <w:tab/>
        <w:t>(4)</w:t>
      </w:r>
      <w:r>
        <w:rPr>
          <w:snapToGrid w:val="0"/>
        </w:rPr>
        <w:tab/>
        <w:t>A public authority is to comply with a direction given to it under subsection (1), despite any other written law.</w:t>
      </w:r>
    </w:p>
    <w:p>
      <w:pPr>
        <w:pStyle w:val="Heading5"/>
        <w:spacing w:before="180"/>
        <w:rPr>
          <w:snapToGrid w:val="0"/>
        </w:rPr>
      </w:pPr>
      <w:bookmarkStart w:id="61" w:name="_Toc379203086"/>
      <w:bookmarkStart w:id="62" w:name="_Toc426029649"/>
      <w:r>
        <w:rPr>
          <w:rStyle w:val="CharSectno"/>
        </w:rPr>
        <w:t>26</w:t>
      </w:r>
      <w:r>
        <w:rPr>
          <w:snapToGrid w:val="0"/>
        </w:rPr>
        <w:t>.</w:t>
      </w:r>
      <w:r>
        <w:rPr>
          <w:snapToGrid w:val="0"/>
        </w:rPr>
        <w:tab/>
        <w:t>Temporary closure of streets</w:t>
      </w:r>
      <w:bookmarkEnd w:id="61"/>
      <w:bookmarkEnd w:id="62"/>
    </w:p>
    <w:p>
      <w:pPr>
        <w:pStyle w:val="Subsection"/>
        <w:rPr>
          <w:snapToGrid w:val="0"/>
        </w:rPr>
      </w:pPr>
      <w:r>
        <w:rPr>
          <w:snapToGrid w:val="0"/>
        </w:rPr>
        <w:tab/>
        <w:t>(1)</w:t>
      </w:r>
      <w:r>
        <w:rPr>
          <w:snapToGrid w:val="0"/>
        </w:rPr>
        <w:tab/>
        <w:t xml:space="preserve">Despite any provision of the </w:t>
      </w:r>
      <w:r>
        <w:rPr>
          <w:i/>
          <w:snapToGrid w:val="0"/>
        </w:rPr>
        <w:t>Local Government (Miscellaneous Provisions) Act 1960</w:t>
      </w:r>
      <w:r>
        <w:rPr>
          <w:snapToGrid w:val="0"/>
        </w:rPr>
        <w:t>, the Authority may close, or restrict the thoroughfare in, a street in the redevelopment area —</w:t>
      </w:r>
    </w:p>
    <w:p>
      <w:pPr>
        <w:pStyle w:val="Indenta"/>
        <w:rPr>
          <w:snapToGrid w:val="0"/>
        </w:rPr>
      </w:pPr>
      <w:r>
        <w:rPr>
          <w:snapToGrid w:val="0"/>
        </w:rPr>
        <w:tab/>
        <w:t>(a)</w:t>
      </w:r>
      <w:r>
        <w:rPr>
          <w:snapToGrid w:val="0"/>
        </w:rPr>
        <w:tab/>
        <w:t>by causing fences and barriers to be placed on or across the street;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the period that, the Authority considers that the closure or restriction is necessary for the performance of its functions.</w:t>
      </w:r>
    </w:p>
    <w:p>
      <w:pPr>
        <w:pStyle w:val="Subsection"/>
        <w:rPr>
          <w:snapToGrid w:val="0"/>
        </w:rPr>
      </w:pPr>
      <w:r>
        <w:rPr>
          <w:snapToGrid w:val="0"/>
        </w:rPr>
        <w:tab/>
      </w:r>
      <w:smartTag w:uri="urn:schemas-microsoft-com:office:smarttags" w:element="Street">
        <w:smartTag w:uri="urn:schemas-microsoft-com:office:smarttags" w:element="address">
          <w:r>
            <w:rPr>
              <w:snapToGrid w:val="0"/>
            </w:rPr>
            <w:t>(2)</w:t>
          </w:r>
          <w:r>
            <w:rPr>
              <w:snapToGrid w:val="0"/>
            </w:rPr>
            <w:tab/>
            <w:t>A street</w:t>
          </w:r>
        </w:smartTag>
      </w:smartTag>
      <w:r>
        <w:rPr>
          <w:snapToGrid w:val="0"/>
        </w:rPr>
        <w:t xml:space="preserve"> may be closed for more than 3 days under subsection (1) only if the Authority has given at least 14 days notice of the closure to the chief executive officer of the City of </w:t>
      </w:r>
      <w:smartTag w:uri="urn:schemas-microsoft-com:office:smarttags" w:element="City">
        <w:r>
          <w:rPr>
            <w:snapToGrid w:val="0"/>
          </w:rPr>
          <w:t>Subiaco</w:t>
        </w:r>
      </w:smartTag>
      <w:r>
        <w:rPr>
          <w:snapToGrid w:val="0"/>
        </w:rPr>
        <w:t xml:space="preserve"> or of the Town of </w:t>
      </w:r>
      <w:smartTag w:uri="urn:schemas-microsoft-com:office:smarttags" w:element="place">
        <w:smartTag w:uri="urn:schemas-microsoft-com:office:smarttags" w:element="City">
          <w:r>
            <w:rPr>
              <w:snapToGrid w:val="0"/>
            </w:rPr>
            <w:t>Cambridge</w:t>
          </w:r>
        </w:smartTag>
      </w:smartTag>
      <w:r>
        <w:rPr>
          <w:snapToGrid w:val="0"/>
        </w:rPr>
        <w:t>, as the case requires.</w:t>
      </w:r>
    </w:p>
    <w:p>
      <w:pPr>
        <w:pStyle w:val="Subsection"/>
        <w:rPr>
          <w:snapToGrid w:val="0"/>
        </w:rPr>
      </w:pPr>
      <w:r>
        <w:rPr>
          <w:snapToGrid w:val="0"/>
        </w:rPr>
        <w:tab/>
        <w:t>(3)</w:t>
      </w:r>
      <w:r>
        <w:rPr>
          <w:snapToGrid w:val="0"/>
        </w:rPr>
        <w:tab/>
        <w:t>In this section and section 27 —</w:t>
      </w:r>
    </w:p>
    <w:p>
      <w:pPr>
        <w:pStyle w:val="Defstart"/>
      </w:pPr>
      <w:r>
        <w:rPr>
          <w:b/>
        </w:rPr>
        <w:tab/>
      </w:r>
      <w:r>
        <w:rPr>
          <w:rStyle w:val="CharDefText"/>
        </w:rPr>
        <w:t>street</w:t>
      </w:r>
      <w:r>
        <w:t xml:space="preserve"> means a thoroughfare as defined in the </w:t>
      </w:r>
      <w:r>
        <w:rPr>
          <w:i/>
        </w:rPr>
        <w:t>Local Government Act 1995</w:t>
      </w:r>
      <w:r>
        <w:t>.</w:t>
      </w:r>
    </w:p>
    <w:p>
      <w:pPr>
        <w:pStyle w:val="Footnotesection"/>
        <w:spacing w:before="80"/>
        <w:ind w:left="890" w:hanging="890"/>
      </w:pPr>
      <w:r>
        <w:tab/>
        <w:t>[Section 26 amended by No. 14 of 1996 s. 4.]</w:t>
      </w:r>
    </w:p>
    <w:p>
      <w:pPr>
        <w:pStyle w:val="Heading5"/>
        <w:rPr>
          <w:snapToGrid w:val="0"/>
        </w:rPr>
      </w:pPr>
      <w:bookmarkStart w:id="63" w:name="_Toc379203087"/>
      <w:bookmarkStart w:id="64" w:name="_Toc426029650"/>
      <w:r>
        <w:rPr>
          <w:rStyle w:val="CharSectno"/>
        </w:rPr>
        <w:t>27</w:t>
      </w:r>
      <w:r>
        <w:rPr>
          <w:snapToGrid w:val="0"/>
        </w:rPr>
        <w:t>.</w:t>
      </w:r>
      <w:r>
        <w:rPr>
          <w:snapToGrid w:val="0"/>
        </w:rPr>
        <w:tab/>
        <w:t>Permanent closure of streets</w:t>
      </w:r>
      <w:bookmarkEnd w:id="63"/>
      <w:bookmarkEnd w:id="64"/>
    </w:p>
    <w:p>
      <w:pPr>
        <w:pStyle w:val="Subsection"/>
        <w:keepNext/>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w:t>
      </w:r>
      <w:r>
        <w:rPr>
          <w:rStyle w:val="CharDefText"/>
        </w:rPr>
        <w:t>local government</w:t>
      </w:r>
      <w:r>
        <w:rPr>
          <w:snapToGrid w:val="0"/>
        </w:rPr>
        <w:t xml:space="preserve"> in that section and in those regulations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City">
        <w:r>
          <w:rPr>
            <w:snapToGrid w:val="0"/>
          </w:rPr>
          <w:t>Subiaco</w:t>
        </w:r>
      </w:smartTag>
      <w:r>
        <w:rPr>
          <w:snapToGrid w:val="0"/>
        </w:rPr>
        <w:t xml:space="preserve"> or the Town of </w:t>
      </w:r>
      <w:smartTag w:uri="urn:schemas-microsoft-com:office:smarttags" w:element="place">
        <w:smartTag w:uri="urn:schemas-microsoft-com:office:smarttags" w:element="City">
          <w:r>
            <w:rPr>
              <w:snapToGrid w:val="0"/>
            </w:rPr>
            <w:t>Cambridge</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[Section 27 amended by No. 14 of 1996 s. 4; No. 31 of 1997 s. 84(3).]</w:t>
      </w:r>
    </w:p>
    <w:p>
      <w:pPr>
        <w:pStyle w:val="Heading5"/>
        <w:rPr>
          <w:snapToGrid w:val="0"/>
        </w:rPr>
      </w:pPr>
      <w:bookmarkStart w:id="65" w:name="_Toc379203088"/>
      <w:bookmarkStart w:id="66" w:name="_Toc426029651"/>
      <w:r>
        <w:rPr>
          <w:rStyle w:val="CharSectno"/>
        </w:rPr>
        <w:t>28</w:t>
      </w:r>
      <w:r>
        <w:rPr>
          <w:snapToGrid w:val="0"/>
        </w:rPr>
        <w:t>.</w:t>
      </w:r>
      <w:r>
        <w:rPr>
          <w:snapToGrid w:val="0"/>
        </w:rPr>
        <w:tab/>
        <w:t>Delegation by Authority</w:t>
      </w:r>
      <w:bookmarkEnd w:id="65"/>
      <w:bookmarkEnd w:id="66"/>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w:t>
      </w:r>
    </w:p>
    <w:p>
      <w:pPr>
        <w:pStyle w:val="Indenta"/>
        <w:rPr>
          <w:snapToGrid w:val="0"/>
        </w:rPr>
      </w:pPr>
      <w:r>
        <w:rPr>
          <w:snapToGrid w:val="0"/>
        </w:rPr>
        <w:tab/>
        <w:t>(a)</w:t>
      </w:r>
      <w:r>
        <w:rPr>
          <w:snapToGrid w:val="0"/>
        </w:rPr>
        <w:tab/>
        <w:t>a member or the chief executive officer of the Authority; and</w:t>
      </w:r>
    </w:p>
    <w:p>
      <w:pPr>
        <w:pStyle w:val="Indenta"/>
        <w:rPr>
          <w:snapToGrid w:val="0"/>
        </w:rPr>
      </w:pPr>
      <w:r>
        <w:rPr>
          <w:snapToGrid w:val="0"/>
        </w:rPr>
        <w:tab/>
        <w:t>(b)</w:t>
      </w:r>
      <w:r>
        <w:rPr>
          <w:snapToGrid w:val="0"/>
        </w:rPr>
        <w:tab/>
        <w:t>the Western Australian Land Authority, or a member of the board of directors or an officer of that Authority; and</w:t>
      </w:r>
    </w:p>
    <w:p>
      <w:pPr>
        <w:pStyle w:val="Indenta"/>
        <w:rPr>
          <w:snapToGrid w:val="0"/>
        </w:rPr>
      </w:pPr>
      <w:r>
        <w:rPr>
          <w:snapToGrid w:val="0"/>
        </w:rPr>
        <w:tab/>
        <w:t>(c)</w:t>
      </w:r>
      <w:r>
        <w:rPr>
          <w:snapToGrid w:val="0"/>
        </w:rPr>
        <w:tab/>
        <w:t>the chief executive officer, or a nominee of the chief executive officer, of the department principally assisting the Minister to whom the administration of the</w:t>
      </w:r>
      <w:r>
        <w:rPr>
          <w:iCs/>
        </w:rPr>
        <w:t xml:space="preserve"> </w:t>
      </w:r>
      <w:r>
        <w:rPr>
          <w:i/>
        </w:rPr>
        <w:t>Planning and Development Act 2005</w:t>
      </w:r>
      <w:r>
        <w:rPr>
          <w:snapToGrid w:val="0"/>
        </w:rPr>
        <w:t xml:space="preserve"> is committed in the administration of that Act; and</w:t>
      </w:r>
    </w:p>
    <w:p>
      <w:pPr>
        <w:pStyle w:val="Indenta"/>
      </w:pPr>
      <w:r>
        <w:tab/>
        <w:t>(d)</w:t>
      </w:r>
      <w:r>
        <w:tab/>
        <w:t xml:space="preserve">the Public Transport Authority of Western Australia, established by the </w:t>
      </w:r>
      <w:r>
        <w:rPr>
          <w:i/>
        </w:rPr>
        <w:t>Public Transport Authority Act 2003</w:t>
      </w:r>
      <w:r>
        <w:t xml:space="preserve"> section 5, or its nominee; and</w:t>
      </w:r>
    </w:p>
    <w:p>
      <w:pPr>
        <w:pStyle w:val="Indenta"/>
        <w:rPr>
          <w:snapToGrid w:val="0"/>
        </w:rPr>
      </w:pPr>
      <w:r>
        <w:rPr>
          <w:snapToGrid w:val="0"/>
        </w:rPr>
        <w:tab/>
        <w:t>(e)</w:t>
      </w:r>
      <w:r>
        <w:rPr>
          <w:snapToGrid w:val="0"/>
        </w:rPr>
        <w:tab/>
        <w:t>a local government or a committee or employee of 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28 amended by No. 14 of 1996 s. 4; No. 31 of 2003 s. 154; No. 38 of 2005 s. 15.]</w:t>
      </w:r>
    </w:p>
    <w:p>
      <w:pPr>
        <w:pStyle w:val="Heading5"/>
        <w:rPr>
          <w:snapToGrid w:val="0"/>
        </w:rPr>
      </w:pPr>
      <w:bookmarkStart w:id="67" w:name="_Toc379203089"/>
      <w:bookmarkStart w:id="68" w:name="_Toc426029652"/>
      <w:r>
        <w:rPr>
          <w:rStyle w:val="CharSectno"/>
        </w:rPr>
        <w:t>29</w:t>
      </w:r>
      <w:r>
        <w:rPr>
          <w:snapToGrid w:val="0"/>
        </w:rPr>
        <w:t>.</w:t>
      </w:r>
      <w:r>
        <w:rPr>
          <w:snapToGrid w:val="0"/>
        </w:rPr>
        <w:tab/>
        <w:t>Minister may direct Authority</w:t>
      </w:r>
      <w:bookmarkEnd w:id="67"/>
      <w:bookmarkEnd w:id="68"/>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rPr>
          <w:snapToGrid w:val="0"/>
        </w:rPr>
      </w:pPr>
      <w:r>
        <w:rPr>
          <w:snapToGrid w:val="0"/>
        </w:rPr>
        <w:tab/>
        <w:t>(2)</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28 sitting days of that House after the day on which the direction is given; and</w:t>
      </w:r>
    </w:p>
    <w:p>
      <w:pPr>
        <w:pStyle w:val="Indenta"/>
        <w:rPr>
          <w:snapToGrid w:val="0"/>
        </w:rPr>
      </w:pPr>
      <w:r>
        <w:rPr>
          <w:snapToGrid w:val="0"/>
        </w:rPr>
        <w:tab/>
        <w:t>(b)</w:t>
      </w:r>
      <w:r>
        <w:rPr>
          <w:snapToGrid w:val="0"/>
        </w:rPr>
        <w:tab/>
        <w:t>included in the annual report submitted by the accountable authority of the Authority under</w:t>
      </w:r>
      <w:r>
        <w:t xml:space="preserve"> 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29 amended by No. 41 of 1996 s. 3; No. 77 of 2006 Sch. 1 cl. 163(2).]</w:t>
      </w:r>
    </w:p>
    <w:p>
      <w:pPr>
        <w:pStyle w:val="Heading5"/>
        <w:rPr>
          <w:snapToGrid w:val="0"/>
        </w:rPr>
      </w:pPr>
      <w:bookmarkStart w:id="69" w:name="_Toc379203090"/>
      <w:bookmarkStart w:id="70" w:name="_Toc426029653"/>
      <w:r>
        <w:rPr>
          <w:rStyle w:val="CharSectno"/>
        </w:rPr>
        <w:t>30</w:t>
      </w:r>
      <w:r>
        <w:rPr>
          <w:snapToGrid w:val="0"/>
        </w:rPr>
        <w:t>.</w:t>
      </w:r>
      <w:r>
        <w:rPr>
          <w:snapToGrid w:val="0"/>
        </w:rPr>
        <w:tab/>
        <w:t>Minister to have access to information</w:t>
      </w:r>
      <w:bookmarkEnd w:id="69"/>
      <w:bookmarkEnd w:id="70"/>
    </w:p>
    <w:p>
      <w:pPr>
        <w:pStyle w:val="Subsection"/>
        <w:rPr>
          <w:snapToGrid w:val="0"/>
        </w:rPr>
      </w:pPr>
      <w:r>
        <w:rPr>
          <w:snapToGrid w:val="0"/>
        </w:rPr>
        <w:tab/>
        <w:t>(1)</w:t>
      </w:r>
      <w:r>
        <w:rPr>
          <w:snapToGrid w:val="0"/>
        </w:rPr>
        <w:tab/>
        <w:t>The Minister is entitled to have information in the possession of the Authority and, if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provide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or of the Western Australian Land Authority to obtain the information and provide it to the Minister.</w:t>
      </w:r>
    </w:p>
    <w:p>
      <w:pPr>
        <w:pStyle w:val="Subsection"/>
        <w:rPr>
          <w:snapToGrid w:val="0"/>
        </w:rPr>
      </w:pPr>
      <w:r>
        <w:rPr>
          <w:snapToGrid w:val="0"/>
        </w:rPr>
        <w:tab/>
        <w:t>(3)</w:t>
      </w:r>
      <w:r>
        <w:rPr>
          <w:snapToGrid w:val="0"/>
        </w:rPr>
        <w:tab/>
        <w:t>The Authority is to comply with a request under subsection (2) and the Authority and the Western Australian Land Authority are to make their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Authority.</w:t>
      </w:r>
    </w:p>
    <w:p>
      <w:pPr>
        <w:pStyle w:val="Heading2"/>
      </w:pPr>
      <w:bookmarkStart w:id="71" w:name="_Toc379203091"/>
      <w:bookmarkStart w:id="72" w:name="_Toc426029654"/>
      <w:r>
        <w:rPr>
          <w:rStyle w:val="CharPartNo"/>
        </w:rPr>
        <w:t>Part 4</w:t>
      </w:r>
      <w:r>
        <w:t> — </w:t>
      </w:r>
      <w:r>
        <w:rPr>
          <w:rStyle w:val="CharPartText"/>
        </w:rPr>
        <w:t>Redevelopment scheme</w:t>
      </w:r>
      <w:bookmarkEnd w:id="71"/>
      <w:bookmarkEnd w:id="72"/>
    </w:p>
    <w:p>
      <w:pPr>
        <w:pStyle w:val="Heading3"/>
      </w:pPr>
      <w:bookmarkStart w:id="73" w:name="_Toc379203092"/>
      <w:bookmarkStart w:id="74" w:name="_Toc426029655"/>
      <w:r>
        <w:rPr>
          <w:rStyle w:val="CharDivNo"/>
        </w:rPr>
        <w:t>Division 1</w:t>
      </w:r>
      <w:r>
        <w:rPr>
          <w:snapToGrid w:val="0"/>
        </w:rPr>
        <w:t> — </w:t>
      </w:r>
      <w:r>
        <w:rPr>
          <w:rStyle w:val="CharDivText"/>
        </w:rPr>
        <w:t>General</w:t>
      </w:r>
      <w:bookmarkEnd w:id="73"/>
      <w:bookmarkEnd w:id="74"/>
    </w:p>
    <w:p>
      <w:pPr>
        <w:pStyle w:val="Heading5"/>
        <w:rPr>
          <w:snapToGrid w:val="0"/>
        </w:rPr>
      </w:pPr>
      <w:bookmarkStart w:id="75" w:name="_Toc379203093"/>
      <w:bookmarkStart w:id="76" w:name="_Toc426029656"/>
      <w:r>
        <w:rPr>
          <w:rStyle w:val="CharSectno"/>
        </w:rPr>
        <w:t>31</w:t>
      </w:r>
      <w:r>
        <w:rPr>
          <w:snapToGrid w:val="0"/>
        </w:rPr>
        <w:t>.</w:t>
      </w:r>
      <w:r>
        <w:rPr>
          <w:snapToGrid w:val="0"/>
        </w:rPr>
        <w:tab/>
        <w:t>Authority to comply with redevelopment scheme</w:t>
      </w:r>
      <w:bookmarkEnd w:id="75"/>
      <w:bookmarkEnd w:id="76"/>
    </w:p>
    <w:p>
      <w:pPr>
        <w:pStyle w:val="Subsection"/>
        <w:rPr>
          <w:snapToGrid w:val="0"/>
        </w:rPr>
      </w:pPr>
      <w:r>
        <w:rPr>
          <w:snapToGrid w:val="0"/>
        </w:rPr>
        <w:tab/>
        <w:t>(1)</w:t>
      </w:r>
      <w:r>
        <w:rPr>
          <w:snapToGrid w:val="0"/>
        </w:rPr>
        <w:tab/>
        <w:t>The Authority is to perform its functions in accordance with the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50(1).</w:t>
      </w:r>
    </w:p>
    <w:p>
      <w:pPr>
        <w:pStyle w:val="Subsection"/>
        <w:rPr>
          <w:snapToGrid w:val="0"/>
        </w:rPr>
      </w:pPr>
      <w:r>
        <w:rPr>
          <w:snapToGrid w:val="0"/>
        </w:rPr>
        <w:tab/>
        <w:t>(3)</w:t>
      </w:r>
      <w:r>
        <w:rPr>
          <w:snapToGrid w:val="0"/>
        </w:rPr>
        <w:tab/>
        <w:t>A copy of the redevelopment scheme for the time being in force is to be kept in the offices of the Authority and is to be available for inspection by the public during office hours free of charge.</w:t>
      </w:r>
    </w:p>
    <w:p>
      <w:pPr>
        <w:pStyle w:val="Heading5"/>
        <w:rPr>
          <w:snapToGrid w:val="0"/>
        </w:rPr>
      </w:pPr>
      <w:bookmarkStart w:id="77" w:name="_Toc379203094"/>
      <w:bookmarkStart w:id="78" w:name="_Toc426029657"/>
      <w:r>
        <w:rPr>
          <w:rStyle w:val="CharSectno"/>
        </w:rPr>
        <w:t>32</w:t>
      </w:r>
      <w:r>
        <w:rPr>
          <w:snapToGrid w:val="0"/>
        </w:rPr>
        <w:t>.</w:t>
      </w:r>
      <w:r>
        <w:rPr>
          <w:snapToGrid w:val="0"/>
        </w:rPr>
        <w:tab/>
        <w:t>Contents of redevelopment scheme</w:t>
      </w:r>
      <w:bookmarkEnd w:id="77"/>
      <w:bookmarkEnd w:id="78"/>
    </w:p>
    <w:p>
      <w:pPr>
        <w:pStyle w:val="Subsection"/>
        <w:rPr>
          <w:snapToGrid w:val="0"/>
        </w:rPr>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rPr>
          <w:snapToGrid w:val="0"/>
        </w:rPr>
        <w:t>.</w:t>
      </w:r>
    </w:p>
    <w:p>
      <w:pPr>
        <w:pStyle w:val="Footnotesection"/>
      </w:pPr>
      <w:r>
        <w:tab/>
        <w:t>[Section 32 amended by No. 38 of 2005 s. 15.]</w:t>
      </w:r>
    </w:p>
    <w:p>
      <w:pPr>
        <w:pStyle w:val="Heading3"/>
      </w:pPr>
      <w:bookmarkStart w:id="79" w:name="_Toc379203095"/>
      <w:bookmarkStart w:id="80" w:name="_Toc426029658"/>
      <w:r>
        <w:rPr>
          <w:rStyle w:val="CharDivNo"/>
        </w:rPr>
        <w:t>Division 2</w:t>
      </w:r>
      <w:r>
        <w:rPr>
          <w:snapToGrid w:val="0"/>
        </w:rPr>
        <w:t> — </w:t>
      </w:r>
      <w:r>
        <w:rPr>
          <w:rStyle w:val="CharDivText"/>
        </w:rPr>
        <w:t>Preparation and approval of redevelopment scheme</w:t>
      </w:r>
      <w:bookmarkEnd w:id="79"/>
      <w:bookmarkEnd w:id="80"/>
    </w:p>
    <w:p>
      <w:pPr>
        <w:pStyle w:val="Heading5"/>
        <w:rPr>
          <w:snapToGrid w:val="0"/>
        </w:rPr>
      </w:pPr>
      <w:bookmarkStart w:id="81" w:name="_Toc379203096"/>
      <w:bookmarkStart w:id="82" w:name="_Toc426029659"/>
      <w:r>
        <w:rPr>
          <w:rStyle w:val="CharSectno"/>
        </w:rPr>
        <w:t>33</w:t>
      </w:r>
      <w:r>
        <w:rPr>
          <w:snapToGrid w:val="0"/>
        </w:rPr>
        <w:t>.</w:t>
      </w:r>
      <w:r>
        <w:rPr>
          <w:snapToGrid w:val="0"/>
        </w:rPr>
        <w:tab/>
        <w:t>Proposed scheme, submission and approval of for public notification</w:t>
      </w:r>
      <w:bookmarkEnd w:id="81"/>
      <w:bookmarkEnd w:id="82"/>
    </w:p>
    <w:p>
      <w:pPr>
        <w:pStyle w:val="Subsection"/>
        <w:rPr>
          <w:snapToGrid w:val="0"/>
        </w:rPr>
      </w:pPr>
      <w:r>
        <w:rPr>
          <w:snapToGrid w:val="0"/>
        </w:rPr>
        <w:tab/>
        <w:t>(1)</w:t>
      </w:r>
      <w:r>
        <w:rPr>
          <w:snapToGrid w:val="0"/>
        </w:rPr>
        <w:tab/>
        <w:t>The Authority is to submit a proposed redevelopment scheme to the Minister as soon as is practicable after the commencement of this Act.</w:t>
      </w:r>
    </w:p>
    <w:p>
      <w:pPr>
        <w:pStyle w:val="Subsection"/>
        <w:keepLines/>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is not to be submitted to the Minister unless sections 40 and 41 have been complied with in respect of that redevelopment scheme and it was prepared —</w:t>
      </w:r>
    </w:p>
    <w:p>
      <w:pPr>
        <w:pStyle w:val="Indenta"/>
        <w:rPr>
          <w:snapToGrid w:val="0"/>
        </w:rPr>
      </w:pPr>
      <w:r>
        <w:rPr>
          <w:snapToGrid w:val="0"/>
        </w:rPr>
        <w:tab/>
        <w:t>(a)</w:t>
      </w:r>
      <w:r>
        <w:rPr>
          <w:snapToGrid w:val="0"/>
        </w:rPr>
        <w:tab/>
        <w:t xml:space="preserve">after consultation with the City of </w:t>
      </w:r>
      <w:smartTag w:uri="urn:schemas-microsoft-com:office:smarttags" w:element="City">
        <w:r>
          <w:rPr>
            <w:snapToGrid w:val="0"/>
          </w:rPr>
          <w:t>Subiaco</w:t>
        </w:r>
      </w:smartTag>
      <w:r>
        <w:rPr>
          <w:snapToGrid w:val="0"/>
        </w:rPr>
        <w:t xml:space="preserve"> and the Town of </w:t>
      </w:r>
      <w:smartTag w:uri="urn:schemas-microsoft-com:office:smarttags" w:element="place">
        <w:smartTag w:uri="urn:schemas-microsoft-com:office:smarttags" w:element="City">
          <w:r>
            <w:rPr>
              <w:snapToGrid w:val="0"/>
            </w:rPr>
            <w:t>Cambridge</w:t>
          </w:r>
        </w:smartTag>
      </w:smartTag>
      <w:r>
        <w:rPr>
          <w:snapToGrid w:val="0"/>
        </w:rPr>
        <w:t xml:space="preserve"> and the </w:t>
      </w:r>
      <w:r>
        <w:t>Western Australian Planning Commission</w:t>
      </w:r>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having regard to the views of the local governments and the Commission.</w:t>
      </w:r>
    </w:p>
    <w:p>
      <w:pPr>
        <w:pStyle w:val="Subsection"/>
        <w:rPr>
          <w:snapToGrid w:val="0"/>
        </w:rPr>
      </w:pPr>
      <w:r>
        <w:rPr>
          <w:snapToGrid w:val="0"/>
        </w:rPr>
        <w:tab/>
        <w:t>(4)</w:t>
      </w:r>
      <w:r>
        <w:rPr>
          <w:snapToGrid w:val="0"/>
        </w:rPr>
        <w:tab/>
        <w:t>The Minister may —</w:t>
      </w:r>
    </w:p>
    <w:p>
      <w:pPr>
        <w:pStyle w:val="Indenta"/>
        <w:rPr>
          <w:snapToGrid w:val="0"/>
        </w:rPr>
      </w:pPr>
      <w:r>
        <w:rPr>
          <w:snapToGrid w:val="0"/>
        </w:rPr>
        <w:tab/>
        <w:t>(a)</w:t>
      </w:r>
      <w:r>
        <w:rPr>
          <w:snapToGrid w:val="0"/>
        </w:rPr>
        <w:tab/>
        <w:t>consent or refuse to consent to the public notification of a proposed redevelopment scheme submitted under this section; or</w:t>
      </w:r>
    </w:p>
    <w:p>
      <w:pPr>
        <w:pStyle w:val="Indenta"/>
        <w:rPr>
          <w:snapToGrid w:val="0"/>
        </w:rPr>
      </w:pPr>
      <w:r>
        <w:rPr>
          <w:snapToGrid w:val="0"/>
        </w:rPr>
        <w:tab/>
        <w:t>(b)</w:t>
      </w:r>
      <w:r>
        <w:rPr>
          <w:snapToGrid w:val="0"/>
        </w:rPr>
        <w:tab/>
        <w:t>consent to such public notification subject to modifications being made to the scheme, as directed by the Minister.</w:t>
      </w:r>
    </w:p>
    <w:p>
      <w:pPr>
        <w:pStyle w:val="Subsection"/>
        <w:rPr>
          <w:snapToGrid w:val="0"/>
        </w:rPr>
      </w:pPr>
      <w:r>
        <w:rPr>
          <w:snapToGrid w:val="0"/>
        </w:rPr>
        <w:tab/>
        <w:t>(5)</w:t>
      </w:r>
      <w:r>
        <w:rPr>
          <w:snapToGrid w:val="0"/>
        </w:rP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is to comply with any direction of the Minister under subsection (4) or (5).</w:t>
      </w:r>
    </w:p>
    <w:p>
      <w:pPr>
        <w:pStyle w:val="Subsection"/>
        <w:keepNext/>
        <w:rPr>
          <w:snapToGrid w:val="0"/>
        </w:rPr>
      </w:pPr>
      <w:r>
        <w:rPr>
          <w:snapToGrid w:val="0"/>
        </w:rPr>
        <w:tab/>
        <w:t>(7)</w:t>
      </w:r>
      <w:r>
        <w:rPr>
          <w:snapToGrid w:val="0"/>
        </w:rPr>
        <w:tab/>
        <w:t>The text of any direction given under subsection (4) or (5) is to be —</w:t>
      </w:r>
    </w:p>
    <w:p>
      <w:pPr>
        <w:pStyle w:val="Indenta"/>
        <w:rPr>
          <w:snapToGrid w:val="0"/>
        </w:rPr>
      </w:pPr>
      <w:r>
        <w:rPr>
          <w:snapToGrid w:val="0"/>
        </w:rPr>
        <w:tab/>
        <w:t>(a)</w:t>
      </w:r>
      <w:r>
        <w:rPr>
          <w:snapToGrid w:val="0"/>
        </w:rPr>
        <w:tab/>
        <w:t>laid before each House of Parliament within 28 sitting days of that House after the day on which the direction is given; and</w:t>
      </w:r>
    </w:p>
    <w:p>
      <w:pPr>
        <w:pStyle w:val="Indenta"/>
        <w:rPr>
          <w:snapToGrid w:val="0"/>
        </w:rPr>
      </w:pPr>
      <w:r>
        <w:rPr>
          <w:snapToGrid w:val="0"/>
        </w:rPr>
        <w:tab/>
        <w:t>(b)</w:t>
      </w:r>
      <w:r>
        <w:rPr>
          <w:snapToGrid w:val="0"/>
        </w:rPr>
        <w:tab/>
        <w:t>included in the annual report submitted by the accountable authority of the Authority under</w:t>
      </w:r>
      <w:r>
        <w:t xml:space="preserve"> Part 5 of the </w:t>
      </w:r>
      <w:r>
        <w:rPr>
          <w:i/>
          <w:iCs/>
        </w:rPr>
        <w:t>Financial Management Act 2006</w:t>
      </w:r>
      <w:r>
        <w:t>.</w:t>
      </w:r>
    </w:p>
    <w:p>
      <w:pPr>
        <w:pStyle w:val="Footnotesection"/>
      </w:pPr>
      <w:r>
        <w:tab/>
        <w:t>[Section 33 amended by No. 14 of 1996 s. 4; No. 23 of 1996 s. 36; No. 38 of 2005 s. 15; No. 77 of 2006 Sch. 1 cl. 163(3).]</w:t>
      </w:r>
    </w:p>
    <w:p>
      <w:pPr>
        <w:pStyle w:val="Heading5"/>
        <w:rPr>
          <w:snapToGrid w:val="0"/>
        </w:rPr>
      </w:pPr>
      <w:bookmarkStart w:id="83" w:name="_Toc379203097"/>
      <w:bookmarkStart w:id="84" w:name="_Toc426029660"/>
      <w:r>
        <w:rPr>
          <w:rStyle w:val="CharSectno"/>
        </w:rPr>
        <w:t>34</w:t>
      </w:r>
      <w:r>
        <w:rPr>
          <w:snapToGrid w:val="0"/>
        </w:rPr>
        <w:t>.</w:t>
      </w:r>
      <w:r>
        <w:rPr>
          <w:snapToGrid w:val="0"/>
        </w:rPr>
        <w:tab/>
        <w:t>Proposed scheme to be publicly notified</w:t>
      </w:r>
      <w:bookmarkEnd w:id="83"/>
      <w:bookmarkEnd w:id="84"/>
    </w:p>
    <w:p>
      <w:pPr>
        <w:pStyle w:val="Subsection"/>
        <w:rPr>
          <w:snapToGrid w:val="0"/>
        </w:rPr>
      </w:pPr>
      <w:r>
        <w:rPr>
          <w:snapToGrid w:val="0"/>
        </w:rPr>
        <w:tab/>
        <w:t>(1)</w:t>
      </w:r>
      <w:r>
        <w:rPr>
          <w:snapToGrid w:val="0"/>
        </w:rPr>
        <w:tab/>
        <w:t>Public notification of a proposed redevelopment scheme in respect of which the Minister has given consent under section 33(4) is to be given in accordance with subsection (2).</w:t>
      </w:r>
    </w:p>
    <w:p>
      <w:pPr>
        <w:pStyle w:val="Subsection"/>
        <w:rPr>
          <w:snapToGrid w:val="0"/>
        </w:rPr>
      </w:pPr>
      <w:r>
        <w:rPr>
          <w:snapToGrid w:val="0"/>
        </w:rPr>
        <w:tab/>
        <w:t>(2)</w:t>
      </w:r>
      <w:r>
        <w:rPr>
          <w:snapToGrid w:val="0"/>
        </w:rPr>
        <w:tab/>
        <w:t>The proposed redevelopment scheme is to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 xml:space="preserve">in 2 issues of a daily newspaper circulating in the local government districts of Subiaco and </w:t>
      </w:r>
      <w:smartTag w:uri="urn:schemas-microsoft-com:office:smarttags" w:element="place">
        <w:smartTag w:uri="urn:schemas-microsoft-com:office:smarttags" w:element="City">
          <w:r>
            <w:rPr>
              <w:snapToGrid w:val="0"/>
            </w:rPr>
            <w:t>Cambridge</w:t>
          </w:r>
        </w:smartTag>
      </w:smartTag>
      <w:r>
        <w:rPr>
          <w:snapToGrid w:val="0"/>
        </w:rPr>
        <w:t>,</w:t>
      </w:r>
    </w:p>
    <w:p>
      <w:pPr>
        <w:pStyle w:val="Subsection"/>
        <w:rPr>
          <w:snapToGrid w:val="0"/>
        </w:rPr>
      </w:pPr>
      <w:r>
        <w:rPr>
          <w:snapToGrid w:val="0"/>
        </w:rPr>
        <w:tab/>
      </w:r>
      <w:r>
        <w:rPr>
          <w:snapToGrid w:val="0"/>
        </w:rPr>
        <w:tab/>
        <w:t>of a notice —</w:t>
      </w:r>
    </w:p>
    <w:p>
      <w:pPr>
        <w:pStyle w:val="Indenta"/>
        <w:rPr>
          <w:snapToGrid w:val="0"/>
        </w:rPr>
      </w:pPr>
      <w:r>
        <w:rPr>
          <w:snapToGrid w:val="0"/>
        </w:rPr>
        <w:tab/>
        <w:t>(c)</w:t>
      </w:r>
      <w:r>
        <w:rPr>
          <w:snapToGrid w:val="0"/>
        </w:rPr>
        <w:tab/>
        <w:t>specifying the places at which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35 and specifying the period referred to in that section.</w:t>
      </w:r>
    </w:p>
    <w:p>
      <w:pPr>
        <w:pStyle w:val="Subsection"/>
        <w:rPr>
          <w:snapToGrid w:val="0"/>
        </w:rPr>
      </w:pPr>
      <w:r>
        <w:rPr>
          <w:snapToGrid w:val="0"/>
        </w:rPr>
        <w:tab/>
        <w:t>(3)</w:t>
      </w:r>
      <w:r>
        <w:rPr>
          <w:snapToGrid w:val="0"/>
        </w:rPr>
        <w:tab/>
        <w:t>The Authority may fix and charge a fee for supplying copies of a proposed redevelopment scheme.</w:t>
      </w:r>
    </w:p>
    <w:p>
      <w:pPr>
        <w:pStyle w:val="Subsection"/>
        <w:rPr>
          <w:snapToGrid w:val="0"/>
        </w:rPr>
      </w:pPr>
      <w:r>
        <w:rPr>
          <w:snapToGrid w:val="0"/>
        </w:rPr>
        <w:tab/>
        <w:t>(4)</w:t>
      </w:r>
      <w:r>
        <w:rPr>
          <w:snapToGrid w:val="0"/>
        </w:rP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[Section 34 amended by No. 14 of 1996 s. 4; No. 23 of 1996 s. 37.]</w:t>
      </w:r>
    </w:p>
    <w:p>
      <w:pPr>
        <w:pStyle w:val="Heading5"/>
        <w:rPr>
          <w:snapToGrid w:val="0"/>
        </w:rPr>
      </w:pPr>
      <w:bookmarkStart w:id="85" w:name="_Toc379203098"/>
      <w:bookmarkStart w:id="86" w:name="_Toc426029661"/>
      <w:r>
        <w:rPr>
          <w:rStyle w:val="CharSectno"/>
        </w:rPr>
        <w:t>35</w:t>
      </w:r>
      <w:r>
        <w:rPr>
          <w:snapToGrid w:val="0"/>
        </w:rPr>
        <w:t>.</w:t>
      </w:r>
      <w:r>
        <w:rPr>
          <w:snapToGrid w:val="0"/>
        </w:rPr>
        <w:tab/>
        <w:t>Public submissions about proposed scheme</w:t>
      </w:r>
      <w:bookmarkEnd w:id="85"/>
      <w:bookmarkEnd w:id="86"/>
    </w:p>
    <w:p>
      <w:pPr>
        <w:pStyle w:val="Subsection"/>
        <w:rPr>
          <w:snapToGrid w:val="0"/>
        </w:rPr>
      </w:pPr>
      <w:r>
        <w:rPr>
          <w:snapToGrid w:val="0"/>
        </w:rPr>
        <w:tab/>
        <w:t>(1)</w:t>
      </w:r>
      <w:r>
        <w:rPr>
          <w:snapToGrid w:val="0"/>
        </w:rPr>
        <w:tab/>
        <w:t>Written submissions on the proposed redevelopment scheme may be made by any person —</w:t>
      </w:r>
    </w:p>
    <w:p>
      <w:pPr>
        <w:pStyle w:val="Indenta"/>
        <w:rPr>
          <w:snapToGrid w:val="0"/>
        </w:rPr>
      </w:pPr>
      <w:r>
        <w:rPr>
          <w:snapToGrid w:val="0"/>
        </w:rPr>
        <w:tab/>
        <w:t>(a)</w:t>
      </w:r>
      <w:r>
        <w:rPr>
          <w:snapToGrid w:val="0"/>
        </w:rPr>
        <w:tab/>
        <w:t xml:space="preserve">within a period determined by the Authority that is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87" w:name="_Toc379203099"/>
      <w:bookmarkStart w:id="88" w:name="_Toc426029662"/>
      <w:r>
        <w:rPr>
          <w:rStyle w:val="CharSectno"/>
        </w:rPr>
        <w:t>36</w:t>
      </w:r>
      <w:r>
        <w:rPr>
          <w:snapToGrid w:val="0"/>
        </w:rPr>
        <w:t>.</w:t>
      </w:r>
      <w:r>
        <w:rPr>
          <w:snapToGrid w:val="0"/>
        </w:rPr>
        <w:tab/>
        <w:t>Approval of scheme by Minister</w:t>
      </w:r>
      <w:bookmarkEnd w:id="87"/>
      <w:bookmarkEnd w:id="88"/>
    </w:p>
    <w:p>
      <w:pPr>
        <w:pStyle w:val="Subsection"/>
        <w:rPr>
          <w:snapToGrid w:val="0"/>
        </w:rPr>
      </w:pPr>
      <w:r>
        <w:rPr>
          <w:snapToGrid w:val="0"/>
        </w:rPr>
        <w:tab/>
        <w:t>(1)</w:t>
      </w:r>
      <w:r>
        <w:rPr>
          <w:snapToGrid w:val="0"/>
        </w:rPr>
        <w:tab/>
        <w:t>After sections 42 and 42A have been complied with, the Authority is to submit the proposed redevelopment scheme, with any modifications made under section 35(2), to the Minister for approval.</w:t>
      </w:r>
    </w:p>
    <w:p>
      <w:pPr>
        <w:pStyle w:val="Subsection"/>
        <w:rPr>
          <w:snapToGrid w:val="0"/>
        </w:rPr>
      </w:pPr>
      <w:r>
        <w:rPr>
          <w:snapToGrid w:val="0"/>
        </w:rPr>
        <w:tab/>
        <w:t>(2)</w:t>
      </w:r>
      <w:r>
        <w:rPr>
          <w:snapToGrid w:val="0"/>
        </w:rPr>
        <w:tab/>
        <w:t>The scheme as so submitted is to be accompanied by —</w:t>
      </w:r>
    </w:p>
    <w:p>
      <w:pPr>
        <w:pStyle w:val="Indenta"/>
        <w:rPr>
          <w:snapToGrid w:val="0"/>
        </w:rPr>
      </w:pPr>
      <w:r>
        <w:rPr>
          <w:snapToGrid w:val="0"/>
        </w:rPr>
        <w:tab/>
        <w:t>(a)</w:t>
      </w:r>
      <w:r>
        <w:rPr>
          <w:snapToGrid w:val="0"/>
        </w:rPr>
        <w:tab/>
        <w:t>a summary of all submissions made under section 35; and</w:t>
      </w:r>
    </w:p>
    <w:p>
      <w:pPr>
        <w:pStyle w:val="Indenta"/>
        <w:rPr>
          <w:snapToGrid w:val="0"/>
        </w:rPr>
      </w:pPr>
      <w:r>
        <w:rPr>
          <w:snapToGrid w:val="0"/>
        </w:rPr>
        <w:tab/>
        <w:t>(b)</w:t>
      </w:r>
      <w:r>
        <w:rPr>
          <w:snapToGrid w:val="0"/>
        </w:rPr>
        <w:tab/>
        <w:t>a report by the Authority on the merits of those submissions.</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being made to the scheme, as directed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is to give directions to the Authority as to the preparation of a further scheme to be submitted under section 33 or under subsection (1), as the Minister may specify.</w:t>
      </w:r>
    </w:p>
    <w:p>
      <w:pPr>
        <w:pStyle w:val="Subsection"/>
        <w:rPr>
          <w:snapToGrid w:val="0"/>
        </w:rPr>
      </w:pPr>
      <w:r>
        <w:rPr>
          <w:snapToGrid w:val="0"/>
        </w:rPr>
        <w:tab/>
        <w:t>(5)</w:t>
      </w:r>
      <w:r>
        <w:rPr>
          <w:snapToGrid w:val="0"/>
        </w:rPr>
        <w:tab/>
        <w:t>The Authority is to comply with any direction of the Minister under subsection (3) or (4).</w:t>
      </w:r>
    </w:p>
    <w:p>
      <w:pPr>
        <w:pStyle w:val="Subsection"/>
        <w:rPr>
          <w:snapToGrid w:val="0"/>
        </w:rPr>
      </w:pPr>
      <w:r>
        <w:rPr>
          <w:snapToGrid w:val="0"/>
        </w:rPr>
        <w:tab/>
        <w:t>(6)</w:t>
      </w:r>
      <w:r>
        <w:rPr>
          <w:snapToGrid w:val="0"/>
        </w:rPr>
        <w:tab/>
        <w:t>The text of any direction given under subsection (3) or (4) is to be —</w:t>
      </w:r>
    </w:p>
    <w:p>
      <w:pPr>
        <w:pStyle w:val="Indenta"/>
        <w:rPr>
          <w:snapToGrid w:val="0"/>
        </w:rPr>
      </w:pPr>
      <w:r>
        <w:rPr>
          <w:snapToGrid w:val="0"/>
        </w:rPr>
        <w:tab/>
        <w:t>(a)</w:t>
      </w:r>
      <w:r>
        <w:rPr>
          <w:snapToGrid w:val="0"/>
        </w:rPr>
        <w:tab/>
        <w:t>laid before each House of Parliament within 28 sitting days of that House after the day on which the direction is given; and</w:t>
      </w:r>
    </w:p>
    <w:p>
      <w:pPr>
        <w:pStyle w:val="Indenta"/>
        <w:rPr>
          <w:snapToGrid w:val="0"/>
        </w:rPr>
      </w:pPr>
      <w:r>
        <w:rPr>
          <w:snapToGrid w:val="0"/>
        </w:rPr>
        <w:tab/>
        <w:t>(b)</w:t>
      </w:r>
      <w:r>
        <w:rPr>
          <w:snapToGrid w:val="0"/>
        </w:rPr>
        <w:tab/>
        <w:t>included in the annual report submitted by the accountable authority of the Authority under</w:t>
      </w:r>
      <w:r>
        <w:t xml:space="preserve"> Part 5 of the </w:t>
      </w:r>
      <w:r>
        <w:rPr>
          <w:i/>
          <w:iCs/>
        </w:rPr>
        <w:t>Financial Management Act 2006</w:t>
      </w:r>
      <w:r>
        <w:t>.</w:t>
      </w:r>
    </w:p>
    <w:p>
      <w:pPr>
        <w:pStyle w:val="Footnotesection"/>
      </w:pPr>
      <w:r>
        <w:tab/>
        <w:t>[Section 36 amended by No. 23 of 1996 s. 38; No. 77 of 2006  Sch. 1 cl. 163(4).]</w:t>
      </w:r>
    </w:p>
    <w:p>
      <w:pPr>
        <w:pStyle w:val="Heading5"/>
        <w:rPr>
          <w:snapToGrid w:val="0"/>
        </w:rPr>
      </w:pPr>
      <w:bookmarkStart w:id="89" w:name="_Toc379203100"/>
      <w:bookmarkStart w:id="90" w:name="_Toc426029663"/>
      <w:r>
        <w:rPr>
          <w:rStyle w:val="CharSectno"/>
        </w:rPr>
        <w:t>37</w:t>
      </w:r>
      <w:r>
        <w:rPr>
          <w:snapToGrid w:val="0"/>
        </w:rPr>
        <w:t>.</w:t>
      </w:r>
      <w:r>
        <w:rPr>
          <w:snapToGrid w:val="0"/>
        </w:rPr>
        <w:tab/>
        <w:t>Public notice of approval of scheme; commencement of scheme</w:t>
      </w:r>
      <w:bookmarkEnd w:id="89"/>
      <w:bookmarkEnd w:id="90"/>
    </w:p>
    <w:p>
      <w:pPr>
        <w:pStyle w:val="Subsection"/>
        <w:rPr>
          <w:snapToGrid w:val="0"/>
        </w:rPr>
      </w:pPr>
      <w:r>
        <w:rPr>
          <w:snapToGrid w:val="0"/>
        </w:rPr>
        <w:tab/>
        <w:t>(1)</w:t>
      </w:r>
      <w:r>
        <w:rPr>
          <w:snapToGrid w:val="0"/>
        </w:rPr>
        <w:tab/>
        <w:t xml:space="preserve">Notice that a redevelopment scheme has been approved by the Minister under section 36 is to be published by the Authority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any later day that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3"/>
      </w:pPr>
      <w:bookmarkStart w:id="91" w:name="_Toc379203101"/>
      <w:bookmarkStart w:id="92" w:name="_Toc426029664"/>
      <w:r>
        <w:rPr>
          <w:rStyle w:val="CharDivNo"/>
        </w:rPr>
        <w:t>Division 3</w:t>
      </w:r>
      <w:r>
        <w:rPr>
          <w:snapToGrid w:val="0"/>
        </w:rPr>
        <w:t> — </w:t>
      </w:r>
      <w:r>
        <w:rPr>
          <w:rStyle w:val="CharDivText"/>
        </w:rPr>
        <w:t>Amendment of redevelopment scheme</w:t>
      </w:r>
      <w:bookmarkEnd w:id="91"/>
      <w:bookmarkEnd w:id="92"/>
    </w:p>
    <w:p>
      <w:pPr>
        <w:pStyle w:val="Heading5"/>
        <w:rPr>
          <w:snapToGrid w:val="0"/>
        </w:rPr>
      </w:pPr>
      <w:bookmarkStart w:id="93" w:name="_Toc379203102"/>
      <w:bookmarkStart w:id="94" w:name="_Toc426029665"/>
      <w:r>
        <w:rPr>
          <w:rStyle w:val="CharSectno"/>
        </w:rPr>
        <w:t>38</w:t>
      </w:r>
      <w:r>
        <w:rPr>
          <w:snapToGrid w:val="0"/>
        </w:rPr>
        <w:t>.</w:t>
      </w:r>
      <w:r>
        <w:rPr>
          <w:snapToGrid w:val="0"/>
        </w:rPr>
        <w:tab/>
        <w:t>Amending a scheme</w:t>
      </w:r>
      <w:bookmarkEnd w:id="93"/>
      <w:bookmarkEnd w:id="94"/>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is to submit any proposed amendment to the Minister.</w:t>
      </w:r>
    </w:p>
    <w:p>
      <w:pPr>
        <w:pStyle w:val="Subsection"/>
        <w:keepNext/>
        <w:rPr>
          <w:snapToGrid w:val="0"/>
        </w:rPr>
      </w:pPr>
      <w:r>
        <w:rPr>
          <w:snapToGrid w:val="0"/>
        </w:rPr>
        <w:tab/>
        <w:t>(3)</w:t>
      </w:r>
      <w:r>
        <w:rPr>
          <w:snapToGrid w:val="0"/>
        </w:rPr>
        <w:tab/>
        <w:t>The following provisions apply for the purposes of this section, with all necessary changes —</w:t>
      </w:r>
    </w:p>
    <w:p>
      <w:pPr>
        <w:pStyle w:val="Indenta"/>
        <w:rPr>
          <w:snapToGrid w:val="0"/>
        </w:rPr>
      </w:pPr>
      <w:r>
        <w:rPr>
          <w:snapToGrid w:val="0"/>
        </w:rPr>
        <w:tab/>
        <w:t>(a)</w:t>
      </w:r>
      <w:r>
        <w:rPr>
          <w:snapToGrid w:val="0"/>
        </w:rPr>
        <w:tab/>
        <w:t>sections 33(3) and (4), 34 and 36, as if references in those sections to a, or the, proposed redevelopment scheme were references to the proposed amendment to the redevelopment scheme; and</w:t>
      </w:r>
    </w:p>
    <w:p>
      <w:pPr>
        <w:pStyle w:val="Indenta"/>
        <w:rPr>
          <w:snapToGrid w:val="0"/>
        </w:rPr>
      </w:pPr>
      <w:r>
        <w:rPr>
          <w:snapToGrid w:val="0"/>
        </w:rPr>
        <w:tab/>
        <w:t>(b)</w:t>
      </w:r>
      <w:r>
        <w:rPr>
          <w:snapToGrid w:val="0"/>
        </w:rPr>
        <w:tab/>
        <w:t>section 33(5) and (6), as if, in section 33(5) —</w:t>
      </w:r>
    </w:p>
    <w:p>
      <w:pPr>
        <w:pStyle w:val="Indenti"/>
        <w:rPr>
          <w:snapToGrid w:val="0"/>
        </w:rPr>
      </w:pPr>
      <w:r>
        <w:rPr>
          <w:snapToGrid w:val="0"/>
        </w:rPr>
        <w:tab/>
        <w:t>(i)</w:t>
      </w:r>
      <w:r>
        <w:rPr>
          <w:snapToGrid w:val="0"/>
        </w:rPr>
        <w:tab/>
        <w:t>the reference to a proposed redevelopment scheme were a reference to the proposed amendment to the redevelopment scheme; and</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“is to give”;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section 35, as if the reference in that section —</w:t>
      </w:r>
    </w:p>
    <w:p>
      <w:pPr>
        <w:pStyle w:val="Indenti"/>
        <w:rPr>
          <w:snapToGrid w:val="0"/>
        </w:rPr>
      </w:pPr>
      <w:r>
        <w:rPr>
          <w:snapToGrid w:val="0"/>
        </w:rPr>
        <w:tab/>
        <w:t>(i)</w:t>
      </w:r>
      <w:r>
        <w:rPr>
          <w:snapToGrid w:val="0"/>
        </w:rPr>
        <w:tab/>
        <w:t>to the proposed redevelopment scheme were a reference to a proposed amendment to the redevelopment scheme; and</w:t>
      </w:r>
    </w:p>
    <w:p>
      <w:pPr>
        <w:pStyle w:val="Indenti"/>
        <w:rPr>
          <w:snapToGrid w:val="0"/>
        </w:rPr>
      </w:pPr>
      <w:r>
        <w:rPr>
          <w:snapToGrid w:val="0"/>
        </w:rPr>
        <w:tab/>
        <w:t>(ii)</w:t>
      </w:r>
      <w:r>
        <w:rPr>
          <w:snapToGrid w:val="0"/>
        </w:rPr>
        <w:tab/>
        <w:t>in subsection (1)(a),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37, as if references in that section to a redevelopment scheme were references to the amendment to a redevelopment scheme.</w:t>
      </w:r>
    </w:p>
    <w:p>
      <w:pPr>
        <w:pStyle w:val="Heading5"/>
        <w:rPr>
          <w:snapToGrid w:val="0"/>
        </w:rPr>
      </w:pPr>
      <w:bookmarkStart w:id="95" w:name="_Toc379203103"/>
      <w:bookmarkStart w:id="96" w:name="_Toc426029666"/>
      <w:r>
        <w:rPr>
          <w:rStyle w:val="CharSectno"/>
        </w:rPr>
        <w:t>39</w:t>
      </w:r>
      <w:r>
        <w:rPr>
          <w:snapToGrid w:val="0"/>
        </w:rPr>
        <w:t>.</w:t>
      </w:r>
      <w:r>
        <w:rPr>
          <w:snapToGrid w:val="0"/>
        </w:rPr>
        <w:tab/>
        <w:t>Saving</w:t>
      </w:r>
      <w:bookmarkEnd w:id="95"/>
      <w:bookmarkEnd w:id="96"/>
    </w:p>
    <w:p>
      <w:pPr>
        <w:pStyle w:val="Subsection"/>
        <w:rPr>
          <w:snapToGrid w:val="0"/>
        </w:rPr>
      </w:pPr>
      <w:r>
        <w:rPr>
          <w:snapToGrid w:val="0"/>
        </w:rPr>
        <w:tab/>
      </w:r>
      <w:r>
        <w:rPr>
          <w:snapToGrid w:val="0"/>
        </w:rPr>
        <w:tab/>
        <w:t>A development in respect of which an approval under section 50 is in force immediately before an amendment to a redevelopment scheme comes into force under section 38 may be lawfully carried out as if the amendment had not been made.</w:t>
      </w:r>
    </w:p>
    <w:p>
      <w:pPr>
        <w:pStyle w:val="Heading3"/>
      </w:pPr>
      <w:bookmarkStart w:id="97" w:name="_Toc379203104"/>
      <w:bookmarkStart w:id="98" w:name="_Toc426029667"/>
      <w:r>
        <w:rPr>
          <w:rStyle w:val="CharDivNo"/>
        </w:rPr>
        <w:t>Division 4</w:t>
      </w:r>
      <w:r>
        <w:rPr>
          <w:snapToGrid w:val="0"/>
        </w:rPr>
        <w:t> — </w:t>
      </w:r>
      <w:r>
        <w:rPr>
          <w:rStyle w:val="CharDivText"/>
        </w:rPr>
        <w:t>Role of Environmental Protection Authority in respect of redevelopment schemes, etc.</w:t>
      </w:r>
      <w:bookmarkEnd w:id="97"/>
      <w:bookmarkEnd w:id="98"/>
    </w:p>
    <w:p>
      <w:pPr>
        <w:pStyle w:val="Heading5"/>
        <w:rPr>
          <w:snapToGrid w:val="0"/>
        </w:rPr>
      </w:pPr>
      <w:bookmarkStart w:id="99" w:name="_Toc379203105"/>
      <w:bookmarkStart w:id="100" w:name="_Toc426029668"/>
      <w:r>
        <w:rPr>
          <w:rStyle w:val="CharSectno"/>
        </w:rPr>
        <w:t>40</w:t>
      </w:r>
      <w:r>
        <w:rPr>
          <w:snapToGrid w:val="0"/>
        </w:rPr>
        <w:t>.</w:t>
      </w:r>
      <w:r>
        <w:rPr>
          <w:snapToGrid w:val="0"/>
        </w:rPr>
        <w:tab/>
        <w:t>Reference of proposed schemes, and proposed amendments to schemes, to EPA</w:t>
      </w:r>
      <w:bookmarkEnd w:id="99"/>
      <w:bookmarkEnd w:id="100"/>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w:t>
      </w:r>
    </w:p>
    <w:p>
      <w:pPr>
        <w:pStyle w:val="Indenta"/>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[Section 40 inserted by No. 23 of 1996 s. 39.]</w:t>
      </w:r>
    </w:p>
    <w:p>
      <w:pPr>
        <w:pStyle w:val="Heading5"/>
        <w:rPr>
          <w:snapToGrid w:val="0"/>
        </w:rPr>
      </w:pPr>
      <w:bookmarkStart w:id="101" w:name="_Toc379203106"/>
      <w:bookmarkStart w:id="102" w:name="_Toc426029669"/>
      <w:r>
        <w:rPr>
          <w:rStyle w:val="CharSectno"/>
        </w:rPr>
        <w:t>41</w:t>
      </w:r>
      <w:r>
        <w:rPr>
          <w:snapToGrid w:val="0"/>
        </w:rPr>
        <w:t>.</w:t>
      </w:r>
      <w:r>
        <w:rPr>
          <w:snapToGrid w:val="0"/>
        </w:rPr>
        <w:tab/>
        <w:t>Prerequisite to submission of proposed schemes, and proposed amendments, to Minister for approval before public notification</w:t>
      </w:r>
      <w:bookmarkEnd w:id="101"/>
      <w:bookmarkEnd w:id="102"/>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consent to public notification under section 33, or section 38 as read with section 33, as the case requires, until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that review has been undertaken in accordance with those instructions.</w:t>
      </w:r>
    </w:p>
    <w:p>
      <w:pPr>
        <w:pStyle w:val="Subsection"/>
        <w:rPr>
          <w:snapToGrid w:val="0"/>
        </w:rPr>
      </w:pPr>
      <w:r>
        <w:rPr>
          <w:snapToGrid w:val="0"/>
        </w:rPr>
        <w:tab/>
        <w:t>(3)</w:t>
      </w:r>
      <w:r>
        <w:rPr>
          <w:snapToGrid w:val="0"/>
        </w:rPr>
        <w:tab/>
        <w:t>If the Minister, having complied with a request under subsection (2), and the Minister for the Environment —</w:t>
      </w:r>
    </w:p>
    <w:p>
      <w:pPr>
        <w:pStyle w:val="Indenta"/>
        <w:rPr>
          <w:snapToGrid w:val="0"/>
        </w:rPr>
      </w:pPr>
      <w:r>
        <w:rPr>
          <w:snapToGrid w:val="0"/>
        </w:rPr>
        <w:tab/>
        <w:t>(a)</w:t>
      </w:r>
      <w:r>
        <w:rPr>
          <w:snapToGrid w:val="0"/>
        </w:rPr>
        <w:tab/>
        <w:t>agree on whether or not the review has been undertaken in accordance with the relevant instructions, their decision is to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[Section 41 inserted by No. 23 of 1996 s. 39.]</w:t>
      </w:r>
    </w:p>
    <w:p>
      <w:pPr>
        <w:pStyle w:val="Heading5"/>
        <w:rPr>
          <w:snapToGrid w:val="0"/>
        </w:rPr>
      </w:pPr>
      <w:bookmarkStart w:id="103" w:name="_Toc379203107"/>
      <w:bookmarkStart w:id="104" w:name="_Toc426029670"/>
      <w:r>
        <w:rPr>
          <w:rStyle w:val="CharSectno"/>
        </w:rPr>
        <w:t>42</w:t>
      </w:r>
      <w:r>
        <w:rPr>
          <w:snapToGrid w:val="0"/>
        </w:rPr>
        <w:t>.</w:t>
      </w:r>
      <w:r>
        <w:rPr>
          <w:snapToGrid w:val="0"/>
        </w:rPr>
        <w:tab/>
        <w:t>Authority’s duties as to environmental issues</w:t>
      </w:r>
      <w:bookmarkEnd w:id="103"/>
      <w:bookmarkEnd w:id="104"/>
    </w:p>
    <w:p>
      <w:pPr>
        <w:pStyle w:val="Subsection"/>
        <w:keepNext/>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w:t>
      </w:r>
    </w:p>
    <w:p>
      <w:pPr>
        <w:pStyle w:val="Indenta"/>
        <w:rPr>
          <w:snapToGrid w:val="0"/>
        </w:rPr>
      </w:pPr>
      <w:r>
        <w:rPr>
          <w:snapToGrid w:val="0"/>
        </w:rPr>
        <w:tab/>
        <w:t>(a)</w:t>
      </w:r>
      <w:r>
        <w:rPr>
          <w:snapToGrid w:val="0"/>
        </w:rPr>
        <w:tab/>
        <w:t>as soon as practicable, but in any event within 7 days after the expiry of the period referred to in section 35(1)(a), or section 38 as read with section 35(1)(a), as the case requires, transmit to the EPA a copy of each submission —</w:t>
      </w:r>
    </w:p>
    <w:p>
      <w:pPr>
        <w:pStyle w:val="Indenti"/>
        <w:rPr>
          <w:snapToGrid w:val="0"/>
        </w:rPr>
      </w:pPr>
      <w:r>
        <w:rPr>
          <w:snapToGrid w:val="0"/>
        </w:rPr>
        <w:tab/>
        <w:t>(i)</w:t>
      </w:r>
      <w:r>
        <w:rPr>
          <w:snapToGrid w:val="0"/>
        </w:rPr>
        <w:tab/>
        <w:t>made under section 35, or under section 38 as read with section 35,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35(1)(a), or section 38 as read with section 35(1)(a), as the case requires, inform the EPA of its views on and response to the environmental issues raised by submissions referred to in paragraph (a) and received within that period.</w:t>
      </w:r>
    </w:p>
    <w:p>
      <w:pPr>
        <w:pStyle w:val="Footnotesection"/>
      </w:pPr>
      <w:r>
        <w:tab/>
        <w:t>[Section 42 inserted by No. 23 of 1996 s. 39.]</w:t>
      </w:r>
    </w:p>
    <w:p>
      <w:pPr>
        <w:pStyle w:val="Heading5"/>
        <w:rPr>
          <w:snapToGrid w:val="0"/>
        </w:rPr>
      </w:pPr>
      <w:bookmarkStart w:id="105" w:name="_Toc379203108"/>
      <w:bookmarkStart w:id="106" w:name="_Toc426029671"/>
      <w:r>
        <w:rPr>
          <w:rStyle w:val="CharSectno"/>
        </w:rPr>
        <w:t>42A</w:t>
      </w:r>
      <w:r>
        <w:rPr>
          <w:snapToGrid w:val="0"/>
        </w:rPr>
        <w:t>.</w:t>
      </w:r>
      <w:r>
        <w:rPr>
          <w:snapToGrid w:val="0"/>
        </w:rPr>
        <w:tab/>
        <w:t>Prerequisite to final approval by Minister of proposed schemes and proposed amendments</w:t>
      </w:r>
      <w:bookmarkEnd w:id="105"/>
      <w:bookmarkEnd w:id="106"/>
    </w:p>
    <w:p>
      <w:pPr>
        <w:pStyle w:val="Subsection"/>
        <w:spacing w:before="120"/>
        <w:rPr>
          <w:snapToGrid w:val="0"/>
        </w:rPr>
      </w:pPr>
      <w:r>
        <w:rPr>
          <w:snapToGrid w:val="0"/>
        </w:rPr>
        <w:tab/>
      </w:r>
      <w:r>
        <w:rPr>
          <w:snapToGrid w:val="0"/>
        </w:rPr>
        <w:tab/>
        <w:t>The Minister shall not approve under section 36, or section 38 as read with section 36, a proposed redevelopment scheme or amendment referred to the EPA under section 40 if he or she has reached agreement with the Minister for the Environment under section 48A(2)(b) of the EP Act, or until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 or</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[Section 42A inserted by No. 23 of 1996 s. 39.]</w:t>
      </w:r>
    </w:p>
    <w:p>
      <w:pPr>
        <w:pStyle w:val="Heading2"/>
      </w:pPr>
      <w:bookmarkStart w:id="107" w:name="_Toc379203109"/>
      <w:bookmarkStart w:id="108" w:name="_Toc426029672"/>
      <w:r>
        <w:rPr>
          <w:rStyle w:val="CharPartNo"/>
        </w:rPr>
        <w:t>Part 5</w:t>
      </w:r>
      <w:r>
        <w:rPr>
          <w:rStyle w:val="CharDivNo"/>
        </w:rPr>
        <w:t> </w:t>
      </w:r>
      <w:r>
        <w:t>—</w:t>
      </w:r>
      <w:r>
        <w:rPr>
          <w:rStyle w:val="CharDivText"/>
        </w:rPr>
        <w:t> </w:t>
      </w:r>
      <w:r>
        <w:rPr>
          <w:rStyle w:val="CharPartText"/>
        </w:rPr>
        <w:t>Development control</w:t>
      </w:r>
      <w:bookmarkEnd w:id="107"/>
      <w:bookmarkEnd w:id="108"/>
    </w:p>
    <w:p>
      <w:pPr>
        <w:pStyle w:val="Heading5"/>
        <w:rPr>
          <w:snapToGrid w:val="0"/>
        </w:rPr>
      </w:pPr>
      <w:bookmarkStart w:id="109" w:name="_Toc379203110"/>
      <w:bookmarkStart w:id="110" w:name="_Toc426029673"/>
      <w:r>
        <w:rPr>
          <w:rStyle w:val="CharSectno"/>
        </w:rPr>
        <w:t>43</w:t>
      </w:r>
      <w:r>
        <w:rPr>
          <w:snapToGrid w:val="0"/>
        </w:rPr>
        <w:t>.</w:t>
      </w:r>
      <w:r>
        <w:rPr>
          <w:snapToGrid w:val="0"/>
        </w:rPr>
        <w:tab/>
        <w:t>Term used: appointed day</w:t>
      </w:r>
      <w:bookmarkEnd w:id="109"/>
      <w:bookmarkEnd w:id="110"/>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37(2).</w:t>
      </w:r>
    </w:p>
    <w:p>
      <w:pPr>
        <w:pStyle w:val="Heading5"/>
        <w:rPr>
          <w:snapToGrid w:val="0"/>
        </w:rPr>
      </w:pPr>
      <w:bookmarkStart w:id="111" w:name="_Toc379203111"/>
      <w:bookmarkStart w:id="112" w:name="_Toc426029674"/>
      <w:r>
        <w:rPr>
          <w:rStyle w:val="CharSectno"/>
        </w:rPr>
        <w:t>44</w:t>
      </w:r>
      <w:r>
        <w:rPr>
          <w:snapToGrid w:val="0"/>
        </w:rPr>
        <w:t>.</w:t>
      </w:r>
      <w:r>
        <w:rPr>
          <w:snapToGrid w:val="0"/>
        </w:rPr>
        <w:tab/>
        <w:t>Crown bound</w:t>
      </w:r>
      <w:bookmarkEnd w:id="111"/>
      <w:bookmarkEnd w:id="112"/>
    </w:p>
    <w:p>
      <w:pPr>
        <w:pStyle w:val="Subsection"/>
        <w:rPr>
          <w:snapToGrid w:val="0"/>
        </w:rPr>
      </w:pPr>
      <w:r>
        <w:rPr>
          <w:snapToGrid w:val="0"/>
        </w:rPr>
        <w:tab/>
      </w:r>
      <w:r>
        <w:rPr>
          <w:snapToGrid w:val="0"/>
        </w:rPr>
        <w:tab/>
        <w:t>This Part binds the Crown.</w:t>
      </w:r>
    </w:p>
    <w:p>
      <w:pPr>
        <w:pStyle w:val="Heading5"/>
        <w:rPr>
          <w:snapToGrid w:val="0"/>
        </w:rPr>
      </w:pPr>
      <w:bookmarkStart w:id="113" w:name="_Toc379203112"/>
      <w:bookmarkStart w:id="114" w:name="_Toc426029675"/>
      <w:r>
        <w:rPr>
          <w:rStyle w:val="CharSectno"/>
        </w:rPr>
        <w:t>45</w:t>
      </w:r>
      <w:r>
        <w:rPr>
          <w:snapToGrid w:val="0"/>
        </w:rPr>
        <w:t>.</w:t>
      </w:r>
      <w:r>
        <w:rPr>
          <w:snapToGrid w:val="0"/>
        </w:rPr>
        <w:tab/>
        <w:t>Certain planning schemes cease to apply</w:t>
      </w:r>
      <w:bookmarkEnd w:id="113"/>
      <w:bookmarkEnd w:id="114"/>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commences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w:t>
      </w:r>
    </w:p>
    <w:p>
      <w:pPr>
        <w:pStyle w:val="Indenta"/>
        <w:rPr>
          <w:snapToGrid w:val="0"/>
        </w:rPr>
      </w:pPr>
      <w:r>
        <w:rPr>
          <w:snapToGrid w:val="0"/>
        </w:rPr>
        <w:tab/>
        <w:t>(a)</w:t>
      </w:r>
      <w:r>
        <w:rPr>
          <w:snapToGrid w:val="0"/>
        </w:rPr>
        <w:tab/>
        <w:t>any town planning scheme under the Town Planning Act that is in operation in the redevelopment area immediately before the appointed day; and</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45 amended by No. 38 of 2005 s. 15; No. 28 of 2010 s. 38(3).]</w:t>
      </w:r>
    </w:p>
    <w:p>
      <w:pPr>
        <w:pStyle w:val="Heading5"/>
        <w:rPr>
          <w:snapToGrid w:val="0"/>
        </w:rPr>
      </w:pPr>
      <w:bookmarkStart w:id="115" w:name="_Toc379203113"/>
      <w:bookmarkStart w:id="116" w:name="_Toc426029676"/>
      <w:r>
        <w:rPr>
          <w:rStyle w:val="CharSectno"/>
        </w:rPr>
        <w:t>46</w:t>
      </w:r>
      <w:r>
        <w:rPr>
          <w:snapToGrid w:val="0"/>
        </w:rPr>
        <w:t>.</w:t>
      </w:r>
      <w:r>
        <w:rPr>
          <w:snapToGrid w:val="0"/>
        </w:rPr>
        <w:tab/>
        <w:t>Saving</w:t>
      </w:r>
      <w:bookmarkEnd w:id="115"/>
      <w:bookmarkEnd w:id="116"/>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45(3) were in force immediately before the appointed day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is to be governed by those schemes despite section 45(1).</w:t>
      </w:r>
    </w:p>
    <w:p>
      <w:pPr>
        <w:pStyle w:val="Heading5"/>
        <w:rPr>
          <w:snapToGrid w:val="0"/>
        </w:rPr>
      </w:pPr>
      <w:bookmarkStart w:id="117" w:name="_Toc379203114"/>
      <w:bookmarkStart w:id="118" w:name="_Toc426029677"/>
      <w:r>
        <w:rPr>
          <w:rStyle w:val="CharSectno"/>
        </w:rPr>
        <w:t>47</w:t>
      </w:r>
      <w:r>
        <w:rPr>
          <w:snapToGrid w:val="0"/>
        </w:rPr>
        <w:t>.</w:t>
      </w:r>
      <w:r>
        <w:rPr>
          <w:snapToGrid w:val="0"/>
        </w:rPr>
        <w:tab/>
        <w:t>No development without approval</w:t>
      </w:r>
      <w:bookmarkEnd w:id="117"/>
      <w:bookmarkEnd w:id="118"/>
    </w:p>
    <w:p>
      <w:pPr>
        <w:pStyle w:val="Subsection"/>
        <w:rPr>
          <w:snapToGrid w:val="0"/>
        </w:rPr>
      </w:pPr>
      <w:r>
        <w:rPr>
          <w:snapToGrid w:val="0"/>
        </w:rPr>
        <w:tab/>
        <w:t>(1)</w:t>
      </w:r>
      <w:r>
        <w:rPr>
          <w:snapToGrid w:val="0"/>
        </w:rP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The requirements of subsection (1) extend to the Authority.</w:t>
      </w:r>
    </w:p>
    <w:p>
      <w:pPr>
        <w:pStyle w:val="Subsection"/>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Heading5"/>
        <w:rPr>
          <w:snapToGrid w:val="0"/>
        </w:rPr>
      </w:pPr>
      <w:bookmarkStart w:id="119" w:name="_Toc379203115"/>
      <w:bookmarkStart w:id="120" w:name="_Toc426029678"/>
      <w:r>
        <w:rPr>
          <w:rStyle w:val="CharSectno"/>
        </w:rPr>
        <w:t>48</w:t>
      </w:r>
      <w:r>
        <w:rPr>
          <w:snapToGrid w:val="0"/>
        </w:rPr>
        <w:t>.</w:t>
      </w:r>
      <w:r>
        <w:rPr>
          <w:snapToGrid w:val="0"/>
        </w:rPr>
        <w:tab/>
        <w:t>Applying for development approval</w:t>
      </w:r>
      <w:bookmarkEnd w:id="119"/>
      <w:bookmarkEnd w:id="120"/>
    </w:p>
    <w:p>
      <w:pPr>
        <w:pStyle w:val="Subsection"/>
        <w:rPr>
          <w:snapToGrid w:val="0"/>
        </w:rPr>
      </w:pPr>
      <w:r>
        <w:rPr>
          <w:snapToGrid w:val="0"/>
        </w:rPr>
        <w:tab/>
        <w:t>(1)</w:t>
      </w:r>
      <w:r>
        <w:rPr>
          <w:snapToGrid w:val="0"/>
        </w:rPr>
        <w:tab/>
        <w:t>An application for approval under section 47 is to be made to the Authority in the prescribed form with the prescribed fee.</w:t>
      </w:r>
    </w:p>
    <w:p>
      <w:pPr>
        <w:pStyle w:val="Subsection"/>
        <w:rPr>
          <w:snapToGrid w:val="0"/>
        </w:rPr>
      </w:pPr>
      <w:r>
        <w:rPr>
          <w:snapToGrid w:val="0"/>
        </w:rPr>
        <w:tab/>
        <w:t>(2)</w:t>
      </w:r>
      <w:r>
        <w:rPr>
          <w:snapToGrid w:val="0"/>
        </w:rP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rPr>
          <w:snapToGrid w:val="0"/>
        </w:rPr>
      </w:pPr>
      <w:bookmarkStart w:id="121" w:name="_Toc379203116"/>
      <w:bookmarkStart w:id="122" w:name="_Toc426029679"/>
      <w:r>
        <w:rPr>
          <w:rStyle w:val="CharSectno"/>
        </w:rPr>
        <w:t>49</w:t>
      </w:r>
      <w:r>
        <w:rPr>
          <w:snapToGrid w:val="0"/>
        </w:rPr>
        <w:t>.</w:t>
      </w:r>
      <w:r>
        <w:rPr>
          <w:snapToGrid w:val="0"/>
        </w:rPr>
        <w:tab/>
        <w:t>Other authorities to be consulted about proposed development</w:t>
      </w:r>
      <w:bookmarkEnd w:id="121"/>
      <w:bookmarkEnd w:id="122"/>
    </w:p>
    <w:p>
      <w:pPr>
        <w:pStyle w:val="Subsection"/>
        <w:rPr>
          <w:snapToGrid w:val="0"/>
        </w:rPr>
      </w:pPr>
      <w:r>
        <w:rPr>
          <w:snapToGrid w:val="0"/>
        </w:rPr>
        <w:tab/>
        <w:t>(1)</w:t>
      </w:r>
      <w:r>
        <w:rPr>
          <w:snapToGrid w:val="0"/>
        </w:rPr>
        <w:tab/>
        <w:t>The Authority is to refer, by notice in writing, particulars of the proposed development —</w:t>
      </w:r>
    </w:p>
    <w:p>
      <w:pPr>
        <w:pStyle w:val="Indenta"/>
        <w:rPr>
          <w:snapToGrid w:val="0"/>
        </w:rPr>
      </w:pPr>
      <w:r>
        <w:rPr>
          <w:snapToGrid w:val="0"/>
        </w:rPr>
        <w:tab/>
        <w:t>(a)</w:t>
      </w:r>
      <w:r>
        <w:rPr>
          <w:snapToGrid w:val="0"/>
        </w:rPr>
        <w:tab/>
        <w:t>to 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City">
        <w:r>
          <w:rPr>
            <w:snapToGrid w:val="0"/>
          </w:rPr>
          <w:t>Subiaco</w:t>
        </w:r>
      </w:smartTag>
      <w:r>
        <w:rPr>
          <w:snapToGrid w:val="0"/>
        </w:rPr>
        <w:t xml:space="preserve"> and the Town of </w:t>
      </w:r>
      <w:smartTag w:uri="urn:schemas-microsoft-com:office:smarttags" w:element="place">
        <w:smartTag w:uri="urn:schemas-microsoft-com:office:smarttags" w:element="City">
          <w:r>
            <w:rPr>
              <w:snapToGrid w:val="0"/>
            </w:rPr>
            <w:t>Cambridge</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City">
        <w:r>
          <w:rPr>
            <w:snapToGrid w:val="0"/>
          </w:rPr>
          <w:t>Subiaco</w:t>
        </w:r>
      </w:smartTag>
      <w:r>
        <w:rPr>
          <w:snapToGrid w:val="0"/>
        </w:rPr>
        <w:t xml:space="preserve"> and the Town of </w:t>
      </w:r>
      <w:smartTag w:uri="urn:schemas-microsoft-com:office:smarttags" w:element="place">
        <w:smartTag w:uri="urn:schemas-microsoft-com:office:smarttags" w:element="City">
          <w:r>
            <w:rPr>
              <w:snapToGrid w:val="0"/>
            </w:rPr>
            <w:t>Cambridge</w:t>
          </w:r>
        </w:smartTag>
      </w:smartTag>
      <w:r>
        <w:rPr>
          <w:snapToGrid w:val="0"/>
        </w:rPr>
        <w:t xml:space="preserve"> and a public authority to which particulars are referred under subsection (1) may make submissions on the proposed development to the Authority.</w:t>
      </w:r>
    </w:p>
    <w:p>
      <w:pPr>
        <w:pStyle w:val="Subsection"/>
        <w:rPr>
          <w:snapToGrid w:val="0"/>
        </w:rPr>
      </w:pPr>
      <w:r>
        <w:rPr>
          <w:snapToGrid w:val="0"/>
        </w:rPr>
        <w:tab/>
        <w:t>(3)</w:t>
      </w:r>
      <w:r>
        <w:rPr>
          <w:snapToGrid w:val="0"/>
        </w:rPr>
        <w:tab/>
        <w:t>The Authority is not to make a decision under section 50 on the proposed development until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spacing w:before="120"/>
        <w:rPr>
          <w:snapToGrid w:val="0"/>
        </w:rPr>
      </w:pPr>
      <w:r>
        <w:rPr>
          <w:snapToGrid w:val="0"/>
        </w:rPr>
        <w:tab/>
      </w:r>
      <w:r>
        <w:rPr>
          <w:snapToGrid w:val="0"/>
        </w:rPr>
        <w:tab/>
        <w:t>whichever is the sooner.</w:t>
      </w:r>
    </w:p>
    <w:p>
      <w:pPr>
        <w:pStyle w:val="Footnotesection"/>
      </w:pPr>
      <w:r>
        <w:tab/>
        <w:t>[Section 49 amended by No. 14 of 1996 s. 4.]</w:t>
      </w:r>
    </w:p>
    <w:p>
      <w:pPr>
        <w:pStyle w:val="Heading5"/>
        <w:rPr>
          <w:snapToGrid w:val="0"/>
        </w:rPr>
      </w:pPr>
      <w:bookmarkStart w:id="123" w:name="_Toc379203117"/>
      <w:bookmarkStart w:id="124" w:name="_Toc426029680"/>
      <w:r>
        <w:rPr>
          <w:rStyle w:val="CharSectno"/>
        </w:rPr>
        <w:t>50</w:t>
      </w:r>
      <w:r>
        <w:rPr>
          <w:snapToGrid w:val="0"/>
        </w:rPr>
        <w:t>.</w:t>
      </w:r>
      <w:r>
        <w:rPr>
          <w:snapToGrid w:val="0"/>
        </w:rPr>
        <w:tab/>
        <w:t>Authority’s decision as to proposed development</w:t>
      </w:r>
      <w:bookmarkEnd w:id="123"/>
      <w:bookmarkEnd w:id="124"/>
    </w:p>
    <w:p>
      <w:pPr>
        <w:pStyle w:val="Subsection"/>
        <w:rPr>
          <w:snapToGrid w:val="0"/>
        </w:rPr>
      </w:pPr>
      <w:r>
        <w:rPr>
          <w:snapToGrid w:val="0"/>
        </w:rPr>
        <w:tab/>
        <w:t>(1)</w:t>
      </w:r>
      <w:r>
        <w:rPr>
          <w:snapToGrid w:val="0"/>
        </w:rPr>
        <w:tab/>
        <w:t>The Authority may grant or refuse to grant approval of the proposed development having regard to —</w:t>
      </w:r>
    </w:p>
    <w:p>
      <w:pPr>
        <w:pStyle w:val="Indenta"/>
        <w:rPr>
          <w:snapToGrid w:val="0"/>
        </w:rPr>
      </w:pPr>
      <w:r>
        <w:rPr>
          <w:snapToGrid w:val="0"/>
        </w:rPr>
        <w:tab/>
        <w:t>(a)</w:t>
      </w:r>
      <w:r>
        <w:rPr>
          <w:snapToGrid w:val="0"/>
        </w:rPr>
        <w:tab/>
        <w:t>the redevelopment scheme; and</w:t>
      </w:r>
    </w:p>
    <w:p>
      <w:pPr>
        <w:pStyle w:val="Indenta"/>
        <w:rPr>
          <w:snapToGrid w:val="0"/>
        </w:rPr>
      </w:pPr>
      <w:r>
        <w:rPr>
          <w:snapToGrid w:val="0"/>
        </w:rPr>
        <w:tab/>
        <w:t>(b)</w:t>
      </w:r>
      <w:r>
        <w:rPr>
          <w:snapToGrid w:val="0"/>
        </w:rPr>
        <w:tab/>
        <w:t>consultations under section 49; and</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is to cause notice in writing of its decision to be given to the applicant, the City of Subiaco and the Town of Cambridge and each public authority to which notice was given under section 49(1)(a).</w:t>
      </w:r>
    </w:p>
    <w:p>
      <w:pPr>
        <w:pStyle w:val="Footnotesection"/>
      </w:pPr>
      <w:r>
        <w:tab/>
        <w:t>[Section 50 amended by No. 14 of 1996 s. 4.]</w:t>
      </w:r>
    </w:p>
    <w:p>
      <w:pPr>
        <w:pStyle w:val="Heading5"/>
        <w:rPr>
          <w:snapToGrid w:val="0"/>
        </w:rPr>
      </w:pPr>
      <w:bookmarkStart w:id="125" w:name="_Toc379203118"/>
      <w:bookmarkStart w:id="126" w:name="_Toc426029681"/>
      <w:r>
        <w:rPr>
          <w:rStyle w:val="CharSectno"/>
        </w:rPr>
        <w:t>51</w:t>
      </w:r>
      <w:r>
        <w:rPr>
          <w:snapToGrid w:val="0"/>
        </w:rPr>
        <w:t>.</w:t>
      </w:r>
      <w:r>
        <w:rPr>
          <w:snapToGrid w:val="0"/>
        </w:rPr>
        <w:tab/>
        <w:t>Certain applications to be referred to Minister</w:t>
      </w:r>
      <w:bookmarkEnd w:id="125"/>
      <w:bookmarkEnd w:id="126"/>
    </w:p>
    <w:p>
      <w:pPr>
        <w:pStyle w:val="Subsection"/>
        <w:rPr>
          <w:snapToGrid w:val="0"/>
        </w:rPr>
      </w:pPr>
      <w:r>
        <w:rPr>
          <w:snapToGrid w:val="0"/>
        </w:rPr>
        <w:tab/>
        <w:t>(1)</w:t>
      </w:r>
      <w:r>
        <w:rPr>
          <w:snapToGrid w:val="0"/>
        </w:rPr>
        <w:tab/>
        <w:t>If the Authority is the applicant, or has a financial interest in the subject</w:t>
      </w:r>
      <w:r>
        <w:rPr>
          <w:snapToGrid w:val="0"/>
        </w:rPr>
        <w:noBreakHyphen/>
        <w:t>matter of an application by reason of its participation in a business arrangement, within the meaning in section 21(8), the Authority is to consider the application in accordance with section 50(1) and refer the application and all relevant information to the Minister with a recommendation as to the decision to be made.</w:t>
      </w:r>
    </w:p>
    <w:p>
      <w:pPr>
        <w:pStyle w:val="Subsection"/>
        <w:rPr>
          <w:snapToGrid w:val="0"/>
          <w:spacing w:val="-4"/>
        </w:rPr>
      </w:pPr>
      <w:r>
        <w:rPr>
          <w:snapToGrid w:val="0"/>
          <w:spacing w:val="-4"/>
        </w:rPr>
        <w:tab/>
        <w:t>(2)</w:t>
      </w:r>
      <w:r>
        <w:rPr>
          <w:snapToGrid w:val="0"/>
          <w:spacing w:val="-4"/>
        </w:rPr>
        <w:tab/>
        <w:t>If an application is referred to the Minister under subsection (1) —</w:t>
      </w:r>
    </w:p>
    <w:p>
      <w:pPr>
        <w:pStyle w:val="Indenta"/>
        <w:rPr>
          <w:snapToGrid w:val="0"/>
        </w:rPr>
      </w:pPr>
      <w:r>
        <w:rPr>
          <w:snapToGrid w:val="0"/>
        </w:rPr>
        <w:tab/>
        <w:t>(a)</w:t>
      </w:r>
      <w:r>
        <w:rPr>
          <w:snapToGrid w:val="0"/>
        </w:rPr>
        <w:tab/>
        <w:t>the Minister is to perform the functions of the Authority under section 50; and</w:t>
      </w:r>
    </w:p>
    <w:p>
      <w:pPr>
        <w:pStyle w:val="Indenta"/>
        <w:rPr>
          <w:snapToGrid w:val="0"/>
        </w:rPr>
      </w:pPr>
      <w:r>
        <w:rPr>
          <w:snapToGrid w:val="0"/>
        </w:rPr>
        <w:tab/>
        <w:t>(b)</w:t>
      </w:r>
      <w:r>
        <w:rPr>
          <w:snapToGrid w:val="0"/>
        </w:rPr>
        <w:tab/>
        <w:t>for the purpose of that section and sections 41(9), 42, 47 and 52, references to the Authority are to be read as references to the Minister.</w:t>
      </w:r>
    </w:p>
    <w:p>
      <w:pPr>
        <w:pStyle w:val="Heading5"/>
        <w:rPr>
          <w:snapToGrid w:val="0"/>
        </w:rPr>
      </w:pPr>
      <w:bookmarkStart w:id="127" w:name="_Toc379203119"/>
      <w:bookmarkStart w:id="128" w:name="_Toc426029682"/>
      <w:r>
        <w:rPr>
          <w:rStyle w:val="CharSectno"/>
        </w:rPr>
        <w:t>52</w:t>
      </w:r>
      <w:r>
        <w:rPr>
          <w:snapToGrid w:val="0"/>
        </w:rPr>
        <w:t>.</w:t>
      </w:r>
      <w:r>
        <w:rPr>
          <w:snapToGrid w:val="0"/>
        </w:rPr>
        <w:tab/>
        <w:t>Review by SAT of s. 50 decisions</w:t>
      </w:r>
      <w:bookmarkEnd w:id="127"/>
      <w:bookmarkEnd w:id="128"/>
    </w:p>
    <w:p>
      <w:pPr>
        <w:pStyle w:val="Subsection"/>
        <w:rPr>
          <w:snapToGrid w:val="0"/>
        </w:rPr>
      </w:pPr>
      <w:r>
        <w:rPr>
          <w:snapToGrid w:val="0"/>
        </w:rPr>
        <w:tab/>
        <w:t>(1)</w:t>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50 in respect of the applicant’s application.</w:t>
      </w:r>
    </w:p>
    <w:p>
      <w:pPr>
        <w:pStyle w:val="Ednotesubsection"/>
        <w:ind w:left="0" w:firstLine="0"/>
      </w:pPr>
      <w:r>
        <w:tab/>
        <w:t>[(2)</w:t>
      </w:r>
      <w:r>
        <w:tab/>
        <w:t>deleted]</w:t>
      </w:r>
    </w:p>
    <w:p>
      <w:pPr>
        <w:pStyle w:val="Footnotesection"/>
      </w:pPr>
      <w:r>
        <w:tab/>
        <w:t>[Section 52 amended by No. 55 of 2003 s. 1160; No. 38 of 2005 s. 15.]</w:t>
      </w:r>
    </w:p>
    <w:p>
      <w:pPr>
        <w:pStyle w:val="Heading5"/>
        <w:rPr>
          <w:snapToGrid w:val="0"/>
        </w:rPr>
      </w:pPr>
      <w:bookmarkStart w:id="129" w:name="_Toc379203120"/>
      <w:bookmarkStart w:id="130" w:name="_Toc426029683"/>
      <w:r>
        <w:rPr>
          <w:rStyle w:val="CharSectno"/>
        </w:rPr>
        <w:t>53</w:t>
      </w:r>
      <w:r>
        <w:rPr>
          <w:snapToGrid w:val="0"/>
        </w:rPr>
        <w:t>.</w:t>
      </w:r>
      <w:r>
        <w:rPr>
          <w:snapToGrid w:val="0"/>
        </w:rPr>
        <w:tab/>
        <w:t>Liability of officers for offence committed by body corporate</w:t>
      </w:r>
      <w:bookmarkEnd w:id="129"/>
      <w:bookmarkEnd w:id="130"/>
    </w:p>
    <w:p>
      <w:pPr>
        <w:pStyle w:val="Subsection"/>
        <w:rPr>
          <w:snapToGrid w:val="0"/>
        </w:rPr>
      </w:pPr>
      <w:r>
        <w:rPr>
          <w:snapToGrid w:val="0"/>
        </w:rPr>
        <w:tab/>
        <w:t>(1)</w:t>
      </w:r>
      <w:r>
        <w:rPr>
          <w:snapToGrid w:val="0"/>
        </w:rPr>
        <w:tab/>
        <w:t>If a body corporate is guilty of an offence against section 47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spacing w:val="-4"/>
        </w:rPr>
      </w:pPr>
      <w:r>
        <w:rPr>
          <w:snapToGrid w:val="0"/>
          <w:spacing w:val="-4"/>
        </w:rPr>
        <w:tab/>
        <w:t>(b)</w:t>
      </w:r>
      <w:r>
        <w:rPr>
          <w:snapToGrid w:val="0"/>
          <w:spacing w:val="-4"/>
        </w:rP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offence.</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in relation to a body corporate, means —</w:t>
      </w:r>
    </w:p>
    <w:p>
      <w:pPr>
        <w:pStyle w:val="Indenta"/>
        <w:rPr>
          <w:snapToGrid w:val="0"/>
        </w:rPr>
      </w:pPr>
      <w:r>
        <w:rPr>
          <w:snapToGrid w:val="0"/>
        </w:rPr>
        <w:tab/>
        <w:t>(a)</w:t>
      </w:r>
      <w:r>
        <w:rPr>
          <w:snapToGrid w:val="0"/>
        </w:rPr>
        <w:tab/>
        <w:t>a director, secretary or executive officer of the body corporate; and</w:t>
      </w:r>
    </w:p>
    <w:p>
      <w:pPr>
        <w:pStyle w:val="Indenta"/>
        <w:rPr>
          <w:snapToGrid w:val="0"/>
        </w:rPr>
      </w:pPr>
      <w:r>
        <w:rPr>
          <w:snapToGrid w:val="0"/>
        </w:rPr>
        <w:tab/>
        <w:t>(b)</w:t>
      </w:r>
      <w:r>
        <w:rPr>
          <w:snapToGrid w:val="0"/>
        </w:rPr>
        <w:tab/>
        <w:t>a receiver, or receiver and manager, of property of the body corporate, or any other authorised person who enters into possession or assumes control of property of the body corporate for the purpose of enforcing any charge; and</w:t>
      </w:r>
    </w:p>
    <w:p>
      <w:pPr>
        <w:pStyle w:val="Indenta"/>
        <w:rPr>
          <w:snapToGrid w:val="0"/>
        </w:rPr>
      </w:pPr>
      <w:r>
        <w:rPr>
          <w:snapToGrid w:val="0"/>
        </w:rPr>
        <w:tab/>
        <w:t>(c)</w:t>
      </w:r>
      <w:r>
        <w:rPr>
          <w:snapToGrid w:val="0"/>
        </w:rPr>
        <w:tab/>
        <w:t>an official manager or a deputy official manager of the body corporate; and</w:t>
      </w:r>
    </w:p>
    <w:p>
      <w:pPr>
        <w:pStyle w:val="Indenta"/>
        <w:rPr>
          <w:snapToGrid w:val="0"/>
        </w:rPr>
      </w:pPr>
      <w:r>
        <w:rPr>
          <w:snapToGrid w:val="0"/>
        </w:rPr>
        <w:tab/>
        <w:t>(d)</w:t>
      </w:r>
      <w:r>
        <w:rPr>
          <w:snapToGrid w:val="0"/>
        </w:rPr>
        <w:tab/>
        <w:t>a liquidator of the body corporate; and</w:t>
      </w:r>
    </w:p>
    <w:p>
      <w:pPr>
        <w:pStyle w:val="Indenta"/>
        <w:rPr>
          <w:snapToGrid w:val="0"/>
        </w:rPr>
      </w:pPr>
      <w:r>
        <w:rPr>
          <w:snapToGrid w:val="0"/>
        </w:rPr>
        <w:tab/>
        <w:t>(e)</w:t>
      </w:r>
      <w:r>
        <w:rPr>
          <w:snapToGrid w:val="0"/>
        </w:rPr>
        <w:tab/>
        <w:t>a trustee or other person administering a compromise or arrangement made between the body corporate and another person or other persons,</w:t>
      </w:r>
    </w:p>
    <w:p>
      <w:pPr>
        <w:pStyle w:val="Subsection"/>
        <w:rPr>
          <w:snapToGrid w:val="0"/>
        </w:rPr>
      </w:pPr>
      <w:r>
        <w:rPr>
          <w:snapToGrid w:val="0"/>
        </w:rPr>
        <w:tab/>
      </w:r>
      <w:r>
        <w:rPr>
          <w:snapToGrid w:val="0"/>
        </w:rPr>
        <w:tab/>
        <w:t>and any other person, by whatever name called and whether or not a director of the body corporate, who is concerned, or takes part, in the management of the body corporate.</w:t>
      </w:r>
    </w:p>
    <w:p>
      <w:pPr>
        <w:pStyle w:val="Heading5"/>
        <w:spacing w:before="180"/>
        <w:rPr>
          <w:snapToGrid w:val="0"/>
        </w:rPr>
      </w:pPr>
      <w:bookmarkStart w:id="131" w:name="_Toc379203121"/>
      <w:bookmarkStart w:id="132" w:name="_Toc426029684"/>
      <w:r>
        <w:rPr>
          <w:rStyle w:val="CharSectno"/>
        </w:rPr>
        <w:t>54</w:t>
      </w:r>
      <w:r>
        <w:rPr>
          <w:snapToGrid w:val="0"/>
        </w:rPr>
        <w:t>.</w:t>
      </w:r>
      <w:r>
        <w:rPr>
          <w:snapToGrid w:val="0"/>
        </w:rPr>
        <w:tab/>
        <w:t>Unlawful development, power to direct cessation or removal of</w:t>
      </w:r>
      <w:bookmarkEnd w:id="131"/>
      <w:bookmarkEnd w:id="132"/>
    </w:p>
    <w:p>
      <w:pPr>
        <w:pStyle w:val="Subsection"/>
        <w:keepNext/>
        <w:rPr>
          <w:snapToGrid w:val="0"/>
        </w:rPr>
      </w:pPr>
      <w:r>
        <w:rPr>
          <w:snapToGrid w:val="0"/>
        </w:rPr>
        <w:tab/>
        <w:t>(1)</w:t>
      </w:r>
      <w:r>
        <w:rPr>
          <w:snapToGrid w:val="0"/>
        </w:rPr>
        <w:tab/>
        <w:t>The Authority may —</w:t>
      </w:r>
    </w:p>
    <w:p>
      <w:pPr>
        <w:pStyle w:val="Indenta"/>
        <w:spacing w:before="60"/>
        <w:rPr>
          <w:snapToGrid w:val="0"/>
        </w:rPr>
      </w:pPr>
      <w:r>
        <w:rPr>
          <w:snapToGrid w:val="0"/>
        </w:rPr>
        <w:tab/>
        <w:t>(a)</w:t>
      </w:r>
      <w:r>
        <w:rPr>
          <w:snapToGrid w:val="0"/>
        </w:rPr>
        <w:tab/>
        <w:t>by notice in writing served on a person who is undertaking any development in contravention of section 47, direct the person to stop doing so immediately;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 application.</w:t>
      </w:r>
    </w:p>
    <w:p>
      <w:pPr>
        <w:pStyle w:val="Subsection"/>
        <w:rPr>
          <w:snapToGrid w:val="0"/>
        </w:rPr>
      </w:pPr>
      <w:r>
        <w:rPr>
          <w:snapToGrid w:val="0"/>
        </w:rPr>
        <w:tab/>
        <w:t>(4)</w:t>
      </w:r>
      <w:r>
        <w:rPr>
          <w:snapToGrid w:val="0"/>
        </w:rPr>
        <w:tab/>
        <w:t xml:space="preserve">If the </w:t>
      </w:r>
      <w:r>
        <w:t>State Administrative Tribunal confirms or varies the direction, it</w:t>
      </w:r>
      <w:r>
        <w:rPr>
          <w:snapToGrid w:val="0"/>
        </w:rPr>
        <w:t xml:space="preserve"> may, by notice in writing served on the person, direct the person to comply with the direction as so confirmed or varied, within a period not less than 21 days after the service of the notice, as is specified in the notice.</w:t>
      </w:r>
    </w:p>
    <w:p>
      <w:pPr>
        <w:pStyle w:val="Subsection"/>
        <w:rPr>
          <w:snapToGrid w:val="0"/>
        </w:rPr>
      </w:pPr>
      <w:r>
        <w:rPr>
          <w:snapToGrid w:val="0"/>
        </w:rPr>
        <w:tab/>
        <w:t>(5)</w:t>
      </w:r>
      <w:r>
        <w:rPr>
          <w:snapToGrid w:val="0"/>
        </w:rPr>
        <w:tab/>
        <w:t>A person must comply with a notice given to the person under this section.</w:t>
      </w:r>
    </w:p>
    <w:p>
      <w:pPr>
        <w:pStyle w:val="Penstart"/>
        <w:rPr>
          <w:snapToGrid w:val="0"/>
        </w:rPr>
      </w:pPr>
      <w:r>
        <w:rPr>
          <w:snapToGrid w:val="0"/>
        </w:rPr>
        <w:tab/>
        <w:t>Penalty: $50 000, and a daily penalty of $5 000.</w:t>
      </w:r>
    </w:p>
    <w:p>
      <w:pPr>
        <w:pStyle w:val="Subsection"/>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54 amended by No. 24 of 2002 s. 29; No. 55 of 2004 s. 1161; No. 38 of 2005 s. 15.]</w:t>
      </w:r>
    </w:p>
    <w:p>
      <w:pPr>
        <w:pStyle w:val="Heading5"/>
        <w:rPr>
          <w:snapToGrid w:val="0"/>
        </w:rPr>
      </w:pPr>
      <w:bookmarkStart w:id="133" w:name="_Toc379203122"/>
      <w:bookmarkStart w:id="134" w:name="_Toc426029685"/>
      <w:r>
        <w:rPr>
          <w:rStyle w:val="CharSectno"/>
        </w:rPr>
        <w:t>54A</w:t>
      </w:r>
      <w:r>
        <w:rPr>
          <w:snapToGrid w:val="0"/>
        </w:rPr>
        <w:t>.</w:t>
      </w:r>
      <w:r>
        <w:rPr>
          <w:snapToGrid w:val="0"/>
        </w:rPr>
        <w:tab/>
        <w:t>Minister’s powers to ensure environmental conditions are met</w:t>
      </w:r>
      <w:bookmarkEnd w:id="133"/>
      <w:bookmarkEnd w:id="134"/>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 or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rPr>
          <w:snapToGrid w:val="0"/>
        </w:rPr>
      </w:pPr>
      <w:r>
        <w:rPr>
          <w:snapToGrid w:val="0"/>
        </w:rPr>
        <w:tab/>
        <w:t>(5)</w:t>
      </w:r>
      <w:r>
        <w:rPr>
          <w:snapToGrid w:val="0"/>
        </w:rPr>
        <w:tab/>
        <w:t>Nothing in this section prevents or otherwise affects the application of Part V of the EP Act to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[Section 54A inserted by No. 23 of 1996 s. 40; amended by No. 54 of 2003 s. 68(7).]</w:t>
      </w:r>
    </w:p>
    <w:p>
      <w:pPr>
        <w:pStyle w:val="Heading5"/>
        <w:rPr>
          <w:snapToGrid w:val="0"/>
        </w:rPr>
      </w:pPr>
      <w:bookmarkStart w:id="135" w:name="_Toc379203123"/>
      <w:bookmarkStart w:id="136" w:name="_Toc426029686"/>
      <w:r>
        <w:rPr>
          <w:rStyle w:val="CharSectno"/>
        </w:rPr>
        <w:t>55</w:t>
      </w:r>
      <w:r>
        <w:rPr>
          <w:snapToGrid w:val="0"/>
        </w:rPr>
        <w:t>.</w:t>
      </w:r>
      <w:r>
        <w:rPr>
          <w:snapToGrid w:val="0"/>
        </w:rPr>
        <w:tab/>
        <w:t>Compensation for injurious affection etc.</w:t>
      </w:r>
      <w:bookmarkEnd w:id="135"/>
      <w:bookmarkEnd w:id="136"/>
    </w:p>
    <w:p>
      <w:pPr>
        <w:pStyle w:val="Subsection"/>
      </w:pPr>
      <w:r>
        <w:tab/>
        <w:t>(1)</w:t>
      </w:r>
      <w:r>
        <w:tab/>
        <w:t xml:space="preserve">Part 11 Divisions 1 and 2 of the </w:t>
      </w:r>
      <w:r>
        <w:rPr>
          <w:i/>
        </w:rPr>
        <w:t>Planning and Development Act 2005</w:t>
      </w:r>
      <w:r>
        <w:t>, and sections 184(3) and (4), 187 and 188 of that Act, apply with all necessary changes to land in the redevelopment area as if —</w:t>
      </w:r>
    </w:p>
    <w:p>
      <w:pPr>
        <w:pStyle w:val="Indenta"/>
      </w:pPr>
      <w:r>
        <w:tab/>
        <w:t>(a)</w:t>
      </w:r>
      <w:r>
        <w:tab/>
        <w:t>the redevelopment scheme were a planning scheme under that Act; and</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 xml:space="preserve">Compensation is not payable under </w:t>
      </w:r>
      <w:r>
        <w:t xml:space="preserve">the </w:t>
      </w:r>
      <w:r>
        <w:rPr>
          <w:i/>
        </w:rPr>
        <w:t xml:space="preserve">Planning and Development Act 2005 </w:t>
      </w:r>
      <w:r>
        <w:t xml:space="preserve">as applied by subsection (1) </w:t>
      </w:r>
      <w:r>
        <w:rPr>
          <w:snapToGrid w:val="0"/>
        </w:rPr>
        <w:t>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55 amended by No. 14 of 1996 s. 4; No. 38 of 2005 s. 15.]</w:t>
      </w:r>
    </w:p>
    <w:p>
      <w:pPr>
        <w:pStyle w:val="Heading2"/>
      </w:pPr>
      <w:bookmarkStart w:id="137" w:name="_Toc379203124"/>
      <w:bookmarkStart w:id="138" w:name="_Toc426029687"/>
      <w:r>
        <w:rPr>
          <w:rStyle w:val="CharPartNo"/>
        </w:rPr>
        <w:t>Part 6</w:t>
      </w:r>
      <w:r>
        <w:rPr>
          <w:rStyle w:val="CharDivNo"/>
        </w:rPr>
        <w:t> </w:t>
      </w:r>
      <w:r>
        <w:t>—</w:t>
      </w:r>
      <w:r>
        <w:rPr>
          <w:rStyle w:val="CharDivText"/>
        </w:rPr>
        <w:t> </w:t>
      </w:r>
      <w:r>
        <w:rPr>
          <w:rStyle w:val="CharPartText"/>
        </w:rPr>
        <w:t>Financial provisions</w:t>
      </w:r>
      <w:bookmarkEnd w:id="137"/>
      <w:bookmarkEnd w:id="138"/>
    </w:p>
    <w:p>
      <w:pPr>
        <w:pStyle w:val="Heading5"/>
        <w:rPr>
          <w:snapToGrid w:val="0"/>
        </w:rPr>
      </w:pPr>
      <w:bookmarkStart w:id="139" w:name="_Toc379203125"/>
      <w:bookmarkStart w:id="140" w:name="_Toc426029688"/>
      <w:r>
        <w:rPr>
          <w:rStyle w:val="CharSectno"/>
        </w:rPr>
        <w:t>56</w:t>
      </w:r>
      <w:r>
        <w:rPr>
          <w:snapToGrid w:val="0"/>
        </w:rPr>
        <w:t>.</w:t>
      </w:r>
      <w:r>
        <w:rPr>
          <w:snapToGrid w:val="0"/>
        </w:rPr>
        <w:tab/>
        <w:t>Funds of Authority</w:t>
      </w:r>
      <w:bookmarkEnd w:id="139"/>
      <w:bookmarkEnd w:id="140"/>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from performing any of its functions; and</w:t>
      </w:r>
    </w:p>
    <w:p>
      <w:pPr>
        <w:pStyle w:val="Indenta"/>
        <w:rPr>
          <w:snapToGrid w:val="0"/>
        </w:rPr>
      </w:pPr>
      <w:r>
        <w:rPr>
          <w:snapToGrid w:val="0"/>
        </w:rPr>
        <w:tab/>
        <w:t>(c)</w:t>
      </w:r>
      <w:r>
        <w:rPr>
          <w:snapToGrid w:val="0"/>
        </w:rPr>
        <w:tab/>
        <w:t>moneys borrowed by the Authority under section 58 or 59; and</w:t>
      </w:r>
    </w:p>
    <w:p>
      <w:pPr>
        <w:pStyle w:val="Indenta"/>
        <w:rPr>
          <w:snapToGrid w:val="0"/>
        </w:rPr>
      </w:pPr>
      <w:r>
        <w:rPr>
          <w:snapToGrid w:val="0"/>
        </w:rPr>
        <w:tab/>
        <w:t>(d)</w:t>
      </w:r>
      <w:r>
        <w:rPr>
          <w:snapToGrid w:val="0"/>
        </w:rPr>
        <w:tab/>
        <w:t>the proceeds of disposals of land by the Authority; 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income derived from the investment under section 57 of moneys standing to the credit of the Account; and</w:t>
      </w:r>
    </w:p>
    <w:p>
      <w:pPr>
        <w:pStyle w:val="Indenta"/>
        <w:rPr>
          <w:snapToGrid w:val="0"/>
        </w:rPr>
      </w:pPr>
      <w:r>
        <w:rPr>
          <w:snapToGrid w:val="0"/>
        </w:rPr>
        <w:tab/>
        <w:t>(g)</w:t>
      </w:r>
      <w:r>
        <w:rPr>
          <w:snapToGrid w:val="0"/>
        </w:rPr>
        <w:tab/>
        <w:t>any moneys otherwise lawfully received by, made available to or payable to the Authority.</w:t>
      </w:r>
    </w:p>
    <w:p>
      <w:pPr>
        <w:pStyle w:val="Subsection"/>
        <w:rPr>
          <w:snapToGrid w:val="0"/>
        </w:rPr>
      </w:pPr>
      <w:r>
        <w:rPr>
          <w:snapToGrid w:val="0"/>
        </w:rPr>
        <w:tab/>
        <w:t>(2)</w:t>
      </w:r>
      <w:r>
        <w:rPr>
          <w:snapToGrid w:val="0"/>
        </w:rPr>
        <w:tab/>
        <w:t>The funds referred to in subsection (1) are to be credited to an account at a bank approved by the Treasurer to be called the “Subiaco Redevelopment Authority Account”.</w:t>
      </w:r>
    </w:p>
    <w:p>
      <w:pPr>
        <w:pStyle w:val="Subsection"/>
        <w:rPr>
          <w:snapToGrid w:val="0"/>
        </w:rPr>
      </w:pPr>
      <w:r>
        <w:rPr>
          <w:snapToGrid w:val="0"/>
        </w:rPr>
        <w:tab/>
        <w:t>(3)</w:t>
      </w:r>
      <w:r>
        <w:rPr>
          <w:snapToGrid w:val="0"/>
        </w:rPr>
        <w:tab/>
        <w:t>There are to be charged against the moneys from time to time in the Account —</w:t>
      </w:r>
    </w:p>
    <w:p>
      <w:pPr>
        <w:pStyle w:val="Indenta"/>
        <w:rPr>
          <w:snapToGrid w:val="0"/>
        </w:rPr>
      </w:pPr>
      <w:r>
        <w:rPr>
          <w:snapToGrid w:val="0"/>
        </w:rPr>
        <w:tab/>
        <w:t>(a)</w:t>
      </w:r>
      <w:r>
        <w:rPr>
          <w:snapToGrid w:val="0"/>
        </w:rPr>
        <w:tab/>
        <w:t>interest on, fees payable in respect of and repayments of moneys borrowed by or advanced to the Authority under section 58 or 59; and</w:t>
      </w:r>
    </w:p>
    <w:p>
      <w:pPr>
        <w:pStyle w:val="Indenta"/>
        <w:rPr>
          <w:snapToGrid w:val="0"/>
        </w:rPr>
      </w:pPr>
      <w:r>
        <w:rPr>
          <w:snapToGrid w:val="0"/>
        </w:rPr>
        <w:tab/>
        <w:t>(b)</w:t>
      </w:r>
      <w:r>
        <w:rPr>
          <w:snapToGrid w:val="0"/>
        </w:rPr>
        <w:tab/>
        <w:t>the remuneration and travelling and other allowances payable to members and to the chief executive officer;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141" w:name="_Toc379203126"/>
      <w:bookmarkStart w:id="142" w:name="_Toc426029689"/>
      <w:r>
        <w:rPr>
          <w:rStyle w:val="CharSectno"/>
        </w:rPr>
        <w:t>57</w:t>
      </w:r>
      <w:r>
        <w:rPr>
          <w:snapToGrid w:val="0"/>
        </w:rPr>
        <w:t>.</w:t>
      </w:r>
      <w:r>
        <w:rPr>
          <w:snapToGrid w:val="0"/>
        </w:rPr>
        <w:tab/>
        <w:t>Investment</w:t>
      </w:r>
      <w:bookmarkEnd w:id="141"/>
      <w:bookmarkEnd w:id="142"/>
    </w:p>
    <w:p>
      <w:pPr>
        <w:pStyle w:val="Subsection"/>
        <w:rPr>
          <w:snapToGrid w:val="0"/>
        </w:rPr>
      </w:pPr>
      <w:r>
        <w:rPr>
          <w:snapToGrid w:val="0"/>
        </w:rPr>
        <w:tab/>
        <w:t>(1)</w:t>
      </w:r>
      <w:r>
        <w:rPr>
          <w:snapToGrid w:val="0"/>
        </w:rP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rPr>
          <w:snapToGrid w:val="0"/>
        </w:rPr>
        <w:t>, may lawfully be invested.</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[Section 57 amended by No. 77 of 2006 Sch. 1 cl. 163(5).]</w:t>
      </w:r>
    </w:p>
    <w:p>
      <w:pPr>
        <w:pStyle w:val="Heading5"/>
        <w:rPr>
          <w:snapToGrid w:val="0"/>
        </w:rPr>
      </w:pPr>
      <w:bookmarkStart w:id="143" w:name="_Toc379203127"/>
      <w:bookmarkStart w:id="144" w:name="_Toc426029690"/>
      <w:r>
        <w:rPr>
          <w:rStyle w:val="CharSectno"/>
        </w:rPr>
        <w:t>58</w:t>
      </w:r>
      <w:r>
        <w:rPr>
          <w:snapToGrid w:val="0"/>
        </w:rPr>
        <w:t>.</w:t>
      </w:r>
      <w:r>
        <w:rPr>
          <w:snapToGrid w:val="0"/>
        </w:rPr>
        <w:tab/>
        <w:t>Borrowing by Authority from Treasurer</w:t>
      </w:r>
      <w:bookmarkEnd w:id="143"/>
      <w:bookmarkEnd w:id="144"/>
    </w:p>
    <w:p>
      <w:pPr>
        <w:pStyle w:val="Subsection"/>
        <w:rPr>
          <w:snapToGrid w:val="0"/>
        </w:rPr>
      </w:pPr>
      <w:r>
        <w:rPr>
          <w:snapToGrid w:val="0"/>
        </w:rPr>
        <w:tab/>
        <w:t>(1)</w:t>
      </w:r>
      <w:r>
        <w:rPr>
          <w:snapToGrid w:val="0"/>
        </w:rPr>
        <w:tab/>
        <w:t>The Authority may borrow from the Treasurer the amounts that the Treasurer approves on the conditions relating to repayment and payment of interest that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145" w:name="_Toc379203128"/>
      <w:bookmarkStart w:id="146" w:name="_Toc426029691"/>
      <w:r>
        <w:rPr>
          <w:rStyle w:val="CharSectno"/>
        </w:rPr>
        <w:t>59</w:t>
      </w:r>
      <w:r>
        <w:rPr>
          <w:snapToGrid w:val="0"/>
        </w:rPr>
        <w:t>.</w:t>
      </w:r>
      <w:r>
        <w:rPr>
          <w:snapToGrid w:val="0"/>
        </w:rPr>
        <w:tab/>
        <w:t>Borrowing by Authority generally</w:t>
      </w:r>
      <w:bookmarkEnd w:id="145"/>
      <w:bookmarkEnd w:id="146"/>
    </w:p>
    <w:p>
      <w:pPr>
        <w:pStyle w:val="Subsection"/>
        <w:rPr>
          <w:snapToGrid w:val="0"/>
        </w:rPr>
      </w:pPr>
      <w:r>
        <w:rPr>
          <w:snapToGrid w:val="0"/>
        </w:rPr>
        <w:tab/>
        <w:t>(1)</w:t>
      </w:r>
      <w:r>
        <w:rPr>
          <w:snapToGrid w:val="0"/>
        </w:rPr>
        <w:tab/>
        <w:t>This section is in addition to, and not in derogation from, the provisions of section 58.</w:t>
      </w:r>
    </w:p>
    <w:p>
      <w:pPr>
        <w:pStyle w:val="Subsection"/>
        <w:rPr>
          <w:snapToGrid w:val="0"/>
        </w:rPr>
      </w:pPr>
      <w:r>
        <w:rPr>
          <w:snapToGrid w:val="0"/>
        </w:rPr>
        <w:tab/>
        <w:t>(2)</w:t>
      </w:r>
      <w:r>
        <w:rPr>
          <w:snapToGrid w:val="0"/>
        </w:rPr>
        <w:tab/>
        <w:t>The Authority may —</w:t>
      </w:r>
    </w:p>
    <w:p>
      <w:pPr>
        <w:pStyle w:val="Indenta"/>
        <w:rPr>
          <w:snapToGrid w:val="0"/>
        </w:rPr>
      </w:pPr>
      <w:r>
        <w:rPr>
          <w:snapToGrid w:val="0"/>
        </w:rPr>
        <w:tab/>
        <w:t>(a)</w:t>
      </w:r>
      <w:r>
        <w:rPr>
          <w:snapToGrid w:val="0"/>
        </w:rPr>
        <w:tab/>
        <w:t>with the prior approval of the Treasurer in writing and on the terms and conditions that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60.</w:t>
      </w:r>
    </w:p>
    <w:p>
      <w:pPr>
        <w:pStyle w:val="Subsection"/>
        <w:rPr>
          <w:snapToGrid w:val="0"/>
        </w:rPr>
      </w:pPr>
      <w:r>
        <w:rPr>
          <w:snapToGrid w:val="0"/>
        </w:rPr>
        <w:tab/>
        <w:t>(3)</w:t>
      </w:r>
      <w:r>
        <w:rPr>
          <w:snapToGrid w:val="0"/>
        </w:rP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rPr>
          <w:snapToGrid w:val="0"/>
        </w:rPr>
      </w:pPr>
      <w:bookmarkStart w:id="147" w:name="_Toc379203129"/>
      <w:bookmarkStart w:id="148" w:name="_Toc426029692"/>
      <w:r>
        <w:rPr>
          <w:rStyle w:val="CharSectno"/>
        </w:rPr>
        <w:t>60</w:t>
      </w:r>
      <w:r>
        <w:rPr>
          <w:snapToGrid w:val="0"/>
        </w:rPr>
        <w:t>.</w:t>
      </w:r>
      <w:r>
        <w:rPr>
          <w:snapToGrid w:val="0"/>
        </w:rPr>
        <w:tab/>
        <w:t>Guarantee by Treasurer</w:t>
      </w:r>
      <w:bookmarkEnd w:id="147"/>
      <w:bookmarkEnd w:id="148"/>
    </w:p>
    <w:p>
      <w:pPr>
        <w:pStyle w:val="Subsection"/>
        <w:spacing w:before="200"/>
        <w:rPr>
          <w:snapToGrid w:val="0"/>
        </w:rPr>
      </w:pPr>
      <w:r>
        <w:rPr>
          <w:snapToGrid w:val="0"/>
        </w:rPr>
        <w:tab/>
        <w:t>(1)</w:t>
      </w:r>
      <w:r>
        <w:rPr>
          <w:snapToGrid w:val="0"/>
        </w:rP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59.</w:t>
      </w:r>
    </w:p>
    <w:p>
      <w:pPr>
        <w:pStyle w:val="Subsection"/>
        <w:spacing w:before="200"/>
        <w:rPr>
          <w:snapToGrid w:val="0"/>
        </w:rPr>
      </w:pPr>
      <w:r>
        <w:rPr>
          <w:snapToGrid w:val="0"/>
        </w:rPr>
        <w:tab/>
        <w:t>(2)</w:t>
      </w:r>
      <w:r>
        <w:rPr>
          <w:snapToGrid w:val="0"/>
        </w:rPr>
        <w:tab/>
        <w:t>The due payment of moneys payable by the Treasurer under a guarantee given under subsection (1) —</w:t>
      </w:r>
    </w:p>
    <w:p>
      <w:pPr>
        <w:pStyle w:val="Indenta"/>
        <w:spacing w:before="100"/>
        <w:rPr>
          <w:snapToGrid w:val="0"/>
        </w:rPr>
      </w:pPr>
      <w:r>
        <w:rPr>
          <w:snapToGrid w:val="0"/>
        </w:rPr>
        <w:tab/>
        <w:t>(a)</w:t>
      </w:r>
      <w:r>
        <w:rPr>
          <w:snapToGrid w:val="0"/>
        </w:rPr>
        <w:tab/>
        <w:t>is guaranteed by the State; and</w:t>
      </w:r>
    </w:p>
    <w:p>
      <w:pPr>
        <w:pStyle w:val="Indenta"/>
        <w:spacing w:before="10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200"/>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spacing w:before="200"/>
        <w:rPr>
          <w:snapToGrid w:val="0"/>
        </w:rPr>
      </w:pPr>
      <w:r>
        <w:rPr>
          <w:snapToGrid w:val="0"/>
        </w:rPr>
        <w:tab/>
        <w:t>(4)</w:t>
      </w:r>
      <w:r>
        <w:rPr>
          <w:snapToGrid w:val="0"/>
        </w:rPr>
        <w:tab/>
        <w:t>The Treasurer is to cause any amounts received or recovered from the Authority or otherwise in respect of any payment made by the Treasurer under a guarantee given under subsection (1) to be credited to the Consolidated Account.</w:t>
      </w:r>
    </w:p>
    <w:p>
      <w:pPr>
        <w:pStyle w:val="Subsection"/>
        <w:spacing w:before="200"/>
        <w:rPr>
          <w:snapToGrid w:val="0"/>
        </w:rPr>
      </w:pPr>
      <w:r>
        <w:rPr>
          <w:snapToGrid w:val="0"/>
        </w:rPr>
        <w:tab/>
        <w:t>(5)</w:t>
      </w:r>
      <w:r>
        <w:rPr>
          <w:snapToGrid w:val="0"/>
        </w:rPr>
        <w:tab/>
        <w:t>Before a guarantee is given by the Treasurer under subsection (1), the Authority is to give to the Treasurer the security that the Treasurer requires and is to execute all instruments that are necessary for the purpose.</w:t>
      </w:r>
    </w:p>
    <w:p>
      <w:pPr>
        <w:pStyle w:val="Subsection"/>
        <w:spacing w:before="200"/>
        <w:rPr>
          <w:snapToGrid w:val="0"/>
        </w:rPr>
      </w:pPr>
      <w:r>
        <w:rPr>
          <w:snapToGrid w:val="0"/>
        </w:rPr>
        <w:tab/>
        <w:t>(6)</w:t>
      </w:r>
      <w:r>
        <w:rPr>
          <w:snapToGrid w:val="0"/>
        </w:rPr>
        <w:tab/>
        <w:t xml:space="preserve">If a guarantee is given by the Treasurer under subsection (1), the Treasurer is to cause the text of the guarantee to be published in the </w:t>
      </w:r>
      <w:r>
        <w:rPr>
          <w:i/>
          <w:snapToGrid w:val="0"/>
        </w:rPr>
        <w:t>Gazette</w:t>
      </w:r>
      <w:r>
        <w:rPr>
          <w:snapToGrid w:val="0"/>
        </w:rPr>
        <w:t xml:space="preserve"> within 28 days and laid before each House within 14 sitting days of being published.</w:t>
      </w:r>
    </w:p>
    <w:p>
      <w:pPr>
        <w:pStyle w:val="Footnotesection"/>
      </w:pPr>
      <w:r>
        <w:tab/>
        <w:t>[Section 60 amended by No. 77 of 2006 s. 4 and 5(1).]</w:t>
      </w:r>
    </w:p>
    <w:p>
      <w:pPr>
        <w:pStyle w:val="Heading5"/>
        <w:rPr>
          <w:snapToGrid w:val="0"/>
        </w:rPr>
      </w:pPr>
      <w:bookmarkStart w:id="149" w:name="_Toc379203130"/>
      <w:bookmarkStart w:id="150" w:name="_Toc426029693"/>
      <w:r>
        <w:rPr>
          <w:rStyle w:val="CharSectno"/>
        </w:rPr>
        <w:t>61</w:t>
      </w:r>
      <w:r>
        <w:rPr>
          <w:snapToGrid w:val="0"/>
        </w:rPr>
        <w:t>.</w:t>
      </w:r>
      <w:r>
        <w:rPr>
          <w:snapToGrid w:val="0"/>
        </w:rPr>
        <w:tab/>
        <w:t xml:space="preserve">Application of </w:t>
      </w:r>
      <w:r>
        <w:rPr>
          <w:i/>
          <w:snapToGrid w:val="0"/>
        </w:rPr>
        <w:t>Financial Management Act 2006</w:t>
      </w:r>
      <w:r>
        <w:rPr>
          <w:iCs/>
          <w:snapToGrid w:val="0"/>
        </w:rPr>
        <w:t xml:space="preserve"> and </w:t>
      </w:r>
      <w:r>
        <w:rPr>
          <w:i/>
          <w:snapToGrid w:val="0"/>
        </w:rPr>
        <w:t>Auditor General Act 2006</w:t>
      </w:r>
      <w:bookmarkEnd w:id="149"/>
      <w:bookmarkEnd w:id="15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Authority and its operations.</w:t>
      </w:r>
    </w:p>
    <w:p>
      <w:pPr>
        <w:pStyle w:val="Footnotesection"/>
      </w:pPr>
      <w:r>
        <w:tab/>
        <w:t>[Section 61 amended by No. 77 of 2006 Sch. 1 cl. 163(6).]</w:t>
      </w:r>
    </w:p>
    <w:p>
      <w:pPr>
        <w:pStyle w:val="Heading5"/>
        <w:rPr>
          <w:snapToGrid w:val="0"/>
        </w:rPr>
      </w:pPr>
      <w:bookmarkStart w:id="151" w:name="_Toc379203131"/>
      <w:bookmarkStart w:id="152" w:name="_Toc426029694"/>
      <w:r>
        <w:rPr>
          <w:rStyle w:val="CharSectno"/>
        </w:rPr>
        <w:t>62</w:t>
      </w:r>
      <w:r>
        <w:rPr>
          <w:snapToGrid w:val="0"/>
        </w:rPr>
        <w:t>.</w:t>
      </w:r>
      <w:r>
        <w:rPr>
          <w:snapToGrid w:val="0"/>
        </w:rPr>
        <w:tab/>
        <w:t>Surplus</w:t>
      </w:r>
      <w:bookmarkEnd w:id="151"/>
      <w:bookmarkEnd w:id="152"/>
    </w:p>
    <w:p>
      <w:pPr>
        <w:pStyle w:val="Subsection"/>
        <w:rPr>
          <w:snapToGrid w:val="0"/>
        </w:rPr>
      </w:pPr>
      <w:r>
        <w:rPr>
          <w:snapToGrid w:val="0"/>
        </w:rPr>
        <w:tab/>
      </w:r>
      <w:r>
        <w:rPr>
          <w:snapToGrid w:val="0"/>
        </w:rPr>
        <w:tab/>
        <w:t>Any surplus in the Account at the end of any financial year that is not reasonably required by the Authority for the purposes of this Act is to be paid by the Authority, in whole or in part as the Treasurer directs, to the credit of the Consolidated Account.</w:t>
      </w:r>
    </w:p>
    <w:p>
      <w:pPr>
        <w:pStyle w:val="Footnotesection"/>
      </w:pPr>
      <w:r>
        <w:tab/>
        <w:t>[Section 62 amended by No. 77 of 2006 s. 4.]</w:t>
      </w:r>
    </w:p>
    <w:p>
      <w:pPr>
        <w:pStyle w:val="Heading2"/>
      </w:pPr>
      <w:bookmarkStart w:id="153" w:name="_Toc379203132"/>
      <w:bookmarkStart w:id="154" w:name="_Toc426029695"/>
      <w:r>
        <w:rPr>
          <w:rStyle w:val="CharPartNo"/>
        </w:rPr>
        <w:t>Part 7</w:t>
      </w:r>
      <w:r>
        <w:rPr>
          <w:rStyle w:val="CharDivNo"/>
        </w:rPr>
        <w:t> </w:t>
      </w:r>
      <w:r>
        <w:t>—</w:t>
      </w:r>
      <w:r>
        <w:rPr>
          <w:rStyle w:val="CharDivText"/>
        </w:rPr>
        <w:t> </w:t>
      </w:r>
      <w:r>
        <w:rPr>
          <w:rStyle w:val="CharPartText"/>
        </w:rPr>
        <w:t>General</w:t>
      </w:r>
      <w:bookmarkEnd w:id="153"/>
      <w:bookmarkEnd w:id="154"/>
    </w:p>
    <w:p>
      <w:pPr>
        <w:pStyle w:val="Heading5"/>
        <w:rPr>
          <w:snapToGrid w:val="0"/>
        </w:rPr>
      </w:pPr>
      <w:bookmarkStart w:id="155" w:name="_Toc379203133"/>
      <w:bookmarkStart w:id="156" w:name="_Toc426029696"/>
      <w:r>
        <w:rPr>
          <w:rStyle w:val="CharSectno"/>
        </w:rPr>
        <w:t>63</w:t>
      </w:r>
      <w:r>
        <w:rPr>
          <w:snapToGrid w:val="0"/>
        </w:rPr>
        <w:t>.</w:t>
      </w:r>
      <w:r>
        <w:rPr>
          <w:snapToGrid w:val="0"/>
        </w:rPr>
        <w:tab/>
        <w:t>Modification of other laws</w:t>
      </w:r>
      <w:bookmarkEnd w:id="155"/>
      <w:bookmarkEnd w:id="156"/>
    </w:p>
    <w:p>
      <w:pPr>
        <w:pStyle w:val="Subsection"/>
        <w:rPr>
          <w:snapToGrid w:val="0"/>
        </w:rPr>
      </w:pPr>
      <w:r>
        <w:rPr>
          <w:snapToGrid w:val="0"/>
        </w:rPr>
        <w:tab/>
      </w:r>
      <w:r>
        <w:rPr>
          <w:snapToGrid w:val="0"/>
        </w:rPr>
        <w:tab/>
      </w:r>
      <w:r>
        <w:t xml:space="preserve">Section 132 of the </w:t>
      </w:r>
      <w:r>
        <w:rPr>
          <w:i/>
        </w:rPr>
        <w:t>Planning and Development Act 2005</w:t>
      </w:r>
      <w:r>
        <w:rPr>
          <w:iCs/>
        </w:rPr>
        <w:t xml:space="preserve"> </w:t>
      </w:r>
      <w:r>
        <w:rPr>
          <w:snapToGrid w:val="0"/>
        </w:rPr>
        <w:t>applies with all necessary modifications for the purposes of carrying out a redevelopment scheme as if the reference in that section —</w:t>
      </w:r>
    </w:p>
    <w:p>
      <w:pPr>
        <w:pStyle w:val="Indenta"/>
        <w:rPr>
          <w:snapToGrid w:val="0"/>
        </w:rPr>
      </w:pPr>
      <w:r>
        <w:rPr>
          <w:snapToGrid w:val="0"/>
        </w:rPr>
        <w:tab/>
        <w:t>(a)</w:t>
      </w:r>
      <w:r>
        <w:rPr>
          <w:snapToGrid w:val="0"/>
        </w:rPr>
        <w:tab/>
        <w:t xml:space="preserve">to </w:t>
      </w:r>
      <w:r>
        <w:t>a planning scheme</w:t>
      </w:r>
      <w:r>
        <w:rPr>
          <w:snapToGrid w:val="0"/>
        </w:rPr>
        <w:t xml:space="preserve"> were a reference to that redevelopment scheme; and</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63 amended by No. 38 of 2005 s. 15.]</w:t>
      </w:r>
    </w:p>
    <w:p>
      <w:pPr>
        <w:pStyle w:val="Heading5"/>
        <w:rPr>
          <w:snapToGrid w:val="0"/>
        </w:rPr>
      </w:pPr>
      <w:bookmarkStart w:id="157" w:name="_Toc379203134"/>
      <w:bookmarkStart w:id="158" w:name="_Toc426029697"/>
      <w:r>
        <w:rPr>
          <w:rStyle w:val="CharSectno"/>
        </w:rPr>
        <w:t>64</w:t>
      </w:r>
      <w:r>
        <w:rPr>
          <w:snapToGrid w:val="0"/>
        </w:rPr>
        <w:t>.</w:t>
      </w:r>
      <w:r>
        <w:rPr>
          <w:snapToGrid w:val="0"/>
        </w:rPr>
        <w:tab/>
        <w:t>Execution of documents by Authority</w:t>
      </w:r>
      <w:bookmarkEnd w:id="157"/>
      <w:bookmarkEnd w:id="158"/>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(3) and (4); or</w:t>
      </w:r>
    </w:p>
    <w:p>
      <w:pPr>
        <w:pStyle w:val="Indenta"/>
        <w:rPr>
          <w:snapToGrid w:val="0"/>
        </w:rPr>
      </w:pPr>
      <w:r>
        <w:rPr>
          <w:snapToGrid w:val="0"/>
        </w:rPr>
        <w:tab/>
        <w:t>(b)</w:t>
      </w:r>
      <w:r>
        <w:rPr>
          <w:snapToGrid w:val="0"/>
        </w:rPr>
        <w:tab/>
        <w:t>it is signed on behalf of the Authority by persons authorised by the Authority to do so.</w:t>
      </w:r>
    </w:p>
    <w:p>
      <w:pPr>
        <w:pStyle w:val="Subsection"/>
        <w:rPr>
          <w:snapToGrid w:val="0"/>
        </w:rPr>
      </w:pPr>
      <w:r>
        <w:rPr>
          <w:snapToGrid w:val="0"/>
        </w:rPr>
        <w:tab/>
        <w:t>(2)</w:t>
      </w:r>
      <w:r>
        <w:rPr>
          <w:snapToGrid w:val="0"/>
        </w:rPr>
        <w:tab/>
        <w:t>The common seal of the Authority is not to be affixed to any document except as authorised by the Authority.</w:t>
      </w:r>
    </w:p>
    <w:p>
      <w:pPr>
        <w:pStyle w:val="Subsection"/>
        <w:rPr>
          <w:snapToGrid w:val="0"/>
        </w:rPr>
      </w:pPr>
      <w:r>
        <w:rPr>
          <w:snapToGrid w:val="0"/>
        </w:rPr>
        <w:tab/>
        <w:t>(3)</w:t>
      </w:r>
      <w:r>
        <w:rPr>
          <w:snapToGrid w:val="0"/>
        </w:rP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rPr>
          <w:snapToGrid w:val="0"/>
        </w:rPr>
      </w:pPr>
      <w:r>
        <w:rPr>
          <w:snapToGrid w:val="0"/>
        </w:rPr>
        <w:tab/>
        <w:t>(4)</w:t>
      </w:r>
      <w:r>
        <w:rPr>
          <w:snapToGrid w:val="0"/>
        </w:rPr>
        <w:tab/>
        <w:t>At least one of the persons referred to in subsection (3) is to be a member of the Authority.</w:t>
      </w:r>
    </w:p>
    <w:p>
      <w:pPr>
        <w:pStyle w:val="Subsection"/>
        <w:rPr>
          <w:snapToGrid w:val="0"/>
        </w:rPr>
      </w:pPr>
      <w:r>
        <w:rPr>
          <w:snapToGrid w:val="0"/>
        </w:rPr>
        <w:tab/>
        <w:t>(5)</w:t>
      </w:r>
      <w:r>
        <w:rPr>
          <w:snapToGrid w:val="0"/>
        </w:rPr>
        <w:tab/>
        <w:t>A person authorised under subsection (1)(b), or determined under subsection (3), is to be a member or the chief executive officer of the Authority, or a member of the board of directors or an officer of the Western Australian Land Authority.</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Subsection"/>
        <w:rPr>
          <w:snapToGrid w:val="0"/>
        </w:rPr>
      </w:pPr>
      <w:r>
        <w:rPr>
          <w:snapToGrid w:val="0"/>
        </w:rPr>
        <w:tab/>
        <w:t>(8)</w:t>
      </w:r>
      <w:r>
        <w:rPr>
          <w:snapToGrid w:val="0"/>
        </w:rPr>
        <w:tab/>
        <w:t>All courts and persons acting judicially are to take notice of the common seal of the Authority.</w:t>
      </w:r>
    </w:p>
    <w:p>
      <w:pPr>
        <w:pStyle w:val="Heading5"/>
        <w:rPr>
          <w:snapToGrid w:val="0"/>
        </w:rPr>
      </w:pPr>
      <w:bookmarkStart w:id="159" w:name="_Toc379203135"/>
      <w:bookmarkStart w:id="160" w:name="_Toc426029698"/>
      <w:r>
        <w:rPr>
          <w:rStyle w:val="CharSectno"/>
        </w:rPr>
        <w:t>65</w:t>
      </w:r>
      <w:r>
        <w:rPr>
          <w:snapToGrid w:val="0"/>
        </w:rPr>
        <w:t>.</w:t>
      </w:r>
      <w:r>
        <w:rPr>
          <w:snapToGrid w:val="0"/>
        </w:rPr>
        <w:tab/>
        <w:t>Regulations</w:t>
      </w:r>
      <w:bookmarkEnd w:id="159"/>
      <w:bookmarkEnd w:id="16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provide for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those applications.</w:t>
      </w:r>
    </w:p>
    <w:p>
      <w:pPr>
        <w:pStyle w:val="Heading5"/>
        <w:rPr>
          <w:snapToGrid w:val="0"/>
        </w:rPr>
      </w:pPr>
      <w:bookmarkStart w:id="161" w:name="_Toc379203136"/>
      <w:bookmarkStart w:id="162" w:name="_Toc426029699"/>
      <w:r>
        <w:rPr>
          <w:rStyle w:val="CharSectno"/>
        </w:rPr>
        <w:t>66</w:t>
      </w:r>
      <w:r>
        <w:rPr>
          <w:snapToGrid w:val="0"/>
        </w:rPr>
        <w:t>.</w:t>
      </w:r>
      <w:r>
        <w:rPr>
          <w:snapToGrid w:val="0"/>
        </w:rPr>
        <w:tab/>
        <w:t>Review of Act</w:t>
      </w:r>
      <w:bookmarkEnd w:id="161"/>
      <w:bookmarkEnd w:id="162"/>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keepLines/>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t>[</w:t>
      </w:r>
      <w:r>
        <w:rPr>
          <w:b/>
          <w:bCs/>
        </w:rPr>
        <w:t>67.</w:t>
      </w:r>
      <w:r>
        <w:tab/>
        <w:t>Omitted under the Reprints Act 1984 s. 7(4)(e).]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63" w:name="_Toc379203137"/>
      <w:bookmarkStart w:id="164" w:name="_Toc426029700"/>
      <w:r>
        <w:rPr>
          <w:rStyle w:val="CharSchNo"/>
        </w:rPr>
        <w:t>Schedule 1</w:t>
      </w:r>
      <w:r>
        <w:t> — </w:t>
      </w:r>
      <w:r>
        <w:rPr>
          <w:rStyle w:val="CharSchText"/>
        </w:rPr>
        <w:t>Redevelopment Area</w:t>
      </w:r>
      <w:bookmarkEnd w:id="163"/>
      <w:bookmarkEnd w:id="164"/>
    </w:p>
    <w:p>
      <w:pPr>
        <w:pStyle w:val="yShoulderClause"/>
        <w:spacing w:before="0"/>
      </w:pPr>
      <w:r>
        <w:t>[s. 4]</w:t>
      </w:r>
    </w:p>
    <w:p>
      <w:pPr>
        <w:pStyle w:val="yFootnoteheading"/>
      </w:pPr>
      <w:r>
        <w:tab/>
        <w:t>[Heading amended by No. 19 of 2010 s. 4.]</w:t>
      </w:r>
    </w:p>
    <w:p>
      <w:pPr>
        <w:pStyle w:val="yMiscellaneousBody"/>
        <w:spacing w:before="80"/>
      </w:pPr>
      <w:r>
        <w:t>All of the land outlined by a broken black and white line on Plan No. 3.1786/2 held at the office of the Authority.  For guidance, the redevelopment area is indicated in the following representation of Plan No. 3.1786/2 —</w:t>
      </w:r>
    </w:p>
    <w:p>
      <w:pPr>
        <w:pStyle w:val="yMiscellaneousBody"/>
        <w:spacing w:before="0"/>
        <w:jc w:val="center"/>
      </w:pPr>
      <w:r>
        <w:object w:dxaOrig="5971" w:dyaOrig="83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5pt;height:416.25pt" o:ole="">
            <v:imagedata r:id="rId25" o:title="" croptop="2284f" cropbottom="3018f" cropleft="3642f" cropright="1339f"/>
          </v:shape>
          <o:OLEObject Type="Embed" ProgID="Word.Picture.8" ShapeID="_x0000_i1025" DrawAspect="Content" ObjectID="_1643693145" r:id="rId26"/>
        </w:object>
      </w:r>
    </w:p>
    <w:p>
      <w:pPr>
        <w:pStyle w:val="yFootnotesection"/>
        <w:spacing w:before="0"/>
      </w:pPr>
      <w:r>
        <w:tab/>
        <w:t>[Schedule 1 inserted in Gazette 17 Nov 2006 p. 4764</w:t>
      </w:r>
      <w:r>
        <w:noBreakHyphen/>
        <w:t>5.]</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66" w:name="_Toc379203138"/>
      <w:bookmarkStart w:id="167" w:name="_Toc426029701"/>
      <w:r>
        <w:rPr>
          <w:rStyle w:val="CharSchNo"/>
        </w:rPr>
        <w:t>Schedule 2</w:t>
      </w:r>
      <w:r>
        <w:t> — </w:t>
      </w:r>
      <w:r>
        <w:rPr>
          <w:rStyle w:val="CharSchText"/>
        </w:rPr>
        <w:t>Provisions as to constitution and proceedings of the Authority</w:t>
      </w:r>
      <w:bookmarkEnd w:id="166"/>
      <w:bookmarkEnd w:id="167"/>
    </w:p>
    <w:p>
      <w:pPr>
        <w:pStyle w:val="yShoulderClause"/>
        <w:rPr>
          <w:snapToGrid w:val="0"/>
        </w:rPr>
      </w:pPr>
      <w:r>
        <w:rPr>
          <w:snapToGrid w:val="0"/>
        </w:rPr>
        <w:t>[s. 9]</w:t>
      </w:r>
    </w:p>
    <w:p>
      <w:pPr>
        <w:pStyle w:val="yFootnoteheading"/>
      </w:pPr>
      <w:r>
        <w:tab/>
        <w:t>[Heading amended by No. 19 of 2010 s. 4.]</w:t>
      </w:r>
    </w:p>
    <w:p>
      <w:pPr>
        <w:pStyle w:val="yHeading5"/>
        <w:outlineLvl w:val="9"/>
        <w:rPr>
          <w:snapToGrid w:val="0"/>
        </w:rPr>
      </w:pPr>
      <w:bookmarkStart w:id="168" w:name="_Toc379203139"/>
      <w:bookmarkStart w:id="169" w:name="_Toc426029702"/>
      <w:r>
        <w:rPr>
          <w:rStyle w:val="CharSClsNo"/>
        </w:rPr>
        <w:t>1</w:t>
      </w:r>
      <w:r>
        <w:rPr>
          <w:snapToGrid w:val="0"/>
        </w:rPr>
        <w:t>.</w:t>
      </w:r>
      <w:r>
        <w:rPr>
          <w:snapToGrid w:val="0"/>
        </w:rPr>
        <w:tab/>
        <w:t>Term of office</w:t>
      </w:r>
      <w:bookmarkEnd w:id="168"/>
      <w:bookmarkEnd w:id="169"/>
    </w:p>
    <w:p>
      <w:pPr>
        <w:pStyle w:val="ySubsection"/>
        <w:spacing w:before="120"/>
        <w:rPr>
          <w:snapToGrid w:val="0"/>
        </w:rPr>
      </w:pPr>
      <w:r>
        <w:rPr>
          <w:snapToGrid w:val="0"/>
        </w:rPr>
        <w:tab/>
        <w:t>(1)</w:t>
      </w:r>
      <w:r>
        <w:rPr>
          <w:snapToGrid w:val="0"/>
        </w:rPr>
        <w:tab/>
        <w:t>Except as otherwise provided by this Act, a member holds office for the term, not exceeding 3 years, that is specified in the instrument of his or her appointment, but may from time to time be reappointed.</w:t>
      </w:r>
    </w:p>
    <w:p>
      <w:pPr>
        <w:pStyle w:val="ySubsection"/>
        <w:spacing w:before="120"/>
        <w:rPr>
          <w:snapToGrid w:val="0"/>
        </w:rPr>
      </w:pPr>
      <w:r>
        <w:rPr>
          <w:snapToGrid w:val="0"/>
        </w:rPr>
        <w:tab/>
        <w:t>(2)</w:t>
      </w:r>
      <w:r>
        <w:rPr>
          <w:snapToGrid w:val="0"/>
        </w:rPr>
        <w:tab/>
        <w:t>Unless —</w:t>
      </w:r>
    </w:p>
    <w:p>
      <w:pPr>
        <w:pStyle w:val="yIndenta"/>
        <w:rPr>
          <w:snapToGrid w:val="0"/>
        </w:rPr>
      </w:pPr>
      <w:r>
        <w:rPr>
          <w:snapToGrid w:val="0"/>
        </w:rPr>
        <w:tab/>
        <w:t>(a)</w:t>
      </w:r>
      <w:r>
        <w:rPr>
          <w:snapToGrid w:val="0"/>
        </w:rPr>
        <w:tab/>
        <w:t>he or she sooner resigns; or</w:t>
      </w:r>
    </w:p>
    <w:p>
      <w:pPr>
        <w:pStyle w:val="yIndenta"/>
        <w:rPr>
          <w:snapToGrid w:val="0"/>
        </w:rPr>
      </w:pPr>
      <w:r>
        <w:rPr>
          <w:snapToGrid w:val="0"/>
        </w:rPr>
        <w:tab/>
        <w:t>(b)</w:t>
      </w:r>
      <w:r>
        <w:rPr>
          <w:snapToGrid w:val="0"/>
        </w:rPr>
        <w:tab/>
        <w:t>he or she is removed from office; or</w:t>
      </w:r>
    </w:p>
    <w:p>
      <w:pPr>
        <w:pStyle w:val="yIndenta"/>
        <w:rPr>
          <w:snapToGrid w:val="0"/>
        </w:rPr>
      </w:pPr>
      <w:r>
        <w:rPr>
          <w:snapToGrid w:val="0"/>
        </w:rPr>
        <w:tab/>
        <w:t>(c)</w:t>
      </w:r>
      <w:r>
        <w:rPr>
          <w:snapToGrid w:val="0"/>
        </w:rPr>
        <w:tab/>
        <w:t>his or her office becomes vacant under clause 2(b),</w:t>
      </w:r>
    </w:p>
    <w:p>
      <w:pPr>
        <w:pStyle w:val="ySubsection"/>
        <w:spacing w:before="120"/>
        <w:rPr>
          <w:snapToGrid w:val="0"/>
        </w:rPr>
      </w:pPr>
      <w:r>
        <w:rPr>
          <w:snapToGrid w:val="0"/>
        </w:rPr>
        <w:tab/>
      </w:r>
      <w:r>
        <w:rPr>
          <w:snapToGrid w:val="0"/>
        </w:rPr>
        <w:tab/>
        <w:t>a member continues in office until his or her successor comes into office, despite the term for which the member was appointed having expired.</w:t>
      </w:r>
    </w:p>
    <w:p>
      <w:pPr>
        <w:pStyle w:val="yHeading5"/>
        <w:outlineLvl w:val="9"/>
        <w:rPr>
          <w:snapToGrid w:val="0"/>
        </w:rPr>
      </w:pPr>
      <w:bookmarkStart w:id="170" w:name="_Toc379203140"/>
      <w:bookmarkStart w:id="171" w:name="_Toc426029703"/>
      <w:r>
        <w:rPr>
          <w:rStyle w:val="CharSClsNo"/>
        </w:rPr>
        <w:t>2</w:t>
      </w:r>
      <w:r>
        <w:rPr>
          <w:snapToGrid w:val="0"/>
        </w:rPr>
        <w:t>.</w:t>
      </w:r>
      <w:r>
        <w:rPr>
          <w:snapToGrid w:val="0"/>
        </w:rPr>
        <w:tab/>
        <w:t>Resignation, removal etc.</w:t>
      </w:r>
      <w:bookmarkEnd w:id="170"/>
      <w:bookmarkEnd w:id="171"/>
    </w:p>
    <w:p>
      <w:pPr>
        <w:pStyle w:val="ySubsection"/>
        <w:spacing w:before="120"/>
        <w:rPr>
          <w:snapToGrid w:val="0"/>
        </w:rPr>
      </w:pPr>
      <w:r>
        <w:rPr>
          <w:snapToGrid w:val="0"/>
        </w:rPr>
        <w:tab/>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functions and proved to the satisfaction of the Governor; or</w:t>
      </w:r>
    </w:p>
    <w:p>
      <w:pPr>
        <w:pStyle w:val="yIndenta"/>
        <w:rPr>
          <w:snapToGrid w:val="0"/>
        </w:rPr>
      </w:pPr>
      <w:r>
        <w:rPr>
          <w:snapToGrid w:val="0"/>
        </w:rPr>
        <w:tab/>
        <w:t>(d)</w:t>
      </w:r>
      <w:r>
        <w:rPr>
          <w:snapToGrid w:val="0"/>
        </w:rPr>
        <w:tab/>
        <w:t>in the case of a member appointed under section 7(1)(b), ceases to be a member of the council or an employee of the City of Subiaco, as the case may be; or</w:t>
      </w:r>
    </w:p>
    <w:p>
      <w:pPr>
        <w:pStyle w:val="yIndenta"/>
        <w:rPr>
          <w:snapToGrid w:val="0"/>
        </w:rPr>
      </w:pPr>
      <w:r>
        <w:rPr>
          <w:snapToGrid w:val="0"/>
        </w:rPr>
        <w:tab/>
        <w:t>(e)</w:t>
      </w:r>
      <w:r>
        <w:rPr>
          <w:snapToGrid w:val="0"/>
        </w:rPr>
        <w:tab/>
        <w:t>in the case of a member appointed under section 7(1)(c), ceases to be a member of the board of directors of the Western Australian Land Authority.</w:t>
      </w:r>
    </w:p>
    <w:p>
      <w:pPr>
        <w:pStyle w:val="yFootnotesection"/>
        <w:spacing w:before="80"/>
      </w:pPr>
      <w:r>
        <w:tab/>
        <w:t>[Clause 2 amended by No. 14 of 1996 s. 4; No. 18 of 2009 s. 83.]</w:t>
      </w:r>
    </w:p>
    <w:p>
      <w:pPr>
        <w:pStyle w:val="yHeading5"/>
        <w:outlineLvl w:val="9"/>
        <w:rPr>
          <w:snapToGrid w:val="0"/>
        </w:rPr>
      </w:pPr>
      <w:bookmarkStart w:id="172" w:name="_Toc379203141"/>
      <w:bookmarkStart w:id="173" w:name="_Toc426029704"/>
      <w:r>
        <w:rPr>
          <w:rStyle w:val="CharSClsNo"/>
        </w:rPr>
        <w:t>3</w:t>
      </w:r>
      <w:r>
        <w:rPr>
          <w:snapToGrid w:val="0"/>
        </w:rPr>
        <w:t>.</w:t>
      </w:r>
      <w:r>
        <w:rPr>
          <w:snapToGrid w:val="0"/>
        </w:rPr>
        <w:tab/>
        <w:t>Temporary members</w:t>
      </w:r>
      <w:bookmarkEnd w:id="172"/>
      <w:bookmarkEnd w:id="173"/>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outlineLvl w:val="9"/>
        <w:rPr>
          <w:snapToGrid w:val="0"/>
        </w:rPr>
      </w:pPr>
      <w:bookmarkStart w:id="174" w:name="_Toc379203142"/>
      <w:bookmarkStart w:id="175" w:name="_Toc426029705"/>
      <w:r>
        <w:rPr>
          <w:rStyle w:val="CharSClsNo"/>
        </w:rPr>
        <w:t>4</w:t>
      </w:r>
      <w:r>
        <w:rPr>
          <w:snapToGrid w:val="0"/>
        </w:rPr>
        <w:t>.</w:t>
      </w:r>
      <w:r>
        <w:rPr>
          <w:snapToGrid w:val="0"/>
        </w:rPr>
        <w:tab/>
        <w:t>Resignation etc. of deputy chairperson</w:t>
      </w:r>
      <w:bookmarkEnd w:id="174"/>
      <w:bookmarkEnd w:id="175"/>
    </w:p>
    <w:p>
      <w:pPr>
        <w:pStyle w:val="ySubsection"/>
        <w:rPr>
          <w:snapToGrid w:val="0"/>
        </w:rPr>
      </w:pPr>
      <w:r>
        <w:rPr>
          <w:snapToGrid w:val="0"/>
        </w:rPr>
        <w:tab/>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Heading5"/>
        <w:outlineLvl w:val="9"/>
        <w:rPr>
          <w:snapToGrid w:val="0"/>
        </w:rPr>
      </w:pPr>
      <w:bookmarkStart w:id="176" w:name="_Toc379203143"/>
      <w:bookmarkStart w:id="177" w:name="_Toc426029706"/>
      <w:r>
        <w:rPr>
          <w:rStyle w:val="CharSClsNo"/>
        </w:rPr>
        <w:t>5</w:t>
      </w:r>
      <w:r>
        <w:rPr>
          <w:snapToGrid w:val="0"/>
        </w:rPr>
        <w:t>.</w:t>
      </w:r>
      <w:r>
        <w:rPr>
          <w:snapToGrid w:val="0"/>
        </w:rPr>
        <w:tab/>
        <w:t>Function of deputy chairperson</w:t>
      </w:r>
      <w:bookmarkEnd w:id="176"/>
      <w:bookmarkEnd w:id="177"/>
    </w:p>
    <w:p>
      <w:pPr>
        <w:pStyle w:val="ySubsection"/>
        <w:rPr>
          <w:snapToGrid w:val="0"/>
        </w:rPr>
      </w:pPr>
      <w:r>
        <w:rPr>
          <w:snapToGrid w:val="0"/>
        </w:rPr>
        <w:tab/>
        <w:t>(1)</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(2)</w:t>
      </w:r>
      <w:r>
        <w:rPr>
          <w:snapToGrid w:val="0"/>
        </w:rPr>
        <w:tab/>
        <w:t>No act or omission of the deputy chairperson acting as the chairperson is to be questioned on the ground that the occasion for his or her so acting had not arisen or had ceased.</w:t>
      </w:r>
    </w:p>
    <w:p>
      <w:pPr>
        <w:pStyle w:val="yHeading5"/>
        <w:outlineLvl w:val="9"/>
        <w:rPr>
          <w:snapToGrid w:val="0"/>
        </w:rPr>
      </w:pPr>
      <w:bookmarkStart w:id="178" w:name="_Toc379203144"/>
      <w:bookmarkStart w:id="179" w:name="_Toc426029707"/>
      <w:r>
        <w:rPr>
          <w:rStyle w:val="CharSClsNo"/>
        </w:rPr>
        <w:t>6</w:t>
      </w:r>
      <w:r>
        <w:rPr>
          <w:snapToGrid w:val="0"/>
        </w:rPr>
        <w:t>.</w:t>
      </w:r>
      <w:r>
        <w:rPr>
          <w:snapToGrid w:val="0"/>
        </w:rPr>
        <w:tab/>
        <w:t>Meetings</w:t>
      </w:r>
      <w:bookmarkEnd w:id="178"/>
      <w:bookmarkEnd w:id="179"/>
    </w:p>
    <w:p>
      <w:pPr>
        <w:pStyle w:val="ySubsection"/>
        <w:rPr>
          <w:snapToGrid w:val="0"/>
        </w:rPr>
      </w:pPr>
      <w:r>
        <w:rPr>
          <w:snapToGrid w:val="0"/>
        </w:rPr>
        <w:tab/>
        <w:t>(1)</w:t>
      </w:r>
      <w:r>
        <w:rPr>
          <w:snapToGrid w:val="0"/>
        </w:rPr>
        <w:tab/>
        <w:t>The first meeting of the Authority is to be convened by the chairperson and subsequently, subject to subclause (2), meetings are to be held at the times and places that the Authority determines.</w:t>
      </w:r>
    </w:p>
    <w:p>
      <w:pPr>
        <w:pStyle w:val="ySubsection"/>
        <w:spacing w:before="120"/>
        <w:rPr>
          <w:snapToGrid w:val="0"/>
        </w:rPr>
      </w:pPr>
      <w:r>
        <w:rPr>
          <w:snapToGrid w:val="0"/>
        </w:rPr>
        <w:tab/>
        <w:t>(2)</w:t>
      </w:r>
      <w:r>
        <w:rPr>
          <w:snapToGrid w:val="0"/>
        </w:rPr>
        <w:tab/>
        <w:t>A special meeting of the Authority may at any time be convened by the chairperson.</w:t>
      </w:r>
    </w:p>
    <w:p>
      <w:pPr>
        <w:pStyle w:val="ySubsection"/>
        <w:spacing w:before="120"/>
        <w:rPr>
          <w:snapToGrid w:val="0"/>
        </w:rPr>
      </w:pPr>
      <w:r>
        <w:rPr>
          <w:snapToGrid w:val="0"/>
        </w:rPr>
        <w:tab/>
        <w:t>(3)</w:t>
      </w:r>
      <w:r>
        <w:rPr>
          <w:snapToGrid w:val="0"/>
        </w:rPr>
        <w:tab/>
        <w:t>The chairperson is to preside at all meetings of the Authority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Authority is 3 members.</w:t>
      </w:r>
    </w:p>
    <w:p>
      <w:pPr>
        <w:pStyle w:val="ySubsection"/>
        <w:spacing w:before="120"/>
        <w:rPr>
          <w:snapToGrid w:val="0"/>
        </w:rPr>
      </w:pPr>
      <w:r>
        <w:rPr>
          <w:snapToGrid w:val="0"/>
        </w:rPr>
        <w:tab/>
        <w:t>(6)</w:t>
      </w:r>
      <w:r>
        <w:rPr>
          <w:snapToGrid w:val="0"/>
        </w:rPr>
        <w:tab/>
        <w:t>At any meeting of the Authority the chairperson, deputy chairperson or other person presiding is to have a deliberative vote and, in the case of an equality of votes, is also to have a casting vote.</w:t>
      </w:r>
    </w:p>
    <w:p>
      <w:pPr>
        <w:pStyle w:val="ySubsection"/>
        <w:spacing w:before="120"/>
        <w:rPr>
          <w:snapToGrid w:val="0"/>
        </w:rPr>
      </w:pPr>
      <w:r>
        <w:rPr>
          <w:snapToGrid w:val="0"/>
        </w:rPr>
        <w:tab/>
        <w:t>(7)</w:t>
      </w:r>
      <w:r>
        <w:rPr>
          <w:snapToGrid w:val="0"/>
        </w:rPr>
        <w:tab/>
        <w:t>The Authority is to cause accurate minutes to be kept of the proceedings at its meetings.</w:t>
      </w:r>
    </w:p>
    <w:p>
      <w:pPr>
        <w:pStyle w:val="yHeading5"/>
        <w:spacing w:before="120"/>
        <w:outlineLvl w:val="9"/>
        <w:rPr>
          <w:snapToGrid w:val="0"/>
        </w:rPr>
      </w:pPr>
      <w:bookmarkStart w:id="180" w:name="_Toc379203145"/>
      <w:bookmarkStart w:id="181" w:name="_Toc426029708"/>
      <w:r>
        <w:rPr>
          <w:rStyle w:val="CharSClsNo"/>
        </w:rPr>
        <w:t>7</w:t>
      </w:r>
      <w:r>
        <w:rPr>
          <w:snapToGrid w:val="0"/>
        </w:rPr>
        <w:t>.</w:t>
      </w:r>
      <w:r>
        <w:rPr>
          <w:snapToGrid w:val="0"/>
        </w:rPr>
        <w:tab/>
        <w:t>Committees</w:t>
      </w:r>
      <w:bookmarkEnd w:id="180"/>
      <w:bookmarkEnd w:id="181"/>
    </w:p>
    <w:p>
      <w:pPr>
        <w:pStyle w:val="ySubsection"/>
        <w:spacing w:before="120"/>
        <w:rPr>
          <w:snapToGrid w:val="0"/>
        </w:rPr>
      </w:pPr>
      <w:r>
        <w:rPr>
          <w:snapToGrid w:val="0"/>
        </w:rPr>
        <w:tab/>
        <w:t>(1)</w:t>
      </w:r>
      <w:r>
        <w:rPr>
          <w:snapToGrid w:val="0"/>
        </w:rPr>
        <w:tab/>
        <w:t>The Authority may from time to time appoint committees of those members, or those members and other persons, that it thinks fit and may discharge or alter any committee so appointed.</w:t>
      </w:r>
    </w:p>
    <w:p>
      <w:pPr>
        <w:pStyle w:val="ySubsection"/>
        <w:spacing w:before="120"/>
        <w:rPr>
          <w:snapToGrid w:val="0"/>
        </w:rPr>
      </w:pPr>
      <w:r>
        <w:rPr>
          <w:snapToGrid w:val="0"/>
        </w:rPr>
        <w:tab/>
        <w:t>(2)</w:t>
      </w:r>
      <w:r>
        <w:rPr>
          <w:snapToGrid w:val="0"/>
        </w:rPr>
        <w:tab/>
        <w:t>Subject to the directions of the Authority and to the terms of any delegation under section 28, each committee may determine its own procedures.</w:t>
      </w:r>
    </w:p>
    <w:p>
      <w:pPr>
        <w:pStyle w:val="yHeading5"/>
        <w:spacing w:before="120"/>
        <w:outlineLvl w:val="9"/>
        <w:rPr>
          <w:snapToGrid w:val="0"/>
        </w:rPr>
      </w:pPr>
      <w:bookmarkStart w:id="182" w:name="_Toc379203146"/>
      <w:bookmarkStart w:id="183" w:name="_Toc426029709"/>
      <w:r>
        <w:rPr>
          <w:rStyle w:val="CharSClsNo"/>
        </w:rPr>
        <w:t>8</w:t>
      </w:r>
      <w:r>
        <w:rPr>
          <w:snapToGrid w:val="0"/>
        </w:rPr>
        <w:t>.</w:t>
      </w:r>
      <w:r>
        <w:rPr>
          <w:snapToGrid w:val="0"/>
        </w:rPr>
        <w:tab/>
        <w:t>Resolution may be passed without meeting</w:t>
      </w:r>
      <w:bookmarkEnd w:id="182"/>
      <w:bookmarkEnd w:id="183"/>
    </w:p>
    <w:p>
      <w:pPr>
        <w:pStyle w:val="ySubsection"/>
        <w:spacing w:before="120"/>
        <w:rPr>
          <w:snapToGrid w:val="0"/>
        </w:rPr>
      </w:pPr>
      <w:r>
        <w:rPr>
          <w:snapToGrid w:val="0"/>
        </w:rPr>
        <w:tab/>
      </w:r>
      <w:r>
        <w:rPr>
          <w:snapToGrid w:val="0"/>
        </w:rPr>
        <w:tab/>
        <w:t>A resolution in writing signed or assented to by each member by letter, telegram, telex or facsimile transmission is as valid and effectual as if it had been passed at a meeting of the Authority.</w:t>
      </w:r>
    </w:p>
    <w:p>
      <w:pPr>
        <w:pStyle w:val="yHeading5"/>
        <w:spacing w:before="120"/>
        <w:outlineLvl w:val="9"/>
        <w:rPr>
          <w:snapToGrid w:val="0"/>
        </w:rPr>
      </w:pPr>
      <w:bookmarkStart w:id="184" w:name="_Toc379203147"/>
      <w:bookmarkStart w:id="185" w:name="_Toc426029710"/>
      <w:r>
        <w:rPr>
          <w:rStyle w:val="CharSClsNo"/>
        </w:rPr>
        <w:t>9</w:t>
      </w:r>
      <w:r>
        <w:rPr>
          <w:snapToGrid w:val="0"/>
        </w:rPr>
        <w:t>.</w:t>
      </w:r>
      <w:r>
        <w:rPr>
          <w:snapToGrid w:val="0"/>
        </w:rPr>
        <w:tab/>
        <w:t>Leave of absence</w:t>
      </w:r>
      <w:bookmarkEnd w:id="184"/>
      <w:bookmarkEnd w:id="185"/>
    </w:p>
    <w:p>
      <w:pPr>
        <w:pStyle w:val="ySubsection"/>
        <w:rPr>
          <w:snapToGrid w:val="0"/>
        </w:rPr>
      </w:pPr>
      <w:r>
        <w:rPr>
          <w:snapToGrid w:val="0"/>
        </w:rPr>
        <w:tab/>
      </w:r>
      <w:r>
        <w:rPr>
          <w:snapToGrid w:val="0"/>
        </w:rPr>
        <w:tab/>
        <w:t>The Authority may grant leave of absence to a member on the terms and conditions that the Authority thinks fit.</w:t>
      </w:r>
    </w:p>
    <w:p>
      <w:pPr>
        <w:pStyle w:val="yHeading5"/>
        <w:spacing w:before="120"/>
        <w:outlineLvl w:val="9"/>
        <w:rPr>
          <w:snapToGrid w:val="0"/>
        </w:rPr>
      </w:pPr>
      <w:bookmarkStart w:id="186" w:name="_Toc379203148"/>
      <w:bookmarkStart w:id="187" w:name="_Toc426029711"/>
      <w:r>
        <w:rPr>
          <w:rStyle w:val="CharSClsNo"/>
        </w:rPr>
        <w:t>10</w:t>
      </w:r>
      <w:r>
        <w:rPr>
          <w:snapToGrid w:val="0"/>
        </w:rPr>
        <w:t>.</w:t>
      </w:r>
      <w:r>
        <w:rPr>
          <w:snapToGrid w:val="0"/>
        </w:rPr>
        <w:tab/>
        <w:t>Authority to determine own procedures</w:t>
      </w:r>
      <w:bookmarkEnd w:id="186"/>
      <w:bookmarkEnd w:id="187"/>
    </w:p>
    <w:p>
      <w:pPr>
        <w:pStyle w:val="ySubsection"/>
        <w:spacing w:before="120"/>
        <w:rPr>
          <w:snapToGrid w:val="0"/>
        </w:rPr>
      </w:pPr>
      <w:r>
        <w:rPr>
          <w:snapToGrid w:val="0"/>
        </w:rPr>
        <w:tab/>
      </w:r>
      <w:r>
        <w:rPr>
          <w:snapToGrid w:val="0"/>
        </w:rPr>
        <w:tab/>
        <w:t>Subject to this Act, the Authority is to determine its own procedures.</w:t>
      </w:r>
    </w:p>
    <w:p>
      <w:pPr>
        <w:pStyle w:val="yEdnoteschedule"/>
        <w:spacing w:before="200"/>
      </w:pPr>
      <w:r>
        <w:t>[Schedule 3 omitted under the Reprints Act 1984 s. 7(4)(e).]</w:t>
      </w:r>
    </w:p>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outlineLvl w:val="0"/>
      </w:pPr>
      <w:bookmarkStart w:id="188" w:name="_Toc379203149"/>
      <w:bookmarkStart w:id="189" w:name="_Toc426029712"/>
      <w:r>
        <w:t>Notes</w:t>
      </w:r>
      <w:bookmarkEnd w:id="188"/>
      <w:bookmarkEnd w:id="189"/>
    </w:p>
    <w:p>
      <w:pPr>
        <w:pStyle w:val="nSubsection"/>
        <w:rPr>
          <w:snapToGrid w:val="0"/>
        </w:rPr>
      </w:pPr>
      <w:r>
        <w:rPr>
          <w:snapToGrid w:val="0"/>
          <w:vertAlign w:val="superscript"/>
        </w:rPr>
        <w:t>1</w:t>
      </w:r>
      <w:r>
        <w:rPr>
          <w:snapToGrid w:val="0"/>
        </w:rPr>
        <w:tab/>
        <w:t xml:space="preserve">This is a compilation of the </w:t>
      </w:r>
      <w:r>
        <w:rPr>
          <w:i/>
        </w:rPr>
        <w:t xml:space="preserve">Subiaco Redevelopment Act 1994 </w:t>
      </w:r>
      <w:r>
        <w:rPr>
          <w:snapToGrid w:val="0"/>
        </w:rPr>
        <w:t>and includes the amendments made by the other written laws referred to in the following table.  The table also contains information about any reprint.</w:t>
      </w:r>
    </w:p>
    <w:p>
      <w:pPr>
        <w:pStyle w:val="nHeading3"/>
        <w:rPr>
          <w:snapToGrid w:val="0"/>
        </w:rPr>
      </w:pPr>
      <w:bookmarkStart w:id="190" w:name="_Toc379203150"/>
      <w:bookmarkStart w:id="191" w:name="_Toc426029713"/>
      <w:r>
        <w:rPr>
          <w:snapToGrid w:val="0"/>
        </w:rPr>
        <w:t>Compilation table</w:t>
      </w:r>
      <w:bookmarkEnd w:id="190"/>
      <w:bookmarkEnd w:id="191"/>
    </w:p>
    <w:tbl>
      <w:tblPr>
        <w:tblW w:w="7091" w:type="dxa"/>
        <w:tblInd w:w="112" w:type="dxa"/>
        <w:tblLayout w:type="fixed"/>
        <w:tblCellMar>
          <w:left w:w="56" w:type="dxa"/>
          <w:right w:w="56" w:type="dxa"/>
        </w:tblCellMar>
        <w:tblLook w:val="0000" w:firstRow="0" w:lastRow="0" w:firstColumn="0" w:lastColumn="0" w:noHBand="0" w:noVBand="0"/>
      </w:tblPr>
      <w:tblGrid>
        <w:gridCol w:w="2268"/>
        <w:gridCol w:w="1136"/>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6"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Subiaco Redevelopment Act 1994</w:t>
            </w:r>
          </w:p>
        </w:tc>
        <w:tc>
          <w:tcPr>
            <w:tcW w:w="1136" w:type="dxa"/>
          </w:tcPr>
          <w:p>
            <w:pPr>
              <w:pStyle w:val="nTable"/>
              <w:spacing w:after="40"/>
            </w:pPr>
            <w:r>
              <w:t>35 of 1994</w:t>
            </w:r>
          </w:p>
        </w:tc>
        <w:tc>
          <w:tcPr>
            <w:tcW w:w="1136" w:type="dxa"/>
          </w:tcPr>
          <w:p>
            <w:pPr>
              <w:pStyle w:val="nTable"/>
              <w:spacing w:after="40"/>
            </w:pPr>
            <w:r>
              <w:t>8 Jul 1994</w:t>
            </w:r>
          </w:p>
        </w:tc>
        <w:tc>
          <w:tcPr>
            <w:tcW w:w="2551" w:type="dxa"/>
          </w:tcPr>
          <w:p>
            <w:pPr>
              <w:pStyle w:val="nTable"/>
              <w:spacing w:after="40"/>
            </w:pPr>
            <w:r>
              <w:t>s. 1 and 2: 8 Jul 1994;</w:t>
            </w:r>
            <w:r>
              <w:br/>
              <w:t xml:space="preserve">Act other than s. 1 and 2: 24 Aug 1994 (see s. 2 and </w:t>
            </w:r>
            <w:r>
              <w:rPr>
                <w:i/>
              </w:rPr>
              <w:t>Gazette</w:t>
            </w:r>
            <w:r>
              <w:t xml:space="preserve"> 23 Aug 1994 p. 4364)</w:t>
            </w:r>
          </w:p>
        </w:tc>
      </w:tr>
      <w:tr>
        <w:trPr>
          <w:cantSplit/>
        </w:trPr>
        <w:tc>
          <w:tcPr>
            <w:tcW w:w="2268" w:type="dxa"/>
          </w:tcPr>
          <w:p>
            <w:pPr>
              <w:pStyle w:val="nTable"/>
              <w:spacing w:after="40"/>
              <w:ind w:right="113"/>
            </w:pPr>
            <w:r>
              <w:rPr>
                <w:i/>
              </w:rPr>
              <w:t>Planning Legislation Amendment Act (No. 2) 1994</w:t>
            </w:r>
            <w:r>
              <w:t xml:space="preserve"> Pt. 5</w:t>
            </w:r>
          </w:p>
        </w:tc>
        <w:tc>
          <w:tcPr>
            <w:tcW w:w="1136" w:type="dxa"/>
          </w:tcPr>
          <w:p>
            <w:pPr>
              <w:pStyle w:val="nTable"/>
              <w:spacing w:after="40"/>
            </w:pPr>
            <w:r>
              <w:t>84 of 1994</w:t>
            </w:r>
          </w:p>
        </w:tc>
        <w:tc>
          <w:tcPr>
            <w:tcW w:w="1136"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cantSplit/>
        </w:trPr>
        <w:tc>
          <w:tcPr>
            <w:tcW w:w="2268" w:type="dxa"/>
          </w:tcPr>
          <w:p>
            <w:pPr>
              <w:pStyle w:val="nTable"/>
              <w:spacing w:after="40"/>
              <w:ind w:right="113"/>
            </w:pPr>
            <w:r>
              <w:rPr>
                <w:i/>
              </w:rPr>
              <w:t>Local Government (Consequential Amendments) Act 1996</w:t>
            </w:r>
            <w:r>
              <w:t xml:space="preserve"> s. 4</w:t>
            </w:r>
          </w:p>
        </w:tc>
        <w:tc>
          <w:tcPr>
            <w:tcW w:w="1136"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Planning Legislation Amendment Act 1996</w:t>
            </w:r>
            <w:r>
              <w:t xml:space="preserve"> Pt. 5</w:t>
            </w:r>
            <w:r>
              <w:rPr>
                <w:vertAlign w:val="superscript"/>
              </w:rPr>
              <w:t> 2</w:t>
            </w:r>
          </w:p>
        </w:tc>
        <w:tc>
          <w:tcPr>
            <w:tcW w:w="1136" w:type="dxa"/>
          </w:tcPr>
          <w:p>
            <w:pPr>
              <w:pStyle w:val="nTable"/>
              <w:spacing w:after="40"/>
            </w:pPr>
            <w:r>
              <w:t>23 of 1996</w:t>
            </w:r>
          </w:p>
        </w:tc>
        <w:tc>
          <w:tcPr>
            <w:tcW w:w="1136" w:type="dxa"/>
          </w:tcPr>
          <w:p>
            <w:pPr>
              <w:pStyle w:val="nTable"/>
              <w:spacing w:after="40"/>
            </w:pPr>
            <w:r>
              <w:t>11 Jul 1996</w:t>
            </w:r>
          </w:p>
        </w:tc>
        <w:tc>
          <w:tcPr>
            <w:tcW w:w="2551" w:type="dxa"/>
          </w:tcPr>
          <w:p>
            <w:pPr>
              <w:pStyle w:val="nTable"/>
              <w:spacing w:after="40"/>
            </w:pPr>
            <w:r>
              <w:t xml:space="preserve">4 Aug 1996 (see s. 2 and </w:t>
            </w:r>
            <w:r>
              <w:rPr>
                <w:i/>
              </w:rPr>
              <w:t>Gazette</w:t>
            </w:r>
            <w:r>
              <w:t xml:space="preserve"> 2 Aug 1996 p. 3615)</w:t>
            </w:r>
          </w:p>
        </w:tc>
      </w:tr>
      <w:tr>
        <w:trPr>
          <w:cantSplit/>
        </w:trPr>
        <w:tc>
          <w:tcPr>
            <w:tcW w:w="2268" w:type="dxa"/>
          </w:tcPr>
          <w:p>
            <w:pPr>
              <w:pStyle w:val="nTable"/>
              <w:spacing w:after="40"/>
              <w:ind w:right="113"/>
            </w:pPr>
            <w:r>
              <w:rPr>
                <w:i/>
              </w:rPr>
              <w:t>Statutory Corporations (Liability of Directors) Act 1996</w:t>
            </w:r>
            <w:r>
              <w:t xml:space="preserve"> s. 3</w:t>
            </w:r>
          </w:p>
        </w:tc>
        <w:tc>
          <w:tcPr>
            <w:tcW w:w="1136"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13"/>
            </w:pPr>
            <w:r>
              <w:rPr>
                <w:i/>
              </w:rPr>
              <w:t>Acts Amendment (Land Administration) Act 1997</w:t>
            </w:r>
            <w:r>
              <w:t xml:space="preserve"> Pt. 57</w:t>
            </w:r>
          </w:p>
        </w:tc>
        <w:tc>
          <w:tcPr>
            <w:tcW w:w="1136"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116</w:t>
            </w:r>
            <w:r>
              <w:rPr>
                <w:vertAlign w:val="superscript"/>
              </w:rPr>
              <w:t> 3</w:t>
            </w:r>
          </w:p>
        </w:tc>
        <w:tc>
          <w:tcPr>
            <w:tcW w:w="1136"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91" w:type="dxa"/>
            <w:gridSpan w:val="4"/>
          </w:tcPr>
          <w:p>
            <w:pPr>
              <w:pStyle w:val="nTable"/>
              <w:spacing w:after="40"/>
            </w:pPr>
            <w:r>
              <w:rPr>
                <w:b/>
                <w:bCs/>
              </w:rPr>
              <w:t xml:space="preserve">Reprint of the </w:t>
            </w:r>
            <w:r>
              <w:rPr>
                <w:b/>
                <w:bCs/>
                <w:i/>
              </w:rPr>
              <w:t>Subiaco Redevelopment Act 1994</w:t>
            </w:r>
            <w:r>
              <w:rPr>
                <w:b/>
                <w:bCs/>
              </w:rPr>
              <w:t xml:space="preserve"> as at 25 Feb 2000</w:t>
            </w:r>
            <w:r>
              <w:t xml:space="preserve"> (includes amendments listed above)</w:t>
            </w:r>
          </w:p>
        </w:tc>
      </w:tr>
      <w:tr>
        <w:trPr>
          <w:cantSplit/>
        </w:trPr>
        <w:tc>
          <w:tcPr>
            <w:tcW w:w="2268" w:type="dxa"/>
          </w:tcPr>
          <w:p>
            <w:pPr>
              <w:pStyle w:val="nTable"/>
              <w:spacing w:after="40"/>
              <w:ind w:right="113"/>
            </w:pPr>
            <w:r>
              <w:rPr>
                <w:i/>
              </w:rPr>
              <w:t>Planning Appeals Amendment Act 2002</w:t>
            </w:r>
            <w:r>
              <w:t xml:space="preserve"> s. 29</w:t>
            </w:r>
          </w:p>
        </w:tc>
        <w:tc>
          <w:tcPr>
            <w:tcW w:w="1136" w:type="dxa"/>
          </w:tcPr>
          <w:p>
            <w:pPr>
              <w:pStyle w:val="nTable"/>
              <w:spacing w:after="40"/>
            </w:pPr>
            <w:r>
              <w:t>24 of 2002</w:t>
            </w:r>
          </w:p>
        </w:tc>
        <w:tc>
          <w:tcPr>
            <w:tcW w:w="1136" w:type="dxa"/>
          </w:tcPr>
          <w:p>
            <w:pPr>
              <w:pStyle w:val="nTable"/>
              <w:spacing w:after="40"/>
            </w:pPr>
            <w:r>
              <w:t>24 Sep 2002</w:t>
            </w:r>
          </w:p>
        </w:tc>
        <w:tc>
          <w:tcPr>
            <w:tcW w:w="2551" w:type="dxa"/>
          </w:tcPr>
          <w:p>
            <w:pPr>
              <w:pStyle w:val="nTable"/>
              <w:spacing w:after="40"/>
            </w:pPr>
            <w:r>
              <w:t xml:space="preserve">18 Apr 2003 (see s. 2 and </w:t>
            </w:r>
            <w:r>
              <w:rPr>
                <w:i/>
              </w:rPr>
              <w:t>Gazette</w:t>
            </w:r>
            <w:r>
              <w:t xml:space="preserve"> 17 Apr 2003 p. 1243)</w:t>
            </w:r>
          </w:p>
        </w:tc>
      </w:tr>
      <w:tr>
        <w:trPr>
          <w:cantSplit/>
        </w:trPr>
        <w:tc>
          <w:tcPr>
            <w:tcW w:w="2268" w:type="dxa"/>
          </w:tcPr>
          <w:p>
            <w:pPr>
              <w:pStyle w:val="nTable"/>
              <w:spacing w:after="40"/>
              <w:ind w:right="113"/>
            </w:pPr>
            <w:r>
              <w:rPr>
                <w:i/>
              </w:rPr>
              <w:t>Public Transport Authority Act 2003</w:t>
            </w:r>
            <w:r>
              <w:t xml:space="preserve"> s. 154</w:t>
            </w:r>
          </w:p>
        </w:tc>
        <w:tc>
          <w:tcPr>
            <w:tcW w:w="1136" w:type="dxa"/>
          </w:tcPr>
          <w:p>
            <w:pPr>
              <w:pStyle w:val="nTable"/>
              <w:spacing w:after="40"/>
            </w:pPr>
            <w:r>
              <w:t>31 of 2003</w:t>
            </w:r>
          </w:p>
        </w:tc>
        <w:tc>
          <w:tcPr>
            <w:tcW w:w="1136"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2268" w:type="dxa"/>
          </w:tcPr>
          <w:p>
            <w:pPr>
              <w:pStyle w:val="nTable"/>
              <w:spacing w:after="40"/>
              <w:ind w:right="113"/>
              <w:rPr>
                <w:i/>
              </w:rPr>
            </w:pPr>
            <w:r>
              <w:rPr>
                <w:i/>
              </w:rPr>
              <w:t>Environmental Protection Amendment Act 2003</w:t>
            </w:r>
            <w:r>
              <w:t xml:space="preserve"> s. 68(7)</w:t>
            </w:r>
          </w:p>
        </w:tc>
        <w:tc>
          <w:tcPr>
            <w:tcW w:w="1136" w:type="dxa"/>
          </w:tcPr>
          <w:p>
            <w:pPr>
              <w:pStyle w:val="nTable"/>
              <w:spacing w:after="40"/>
            </w:pPr>
            <w:r>
              <w:t>54 of 2003</w:t>
            </w:r>
          </w:p>
        </w:tc>
        <w:tc>
          <w:tcPr>
            <w:tcW w:w="1136" w:type="dxa"/>
          </w:tcPr>
          <w:p>
            <w:pPr>
              <w:pStyle w:val="nTable"/>
              <w:spacing w:after="40"/>
            </w:pPr>
            <w:r>
              <w:t>20 Oct 2003</w:t>
            </w:r>
          </w:p>
        </w:tc>
        <w:tc>
          <w:tcPr>
            <w:tcW w:w="2551" w:type="dxa"/>
          </w:tcPr>
          <w:p>
            <w:pPr>
              <w:pStyle w:val="nTable"/>
              <w:spacing w:after="40"/>
            </w:pPr>
            <w:r>
              <w:t xml:space="preserve">19 Nov 2003 (see s. 2 and </w:t>
            </w:r>
            <w:r>
              <w:rPr>
                <w:i/>
              </w:rPr>
              <w:t>Gazette</w:t>
            </w:r>
            <w:r>
              <w:t xml:space="preserve"> 18 Nov 2003 p. 4723)</w:t>
            </w:r>
          </w:p>
        </w:tc>
      </w:tr>
      <w:tr>
        <w:trPr>
          <w:cantSplit/>
        </w:trPr>
        <w:tc>
          <w:tcPr>
            <w:tcW w:w="2268" w:type="dxa"/>
          </w:tcPr>
          <w:p>
            <w:pPr>
              <w:pStyle w:val="nTable"/>
              <w:spacing w:after="40"/>
              <w:ind w:right="113"/>
              <w:rPr>
                <w:i/>
              </w:rPr>
            </w:pPr>
            <w:r>
              <w:rPr>
                <w:i/>
              </w:rPr>
              <w:t>State Administrative Tribunal (Conferral of Jurisdiction) Amendment and Repeal Act 2004</w:t>
            </w:r>
            <w:r>
              <w:rPr>
                <w:i/>
                <w:iCs/>
              </w:rPr>
              <w:t xml:space="preserve"> </w:t>
            </w:r>
            <w:r>
              <w:rPr>
                <w:iCs/>
              </w:rPr>
              <w:t>Pt. 2 Div. 122</w:t>
            </w:r>
            <w:r>
              <w:rPr>
                <w:iCs/>
                <w:vertAlign w:val="superscript"/>
              </w:rPr>
              <w:t> 4</w:t>
            </w:r>
          </w:p>
        </w:tc>
        <w:tc>
          <w:tcPr>
            <w:tcW w:w="1136"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4540" w:type="dxa"/>
            <w:gridSpan w:val="3"/>
          </w:tcPr>
          <w:p>
            <w:pPr>
              <w:pStyle w:val="nTable"/>
              <w:spacing w:after="40"/>
            </w:pPr>
            <w:r>
              <w:rPr>
                <w:i/>
                <w:iCs/>
              </w:rPr>
              <w:t>Subiaco Redevelopment (Subtracted Area) Regulations 2005</w:t>
            </w:r>
            <w:r>
              <w:t xml:space="preserve"> r. 3 published in </w:t>
            </w:r>
            <w:r>
              <w:rPr>
                <w:i/>
                <w:iCs/>
              </w:rPr>
              <w:t>Gazette</w:t>
            </w:r>
            <w:r>
              <w:t xml:space="preserve"> 16 Sep 2005 p. 4318</w:t>
            </w:r>
            <w:r>
              <w:noBreakHyphen/>
              <w:t>21</w:t>
            </w:r>
          </w:p>
        </w:tc>
        <w:tc>
          <w:tcPr>
            <w:tcW w:w="2551" w:type="dxa"/>
          </w:tcPr>
          <w:p>
            <w:pPr>
              <w:pStyle w:val="nTable"/>
              <w:spacing w:after="40"/>
            </w:pPr>
            <w:r>
              <w:t xml:space="preserve">17 Sep 2005 (see r. 3(2) and </w:t>
            </w:r>
            <w:r>
              <w:rPr>
                <w:i/>
                <w:iCs/>
              </w:rPr>
              <w:t>Gazette</w:t>
            </w:r>
            <w:r>
              <w:t xml:space="preserve"> 16 Sep 2005 p. 4322)</w:t>
            </w:r>
          </w:p>
        </w:tc>
      </w:tr>
      <w:tr>
        <w:trPr>
          <w:cantSplit/>
        </w:trP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6"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91" w:type="dxa"/>
            <w:gridSpan w:val="4"/>
          </w:tcPr>
          <w:p>
            <w:pPr>
              <w:pStyle w:val="nTable"/>
              <w:spacing w:after="40"/>
            </w:pPr>
            <w:r>
              <w:rPr>
                <w:b/>
                <w:bCs/>
              </w:rPr>
              <w:t xml:space="preserve">Reprint 2: The </w:t>
            </w:r>
            <w:r>
              <w:rPr>
                <w:b/>
                <w:bCs/>
                <w:i/>
              </w:rPr>
              <w:t>Subiaco Redevelopment Act 1994</w:t>
            </w:r>
            <w:r>
              <w:rPr>
                <w:b/>
                <w:bCs/>
              </w:rPr>
              <w:t xml:space="preserve"> as at 2 Jun 2006</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4540" w:type="dxa"/>
            <w:gridSpan w:val="3"/>
            <w:tcBorders>
              <w:top w:val="nil"/>
              <w:bottom w:val="nil"/>
            </w:tcBorders>
          </w:tcPr>
          <w:p>
            <w:pPr>
              <w:pStyle w:val="nTable"/>
              <w:spacing w:after="40"/>
              <w:rPr>
                <w:snapToGrid w:val="0"/>
              </w:rPr>
            </w:pPr>
            <w:r>
              <w:rPr>
                <w:i/>
                <w:iCs/>
              </w:rPr>
              <w:t xml:space="preserve">Subiaco Redevelopment (Subtracted Area </w:t>
            </w:r>
            <w:r>
              <w:rPr>
                <w:i/>
                <w:iCs/>
              </w:rPr>
              <w:noBreakHyphen/>
              <w:t xml:space="preserve"> Stage 2) Regulations 2006</w:t>
            </w:r>
            <w:r>
              <w:t xml:space="preserve"> r. 3 published in </w:t>
            </w:r>
            <w:r>
              <w:rPr>
                <w:i/>
                <w:iCs/>
              </w:rPr>
              <w:t>Gazette</w:t>
            </w:r>
            <w:r>
              <w:t xml:space="preserve"> 17 Nov 2006 p. 4764</w:t>
            </w:r>
            <w:r>
              <w:noBreakHyphen/>
              <w:t>8</w:t>
            </w:r>
          </w:p>
        </w:tc>
        <w:tc>
          <w:tcPr>
            <w:tcW w:w="2551" w:type="dxa"/>
            <w:tcBorders>
              <w:top w:val="nil"/>
              <w:bottom w:val="nil"/>
            </w:tcBorders>
          </w:tcPr>
          <w:p>
            <w:pPr>
              <w:pStyle w:val="nTable"/>
              <w:spacing w:after="40"/>
              <w:rPr>
                <w:snapToGrid w:val="0"/>
              </w:rPr>
            </w:pPr>
            <w:r>
              <w:t xml:space="preserve">31 Jan 2007 (see r. 3(2) and </w:t>
            </w:r>
            <w:r>
              <w:rPr>
                <w:i/>
                <w:iCs/>
              </w:rPr>
              <w:t>Gazette</w:t>
            </w:r>
            <w:r>
              <w:t xml:space="preserve"> 30 Jan 2007 p. 218)</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 4, 5(1) and Sch. 1 cl. 163</w:t>
            </w:r>
          </w:p>
        </w:tc>
        <w:tc>
          <w:tcPr>
            <w:tcW w:w="1136" w:type="dxa"/>
          </w:tcPr>
          <w:p>
            <w:pPr>
              <w:pStyle w:val="nTable"/>
              <w:spacing w:after="40"/>
            </w:pPr>
            <w:r>
              <w:rPr>
                <w:snapToGrid w:val="0"/>
              </w:rPr>
              <w:t>77 of 2006</w:t>
            </w:r>
          </w:p>
        </w:tc>
        <w:tc>
          <w:tcPr>
            <w:tcW w:w="1136" w:type="dxa"/>
          </w:tcPr>
          <w:p>
            <w:pPr>
              <w:pStyle w:val="nTable"/>
              <w:spacing w:after="40"/>
            </w:pPr>
            <w:r>
              <w:t>21 Dec 2006</w:t>
            </w:r>
          </w:p>
        </w:tc>
        <w:tc>
          <w:tcPr>
            <w:tcW w:w="2551" w:type="dxa"/>
          </w:tcPr>
          <w:p>
            <w:pPr>
              <w:pStyle w:val="nTable"/>
              <w:spacing w:after="40"/>
            </w:pPr>
            <w:r>
              <w:t xml:space="preserve">1 Feb 2007 (see s. 2(1) and </w:t>
            </w:r>
            <w:r>
              <w:rPr>
                <w:i/>
                <w:iCs/>
              </w:rPr>
              <w:t>Gazette</w:t>
            </w:r>
            <w: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37</w:t>
            </w:r>
          </w:p>
        </w:tc>
        <w:tc>
          <w:tcPr>
            <w:tcW w:w="1136"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pPr>
            <w:r>
              <w:t>1 Jul 2008 (see s. 2(d))</w:t>
            </w:r>
          </w:p>
        </w:tc>
      </w:tr>
      <w:tr>
        <w:trPr>
          <w:cantSplit/>
        </w:trPr>
        <w:tc>
          <w:tcPr>
            <w:tcW w:w="7091" w:type="dxa"/>
            <w:gridSpan w:val="4"/>
          </w:tcPr>
          <w:p>
            <w:pPr>
              <w:pStyle w:val="nTable"/>
              <w:spacing w:after="40"/>
            </w:pPr>
            <w:r>
              <w:rPr>
                <w:b/>
                <w:bCs/>
              </w:rPr>
              <w:t xml:space="preserve">Reprint 3: The </w:t>
            </w:r>
            <w:r>
              <w:rPr>
                <w:b/>
                <w:bCs/>
                <w:i/>
              </w:rPr>
              <w:t>Subiaco Redevelopment Act 1994</w:t>
            </w:r>
            <w:r>
              <w:rPr>
                <w:b/>
                <w:bCs/>
              </w:rPr>
              <w:t xml:space="preserve"> as at 21 Nov 2008</w:t>
            </w:r>
            <w:r>
              <w:t xml:space="preserve"> (includes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83</w:t>
            </w:r>
          </w:p>
        </w:tc>
        <w:tc>
          <w:tcPr>
            <w:tcW w:w="1136"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6" w:type="dxa"/>
          </w:tcPr>
          <w:p>
            <w:pPr>
              <w:pStyle w:val="nTable"/>
              <w:spacing w:after="40"/>
            </w:pPr>
            <w:r>
              <w:t>46 of 2009</w:t>
            </w:r>
          </w:p>
        </w:tc>
        <w:tc>
          <w:tcPr>
            <w:tcW w:w="1136" w:type="dxa"/>
          </w:tcPr>
          <w:p>
            <w:pPr>
              <w:pStyle w:val="nTable"/>
              <w:spacing w:after="40"/>
            </w:pPr>
            <w:r>
              <w:t>3 Dec 2009</w:t>
            </w:r>
          </w:p>
        </w:tc>
        <w:tc>
          <w:tcPr>
            <w:tcW w:w="2551"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6"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Approvals and Related Reforms (No. 4) (Planning) Act 2010</w:t>
            </w:r>
            <w:r>
              <w:t xml:space="preserve"> s. 38</w:t>
            </w:r>
          </w:p>
        </w:tc>
        <w:tc>
          <w:tcPr>
            <w:tcW w:w="1136" w:type="dxa"/>
          </w:tcPr>
          <w:p>
            <w:pPr>
              <w:pStyle w:val="nTable"/>
              <w:spacing w:after="40"/>
              <w:rPr>
                <w:snapToGrid w:val="0"/>
              </w:rPr>
            </w:pPr>
            <w:r>
              <w:rPr>
                <w:snapToGrid w:val="0"/>
              </w:rPr>
              <w:t>28 of 2010</w:t>
            </w:r>
          </w:p>
        </w:tc>
        <w:tc>
          <w:tcPr>
            <w:tcW w:w="1136" w:type="dxa"/>
          </w:tcPr>
          <w:p>
            <w:pPr>
              <w:pStyle w:val="nTable"/>
              <w:spacing w:after="40"/>
              <w:rPr>
                <w:snapToGrid w:val="0"/>
              </w:rPr>
            </w:pPr>
            <w:r>
              <w:rPr>
                <w:snapToGrid w:val="0"/>
              </w:rPr>
              <w:t>19 Aug 2010</w:t>
            </w:r>
          </w:p>
        </w:tc>
        <w:tc>
          <w:tcPr>
            <w:tcW w:w="2551" w:type="dxa"/>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rPr>
          <w:cantSplit/>
        </w:trPr>
        <w:tc>
          <w:tcPr>
            <w:tcW w:w="2268" w:type="dxa"/>
            <w:shd w:val="clear" w:color="auto" w:fill="auto"/>
          </w:tcPr>
          <w:p>
            <w:pPr>
              <w:pStyle w:val="nTable"/>
              <w:spacing w:after="40"/>
              <w:ind w:right="113"/>
              <w:rPr>
                <w:i/>
                <w:snapToGrid w:val="0"/>
              </w:rPr>
            </w:pPr>
            <w:r>
              <w:rPr>
                <w:i/>
                <w:snapToGrid w:val="0"/>
              </w:rPr>
              <w:t>Public Sector Reform Act 2010</w:t>
            </w:r>
            <w:r>
              <w:rPr>
                <w:i/>
                <w:iCs/>
                <w:snapToGrid w:val="0"/>
              </w:rPr>
              <w:t xml:space="preserve"> </w:t>
            </w:r>
            <w:r>
              <w:rPr>
                <w:snapToGrid w:val="0"/>
              </w:rPr>
              <w:t>s. 86</w:t>
            </w:r>
          </w:p>
        </w:tc>
        <w:tc>
          <w:tcPr>
            <w:tcW w:w="1136"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1" w:type="dxa"/>
            <w:gridSpan w:val="4"/>
            <w:shd w:val="clear" w:color="auto" w:fill="auto"/>
          </w:tcPr>
          <w:p>
            <w:pPr>
              <w:pStyle w:val="nTable"/>
              <w:spacing w:after="40"/>
              <w:rPr>
                <w:snapToGrid w:val="0"/>
              </w:rPr>
            </w:pPr>
            <w:r>
              <w:rPr>
                <w:b/>
                <w:bCs/>
              </w:rPr>
              <w:t xml:space="preserve">Reprint 4: The </w:t>
            </w:r>
            <w:r>
              <w:rPr>
                <w:b/>
                <w:bCs/>
                <w:i/>
              </w:rPr>
              <w:t>Subiaco Redevelopment Act 1994</w:t>
            </w:r>
            <w:r>
              <w:rPr>
                <w:b/>
                <w:bCs/>
              </w:rPr>
              <w:t xml:space="preserve"> as at 24 Jun 2011</w:t>
            </w:r>
            <w:r>
              <w:t xml:space="preserve"> (includes amendments listed above)</w:t>
            </w:r>
          </w:p>
        </w:tc>
      </w:tr>
      <w:tr>
        <w:trPr>
          <w:cantSplit/>
        </w:trPr>
        <w:tc>
          <w:tcPr>
            <w:tcW w:w="7091" w:type="dxa"/>
            <w:gridSpan w:val="4"/>
            <w:tcBorders>
              <w:bottom w:val="single" w:sz="8" w:space="0" w:color="auto"/>
            </w:tcBorders>
            <w:shd w:val="clear" w:color="auto" w:fill="auto"/>
          </w:tcPr>
          <w:p>
            <w:pPr>
              <w:pStyle w:val="nTable"/>
              <w:spacing w:after="40"/>
              <w:rPr>
                <w:b/>
                <w:bCs/>
                <w:color w:val="FF0000"/>
              </w:rPr>
            </w:pPr>
            <w:r>
              <w:rPr>
                <w:b/>
                <w:color w:val="FF0000"/>
              </w:rPr>
              <w:t xml:space="preserve">This Act was repealed by the </w:t>
            </w:r>
            <w:r>
              <w:rPr>
                <w:b/>
                <w:i/>
                <w:iCs/>
                <w:color w:val="FF0000"/>
              </w:rPr>
              <w:t>Metropolitan Redevelopment Authority Act 2011</w:t>
            </w:r>
            <w:r>
              <w:rPr>
                <w:b/>
                <w:color w:val="FF0000"/>
              </w:rPr>
              <w:t xml:space="preserve"> s. 134(d) (No. 45 of 2011) as at 31 Dec 2011 (see s. 2(b) and </w:t>
            </w:r>
            <w:r>
              <w:rPr>
                <w:b/>
                <w:i/>
                <w:iCs/>
                <w:color w:val="FF0000"/>
              </w:rPr>
              <w:t>Gazette</w:t>
            </w:r>
            <w:r>
              <w:rPr>
                <w:b/>
                <w:color w:val="FF0000"/>
              </w:rPr>
              <w:t xml:space="preserve"> 30 Dec 2011 p. 5573).</w:t>
            </w:r>
          </w:p>
        </w:tc>
      </w:tr>
    </w:tbl>
    <w:p>
      <w:pPr>
        <w:pStyle w:val="nSubsection"/>
        <w:spacing w:before="160"/>
        <w:rPr>
          <w:snapToGrid w:val="0"/>
        </w:rPr>
      </w:pPr>
      <w:r>
        <w:rPr>
          <w:snapToGrid w:val="0"/>
          <w:vertAlign w:val="superscript"/>
        </w:rPr>
        <w:t>2</w:t>
      </w:r>
      <w:r>
        <w:rPr>
          <w:snapToGrid w:val="0"/>
        </w:rPr>
        <w:tab/>
        <w:t xml:space="preserve">The </w:t>
      </w:r>
      <w:r>
        <w:rPr>
          <w:i/>
          <w:snapToGrid w:val="0"/>
        </w:rPr>
        <w:t>Planning Legislation Amendment Act 1996</w:t>
      </w:r>
      <w:r>
        <w:rPr>
          <w:snapToGrid w:val="0"/>
        </w:rPr>
        <w:t xml:space="preserve"> s. 39(2), (3) and (4) read as follows:</w:t>
      </w:r>
    </w:p>
    <w:p>
      <w:pPr>
        <w:pStyle w:val="BlankOpen"/>
        <w:rPr>
          <w:snapToGrid w:val="0"/>
        </w:rPr>
      </w:pPr>
    </w:p>
    <w:p>
      <w:pPr>
        <w:pStyle w:val="nzSubsection"/>
        <w:rPr>
          <w:snapToGrid w:val="0"/>
        </w:rPr>
      </w:pPr>
      <w:r>
        <w:rPr>
          <w:snapToGrid w:val="0"/>
        </w:rPr>
        <w:tab/>
        <w:t>(2)</w:t>
      </w:r>
      <w:r>
        <w:rPr>
          <w:snapToGrid w:val="0"/>
        </w:rPr>
        <w:tab/>
        <w:t>Subject to subsections (3) and (4), sections 40, 41, 42 and 42A of the principal Act do not apply to or in relation to a redevelopment scheme, or an amendment to a redevelopment scheme, which the Authority has resolved to prepare for submission to the Minister under section 33(1), or section 38 as read with section 33(1),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33(4), or section 38 as read with section 33(4), of the principal Act in respect of a proposed redevelopment scheme, or a proposed amendment to a redevelopment scheme, referred to in subsection (2), direct the Authority to ensure compliance with sections 40 and 41 of the principal Act and the Authority must comply with that direction before resubmitting that redevelopment scheme or amendment to the Minister under section 33(1), or section 38 as read with section 33(1),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33(4), or section 38 as read with section 33(4), of the principal Act, the Authority shall, if it wishes to proceed with that redevelopment scheme or amendment, ensure that sections 42 and 42A of the principal Act are complied with in respect of that redevelopment scheme or amendment.</w:t>
      </w:r>
    </w:p>
    <w:p>
      <w:pPr>
        <w:pStyle w:val="BlankClose"/>
      </w:pPr>
    </w:p>
    <w:p>
      <w:pPr>
        <w:pStyle w:val="nSubsection"/>
      </w:pPr>
      <w:r>
        <w:rPr>
          <w:vertAlign w:val="superscript"/>
        </w:rPr>
        <w:t>3</w:t>
      </w:r>
      <w:r>
        <w:tab/>
        <w:t xml:space="preserve">The </w:t>
      </w:r>
      <w:r>
        <w:rPr>
          <w:i/>
        </w:rPr>
        <w:t>Statutes (Repeals and Minor Amendments) Act 1997</w:t>
      </w:r>
      <w:r>
        <w:t xml:space="preserve"> s. 116(2) is a transitional provision of no further effect.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54A(1)</w:t>
      </w:r>
    </w:p>
    <w:p>
      <w:pPr>
        <w:pStyle w:val="DefinedTerms"/>
      </w:pPr>
      <w:r>
        <w:t>Authority</w:t>
      </w:r>
      <w:r>
        <w:tab/>
        <w:t>3</w:t>
      </w:r>
    </w:p>
    <w:p>
      <w:pPr>
        <w:pStyle w:val="DefinedTerms"/>
      </w:pPr>
      <w:r>
        <w:t>business arrangement</w:t>
      </w:r>
      <w:r>
        <w:tab/>
        <w:t>21(8)</w:t>
      </w:r>
    </w:p>
    <w:p>
      <w:pPr>
        <w:pStyle w:val="DefinedTerms"/>
      </w:pPr>
      <w:r>
        <w:t>chairperson</w:t>
      </w:r>
      <w:r>
        <w:tab/>
        <w:t>3</w:t>
      </w:r>
    </w:p>
    <w:p>
      <w:pPr>
        <w:pStyle w:val="DefinedTerms"/>
      </w:pPr>
      <w:r>
        <w:t>committee</w:t>
      </w:r>
      <w:r>
        <w:tab/>
        <w:t>3</w:t>
      </w:r>
    </w:p>
    <w:p>
      <w:pPr>
        <w:pStyle w:val="DefinedTerms"/>
      </w:pPr>
      <w:r>
        <w:t>council</w:t>
      </w:r>
      <w:r>
        <w:tab/>
        <w:t>3</w:t>
      </w:r>
    </w:p>
    <w:p>
      <w:pPr>
        <w:pStyle w:val="DefinedTerms"/>
      </w:pPr>
      <w:r>
        <w:t>development</w:t>
      </w:r>
      <w:r>
        <w:tab/>
        <w:t>3</w:t>
      </w:r>
    </w:p>
    <w:p>
      <w:pPr>
        <w:pStyle w:val="DefinedTerms"/>
      </w:pPr>
      <w:r>
        <w:t xml:space="preserve">dispose of </w:t>
      </w:r>
      <w:r>
        <w:tab/>
        <w:t>3</w:t>
      </w:r>
    </w:p>
    <w:p>
      <w:pPr>
        <w:pStyle w:val="DefinedTerms"/>
      </w:pPr>
      <w:r>
        <w:t>document</w:t>
      </w:r>
      <w:r>
        <w:tab/>
        <w:t>30(4)</w:t>
      </w:r>
    </w:p>
    <w:p>
      <w:pPr>
        <w:pStyle w:val="DefinedTerms"/>
      </w:pPr>
      <w:r>
        <w:t>eligible person</w:t>
      </w:r>
      <w:r>
        <w:tab/>
        <w:t>28(2)</w:t>
      </w:r>
    </w:p>
    <w:p>
      <w:pPr>
        <w:pStyle w:val="DefinedTerms"/>
      </w:pPr>
      <w:r>
        <w:t>environmental condition</w:t>
      </w:r>
      <w:r>
        <w:tab/>
        <w:t>54A(1)</w:t>
      </w:r>
    </w:p>
    <w:p>
      <w:pPr>
        <w:pStyle w:val="DefinedTerms"/>
      </w:pPr>
      <w:r>
        <w:t>EP Act</w:t>
      </w:r>
      <w:r>
        <w:tab/>
        <w:t>3</w:t>
      </w:r>
    </w:p>
    <w:p>
      <w:pPr>
        <w:pStyle w:val="DefinedTerms"/>
      </w:pPr>
      <w:r>
        <w:t>EPA</w:t>
      </w:r>
      <w:r>
        <w:tab/>
        <w:t>3</w:t>
      </w:r>
    </w:p>
    <w:p>
      <w:pPr>
        <w:pStyle w:val="DefinedTerms"/>
      </w:pPr>
      <w:r>
        <w:t>information</w:t>
      </w:r>
      <w:r>
        <w:tab/>
        <w:t>30(4)</w:t>
      </w:r>
    </w:p>
    <w:p>
      <w:pPr>
        <w:pStyle w:val="DefinedTerms"/>
      </w:pPr>
      <w:r>
        <w:t>interest in land</w:t>
      </w:r>
      <w:r>
        <w:tab/>
        <w:t>3</w:t>
      </w:r>
    </w:p>
    <w:p>
      <w:pPr>
        <w:pStyle w:val="DefinedTerms"/>
      </w:pPr>
      <w:r>
        <w:t>land</w:t>
      </w:r>
      <w:r>
        <w:tab/>
        <w:t>3</w:t>
      </w:r>
    </w:p>
    <w:p>
      <w:pPr>
        <w:pStyle w:val="DefinedTerms"/>
      </w:pPr>
      <w:r>
        <w:t>local government</w:t>
      </w:r>
      <w:r>
        <w:tab/>
        <w:t>27</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21(8)</w:t>
      </w:r>
    </w:p>
    <w:p>
      <w:pPr>
        <w:pStyle w:val="DefinedTerms"/>
      </w:pPr>
      <w:r>
        <w:t>planning schemes</w:t>
      </w:r>
      <w:r>
        <w:tab/>
        <w:t>45(3)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23(7)</w:t>
      </w:r>
    </w:p>
    <w:p>
      <w:pPr>
        <w:pStyle w:val="DefinedTerms"/>
      </w:pPr>
      <w:r>
        <w:t>relevant qualification</w:t>
      </w:r>
      <w:r>
        <w:tab/>
        <w:t>7(2)</w:t>
      </w:r>
    </w:p>
    <w:p>
      <w:pPr>
        <w:pStyle w:val="DefinedTerms"/>
      </w:pPr>
      <w:r>
        <w:t>street</w:t>
      </w:r>
      <w:r>
        <w:tab/>
        <w:t>26(3)</w:t>
      </w:r>
    </w:p>
    <w:p>
      <w:pPr>
        <w:pStyle w:val="DefinedTerms"/>
      </w:pPr>
      <w:r>
        <w:t>temporary member</w:t>
      </w:r>
      <w:r>
        <w:tab/>
        <w:t>3</w:t>
      </w:r>
    </w:p>
    <w:p>
      <w:pPr>
        <w:pStyle w:val="DefinedTerms"/>
      </w:pPr>
      <w:r>
        <w:t>Western Australian Land Authority</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31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55</w:t>
    </w:r>
    <w: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Subiaco Redevelopment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Subiaco Redevelopment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Subiaco Redevelopment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5" w:name="Schedule"/>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Redevelopment Area</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Redevelopment Area</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Subiaco Redevelopment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Subiaco Redevelopment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3" w:name="DefinedTerms"/>
    <w:bookmarkEnd w:id="19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 w:name="Coversheet"/>
    <w:bookmarkEnd w:id="1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AA2F5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22C97A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BE70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E04A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FC99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12EF5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B25C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C09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F21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7DCC9E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B63D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4011"/>
    <w:docVar w:name="WAFER_20140203143643" w:val="RemoveTocBookmarks,RemoveUnusedBookmarks,RemoveLanguageTags,UsedStyles,ResetPageSize,UpdateArrangement"/>
    <w:docVar w:name="WAFER_20140203143643_GUID" w:val="1cba1a96-3d20-4878-a8c1-b411d368b629"/>
    <w:docVar w:name="WAFER_20140203144944" w:val="RemoveTocBookmarks,RunningHeaders"/>
    <w:docVar w:name="WAFER_20140203144944_GUID" w:val="f534e98f-0aba-435a-99bb-a47f0ba0c8bd"/>
    <w:docVar w:name="WAFER_20150730124915" w:val="ResetPageSize,UpdateArrangement,UpdateNTable"/>
    <w:docVar w:name="WAFER_20150730124915_GUID" w:val="e5bb0274-ed6b-47df-aea7-25a69f82a50a"/>
    <w:docVar w:name="WAFER_20151116144011" w:val="UpdateStyles,UsedStyles"/>
    <w:docVar w:name="WAFER_20151116144011_GUID" w:val="a26b0ea5-3a10-44d4-b4e1-132d1d70ac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55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13635</Words>
  <Characters>64908</Characters>
  <Application>Microsoft Office Word</Application>
  <DocSecurity>0</DocSecurity>
  <Lines>1803</Lines>
  <Paragraphs>1033</Paragraphs>
  <ScaleCrop>false</ScaleCrop>
  <HeadingPairs>
    <vt:vector size="2" baseType="variant">
      <vt:variant>
        <vt:lpstr>Title</vt:lpstr>
      </vt:variant>
      <vt:variant>
        <vt:i4>1</vt:i4>
      </vt:variant>
    </vt:vector>
  </HeadingPairs>
  <TitlesOfParts>
    <vt:vector size="1" baseType="lpstr">
      <vt:lpstr>Subiaco Redevelopment Act 1994</vt:lpstr>
    </vt:vector>
  </TitlesOfParts>
  <Manager/>
  <Company/>
  <LinksUpToDate>false</LinksUpToDate>
  <CharactersWithSpaces>77510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Act 1994 - 04-c0-06</dc:title>
  <dc:subject/>
  <dc:creator/>
  <cp:keywords/>
  <dc:description/>
  <cp:lastModifiedBy>svcMRProcess</cp:lastModifiedBy>
  <cp:revision>4</cp:revision>
  <cp:lastPrinted>2011-06-28T07:14:00Z</cp:lastPrinted>
  <dcterms:created xsi:type="dcterms:W3CDTF">2020-02-20T00:39:00Z</dcterms:created>
  <dcterms:modified xsi:type="dcterms:W3CDTF">2020-02-20T00:39:00Z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1994</vt:lpwstr>
  </property>
  <property fmtid="{D5CDD505-2E9C-101B-9397-08002B2CF9AE}" pid="3" name="CommencementDate">
    <vt:lpwstr>20111231</vt:lpwstr>
  </property>
  <property fmtid="{D5CDD505-2E9C-101B-9397-08002B2CF9AE}" pid="4" name="DocumentType">
    <vt:lpwstr>Act</vt:lpwstr>
  </property>
  <property fmtid="{D5CDD505-2E9C-101B-9397-08002B2CF9AE}" pid="5" name="OwlsUID">
    <vt:i4>799</vt:i4>
  </property>
  <property fmtid="{D5CDD505-2E9C-101B-9397-08002B2CF9AE}" pid="6" name="ReprintNo">
    <vt:lpwstr>4</vt:lpwstr>
  </property>
  <property fmtid="{D5CDD505-2E9C-101B-9397-08002B2CF9AE}" pid="7" name="ReprintedAsAt">
    <vt:filetime>2011-06-23T16:00:00Z</vt:filetime>
  </property>
  <property fmtid="{D5CDD505-2E9C-101B-9397-08002B2CF9AE}" pid="8" name="AsAtDate">
    <vt:lpwstr>31 Dec 2011</vt:lpwstr>
  </property>
  <property fmtid="{D5CDD505-2E9C-101B-9397-08002B2CF9AE}" pid="9" name="Suffix">
    <vt:lpwstr>04-c0-06</vt:lpwstr>
  </property>
  <property fmtid="{D5CDD505-2E9C-101B-9397-08002B2CF9AE}" pid="10" name="Status">
    <vt:lpwstr>NIF</vt:lpwstr>
  </property>
</Properties>
</file>