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Lotteries Commission Act 1990</w:t>
      </w:r>
    </w:p>
    <w:p>
      <w:pPr>
        <w:pStyle w:val="NameofActRegPage1"/>
        <w:spacing w:before="192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_Toc317578397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_Toc317578398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_Toc317578399 \h </w:instrText>
      </w:r>
      <w:r>
        <w:fldChar w:fldCharType="separate"/>
      </w:r>
      <w:r>
        <w:t>1</w:t>
      </w:r>
      <w:r>
        <w:fldChar w:fldCharType="end"/>
      </w:r>
    </w:p>
    <w:p>
      <w:pPr>
        <w:pStyle w:val="TOC2"/>
        <w:tabs>
          <w:tab w:val="right" w:leader="dot" w:pos="7086"/>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_Toc317578401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_Toc317578402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_Toc317578403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entries in conjunction with lotto entries</w:t>
      </w:r>
      <w:r>
        <w:tab/>
      </w:r>
      <w:r>
        <w:fldChar w:fldCharType="begin"/>
      </w:r>
      <w:r>
        <w:instrText xml:space="preserve"> PAGEREF _Toc317578404 \h </w:instrText>
      </w:r>
      <w:r>
        <w:fldChar w:fldCharType="separate"/>
      </w:r>
      <w:r>
        <w:t>6</w:t>
      </w:r>
      <w:r>
        <w:fldChar w:fldCharType="end"/>
      </w:r>
    </w:p>
    <w:p>
      <w:pPr>
        <w:pStyle w:val="TOC8"/>
        <w:rPr>
          <w:sz w:val="24"/>
          <w:szCs w:val="24"/>
          <w:lang w:val="en-US"/>
        </w:rPr>
      </w:pPr>
      <w:r>
        <w:t>8</w:t>
      </w:r>
      <w:r>
        <w:rPr>
          <w:snapToGrid w:val="0"/>
        </w:rPr>
        <w:t>.</w:t>
      </w:r>
      <w:r>
        <w:rPr>
          <w:snapToGrid w:val="0"/>
        </w:rPr>
        <w:tab/>
        <w:t>Completion of playslip</w:t>
      </w:r>
      <w:r>
        <w:tab/>
      </w:r>
      <w:r>
        <w:fldChar w:fldCharType="begin"/>
      </w:r>
      <w:r>
        <w:instrText xml:space="preserve"> PAGEREF _Toc317578405 \h </w:instrText>
      </w:r>
      <w:r>
        <w:fldChar w:fldCharType="separate"/>
      </w:r>
      <w:r>
        <w:t>6</w:t>
      </w:r>
      <w:r>
        <w:fldChar w:fldCharType="end"/>
      </w:r>
    </w:p>
    <w:p>
      <w:pPr>
        <w:pStyle w:val="TOC8"/>
        <w:rPr>
          <w:sz w:val="24"/>
          <w:szCs w:val="24"/>
          <w:lang w:val="en-US"/>
        </w:rPr>
      </w:pPr>
      <w:r>
        <w:t>8A.</w:t>
      </w:r>
      <w:r>
        <w:tab/>
        <w:t>Ticket repeat</w:t>
      </w:r>
      <w:r>
        <w:tab/>
      </w:r>
      <w:r>
        <w:fldChar w:fldCharType="begin"/>
      </w:r>
      <w:r>
        <w:instrText xml:space="preserve"> PAGEREF _Toc317578406 \h </w:instrText>
      </w:r>
      <w:r>
        <w:fldChar w:fldCharType="separate"/>
      </w:r>
      <w:r>
        <w:t>7</w:t>
      </w:r>
      <w:r>
        <w:fldChar w:fldCharType="end"/>
      </w:r>
    </w:p>
    <w:p>
      <w:pPr>
        <w:pStyle w:val="TOC8"/>
        <w:rPr>
          <w:sz w:val="24"/>
          <w:szCs w:val="24"/>
          <w:lang w:val="en-US"/>
        </w:rPr>
      </w:pPr>
      <w:r>
        <w:t>8B.</w:t>
      </w:r>
      <w:r>
        <w:tab/>
        <w:t>Favourite numbers</w:t>
      </w:r>
      <w:r>
        <w:tab/>
      </w:r>
      <w:r>
        <w:fldChar w:fldCharType="begin"/>
      </w:r>
      <w:r>
        <w:instrText xml:space="preserve"> PAGEREF _Toc317578407 \h </w:instrText>
      </w:r>
      <w:r>
        <w:fldChar w:fldCharType="separate"/>
      </w:r>
      <w:r>
        <w:t>8</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_Toc317578408 \h </w:instrText>
      </w:r>
      <w:r>
        <w:fldChar w:fldCharType="separate"/>
      </w:r>
      <w:r>
        <w:t>8</w:t>
      </w:r>
      <w:r>
        <w:fldChar w:fldCharType="end"/>
      </w:r>
    </w:p>
    <w:p>
      <w:pPr>
        <w:pStyle w:val="TOC8"/>
        <w:rPr>
          <w:sz w:val="24"/>
          <w:szCs w:val="24"/>
          <w:lang w:val="en-US"/>
        </w:rPr>
      </w:pPr>
      <w:r>
        <w:t>10</w:t>
      </w:r>
      <w:r>
        <w:rPr>
          <w:snapToGrid w:val="0"/>
        </w:rPr>
        <w:t>.</w:t>
      </w:r>
      <w:r>
        <w:rPr>
          <w:snapToGrid w:val="0"/>
        </w:rPr>
        <w:tab/>
        <w:t>Entry by mail</w:t>
      </w:r>
      <w:r>
        <w:tab/>
      </w:r>
      <w:r>
        <w:fldChar w:fldCharType="begin"/>
      </w:r>
      <w:r>
        <w:instrText xml:space="preserve"> PAGEREF _Toc317578409 \h </w:instrText>
      </w:r>
      <w:r>
        <w:fldChar w:fldCharType="separate"/>
      </w:r>
      <w:r>
        <w:t>9</w:t>
      </w:r>
      <w:r>
        <w:fldChar w:fldCharType="end"/>
      </w:r>
    </w:p>
    <w:p>
      <w:pPr>
        <w:pStyle w:val="TOC8"/>
        <w:rPr>
          <w:sz w:val="24"/>
          <w:szCs w:val="24"/>
          <w:lang w:val="en-US"/>
        </w:rPr>
      </w:pPr>
      <w:r>
        <w:t>11</w:t>
      </w:r>
      <w:r>
        <w:rPr>
          <w:snapToGrid w:val="0"/>
        </w:rPr>
        <w:t>.</w:t>
      </w:r>
      <w:r>
        <w:rPr>
          <w:snapToGrid w:val="0"/>
        </w:rPr>
        <w:tab/>
        <w:t>Receipted tickets</w:t>
      </w:r>
      <w:r>
        <w:tab/>
      </w:r>
      <w:r>
        <w:fldChar w:fldCharType="begin"/>
      </w:r>
      <w:r>
        <w:instrText xml:space="preserve"> PAGEREF _Toc317578410 \h </w:instrText>
      </w:r>
      <w:r>
        <w:fldChar w:fldCharType="separate"/>
      </w:r>
      <w:r>
        <w:t>11</w:t>
      </w:r>
      <w:r>
        <w:fldChar w:fldCharType="end"/>
      </w:r>
    </w:p>
    <w:p>
      <w:pPr>
        <w:pStyle w:val="TOC8"/>
        <w:rPr>
          <w:sz w:val="24"/>
          <w:szCs w:val="24"/>
          <w:lang w:val="en-US"/>
        </w:rPr>
      </w:pPr>
      <w:r>
        <w:t>12</w:t>
      </w:r>
      <w:r>
        <w:rPr>
          <w:snapToGrid w:val="0"/>
        </w:rPr>
        <w:t>.</w:t>
      </w:r>
      <w:r>
        <w:rPr>
          <w:snapToGrid w:val="0"/>
        </w:rPr>
        <w:tab/>
        <w:t>Surrender of receipted ticket</w:t>
      </w:r>
      <w:r>
        <w:tab/>
      </w:r>
      <w:r>
        <w:fldChar w:fldCharType="begin"/>
      </w:r>
      <w:r>
        <w:instrText xml:space="preserve"> PAGEREF _Toc317578411 \h </w:instrText>
      </w:r>
      <w:r>
        <w:fldChar w:fldCharType="separate"/>
      </w:r>
      <w:r>
        <w:t>12</w:t>
      </w:r>
      <w:r>
        <w:fldChar w:fldCharType="end"/>
      </w:r>
    </w:p>
    <w:p>
      <w:pPr>
        <w:pStyle w:val="TOC8"/>
        <w:rPr>
          <w:sz w:val="24"/>
          <w:szCs w:val="24"/>
          <w:lang w:val="en-US"/>
        </w:rPr>
      </w:pPr>
      <w:r>
        <w:t>13</w:t>
      </w:r>
      <w:r>
        <w:rPr>
          <w:snapToGrid w:val="0"/>
        </w:rPr>
        <w:t>.</w:t>
      </w:r>
      <w:r>
        <w:rPr>
          <w:snapToGrid w:val="0"/>
        </w:rPr>
        <w:tab/>
        <w:t>Accuracy of receipted ticket</w:t>
      </w:r>
      <w:r>
        <w:tab/>
      </w:r>
      <w:r>
        <w:fldChar w:fldCharType="begin"/>
      </w:r>
      <w:r>
        <w:instrText xml:space="preserve"> PAGEREF _Toc317578412 \h </w:instrText>
      </w:r>
      <w:r>
        <w:fldChar w:fldCharType="separate"/>
      </w:r>
      <w:r>
        <w:t>12</w:t>
      </w:r>
      <w:r>
        <w:fldChar w:fldCharType="end"/>
      </w:r>
    </w:p>
    <w:p>
      <w:pPr>
        <w:pStyle w:val="TOC8"/>
        <w:rPr>
          <w:sz w:val="24"/>
          <w:szCs w:val="24"/>
          <w:lang w:val="en-US"/>
        </w:rPr>
      </w:pPr>
      <w:r>
        <w:t>14</w:t>
      </w:r>
      <w:r>
        <w:rPr>
          <w:snapToGrid w:val="0"/>
        </w:rPr>
        <w:t>.</w:t>
      </w:r>
      <w:r>
        <w:rPr>
          <w:snapToGrid w:val="0"/>
        </w:rPr>
        <w:tab/>
        <w:t>Validity of receipted ticket</w:t>
      </w:r>
      <w:r>
        <w:tab/>
      </w:r>
      <w:r>
        <w:fldChar w:fldCharType="begin"/>
      </w:r>
      <w:r>
        <w:instrText xml:space="preserve"> PAGEREF _Toc317578413 \h </w:instrText>
      </w:r>
      <w:r>
        <w:fldChar w:fldCharType="separate"/>
      </w:r>
      <w:r>
        <w:t>12</w:t>
      </w:r>
      <w:r>
        <w:fldChar w:fldCharType="end"/>
      </w:r>
    </w:p>
    <w:p>
      <w:pPr>
        <w:pStyle w:val="TOC2"/>
        <w:tabs>
          <w:tab w:val="right" w:leader="dot" w:pos="7086"/>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Application of this Part</w:t>
      </w:r>
      <w:r>
        <w:tab/>
      </w:r>
      <w:r>
        <w:fldChar w:fldCharType="begin"/>
      </w:r>
      <w:r>
        <w:instrText xml:space="preserve"> PAGEREF _Toc317578415 \h </w:instrText>
      </w:r>
      <w:r>
        <w:fldChar w:fldCharType="separate"/>
      </w:r>
      <w:r>
        <w:t>14</w:t>
      </w:r>
      <w:r>
        <w:fldChar w:fldCharType="end"/>
      </w:r>
    </w:p>
    <w:p>
      <w:pPr>
        <w:pStyle w:val="TOC8"/>
        <w:rPr>
          <w:sz w:val="24"/>
          <w:szCs w:val="24"/>
          <w:lang w:val="en-US"/>
        </w:rPr>
      </w:pPr>
      <w:r>
        <w:t>14B.</w:t>
      </w:r>
      <w:r>
        <w:tab/>
        <w:t>Establishing a syndicate</w:t>
      </w:r>
      <w:r>
        <w:tab/>
      </w:r>
      <w:r>
        <w:fldChar w:fldCharType="begin"/>
      </w:r>
      <w:r>
        <w:instrText xml:space="preserve"> PAGEREF _Toc317578416 \h </w:instrText>
      </w:r>
      <w:r>
        <w:fldChar w:fldCharType="separate"/>
      </w:r>
      <w:r>
        <w:t>14</w:t>
      </w:r>
      <w:r>
        <w:fldChar w:fldCharType="end"/>
      </w:r>
    </w:p>
    <w:p>
      <w:pPr>
        <w:pStyle w:val="TOC8"/>
        <w:rPr>
          <w:sz w:val="24"/>
          <w:szCs w:val="24"/>
          <w:lang w:val="en-US"/>
        </w:rPr>
      </w:pPr>
      <w:r>
        <w:t>14C.</w:t>
      </w:r>
      <w:r>
        <w:tab/>
        <w:t>Syndicate share and cost parameters</w:t>
      </w:r>
      <w:r>
        <w:tab/>
      </w:r>
      <w:r>
        <w:fldChar w:fldCharType="begin"/>
      </w:r>
      <w:r>
        <w:instrText xml:space="preserve"> PAGEREF _Toc317578417 \h </w:instrText>
      </w:r>
      <w:r>
        <w:fldChar w:fldCharType="separate"/>
      </w:r>
      <w:r>
        <w:t>15</w:t>
      </w:r>
      <w:r>
        <w:fldChar w:fldCharType="end"/>
      </w:r>
    </w:p>
    <w:p>
      <w:pPr>
        <w:pStyle w:val="TOC8"/>
        <w:rPr>
          <w:sz w:val="24"/>
          <w:szCs w:val="24"/>
          <w:lang w:val="en-US"/>
        </w:rPr>
      </w:pPr>
      <w:r>
        <w:t>14D.</w:t>
      </w:r>
      <w:r>
        <w:tab/>
        <w:t>Agent’s component of a syndicate share</w:t>
      </w:r>
      <w:r>
        <w:tab/>
      </w:r>
      <w:r>
        <w:fldChar w:fldCharType="begin"/>
      </w:r>
      <w:r>
        <w:instrText xml:space="preserve"> PAGEREF _Toc317578418 \h </w:instrText>
      </w:r>
      <w:r>
        <w:fldChar w:fldCharType="separate"/>
      </w:r>
      <w:r>
        <w:t>15</w:t>
      </w:r>
      <w:r>
        <w:fldChar w:fldCharType="end"/>
      </w:r>
    </w:p>
    <w:p>
      <w:pPr>
        <w:pStyle w:val="TOC8"/>
        <w:rPr>
          <w:sz w:val="24"/>
          <w:szCs w:val="24"/>
          <w:lang w:val="en-US"/>
        </w:rPr>
      </w:pPr>
      <w:r>
        <w:t>14E.</w:t>
      </w:r>
      <w:r>
        <w:tab/>
        <w:t>Syndicate participation parameters</w:t>
      </w:r>
      <w:r>
        <w:tab/>
      </w:r>
      <w:r>
        <w:fldChar w:fldCharType="begin"/>
      </w:r>
      <w:r>
        <w:instrText xml:space="preserve"> PAGEREF _Toc317578419 \h </w:instrText>
      </w:r>
      <w:r>
        <w:fldChar w:fldCharType="separate"/>
      </w:r>
      <w:r>
        <w:t>16</w:t>
      </w:r>
      <w:r>
        <w:fldChar w:fldCharType="end"/>
      </w:r>
    </w:p>
    <w:p>
      <w:pPr>
        <w:pStyle w:val="TOC8"/>
        <w:rPr>
          <w:sz w:val="24"/>
          <w:szCs w:val="24"/>
          <w:lang w:val="en-US"/>
        </w:rPr>
      </w:pPr>
      <w:r>
        <w:t>14F.</w:t>
      </w:r>
      <w:r>
        <w:tab/>
        <w:t>Types of syndicates</w:t>
      </w:r>
      <w:r>
        <w:tab/>
      </w:r>
      <w:r>
        <w:fldChar w:fldCharType="begin"/>
      </w:r>
      <w:r>
        <w:instrText xml:space="preserve"> PAGEREF _Toc317578420 \h </w:instrText>
      </w:r>
      <w:r>
        <w:fldChar w:fldCharType="separate"/>
      </w:r>
      <w:r>
        <w:t>16</w:t>
      </w:r>
      <w:r>
        <w:fldChar w:fldCharType="end"/>
      </w:r>
    </w:p>
    <w:p>
      <w:pPr>
        <w:pStyle w:val="TOC8"/>
        <w:rPr>
          <w:sz w:val="24"/>
          <w:szCs w:val="24"/>
          <w:lang w:val="en-US"/>
        </w:rPr>
      </w:pPr>
      <w:r>
        <w:t>14G.</w:t>
      </w:r>
      <w:r>
        <w:tab/>
        <w:t>Syndicate share receipted ticket</w:t>
      </w:r>
      <w:r>
        <w:tab/>
      </w:r>
      <w:r>
        <w:fldChar w:fldCharType="begin"/>
      </w:r>
      <w:r>
        <w:instrText xml:space="preserve"> PAGEREF _Toc317578421 \h </w:instrText>
      </w:r>
      <w:r>
        <w:fldChar w:fldCharType="separate"/>
      </w:r>
      <w:r>
        <w:t>16</w:t>
      </w:r>
      <w:r>
        <w:fldChar w:fldCharType="end"/>
      </w:r>
    </w:p>
    <w:p>
      <w:pPr>
        <w:pStyle w:val="TOC8"/>
        <w:rPr>
          <w:sz w:val="24"/>
          <w:szCs w:val="24"/>
          <w:lang w:val="en-US"/>
        </w:rPr>
      </w:pPr>
      <w:r>
        <w:t>14H.</w:t>
      </w:r>
      <w:r>
        <w:tab/>
        <w:t>Syndicate master ticket</w:t>
      </w:r>
      <w:r>
        <w:tab/>
      </w:r>
      <w:r>
        <w:fldChar w:fldCharType="begin"/>
      </w:r>
      <w:r>
        <w:instrText xml:space="preserve"> PAGEREF _Toc317578422 \h </w:instrText>
      </w:r>
      <w:r>
        <w:fldChar w:fldCharType="separate"/>
      </w:r>
      <w:r>
        <w:t>17</w:t>
      </w:r>
      <w:r>
        <w:fldChar w:fldCharType="end"/>
      </w:r>
    </w:p>
    <w:p>
      <w:pPr>
        <w:pStyle w:val="TOC2"/>
        <w:tabs>
          <w:tab w:val="right" w:leader="dot" w:pos="7086"/>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Monday and Wednesday draws to be numbered</w:t>
      </w:r>
      <w:r>
        <w:tab/>
      </w:r>
      <w:r>
        <w:fldChar w:fldCharType="begin"/>
      </w:r>
      <w:r>
        <w:instrText xml:space="preserve"> PAGEREF _Toc317578424 \h </w:instrText>
      </w:r>
      <w:r>
        <w:fldChar w:fldCharType="separate"/>
      </w:r>
      <w:r>
        <w:t>18</w:t>
      </w:r>
      <w:r>
        <w:fldChar w:fldCharType="end"/>
      </w:r>
    </w:p>
    <w:p>
      <w:pPr>
        <w:pStyle w:val="TOC8"/>
        <w:rPr>
          <w:sz w:val="24"/>
          <w:szCs w:val="24"/>
          <w:lang w:val="en-US"/>
        </w:rPr>
      </w:pPr>
      <w:r>
        <w:t>16.</w:t>
      </w:r>
      <w:r>
        <w:tab/>
        <w:t>Supervision of lotto draw</w:t>
      </w:r>
      <w:r>
        <w:tab/>
      </w:r>
      <w:r>
        <w:fldChar w:fldCharType="begin"/>
      </w:r>
      <w:r>
        <w:instrText xml:space="preserve"> PAGEREF _Toc317578425 \h </w:instrText>
      </w:r>
      <w:r>
        <w:fldChar w:fldCharType="separate"/>
      </w:r>
      <w:r>
        <w:t>18</w:t>
      </w:r>
      <w:r>
        <w:fldChar w:fldCharType="end"/>
      </w:r>
    </w:p>
    <w:p>
      <w:pPr>
        <w:pStyle w:val="TOC8"/>
        <w:rPr>
          <w:sz w:val="24"/>
          <w:szCs w:val="24"/>
          <w:lang w:val="en-US"/>
        </w:rPr>
      </w:pPr>
      <w:r>
        <w:t>17</w:t>
      </w:r>
      <w:r>
        <w:rPr>
          <w:snapToGrid w:val="0"/>
        </w:rPr>
        <w:t>.</w:t>
      </w:r>
      <w:r>
        <w:rPr>
          <w:snapToGrid w:val="0"/>
        </w:rPr>
        <w:tab/>
        <w:t>Publication of results</w:t>
      </w:r>
      <w:r>
        <w:tab/>
      </w:r>
      <w:r>
        <w:fldChar w:fldCharType="begin"/>
      </w:r>
      <w:r>
        <w:instrText xml:space="preserve"> PAGEREF _Toc317578426 \h </w:instrText>
      </w:r>
      <w:r>
        <w:fldChar w:fldCharType="separate"/>
      </w:r>
      <w:r>
        <w:t>18</w:t>
      </w:r>
      <w:r>
        <w:fldChar w:fldCharType="end"/>
      </w:r>
    </w:p>
    <w:p>
      <w:pPr>
        <w:pStyle w:val="TOC8"/>
        <w:rPr>
          <w:sz w:val="24"/>
          <w:szCs w:val="24"/>
          <w:lang w:val="en-US"/>
        </w:rPr>
      </w:pPr>
      <w:r>
        <w:t>18</w:t>
      </w:r>
      <w:r>
        <w:rPr>
          <w:snapToGrid w:val="0"/>
        </w:rPr>
        <w:t>.</w:t>
      </w:r>
      <w:r>
        <w:rPr>
          <w:snapToGrid w:val="0"/>
        </w:rPr>
        <w:tab/>
        <w:t>Monday and Wednesday Lotto Bloc prize pool and prize reserve fund</w:t>
      </w:r>
      <w:r>
        <w:tab/>
      </w:r>
      <w:r>
        <w:fldChar w:fldCharType="begin"/>
      </w:r>
      <w:r>
        <w:instrText xml:space="preserve"> PAGEREF _Toc317578427 \h </w:instrText>
      </w:r>
      <w:r>
        <w:fldChar w:fldCharType="separate"/>
      </w:r>
      <w:r>
        <w:t>19</w:t>
      </w:r>
      <w:r>
        <w:fldChar w:fldCharType="end"/>
      </w:r>
    </w:p>
    <w:p>
      <w:pPr>
        <w:pStyle w:val="TOC2"/>
        <w:tabs>
          <w:tab w:val="right" w:leader="dot" w:pos="7086"/>
        </w:tabs>
        <w:rPr>
          <w:b w:val="0"/>
          <w:sz w:val="24"/>
          <w:szCs w:val="24"/>
          <w:lang w:val="en-US"/>
        </w:rPr>
      </w:pPr>
      <w:r>
        <w:t>Part 4 — Conducting a lotto draw</w:t>
      </w:r>
    </w:p>
    <w:p>
      <w:pPr>
        <w:pStyle w:val="TOC8"/>
        <w:rPr>
          <w:sz w:val="24"/>
          <w:szCs w:val="24"/>
          <w:lang w:val="en-US"/>
        </w:rPr>
      </w:pPr>
      <w:r>
        <w:t>19</w:t>
      </w:r>
      <w:r>
        <w:rPr>
          <w:snapToGrid w:val="0"/>
        </w:rPr>
        <w:t>.</w:t>
      </w:r>
      <w:r>
        <w:rPr>
          <w:snapToGrid w:val="0"/>
        </w:rPr>
        <w:tab/>
        <w:t>Lotto draw</w:t>
      </w:r>
      <w:r>
        <w:tab/>
      </w:r>
      <w:r>
        <w:fldChar w:fldCharType="begin"/>
      </w:r>
      <w:r>
        <w:instrText xml:space="preserve"> PAGEREF _Toc317578429 \h </w:instrText>
      </w:r>
      <w:r>
        <w:fldChar w:fldCharType="separate"/>
      </w:r>
      <w:r>
        <w:t>20</w:t>
      </w:r>
      <w:r>
        <w:fldChar w:fldCharType="end"/>
      </w:r>
    </w:p>
    <w:p>
      <w:pPr>
        <w:pStyle w:val="TOC8"/>
        <w:rPr>
          <w:sz w:val="24"/>
          <w:szCs w:val="24"/>
          <w:lang w:val="en-US"/>
        </w:rPr>
      </w:pPr>
      <w:r>
        <w:t>20</w:t>
      </w:r>
      <w:r>
        <w:rPr>
          <w:snapToGrid w:val="0"/>
        </w:rPr>
        <w:t>.</w:t>
      </w:r>
      <w:r>
        <w:rPr>
          <w:snapToGrid w:val="0"/>
        </w:rPr>
        <w:tab/>
        <w:t>Criteria for lotto prizes</w:t>
      </w:r>
      <w:r>
        <w:tab/>
      </w:r>
      <w:r>
        <w:fldChar w:fldCharType="begin"/>
      </w:r>
      <w:r>
        <w:instrText xml:space="preserve"> PAGEREF _Toc317578430 \h </w:instrText>
      </w:r>
      <w:r>
        <w:fldChar w:fldCharType="separate"/>
      </w:r>
      <w:r>
        <w:t>20</w:t>
      </w:r>
      <w:r>
        <w:fldChar w:fldCharType="end"/>
      </w:r>
    </w:p>
    <w:p>
      <w:pPr>
        <w:pStyle w:val="TOC8"/>
        <w:rPr>
          <w:sz w:val="24"/>
          <w:szCs w:val="24"/>
          <w:lang w:val="en-US"/>
        </w:rPr>
      </w:pPr>
      <w:r>
        <w:t>21</w:t>
      </w:r>
      <w:r>
        <w:rPr>
          <w:snapToGrid w:val="0"/>
        </w:rPr>
        <w:t>.</w:t>
      </w:r>
      <w:r>
        <w:rPr>
          <w:snapToGrid w:val="0"/>
        </w:rPr>
        <w:tab/>
        <w:t>Only systems entry can win in more than one division</w:t>
      </w:r>
      <w:r>
        <w:tab/>
      </w:r>
      <w:r>
        <w:fldChar w:fldCharType="begin"/>
      </w:r>
      <w:r>
        <w:instrText xml:space="preserve"> PAGEREF _Toc317578431 \h </w:instrText>
      </w:r>
      <w:r>
        <w:fldChar w:fldCharType="separate"/>
      </w:r>
      <w:r>
        <w:t>21</w:t>
      </w:r>
      <w:r>
        <w:fldChar w:fldCharType="end"/>
      </w:r>
    </w:p>
    <w:p>
      <w:pPr>
        <w:pStyle w:val="TOC8"/>
        <w:rPr>
          <w:sz w:val="24"/>
          <w:szCs w:val="24"/>
          <w:lang w:val="en-US"/>
        </w:rPr>
      </w:pPr>
      <w:r>
        <w:t>22</w:t>
      </w:r>
      <w:r>
        <w:rPr>
          <w:snapToGrid w:val="0"/>
        </w:rPr>
        <w:t>.</w:t>
      </w:r>
      <w:r>
        <w:rPr>
          <w:snapToGrid w:val="0"/>
        </w:rPr>
        <w:tab/>
        <w:t>Distribution of lotto prize pool</w:t>
      </w:r>
      <w:r>
        <w:tab/>
      </w:r>
      <w:r>
        <w:fldChar w:fldCharType="begin"/>
      </w:r>
      <w:r>
        <w:instrText xml:space="preserve"> PAGEREF _Toc317578432 \h </w:instrText>
      </w:r>
      <w:r>
        <w:fldChar w:fldCharType="separate"/>
      </w:r>
      <w:r>
        <w:t>21</w:t>
      </w:r>
      <w:r>
        <w:fldChar w:fldCharType="end"/>
      </w:r>
    </w:p>
    <w:p>
      <w:pPr>
        <w:pStyle w:val="TOC8"/>
        <w:rPr>
          <w:sz w:val="24"/>
          <w:szCs w:val="24"/>
          <w:lang w:val="en-US"/>
        </w:rPr>
      </w:pPr>
      <w:r>
        <w:t>23.</w:t>
      </w:r>
      <w:r>
        <w:tab/>
        <w:t>Division 1 prize</w:t>
      </w:r>
      <w:r>
        <w:tab/>
      </w:r>
      <w:r>
        <w:fldChar w:fldCharType="begin"/>
      </w:r>
      <w:r>
        <w:instrText xml:space="preserve"> PAGEREF _Toc317578433 \h </w:instrText>
      </w:r>
      <w:r>
        <w:fldChar w:fldCharType="separate"/>
      </w:r>
      <w:r>
        <w:t>22</w:t>
      </w:r>
      <w:r>
        <w:fldChar w:fldCharType="end"/>
      </w:r>
    </w:p>
    <w:p>
      <w:pPr>
        <w:pStyle w:val="TOC8"/>
        <w:rPr>
          <w:sz w:val="24"/>
          <w:szCs w:val="24"/>
          <w:lang w:val="en-US"/>
        </w:rPr>
      </w:pPr>
      <w:r>
        <w:t>24</w:t>
      </w:r>
      <w:r>
        <w:rPr>
          <w:snapToGrid w:val="0"/>
        </w:rPr>
        <w:t>.</w:t>
      </w:r>
      <w:r>
        <w:rPr>
          <w:snapToGrid w:val="0"/>
        </w:rPr>
        <w:tab/>
      </w:r>
      <w:r>
        <w:t>Divisions 2 to 5 prize pools may go to next lowest division</w:t>
      </w:r>
      <w:r>
        <w:tab/>
      </w:r>
      <w:r>
        <w:fldChar w:fldCharType="begin"/>
      </w:r>
      <w:r>
        <w:instrText xml:space="preserve"> PAGEREF _Toc317578434 \h </w:instrText>
      </w:r>
      <w:r>
        <w:fldChar w:fldCharType="separate"/>
      </w:r>
      <w:r>
        <w:t>22</w:t>
      </w:r>
      <w:r>
        <w:fldChar w:fldCharType="end"/>
      </w:r>
    </w:p>
    <w:p>
      <w:pPr>
        <w:pStyle w:val="TOC8"/>
        <w:rPr>
          <w:sz w:val="24"/>
          <w:szCs w:val="24"/>
          <w:lang w:val="en-US"/>
        </w:rPr>
      </w:pPr>
      <w:r>
        <w:t>26</w:t>
      </w:r>
      <w:r>
        <w:rPr>
          <w:snapToGrid w:val="0"/>
        </w:rPr>
        <w:t>.</w:t>
      </w:r>
      <w:r>
        <w:rPr>
          <w:snapToGrid w:val="0"/>
        </w:rPr>
        <w:tab/>
        <w:t>Division 1 prizes</w:t>
      </w:r>
      <w:r>
        <w:tab/>
      </w:r>
      <w:r>
        <w:fldChar w:fldCharType="begin"/>
      </w:r>
      <w:r>
        <w:instrText xml:space="preserve"> PAGEREF _Toc317578435 \h </w:instrText>
      </w:r>
      <w:r>
        <w:fldChar w:fldCharType="separate"/>
      </w:r>
      <w:r>
        <w:t>22</w:t>
      </w:r>
      <w:r>
        <w:fldChar w:fldCharType="end"/>
      </w:r>
    </w:p>
    <w:p>
      <w:pPr>
        <w:pStyle w:val="TOC8"/>
        <w:rPr>
          <w:sz w:val="24"/>
          <w:szCs w:val="24"/>
          <w:lang w:val="en-US"/>
        </w:rPr>
      </w:pPr>
      <w:r>
        <w:t>27</w:t>
      </w:r>
      <w:r>
        <w:rPr>
          <w:snapToGrid w:val="0"/>
        </w:rPr>
        <w:t>.</w:t>
      </w:r>
      <w:r>
        <w:rPr>
          <w:snapToGrid w:val="0"/>
        </w:rPr>
        <w:tab/>
        <w:t>Division 2 prizes</w:t>
      </w:r>
      <w:r>
        <w:tab/>
      </w:r>
      <w:r>
        <w:fldChar w:fldCharType="begin"/>
      </w:r>
      <w:r>
        <w:instrText xml:space="preserve"> PAGEREF _Toc317578436 \h </w:instrText>
      </w:r>
      <w:r>
        <w:fldChar w:fldCharType="separate"/>
      </w:r>
      <w:r>
        <w:t>24</w:t>
      </w:r>
      <w:r>
        <w:fldChar w:fldCharType="end"/>
      </w:r>
    </w:p>
    <w:p>
      <w:pPr>
        <w:pStyle w:val="TOC8"/>
        <w:rPr>
          <w:sz w:val="24"/>
          <w:szCs w:val="24"/>
          <w:lang w:val="en-US"/>
        </w:rPr>
      </w:pPr>
      <w:r>
        <w:t>28</w:t>
      </w:r>
      <w:r>
        <w:rPr>
          <w:snapToGrid w:val="0"/>
        </w:rPr>
        <w:t>.</w:t>
      </w:r>
      <w:r>
        <w:rPr>
          <w:snapToGrid w:val="0"/>
        </w:rPr>
        <w:tab/>
      </w:r>
      <w:r>
        <w:t>Divisions 3 to 6 prizes</w:t>
      </w:r>
      <w:r>
        <w:tab/>
      </w:r>
      <w:r>
        <w:fldChar w:fldCharType="begin"/>
      </w:r>
      <w:r>
        <w:instrText xml:space="preserve"> PAGEREF _Toc317578437 \h </w:instrText>
      </w:r>
      <w:r>
        <w:fldChar w:fldCharType="separate"/>
      </w:r>
      <w:r>
        <w:t>24</w:t>
      </w:r>
      <w:r>
        <w:fldChar w:fldCharType="end"/>
      </w:r>
    </w:p>
    <w:p>
      <w:pPr>
        <w:pStyle w:val="TOC8"/>
        <w:rPr>
          <w:sz w:val="24"/>
          <w:szCs w:val="24"/>
          <w:lang w:val="en-US"/>
        </w:rPr>
      </w:pPr>
      <w:r>
        <w:t>28A.</w:t>
      </w:r>
      <w:r>
        <w:tab/>
        <w:t>Claiming a syndicate share prize</w:t>
      </w:r>
      <w:r>
        <w:tab/>
      </w:r>
      <w:r>
        <w:fldChar w:fldCharType="begin"/>
      </w:r>
      <w:r>
        <w:instrText xml:space="preserve"> PAGEREF _Toc317578438 \h </w:instrText>
      </w:r>
      <w:r>
        <w:fldChar w:fldCharType="separate"/>
      </w:r>
      <w:r>
        <w:t>25</w:t>
      </w:r>
      <w:r>
        <w:fldChar w:fldCharType="end"/>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_Toc317578439 \h </w:instrText>
      </w:r>
      <w:r>
        <w:fldChar w:fldCharType="separate"/>
      </w:r>
      <w:r>
        <w:t>26</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_Toc317578440 \h </w:instrText>
      </w:r>
      <w:r>
        <w:fldChar w:fldCharType="separate"/>
      </w:r>
      <w:r>
        <w:t>26</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_Toc317578441 \h </w:instrText>
      </w:r>
      <w:r>
        <w:fldChar w:fldCharType="separate"/>
      </w:r>
      <w:r>
        <w:t>27</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_Toc317578442 \h </w:instrText>
      </w:r>
      <w:r>
        <w:fldChar w:fldCharType="separate"/>
      </w:r>
      <w:r>
        <w:t>28</w:t>
      </w:r>
      <w:r>
        <w:fldChar w:fldCharType="end"/>
      </w:r>
    </w:p>
    <w:p>
      <w:pPr>
        <w:pStyle w:val="TOC8"/>
        <w:rPr>
          <w:sz w:val="24"/>
          <w:szCs w:val="24"/>
          <w:lang w:val="en-US"/>
        </w:rPr>
      </w:pPr>
      <w:r>
        <w:t>31B.</w:t>
      </w:r>
      <w:r>
        <w:tab/>
        <w:t>Registering favourite numbers</w:t>
      </w:r>
      <w:r>
        <w:tab/>
      </w:r>
      <w:r>
        <w:fldChar w:fldCharType="begin"/>
      </w:r>
      <w:r>
        <w:instrText xml:space="preserve"> PAGEREF _Toc317578443 \h </w:instrText>
      </w:r>
      <w:r>
        <w:fldChar w:fldCharType="separate"/>
      </w:r>
      <w:r>
        <w:t>28</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_Toc317578445 \h </w:instrText>
      </w:r>
      <w:r>
        <w:fldChar w:fldCharType="separate"/>
      </w:r>
      <w:r>
        <w:t>29</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_Toc317578446 \h </w:instrText>
      </w:r>
      <w:r>
        <w:fldChar w:fldCharType="separate"/>
      </w:r>
      <w:r>
        <w:t>29</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_Toc317578447 \h </w:instrText>
      </w:r>
      <w:r>
        <w:fldChar w:fldCharType="separate"/>
      </w:r>
      <w:r>
        <w:t>29</w:t>
      </w:r>
      <w:r>
        <w:fldChar w:fldCharType="end"/>
      </w:r>
    </w:p>
    <w:p>
      <w:pPr>
        <w:pStyle w:val="TOC2"/>
        <w:tabs>
          <w:tab w:val="right" w:leader="dot" w:pos="7086"/>
        </w:tabs>
        <w:rPr>
          <w:b w:val="0"/>
          <w:sz w:val="24"/>
          <w:szCs w:val="24"/>
          <w:lang w:val="en-US"/>
        </w:rPr>
      </w:pPr>
      <w:r>
        <w:t>Schedule 1 — Calculating the total cost of entry — Monday lotto or Wednesday lotto draw</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w:t>
      </w:r>
      <w:r>
        <w:rPr>
          <w:b w:val="0"/>
        </w:rPr>
        <w:t> — </w:t>
      </w:r>
      <w:r>
        <w:t>On and after draw 3116</w:t>
      </w:r>
    </w:p>
    <w:p>
      <w:pPr>
        <w:pStyle w:val="TOC2"/>
        <w:tabs>
          <w:tab w:val="right" w:leader="dot" w:pos="7086"/>
        </w:tabs>
        <w:rPr>
          <w:b w:val="0"/>
          <w:sz w:val="24"/>
          <w:szCs w:val="24"/>
          <w:lang w:val="en-US"/>
        </w:rPr>
      </w:pPr>
      <w:r>
        <w:t>Schedule 2 — System entries and game equivalents</w:t>
      </w:r>
    </w:p>
    <w:p>
      <w:pPr>
        <w:pStyle w:val="TOC2"/>
        <w:tabs>
          <w:tab w:val="right" w:leader="dot" w:pos="7086"/>
        </w:tabs>
        <w:rPr>
          <w:b w:val="0"/>
          <w:sz w:val="24"/>
          <w:szCs w:val="24"/>
          <w:lang w:val="en-US"/>
        </w:rPr>
      </w:pPr>
      <w:r>
        <w:t>Schedule 3 — System entry prize schedule</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 — On and after draw 3116</w:t>
      </w:r>
    </w:p>
    <w:p>
      <w:pPr>
        <w:pStyle w:val="TOC2"/>
        <w:tabs>
          <w:tab w:val="right" w:leader="dot" w:pos="7086"/>
        </w:tabs>
        <w:rPr>
          <w:b w:val="0"/>
          <w:sz w:val="24"/>
          <w:szCs w:val="24"/>
          <w:lang w:val="en-US"/>
        </w:rPr>
      </w:pPr>
      <w:r>
        <w:t>Schedule 4 — Summary of parameters within which Monday or Wednesday lotto is conducted</w:t>
      </w:r>
    </w:p>
    <w:p>
      <w:pPr>
        <w:pStyle w:val="TOC4"/>
        <w:tabs>
          <w:tab w:val="right" w:leader="dot" w:pos="7086"/>
        </w:tabs>
        <w:rPr>
          <w:b w:val="0"/>
          <w:sz w:val="24"/>
          <w:szCs w:val="24"/>
          <w:lang w:val="en-US"/>
        </w:rPr>
      </w:pPr>
      <w:r>
        <w:t>Part 1 — Up to draw 3115</w:t>
      </w:r>
    </w:p>
    <w:p>
      <w:pPr>
        <w:pStyle w:val="TOC4"/>
        <w:tabs>
          <w:tab w:val="right" w:leader="dot" w:pos="7086"/>
        </w:tabs>
        <w:rPr>
          <w:b w:val="0"/>
          <w:sz w:val="24"/>
          <w:szCs w:val="24"/>
          <w:lang w:val="en-US"/>
        </w:rPr>
      </w:pPr>
      <w:r>
        <w:t>Part 2 — On and after draw 3116</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_Toc317578459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bookmarkStart w:id="13" w:name="_Toc147288387"/>
      <w:bookmarkStart w:id="14" w:name="_Toc170549104"/>
      <w:bookmarkStart w:id="15" w:name="_Toc170620857"/>
      <w:bookmarkStart w:id="16" w:name="_Toc170621009"/>
      <w:bookmarkStart w:id="17" w:name="_Toc200510428"/>
      <w:bookmarkStart w:id="18" w:name="_Toc210787525"/>
      <w:bookmarkStart w:id="19" w:name="_Toc222820785"/>
      <w:bookmarkStart w:id="20" w:name="_Toc222889144"/>
      <w:bookmarkStart w:id="21" w:name="_Toc224108769"/>
      <w:bookmarkStart w:id="22" w:name="_Toc256152898"/>
      <w:bookmarkStart w:id="23" w:name="_Toc277943269"/>
      <w:bookmarkStart w:id="24" w:name="_Toc315428677"/>
      <w:bookmarkStart w:id="25" w:name="_Toc317510705"/>
      <w:bookmarkStart w:id="26" w:name="_Toc317511249"/>
      <w:bookmarkStart w:id="27" w:name="_Toc3175783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130782695"/>
      <w:bookmarkStart w:id="36" w:name="_Toc317578397"/>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454185714"/>
      <w:bookmarkStart w:id="43" w:name="_Toc515958687"/>
      <w:bookmarkStart w:id="44" w:name="_Toc130782696"/>
      <w:bookmarkStart w:id="45" w:name="_Toc317578398"/>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6" w:name="_Toc130782697"/>
      <w:bookmarkStart w:id="47" w:name="_Toc317578399"/>
      <w:r>
        <w:rPr>
          <w:rStyle w:val="CharSectno"/>
        </w:rPr>
        <w:t>3</w:t>
      </w:r>
      <w:r>
        <w:t>.</w:t>
      </w:r>
      <w:r>
        <w:tab/>
      </w:r>
      <w:bookmarkEnd w:id="46"/>
      <w:r>
        <w:rPr>
          <w:snapToGrid w:val="0"/>
        </w:rPr>
        <w:t>Terms used</w:t>
      </w:r>
      <w:bookmarkEnd w:id="47"/>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w:t>
      </w:r>
    </w:p>
    <w:p>
      <w:pPr>
        <w:pStyle w:val="Heading2"/>
      </w:pPr>
      <w:bookmarkStart w:id="48" w:name="_Toc129660685"/>
      <w:bookmarkStart w:id="49" w:name="_Toc129660733"/>
      <w:bookmarkStart w:id="50" w:name="_Toc129669281"/>
      <w:bookmarkStart w:id="51" w:name="_Toc129669337"/>
      <w:bookmarkStart w:id="52" w:name="_Toc129679020"/>
      <w:bookmarkStart w:id="53" w:name="_Toc129679131"/>
      <w:bookmarkStart w:id="54" w:name="_Toc129679179"/>
      <w:bookmarkStart w:id="55" w:name="_Toc130782441"/>
      <w:bookmarkStart w:id="56" w:name="_Toc130782650"/>
      <w:bookmarkStart w:id="57" w:name="_Toc130782698"/>
      <w:bookmarkStart w:id="58" w:name="_Toc133379708"/>
      <w:bookmarkStart w:id="59" w:name="_Toc133385303"/>
      <w:bookmarkStart w:id="60" w:name="_Toc147288391"/>
      <w:bookmarkStart w:id="61" w:name="_Toc170549108"/>
      <w:bookmarkStart w:id="62" w:name="_Toc170620861"/>
      <w:bookmarkStart w:id="63" w:name="_Toc170621013"/>
      <w:bookmarkStart w:id="64" w:name="_Toc200510432"/>
      <w:bookmarkStart w:id="65" w:name="_Toc210787529"/>
      <w:bookmarkStart w:id="66" w:name="_Toc222820789"/>
      <w:bookmarkStart w:id="67" w:name="_Toc222889148"/>
      <w:bookmarkStart w:id="68" w:name="_Toc224108773"/>
      <w:bookmarkStart w:id="69" w:name="_Toc256152902"/>
      <w:bookmarkStart w:id="70" w:name="_Toc277943273"/>
      <w:bookmarkStart w:id="71" w:name="_Toc315428681"/>
      <w:bookmarkStart w:id="72" w:name="_Toc317510709"/>
      <w:bookmarkStart w:id="73" w:name="_Toc317511253"/>
      <w:bookmarkStart w:id="74" w:name="_Toc317578400"/>
      <w:r>
        <w:rPr>
          <w:rStyle w:val="CharPartNo"/>
        </w:rPr>
        <w:t>Part 2</w:t>
      </w:r>
      <w:r>
        <w:rPr>
          <w:rStyle w:val="CharDivNo"/>
        </w:rPr>
        <w:t> </w:t>
      </w:r>
      <w:r>
        <w:t>—</w:t>
      </w:r>
      <w:r>
        <w:rPr>
          <w:rStyle w:val="CharDivText"/>
        </w:rPr>
        <w:t> </w:t>
      </w:r>
      <w:r>
        <w:rPr>
          <w:rStyle w:val="CharPartText"/>
        </w:rPr>
        <w:t>Requirements for entry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5071673"/>
      <w:bookmarkStart w:id="76" w:name="_Toc5071982"/>
      <w:bookmarkStart w:id="77" w:name="_Toc9846747"/>
      <w:bookmarkStart w:id="78" w:name="_Toc48382026"/>
      <w:bookmarkStart w:id="79" w:name="_Toc130782699"/>
      <w:bookmarkStart w:id="80" w:name="_Toc317578401"/>
      <w:r>
        <w:rPr>
          <w:rStyle w:val="CharSectno"/>
        </w:rPr>
        <w:t>4</w:t>
      </w:r>
      <w:r>
        <w:rPr>
          <w:snapToGrid w:val="0"/>
        </w:rPr>
        <w:t>.</w:t>
      </w:r>
      <w:r>
        <w:rPr>
          <w:snapToGrid w:val="0"/>
        </w:rPr>
        <w:tab/>
      </w:r>
      <w:bookmarkEnd w:id="75"/>
      <w:bookmarkEnd w:id="76"/>
      <w:bookmarkEnd w:id="77"/>
      <w:bookmarkEnd w:id="78"/>
      <w:bookmarkEnd w:id="79"/>
      <w:r>
        <w:rPr>
          <w:snapToGrid w:val="0"/>
        </w:rPr>
        <w:t>Playslip</w:t>
      </w:r>
      <w:bookmarkEnd w:id="80"/>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81" w:name="_Toc5071674"/>
      <w:bookmarkStart w:id="82" w:name="_Toc5071983"/>
      <w:bookmarkStart w:id="83" w:name="_Toc9846748"/>
      <w:bookmarkStart w:id="84" w:name="_Toc48382027"/>
      <w:bookmarkStart w:id="85" w:name="_Toc130782700"/>
      <w:r>
        <w:tab/>
        <w:t>[Rule 4 amended in Gazette 6 Jun 2008 p. 2301.]</w:t>
      </w:r>
    </w:p>
    <w:p>
      <w:pPr>
        <w:pStyle w:val="Heading5"/>
        <w:rPr>
          <w:snapToGrid w:val="0"/>
        </w:rPr>
      </w:pPr>
      <w:bookmarkStart w:id="86" w:name="_Toc317578402"/>
      <w:r>
        <w:rPr>
          <w:rStyle w:val="CharSectno"/>
        </w:rPr>
        <w:t>5</w:t>
      </w:r>
      <w:r>
        <w:rPr>
          <w:snapToGrid w:val="0"/>
        </w:rPr>
        <w:t>.</w:t>
      </w:r>
      <w:r>
        <w:rPr>
          <w:snapToGrid w:val="0"/>
        </w:rPr>
        <w:tab/>
        <w:t>Methods of entry</w:t>
      </w:r>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7" w:name="_Toc5071675"/>
      <w:bookmarkStart w:id="88" w:name="_Toc5071984"/>
      <w:bookmarkStart w:id="89" w:name="_Toc9846749"/>
      <w:bookmarkStart w:id="90" w:name="_Toc48382028"/>
      <w:bookmarkStart w:id="91" w:name="_Toc130782701"/>
      <w:r>
        <w:tab/>
        <w:t>[Rule 5 amended in Gazette 6 Jun 2008 p. 2301-2; 19 Nov 2010 p. 5721.]</w:t>
      </w:r>
    </w:p>
    <w:p>
      <w:pPr>
        <w:pStyle w:val="Heading5"/>
        <w:rPr>
          <w:snapToGrid w:val="0"/>
        </w:rPr>
      </w:pPr>
      <w:bookmarkStart w:id="92" w:name="_Toc317578403"/>
      <w:r>
        <w:rPr>
          <w:rStyle w:val="CharSectno"/>
        </w:rPr>
        <w:t>6</w:t>
      </w:r>
      <w:r>
        <w:rPr>
          <w:snapToGrid w:val="0"/>
        </w:rPr>
        <w:t>.</w:t>
      </w:r>
      <w:r>
        <w:rPr>
          <w:snapToGrid w:val="0"/>
        </w:rPr>
        <w:tab/>
        <w:t>No limit to number of entries</w:t>
      </w:r>
      <w:bookmarkEnd w:id="87"/>
      <w:bookmarkEnd w:id="88"/>
      <w:bookmarkEnd w:id="89"/>
      <w:bookmarkEnd w:id="90"/>
      <w:bookmarkEnd w:id="91"/>
      <w:bookmarkEnd w:id="92"/>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93" w:name="_Toc5071676"/>
      <w:bookmarkStart w:id="94" w:name="_Toc5071985"/>
      <w:bookmarkStart w:id="95" w:name="_Toc9846750"/>
      <w:bookmarkStart w:id="96" w:name="_Toc48382029"/>
      <w:bookmarkStart w:id="97" w:name="_Toc130782702"/>
      <w:bookmarkStart w:id="98" w:name="_Toc317578404"/>
      <w:r>
        <w:rPr>
          <w:rStyle w:val="CharSectno"/>
        </w:rPr>
        <w:t>7</w:t>
      </w:r>
      <w:r>
        <w:rPr>
          <w:snapToGrid w:val="0"/>
        </w:rPr>
        <w:t>.</w:t>
      </w:r>
      <w:r>
        <w:rPr>
          <w:snapToGrid w:val="0"/>
        </w:rPr>
        <w:tab/>
        <w:t>Super 66 entries</w:t>
      </w:r>
      <w:bookmarkEnd w:id="93"/>
      <w:bookmarkEnd w:id="94"/>
      <w:bookmarkEnd w:id="95"/>
      <w:bookmarkEnd w:id="96"/>
      <w:r>
        <w:rPr>
          <w:snapToGrid w:val="0"/>
        </w:rPr>
        <w:t xml:space="preserve"> in conjunction with lotto entries</w:t>
      </w:r>
      <w:bookmarkEnd w:id="97"/>
      <w:bookmarkEnd w:id="98"/>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9" w:name="_Toc5071677"/>
      <w:bookmarkStart w:id="100" w:name="_Toc5071986"/>
      <w:bookmarkStart w:id="101" w:name="_Toc9846751"/>
      <w:bookmarkStart w:id="102" w:name="_Toc48382030"/>
      <w:bookmarkStart w:id="103" w:name="_Toc130782703"/>
      <w:bookmarkStart w:id="104" w:name="_Toc317578405"/>
      <w:r>
        <w:rPr>
          <w:rStyle w:val="EquationCaption"/>
        </w:rPr>
        <w:t>8</w:t>
      </w:r>
      <w:r>
        <w:rPr>
          <w:snapToGrid w:val="0"/>
        </w:rPr>
        <w:t>.</w:t>
      </w:r>
      <w:r>
        <w:rPr>
          <w:snapToGrid w:val="0"/>
        </w:rPr>
        <w:tab/>
        <w:t xml:space="preserve">Completion of </w:t>
      </w:r>
      <w:bookmarkEnd w:id="99"/>
      <w:bookmarkEnd w:id="100"/>
      <w:bookmarkEnd w:id="101"/>
      <w:bookmarkEnd w:id="102"/>
      <w:bookmarkEnd w:id="103"/>
      <w:r>
        <w:rPr>
          <w:snapToGrid w:val="0"/>
        </w:rPr>
        <w:t>playslip</w:t>
      </w:r>
      <w:bookmarkEnd w:id="104"/>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05" w:name="_Toc5071678"/>
      <w:bookmarkStart w:id="106" w:name="_Toc5071987"/>
      <w:bookmarkStart w:id="107" w:name="_Toc9846752"/>
      <w:bookmarkStart w:id="108" w:name="_Toc48382032"/>
      <w:bookmarkStart w:id="109" w:name="_Toc130782704"/>
      <w:r>
        <w:tab/>
        <w:t>[Rule 8 amended in Gazette 6 Jun 2008 p. 2302-3.]</w:t>
      </w:r>
    </w:p>
    <w:p>
      <w:pPr>
        <w:pStyle w:val="Heading5"/>
      </w:pPr>
      <w:bookmarkStart w:id="110" w:name="_Toc317578406"/>
      <w:r>
        <w:rPr>
          <w:rStyle w:val="CharSectno"/>
        </w:rPr>
        <w:t>8A</w:t>
      </w:r>
      <w:r>
        <w:t>.</w:t>
      </w:r>
      <w:r>
        <w:tab/>
        <w:t>Ticket repeat</w:t>
      </w:r>
      <w:bookmarkEnd w:id="110"/>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11" w:name="_Toc317578407"/>
      <w:r>
        <w:rPr>
          <w:rStyle w:val="CharSectno"/>
        </w:rPr>
        <w:t>8B</w:t>
      </w:r>
      <w:r>
        <w:t>.</w:t>
      </w:r>
      <w:r>
        <w:tab/>
        <w:t>Favourite numbers</w:t>
      </w:r>
      <w:bookmarkEnd w:id="111"/>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12" w:name="_Toc317578408"/>
      <w:r>
        <w:rPr>
          <w:rStyle w:val="CharSectno"/>
        </w:rPr>
        <w:t>9</w:t>
      </w:r>
      <w:r>
        <w:rPr>
          <w:snapToGrid w:val="0"/>
        </w:rPr>
        <w:t>.</w:t>
      </w:r>
      <w:r>
        <w:rPr>
          <w:snapToGrid w:val="0"/>
        </w:rPr>
        <w:tab/>
        <w:t>Oral request for entry</w:t>
      </w:r>
      <w:bookmarkEnd w:id="105"/>
      <w:bookmarkEnd w:id="106"/>
      <w:bookmarkEnd w:id="107"/>
      <w:bookmarkEnd w:id="108"/>
      <w:bookmarkEnd w:id="109"/>
      <w:bookmarkEnd w:id="112"/>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13" w:name="_Toc5071679"/>
      <w:bookmarkStart w:id="114" w:name="_Toc5071988"/>
      <w:bookmarkStart w:id="115" w:name="_Toc9846753"/>
      <w:bookmarkStart w:id="116" w:name="_Toc48382033"/>
      <w:bookmarkStart w:id="117" w:name="_Toc130782705"/>
      <w:r>
        <w:tab/>
        <w:t>[Rule 9 amended in Gazette 6 Jun 2008 p. 2305.]</w:t>
      </w:r>
    </w:p>
    <w:p>
      <w:pPr>
        <w:pStyle w:val="Heading5"/>
        <w:rPr>
          <w:snapToGrid w:val="0"/>
        </w:rPr>
      </w:pPr>
      <w:bookmarkStart w:id="118" w:name="_Toc317578409"/>
      <w:r>
        <w:rPr>
          <w:rStyle w:val="CharSectno"/>
        </w:rPr>
        <w:t>10</w:t>
      </w:r>
      <w:r>
        <w:rPr>
          <w:snapToGrid w:val="0"/>
        </w:rPr>
        <w:t>.</w:t>
      </w:r>
      <w:r>
        <w:rPr>
          <w:snapToGrid w:val="0"/>
        </w:rPr>
        <w:tab/>
        <w:t>Entry by mail</w:t>
      </w:r>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19" w:name="_Toc5071680"/>
      <w:bookmarkStart w:id="120" w:name="_Toc5071989"/>
      <w:bookmarkStart w:id="121" w:name="_Toc9846754"/>
      <w:bookmarkStart w:id="122" w:name="_Toc48382034"/>
      <w:bookmarkStart w:id="123" w:name="_Toc130782706"/>
      <w:r>
        <w:tab/>
        <w:t>[Rule 10 amended in Gazette 6 Jun 2008 p. 2305-6.]</w:t>
      </w:r>
    </w:p>
    <w:p>
      <w:pPr>
        <w:pStyle w:val="Heading5"/>
        <w:rPr>
          <w:snapToGrid w:val="0"/>
        </w:rPr>
      </w:pPr>
      <w:bookmarkStart w:id="124" w:name="_Toc317578410"/>
      <w:r>
        <w:rPr>
          <w:rStyle w:val="CharSectno"/>
        </w:rPr>
        <w:t>11</w:t>
      </w:r>
      <w:r>
        <w:rPr>
          <w:snapToGrid w:val="0"/>
        </w:rPr>
        <w:t>.</w:t>
      </w:r>
      <w:r>
        <w:rPr>
          <w:snapToGrid w:val="0"/>
        </w:rPr>
        <w:tab/>
        <w:t>Receipted tickets</w:t>
      </w:r>
      <w:bookmarkEnd w:id="119"/>
      <w:bookmarkEnd w:id="120"/>
      <w:bookmarkEnd w:id="121"/>
      <w:bookmarkEnd w:id="122"/>
      <w:bookmarkEnd w:id="123"/>
      <w:bookmarkEnd w:id="124"/>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5" w:name="_Toc5071681"/>
      <w:bookmarkStart w:id="126" w:name="_Toc5071990"/>
      <w:bookmarkStart w:id="127" w:name="_Toc9846755"/>
      <w:bookmarkStart w:id="128" w:name="_Toc48382035"/>
      <w:bookmarkStart w:id="129" w:name="_Toc130782707"/>
      <w:r>
        <w:tab/>
        <w:t>[Rule 11 amended in Gazette 6 Jun 2008 p. 2306.]</w:t>
      </w:r>
    </w:p>
    <w:p>
      <w:pPr>
        <w:pStyle w:val="Heading5"/>
        <w:rPr>
          <w:snapToGrid w:val="0"/>
        </w:rPr>
      </w:pPr>
      <w:bookmarkStart w:id="130" w:name="_Toc317578411"/>
      <w:r>
        <w:rPr>
          <w:rStyle w:val="CharSectno"/>
        </w:rPr>
        <w:t>12</w:t>
      </w:r>
      <w:r>
        <w:rPr>
          <w:snapToGrid w:val="0"/>
        </w:rPr>
        <w:t>.</w:t>
      </w:r>
      <w:r>
        <w:rPr>
          <w:snapToGrid w:val="0"/>
        </w:rPr>
        <w:tab/>
        <w:t>Surrender of receipted ticket</w:t>
      </w:r>
      <w:bookmarkEnd w:id="125"/>
      <w:bookmarkEnd w:id="126"/>
      <w:bookmarkEnd w:id="127"/>
      <w:bookmarkEnd w:id="128"/>
      <w:bookmarkEnd w:id="129"/>
      <w:bookmarkEnd w:id="130"/>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31" w:name="_Toc5071682"/>
      <w:bookmarkStart w:id="132" w:name="_Toc5071991"/>
      <w:bookmarkStart w:id="133" w:name="_Toc9846756"/>
      <w:bookmarkStart w:id="134" w:name="_Toc48382036"/>
      <w:bookmarkStart w:id="135" w:name="_Toc130782708"/>
      <w:r>
        <w:tab/>
        <w:t>[Rule 12 amended in Gazette 6 Jun 2008 p. 2306-7.]</w:t>
      </w:r>
    </w:p>
    <w:p>
      <w:pPr>
        <w:pStyle w:val="Heading5"/>
        <w:rPr>
          <w:snapToGrid w:val="0"/>
        </w:rPr>
      </w:pPr>
      <w:bookmarkStart w:id="136" w:name="_Toc317578412"/>
      <w:r>
        <w:rPr>
          <w:rStyle w:val="CharSectno"/>
        </w:rPr>
        <w:t>13</w:t>
      </w:r>
      <w:r>
        <w:rPr>
          <w:snapToGrid w:val="0"/>
        </w:rPr>
        <w:t>.</w:t>
      </w:r>
      <w:r>
        <w:rPr>
          <w:snapToGrid w:val="0"/>
        </w:rPr>
        <w:tab/>
        <w:t>Accuracy of receipted ticket</w:t>
      </w:r>
      <w:bookmarkEnd w:id="131"/>
      <w:bookmarkEnd w:id="132"/>
      <w:bookmarkEnd w:id="133"/>
      <w:bookmarkEnd w:id="134"/>
      <w:bookmarkEnd w:id="135"/>
      <w:bookmarkEnd w:id="136"/>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37" w:name="_Toc5071683"/>
      <w:bookmarkStart w:id="138" w:name="_Toc5071992"/>
      <w:bookmarkStart w:id="139" w:name="_Toc9846757"/>
      <w:bookmarkStart w:id="140" w:name="_Toc48382037"/>
      <w:bookmarkStart w:id="141" w:name="_Toc130782709"/>
      <w:r>
        <w:tab/>
        <w:t>[Rule 13 amended in Gazette 6 Jun 2008 p. 2307.]</w:t>
      </w:r>
    </w:p>
    <w:p>
      <w:pPr>
        <w:pStyle w:val="Heading5"/>
        <w:rPr>
          <w:snapToGrid w:val="0"/>
        </w:rPr>
      </w:pPr>
      <w:bookmarkStart w:id="142" w:name="_Toc317578413"/>
      <w:r>
        <w:rPr>
          <w:rStyle w:val="CharSectno"/>
        </w:rPr>
        <w:t>14</w:t>
      </w:r>
      <w:r>
        <w:rPr>
          <w:snapToGrid w:val="0"/>
        </w:rPr>
        <w:t>.</w:t>
      </w:r>
      <w:r>
        <w:rPr>
          <w:snapToGrid w:val="0"/>
        </w:rPr>
        <w:tab/>
        <w:t>Validity of receipted ticket</w:t>
      </w:r>
      <w:bookmarkEnd w:id="137"/>
      <w:bookmarkEnd w:id="138"/>
      <w:bookmarkEnd w:id="139"/>
      <w:bookmarkEnd w:id="140"/>
      <w:bookmarkEnd w:id="141"/>
      <w:bookmarkEnd w:id="14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43" w:name="_Toc129660697"/>
      <w:bookmarkStart w:id="144" w:name="_Toc129660745"/>
      <w:bookmarkStart w:id="145" w:name="_Toc129669293"/>
      <w:bookmarkStart w:id="146" w:name="_Toc129669349"/>
      <w:bookmarkStart w:id="147" w:name="_Toc129679032"/>
      <w:bookmarkStart w:id="148" w:name="_Toc129679143"/>
      <w:bookmarkStart w:id="149" w:name="_Toc129679191"/>
      <w:bookmarkStart w:id="150" w:name="_Toc130782453"/>
      <w:bookmarkStart w:id="151" w:name="_Toc130782662"/>
      <w:bookmarkStart w:id="152" w:name="_Toc130782710"/>
      <w:bookmarkStart w:id="153" w:name="_Toc133379720"/>
      <w:bookmarkStart w:id="154" w:name="_Toc133385315"/>
      <w:bookmarkStart w:id="155" w:name="_Toc147288403"/>
      <w:bookmarkStart w:id="156" w:name="_Toc170549120"/>
      <w:bookmarkStart w:id="157" w:name="_Toc170620873"/>
      <w:bookmarkStart w:id="158"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59" w:name="_Toc200510446"/>
      <w:bookmarkStart w:id="160" w:name="_Toc210787543"/>
      <w:bookmarkStart w:id="161" w:name="_Toc222820803"/>
      <w:bookmarkStart w:id="162" w:name="_Toc222889162"/>
      <w:bookmarkStart w:id="163" w:name="_Toc224108787"/>
      <w:bookmarkStart w:id="164" w:name="_Toc256152916"/>
      <w:bookmarkStart w:id="165" w:name="_Toc277943287"/>
      <w:bookmarkStart w:id="166" w:name="_Toc315428695"/>
      <w:bookmarkStart w:id="167" w:name="_Toc317510723"/>
      <w:bookmarkStart w:id="168" w:name="_Toc317511267"/>
      <w:bookmarkStart w:id="169" w:name="_Toc317578414"/>
      <w:r>
        <w:rPr>
          <w:rStyle w:val="CharPartNo"/>
        </w:rPr>
        <w:t>Part 2A</w:t>
      </w:r>
      <w:r>
        <w:rPr>
          <w:b w:val="0"/>
        </w:rPr>
        <w:t> </w:t>
      </w:r>
      <w:r>
        <w:t>—</w:t>
      </w:r>
      <w:r>
        <w:rPr>
          <w:b w:val="0"/>
        </w:rPr>
        <w:t> </w:t>
      </w:r>
      <w:r>
        <w:rPr>
          <w:rStyle w:val="CharPartText"/>
        </w:rPr>
        <w:t>Syndicate entries</w:t>
      </w:r>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6 Jun 2008 p. 2308.]</w:t>
      </w:r>
    </w:p>
    <w:p>
      <w:pPr>
        <w:pStyle w:val="Heading5"/>
      </w:pPr>
      <w:bookmarkStart w:id="170" w:name="_Toc317578415"/>
      <w:r>
        <w:rPr>
          <w:rStyle w:val="CharSectno"/>
        </w:rPr>
        <w:t>14A</w:t>
      </w:r>
      <w:r>
        <w:t>.</w:t>
      </w:r>
      <w:r>
        <w:tab/>
        <w:t>Application of this Part</w:t>
      </w:r>
      <w:bookmarkEnd w:id="170"/>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71" w:name="_Toc317578416"/>
      <w:r>
        <w:rPr>
          <w:rStyle w:val="CharSectno"/>
        </w:rPr>
        <w:t>14B</w:t>
      </w:r>
      <w:r>
        <w:t>.</w:t>
      </w:r>
      <w:r>
        <w:tab/>
        <w:t>Establishing a syndicate</w:t>
      </w:r>
      <w:bookmarkEnd w:id="17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72" w:name="_Toc317578417"/>
      <w:r>
        <w:rPr>
          <w:rStyle w:val="CharSectno"/>
        </w:rPr>
        <w:t>14C</w:t>
      </w:r>
      <w:r>
        <w:t>.</w:t>
      </w:r>
      <w:r>
        <w:tab/>
        <w:t>Syndicate share and cost parameters</w:t>
      </w:r>
      <w:bookmarkEnd w:id="17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73" w:name="_Toc317578418"/>
      <w:r>
        <w:rPr>
          <w:rStyle w:val="CharSectno"/>
        </w:rPr>
        <w:t>14D</w:t>
      </w:r>
      <w:r>
        <w:t>.</w:t>
      </w:r>
      <w:r>
        <w:tab/>
        <w:t>Agent’s component of a syndicate share</w:t>
      </w:r>
      <w:bookmarkEnd w:id="173"/>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74" w:name="_Toc317578419"/>
      <w:r>
        <w:rPr>
          <w:rStyle w:val="CharSectno"/>
        </w:rPr>
        <w:t>14E</w:t>
      </w:r>
      <w:r>
        <w:t>.</w:t>
      </w:r>
      <w:r>
        <w:tab/>
        <w:t>Syndicate participation parameters</w:t>
      </w:r>
      <w:bookmarkEnd w:id="17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75" w:name="_Toc317578420"/>
      <w:r>
        <w:rPr>
          <w:rStyle w:val="CharSectno"/>
        </w:rPr>
        <w:t>14F</w:t>
      </w:r>
      <w:r>
        <w:t>.</w:t>
      </w:r>
      <w:r>
        <w:tab/>
        <w:t>Types of syndicates</w:t>
      </w:r>
      <w:bookmarkEnd w:id="175"/>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76" w:name="_Toc317578421"/>
      <w:r>
        <w:rPr>
          <w:rStyle w:val="CharSectno"/>
        </w:rPr>
        <w:t>14G</w:t>
      </w:r>
      <w:r>
        <w:t>.</w:t>
      </w:r>
      <w:r>
        <w:tab/>
        <w:t>Syndicate share receipted ticket</w:t>
      </w:r>
      <w:bookmarkEnd w:id="176"/>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77" w:name="_Toc317578422"/>
      <w:r>
        <w:rPr>
          <w:rStyle w:val="CharSectno"/>
        </w:rPr>
        <w:t>14H</w:t>
      </w:r>
      <w:r>
        <w:t>.</w:t>
      </w:r>
      <w:r>
        <w:tab/>
        <w:t>Syndicate master ticket</w:t>
      </w:r>
      <w:bookmarkEnd w:id="17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78" w:name="_Toc200510455"/>
      <w:bookmarkStart w:id="179" w:name="_Toc210787552"/>
      <w:bookmarkStart w:id="180" w:name="_Toc222820812"/>
      <w:bookmarkStart w:id="181" w:name="_Toc222889171"/>
      <w:bookmarkStart w:id="182" w:name="_Toc224108796"/>
      <w:bookmarkStart w:id="183" w:name="_Toc256152925"/>
      <w:bookmarkStart w:id="184" w:name="_Toc277943296"/>
      <w:bookmarkStart w:id="185" w:name="_Toc315428704"/>
      <w:bookmarkStart w:id="186" w:name="_Toc317510732"/>
      <w:bookmarkStart w:id="187" w:name="_Toc317511276"/>
      <w:bookmarkStart w:id="188" w:name="_Toc317578423"/>
      <w:r>
        <w:rPr>
          <w:rStyle w:val="CharPartNo"/>
        </w:rPr>
        <w:t>Part 3</w:t>
      </w:r>
      <w:r>
        <w:rPr>
          <w:rStyle w:val="CharDivNo"/>
        </w:rPr>
        <w:t> </w:t>
      </w:r>
      <w:r>
        <w:t>—</w:t>
      </w:r>
      <w:r>
        <w:rPr>
          <w:rStyle w:val="CharDivText"/>
        </w:rPr>
        <w:t> </w:t>
      </w:r>
      <w:r>
        <w:rPr>
          <w:rStyle w:val="CharPartText"/>
        </w:rPr>
        <w:t>General duties of Commission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5071684"/>
      <w:bookmarkStart w:id="190" w:name="_Toc5071993"/>
      <w:bookmarkStart w:id="191" w:name="_Toc9846758"/>
      <w:bookmarkStart w:id="192" w:name="_Toc48382038"/>
      <w:bookmarkStart w:id="193" w:name="_Toc130782711"/>
      <w:bookmarkStart w:id="194" w:name="_Toc317578424"/>
      <w:r>
        <w:rPr>
          <w:rStyle w:val="CharSectno"/>
        </w:rPr>
        <w:t>15</w:t>
      </w:r>
      <w:r>
        <w:rPr>
          <w:snapToGrid w:val="0"/>
        </w:rPr>
        <w:t>.</w:t>
      </w:r>
      <w:r>
        <w:rPr>
          <w:snapToGrid w:val="0"/>
        </w:rPr>
        <w:tab/>
        <w:t>Monday and Wednesday draws to be numbered</w:t>
      </w:r>
      <w:bookmarkEnd w:id="189"/>
      <w:bookmarkEnd w:id="190"/>
      <w:bookmarkEnd w:id="191"/>
      <w:bookmarkEnd w:id="192"/>
      <w:bookmarkEnd w:id="193"/>
      <w:bookmarkEnd w:id="194"/>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95" w:name="_Toc5071685"/>
      <w:bookmarkStart w:id="196" w:name="_Toc5071994"/>
      <w:bookmarkStart w:id="197" w:name="_Toc9846759"/>
      <w:bookmarkStart w:id="198" w:name="_Toc48382039"/>
      <w:bookmarkStart w:id="199" w:name="_Toc130782712"/>
      <w:bookmarkStart w:id="200" w:name="_Toc317578425"/>
      <w:r>
        <w:rPr>
          <w:rStyle w:val="CharSectno"/>
        </w:rPr>
        <w:t>16</w:t>
      </w:r>
      <w:r>
        <w:t>.</w:t>
      </w:r>
      <w:r>
        <w:tab/>
        <w:t>Supervision of lotto</w:t>
      </w:r>
      <w:bookmarkEnd w:id="195"/>
      <w:bookmarkEnd w:id="196"/>
      <w:bookmarkEnd w:id="197"/>
      <w:bookmarkEnd w:id="198"/>
      <w:r>
        <w:t xml:space="preserve"> draw</w:t>
      </w:r>
      <w:bookmarkEnd w:id="199"/>
      <w:bookmarkEnd w:id="200"/>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01" w:name="_Toc5071686"/>
      <w:bookmarkStart w:id="202" w:name="_Toc5071995"/>
      <w:bookmarkStart w:id="203" w:name="_Toc9846760"/>
      <w:bookmarkStart w:id="204" w:name="_Toc48382040"/>
      <w:bookmarkStart w:id="205" w:name="_Toc130782713"/>
      <w:bookmarkStart w:id="206" w:name="_Toc317578426"/>
      <w:r>
        <w:rPr>
          <w:rStyle w:val="CharSectno"/>
        </w:rPr>
        <w:t>17</w:t>
      </w:r>
      <w:r>
        <w:rPr>
          <w:snapToGrid w:val="0"/>
        </w:rPr>
        <w:t>.</w:t>
      </w:r>
      <w:r>
        <w:rPr>
          <w:snapToGrid w:val="0"/>
        </w:rPr>
        <w:tab/>
        <w:t>Publication of results</w:t>
      </w:r>
      <w:bookmarkEnd w:id="201"/>
      <w:bookmarkEnd w:id="202"/>
      <w:bookmarkEnd w:id="203"/>
      <w:bookmarkEnd w:id="204"/>
      <w:bookmarkEnd w:id="205"/>
      <w:bookmarkEnd w:id="206"/>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bookmarkStart w:id="207" w:name="_Toc5071687"/>
      <w:bookmarkStart w:id="208" w:name="_Toc5071996"/>
      <w:bookmarkStart w:id="209" w:name="_Toc9846761"/>
      <w:bookmarkStart w:id="210" w:name="_Toc48382041"/>
      <w:bookmarkStart w:id="211" w:name="_Toc130782714"/>
      <w:r>
        <w:tab/>
        <w:t>(f)</w:t>
      </w:r>
      <w:r>
        <w:tab/>
        <w:t>the amount to go to the reserve prize fund after paying division 1 prizes from that draw.</w:t>
      </w:r>
    </w:p>
    <w:p>
      <w:pPr>
        <w:pStyle w:val="Ednotepara"/>
      </w:pPr>
      <w:r>
        <w:tab/>
        <w:t>[(g)</w:t>
      </w:r>
      <w:r>
        <w:tab/>
        <w:t>deleted]</w:t>
      </w:r>
    </w:p>
    <w:p>
      <w:pPr>
        <w:pStyle w:val="Footnotesection"/>
      </w:pPr>
      <w:r>
        <w:tab/>
        <w:t>[Rule 17 amended in Gazette 27 Jan 2012 p. 570.]</w:t>
      </w:r>
    </w:p>
    <w:p>
      <w:pPr>
        <w:pStyle w:val="Heading5"/>
        <w:rPr>
          <w:snapToGrid w:val="0"/>
        </w:rPr>
      </w:pPr>
      <w:bookmarkStart w:id="212" w:name="_Toc317578427"/>
      <w:r>
        <w:rPr>
          <w:rStyle w:val="CharSectno"/>
        </w:rPr>
        <w:t>18</w:t>
      </w:r>
      <w:r>
        <w:rPr>
          <w:snapToGrid w:val="0"/>
        </w:rPr>
        <w:t>.</w:t>
      </w:r>
      <w:r>
        <w:rPr>
          <w:snapToGrid w:val="0"/>
        </w:rPr>
        <w:tab/>
        <w:t>Monday and Wednesday Lotto Bloc prize pool and prize reserve fund</w:t>
      </w:r>
      <w:bookmarkEnd w:id="207"/>
      <w:bookmarkEnd w:id="208"/>
      <w:bookmarkEnd w:id="209"/>
      <w:bookmarkEnd w:id="210"/>
      <w:bookmarkEnd w:id="211"/>
      <w:bookmarkEnd w:id="212"/>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213" w:name="_Toc129660702"/>
      <w:bookmarkStart w:id="214" w:name="_Toc129660750"/>
      <w:bookmarkStart w:id="215" w:name="_Toc129669298"/>
      <w:bookmarkStart w:id="216" w:name="_Toc129669354"/>
      <w:bookmarkStart w:id="217" w:name="_Toc129679037"/>
      <w:bookmarkStart w:id="218" w:name="_Toc129679148"/>
      <w:bookmarkStart w:id="219" w:name="_Toc129679196"/>
      <w:bookmarkStart w:id="220" w:name="_Toc130782458"/>
      <w:bookmarkStart w:id="221" w:name="_Toc130782667"/>
      <w:bookmarkStart w:id="222" w:name="_Toc130782715"/>
      <w:bookmarkStart w:id="223" w:name="_Toc133379725"/>
      <w:bookmarkStart w:id="224" w:name="_Toc133385320"/>
      <w:bookmarkStart w:id="225" w:name="_Toc147288408"/>
      <w:bookmarkStart w:id="226" w:name="_Toc170549125"/>
      <w:bookmarkStart w:id="227" w:name="_Toc170620878"/>
      <w:bookmarkStart w:id="228" w:name="_Toc170621030"/>
      <w:bookmarkStart w:id="229" w:name="_Toc200510460"/>
      <w:bookmarkStart w:id="230" w:name="_Toc210787557"/>
      <w:bookmarkStart w:id="231" w:name="_Toc222820817"/>
      <w:bookmarkStart w:id="232" w:name="_Toc222889176"/>
      <w:bookmarkStart w:id="233" w:name="_Toc224108801"/>
      <w:bookmarkStart w:id="234" w:name="_Toc256152930"/>
      <w:bookmarkStart w:id="235" w:name="_Toc277943301"/>
      <w:bookmarkStart w:id="236" w:name="_Toc315428709"/>
      <w:bookmarkStart w:id="237" w:name="_Toc317510737"/>
      <w:bookmarkStart w:id="238" w:name="_Toc317511281"/>
      <w:bookmarkStart w:id="239" w:name="_Toc317578428"/>
      <w:r>
        <w:rPr>
          <w:rStyle w:val="CharPartNo"/>
        </w:rPr>
        <w:t>Part 4</w:t>
      </w:r>
      <w:r>
        <w:t> — </w:t>
      </w:r>
      <w:r>
        <w:rPr>
          <w:rStyle w:val="CharPartText"/>
        </w:rPr>
        <w:t>Conducting a lotto draw</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spacing w:before="120"/>
        <w:rPr>
          <w:snapToGrid w:val="0"/>
        </w:rPr>
      </w:pPr>
      <w:bookmarkStart w:id="240" w:name="_Toc5071688"/>
      <w:bookmarkStart w:id="241" w:name="_Toc5071997"/>
      <w:bookmarkStart w:id="242" w:name="_Toc9846762"/>
      <w:bookmarkStart w:id="243" w:name="_Toc48382042"/>
      <w:bookmarkStart w:id="244" w:name="_Toc130782716"/>
      <w:bookmarkStart w:id="245" w:name="_Toc317578429"/>
      <w:r>
        <w:rPr>
          <w:rStyle w:val="CharSectno"/>
        </w:rPr>
        <w:t>19</w:t>
      </w:r>
      <w:r>
        <w:rPr>
          <w:snapToGrid w:val="0"/>
        </w:rPr>
        <w:t>.</w:t>
      </w:r>
      <w:r>
        <w:rPr>
          <w:snapToGrid w:val="0"/>
        </w:rPr>
        <w:tab/>
        <w:t>Lotto draw</w:t>
      </w:r>
      <w:bookmarkEnd w:id="240"/>
      <w:bookmarkEnd w:id="241"/>
      <w:bookmarkEnd w:id="242"/>
      <w:bookmarkEnd w:id="243"/>
      <w:bookmarkEnd w:id="244"/>
      <w:bookmarkEnd w:id="245"/>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46" w:name="_Toc5071689"/>
      <w:bookmarkStart w:id="247" w:name="_Toc5071998"/>
      <w:bookmarkStart w:id="248" w:name="_Toc9846763"/>
      <w:bookmarkStart w:id="249" w:name="_Toc48382043"/>
      <w:bookmarkStart w:id="250" w:name="_Toc130782717"/>
      <w:bookmarkStart w:id="251" w:name="_Toc317578430"/>
      <w:r>
        <w:rPr>
          <w:rStyle w:val="CharSectno"/>
        </w:rPr>
        <w:t>20</w:t>
      </w:r>
      <w:r>
        <w:rPr>
          <w:snapToGrid w:val="0"/>
        </w:rPr>
        <w:t>.</w:t>
      </w:r>
      <w:r>
        <w:rPr>
          <w:snapToGrid w:val="0"/>
        </w:rPr>
        <w:tab/>
        <w:t>Criteria for lotto prizes</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252" w:name="_Toc5071690"/>
      <w:bookmarkStart w:id="253" w:name="_Toc5071999"/>
      <w:bookmarkStart w:id="254" w:name="_Toc9846764"/>
      <w:bookmarkStart w:id="255" w:name="_Toc48382044"/>
      <w:bookmarkStart w:id="256" w:name="_Toc130782718"/>
      <w:bookmarkStart w:id="257" w:name="_Toc317578431"/>
      <w:r>
        <w:rPr>
          <w:rStyle w:val="CharSectno"/>
        </w:rPr>
        <w:t>21</w:t>
      </w:r>
      <w:r>
        <w:rPr>
          <w:snapToGrid w:val="0"/>
        </w:rPr>
        <w:t>.</w:t>
      </w:r>
      <w:r>
        <w:rPr>
          <w:snapToGrid w:val="0"/>
        </w:rPr>
        <w:tab/>
        <w:t>Only systems entry can win in more than one division</w:t>
      </w:r>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58" w:name="_Toc5071691"/>
      <w:bookmarkStart w:id="259" w:name="_Toc5072000"/>
      <w:bookmarkStart w:id="260" w:name="_Toc9846765"/>
      <w:bookmarkStart w:id="261" w:name="_Toc48382045"/>
      <w:bookmarkStart w:id="262"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263" w:name="_Toc317578432"/>
      <w:r>
        <w:rPr>
          <w:rStyle w:val="CharSectno"/>
        </w:rPr>
        <w:t>22</w:t>
      </w:r>
      <w:r>
        <w:rPr>
          <w:snapToGrid w:val="0"/>
        </w:rPr>
        <w:t>.</w:t>
      </w:r>
      <w:r>
        <w:rPr>
          <w:snapToGrid w:val="0"/>
        </w:rPr>
        <w:tab/>
        <w:t>Distribution of lotto prize pool</w:t>
      </w:r>
      <w:bookmarkEnd w:id="258"/>
      <w:bookmarkEnd w:id="259"/>
      <w:bookmarkEnd w:id="260"/>
      <w:bookmarkEnd w:id="261"/>
      <w:bookmarkEnd w:id="262"/>
      <w:bookmarkEnd w:id="26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264" w:name="_Toc317578433"/>
      <w:bookmarkStart w:id="265" w:name="_Toc5071693"/>
      <w:bookmarkStart w:id="266" w:name="_Toc5072002"/>
      <w:bookmarkStart w:id="267" w:name="_Toc9846767"/>
      <w:bookmarkStart w:id="268" w:name="_Toc48382047"/>
      <w:bookmarkStart w:id="269" w:name="_Toc130782721"/>
      <w:r>
        <w:rPr>
          <w:rStyle w:val="CharSectno"/>
        </w:rPr>
        <w:t>23</w:t>
      </w:r>
      <w:r>
        <w:t>.</w:t>
      </w:r>
      <w:r>
        <w:tab/>
        <w:t>Division 1 prize</w:t>
      </w:r>
      <w:bookmarkEnd w:id="264"/>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lotto draw, the prize reserve fund is to be used to pay a division 1 prize of $1 000 000.</w:t>
      </w:r>
    </w:p>
    <w:p>
      <w:pPr>
        <w:pStyle w:val="Subsection"/>
      </w:pPr>
      <w:r>
        <w:tab/>
        <w:t>(3)</w:t>
      </w:r>
      <w:r>
        <w:tab/>
        <w:t>If there are 2 or more winners of a division 1 prize in a particular lotto draw, the prize reserve fund is to be used to pay each division 1 winner an equal share of $2 000 000.</w:t>
      </w:r>
    </w:p>
    <w:p>
      <w:pPr>
        <w:pStyle w:val="Footnotesection"/>
      </w:pPr>
      <w:r>
        <w:tab/>
        <w:t>[Rule 23 inserted in Gazette 27 Jan 2012 p. 571.]</w:t>
      </w:r>
    </w:p>
    <w:p>
      <w:pPr>
        <w:pStyle w:val="Heading5"/>
        <w:rPr>
          <w:snapToGrid w:val="0"/>
        </w:rPr>
      </w:pPr>
      <w:bookmarkStart w:id="270" w:name="_Toc317578434"/>
      <w:r>
        <w:rPr>
          <w:rStyle w:val="CharSectno"/>
        </w:rPr>
        <w:t>24</w:t>
      </w:r>
      <w:r>
        <w:rPr>
          <w:snapToGrid w:val="0"/>
        </w:rPr>
        <w:t>.</w:t>
      </w:r>
      <w:r>
        <w:rPr>
          <w:snapToGrid w:val="0"/>
        </w:rPr>
        <w:tab/>
      </w:r>
      <w:bookmarkEnd w:id="265"/>
      <w:bookmarkEnd w:id="266"/>
      <w:bookmarkEnd w:id="267"/>
      <w:bookmarkEnd w:id="268"/>
      <w:bookmarkEnd w:id="269"/>
      <w:r>
        <w:t>Divisions 2 to 5 prize pools may go to next lowest division</w:t>
      </w:r>
      <w:bookmarkEnd w:id="270"/>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bookmarkStart w:id="271" w:name="_Toc5071694"/>
      <w:bookmarkStart w:id="272" w:name="_Toc5072003"/>
      <w:bookmarkStart w:id="273" w:name="_Toc9846768"/>
      <w:bookmarkStart w:id="274" w:name="_Toc48382048"/>
      <w:bookmarkStart w:id="275" w:name="_Toc130782722"/>
      <w:r>
        <w:tab/>
        <w:t>[Rule 24 amended in Gazette 27 Jan 2012 p. 571.]</w:t>
      </w:r>
    </w:p>
    <w:p>
      <w:pPr>
        <w:pStyle w:val="Ednotesection"/>
      </w:pPr>
      <w:bookmarkStart w:id="276" w:name="_Toc5071695"/>
      <w:bookmarkStart w:id="277" w:name="_Toc5072004"/>
      <w:bookmarkStart w:id="278" w:name="_Toc9846769"/>
      <w:bookmarkStart w:id="279" w:name="_Toc48382049"/>
      <w:bookmarkStart w:id="280" w:name="_Toc130782723"/>
      <w:bookmarkEnd w:id="271"/>
      <w:bookmarkEnd w:id="272"/>
      <w:bookmarkEnd w:id="273"/>
      <w:bookmarkEnd w:id="274"/>
      <w:bookmarkEnd w:id="275"/>
      <w:r>
        <w:t>[</w:t>
      </w:r>
      <w:r>
        <w:rPr>
          <w:b/>
        </w:rPr>
        <w:t>25.</w:t>
      </w:r>
      <w:r>
        <w:tab/>
        <w:t>Deleted in Gazette 27 Jan 2012 p. 571.]</w:t>
      </w:r>
    </w:p>
    <w:p>
      <w:pPr>
        <w:pStyle w:val="Heading5"/>
        <w:rPr>
          <w:snapToGrid w:val="0"/>
        </w:rPr>
      </w:pPr>
      <w:bookmarkStart w:id="281" w:name="_Toc317578435"/>
      <w:r>
        <w:rPr>
          <w:rStyle w:val="CharSectno"/>
        </w:rPr>
        <w:t>26</w:t>
      </w:r>
      <w:r>
        <w:rPr>
          <w:snapToGrid w:val="0"/>
        </w:rPr>
        <w:t>.</w:t>
      </w:r>
      <w:r>
        <w:rPr>
          <w:snapToGrid w:val="0"/>
        </w:rPr>
        <w:tab/>
        <w:t>Division 1 prizes</w:t>
      </w:r>
      <w:bookmarkEnd w:id="276"/>
      <w:bookmarkEnd w:id="277"/>
      <w:bookmarkEnd w:id="278"/>
      <w:bookmarkEnd w:id="279"/>
      <w:bookmarkEnd w:id="280"/>
      <w:bookmarkEnd w:id="281"/>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82" w:name="_Toc5071696"/>
      <w:bookmarkStart w:id="283" w:name="_Toc5072005"/>
      <w:bookmarkStart w:id="284" w:name="_Toc9846770"/>
      <w:bookmarkStart w:id="285" w:name="_Toc48382050"/>
      <w:bookmarkStart w:id="286" w:name="_Toc130782724"/>
      <w:r>
        <w:tab/>
        <w:t>[Rule 26 amended in Gazette 6 Jun 2008 p. 2313; 19 Nov 2010 p. 5722.]</w:t>
      </w:r>
    </w:p>
    <w:p>
      <w:pPr>
        <w:pStyle w:val="Heading5"/>
        <w:rPr>
          <w:snapToGrid w:val="0"/>
        </w:rPr>
      </w:pPr>
      <w:bookmarkStart w:id="287" w:name="_Toc317578436"/>
      <w:r>
        <w:rPr>
          <w:rStyle w:val="CharSectno"/>
        </w:rPr>
        <w:t>27</w:t>
      </w:r>
      <w:r>
        <w:rPr>
          <w:snapToGrid w:val="0"/>
        </w:rPr>
        <w:t>.</w:t>
      </w:r>
      <w:r>
        <w:rPr>
          <w:snapToGrid w:val="0"/>
        </w:rPr>
        <w:tab/>
        <w:t>Division 2 prizes</w:t>
      </w:r>
      <w:bookmarkEnd w:id="282"/>
      <w:bookmarkEnd w:id="283"/>
      <w:bookmarkEnd w:id="284"/>
      <w:bookmarkEnd w:id="285"/>
      <w:bookmarkEnd w:id="286"/>
      <w:bookmarkEnd w:id="287"/>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88" w:name="_Toc5071697"/>
      <w:bookmarkStart w:id="289" w:name="_Toc5072006"/>
      <w:bookmarkStart w:id="290" w:name="_Toc9846771"/>
      <w:bookmarkStart w:id="291" w:name="_Toc48382051"/>
      <w:bookmarkStart w:id="292" w:name="_Toc130782725"/>
      <w:r>
        <w:tab/>
        <w:t>[Rule 27 amended in Gazette 6 Jun 2008 p. 2313; 19 Nov 2010 p. 5722</w:t>
      </w:r>
      <w:r>
        <w:noBreakHyphen/>
        <w:t>3.]</w:t>
      </w:r>
    </w:p>
    <w:p>
      <w:pPr>
        <w:pStyle w:val="Heading5"/>
        <w:rPr>
          <w:snapToGrid w:val="0"/>
        </w:rPr>
      </w:pPr>
      <w:bookmarkStart w:id="293" w:name="_Toc317578437"/>
      <w:r>
        <w:rPr>
          <w:rStyle w:val="CharSectno"/>
        </w:rPr>
        <w:t>28</w:t>
      </w:r>
      <w:r>
        <w:rPr>
          <w:snapToGrid w:val="0"/>
        </w:rPr>
        <w:t>.</w:t>
      </w:r>
      <w:r>
        <w:rPr>
          <w:snapToGrid w:val="0"/>
        </w:rPr>
        <w:tab/>
      </w:r>
      <w:bookmarkEnd w:id="288"/>
      <w:bookmarkEnd w:id="289"/>
      <w:bookmarkEnd w:id="290"/>
      <w:bookmarkEnd w:id="291"/>
      <w:bookmarkEnd w:id="292"/>
      <w:r>
        <w:t>Divisions 3 to 6 prizes</w:t>
      </w:r>
      <w:bookmarkEnd w:id="293"/>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94" w:name="_Toc5071698"/>
      <w:bookmarkStart w:id="295" w:name="_Toc5072007"/>
      <w:bookmarkStart w:id="296" w:name="_Toc9846772"/>
      <w:bookmarkStart w:id="297" w:name="_Toc48382052"/>
      <w:bookmarkStart w:id="298" w:name="_Toc130782726"/>
      <w:r>
        <w:tab/>
        <w:t>[Rule 28 amended in Gazette 6 Jun 2008 p. 2313-14; 19 Nov 2010 p. 5723; 27 Jan 2012 p. 571.]</w:t>
      </w:r>
    </w:p>
    <w:p>
      <w:pPr>
        <w:pStyle w:val="Heading5"/>
      </w:pPr>
      <w:bookmarkStart w:id="299" w:name="_Toc317578438"/>
      <w:r>
        <w:rPr>
          <w:rStyle w:val="CharSectno"/>
        </w:rPr>
        <w:t>28A</w:t>
      </w:r>
      <w:r>
        <w:t>.</w:t>
      </w:r>
      <w:r>
        <w:tab/>
        <w:t>Claiming a syndicate share prize</w:t>
      </w:r>
      <w:bookmarkEnd w:id="299"/>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00" w:name="_Toc317578439"/>
      <w:r>
        <w:rPr>
          <w:rStyle w:val="CharSectno"/>
        </w:rPr>
        <w:t>29</w:t>
      </w:r>
      <w:r>
        <w:rPr>
          <w:snapToGrid w:val="0"/>
        </w:rPr>
        <w:t>.</w:t>
      </w:r>
      <w:r>
        <w:rPr>
          <w:snapToGrid w:val="0"/>
        </w:rPr>
        <w:tab/>
        <w:t>Commission may require a statutory declaration</w:t>
      </w:r>
      <w:bookmarkEnd w:id="294"/>
      <w:bookmarkEnd w:id="295"/>
      <w:bookmarkEnd w:id="296"/>
      <w:bookmarkEnd w:id="297"/>
      <w:bookmarkEnd w:id="298"/>
      <w:bookmarkEnd w:id="300"/>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01" w:name="_Toc5071699"/>
      <w:bookmarkStart w:id="302" w:name="_Toc5072008"/>
      <w:bookmarkStart w:id="303" w:name="_Toc9846773"/>
      <w:bookmarkStart w:id="304" w:name="_Toc48382053"/>
      <w:bookmarkStart w:id="305" w:name="_Toc130782727"/>
      <w:r>
        <w:tab/>
        <w:t>[Rule 29 amended in Gazette 6 Jun 2008 p. 2315.]</w:t>
      </w:r>
    </w:p>
    <w:p>
      <w:pPr>
        <w:pStyle w:val="Heading5"/>
        <w:rPr>
          <w:snapToGrid w:val="0"/>
        </w:rPr>
      </w:pPr>
      <w:bookmarkStart w:id="306" w:name="_Toc317578440"/>
      <w:r>
        <w:rPr>
          <w:rStyle w:val="CharSectno"/>
        </w:rPr>
        <w:t>30</w:t>
      </w:r>
      <w:r>
        <w:rPr>
          <w:snapToGrid w:val="0"/>
        </w:rPr>
        <w:t>.</w:t>
      </w:r>
      <w:r>
        <w:rPr>
          <w:snapToGrid w:val="0"/>
        </w:rPr>
        <w:tab/>
        <w:t>Publication of names and addresses of prize winners</w:t>
      </w:r>
      <w:bookmarkEnd w:id="301"/>
      <w:bookmarkEnd w:id="302"/>
      <w:bookmarkEnd w:id="303"/>
      <w:bookmarkEnd w:id="304"/>
      <w:bookmarkEnd w:id="305"/>
      <w:bookmarkEnd w:id="306"/>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07" w:name="_Toc5071700"/>
      <w:bookmarkStart w:id="308" w:name="_Toc5072009"/>
      <w:bookmarkStart w:id="309" w:name="_Toc9846774"/>
      <w:bookmarkStart w:id="310" w:name="_Toc48382054"/>
      <w:bookmarkStart w:id="311" w:name="_Toc130782728"/>
      <w:bookmarkStart w:id="312" w:name="_Toc317578441"/>
      <w:r>
        <w:rPr>
          <w:rStyle w:val="CharSectno"/>
        </w:rPr>
        <w:t>31</w:t>
      </w:r>
      <w:r>
        <w:rPr>
          <w:snapToGrid w:val="0"/>
        </w:rPr>
        <w:t>.</w:t>
      </w:r>
      <w:r>
        <w:rPr>
          <w:snapToGrid w:val="0"/>
        </w:rPr>
        <w:tab/>
        <w:t>Player Registration Service</w:t>
      </w:r>
      <w:bookmarkEnd w:id="307"/>
      <w:bookmarkEnd w:id="308"/>
      <w:bookmarkEnd w:id="309"/>
      <w:bookmarkEnd w:id="310"/>
      <w:bookmarkEnd w:id="311"/>
      <w:bookmarkEnd w:id="312"/>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13" w:name="_Toc129660716"/>
      <w:bookmarkStart w:id="314" w:name="_Toc129660764"/>
      <w:bookmarkStart w:id="315" w:name="_Toc129669312"/>
      <w:bookmarkStart w:id="316" w:name="_Toc129669368"/>
      <w:bookmarkStart w:id="317" w:name="_Toc129679051"/>
      <w:bookmarkStart w:id="318" w:name="_Toc129679162"/>
      <w:bookmarkStart w:id="319" w:name="_Toc129679210"/>
      <w:bookmarkStart w:id="320" w:name="_Toc130782472"/>
      <w:bookmarkStart w:id="321" w:name="_Toc130782681"/>
      <w:bookmarkStart w:id="322" w:name="_Toc130782729"/>
      <w:bookmarkStart w:id="323" w:name="_Toc133379739"/>
      <w:bookmarkStart w:id="324" w:name="_Toc133385334"/>
      <w:bookmarkStart w:id="325" w:name="_Toc147288422"/>
      <w:bookmarkStart w:id="326" w:name="_Toc170549139"/>
      <w:bookmarkStart w:id="327" w:name="_Toc170620892"/>
      <w:bookmarkStart w:id="328" w:name="_Toc170621044"/>
      <w:r>
        <w:tab/>
        <w:t>[Rule 31 amended in Gazette 6 Jun 2008 p. 2315-16.]</w:t>
      </w:r>
    </w:p>
    <w:p>
      <w:pPr>
        <w:pStyle w:val="Heading5"/>
      </w:pPr>
      <w:bookmarkStart w:id="329" w:name="_Toc317578442"/>
      <w:r>
        <w:rPr>
          <w:rStyle w:val="CharSectno"/>
        </w:rPr>
        <w:t>31A</w:t>
      </w:r>
      <w:r>
        <w:t>.</w:t>
      </w:r>
      <w:r>
        <w:tab/>
        <w:t>Player’s card holders may request direct credit of prizes</w:t>
      </w:r>
      <w:bookmarkEnd w:id="32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30" w:name="_Toc317578443"/>
      <w:r>
        <w:rPr>
          <w:rStyle w:val="CharSectno"/>
        </w:rPr>
        <w:t>31B</w:t>
      </w:r>
      <w:r>
        <w:t>.</w:t>
      </w:r>
      <w:r>
        <w:tab/>
        <w:t>Registering favourite numbers</w:t>
      </w:r>
      <w:bookmarkEnd w:id="330"/>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31" w:name="_Toc200510477"/>
      <w:bookmarkStart w:id="332" w:name="_Toc210787574"/>
      <w:bookmarkStart w:id="333" w:name="_Toc222820834"/>
      <w:bookmarkStart w:id="334" w:name="_Toc222889193"/>
      <w:bookmarkStart w:id="335" w:name="_Toc224108818"/>
      <w:bookmarkStart w:id="336" w:name="_Toc256152947"/>
      <w:bookmarkStart w:id="337" w:name="_Toc277943318"/>
      <w:bookmarkStart w:id="338" w:name="_Toc315428726"/>
      <w:bookmarkStart w:id="339" w:name="_Toc317510753"/>
      <w:bookmarkStart w:id="340" w:name="_Toc317511297"/>
      <w:bookmarkStart w:id="341" w:name="_Toc317578444"/>
      <w:r>
        <w:rPr>
          <w:rStyle w:val="CharPartNo"/>
        </w:rPr>
        <w:t>Part 5</w:t>
      </w:r>
      <w:r>
        <w:rPr>
          <w:rStyle w:val="CharDivNo"/>
        </w:rPr>
        <w:t> </w:t>
      </w:r>
      <w:r>
        <w:t>—</w:t>
      </w:r>
      <w:r>
        <w:rPr>
          <w:rStyle w:val="CharDivText"/>
        </w:rPr>
        <w:t> </w:t>
      </w:r>
      <w:r>
        <w:rPr>
          <w:rStyle w:val="CharPartText"/>
        </w:rPr>
        <w:t>Miscellaneous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5071701"/>
      <w:bookmarkStart w:id="343" w:name="_Toc5072010"/>
      <w:bookmarkStart w:id="344" w:name="_Toc9846775"/>
      <w:bookmarkStart w:id="345" w:name="_Toc48382055"/>
      <w:bookmarkStart w:id="346" w:name="_Toc130782730"/>
      <w:bookmarkStart w:id="347" w:name="_Toc317578445"/>
      <w:r>
        <w:rPr>
          <w:rStyle w:val="CharSectno"/>
        </w:rPr>
        <w:t>32</w:t>
      </w:r>
      <w:r>
        <w:rPr>
          <w:snapToGrid w:val="0"/>
        </w:rPr>
        <w:t>.</w:t>
      </w:r>
      <w:r>
        <w:rPr>
          <w:snapToGrid w:val="0"/>
        </w:rPr>
        <w:tab/>
        <w:t>Instructions</w:t>
      </w:r>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48" w:name="_Toc5071702"/>
      <w:bookmarkStart w:id="349" w:name="_Toc5072011"/>
      <w:bookmarkStart w:id="350" w:name="_Toc9846776"/>
      <w:bookmarkStart w:id="351" w:name="_Toc48382056"/>
      <w:bookmarkStart w:id="352" w:name="_Toc130782731"/>
      <w:r>
        <w:tab/>
        <w:t>[Rule 32 amended in Gazette 6 Jun 2008 p. 2317.]</w:t>
      </w:r>
    </w:p>
    <w:p>
      <w:pPr>
        <w:pStyle w:val="Heading5"/>
        <w:rPr>
          <w:snapToGrid w:val="0"/>
        </w:rPr>
      </w:pPr>
      <w:bookmarkStart w:id="353" w:name="_Toc317578446"/>
      <w:r>
        <w:rPr>
          <w:rStyle w:val="CharSectno"/>
        </w:rPr>
        <w:t>33</w:t>
      </w:r>
      <w:r>
        <w:rPr>
          <w:snapToGrid w:val="0"/>
        </w:rPr>
        <w:t>.</w:t>
      </w:r>
      <w:r>
        <w:rPr>
          <w:snapToGrid w:val="0"/>
        </w:rPr>
        <w:tab/>
        <w:t>Rules to be made available</w:t>
      </w:r>
      <w:bookmarkEnd w:id="348"/>
      <w:bookmarkEnd w:id="349"/>
      <w:bookmarkEnd w:id="350"/>
      <w:bookmarkEnd w:id="351"/>
      <w:bookmarkEnd w:id="352"/>
      <w:bookmarkEnd w:id="353"/>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54" w:name="_Toc5071703"/>
      <w:bookmarkStart w:id="355" w:name="_Toc5072012"/>
      <w:bookmarkStart w:id="356" w:name="_Toc9846777"/>
      <w:bookmarkStart w:id="357" w:name="_Toc48382057"/>
      <w:bookmarkStart w:id="358" w:name="_Toc130782732"/>
      <w:bookmarkStart w:id="359" w:name="_Toc317578447"/>
      <w:r>
        <w:rPr>
          <w:rStyle w:val="CharSectno"/>
        </w:rPr>
        <w:t>34</w:t>
      </w:r>
      <w:r>
        <w:rPr>
          <w:snapToGrid w:val="0"/>
        </w:rPr>
        <w:t>.</w:t>
      </w:r>
      <w:r>
        <w:rPr>
          <w:snapToGrid w:val="0"/>
        </w:rPr>
        <w:tab/>
        <w:t>Decisions of Commission final</w:t>
      </w:r>
      <w:bookmarkEnd w:id="354"/>
      <w:bookmarkEnd w:id="355"/>
      <w:bookmarkEnd w:id="356"/>
      <w:bookmarkEnd w:id="357"/>
      <w:bookmarkEnd w:id="358"/>
      <w:bookmarkEnd w:id="359"/>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60" w:name="_Toc129660720"/>
      <w:bookmarkStart w:id="361" w:name="_Toc129660768"/>
      <w:bookmarkStart w:id="362" w:name="_Toc129669316"/>
      <w:bookmarkStart w:id="363" w:name="_Toc129669372"/>
      <w:bookmarkStart w:id="364" w:name="_Toc129679055"/>
      <w:bookmarkStart w:id="365" w:name="_Toc129679166"/>
      <w:bookmarkStart w:id="366" w:name="_Toc129679214"/>
      <w:bookmarkStart w:id="367" w:name="_Toc130782476"/>
      <w:bookmarkStart w:id="368" w:name="_Toc130782685"/>
      <w:bookmarkStart w:id="369" w:name="_Toc130782733"/>
      <w:bookmarkStart w:id="370" w:name="_Toc133379743"/>
    </w:p>
    <w:p>
      <w:pPr>
        <w:pStyle w:val="yScheduleHeading"/>
      </w:pPr>
      <w:bookmarkStart w:id="371" w:name="_Toc210787578"/>
      <w:bookmarkStart w:id="372" w:name="_Toc222820838"/>
      <w:bookmarkStart w:id="373" w:name="_Toc222889197"/>
      <w:bookmarkStart w:id="374" w:name="_Toc224108822"/>
      <w:bookmarkStart w:id="375" w:name="_Toc256152951"/>
      <w:bookmarkStart w:id="376" w:name="_Toc277943322"/>
      <w:bookmarkStart w:id="377" w:name="_Toc315428730"/>
      <w:bookmarkStart w:id="378" w:name="_Toc317510757"/>
      <w:bookmarkStart w:id="379" w:name="_Toc317511301"/>
      <w:bookmarkStart w:id="380" w:name="_Toc317578448"/>
      <w:bookmarkStart w:id="381" w:name="_Toc200510482"/>
      <w:bookmarkStart w:id="382" w:name="_Toc129660725"/>
      <w:bookmarkStart w:id="383" w:name="_Toc129660773"/>
      <w:bookmarkStart w:id="384" w:name="_Toc129669321"/>
      <w:bookmarkStart w:id="385" w:name="_Toc129669377"/>
      <w:bookmarkStart w:id="386" w:name="_Toc129679060"/>
      <w:bookmarkStart w:id="387" w:name="_Toc129679171"/>
      <w:bookmarkStart w:id="388" w:name="_Toc129679219"/>
      <w:bookmarkStart w:id="389" w:name="_Toc130782481"/>
      <w:bookmarkStart w:id="390" w:name="_Toc130782690"/>
      <w:bookmarkStart w:id="391" w:name="_Toc130782738"/>
      <w:bookmarkStart w:id="392" w:name="_Toc133379748"/>
      <w:bookmarkStart w:id="393" w:name="_Toc133385343"/>
      <w:bookmarkStart w:id="394" w:name="_Toc147288431"/>
      <w:bookmarkStart w:id="395" w:name="_Toc170549148"/>
      <w:bookmarkStart w:id="396" w:name="_Toc170620901"/>
      <w:bookmarkStart w:id="397" w:name="_Toc170621051"/>
      <w:bookmarkEnd w:id="360"/>
      <w:bookmarkEnd w:id="361"/>
      <w:bookmarkEnd w:id="362"/>
      <w:bookmarkEnd w:id="363"/>
      <w:bookmarkEnd w:id="364"/>
      <w:bookmarkEnd w:id="365"/>
      <w:bookmarkEnd w:id="366"/>
      <w:bookmarkEnd w:id="367"/>
      <w:bookmarkEnd w:id="368"/>
      <w:bookmarkEnd w:id="369"/>
      <w:bookmarkEnd w:id="370"/>
      <w:r>
        <w:rPr>
          <w:rStyle w:val="CharSchNo"/>
        </w:rPr>
        <w:t>Schedule 1</w:t>
      </w:r>
      <w:r>
        <w:t> — </w:t>
      </w:r>
      <w:r>
        <w:rPr>
          <w:rStyle w:val="CharSchText"/>
        </w:rPr>
        <w:t>Calculating the total cost of entry — Monday lotto or Wednesday lotto draw</w:t>
      </w:r>
      <w:bookmarkEnd w:id="371"/>
      <w:bookmarkEnd w:id="372"/>
      <w:bookmarkEnd w:id="373"/>
      <w:bookmarkEnd w:id="374"/>
      <w:bookmarkEnd w:id="375"/>
      <w:bookmarkEnd w:id="376"/>
      <w:bookmarkEnd w:id="377"/>
      <w:bookmarkEnd w:id="378"/>
      <w:bookmarkEnd w:id="379"/>
      <w:bookmarkEnd w:id="380"/>
    </w:p>
    <w:p>
      <w:pPr>
        <w:pStyle w:val="yShoulderClause"/>
        <w:rPr>
          <w:snapToGrid w:val="0"/>
        </w:rPr>
      </w:pPr>
      <w:r>
        <w:rPr>
          <w:snapToGrid w:val="0"/>
        </w:rPr>
        <w:t>[r. 5(1)]</w:t>
      </w:r>
    </w:p>
    <w:p>
      <w:pPr>
        <w:pStyle w:val="yFootnoteheading"/>
      </w:pPr>
      <w:r>
        <w:tab/>
        <w:t>[Heading inserted in Gazette 3 Oct 2008 p. 4495.]</w:t>
      </w:r>
    </w:p>
    <w:p>
      <w:pPr>
        <w:pStyle w:val="yHeading3"/>
      </w:pPr>
      <w:bookmarkStart w:id="398" w:name="_Toc317510758"/>
      <w:bookmarkStart w:id="399" w:name="_Toc317511302"/>
      <w:bookmarkStart w:id="400" w:name="_Toc317578449"/>
      <w:r>
        <w:rPr>
          <w:rStyle w:val="CharSDivNo"/>
        </w:rPr>
        <w:t>Part 1</w:t>
      </w:r>
      <w:r>
        <w:t> — </w:t>
      </w:r>
      <w:r>
        <w:rPr>
          <w:rStyle w:val="CharSDivText"/>
        </w:rPr>
        <w:t>Up to draw 3115</w:t>
      </w:r>
      <w:bookmarkEnd w:id="398"/>
      <w:bookmarkEnd w:id="399"/>
      <w:bookmarkEnd w:id="400"/>
    </w:p>
    <w:p>
      <w:pPr>
        <w:pStyle w:val="yFootnoteheading"/>
      </w:pPr>
      <w:r>
        <w:tab/>
        <w:t>[Heading inserted in Gazette 27 Jan 2012 p. 572.]</w:t>
      </w:r>
    </w:p>
    <w:p>
      <w:pPr>
        <w:pStyle w:val="yMiscellaneousBody"/>
      </w:pPr>
      <w:r>
        <w:t>The unit cost of entering a Monday lotto or a Wednesday lotto draw up to and including the Monday lotto draw numbered 3114, and the Wednesday lotto draw numbered 3115,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bookmarkStart w:id="401" w:name="_Toc317510759"/>
      <w:bookmarkStart w:id="402" w:name="_Toc317511303"/>
      <w:r>
        <w:tab/>
        <w:t>[Part 1, formerly Schedule 1, inserted in Gazette 3 Oct 2008 p. 4495</w:t>
      </w:r>
      <w:r>
        <w:noBreakHyphen/>
        <w:t>6; renumbered as Part 1 and amended  in Gazette 27 Jan 2012 p. 572.]</w:t>
      </w:r>
    </w:p>
    <w:p>
      <w:pPr>
        <w:pStyle w:val="yHeading3"/>
      </w:pPr>
      <w:bookmarkStart w:id="403" w:name="_Toc317578450"/>
      <w:r>
        <w:rPr>
          <w:rStyle w:val="CharSDivNo"/>
        </w:rPr>
        <w:t>Part 2</w:t>
      </w:r>
      <w:r>
        <w:rPr>
          <w:b w:val="0"/>
        </w:rPr>
        <w:t> — </w:t>
      </w:r>
      <w:r>
        <w:rPr>
          <w:rStyle w:val="CharSDivText"/>
        </w:rPr>
        <w:t>On and after draw 3116</w:t>
      </w:r>
      <w:bookmarkEnd w:id="401"/>
      <w:bookmarkEnd w:id="402"/>
      <w:bookmarkEnd w:id="403"/>
    </w:p>
    <w:p>
      <w:pPr>
        <w:pStyle w:val="yFootnoteheading"/>
      </w:pPr>
      <w:r>
        <w:tab/>
        <w:t>[Heading inserted in Gazette 27 Jan 2012 p. 572.]</w:t>
      </w:r>
    </w:p>
    <w:p>
      <w:pPr>
        <w:pStyle w:val="yMiscellaneousBody"/>
      </w:pPr>
      <w:r>
        <w:t>The unit cost of entering a Monday lotto or a Wednesday lotto draw on and after the Monday lotto draw numbered 3116, and the Wednesday lotto draw numbered 3117,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rPr>
          <w:szCs w:val="22"/>
        </w:rPr>
      </w:pPr>
      <w:r>
        <w:rPr>
          <w:b/>
          <w:szCs w:val="22"/>
        </w:rPr>
        <w:t xml:space="preserve">G  </w:t>
      </w:r>
      <w:r>
        <w:rPr>
          <w:szCs w:val="22"/>
        </w:rPr>
        <w:t>=  No. of games entered in a draw</w:t>
      </w:r>
    </w:p>
    <w:p>
      <w:pPr>
        <w:pStyle w:val="yMiscellaneousBody"/>
        <w:rPr>
          <w:szCs w:val="22"/>
        </w:rPr>
      </w:pPr>
      <w:r>
        <w:rPr>
          <w:b/>
          <w:szCs w:val="22"/>
        </w:rPr>
        <w:t xml:space="preserve">W  </w:t>
      </w:r>
      <w:r>
        <w:rPr>
          <w:szCs w:val="22"/>
        </w:rPr>
        <w:t>=  No. of weeks the entry spans</w:t>
      </w:r>
    </w:p>
    <w:p>
      <w:pPr>
        <w:pStyle w:val="yMiscellaneousBody"/>
        <w:rPr>
          <w:szCs w:val="22"/>
        </w:rPr>
      </w:pPr>
      <w:r>
        <w:rPr>
          <w:b/>
          <w:szCs w:val="22"/>
        </w:rPr>
        <w:t xml:space="preserve">T  </w:t>
      </w:r>
      <w:r>
        <w:rPr>
          <w:szCs w:val="22"/>
        </w:rPr>
        <w:t>=  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pPr>
      <w:r>
        <w:tab/>
        <w:t>Subscription [25 games @ $0.50 each]</w:t>
      </w:r>
      <w:r>
        <w:tab/>
        <w:t>=</w:t>
      </w:r>
      <w:r>
        <w:tab/>
        <w:t>$12.50</w:t>
      </w:r>
    </w:p>
    <w:p>
      <w:pPr>
        <w:pStyle w:val="yMiscellaneousBody"/>
        <w:rPr>
          <w:szCs w:val="22"/>
        </w:rPr>
      </w:pPr>
      <w:r>
        <w:rPr>
          <w:szCs w:val="22"/>
        </w:rPr>
        <w:tab/>
        <w:t>9% of subscription [.09 x $12.50]</w:t>
      </w:r>
      <w:r>
        <w:rPr>
          <w:szCs w:val="22"/>
        </w:rPr>
        <w:tab/>
        <w:t>=</w:t>
      </w:r>
      <w:r>
        <w:rPr>
          <w:szCs w:val="22"/>
        </w:rPr>
        <w:tab/>
        <w:t>$1.125</w:t>
      </w:r>
    </w:p>
    <w:p>
      <w:pPr>
        <w:pStyle w:val="yMiscellaneousBody"/>
        <w:rPr>
          <w:szCs w:val="22"/>
        </w:rPr>
      </w:pPr>
      <w:r>
        <w:rPr>
          <w:szCs w:val="22"/>
        </w:rPr>
        <w:tab/>
        <w:t>Rounded using “bankers rounding”</w:t>
      </w:r>
      <w:r>
        <w:rPr>
          <w:szCs w:val="22"/>
        </w:rPr>
        <w:tab/>
        <w:t>=</w:t>
      </w:r>
      <w:r>
        <w:rPr>
          <w:szCs w:val="22"/>
        </w:rPr>
        <w:tab/>
        <w:t>$1.10</w:t>
      </w:r>
    </w:p>
    <w:p>
      <w:pPr>
        <w:pStyle w:val="yMiscellaneousBody"/>
        <w:rPr>
          <w:b/>
          <w:szCs w:val="22"/>
        </w:rPr>
      </w:pPr>
      <w:r>
        <w:rPr>
          <w:b/>
          <w:szCs w:val="22"/>
        </w:rPr>
        <w:tab/>
        <w:t>Total cost of entry</w:t>
      </w:r>
      <w:r>
        <w:rPr>
          <w:b/>
          <w:szCs w:val="22"/>
        </w:rPr>
        <w:tab/>
      </w:r>
      <w:r>
        <w:rPr>
          <w:b/>
          <w:szCs w:val="22"/>
        </w:rPr>
        <w:tab/>
      </w:r>
      <w:r>
        <w:rPr>
          <w:b/>
          <w:szCs w:val="22"/>
        </w:rPr>
        <w:tab/>
        <w:t>$13.60</w:t>
      </w:r>
    </w:p>
    <w:p>
      <w:pPr>
        <w:pStyle w:val="yMiscellaneousBody"/>
        <w:rPr>
          <w:szCs w:val="22"/>
        </w:rPr>
      </w:pPr>
      <w:r>
        <w:rPr>
          <w:szCs w:val="22"/>
        </w:rPr>
        <w:t>The total cost of entry for a System 8 entry for a single Monday lotto or Wednesday lotto draw is calculated as follows —</w:t>
      </w:r>
    </w:p>
    <w:p>
      <w:pPr>
        <w:pStyle w:val="yMiscellaneousBody"/>
        <w:rPr>
          <w:szCs w:val="22"/>
        </w:rPr>
      </w:pPr>
      <w:r>
        <w:rPr>
          <w:szCs w:val="22"/>
        </w:rPr>
        <w:tab/>
        <w:t>Subscription [28 games @ $0.50 each]</w:t>
      </w:r>
      <w:r>
        <w:rPr>
          <w:szCs w:val="22"/>
        </w:rPr>
        <w:tab/>
        <w:t>=</w:t>
      </w:r>
      <w:r>
        <w:rPr>
          <w:szCs w:val="22"/>
        </w:rPr>
        <w:tab/>
        <w:t>$14.00</w:t>
      </w:r>
    </w:p>
    <w:p>
      <w:pPr>
        <w:pStyle w:val="yMiscellaneousBody"/>
        <w:rPr>
          <w:szCs w:val="22"/>
        </w:rPr>
      </w:pPr>
      <w:r>
        <w:rPr>
          <w:szCs w:val="22"/>
        </w:rPr>
        <w:tab/>
        <w:t>9% of subscription [.09 x $14.00]</w:t>
      </w:r>
      <w:r>
        <w:rPr>
          <w:szCs w:val="22"/>
        </w:rPr>
        <w:tab/>
        <w:t>=</w:t>
      </w:r>
      <w:r>
        <w:rPr>
          <w:szCs w:val="22"/>
        </w:rPr>
        <w:tab/>
        <w:t>$1.26</w:t>
      </w:r>
    </w:p>
    <w:p>
      <w:pPr>
        <w:pStyle w:val="yMiscellaneousBody"/>
        <w:rPr>
          <w:szCs w:val="22"/>
        </w:rPr>
      </w:pPr>
      <w:r>
        <w:rPr>
          <w:szCs w:val="22"/>
        </w:rPr>
        <w:tab/>
        <w:t>Rounded using “bankers rounding”</w:t>
      </w:r>
      <w:r>
        <w:rPr>
          <w:szCs w:val="22"/>
        </w:rPr>
        <w:tab/>
        <w:t>=</w:t>
      </w:r>
      <w:r>
        <w:rPr>
          <w:szCs w:val="22"/>
        </w:rPr>
        <w:tab/>
        <w:t>$1.25</w:t>
      </w:r>
    </w:p>
    <w:p>
      <w:pPr>
        <w:pStyle w:val="yMiscellaneousBody"/>
        <w:rPr>
          <w:b/>
          <w:szCs w:val="22"/>
        </w:rPr>
      </w:pPr>
      <w:r>
        <w:rPr>
          <w:b/>
          <w:szCs w:val="22"/>
        </w:rPr>
        <w:tab/>
        <w:t>Total cost of entry</w:t>
      </w:r>
      <w:r>
        <w:rPr>
          <w:b/>
          <w:szCs w:val="22"/>
        </w:rPr>
        <w:tab/>
      </w:r>
      <w:r>
        <w:rPr>
          <w:b/>
          <w:szCs w:val="22"/>
        </w:rPr>
        <w:tab/>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rPr>
          <w:szCs w:val="22"/>
        </w:rPr>
      </w:pPr>
      <w:r>
        <w:rPr>
          <w:szCs w:val="22"/>
        </w:rPr>
        <w:tab/>
        <w:t>Subscription [6 x 84 games @ $0.50 each]</w:t>
      </w:r>
      <w:r>
        <w:rPr>
          <w:szCs w:val="22"/>
        </w:rPr>
        <w:tab/>
        <w:t>=</w:t>
      </w:r>
      <w:r>
        <w:rPr>
          <w:szCs w:val="22"/>
        </w:rPr>
        <w:tab/>
        <w:t>$252.00</w:t>
      </w:r>
    </w:p>
    <w:p>
      <w:pPr>
        <w:pStyle w:val="yMiscellaneousBody"/>
        <w:rPr>
          <w:szCs w:val="22"/>
        </w:rPr>
      </w:pPr>
      <w:r>
        <w:rPr>
          <w:szCs w:val="22"/>
        </w:rPr>
        <w:tab/>
        <w:t>9% of subscription [.09 x $252.00]</w:t>
      </w:r>
      <w:r>
        <w:rPr>
          <w:szCs w:val="22"/>
        </w:rPr>
        <w:tab/>
        <w:t>=</w:t>
      </w:r>
      <w:r>
        <w:rPr>
          <w:szCs w:val="22"/>
        </w:rPr>
        <w:tab/>
        <w:t>$22.68</w:t>
      </w:r>
    </w:p>
    <w:p>
      <w:pPr>
        <w:pStyle w:val="yMiscellaneousBody"/>
        <w:rPr>
          <w:szCs w:val="22"/>
        </w:rPr>
      </w:pPr>
      <w:r>
        <w:rPr>
          <w:szCs w:val="22"/>
        </w:rPr>
        <w:tab/>
        <w:t>Rounded using “bankers rounding”</w:t>
      </w:r>
      <w:r>
        <w:rPr>
          <w:szCs w:val="22"/>
        </w:rPr>
        <w:tab/>
        <w:t>=</w:t>
      </w:r>
      <w:r>
        <w:rPr>
          <w:szCs w:val="22"/>
        </w:rPr>
        <w:tab/>
        <w:t>$22.70</w:t>
      </w:r>
    </w:p>
    <w:p>
      <w:pPr>
        <w:pStyle w:val="yMiscellaneousBody"/>
        <w:rPr>
          <w:b/>
          <w:szCs w:val="22"/>
        </w:rPr>
      </w:pPr>
      <w:r>
        <w:rPr>
          <w:b/>
          <w:szCs w:val="22"/>
        </w:rPr>
        <w:tab/>
        <w:t>Total cost of entry</w:t>
      </w:r>
      <w:r>
        <w:rPr>
          <w:b/>
          <w:szCs w:val="22"/>
        </w:rPr>
        <w:tab/>
      </w:r>
      <w:r>
        <w:rPr>
          <w:b/>
          <w:szCs w:val="22"/>
        </w:rPr>
        <w:tab/>
      </w:r>
      <w:r>
        <w:rPr>
          <w:b/>
          <w:szCs w:val="22"/>
        </w:rPr>
        <w:tab/>
        <w:t>$274.70</w:t>
      </w:r>
    </w:p>
    <w:p>
      <w:pPr>
        <w:pStyle w:val="yMiscellaneousBody"/>
        <w:rPr>
          <w:szCs w:val="22"/>
        </w:rPr>
      </w:pPr>
      <w:r>
        <w:rPr>
          <w:szCs w:val="22"/>
        </w:rPr>
        <w:t>The total cost of entry for a Slikpik 25 entry spanning 10 weeks of Monday lotto or Wednesday lotto is calculated as follows —</w:t>
      </w:r>
    </w:p>
    <w:p>
      <w:pPr>
        <w:pStyle w:val="yMiscellaneousBody"/>
        <w:rPr>
          <w:szCs w:val="22"/>
        </w:rPr>
      </w:pPr>
      <w:r>
        <w:rPr>
          <w:szCs w:val="22"/>
        </w:rPr>
        <w:tab/>
        <w:t>Subscription for one week</w:t>
      </w:r>
      <w:r>
        <w:rPr>
          <w:szCs w:val="22"/>
        </w:rPr>
        <w:br/>
      </w:r>
      <w:r>
        <w:rPr>
          <w:szCs w:val="22"/>
        </w:rPr>
        <w:tab/>
        <w:t>[25 games @ $0.50 each]</w:t>
      </w:r>
      <w:r>
        <w:rPr>
          <w:szCs w:val="22"/>
        </w:rPr>
        <w:tab/>
        <w:t>=</w:t>
      </w:r>
      <w:r>
        <w:rPr>
          <w:szCs w:val="22"/>
        </w:rPr>
        <w:tab/>
        <w:t>$12.50</w:t>
      </w:r>
    </w:p>
    <w:p>
      <w:pPr>
        <w:pStyle w:val="yMiscellaneousBody"/>
        <w:rPr>
          <w:szCs w:val="22"/>
        </w:rPr>
      </w:pPr>
      <w:r>
        <w:rPr>
          <w:szCs w:val="22"/>
        </w:rPr>
        <w:tab/>
        <w:t>9% of subscription [.09 x $12.50]</w:t>
      </w:r>
      <w:r>
        <w:rPr>
          <w:szCs w:val="22"/>
        </w:rPr>
        <w:tab/>
        <w:t>=</w:t>
      </w:r>
      <w:r>
        <w:rPr>
          <w:szCs w:val="22"/>
        </w:rPr>
        <w:tab/>
        <w:t>$1.125</w:t>
      </w:r>
    </w:p>
    <w:p>
      <w:pPr>
        <w:pStyle w:val="yMiscellaneousBody"/>
        <w:rPr>
          <w:szCs w:val="22"/>
        </w:rPr>
      </w:pPr>
      <w:r>
        <w:rPr>
          <w:szCs w:val="22"/>
        </w:rPr>
        <w:tab/>
        <w:t>Rounded using “bankers rounding”</w:t>
      </w:r>
      <w:r>
        <w:rPr>
          <w:szCs w:val="22"/>
        </w:rPr>
        <w:tab/>
        <w:t>=</w:t>
      </w:r>
      <w:r>
        <w:rPr>
          <w:szCs w:val="22"/>
        </w:rPr>
        <w:tab/>
        <w:t>$1.10</w:t>
      </w:r>
    </w:p>
    <w:p>
      <w:pPr>
        <w:pStyle w:val="yMiscellaneousBody"/>
        <w:rPr>
          <w:szCs w:val="22"/>
        </w:rPr>
      </w:pPr>
      <w:r>
        <w:rPr>
          <w:szCs w:val="22"/>
        </w:rPr>
        <w:tab/>
        <w:t>Total cost of entry for one week</w:t>
      </w:r>
      <w:r>
        <w:rPr>
          <w:szCs w:val="22"/>
        </w:rPr>
        <w:tab/>
        <w:t>=</w:t>
      </w:r>
      <w:r>
        <w:rPr>
          <w:szCs w:val="22"/>
        </w:rPr>
        <w:tab/>
        <w:t>$13.60</w:t>
      </w:r>
    </w:p>
    <w:p>
      <w:pPr>
        <w:pStyle w:val="yMiscellaneousBody"/>
        <w:rPr>
          <w:b/>
          <w:szCs w:val="22"/>
        </w:rPr>
      </w:pPr>
      <w:r>
        <w:rPr>
          <w:b/>
          <w:szCs w:val="22"/>
        </w:rPr>
        <w:tab/>
        <w:t>Total cost of entry for 10 weeks</w:t>
      </w:r>
      <w:r>
        <w:rPr>
          <w:b/>
          <w:szCs w:val="22"/>
        </w:rPr>
        <w:tab/>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Footnotesection"/>
      </w:pPr>
      <w:bookmarkStart w:id="404" w:name="_Toc210787579"/>
      <w:bookmarkStart w:id="405" w:name="_Toc222820839"/>
      <w:bookmarkStart w:id="406" w:name="_Toc222889198"/>
      <w:bookmarkStart w:id="407" w:name="_Toc224108823"/>
      <w:bookmarkStart w:id="408" w:name="_Toc256152952"/>
      <w:bookmarkStart w:id="409" w:name="_Toc277943323"/>
      <w:bookmarkStart w:id="410" w:name="_Toc315428731"/>
      <w:bookmarkStart w:id="411" w:name="_Toc317510760"/>
      <w:bookmarkStart w:id="412" w:name="_Toc317511304"/>
      <w:r>
        <w:tab/>
        <w:t>[Part 2 inserted in Gazette 27 Jan 2012 p. 572-3.]</w:t>
      </w:r>
    </w:p>
    <w:p>
      <w:pPr>
        <w:pStyle w:val="yScheduleHeading"/>
      </w:pPr>
      <w:bookmarkStart w:id="413" w:name="_Toc317578451"/>
      <w:r>
        <w:rPr>
          <w:rStyle w:val="CharSchNo"/>
        </w:rPr>
        <w:t>Schedule 2</w:t>
      </w:r>
      <w:r>
        <w:t> — </w:t>
      </w:r>
      <w:r>
        <w:rPr>
          <w:rStyle w:val="CharSchText"/>
        </w:rPr>
        <w:t>System entries and game equivalents</w:t>
      </w:r>
      <w:bookmarkEnd w:id="381"/>
      <w:bookmarkEnd w:id="404"/>
      <w:bookmarkEnd w:id="405"/>
      <w:bookmarkEnd w:id="406"/>
      <w:bookmarkEnd w:id="407"/>
      <w:bookmarkEnd w:id="408"/>
      <w:bookmarkEnd w:id="409"/>
      <w:bookmarkEnd w:id="410"/>
      <w:bookmarkEnd w:id="411"/>
      <w:bookmarkEnd w:id="412"/>
      <w:bookmarkEnd w:id="413"/>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414" w:name="_Toc317510761"/>
      <w:bookmarkStart w:id="415" w:name="_Toc317511305"/>
      <w:bookmarkStart w:id="416" w:name="_Toc317578452"/>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SchNo"/>
        </w:rPr>
        <w:t>Schedule 3</w:t>
      </w:r>
      <w:r>
        <w:t> — </w:t>
      </w:r>
      <w:r>
        <w:rPr>
          <w:rStyle w:val="CharSchText"/>
        </w:rPr>
        <w:t>System entry prize schedule</w:t>
      </w:r>
      <w:bookmarkEnd w:id="414"/>
      <w:bookmarkEnd w:id="415"/>
      <w:bookmarkEnd w:id="416"/>
    </w:p>
    <w:p>
      <w:pPr>
        <w:pStyle w:val="yShoulderClause"/>
      </w:pPr>
      <w:r>
        <w:t>[r. 21(2)]</w:t>
      </w:r>
    </w:p>
    <w:p>
      <w:pPr>
        <w:pStyle w:val="yFootnoteheading"/>
      </w:pPr>
      <w:r>
        <w:tab/>
        <w:t>[Heading inserted in Gazette 27 Jan 2012 p. 573.]</w:t>
      </w:r>
    </w:p>
    <w:p>
      <w:pPr>
        <w:pStyle w:val="yHeading3"/>
      </w:pPr>
      <w:bookmarkStart w:id="417" w:name="_Toc317510762"/>
      <w:bookmarkStart w:id="418" w:name="_Toc317511306"/>
      <w:bookmarkStart w:id="419" w:name="_Toc317578453"/>
      <w:r>
        <w:rPr>
          <w:rStyle w:val="CharSDivNo"/>
        </w:rPr>
        <w:t>Part 1</w:t>
      </w:r>
      <w:r>
        <w:t> — </w:t>
      </w:r>
      <w:r>
        <w:rPr>
          <w:rStyle w:val="CharSDivText"/>
        </w:rPr>
        <w:t>Up to draw 3115</w:t>
      </w:r>
      <w:bookmarkEnd w:id="417"/>
      <w:bookmarkEnd w:id="418"/>
      <w:bookmarkEnd w:id="419"/>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bookmarkStart w:id="420" w:name="_Toc317510763"/>
      <w:bookmarkStart w:id="421" w:name="_Toc317511307"/>
      <w:bookmarkStart w:id="422" w:name="_Toc317578454"/>
      <w:bookmarkStart w:id="423" w:name="_Toc200510485"/>
      <w:bookmarkStart w:id="424" w:name="_Toc210787582"/>
      <w:bookmarkStart w:id="425" w:name="_Toc222820842"/>
      <w:bookmarkStart w:id="426" w:name="_Toc222889201"/>
      <w:bookmarkStart w:id="427" w:name="_Toc224108826"/>
      <w:bookmarkStart w:id="428" w:name="_Toc256152955"/>
      <w:bookmarkStart w:id="429" w:name="_Toc277943326"/>
      <w:bookmarkStart w:id="430" w:name="_Toc315428734"/>
      <w:bookmarkStart w:id="431" w:name="_Toc113695922"/>
      <w:r>
        <w:tab/>
        <w:t>[Part 1, formerly Schedule 3, renumbered as Part 1 in Gazette 27 Jan 2012 p. 573.]</w:t>
      </w:r>
    </w:p>
    <w:p>
      <w:pPr>
        <w:pStyle w:val="yHeading3"/>
      </w:pPr>
      <w:r>
        <w:rPr>
          <w:rStyle w:val="CharSDivNo"/>
        </w:rPr>
        <w:t>Part 2</w:t>
      </w:r>
      <w:r>
        <w:t> — </w:t>
      </w:r>
      <w:r>
        <w:rPr>
          <w:rStyle w:val="CharSDivText"/>
        </w:rPr>
        <w:t>On and after draw 3116</w:t>
      </w:r>
      <w:bookmarkEnd w:id="420"/>
      <w:bookmarkEnd w:id="421"/>
      <w:bookmarkEnd w:id="422"/>
    </w:p>
    <w:p>
      <w:pPr>
        <w:pStyle w:val="yFootnoteheading"/>
        <w:spacing w:after="120"/>
      </w:pPr>
      <w:r>
        <w:tab/>
        <w:t>[Heading inserted in Gazette 27 Jan 2012 p. 573.]</w:t>
      </w:r>
    </w:p>
    <w:tbl>
      <w:tblPr>
        <w:tblW w:w="6946" w:type="dxa"/>
        <w:tblInd w:w="250" w:type="dxa"/>
        <w:tblBorders>
          <w:bottom w:val="single" w:sz="4" w:space="0" w:color="auto"/>
        </w:tblBorders>
        <w:tblLayout w:type="fixed"/>
        <w:tblLook w:val="0000" w:firstRow="0" w:lastRow="0" w:firstColumn="0" w:lastColumn="0" w:noHBand="0" w:noVBand="0"/>
      </w:tblPr>
      <w:tblGrid>
        <w:gridCol w:w="851"/>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851" w:type="dxa"/>
            <w:tcBorders>
              <w:bottom w:val="nil"/>
            </w:tcBorders>
          </w:tcPr>
          <w:p>
            <w:pPr>
              <w:pStyle w:val="yTableNAm"/>
              <w:rPr>
                <w:sz w:val="12"/>
                <w:szCs w:val="12"/>
              </w:rPr>
            </w:pPr>
          </w:p>
        </w:tc>
        <w:tc>
          <w:tcPr>
            <w:tcW w:w="2835" w:type="dxa"/>
            <w:gridSpan w:val="8"/>
          </w:tcPr>
          <w:p>
            <w:pPr>
              <w:pStyle w:val="yTableNAm"/>
              <w:rPr>
                <w:sz w:val="12"/>
                <w:szCs w:val="12"/>
              </w:rPr>
            </w:pPr>
          </w:p>
        </w:tc>
        <w:tc>
          <w:tcPr>
            <w:tcW w:w="3260" w:type="dxa"/>
            <w:gridSpan w:val="10"/>
          </w:tcPr>
          <w:p>
            <w:pPr>
              <w:pStyle w:val="yTableNAm"/>
              <w:rPr>
                <w:sz w:val="12"/>
                <w:szCs w:val="12"/>
              </w:rPr>
            </w:pPr>
            <w:r>
              <w:rPr>
                <w:b/>
                <w:sz w:val="12"/>
                <w:szCs w:val="12"/>
              </w:rPr>
              <w:t>NUMBER OF PRIZES</w:t>
            </w:r>
          </w:p>
        </w:tc>
      </w:tr>
      <w:tr>
        <w:trPr>
          <w:trHeight w:val="275"/>
          <w:tblHeader/>
        </w:trPr>
        <w:tc>
          <w:tcPr>
            <w:tcW w:w="851"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Pr>
          <w:p>
            <w:pPr>
              <w:pStyle w:val="yTableNAm"/>
              <w:rPr>
                <w:sz w:val="12"/>
                <w:szCs w:val="12"/>
              </w:rPr>
            </w:pPr>
            <w:r>
              <w:rPr>
                <w:b/>
                <w:sz w:val="12"/>
                <w:szCs w:val="12"/>
              </w:rPr>
              <w:t>PRIZE TAKE</w:t>
            </w:r>
            <w:r>
              <w:rPr>
                <w:b/>
                <w:sz w:val="12"/>
                <w:szCs w:val="12"/>
              </w:rPr>
              <w:br/>
              <w:t>DIVISIONS</w:t>
            </w:r>
          </w:p>
        </w:tc>
        <w:tc>
          <w:tcPr>
            <w:tcW w:w="3260" w:type="dxa"/>
            <w:gridSpan w:val="10"/>
          </w:tcPr>
          <w:p>
            <w:pPr>
              <w:pStyle w:val="yTableNAm"/>
              <w:rPr>
                <w:sz w:val="12"/>
                <w:szCs w:val="12"/>
              </w:rPr>
            </w:pPr>
            <w:r>
              <w:rPr>
                <w:b/>
                <w:sz w:val="12"/>
                <w:szCs w:val="12"/>
              </w:rPr>
              <w:t>SYSTEMS</w:t>
            </w:r>
          </w:p>
        </w:tc>
      </w:tr>
      <w:tr>
        <w:tblPrEx>
          <w:tblCellMar>
            <w:left w:w="0" w:type="dxa"/>
            <w:right w:w="0" w:type="dxa"/>
          </w:tblCellMar>
        </w:tblPrEx>
        <w:trPr>
          <w:tblHeader/>
        </w:trPr>
        <w:tc>
          <w:tcPr>
            <w:tcW w:w="851"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rPr>
                <w:sz w:val="12"/>
                <w:szCs w:val="12"/>
              </w:rPr>
            </w:pPr>
          </w:p>
        </w:tc>
        <w:tc>
          <w:tcPr>
            <w:tcW w:w="359" w:type="dxa"/>
            <w:tcBorders>
              <w:top w:val="single" w:sz="4" w:space="0" w:color="auto"/>
              <w:left w:val="nil"/>
              <w:bottom w:val="nil"/>
            </w:tcBorders>
          </w:tcPr>
          <w:p>
            <w:pPr>
              <w:pStyle w:val="yTableNAm"/>
              <w:rPr>
                <w:sz w:val="12"/>
                <w:szCs w:val="12"/>
              </w:rPr>
            </w:pPr>
            <w:r>
              <w:rPr>
                <w:b/>
                <w:sz w:val="12"/>
                <w:szCs w:val="12"/>
              </w:rPr>
              <w:t>5</w:t>
            </w:r>
          </w:p>
        </w:tc>
        <w:tc>
          <w:tcPr>
            <w:tcW w:w="358" w:type="dxa"/>
            <w:tcBorders>
              <w:top w:val="single" w:sz="4" w:space="0" w:color="auto"/>
              <w:bottom w:val="nil"/>
            </w:tcBorders>
          </w:tcPr>
          <w:p>
            <w:pPr>
              <w:pStyle w:val="yTableNAm"/>
              <w:rPr>
                <w:sz w:val="12"/>
                <w:szCs w:val="12"/>
              </w:rPr>
            </w:pPr>
            <w:r>
              <w:rPr>
                <w:b/>
                <w:sz w:val="12"/>
                <w:szCs w:val="12"/>
              </w:rPr>
              <w:t>4</w:t>
            </w:r>
          </w:p>
        </w:tc>
        <w:tc>
          <w:tcPr>
            <w:tcW w:w="359" w:type="dxa"/>
            <w:tcBorders>
              <w:top w:val="single" w:sz="4" w:space="0" w:color="auto"/>
              <w:bottom w:val="nil"/>
            </w:tcBorders>
          </w:tcPr>
          <w:p>
            <w:pPr>
              <w:pStyle w:val="yTableNAm"/>
              <w:rPr>
                <w:sz w:val="12"/>
                <w:szCs w:val="12"/>
              </w:rPr>
            </w:pPr>
            <w:r>
              <w:rPr>
                <w:b/>
                <w:sz w:val="12"/>
                <w:szCs w:val="12"/>
              </w:rPr>
              <w:t>7</w:t>
            </w:r>
          </w:p>
        </w:tc>
        <w:tc>
          <w:tcPr>
            <w:tcW w:w="358" w:type="dxa"/>
            <w:tcBorders>
              <w:top w:val="single" w:sz="4" w:space="0" w:color="auto"/>
              <w:bottom w:val="nil"/>
            </w:tcBorders>
          </w:tcPr>
          <w:p>
            <w:pPr>
              <w:pStyle w:val="yTableNAm"/>
              <w:rPr>
                <w:sz w:val="12"/>
                <w:szCs w:val="12"/>
              </w:rPr>
            </w:pPr>
            <w:r>
              <w:rPr>
                <w:b/>
                <w:sz w:val="12"/>
                <w:szCs w:val="12"/>
              </w:rPr>
              <w:t>8</w:t>
            </w:r>
          </w:p>
        </w:tc>
        <w:tc>
          <w:tcPr>
            <w:tcW w:w="359" w:type="dxa"/>
            <w:tcBorders>
              <w:top w:val="single" w:sz="4" w:space="0" w:color="auto"/>
              <w:bottom w:val="nil"/>
            </w:tcBorders>
          </w:tcPr>
          <w:p>
            <w:pPr>
              <w:pStyle w:val="yTableNAm"/>
              <w:rPr>
                <w:sz w:val="12"/>
                <w:szCs w:val="12"/>
              </w:rPr>
            </w:pPr>
            <w:r>
              <w:rPr>
                <w:b/>
                <w:sz w:val="12"/>
                <w:szCs w:val="12"/>
              </w:rPr>
              <w:t>9</w:t>
            </w:r>
          </w:p>
        </w:tc>
        <w:tc>
          <w:tcPr>
            <w:tcW w:w="358" w:type="dxa"/>
            <w:tcBorders>
              <w:top w:val="single" w:sz="4" w:space="0" w:color="auto"/>
              <w:bottom w:val="nil"/>
            </w:tcBorders>
          </w:tcPr>
          <w:p>
            <w:pPr>
              <w:pStyle w:val="yTableNAm"/>
              <w:rPr>
                <w:sz w:val="12"/>
                <w:szCs w:val="12"/>
              </w:rPr>
            </w:pPr>
            <w:r>
              <w:rPr>
                <w:b/>
                <w:sz w:val="12"/>
                <w:szCs w:val="12"/>
              </w:rPr>
              <w:t>10</w:t>
            </w:r>
          </w:p>
        </w:tc>
        <w:tc>
          <w:tcPr>
            <w:tcW w:w="359" w:type="dxa"/>
            <w:gridSpan w:val="2"/>
            <w:tcBorders>
              <w:top w:val="single" w:sz="4" w:space="0" w:color="auto"/>
              <w:bottom w:val="nil"/>
            </w:tcBorders>
          </w:tcPr>
          <w:p>
            <w:pPr>
              <w:pStyle w:val="yTableNAm"/>
              <w:rPr>
                <w:sz w:val="12"/>
                <w:szCs w:val="12"/>
              </w:rPr>
            </w:pPr>
            <w:r>
              <w:rPr>
                <w:b/>
                <w:sz w:val="12"/>
                <w:szCs w:val="12"/>
              </w:rPr>
              <w:t>11</w:t>
            </w:r>
          </w:p>
        </w:tc>
        <w:tc>
          <w:tcPr>
            <w:tcW w:w="358" w:type="dxa"/>
            <w:tcBorders>
              <w:top w:val="single" w:sz="4" w:space="0" w:color="auto"/>
              <w:bottom w:val="nil"/>
            </w:tcBorders>
          </w:tcPr>
          <w:p>
            <w:pPr>
              <w:pStyle w:val="yTableNAm"/>
              <w:rPr>
                <w:sz w:val="12"/>
                <w:szCs w:val="12"/>
              </w:rPr>
            </w:pPr>
            <w:r>
              <w:rPr>
                <w:b/>
                <w:sz w:val="12"/>
                <w:szCs w:val="12"/>
              </w:rPr>
              <w:t>12</w:t>
            </w:r>
          </w:p>
        </w:tc>
        <w:tc>
          <w:tcPr>
            <w:tcW w:w="359" w:type="dxa"/>
            <w:tcBorders>
              <w:top w:val="single" w:sz="4" w:space="0" w:color="auto"/>
              <w:bottom w:val="nil"/>
            </w:tcBorders>
          </w:tcPr>
          <w:p>
            <w:pPr>
              <w:pStyle w:val="yTableNAm"/>
              <w:rPr>
                <w:sz w:val="12"/>
                <w:szCs w:val="12"/>
              </w:rPr>
            </w:pPr>
            <w:r>
              <w:rPr>
                <w:b/>
                <w:sz w:val="12"/>
                <w:szCs w:val="12"/>
              </w:rPr>
              <w:t>13</w:t>
            </w:r>
          </w:p>
        </w:tc>
        <w:tc>
          <w:tcPr>
            <w:tcW w:w="358" w:type="dxa"/>
            <w:tcBorders>
              <w:top w:val="single" w:sz="4" w:space="0" w:color="auto"/>
              <w:bottom w:val="nil"/>
            </w:tcBorders>
          </w:tcPr>
          <w:p>
            <w:pPr>
              <w:pStyle w:val="yTableNAm"/>
              <w:rPr>
                <w:sz w:val="12"/>
                <w:szCs w:val="12"/>
              </w:rPr>
            </w:pPr>
            <w:r>
              <w:rPr>
                <w:b/>
                <w:sz w:val="12"/>
                <w:szCs w:val="12"/>
              </w:rPr>
              <w:t>14</w:t>
            </w:r>
          </w:p>
        </w:tc>
        <w:tc>
          <w:tcPr>
            <w:tcW w:w="359" w:type="dxa"/>
            <w:tcBorders>
              <w:top w:val="single" w:sz="4" w:space="0" w:color="auto"/>
              <w:bottom w:val="nil"/>
            </w:tcBorders>
          </w:tcPr>
          <w:p>
            <w:pPr>
              <w:pStyle w:val="yTableNAm"/>
              <w:rPr>
                <w:sz w:val="12"/>
                <w:szCs w:val="12"/>
              </w:rPr>
            </w:pPr>
            <w:r>
              <w:rPr>
                <w:b/>
                <w:sz w:val="12"/>
                <w:szCs w:val="12"/>
              </w:rPr>
              <w:t>15</w:t>
            </w:r>
          </w:p>
        </w:tc>
        <w:tc>
          <w:tcPr>
            <w:tcW w:w="358" w:type="dxa"/>
            <w:tcBorders>
              <w:top w:val="single" w:sz="4" w:space="0" w:color="auto"/>
              <w:bottom w:val="nil"/>
            </w:tcBorders>
          </w:tcPr>
          <w:p>
            <w:pPr>
              <w:pStyle w:val="yTableNAm"/>
              <w:rPr>
                <w:sz w:val="12"/>
                <w:szCs w:val="12"/>
              </w:rPr>
            </w:pPr>
            <w:r>
              <w:rPr>
                <w:b/>
                <w:sz w:val="12"/>
                <w:szCs w:val="12"/>
              </w:rPr>
              <w:t>16</w:t>
            </w:r>
          </w:p>
        </w:tc>
        <w:tc>
          <w:tcPr>
            <w:tcW w:w="359" w:type="dxa"/>
            <w:tcBorders>
              <w:top w:val="single" w:sz="4" w:space="0" w:color="auto"/>
              <w:bottom w:val="nil"/>
            </w:tcBorders>
          </w:tcPr>
          <w:p>
            <w:pPr>
              <w:pStyle w:val="yTableNAm"/>
              <w:rPr>
                <w:sz w:val="12"/>
                <w:szCs w:val="12"/>
              </w:rPr>
            </w:pPr>
            <w:r>
              <w:rPr>
                <w:b/>
                <w:sz w:val="12"/>
                <w:szCs w:val="12"/>
              </w:rPr>
              <w:t>17</w:t>
            </w:r>
          </w:p>
        </w:tc>
        <w:tc>
          <w:tcPr>
            <w:tcW w:w="358" w:type="dxa"/>
            <w:tcBorders>
              <w:top w:val="single" w:sz="4" w:space="0" w:color="auto"/>
              <w:bottom w:val="nil"/>
            </w:tcBorders>
          </w:tcPr>
          <w:p>
            <w:pPr>
              <w:pStyle w:val="yTableNAm"/>
              <w:rPr>
                <w:sz w:val="12"/>
                <w:szCs w:val="12"/>
              </w:rPr>
            </w:pPr>
            <w:r>
              <w:rPr>
                <w:b/>
                <w:sz w:val="12"/>
                <w:szCs w:val="12"/>
              </w:rPr>
              <w:t>18</w:t>
            </w:r>
          </w:p>
        </w:tc>
        <w:tc>
          <w:tcPr>
            <w:tcW w:w="359" w:type="dxa"/>
            <w:tcBorders>
              <w:top w:val="single" w:sz="4" w:space="0" w:color="auto"/>
              <w:bottom w:val="nil"/>
            </w:tcBorders>
          </w:tcPr>
          <w:p>
            <w:pPr>
              <w:pStyle w:val="yTableNAm"/>
              <w:rPr>
                <w:sz w:val="12"/>
                <w:szCs w:val="12"/>
              </w:rPr>
            </w:pPr>
            <w:r>
              <w:rPr>
                <w:b/>
                <w:sz w:val="12"/>
                <w:szCs w:val="12"/>
              </w:rPr>
              <w:t>19</w:t>
            </w:r>
          </w:p>
        </w:tc>
        <w:tc>
          <w:tcPr>
            <w:tcW w:w="359" w:type="dxa"/>
            <w:tcBorders>
              <w:top w:val="single" w:sz="4" w:space="0" w:color="auto"/>
              <w:bottom w:val="nil"/>
            </w:tcBorders>
          </w:tcPr>
          <w:p>
            <w:pPr>
              <w:pStyle w:val="yTableNAm"/>
              <w:rPr>
                <w:sz w:val="12"/>
                <w:szCs w:val="12"/>
              </w:rPr>
            </w:pPr>
            <w:r>
              <w:rPr>
                <w:b/>
                <w:sz w:val="12"/>
                <w:szCs w:val="12"/>
              </w:rPr>
              <w:t>20</w:t>
            </w:r>
          </w:p>
        </w:tc>
      </w:tr>
      <w:tr>
        <w:tblPrEx>
          <w:tblCellMar>
            <w:left w:w="0" w:type="dxa"/>
            <w:right w:w="0" w:type="dxa"/>
          </w:tblCellMar>
        </w:tblPrEx>
        <w:tc>
          <w:tcPr>
            <w:tcW w:w="851"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rPr>
                <w:sz w:val="12"/>
                <w:szCs w:val="12"/>
              </w:rPr>
            </w:pPr>
          </w:p>
        </w:tc>
        <w:tc>
          <w:tcPr>
            <w:tcW w:w="359" w:type="dxa"/>
            <w:tcBorders>
              <w:top w:val="nil"/>
              <w:left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gridSpan w:val="2"/>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9" w:type="dxa"/>
            <w:tcBorders>
              <w:top w:val="nil"/>
            </w:tcBorders>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gridSpan w:val="2"/>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12</w:t>
            </w:r>
          </w:p>
        </w:tc>
        <w:tc>
          <w:tcPr>
            <w:tcW w:w="359" w:type="dxa"/>
            <w:gridSpan w:val="2"/>
          </w:tcPr>
          <w:p>
            <w:pPr>
              <w:pStyle w:val="yTableNAm"/>
              <w:rPr>
                <w:sz w:val="12"/>
                <w:szCs w:val="12"/>
              </w:rPr>
            </w:pPr>
            <w:r>
              <w:rPr>
                <w:sz w:val="12"/>
                <w:szCs w:val="12"/>
              </w:rPr>
              <w:t>18</w:t>
            </w:r>
          </w:p>
        </w:tc>
        <w:tc>
          <w:tcPr>
            <w:tcW w:w="358" w:type="dxa"/>
          </w:tcPr>
          <w:p>
            <w:pPr>
              <w:pStyle w:val="yTableNAm"/>
              <w:rPr>
                <w:sz w:val="12"/>
                <w:szCs w:val="12"/>
              </w:rPr>
            </w:pPr>
            <w:r>
              <w:rPr>
                <w:sz w:val="12"/>
                <w:szCs w:val="12"/>
              </w:rPr>
              <w:t>24</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t>42</w:t>
            </w:r>
          </w:p>
        </w:tc>
        <w:tc>
          <w:tcPr>
            <w:tcW w:w="358" w:type="dxa"/>
          </w:tcPr>
          <w:p>
            <w:pPr>
              <w:pStyle w:val="yTableNAm"/>
              <w:rPr>
                <w:sz w:val="12"/>
                <w:szCs w:val="12"/>
              </w:rPr>
            </w:pPr>
            <w:r>
              <w:rPr>
                <w:sz w:val="12"/>
                <w:szCs w:val="12"/>
              </w:rPr>
              <w:t>48</w:t>
            </w:r>
          </w:p>
        </w:tc>
        <w:tc>
          <w:tcPr>
            <w:tcW w:w="359" w:type="dxa"/>
          </w:tcPr>
          <w:p>
            <w:pPr>
              <w:pStyle w:val="yTableNAm"/>
              <w:rPr>
                <w:sz w:val="12"/>
                <w:szCs w:val="12"/>
              </w:rPr>
            </w:pPr>
            <w:r>
              <w:rPr>
                <w:sz w:val="12"/>
                <w:szCs w:val="12"/>
              </w:rPr>
              <w:t>54</w:t>
            </w:r>
          </w:p>
        </w:tc>
        <w:tc>
          <w:tcPr>
            <w:tcW w:w="358" w:type="dxa"/>
          </w:tcPr>
          <w:p>
            <w:pPr>
              <w:pStyle w:val="yTableNAm"/>
              <w:rPr>
                <w:sz w:val="12"/>
                <w:szCs w:val="12"/>
              </w:rPr>
            </w:pPr>
            <w:r>
              <w:rPr>
                <w:sz w:val="12"/>
                <w:szCs w:val="12"/>
              </w:rPr>
              <w:t>60</w:t>
            </w:r>
          </w:p>
        </w:tc>
        <w:tc>
          <w:tcPr>
            <w:tcW w:w="359"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80</w:t>
            </w:r>
          </w:p>
        </w:tc>
        <w:tc>
          <w:tcPr>
            <w:tcW w:w="359" w:type="dxa"/>
            <w:gridSpan w:val="2"/>
          </w:tcPr>
          <w:p>
            <w:pPr>
              <w:pStyle w:val="yTableNAm"/>
              <w:rPr>
                <w:sz w:val="12"/>
                <w:szCs w:val="12"/>
              </w:rPr>
            </w:pPr>
            <w:r>
              <w:rPr>
                <w:sz w:val="12"/>
                <w:szCs w:val="12"/>
              </w:rPr>
              <w:t>180</w:t>
            </w:r>
          </w:p>
        </w:tc>
        <w:tc>
          <w:tcPr>
            <w:tcW w:w="358" w:type="dxa"/>
          </w:tcPr>
          <w:p>
            <w:pPr>
              <w:pStyle w:val="yTableNAm"/>
              <w:rPr>
                <w:sz w:val="12"/>
                <w:szCs w:val="12"/>
              </w:rPr>
            </w:pPr>
            <w:r>
              <w:rPr>
                <w:sz w:val="12"/>
                <w:szCs w:val="12"/>
              </w:rPr>
              <w:t>320</w:t>
            </w:r>
          </w:p>
        </w:tc>
        <w:tc>
          <w:tcPr>
            <w:tcW w:w="359" w:type="dxa"/>
          </w:tcPr>
          <w:p>
            <w:pPr>
              <w:pStyle w:val="yTableNAm"/>
              <w:rPr>
                <w:sz w:val="12"/>
                <w:szCs w:val="12"/>
              </w:rPr>
            </w:pPr>
            <w:r>
              <w:rPr>
                <w:sz w:val="12"/>
                <w:szCs w:val="12"/>
              </w:rPr>
              <w:t>500</w:t>
            </w:r>
          </w:p>
        </w:tc>
        <w:tc>
          <w:tcPr>
            <w:tcW w:w="358" w:type="dxa"/>
          </w:tcPr>
          <w:p>
            <w:pPr>
              <w:pStyle w:val="yTableNAm"/>
              <w:rPr>
                <w:sz w:val="12"/>
                <w:szCs w:val="12"/>
              </w:rPr>
            </w:pPr>
            <w:r>
              <w:rPr>
                <w:sz w:val="12"/>
                <w:szCs w:val="12"/>
              </w:rPr>
              <w:t>720</w:t>
            </w:r>
          </w:p>
        </w:tc>
        <w:tc>
          <w:tcPr>
            <w:tcW w:w="359" w:type="dxa"/>
          </w:tcPr>
          <w:p>
            <w:pPr>
              <w:pStyle w:val="yTableNAm"/>
              <w:rPr>
                <w:sz w:val="12"/>
                <w:szCs w:val="12"/>
              </w:rPr>
            </w:pPr>
            <w:r>
              <w:rPr>
                <w:sz w:val="12"/>
                <w:szCs w:val="12"/>
              </w:rPr>
              <w:t>980</w:t>
            </w:r>
          </w:p>
        </w:tc>
        <w:tc>
          <w:tcPr>
            <w:tcW w:w="358" w:type="dxa"/>
          </w:tcPr>
          <w:p>
            <w:pPr>
              <w:pStyle w:val="yTableNAm"/>
              <w:rPr>
                <w:sz w:val="12"/>
                <w:szCs w:val="12"/>
              </w:rPr>
            </w:pPr>
            <w:r>
              <w:rPr>
                <w:sz w:val="12"/>
                <w:szCs w:val="12"/>
              </w:rPr>
              <w:t>1280</w:t>
            </w:r>
          </w:p>
        </w:tc>
        <w:tc>
          <w:tcPr>
            <w:tcW w:w="359" w:type="dxa"/>
          </w:tcPr>
          <w:p>
            <w:pPr>
              <w:pStyle w:val="yTableNAm"/>
              <w:rPr>
                <w:sz w:val="12"/>
                <w:szCs w:val="12"/>
              </w:rPr>
            </w:pPr>
            <w:r>
              <w:rPr>
                <w:sz w:val="12"/>
                <w:szCs w:val="12"/>
              </w:rPr>
              <w:t>1620</w:t>
            </w:r>
          </w:p>
        </w:tc>
        <w:tc>
          <w:tcPr>
            <w:tcW w:w="358" w:type="dxa"/>
          </w:tcPr>
          <w:p>
            <w:pPr>
              <w:pStyle w:val="yTableNAm"/>
              <w:rPr>
                <w:sz w:val="12"/>
                <w:szCs w:val="12"/>
              </w:rPr>
            </w:pPr>
            <w:r>
              <w:rPr>
                <w:sz w:val="12"/>
                <w:szCs w:val="12"/>
              </w:rPr>
              <w:t>2000</w:t>
            </w:r>
          </w:p>
        </w:tc>
        <w:tc>
          <w:tcPr>
            <w:tcW w:w="359" w:type="dxa"/>
          </w:tcPr>
          <w:p>
            <w:pPr>
              <w:pStyle w:val="yTableNAm"/>
              <w:rPr>
                <w:sz w:val="12"/>
                <w:szCs w:val="12"/>
              </w:rPr>
            </w:pPr>
            <w:r>
              <w:rPr>
                <w:sz w:val="12"/>
                <w:szCs w:val="12"/>
              </w:rPr>
              <w:t>2420</w:t>
            </w:r>
          </w:p>
        </w:tc>
        <w:tc>
          <w:tcPr>
            <w:tcW w:w="359" w:type="dxa"/>
          </w:tcPr>
          <w:p>
            <w:pPr>
              <w:pStyle w:val="yTableNAm"/>
              <w:rPr>
                <w:sz w:val="12"/>
                <w:szCs w:val="12"/>
              </w:rPr>
            </w:pPr>
            <w:r>
              <w:rPr>
                <w:sz w:val="12"/>
                <w:szCs w:val="12"/>
              </w:rPr>
              <w:t>2880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51</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t>210</w:t>
            </w:r>
          </w:p>
        </w:tc>
        <w:tc>
          <w:tcPr>
            <w:tcW w:w="358" w:type="dxa"/>
          </w:tcPr>
          <w:p>
            <w:pPr>
              <w:pStyle w:val="yTableNAm"/>
              <w:rPr>
                <w:sz w:val="12"/>
                <w:szCs w:val="12"/>
              </w:rPr>
            </w:pPr>
            <w:r>
              <w:rPr>
                <w:sz w:val="12"/>
                <w:szCs w:val="12"/>
              </w:rPr>
              <w:t>345</w:t>
            </w:r>
          </w:p>
        </w:tc>
        <w:tc>
          <w:tcPr>
            <w:tcW w:w="359" w:type="dxa"/>
          </w:tcPr>
          <w:p>
            <w:pPr>
              <w:pStyle w:val="yTableNAm"/>
              <w:rPr>
                <w:sz w:val="12"/>
                <w:szCs w:val="12"/>
              </w:rPr>
            </w:pPr>
            <w:r>
              <w:rPr>
                <w:sz w:val="12"/>
                <w:szCs w:val="12"/>
              </w:rPr>
              <w:t>525</w:t>
            </w:r>
          </w:p>
        </w:tc>
        <w:tc>
          <w:tcPr>
            <w:tcW w:w="358" w:type="dxa"/>
          </w:tcPr>
          <w:p>
            <w:pPr>
              <w:pStyle w:val="yTableNAm"/>
              <w:rPr>
                <w:sz w:val="12"/>
                <w:szCs w:val="12"/>
              </w:rPr>
            </w:pPr>
            <w:r>
              <w:rPr>
                <w:sz w:val="12"/>
                <w:szCs w:val="12"/>
              </w:rPr>
              <w:t>756</w:t>
            </w:r>
          </w:p>
        </w:tc>
        <w:tc>
          <w:tcPr>
            <w:tcW w:w="359" w:type="dxa"/>
          </w:tcPr>
          <w:p>
            <w:pPr>
              <w:pStyle w:val="yTableNAm"/>
              <w:rPr>
                <w:sz w:val="12"/>
                <w:szCs w:val="12"/>
              </w:rPr>
            </w:pPr>
            <w:r>
              <w:rPr>
                <w:sz w:val="12"/>
                <w:szCs w:val="12"/>
              </w:rPr>
              <w:t>1044</w:t>
            </w:r>
          </w:p>
        </w:tc>
        <w:tc>
          <w:tcPr>
            <w:tcW w:w="358" w:type="dxa"/>
          </w:tcPr>
          <w:p>
            <w:pPr>
              <w:pStyle w:val="yTableNAm"/>
              <w:rPr>
                <w:sz w:val="12"/>
                <w:szCs w:val="12"/>
              </w:rPr>
            </w:pPr>
            <w:r>
              <w:rPr>
                <w:sz w:val="12"/>
                <w:szCs w:val="12"/>
              </w:rPr>
              <w:t>1395</w:t>
            </w:r>
          </w:p>
        </w:tc>
        <w:tc>
          <w:tcPr>
            <w:tcW w:w="359" w:type="dxa"/>
          </w:tcPr>
          <w:p>
            <w:pPr>
              <w:pStyle w:val="yTableNAm"/>
              <w:rPr>
                <w:sz w:val="12"/>
                <w:szCs w:val="12"/>
              </w:rPr>
            </w:pPr>
            <w:r>
              <w:rPr>
                <w:sz w:val="12"/>
                <w:szCs w:val="12"/>
              </w:rPr>
              <w:t>1815</w:t>
            </w:r>
          </w:p>
        </w:tc>
        <w:tc>
          <w:tcPr>
            <w:tcW w:w="359" w:type="dxa"/>
          </w:tcPr>
          <w:p>
            <w:pPr>
              <w:pStyle w:val="yTableNAm"/>
              <w:rPr>
                <w:sz w:val="12"/>
                <w:szCs w:val="12"/>
              </w:rPr>
            </w:pPr>
            <w:r>
              <w:rPr>
                <w:sz w:val="12"/>
                <w:szCs w:val="12"/>
              </w:rPr>
              <w:t>2310</w:t>
            </w:r>
          </w:p>
        </w:tc>
      </w:tr>
      <w:tr>
        <w:tblPrEx>
          <w:tblCellMar>
            <w:left w:w="0" w:type="dxa"/>
            <w:right w:w="0" w:type="dxa"/>
          </w:tblCellMar>
        </w:tblPrEx>
        <w:tc>
          <w:tcPr>
            <w:tcW w:w="851"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gridSpan w:val="2"/>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18</w:t>
            </w:r>
          </w:p>
        </w:tc>
        <w:tc>
          <w:tcPr>
            <w:tcW w:w="359" w:type="dxa"/>
            <w:gridSpan w:val="2"/>
          </w:tcPr>
          <w:p>
            <w:pPr>
              <w:pStyle w:val="yTableNAm"/>
              <w:rPr>
                <w:sz w:val="12"/>
                <w:szCs w:val="12"/>
              </w:rPr>
            </w:pPr>
            <w:r>
              <w:rPr>
                <w:sz w:val="12"/>
                <w:szCs w:val="12"/>
              </w:rPr>
              <w:t>24</w:t>
            </w:r>
          </w:p>
        </w:tc>
        <w:tc>
          <w:tcPr>
            <w:tcW w:w="358" w:type="dxa"/>
          </w:tcPr>
          <w:p>
            <w:pPr>
              <w:pStyle w:val="yTableNAm"/>
              <w:rPr>
                <w:sz w:val="12"/>
                <w:szCs w:val="12"/>
              </w:rPr>
            </w:pPr>
            <w:r>
              <w:rPr>
                <w:sz w:val="12"/>
                <w:szCs w:val="12"/>
              </w:rPr>
              <w:t>30</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42</w:t>
            </w:r>
          </w:p>
        </w:tc>
        <w:tc>
          <w:tcPr>
            <w:tcW w:w="359" w:type="dxa"/>
          </w:tcPr>
          <w:p>
            <w:pPr>
              <w:pStyle w:val="yTableNAm"/>
              <w:rPr>
                <w:sz w:val="12"/>
                <w:szCs w:val="12"/>
              </w:rPr>
            </w:pPr>
            <w:r>
              <w:rPr>
                <w:sz w:val="12"/>
                <w:szCs w:val="12"/>
              </w:rPr>
              <w:t>48</w:t>
            </w:r>
          </w:p>
        </w:tc>
        <w:tc>
          <w:tcPr>
            <w:tcW w:w="358" w:type="dxa"/>
          </w:tcPr>
          <w:p>
            <w:pPr>
              <w:pStyle w:val="yTableNAm"/>
              <w:rPr>
                <w:sz w:val="12"/>
                <w:szCs w:val="12"/>
              </w:rPr>
            </w:pPr>
            <w:r>
              <w:rPr>
                <w:sz w:val="12"/>
                <w:szCs w:val="12"/>
              </w:rPr>
              <w:t>54</w:t>
            </w:r>
          </w:p>
        </w:tc>
        <w:tc>
          <w:tcPr>
            <w:tcW w:w="359" w:type="dxa"/>
          </w:tcPr>
          <w:p>
            <w:pPr>
              <w:pStyle w:val="yTableNAm"/>
              <w:rPr>
                <w:sz w:val="12"/>
                <w:szCs w:val="12"/>
              </w:rPr>
            </w:pPr>
            <w:r>
              <w:rPr>
                <w:sz w:val="12"/>
                <w:szCs w:val="12"/>
              </w:rPr>
              <w:t>60</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72</w:t>
            </w:r>
          </w:p>
        </w:tc>
        <w:tc>
          <w:tcPr>
            <w:tcW w:w="359" w:type="dxa"/>
          </w:tcPr>
          <w:p>
            <w:pPr>
              <w:pStyle w:val="yTableNAm"/>
              <w:rPr>
                <w:sz w:val="12"/>
                <w:szCs w:val="12"/>
              </w:rPr>
            </w:pPr>
            <w:r>
              <w:rPr>
                <w:sz w:val="12"/>
                <w:szCs w:val="12"/>
              </w:rPr>
              <w:t>78</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120</w:t>
            </w:r>
          </w:p>
        </w:tc>
        <w:tc>
          <w:tcPr>
            <w:tcW w:w="358" w:type="dxa"/>
          </w:tcPr>
          <w:p>
            <w:pPr>
              <w:pStyle w:val="yTableNAm"/>
              <w:rPr>
                <w:sz w:val="12"/>
                <w:szCs w:val="12"/>
              </w:rPr>
            </w:pPr>
            <w:r>
              <w:rPr>
                <w:sz w:val="12"/>
                <w:szCs w:val="12"/>
              </w:rPr>
              <w:t>200</w:t>
            </w:r>
          </w:p>
        </w:tc>
        <w:tc>
          <w:tcPr>
            <w:tcW w:w="359" w:type="dxa"/>
          </w:tcPr>
          <w:p>
            <w:pPr>
              <w:pStyle w:val="yTableNAm"/>
              <w:rPr>
                <w:sz w:val="12"/>
                <w:szCs w:val="12"/>
              </w:rPr>
            </w:pPr>
            <w:r>
              <w:rPr>
                <w:sz w:val="12"/>
                <w:szCs w:val="12"/>
              </w:rPr>
              <w:t>300</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560</w:t>
            </w:r>
          </w:p>
        </w:tc>
        <w:tc>
          <w:tcPr>
            <w:tcW w:w="358" w:type="dxa"/>
          </w:tcPr>
          <w:p>
            <w:pPr>
              <w:pStyle w:val="yTableNAm"/>
              <w:rPr>
                <w:sz w:val="12"/>
                <w:szCs w:val="12"/>
              </w:rPr>
            </w:pPr>
            <w:r>
              <w:rPr>
                <w:sz w:val="12"/>
                <w:szCs w:val="12"/>
              </w:rPr>
              <w:t>720</w:t>
            </w:r>
          </w:p>
        </w:tc>
        <w:tc>
          <w:tcPr>
            <w:tcW w:w="359" w:type="dxa"/>
          </w:tcPr>
          <w:p>
            <w:pPr>
              <w:pStyle w:val="yTableNAm"/>
              <w:rPr>
                <w:sz w:val="12"/>
                <w:szCs w:val="12"/>
              </w:rPr>
            </w:pPr>
            <w:r>
              <w:rPr>
                <w:sz w:val="12"/>
                <w:szCs w:val="12"/>
              </w:rPr>
              <w:t>900</w:t>
            </w:r>
          </w:p>
        </w:tc>
        <w:tc>
          <w:tcPr>
            <w:tcW w:w="358" w:type="dxa"/>
          </w:tcPr>
          <w:p>
            <w:pPr>
              <w:pStyle w:val="yTableNAm"/>
              <w:rPr>
                <w:sz w:val="12"/>
                <w:szCs w:val="12"/>
              </w:rPr>
            </w:pPr>
            <w:r>
              <w:rPr>
                <w:sz w:val="12"/>
                <w:szCs w:val="12"/>
              </w:rPr>
              <w:t>1100</w:t>
            </w:r>
          </w:p>
        </w:tc>
        <w:tc>
          <w:tcPr>
            <w:tcW w:w="359" w:type="dxa"/>
          </w:tcPr>
          <w:p>
            <w:pPr>
              <w:pStyle w:val="yTableNAm"/>
              <w:rPr>
                <w:sz w:val="12"/>
                <w:szCs w:val="12"/>
              </w:rPr>
            </w:pPr>
            <w:r>
              <w:rPr>
                <w:sz w:val="12"/>
                <w:szCs w:val="12"/>
              </w:rPr>
              <w:t>1320</w:t>
            </w:r>
          </w:p>
        </w:tc>
        <w:tc>
          <w:tcPr>
            <w:tcW w:w="359" w:type="dxa"/>
          </w:tcPr>
          <w:p>
            <w:pPr>
              <w:pStyle w:val="yTableNAm"/>
              <w:rPr>
                <w:sz w:val="12"/>
                <w:szCs w:val="12"/>
              </w:rPr>
            </w:pPr>
            <w:r>
              <w:rPr>
                <w:sz w:val="12"/>
                <w:szCs w:val="12"/>
              </w:rPr>
              <w:t>1560</w:t>
            </w:r>
          </w:p>
        </w:tc>
      </w:tr>
      <w:tr>
        <w:tblPrEx>
          <w:tblCellMar>
            <w:left w:w="0" w:type="dxa"/>
            <w:right w:w="0" w:type="dxa"/>
          </w:tblCellMar>
        </w:tblPrEx>
        <w:tc>
          <w:tcPr>
            <w:tcW w:w="851" w:type="dxa"/>
          </w:tcPr>
          <w:p>
            <w:pPr>
              <w:pStyle w:val="yTableNAm"/>
              <w:rPr>
                <w:sz w:val="12"/>
                <w:szCs w:val="12"/>
              </w:rPr>
            </w:pPr>
            <w:r>
              <w:rPr>
                <w:sz w:val="12"/>
                <w:szCs w:val="12"/>
              </w:rPr>
              <w:t>Six</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18</w:t>
            </w:r>
          </w:p>
        </w:tc>
        <w:tc>
          <w:tcPr>
            <w:tcW w:w="358" w:type="dxa"/>
          </w:tcPr>
          <w:p>
            <w:pPr>
              <w:pStyle w:val="yTableNAm"/>
              <w:rPr>
                <w:sz w:val="12"/>
                <w:szCs w:val="12"/>
              </w:rPr>
            </w:pPr>
            <w:r>
              <w:rPr>
                <w:sz w:val="12"/>
                <w:szCs w:val="12"/>
              </w:rPr>
              <w:t>24</w:t>
            </w:r>
          </w:p>
        </w:tc>
        <w:tc>
          <w:tcPr>
            <w:tcW w:w="359" w:type="dxa"/>
            <w:gridSpan w:val="2"/>
          </w:tcPr>
          <w:p>
            <w:pPr>
              <w:pStyle w:val="yTableNAm"/>
              <w:rPr>
                <w:sz w:val="12"/>
                <w:szCs w:val="12"/>
              </w:rPr>
            </w:pPr>
            <w:r>
              <w:rPr>
                <w:sz w:val="12"/>
                <w:szCs w:val="12"/>
              </w:rPr>
              <w:t>30</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t>42</w:t>
            </w:r>
          </w:p>
        </w:tc>
        <w:tc>
          <w:tcPr>
            <w:tcW w:w="358" w:type="dxa"/>
          </w:tcPr>
          <w:p>
            <w:pPr>
              <w:pStyle w:val="yTableNAm"/>
              <w:rPr>
                <w:sz w:val="12"/>
                <w:szCs w:val="12"/>
              </w:rPr>
            </w:pPr>
            <w:r>
              <w:rPr>
                <w:sz w:val="12"/>
                <w:szCs w:val="12"/>
              </w:rPr>
              <w:t>48</w:t>
            </w:r>
          </w:p>
        </w:tc>
        <w:tc>
          <w:tcPr>
            <w:tcW w:w="359" w:type="dxa"/>
          </w:tcPr>
          <w:p>
            <w:pPr>
              <w:pStyle w:val="yTableNAm"/>
              <w:rPr>
                <w:sz w:val="12"/>
                <w:szCs w:val="12"/>
              </w:rPr>
            </w:pPr>
            <w:r>
              <w:rPr>
                <w:sz w:val="12"/>
                <w:szCs w:val="12"/>
              </w:rPr>
              <w:t>54</w:t>
            </w:r>
          </w:p>
        </w:tc>
        <w:tc>
          <w:tcPr>
            <w:tcW w:w="358" w:type="dxa"/>
          </w:tcPr>
          <w:p>
            <w:pPr>
              <w:pStyle w:val="yTableNAm"/>
              <w:rPr>
                <w:sz w:val="12"/>
                <w:szCs w:val="12"/>
              </w:rPr>
            </w:pPr>
            <w:r>
              <w:rPr>
                <w:sz w:val="12"/>
                <w:szCs w:val="12"/>
              </w:rPr>
              <w:t>60</w:t>
            </w:r>
          </w:p>
        </w:tc>
        <w:tc>
          <w:tcPr>
            <w:tcW w:w="359" w:type="dxa"/>
          </w:tcPr>
          <w:p>
            <w:pPr>
              <w:pStyle w:val="yTableNAm"/>
              <w:rPr>
                <w:sz w:val="12"/>
                <w:szCs w:val="12"/>
              </w:rPr>
            </w:pPr>
            <w:r>
              <w:rPr>
                <w:sz w:val="12"/>
                <w:szCs w:val="12"/>
              </w:rPr>
              <w:t>66</w:t>
            </w:r>
          </w:p>
        </w:tc>
        <w:tc>
          <w:tcPr>
            <w:tcW w:w="358" w:type="dxa"/>
          </w:tcPr>
          <w:p>
            <w:pPr>
              <w:pStyle w:val="yTableNAm"/>
              <w:rPr>
                <w:sz w:val="12"/>
                <w:szCs w:val="12"/>
              </w:rPr>
            </w:pPr>
            <w:r>
              <w:rPr>
                <w:sz w:val="12"/>
                <w:szCs w:val="12"/>
              </w:rPr>
              <w:t>72</w:t>
            </w:r>
          </w:p>
        </w:tc>
        <w:tc>
          <w:tcPr>
            <w:tcW w:w="359" w:type="dxa"/>
          </w:tcPr>
          <w:p>
            <w:pPr>
              <w:pStyle w:val="yTableNAm"/>
              <w:rPr>
                <w:sz w:val="12"/>
                <w:szCs w:val="12"/>
              </w:rPr>
            </w:pPr>
            <w:r>
              <w:rPr>
                <w:sz w:val="12"/>
                <w:szCs w:val="12"/>
              </w:rPr>
              <w:t>78</w:t>
            </w:r>
          </w:p>
        </w:tc>
        <w:tc>
          <w:tcPr>
            <w:tcW w:w="359" w:type="dxa"/>
          </w:tcPr>
          <w:p>
            <w:pPr>
              <w:pStyle w:val="yTableNAm"/>
              <w:rPr>
                <w:sz w:val="12"/>
                <w:szCs w:val="12"/>
              </w:rPr>
            </w:pPr>
            <w:r>
              <w:rPr>
                <w:sz w:val="12"/>
                <w:szCs w:val="12"/>
              </w:rPr>
              <w:t>84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gridSpan w:val="2"/>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3</w:t>
            </w:r>
          </w:p>
        </w:tc>
        <w:tc>
          <w:tcPr>
            <w:tcW w:w="359" w:type="dxa"/>
            <w:gridSpan w:val="2"/>
          </w:tcPr>
          <w:p>
            <w:pPr>
              <w:pStyle w:val="yTableNAm"/>
              <w:rPr>
                <w:sz w:val="12"/>
                <w:szCs w:val="12"/>
              </w:rPr>
            </w:pPr>
            <w:r>
              <w:rPr>
                <w:sz w:val="12"/>
                <w:szCs w:val="12"/>
              </w:rPr>
              <w:t>4</w:t>
            </w:r>
          </w:p>
        </w:tc>
        <w:tc>
          <w:tcPr>
            <w:tcW w:w="358" w:type="dxa"/>
          </w:tcPr>
          <w:p>
            <w:pPr>
              <w:pStyle w:val="yTableNAm"/>
              <w:rPr>
                <w:sz w:val="12"/>
                <w:szCs w:val="12"/>
              </w:rPr>
            </w:pPr>
            <w:r>
              <w:rPr>
                <w:sz w:val="12"/>
                <w:szCs w:val="12"/>
              </w:rPr>
              <w:t>5</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7</w:t>
            </w:r>
          </w:p>
        </w:tc>
        <w:tc>
          <w:tcPr>
            <w:tcW w:w="359" w:type="dxa"/>
          </w:tcPr>
          <w:p>
            <w:pPr>
              <w:pStyle w:val="yTableNAm"/>
              <w:rPr>
                <w:sz w:val="12"/>
                <w:szCs w:val="12"/>
              </w:rPr>
            </w:pPr>
            <w:r>
              <w:rPr>
                <w:sz w:val="12"/>
                <w:szCs w:val="12"/>
              </w:rPr>
              <w:t>8</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11</w:t>
            </w:r>
          </w:p>
        </w:tc>
        <w:tc>
          <w:tcPr>
            <w:tcW w:w="359"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13</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40</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160</w:t>
            </w:r>
          </w:p>
        </w:tc>
        <w:tc>
          <w:tcPr>
            <w:tcW w:w="358" w:type="dxa"/>
          </w:tcPr>
          <w:p>
            <w:pPr>
              <w:pStyle w:val="yTableNAm"/>
              <w:rPr>
                <w:sz w:val="12"/>
                <w:szCs w:val="12"/>
              </w:rPr>
            </w:pPr>
            <w:r>
              <w:rPr>
                <w:sz w:val="12"/>
                <w:szCs w:val="12"/>
              </w:rPr>
              <w:t>250</w:t>
            </w:r>
          </w:p>
        </w:tc>
        <w:tc>
          <w:tcPr>
            <w:tcW w:w="359" w:type="dxa"/>
          </w:tcPr>
          <w:p>
            <w:pPr>
              <w:pStyle w:val="yTableNAm"/>
              <w:rPr>
                <w:sz w:val="12"/>
                <w:szCs w:val="12"/>
              </w:rPr>
            </w:pPr>
            <w:r>
              <w:rPr>
                <w:sz w:val="12"/>
                <w:szCs w:val="12"/>
              </w:rPr>
              <w:t>360</w:t>
            </w:r>
          </w:p>
        </w:tc>
        <w:tc>
          <w:tcPr>
            <w:tcW w:w="358" w:type="dxa"/>
          </w:tcPr>
          <w:p>
            <w:pPr>
              <w:pStyle w:val="yTableNAm"/>
              <w:rPr>
                <w:sz w:val="12"/>
                <w:szCs w:val="12"/>
              </w:rPr>
            </w:pPr>
            <w:r>
              <w:rPr>
                <w:sz w:val="12"/>
                <w:szCs w:val="12"/>
              </w:rPr>
              <w:t>490</w:t>
            </w:r>
          </w:p>
        </w:tc>
        <w:tc>
          <w:tcPr>
            <w:tcW w:w="359" w:type="dxa"/>
          </w:tcPr>
          <w:p>
            <w:pPr>
              <w:pStyle w:val="yTableNAm"/>
              <w:rPr>
                <w:sz w:val="12"/>
                <w:szCs w:val="12"/>
              </w:rPr>
            </w:pPr>
            <w:r>
              <w:rPr>
                <w:sz w:val="12"/>
                <w:szCs w:val="12"/>
              </w:rPr>
              <w:t>640</w:t>
            </w:r>
          </w:p>
        </w:tc>
        <w:tc>
          <w:tcPr>
            <w:tcW w:w="358" w:type="dxa"/>
          </w:tcPr>
          <w:p>
            <w:pPr>
              <w:pStyle w:val="yTableNAm"/>
              <w:rPr>
                <w:sz w:val="12"/>
                <w:szCs w:val="12"/>
              </w:rPr>
            </w:pPr>
            <w:r>
              <w:rPr>
                <w:sz w:val="12"/>
                <w:szCs w:val="12"/>
              </w:rPr>
              <w:t>810</w:t>
            </w:r>
          </w:p>
        </w:tc>
        <w:tc>
          <w:tcPr>
            <w:tcW w:w="359" w:type="dxa"/>
          </w:tcPr>
          <w:p>
            <w:pPr>
              <w:pStyle w:val="yTableNAm"/>
              <w:rPr>
                <w:sz w:val="12"/>
                <w:szCs w:val="12"/>
              </w:rPr>
            </w:pPr>
            <w:r>
              <w:rPr>
                <w:sz w:val="12"/>
                <w:szCs w:val="12"/>
              </w:rPr>
              <w:t>1000</w:t>
            </w:r>
          </w:p>
        </w:tc>
        <w:tc>
          <w:tcPr>
            <w:tcW w:w="358" w:type="dxa"/>
          </w:tcPr>
          <w:p>
            <w:pPr>
              <w:pStyle w:val="yTableNAm"/>
              <w:rPr>
                <w:sz w:val="12"/>
                <w:szCs w:val="12"/>
              </w:rPr>
            </w:pPr>
            <w:r>
              <w:rPr>
                <w:sz w:val="12"/>
                <w:szCs w:val="12"/>
              </w:rPr>
              <w:t>1210</w:t>
            </w:r>
          </w:p>
        </w:tc>
        <w:tc>
          <w:tcPr>
            <w:tcW w:w="359" w:type="dxa"/>
          </w:tcPr>
          <w:p>
            <w:pPr>
              <w:pStyle w:val="yTableNAm"/>
              <w:rPr>
                <w:sz w:val="12"/>
                <w:szCs w:val="12"/>
              </w:rPr>
            </w:pPr>
            <w:r>
              <w:rPr>
                <w:sz w:val="12"/>
                <w:szCs w:val="12"/>
              </w:rPr>
              <w:t>1440</w:t>
            </w:r>
          </w:p>
        </w:tc>
        <w:tc>
          <w:tcPr>
            <w:tcW w:w="359" w:type="dxa"/>
          </w:tcPr>
          <w:p>
            <w:pPr>
              <w:pStyle w:val="yTableNAm"/>
              <w:rPr>
                <w:sz w:val="12"/>
                <w:szCs w:val="12"/>
              </w:rPr>
            </w:pPr>
            <w:r>
              <w:rPr>
                <w:sz w:val="12"/>
                <w:szCs w:val="12"/>
              </w:rPr>
              <w:t>1690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35</w:t>
            </w:r>
          </w:p>
        </w:tc>
        <w:tc>
          <w:tcPr>
            <w:tcW w:w="359" w:type="dxa"/>
            <w:gridSpan w:val="2"/>
          </w:tcPr>
          <w:p>
            <w:pPr>
              <w:pStyle w:val="yTableNAm"/>
              <w:rPr>
                <w:sz w:val="12"/>
                <w:szCs w:val="12"/>
              </w:rPr>
            </w:pPr>
            <w:r>
              <w:rPr>
                <w:sz w:val="12"/>
                <w:szCs w:val="12"/>
              </w:rPr>
              <w:t>80</w:t>
            </w:r>
          </w:p>
        </w:tc>
        <w:tc>
          <w:tcPr>
            <w:tcW w:w="358" w:type="dxa"/>
          </w:tcPr>
          <w:p>
            <w:pPr>
              <w:pStyle w:val="yTableNAm"/>
              <w:rPr>
                <w:sz w:val="12"/>
                <w:szCs w:val="12"/>
              </w:rPr>
            </w:pPr>
            <w:r>
              <w:rPr>
                <w:sz w:val="12"/>
                <w:szCs w:val="12"/>
              </w:rPr>
              <w:t>150</w:t>
            </w:r>
          </w:p>
        </w:tc>
        <w:tc>
          <w:tcPr>
            <w:tcW w:w="359" w:type="dxa"/>
          </w:tcPr>
          <w:p>
            <w:pPr>
              <w:pStyle w:val="yTableNAm"/>
              <w:rPr>
                <w:sz w:val="12"/>
                <w:szCs w:val="12"/>
              </w:rPr>
            </w:pPr>
            <w:r>
              <w:rPr>
                <w:sz w:val="12"/>
                <w:szCs w:val="12"/>
              </w:rPr>
              <w:t>250</w:t>
            </w:r>
          </w:p>
        </w:tc>
        <w:tc>
          <w:tcPr>
            <w:tcW w:w="358" w:type="dxa"/>
          </w:tcPr>
          <w:p>
            <w:pPr>
              <w:pStyle w:val="yTableNAm"/>
              <w:rPr>
                <w:sz w:val="12"/>
                <w:szCs w:val="12"/>
              </w:rPr>
            </w:pPr>
            <w:r>
              <w:rPr>
                <w:sz w:val="12"/>
                <w:szCs w:val="12"/>
              </w:rPr>
              <w:t>385</w:t>
            </w:r>
          </w:p>
        </w:tc>
        <w:tc>
          <w:tcPr>
            <w:tcW w:w="359" w:type="dxa"/>
          </w:tcPr>
          <w:p>
            <w:pPr>
              <w:pStyle w:val="yTableNAm"/>
              <w:rPr>
                <w:sz w:val="12"/>
                <w:szCs w:val="12"/>
              </w:rPr>
            </w:pPr>
            <w:r>
              <w:rPr>
                <w:sz w:val="12"/>
                <w:szCs w:val="12"/>
              </w:rPr>
              <w:t>560</w:t>
            </w:r>
          </w:p>
        </w:tc>
        <w:tc>
          <w:tcPr>
            <w:tcW w:w="358" w:type="dxa"/>
          </w:tcPr>
          <w:p>
            <w:pPr>
              <w:pStyle w:val="yTableNAm"/>
              <w:rPr>
                <w:sz w:val="12"/>
                <w:szCs w:val="12"/>
              </w:rPr>
            </w:pPr>
            <w:r>
              <w:rPr>
                <w:sz w:val="12"/>
                <w:szCs w:val="12"/>
              </w:rPr>
              <w:t>780</w:t>
            </w:r>
          </w:p>
        </w:tc>
        <w:tc>
          <w:tcPr>
            <w:tcW w:w="359" w:type="dxa"/>
          </w:tcPr>
          <w:p>
            <w:pPr>
              <w:pStyle w:val="yTableNAm"/>
              <w:rPr>
                <w:sz w:val="12"/>
                <w:szCs w:val="12"/>
              </w:rPr>
            </w:pPr>
            <w:r>
              <w:rPr>
                <w:sz w:val="12"/>
                <w:szCs w:val="12"/>
              </w:rPr>
              <w:t>1050</w:t>
            </w:r>
          </w:p>
        </w:tc>
        <w:tc>
          <w:tcPr>
            <w:tcW w:w="358" w:type="dxa"/>
          </w:tcPr>
          <w:p>
            <w:pPr>
              <w:pStyle w:val="yTableNAm"/>
              <w:rPr>
                <w:sz w:val="12"/>
                <w:szCs w:val="12"/>
              </w:rPr>
            </w:pPr>
            <w:r>
              <w:rPr>
                <w:sz w:val="12"/>
                <w:szCs w:val="12"/>
              </w:rPr>
              <w:t>1375</w:t>
            </w:r>
          </w:p>
        </w:tc>
        <w:tc>
          <w:tcPr>
            <w:tcW w:w="359" w:type="dxa"/>
          </w:tcPr>
          <w:p>
            <w:pPr>
              <w:pStyle w:val="yTableNAm"/>
              <w:rPr>
                <w:sz w:val="12"/>
                <w:szCs w:val="12"/>
              </w:rPr>
            </w:pPr>
            <w:r>
              <w:rPr>
                <w:sz w:val="12"/>
                <w:szCs w:val="12"/>
              </w:rPr>
              <w:t>1760</w:t>
            </w:r>
          </w:p>
        </w:tc>
        <w:tc>
          <w:tcPr>
            <w:tcW w:w="359" w:type="dxa"/>
          </w:tcPr>
          <w:p>
            <w:pPr>
              <w:pStyle w:val="yTableNAm"/>
              <w:rPr>
                <w:sz w:val="12"/>
                <w:szCs w:val="12"/>
              </w:rPr>
            </w:pPr>
            <w:r>
              <w:rPr>
                <w:sz w:val="12"/>
                <w:szCs w:val="12"/>
              </w:rPr>
              <w:t>2210</w:t>
            </w:r>
          </w:p>
        </w:tc>
      </w:tr>
      <w:tr>
        <w:tblPrEx>
          <w:tblCellMar>
            <w:left w:w="0" w:type="dxa"/>
            <w:right w:w="0" w:type="dxa"/>
          </w:tblCellMar>
        </w:tblPrEx>
        <w:tc>
          <w:tcPr>
            <w:tcW w:w="851"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4</w:t>
            </w:r>
          </w:p>
        </w:tc>
        <w:tc>
          <w:tcPr>
            <w:tcW w:w="359" w:type="dxa"/>
            <w:gridSpan w:val="2"/>
          </w:tcPr>
          <w:p>
            <w:pPr>
              <w:pStyle w:val="yTableNAm"/>
              <w:rPr>
                <w:sz w:val="12"/>
                <w:szCs w:val="12"/>
              </w:rPr>
            </w:pPr>
            <w:r>
              <w:rPr>
                <w:sz w:val="12"/>
                <w:szCs w:val="12"/>
              </w:rPr>
              <w:t>5</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7</w:t>
            </w:r>
          </w:p>
        </w:tc>
        <w:tc>
          <w:tcPr>
            <w:tcW w:w="358" w:type="dxa"/>
          </w:tcPr>
          <w:p>
            <w:pPr>
              <w:pStyle w:val="yTableNAm"/>
              <w:rPr>
                <w:sz w:val="12"/>
                <w:szCs w:val="12"/>
              </w:rPr>
            </w:pPr>
            <w:r>
              <w:rPr>
                <w:sz w:val="12"/>
                <w:szCs w:val="12"/>
              </w:rPr>
              <w:t>8</w:t>
            </w:r>
          </w:p>
        </w:tc>
        <w:tc>
          <w:tcPr>
            <w:tcW w:w="359" w:type="dxa"/>
          </w:tcPr>
          <w:p>
            <w:pPr>
              <w:pStyle w:val="yTableNAm"/>
              <w:rPr>
                <w:sz w:val="12"/>
                <w:szCs w:val="12"/>
              </w:rPr>
            </w:pPr>
            <w:r>
              <w:rPr>
                <w:sz w:val="12"/>
                <w:szCs w:val="12"/>
              </w:rPr>
              <w:t>9</w:t>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11</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13</w:t>
            </w:r>
          </w:p>
        </w:tc>
        <w:tc>
          <w:tcPr>
            <w:tcW w:w="359" w:type="dxa"/>
          </w:tcPr>
          <w:p>
            <w:pPr>
              <w:pStyle w:val="yTableNAm"/>
              <w:rPr>
                <w:sz w:val="12"/>
                <w:szCs w:val="12"/>
              </w:rPr>
            </w:pPr>
            <w:r>
              <w:rPr>
                <w:sz w:val="12"/>
                <w:szCs w:val="12"/>
              </w:rPr>
              <w:t>14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150</w:t>
            </w:r>
          </w:p>
        </w:tc>
        <w:tc>
          <w:tcPr>
            <w:tcW w:w="359" w:type="dxa"/>
          </w:tcPr>
          <w:p>
            <w:pPr>
              <w:pStyle w:val="yTableNAm"/>
              <w:rPr>
                <w:sz w:val="12"/>
                <w:szCs w:val="12"/>
              </w:rPr>
            </w:pPr>
            <w:r>
              <w:rPr>
                <w:sz w:val="12"/>
                <w:szCs w:val="12"/>
              </w:rPr>
              <w:t>210</w:t>
            </w:r>
          </w:p>
        </w:tc>
        <w:tc>
          <w:tcPr>
            <w:tcW w:w="358" w:type="dxa"/>
          </w:tcPr>
          <w:p>
            <w:pPr>
              <w:pStyle w:val="yTableNAm"/>
              <w:rPr>
                <w:sz w:val="12"/>
                <w:szCs w:val="12"/>
              </w:rPr>
            </w:pPr>
            <w:r>
              <w:rPr>
                <w:sz w:val="12"/>
                <w:szCs w:val="12"/>
              </w:rPr>
              <w:t>280</w:t>
            </w:r>
          </w:p>
        </w:tc>
        <w:tc>
          <w:tcPr>
            <w:tcW w:w="359" w:type="dxa"/>
          </w:tcPr>
          <w:p>
            <w:pPr>
              <w:pStyle w:val="yTableNAm"/>
              <w:rPr>
                <w:sz w:val="12"/>
                <w:szCs w:val="12"/>
              </w:rPr>
            </w:pPr>
            <w:r>
              <w:rPr>
                <w:sz w:val="12"/>
                <w:szCs w:val="12"/>
              </w:rPr>
              <w:t>360</w:t>
            </w:r>
          </w:p>
        </w:tc>
        <w:tc>
          <w:tcPr>
            <w:tcW w:w="358" w:type="dxa"/>
          </w:tcPr>
          <w:p>
            <w:pPr>
              <w:pStyle w:val="yTableNAm"/>
              <w:rPr>
                <w:sz w:val="12"/>
                <w:szCs w:val="12"/>
              </w:rPr>
            </w:pPr>
            <w:r>
              <w:rPr>
                <w:sz w:val="12"/>
                <w:szCs w:val="12"/>
              </w:rPr>
              <w:t>450</w:t>
            </w:r>
          </w:p>
        </w:tc>
        <w:tc>
          <w:tcPr>
            <w:tcW w:w="359" w:type="dxa"/>
          </w:tcPr>
          <w:p>
            <w:pPr>
              <w:pStyle w:val="yTableNAm"/>
              <w:rPr>
                <w:sz w:val="12"/>
                <w:szCs w:val="12"/>
              </w:rPr>
            </w:pPr>
            <w:r>
              <w:rPr>
                <w:sz w:val="12"/>
                <w:szCs w:val="12"/>
              </w:rPr>
              <w:t>550</w:t>
            </w:r>
          </w:p>
        </w:tc>
        <w:tc>
          <w:tcPr>
            <w:tcW w:w="358" w:type="dxa"/>
          </w:tcPr>
          <w:p>
            <w:pPr>
              <w:pStyle w:val="yTableNAm"/>
              <w:rPr>
                <w:sz w:val="12"/>
                <w:szCs w:val="12"/>
              </w:rPr>
            </w:pPr>
            <w:r>
              <w:rPr>
                <w:sz w:val="12"/>
                <w:szCs w:val="12"/>
              </w:rPr>
              <w:t>660</w:t>
            </w:r>
          </w:p>
        </w:tc>
        <w:tc>
          <w:tcPr>
            <w:tcW w:w="359" w:type="dxa"/>
          </w:tcPr>
          <w:p>
            <w:pPr>
              <w:pStyle w:val="yTableNAm"/>
              <w:rPr>
                <w:sz w:val="12"/>
                <w:szCs w:val="12"/>
              </w:rPr>
            </w:pPr>
            <w:r>
              <w:rPr>
                <w:sz w:val="12"/>
                <w:szCs w:val="12"/>
              </w:rPr>
              <w:t>780</w:t>
            </w:r>
          </w:p>
        </w:tc>
        <w:tc>
          <w:tcPr>
            <w:tcW w:w="359" w:type="dxa"/>
          </w:tcPr>
          <w:p>
            <w:pPr>
              <w:pStyle w:val="yTableNAm"/>
              <w:rPr>
                <w:sz w:val="12"/>
                <w:szCs w:val="12"/>
              </w:rPr>
            </w:pPr>
            <w:r>
              <w:rPr>
                <w:sz w:val="12"/>
                <w:szCs w:val="12"/>
              </w:rPr>
              <w:t>910</w:t>
            </w:r>
          </w:p>
        </w:tc>
      </w:tr>
      <w:tr>
        <w:tblPrEx>
          <w:tblCellMar>
            <w:left w:w="0" w:type="dxa"/>
            <w:right w:w="0" w:type="dxa"/>
          </w:tblCellMar>
        </w:tblPrEx>
        <w:tc>
          <w:tcPr>
            <w:tcW w:w="851" w:type="dxa"/>
          </w:tcPr>
          <w:p>
            <w:pPr>
              <w:pStyle w:val="yTableNAm"/>
              <w:rPr>
                <w:sz w:val="12"/>
                <w:szCs w:val="12"/>
              </w:rPr>
            </w:pPr>
            <w:r>
              <w:rPr>
                <w:sz w:val="12"/>
                <w:szCs w:val="12"/>
              </w:rPr>
              <w:t>Five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5</w:t>
            </w:r>
          </w:p>
        </w:tc>
        <w:tc>
          <w:tcPr>
            <w:tcW w:w="359" w:type="dxa"/>
            <w:gridSpan w:val="2"/>
          </w:tcPr>
          <w:p>
            <w:pPr>
              <w:pStyle w:val="yTableNAm"/>
              <w:rPr>
                <w:sz w:val="12"/>
                <w:szCs w:val="12"/>
              </w:rPr>
            </w:pPr>
            <w:r>
              <w:rPr>
                <w:sz w:val="12"/>
                <w:szCs w:val="12"/>
              </w:rPr>
              <w:t>6</w:t>
            </w:r>
          </w:p>
        </w:tc>
        <w:tc>
          <w:tcPr>
            <w:tcW w:w="358" w:type="dxa"/>
          </w:tcPr>
          <w:p>
            <w:pPr>
              <w:pStyle w:val="yTableNAm"/>
              <w:rPr>
                <w:sz w:val="12"/>
                <w:szCs w:val="12"/>
              </w:rPr>
            </w:pPr>
            <w:r>
              <w:rPr>
                <w:sz w:val="12"/>
                <w:szCs w:val="12"/>
              </w:rPr>
              <w:t>7</w:t>
            </w:r>
          </w:p>
        </w:tc>
        <w:tc>
          <w:tcPr>
            <w:tcW w:w="359" w:type="dxa"/>
          </w:tcPr>
          <w:p>
            <w:pPr>
              <w:pStyle w:val="yTableNAm"/>
              <w:rPr>
                <w:sz w:val="12"/>
                <w:szCs w:val="12"/>
              </w:rPr>
            </w:pPr>
            <w:r>
              <w:rPr>
                <w:sz w:val="12"/>
                <w:szCs w:val="12"/>
              </w:rPr>
              <w:t>8</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11</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13</w:t>
            </w:r>
          </w:p>
        </w:tc>
        <w:tc>
          <w:tcPr>
            <w:tcW w:w="359" w:type="dxa"/>
          </w:tcPr>
          <w:p>
            <w:pPr>
              <w:pStyle w:val="yTableNAm"/>
              <w:rPr>
                <w:sz w:val="12"/>
                <w:szCs w:val="12"/>
              </w:rPr>
            </w:pPr>
            <w:r>
              <w:rPr>
                <w:sz w:val="12"/>
                <w:szCs w:val="12"/>
              </w:rPr>
              <w:t>14</w:t>
            </w:r>
          </w:p>
        </w:tc>
        <w:tc>
          <w:tcPr>
            <w:tcW w:w="359" w:type="dxa"/>
          </w:tcPr>
          <w:p>
            <w:pPr>
              <w:pStyle w:val="yTableNAm"/>
              <w:rPr>
                <w:sz w:val="12"/>
                <w:szCs w:val="12"/>
              </w:rPr>
            </w:pPr>
            <w:r>
              <w:rPr>
                <w:sz w:val="12"/>
                <w:szCs w:val="12"/>
              </w:rPr>
              <w:t>15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16</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64</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144</w:t>
            </w:r>
          </w:p>
        </w:tc>
        <w:tc>
          <w:tcPr>
            <w:tcW w:w="359" w:type="dxa"/>
          </w:tcPr>
          <w:p>
            <w:pPr>
              <w:pStyle w:val="yTableNAm"/>
              <w:rPr>
                <w:sz w:val="12"/>
                <w:szCs w:val="12"/>
              </w:rPr>
            </w:pPr>
            <w:r>
              <w:rPr>
                <w:sz w:val="12"/>
                <w:szCs w:val="12"/>
              </w:rPr>
              <w:t>196</w:t>
            </w:r>
          </w:p>
        </w:tc>
        <w:tc>
          <w:tcPr>
            <w:tcW w:w="358" w:type="dxa"/>
          </w:tcPr>
          <w:p>
            <w:pPr>
              <w:pStyle w:val="yTableNAm"/>
              <w:rPr>
                <w:sz w:val="12"/>
                <w:szCs w:val="12"/>
              </w:rPr>
            </w:pPr>
            <w:r>
              <w:rPr>
                <w:sz w:val="12"/>
                <w:szCs w:val="12"/>
              </w:rPr>
              <w:t>256</w:t>
            </w:r>
          </w:p>
        </w:tc>
        <w:tc>
          <w:tcPr>
            <w:tcW w:w="359" w:type="dxa"/>
          </w:tcPr>
          <w:p>
            <w:pPr>
              <w:pStyle w:val="yTableNAm"/>
              <w:rPr>
                <w:sz w:val="12"/>
                <w:szCs w:val="12"/>
              </w:rPr>
            </w:pPr>
            <w:r>
              <w:rPr>
                <w:sz w:val="12"/>
                <w:szCs w:val="12"/>
              </w:rPr>
              <w:t>324</w:t>
            </w:r>
          </w:p>
        </w:tc>
        <w:tc>
          <w:tcPr>
            <w:tcW w:w="358" w:type="dxa"/>
          </w:tcPr>
          <w:p>
            <w:pPr>
              <w:pStyle w:val="yTableNAm"/>
              <w:rPr>
                <w:sz w:val="12"/>
                <w:szCs w:val="12"/>
              </w:rPr>
            </w:pPr>
            <w:r>
              <w:rPr>
                <w:sz w:val="12"/>
                <w:szCs w:val="12"/>
              </w:rPr>
              <w:t>400</w:t>
            </w:r>
          </w:p>
        </w:tc>
        <w:tc>
          <w:tcPr>
            <w:tcW w:w="359" w:type="dxa"/>
          </w:tcPr>
          <w:p>
            <w:pPr>
              <w:pStyle w:val="yTableNAm"/>
              <w:rPr>
                <w:sz w:val="12"/>
                <w:szCs w:val="12"/>
              </w:rPr>
            </w:pPr>
            <w:r>
              <w:rPr>
                <w:sz w:val="12"/>
                <w:szCs w:val="12"/>
              </w:rPr>
              <w:t>484</w:t>
            </w:r>
          </w:p>
        </w:tc>
        <w:tc>
          <w:tcPr>
            <w:tcW w:w="358" w:type="dxa"/>
          </w:tcPr>
          <w:p>
            <w:pPr>
              <w:pStyle w:val="yTableNAm"/>
              <w:rPr>
                <w:sz w:val="12"/>
                <w:szCs w:val="12"/>
              </w:rPr>
            </w:pPr>
            <w:r>
              <w:rPr>
                <w:sz w:val="12"/>
                <w:szCs w:val="12"/>
              </w:rPr>
              <w:t>576</w:t>
            </w:r>
          </w:p>
        </w:tc>
        <w:tc>
          <w:tcPr>
            <w:tcW w:w="359" w:type="dxa"/>
          </w:tcPr>
          <w:p>
            <w:pPr>
              <w:pStyle w:val="yTableNAm"/>
              <w:rPr>
                <w:sz w:val="12"/>
                <w:szCs w:val="12"/>
              </w:rPr>
            </w:pPr>
            <w:r>
              <w:rPr>
                <w:sz w:val="12"/>
                <w:szCs w:val="12"/>
              </w:rPr>
              <w:t>676</w:t>
            </w:r>
          </w:p>
        </w:tc>
        <w:tc>
          <w:tcPr>
            <w:tcW w:w="359" w:type="dxa"/>
          </w:tcPr>
          <w:p>
            <w:pPr>
              <w:pStyle w:val="yTableNAm"/>
              <w:rPr>
                <w:sz w:val="12"/>
                <w:szCs w:val="12"/>
              </w:rPr>
            </w:pPr>
            <w:r>
              <w:rPr>
                <w:sz w:val="12"/>
                <w:szCs w:val="12"/>
              </w:rPr>
              <w:t>784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22</w:t>
            </w:r>
          </w:p>
        </w:tc>
        <w:tc>
          <w:tcPr>
            <w:tcW w:w="358" w:type="dxa"/>
          </w:tcPr>
          <w:p>
            <w:pPr>
              <w:pStyle w:val="yTableNAm"/>
              <w:rPr>
                <w:sz w:val="12"/>
                <w:szCs w:val="12"/>
              </w:rPr>
            </w:pPr>
            <w:r>
              <w:rPr>
                <w:sz w:val="12"/>
                <w:szCs w:val="12"/>
              </w:rPr>
              <w:t>52</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170</w:t>
            </w:r>
          </w:p>
        </w:tc>
        <w:tc>
          <w:tcPr>
            <w:tcW w:w="359" w:type="dxa"/>
          </w:tcPr>
          <w:p>
            <w:pPr>
              <w:pStyle w:val="yTableNAm"/>
              <w:rPr>
                <w:sz w:val="12"/>
                <w:szCs w:val="12"/>
              </w:rPr>
            </w:pPr>
            <w:r>
              <w:rPr>
                <w:sz w:val="12"/>
                <w:szCs w:val="12"/>
              </w:rPr>
              <w:t>266</w:t>
            </w:r>
          </w:p>
        </w:tc>
        <w:tc>
          <w:tcPr>
            <w:tcW w:w="358" w:type="dxa"/>
          </w:tcPr>
          <w:p>
            <w:pPr>
              <w:pStyle w:val="yTableNAm"/>
              <w:rPr>
                <w:sz w:val="12"/>
                <w:szCs w:val="12"/>
              </w:rPr>
            </w:pPr>
            <w:r>
              <w:rPr>
                <w:sz w:val="12"/>
                <w:szCs w:val="12"/>
              </w:rPr>
              <w:t>392</w:t>
            </w:r>
          </w:p>
        </w:tc>
        <w:tc>
          <w:tcPr>
            <w:tcW w:w="359" w:type="dxa"/>
          </w:tcPr>
          <w:p>
            <w:pPr>
              <w:pStyle w:val="yTableNAm"/>
              <w:rPr>
                <w:sz w:val="12"/>
                <w:szCs w:val="12"/>
              </w:rPr>
            </w:pPr>
            <w:r>
              <w:rPr>
                <w:sz w:val="12"/>
                <w:szCs w:val="12"/>
              </w:rPr>
              <w:t>552</w:t>
            </w:r>
          </w:p>
        </w:tc>
        <w:tc>
          <w:tcPr>
            <w:tcW w:w="358" w:type="dxa"/>
          </w:tcPr>
          <w:p>
            <w:pPr>
              <w:pStyle w:val="yTableNAm"/>
              <w:rPr>
                <w:sz w:val="12"/>
                <w:szCs w:val="12"/>
              </w:rPr>
            </w:pPr>
            <w:r>
              <w:rPr>
                <w:sz w:val="12"/>
                <w:szCs w:val="12"/>
              </w:rPr>
              <w:t>750</w:t>
            </w:r>
          </w:p>
        </w:tc>
        <w:tc>
          <w:tcPr>
            <w:tcW w:w="359" w:type="dxa"/>
          </w:tcPr>
          <w:p>
            <w:pPr>
              <w:pStyle w:val="yTableNAm"/>
              <w:rPr>
                <w:sz w:val="12"/>
                <w:szCs w:val="12"/>
              </w:rPr>
            </w:pPr>
            <w:r>
              <w:rPr>
                <w:sz w:val="12"/>
                <w:szCs w:val="12"/>
              </w:rPr>
              <w:t>990</w:t>
            </w:r>
          </w:p>
        </w:tc>
        <w:tc>
          <w:tcPr>
            <w:tcW w:w="358" w:type="dxa"/>
          </w:tcPr>
          <w:p>
            <w:pPr>
              <w:pStyle w:val="yTableNAm"/>
              <w:rPr>
                <w:sz w:val="12"/>
                <w:szCs w:val="12"/>
              </w:rPr>
            </w:pPr>
            <w:r>
              <w:rPr>
                <w:sz w:val="12"/>
                <w:szCs w:val="12"/>
              </w:rPr>
              <w:t>1276</w:t>
            </w:r>
          </w:p>
        </w:tc>
        <w:tc>
          <w:tcPr>
            <w:tcW w:w="359" w:type="dxa"/>
          </w:tcPr>
          <w:p>
            <w:pPr>
              <w:pStyle w:val="yTableNAm"/>
              <w:rPr>
                <w:sz w:val="12"/>
                <w:szCs w:val="12"/>
              </w:rPr>
            </w:pPr>
            <w:r>
              <w:rPr>
                <w:sz w:val="12"/>
                <w:szCs w:val="12"/>
              </w:rPr>
              <w:t>1612</w:t>
            </w:r>
          </w:p>
        </w:tc>
        <w:tc>
          <w:tcPr>
            <w:tcW w:w="359" w:type="dxa"/>
          </w:tcPr>
          <w:p>
            <w:pPr>
              <w:pStyle w:val="yTableNAm"/>
              <w:rPr>
                <w:sz w:val="12"/>
                <w:szCs w:val="12"/>
              </w:rPr>
            </w:pPr>
            <w:r>
              <w:rPr>
                <w:sz w:val="12"/>
                <w:szCs w:val="12"/>
              </w:rPr>
              <w:t>2002</w:t>
            </w:r>
          </w:p>
        </w:tc>
      </w:tr>
      <w:tr>
        <w:tblPrEx>
          <w:tblCellMar>
            <w:left w:w="0" w:type="dxa"/>
            <w:right w:w="0" w:type="dxa"/>
          </w:tblCellMar>
        </w:tblPrEx>
        <w:tc>
          <w:tcPr>
            <w:tcW w:w="851"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38</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24</w:t>
            </w:r>
          </w:p>
        </w:tc>
        <w:tc>
          <w:tcPr>
            <w:tcW w:w="358" w:type="dxa"/>
          </w:tcPr>
          <w:p>
            <w:pPr>
              <w:pStyle w:val="yTableNAm"/>
              <w:rPr>
                <w:sz w:val="12"/>
                <w:szCs w:val="12"/>
              </w:rPr>
            </w:pPr>
            <w:r>
              <w:rPr>
                <w:sz w:val="12"/>
                <w:szCs w:val="12"/>
              </w:rPr>
              <w:t>40</w:t>
            </w:r>
          </w:p>
        </w:tc>
        <w:tc>
          <w:tcPr>
            <w:tcW w:w="359" w:type="dxa"/>
            <w:gridSpan w:val="2"/>
          </w:tcPr>
          <w:p>
            <w:pPr>
              <w:pStyle w:val="yTableNAm"/>
              <w:rPr>
                <w:sz w:val="12"/>
                <w:szCs w:val="12"/>
              </w:rPr>
            </w:pPr>
            <w:r>
              <w:rPr>
                <w:sz w:val="12"/>
                <w:szCs w:val="12"/>
              </w:rPr>
              <w:t>60</w:t>
            </w:r>
          </w:p>
        </w:tc>
        <w:tc>
          <w:tcPr>
            <w:tcW w:w="358" w:type="dxa"/>
          </w:tcPr>
          <w:p>
            <w:pPr>
              <w:pStyle w:val="yTableNAm"/>
              <w:rPr>
                <w:sz w:val="12"/>
                <w:szCs w:val="12"/>
              </w:rPr>
            </w:pPr>
            <w:r>
              <w:rPr>
                <w:sz w:val="12"/>
                <w:szCs w:val="12"/>
              </w:rPr>
              <w:t>84</w:t>
            </w:r>
          </w:p>
        </w:tc>
        <w:tc>
          <w:tcPr>
            <w:tcW w:w="359" w:type="dxa"/>
          </w:tcPr>
          <w:p>
            <w:pPr>
              <w:pStyle w:val="yTableNAm"/>
              <w:rPr>
                <w:sz w:val="12"/>
                <w:szCs w:val="12"/>
              </w:rPr>
            </w:pPr>
            <w:r>
              <w:rPr>
                <w:sz w:val="12"/>
                <w:szCs w:val="12"/>
              </w:rPr>
              <w:t>112</w:t>
            </w:r>
          </w:p>
        </w:tc>
        <w:tc>
          <w:tcPr>
            <w:tcW w:w="358" w:type="dxa"/>
          </w:tcPr>
          <w:p>
            <w:pPr>
              <w:pStyle w:val="yTableNAm"/>
              <w:rPr>
                <w:sz w:val="12"/>
                <w:szCs w:val="12"/>
              </w:rPr>
            </w:pPr>
            <w:r>
              <w:rPr>
                <w:sz w:val="12"/>
                <w:szCs w:val="12"/>
              </w:rPr>
              <w:t>144</w:t>
            </w:r>
          </w:p>
        </w:tc>
        <w:tc>
          <w:tcPr>
            <w:tcW w:w="359" w:type="dxa"/>
          </w:tcPr>
          <w:p>
            <w:pPr>
              <w:pStyle w:val="yTableNAm"/>
              <w:rPr>
                <w:sz w:val="12"/>
                <w:szCs w:val="12"/>
              </w:rPr>
            </w:pPr>
            <w:r>
              <w:rPr>
                <w:sz w:val="12"/>
                <w:szCs w:val="12"/>
              </w:rPr>
              <w:t>180</w:t>
            </w:r>
          </w:p>
        </w:tc>
        <w:tc>
          <w:tcPr>
            <w:tcW w:w="358" w:type="dxa"/>
          </w:tcPr>
          <w:p>
            <w:pPr>
              <w:pStyle w:val="yTableNAm"/>
              <w:rPr>
                <w:sz w:val="12"/>
                <w:szCs w:val="12"/>
              </w:rPr>
            </w:pPr>
            <w:r>
              <w:rPr>
                <w:sz w:val="12"/>
                <w:szCs w:val="12"/>
              </w:rPr>
              <w:t>220</w:t>
            </w:r>
          </w:p>
        </w:tc>
        <w:tc>
          <w:tcPr>
            <w:tcW w:w="359" w:type="dxa"/>
          </w:tcPr>
          <w:p>
            <w:pPr>
              <w:pStyle w:val="yTableNAm"/>
              <w:rPr>
                <w:sz w:val="12"/>
                <w:szCs w:val="12"/>
              </w:rPr>
            </w:pPr>
            <w:r>
              <w:rPr>
                <w:sz w:val="12"/>
                <w:szCs w:val="12"/>
              </w:rPr>
              <w:t>264</w:t>
            </w:r>
          </w:p>
        </w:tc>
        <w:tc>
          <w:tcPr>
            <w:tcW w:w="358" w:type="dxa"/>
          </w:tcPr>
          <w:p>
            <w:pPr>
              <w:pStyle w:val="yTableNAm"/>
              <w:rPr>
                <w:sz w:val="12"/>
                <w:szCs w:val="12"/>
              </w:rPr>
            </w:pPr>
            <w:r>
              <w:rPr>
                <w:sz w:val="12"/>
                <w:szCs w:val="12"/>
              </w:rPr>
              <w:t>312</w:t>
            </w:r>
          </w:p>
        </w:tc>
        <w:tc>
          <w:tcPr>
            <w:tcW w:w="359" w:type="dxa"/>
          </w:tcPr>
          <w:p>
            <w:pPr>
              <w:pStyle w:val="yTableNAm"/>
              <w:rPr>
                <w:sz w:val="12"/>
                <w:szCs w:val="12"/>
              </w:rPr>
            </w:pPr>
            <w:r>
              <w:rPr>
                <w:sz w:val="12"/>
                <w:szCs w:val="12"/>
              </w:rPr>
              <w:t>364</w:t>
            </w:r>
          </w:p>
        </w:tc>
        <w:tc>
          <w:tcPr>
            <w:tcW w:w="359" w:type="dxa"/>
          </w:tcPr>
          <w:p>
            <w:pPr>
              <w:pStyle w:val="yTableNAm"/>
              <w:rPr>
                <w:sz w:val="12"/>
                <w:szCs w:val="12"/>
              </w:rPr>
            </w:pPr>
            <w:r>
              <w:rPr>
                <w:sz w:val="12"/>
                <w:szCs w:val="12"/>
              </w:rPr>
              <w:t>420</w:t>
            </w:r>
          </w:p>
        </w:tc>
      </w:tr>
      <w:tr>
        <w:tblPrEx>
          <w:tblCellMar>
            <w:left w:w="0" w:type="dxa"/>
            <w:right w:w="0" w:type="dxa"/>
          </w:tblCellMar>
        </w:tblPrEx>
        <w:tc>
          <w:tcPr>
            <w:tcW w:w="851" w:type="dxa"/>
          </w:tcPr>
          <w:p>
            <w:pPr>
              <w:pStyle w:val="yTableNAm"/>
              <w:rPr>
                <w:sz w:val="12"/>
                <w:szCs w:val="12"/>
              </w:rPr>
            </w:pPr>
            <w:r>
              <w:rPr>
                <w:sz w:val="12"/>
                <w:szCs w:val="12"/>
              </w:rPr>
              <w:t>Four</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t>74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38</w:t>
            </w:r>
          </w:p>
        </w:tc>
        <w:tc>
          <w:tcPr>
            <w:tcW w:w="358" w:type="dxa"/>
          </w:tcPr>
          <w:p>
            <w:pPr>
              <w:pStyle w:val="yTableNAm"/>
              <w:rPr>
                <w:sz w:val="12"/>
                <w:szCs w:val="12"/>
              </w:rPr>
            </w:pPr>
            <w:r>
              <w:rPr>
                <w:sz w:val="12"/>
                <w:szCs w:val="12"/>
              </w:rPr>
              <w:t>741</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r>
              <w:rPr>
                <w:sz w:val="12"/>
                <w:szCs w:val="12"/>
              </w:rPr>
              <w:t>Three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16</w:t>
            </w:r>
          </w:p>
        </w:tc>
        <w:tc>
          <w:tcPr>
            <w:tcW w:w="358" w:type="dxa"/>
          </w:tcPr>
          <w:p>
            <w:pPr>
              <w:pStyle w:val="yTableNAm"/>
              <w:rPr>
                <w:sz w:val="12"/>
                <w:szCs w:val="12"/>
              </w:rPr>
            </w:pPr>
            <w:r>
              <w:rPr>
                <w:sz w:val="12"/>
                <w:szCs w:val="12"/>
              </w:rPr>
              <w:t>25</w:t>
            </w:r>
          </w:p>
        </w:tc>
        <w:tc>
          <w:tcPr>
            <w:tcW w:w="359" w:type="dxa"/>
            <w:gridSpan w:val="2"/>
          </w:tcPr>
          <w:p>
            <w:pPr>
              <w:pStyle w:val="yTableNAm"/>
              <w:rPr>
                <w:sz w:val="12"/>
                <w:szCs w:val="12"/>
              </w:rPr>
            </w:pPr>
            <w:r>
              <w:rPr>
                <w:sz w:val="12"/>
                <w:szCs w:val="12"/>
              </w:rPr>
              <w:t>36</w:t>
            </w:r>
          </w:p>
        </w:tc>
        <w:tc>
          <w:tcPr>
            <w:tcW w:w="358" w:type="dxa"/>
          </w:tcPr>
          <w:p>
            <w:pPr>
              <w:pStyle w:val="yTableNAm"/>
              <w:rPr>
                <w:sz w:val="12"/>
                <w:szCs w:val="12"/>
              </w:rPr>
            </w:pPr>
            <w:r>
              <w:rPr>
                <w:sz w:val="12"/>
                <w:szCs w:val="12"/>
              </w:rPr>
              <w:t>49</w:t>
            </w:r>
          </w:p>
        </w:tc>
        <w:tc>
          <w:tcPr>
            <w:tcW w:w="359" w:type="dxa"/>
          </w:tcPr>
          <w:p>
            <w:pPr>
              <w:pStyle w:val="yTableNAm"/>
              <w:rPr>
                <w:sz w:val="12"/>
                <w:szCs w:val="12"/>
              </w:rPr>
            </w:pPr>
            <w:r>
              <w:rPr>
                <w:sz w:val="12"/>
                <w:szCs w:val="12"/>
              </w:rPr>
              <w:t>64</w:t>
            </w:r>
          </w:p>
        </w:tc>
        <w:tc>
          <w:tcPr>
            <w:tcW w:w="358" w:type="dxa"/>
          </w:tcPr>
          <w:p>
            <w:pPr>
              <w:pStyle w:val="yTableNAm"/>
              <w:rPr>
                <w:sz w:val="12"/>
                <w:szCs w:val="12"/>
              </w:rPr>
            </w:pPr>
            <w:r>
              <w:rPr>
                <w:sz w:val="12"/>
                <w:szCs w:val="12"/>
              </w:rPr>
              <w:t>81</w:t>
            </w:r>
          </w:p>
        </w:tc>
        <w:tc>
          <w:tcPr>
            <w:tcW w:w="359" w:type="dxa"/>
          </w:tcPr>
          <w:p>
            <w:pPr>
              <w:pStyle w:val="yTableNAm"/>
              <w:rPr>
                <w:sz w:val="12"/>
                <w:szCs w:val="12"/>
              </w:rPr>
            </w:pPr>
            <w:r>
              <w:rPr>
                <w:sz w:val="12"/>
                <w:szCs w:val="12"/>
              </w:rPr>
              <w:t>100</w:t>
            </w:r>
          </w:p>
        </w:tc>
        <w:tc>
          <w:tcPr>
            <w:tcW w:w="358" w:type="dxa"/>
          </w:tcPr>
          <w:p>
            <w:pPr>
              <w:pStyle w:val="yTableNAm"/>
              <w:rPr>
                <w:sz w:val="12"/>
                <w:szCs w:val="12"/>
              </w:rPr>
            </w:pPr>
            <w:r>
              <w:rPr>
                <w:sz w:val="12"/>
                <w:szCs w:val="12"/>
              </w:rPr>
              <w:t>121</w:t>
            </w:r>
          </w:p>
        </w:tc>
        <w:tc>
          <w:tcPr>
            <w:tcW w:w="359" w:type="dxa"/>
          </w:tcPr>
          <w:p>
            <w:pPr>
              <w:pStyle w:val="yTableNAm"/>
              <w:rPr>
                <w:sz w:val="12"/>
                <w:szCs w:val="12"/>
              </w:rPr>
            </w:pPr>
            <w:r>
              <w:rPr>
                <w:sz w:val="12"/>
                <w:szCs w:val="12"/>
              </w:rPr>
              <w:t>144</w:t>
            </w:r>
          </w:p>
        </w:tc>
        <w:tc>
          <w:tcPr>
            <w:tcW w:w="358" w:type="dxa"/>
          </w:tcPr>
          <w:p>
            <w:pPr>
              <w:pStyle w:val="yTableNAm"/>
              <w:rPr>
                <w:sz w:val="12"/>
                <w:szCs w:val="12"/>
              </w:rPr>
            </w:pPr>
            <w:r>
              <w:rPr>
                <w:sz w:val="12"/>
                <w:szCs w:val="12"/>
              </w:rPr>
              <w:t>169</w:t>
            </w:r>
          </w:p>
        </w:tc>
        <w:tc>
          <w:tcPr>
            <w:tcW w:w="359" w:type="dxa"/>
          </w:tcPr>
          <w:p>
            <w:pPr>
              <w:pStyle w:val="yTableNAm"/>
              <w:rPr>
                <w:sz w:val="12"/>
                <w:szCs w:val="12"/>
              </w:rPr>
            </w:pPr>
            <w:r>
              <w:rPr>
                <w:sz w:val="12"/>
                <w:szCs w:val="12"/>
              </w:rPr>
              <w:t>196</w:t>
            </w:r>
          </w:p>
        </w:tc>
        <w:tc>
          <w:tcPr>
            <w:tcW w:w="359" w:type="dxa"/>
          </w:tcPr>
          <w:p>
            <w:pPr>
              <w:pStyle w:val="yTableNAm"/>
              <w:rPr>
                <w:sz w:val="12"/>
                <w:szCs w:val="12"/>
              </w:rPr>
            </w:pPr>
            <w:r>
              <w:rPr>
                <w:sz w:val="12"/>
                <w:szCs w:val="12"/>
              </w:rPr>
              <w:t>225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105</w:t>
            </w:r>
          </w:p>
        </w:tc>
        <w:tc>
          <w:tcPr>
            <w:tcW w:w="358" w:type="dxa"/>
          </w:tcPr>
          <w:p>
            <w:pPr>
              <w:pStyle w:val="yTableNAm"/>
              <w:rPr>
                <w:sz w:val="12"/>
                <w:szCs w:val="12"/>
              </w:rPr>
            </w:pPr>
            <w:r>
              <w:rPr>
                <w:sz w:val="12"/>
                <w:szCs w:val="12"/>
              </w:rPr>
              <w:t>168</w:t>
            </w:r>
          </w:p>
        </w:tc>
        <w:tc>
          <w:tcPr>
            <w:tcW w:w="359" w:type="dxa"/>
          </w:tcPr>
          <w:p>
            <w:pPr>
              <w:pStyle w:val="yTableNAm"/>
              <w:rPr>
                <w:sz w:val="12"/>
                <w:szCs w:val="12"/>
              </w:rPr>
            </w:pPr>
            <w:r>
              <w:rPr>
                <w:sz w:val="12"/>
                <w:szCs w:val="12"/>
              </w:rPr>
              <w:t>252</w:t>
            </w:r>
          </w:p>
        </w:tc>
        <w:tc>
          <w:tcPr>
            <w:tcW w:w="358" w:type="dxa"/>
          </w:tcPr>
          <w:p>
            <w:pPr>
              <w:pStyle w:val="yTableNAm"/>
              <w:rPr>
                <w:sz w:val="12"/>
                <w:szCs w:val="12"/>
              </w:rPr>
            </w:pPr>
            <w:r>
              <w:rPr>
                <w:sz w:val="12"/>
                <w:szCs w:val="12"/>
              </w:rPr>
              <w:t>360</w:t>
            </w:r>
          </w:p>
        </w:tc>
        <w:tc>
          <w:tcPr>
            <w:tcW w:w="359" w:type="dxa"/>
          </w:tcPr>
          <w:p>
            <w:pPr>
              <w:pStyle w:val="yTableNAm"/>
              <w:rPr>
                <w:sz w:val="12"/>
                <w:szCs w:val="12"/>
              </w:rPr>
            </w:pPr>
            <w:r>
              <w:rPr>
                <w:sz w:val="12"/>
                <w:szCs w:val="12"/>
              </w:rPr>
              <w:t>495</w:t>
            </w:r>
          </w:p>
        </w:tc>
        <w:tc>
          <w:tcPr>
            <w:tcW w:w="358" w:type="dxa"/>
          </w:tcPr>
          <w:p>
            <w:pPr>
              <w:pStyle w:val="yTableNAm"/>
              <w:rPr>
                <w:sz w:val="12"/>
                <w:szCs w:val="12"/>
              </w:rPr>
            </w:pPr>
            <w:r>
              <w:rPr>
                <w:sz w:val="12"/>
                <w:szCs w:val="12"/>
              </w:rPr>
              <w:t>660</w:t>
            </w:r>
          </w:p>
        </w:tc>
        <w:tc>
          <w:tcPr>
            <w:tcW w:w="359" w:type="dxa"/>
          </w:tcPr>
          <w:p>
            <w:pPr>
              <w:pStyle w:val="yTableNAm"/>
              <w:rPr>
                <w:sz w:val="12"/>
                <w:szCs w:val="12"/>
              </w:rPr>
            </w:pPr>
            <w:r>
              <w:rPr>
                <w:sz w:val="12"/>
                <w:szCs w:val="12"/>
              </w:rPr>
              <w:t>858</w:t>
            </w:r>
          </w:p>
        </w:tc>
        <w:tc>
          <w:tcPr>
            <w:tcW w:w="358" w:type="dxa"/>
          </w:tcPr>
          <w:p>
            <w:pPr>
              <w:pStyle w:val="yTableNAm"/>
              <w:rPr>
                <w:sz w:val="12"/>
                <w:szCs w:val="12"/>
              </w:rPr>
            </w:pPr>
            <w:r>
              <w:rPr>
                <w:sz w:val="12"/>
                <w:szCs w:val="12"/>
              </w:rPr>
              <w:t>1092</w:t>
            </w:r>
          </w:p>
        </w:tc>
        <w:tc>
          <w:tcPr>
            <w:tcW w:w="359" w:type="dxa"/>
          </w:tcPr>
          <w:p>
            <w:pPr>
              <w:pStyle w:val="yTableNAm"/>
              <w:rPr>
                <w:sz w:val="12"/>
                <w:szCs w:val="12"/>
              </w:rPr>
            </w:pPr>
            <w:r>
              <w:rPr>
                <w:sz w:val="12"/>
                <w:szCs w:val="12"/>
              </w:rPr>
              <w:t>1365</w:t>
            </w:r>
          </w:p>
        </w:tc>
        <w:tc>
          <w:tcPr>
            <w:tcW w:w="359" w:type="dxa"/>
          </w:tcPr>
          <w:p>
            <w:pPr>
              <w:pStyle w:val="yTableNAm"/>
              <w:rPr>
                <w:sz w:val="12"/>
                <w:szCs w:val="12"/>
              </w:rPr>
            </w:pPr>
            <w:r>
              <w:rPr>
                <w:sz w:val="12"/>
                <w:szCs w:val="12"/>
              </w:rPr>
              <w:t>1680</w:t>
            </w:r>
          </w:p>
        </w:tc>
      </w:tr>
      <w:tr>
        <w:tblPrEx>
          <w:tblCellMar>
            <w:left w:w="0" w:type="dxa"/>
            <w:right w:w="0" w:type="dxa"/>
          </w:tblCellMar>
        </w:tblPrEx>
        <w:tc>
          <w:tcPr>
            <w:tcW w:w="851"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t>703</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r>
              <w:rPr>
                <w:sz w:val="12"/>
                <w:szCs w:val="12"/>
              </w:rPr>
              <w:t>Three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t>73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4</w:t>
            </w:r>
          </w:p>
        </w:tc>
        <w:tc>
          <w:tcPr>
            <w:tcW w:w="358" w:type="dxa"/>
          </w:tcPr>
          <w:p>
            <w:pPr>
              <w:pStyle w:val="yTableNAm"/>
              <w:rPr>
                <w:sz w:val="12"/>
                <w:szCs w:val="12"/>
              </w:rPr>
            </w:pPr>
            <w:r>
              <w:rPr>
                <w:sz w:val="12"/>
                <w:szCs w:val="12"/>
              </w:rPr>
              <w:t>148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36</w:t>
            </w:r>
          </w:p>
        </w:tc>
        <w:tc>
          <w:tcPr>
            <w:tcW w:w="358" w:type="dxa"/>
          </w:tcPr>
          <w:p>
            <w:pPr>
              <w:pStyle w:val="yTableNAm"/>
              <w:rPr>
                <w:sz w:val="12"/>
                <w:szCs w:val="12"/>
              </w:rPr>
            </w:pPr>
            <w:r>
              <w:rPr>
                <w:sz w:val="12"/>
                <w:szCs w:val="12"/>
              </w:rPr>
              <w:t>666</w:t>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14</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55</w:t>
            </w:r>
          </w:p>
        </w:tc>
        <w:tc>
          <w:tcPr>
            <w:tcW w:w="359" w:type="dxa"/>
            <w:gridSpan w:val="2"/>
          </w:tcPr>
          <w:p>
            <w:pPr>
              <w:pStyle w:val="yTableNAm"/>
              <w:rPr>
                <w:sz w:val="12"/>
                <w:szCs w:val="12"/>
              </w:rPr>
            </w:pPr>
            <w:r>
              <w:rPr>
                <w:sz w:val="12"/>
                <w:szCs w:val="12"/>
              </w:rPr>
              <w:t>91</w:t>
            </w:r>
          </w:p>
        </w:tc>
        <w:tc>
          <w:tcPr>
            <w:tcW w:w="358" w:type="dxa"/>
          </w:tcPr>
          <w:p>
            <w:pPr>
              <w:pStyle w:val="yTableNAm"/>
              <w:rPr>
                <w:sz w:val="12"/>
                <w:szCs w:val="12"/>
              </w:rPr>
            </w:pPr>
            <w:r>
              <w:rPr>
                <w:sz w:val="12"/>
                <w:szCs w:val="12"/>
              </w:rPr>
              <w:t>140</w:t>
            </w:r>
          </w:p>
        </w:tc>
        <w:tc>
          <w:tcPr>
            <w:tcW w:w="359" w:type="dxa"/>
          </w:tcPr>
          <w:p>
            <w:pPr>
              <w:pStyle w:val="yTableNAm"/>
              <w:rPr>
                <w:sz w:val="12"/>
                <w:szCs w:val="12"/>
              </w:rPr>
            </w:pPr>
            <w:r>
              <w:rPr>
                <w:sz w:val="12"/>
                <w:szCs w:val="12"/>
              </w:rPr>
              <w:t>204</w:t>
            </w:r>
          </w:p>
        </w:tc>
        <w:tc>
          <w:tcPr>
            <w:tcW w:w="358" w:type="dxa"/>
          </w:tcPr>
          <w:p>
            <w:pPr>
              <w:pStyle w:val="yTableNAm"/>
              <w:rPr>
                <w:sz w:val="12"/>
                <w:szCs w:val="12"/>
              </w:rPr>
            </w:pPr>
            <w:r>
              <w:rPr>
                <w:sz w:val="12"/>
                <w:szCs w:val="12"/>
              </w:rPr>
              <w:t>285</w:t>
            </w:r>
          </w:p>
        </w:tc>
        <w:tc>
          <w:tcPr>
            <w:tcW w:w="359" w:type="dxa"/>
          </w:tcPr>
          <w:p>
            <w:pPr>
              <w:pStyle w:val="yTableNAm"/>
              <w:rPr>
                <w:sz w:val="12"/>
                <w:szCs w:val="12"/>
              </w:rPr>
            </w:pPr>
            <w:r>
              <w:rPr>
                <w:sz w:val="12"/>
                <w:szCs w:val="12"/>
              </w:rPr>
              <w:t>385</w:t>
            </w:r>
          </w:p>
        </w:tc>
        <w:tc>
          <w:tcPr>
            <w:tcW w:w="358" w:type="dxa"/>
          </w:tcPr>
          <w:p>
            <w:pPr>
              <w:pStyle w:val="yTableNAm"/>
              <w:rPr>
                <w:sz w:val="12"/>
                <w:szCs w:val="12"/>
              </w:rPr>
            </w:pPr>
            <w:r>
              <w:rPr>
                <w:sz w:val="12"/>
                <w:szCs w:val="12"/>
              </w:rPr>
              <w:t>506</w:t>
            </w:r>
          </w:p>
        </w:tc>
        <w:tc>
          <w:tcPr>
            <w:tcW w:w="359" w:type="dxa"/>
          </w:tcPr>
          <w:p>
            <w:pPr>
              <w:pStyle w:val="yTableNAm"/>
              <w:rPr>
                <w:sz w:val="12"/>
                <w:szCs w:val="12"/>
              </w:rPr>
            </w:pPr>
            <w:r>
              <w:rPr>
                <w:sz w:val="12"/>
                <w:szCs w:val="12"/>
              </w:rPr>
              <w:t>650</w:t>
            </w:r>
          </w:p>
        </w:tc>
        <w:tc>
          <w:tcPr>
            <w:tcW w:w="358" w:type="dxa"/>
          </w:tcPr>
          <w:p>
            <w:pPr>
              <w:pStyle w:val="yTableNAm"/>
              <w:rPr>
                <w:sz w:val="12"/>
                <w:szCs w:val="12"/>
              </w:rPr>
            </w:pPr>
            <w:r>
              <w:rPr>
                <w:sz w:val="12"/>
                <w:szCs w:val="12"/>
              </w:rPr>
              <w:t>819</w:t>
            </w:r>
          </w:p>
        </w:tc>
        <w:tc>
          <w:tcPr>
            <w:tcW w:w="359" w:type="dxa"/>
          </w:tcPr>
          <w:p>
            <w:pPr>
              <w:pStyle w:val="yTableNAm"/>
              <w:rPr>
                <w:sz w:val="12"/>
                <w:szCs w:val="12"/>
              </w:rPr>
            </w:pPr>
            <w:r>
              <w:rPr>
                <w:sz w:val="12"/>
                <w:szCs w:val="12"/>
              </w:rPr>
              <w:t>1015</w:t>
            </w:r>
          </w:p>
        </w:tc>
        <w:tc>
          <w:tcPr>
            <w:tcW w:w="359" w:type="dxa"/>
          </w:tcPr>
          <w:p>
            <w:pPr>
              <w:pStyle w:val="yTableNAm"/>
              <w:rPr>
                <w:sz w:val="12"/>
                <w:szCs w:val="12"/>
              </w:rPr>
            </w:pPr>
            <w:r>
              <w:rPr>
                <w:sz w:val="12"/>
                <w:szCs w:val="12"/>
              </w:rPr>
              <w:t>1240</w:t>
            </w:r>
          </w:p>
        </w:tc>
      </w:tr>
      <w:tr>
        <w:tblPrEx>
          <w:tblCellMar>
            <w:left w:w="0" w:type="dxa"/>
            <w:right w:w="0" w:type="dxa"/>
          </w:tblCellMar>
        </w:tblPrEx>
        <w:tc>
          <w:tcPr>
            <w:tcW w:w="851"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4</w:t>
            </w:r>
          </w:p>
        </w:tc>
        <w:tc>
          <w:tcPr>
            <w:tcW w:w="358" w:type="dxa"/>
          </w:tcPr>
          <w:p>
            <w:pPr>
              <w:pStyle w:val="yTableNAm"/>
              <w:rPr>
                <w:sz w:val="12"/>
                <w:szCs w:val="12"/>
              </w:rPr>
            </w:pPr>
            <w:r>
              <w:rPr>
                <w:sz w:val="12"/>
                <w:szCs w:val="12"/>
              </w:rPr>
              <w:t>148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40</w:t>
            </w:r>
          </w:p>
        </w:tc>
        <w:tc>
          <w:tcPr>
            <w:tcW w:w="358" w:type="dxa"/>
          </w:tcPr>
          <w:p>
            <w:pPr>
              <w:pStyle w:val="yTableNAm"/>
              <w:rPr>
                <w:sz w:val="12"/>
                <w:szCs w:val="12"/>
              </w:rPr>
            </w:pPr>
            <w:r>
              <w:rPr>
                <w:sz w:val="12"/>
                <w:szCs w:val="12"/>
              </w:rPr>
              <w:t>810</w:t>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35</w:t>
            </w:r>
          </w:p>
        </w:tc>
        <w:tc>
          <w:tcPr>
            <w:tcW w:w="359" w:type="dxa"/>
            <w:gridSpan w:val="2"/>
          </w:tcPr>
          <w:p>
            <w:pPr>
              <w:pStyle w:val="yTableNAm"/>
              <w:rPr>
                <w:sz w:val="12"/>
                <w:szCs w:val="12"/>
              </w:rPr>
            </w:pPr>
            <w:r>
              <w:rPr>
                <w:sz w:val="12"/>
                <w:szCs w:val="12"/>
              </w:rPr>
              <w:t>56</w:t>
            </w:r>
          </w:p>
        </w:tc>
        <w:tc>
          <w:tcPr>
            <w:tcW w:w="358" w:type="dxa"/>
          </w:tcPr>
          <w:p>
            <w:pPr>
              <w:pStyle w:val="yTableNAm"/>
              <w:rPr>
                <w:sz w:val="12"/>
                <w:szCs w:val="12"/>
              </w:rPr>
            </w:pPr>
            <w:r>
              <w:rPr>
                <w:sz w:val="12"/>
                <w:szCs w:val="12"/>
              </w:rPr>
              <w:t>84</w:t>
            </w:r>
          </w:p>
        </w:tc>
        <w:tc>
          <w:tcPr>
            <w:tcW w:w="359" w:type="dxa"/>
          </w:tcPr>
          <w:p>
            <w:pPr>
              <w:pStyle w:val="yTableNAm"/>
              <w:rPr>
                <w:sz w:val="12"/>
                <w:szCs w:val="12"/>
              </w:rPr>
            </w:pPr>
            <w:r>
              <w:rPr>
                <w:sz w:val="12"/>
                <w:szCs w:val="12"/>
              </w:rPr>
              <w:t>120</w:t>
            </w:r>
          </w:p>
        </w:tc>
        <w:tc>
          <w:tcPr>
            <w:tcW w:w="358" w:type="dxa"/>
          </w:tcPr>
          <w:p>
            <w:pPr>
              <w:pStyle w:val="yTableNAm"/>
              <w:rPr>
                <w:sz w:val="12"/>
                <w:szCs w:val="12"/>
              </w:rPr>
            </w:pPr>
            <w:r>
              <w:rPr>
                <w:sz w:val="12"/>
                <w:szCs w:val="12"/>
              </w:rPr>
              <w:t>165</w:t>
            </w:r>
          </w:p>
        </w:tc>
        <w:tc>
          <w:tcPr>
            <w:tcW w:w="359" w:type="dxa"/>
          </w:tcPr>
          <w:p>
            <w:pPr>
              <w:pStyle w:val="yTableNAm"/>
              <w:rPr>
                <w:sz w:val="12"/>
                <w:szCs w:val="12"/>
              </w:rPr>
            </w:pPr>
            <w:r>
              <w:rPr>
                <w:sz w:val="12"/>
                <w:szCs w:val="12"/>
              </w:rPr>
              <w:t>220</w:t>
            </w:r>
          </w:p>
        </w:tc>
        <w:tc>
          <w:tcPr>
            <w:tcW w:w="358" w:type="dxa"/>
          </w:tcPr>
          <w:p>
            <w:pPr>
              <w:pStyle w:val="yTableNAm"/>
              <w:rPr>
                <w:sz w:val="12"/>
                <w:szCs w:val="12"/>
              </w:rPr>
            </w:pPr>
            <w:r>
              <w:rPr>
                <w:sz w:val="12"/>
                <w:szCs w:val="12"/>
              </w:rPr>
              <w:t>286</w:t>
            </w:r>
          </w:p>
        </w:tc>
        <w:tc>
          <w:tcPr>
            <w:tcW w:w="359" w:type="dxa"/>
          </w:tcPr>
          <w:p>
            <w:pPr>
              <w:pStyle w:val="yTableNAm"/>
              <w:rPr>
                <w:sz w:val="12"/>
                <w:szCs w:val="12"/>
              </w:rPr>
            </w:pPr>
            <w:r>
              <w:rPr>
                <w:sz w:val="12"/>
                <w:szCs w:val="12"/>
              </w:rPr>
              <w:t>364</w:t>
            </w:r>
          </w:p>
        </w:tc>
        <w:tc>
          <w:tcPr>
            <w:tcW w:w="358"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560</w:t>
            </w:r>
          </w:p>
        </w:tc>
        <w:tc>
          <w:tcPr>
            <w:tcW w:w="359" w:type="dxa"/>
          </w:tcPr>
          <w:p>
            <w:pPr>
              <w:pStyle w:val="yTableNAm"/>
              <w:rPr>
                <w:sz w:val="12"/>
                <w:szCs w:val="12"/>
              </w:rPr>
            </w:pPr>
            <w:r>
              <w:rPr>
                <w:sz w:val="12"/>
                <w:szCs w:val="12"/>
              </w:rPr>
              <w:t>680</w:t>
            </w:r>
          </w:p>
        </w:tc>
      </w:tr>
      <w:tr>
        <w:tblPrEx>
          <w:tblCellMar>
            <w:left w:w="0" w:type="dxa"/>
            <w:right w:w="0" w:type="dxa"/>
          </w:tblCellMar>
        </w:tblPrEx>
        <w:tc>
          <w:tcPr>
            <w:tcW w:w="851"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t>40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6</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single" w:sz="4" w:space="0" w:color="auto"/>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432" w:name="_Toc317510764"/>
      <w:bookmarkStart w:id="433" w:name="_Toc317511308"/>
      <w:bookmarkStart w:id="434" w:name="_Toc317578455"/>
      <w:r>
        <w:rPr>
          <w:rStyle w:val="CharSchNo"/>
        </w:rPr>
        <w:t>Schedule 4</w:t>
      </w:r>
      <w:r>
        <w:t> — </w:t>
      </w:r>
      <w:bookmarkStart w:id="435" w:name="_Toc187816403"/>
      <w:bookmarkStart w:id="436" w:name="_Toc196013937"/>
      <w:bookmarkStart w:id="437" w:name="_Toc197406918"/>
      <w:r>
        <w:rPr>
          <w:rStyle w:val="CharSchText"/>
        </w:rPr>
        <w:t>Summary of parameters within which Monday or Wednesday lotto is conducted</w:t>
      </w:r>
      <w:bookmarkEnd w:id="423"/>
      <w:bookmarkEnd w:id="424"/>
      <w:bookmarkEnd w:id="425"/>
      <w:bookmarkEnd w:id="426"/>
      <w:bookmarkEnd w:id="427"/>
      <w:bookmarkEnd w:id="428"/>
      <w:bookmarkEnd w:id="429"/>
      <w:bookmarkEnd w:id="430"/>
      <w:bookmarkEnd w:id="432"/>
      <w:bookmarkEnd w:id="433"/>
      <w:bookmarkEnd w:id="434"/>
      <w:bookmarkEnd w:id="435"/>
      <w:bookmarkEnd w:id="436"/>
      <w:bookmarkEnd w:id="437"/>
    </w:p>
    <w:p>
      <w:pPr>
        <w:pStyle w:val="yFootnoteheading"/>
        <w:spacing w:after="120"/>
      </w:pPr>
      <w:r>
        <w:tab/>
        <w:t>[Heading inserted in Gazette 6 Jun 2008 p. 2320.]</w:t>
      </w:r>
    </w:p>
    <w:p>
      <w:pPr>
        <w:pStyle w:val="yHeading3"/>
      </w:pPr>
      <w:bookmarkStart w:id="438" w:name="_Toc317510765"/>
      <w:bookmarkStart w:id="439" w:name="_Toc317511309"/>
      <w:bookmarkStart w:id="440" w:name="_Toc317578456"/>
      <w:r>
        <w:rPr>
          <w:rStyle w:val="CharSDivNo"/>
        </w:rPr>
        <w:t>Part 1</w:t>
      </w:r>
      <w:r>
        <w:t> — </w:t>
      </w:r>
      <w:r>
        <w:rPr>
          <w:rStyle w:val="CharSDivText"/>
        </w:rPr>
        <w:t>Up to draw 3115</w:t>
      </w:r>
      <w:bookmarkEnd w:id="438"/>
      <w:bookmarkEnd w:id="439"/>
      <w:bookmarkEnd w:id="440"/>
    </w:p>
    <w:p>
      <w:pPr>
        <w:pStyle w:val="yFootnoteheading"/>
        <w:spacing w:after="120"/>
      </w:pPr>
      <w:r>
        <w:tab/>
        <w:t>[Heading inserted in Gazette 27 Jan 2012 p. 575.]</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[Part 1, formerly Schedule 4, inserted in Gazette 6 Jun 2008 p. 2320-1; amended in Gazette 3 Oct 2008 p. 4497; renumbered as Part 1 in Gazette 27 Jan 2012 p. 575.]</w:t>
      </w:r>
    </w:p>
    <w:p>
      <w:pPr>
        <w:pStyle w:val="yHeading3"/>
      </w:pPr>
      <w:bookmarkStart w:id="441" w:name="_Toc317510766"/>
      <w:bookmarkStart w:id="442" w:name="_Toc317511310"/>
      <w:bookmarkStart w:id="443" w:name="_Toc317578457"/>
      <w:r>
        <w:rPr>
          <w:rStyle w:val="CharSDivNo"/>
        </w:rPr>
        <w:t>Part 2</w:t>
      </w:r>
      <w:r>
        <w:t> — </w:t>
      </w:r>
      <w:r>
        <w:rPr>
          <w:rStyle w:val="CharSDivText"/>
        </w:rPr>
        <w:t>On and after draw 3116</w:t>
      </w:r>
      <w:bookmarkEnd w:id="441"/>
      <w:bookmarkEnd w:id="442"/>
      <w:bookmarkEnd w:id="443"/>
    </w:p>
    <w:p>
      <w:pPr>
        <w:pStyle w:val="yFootnoteheading"/>
        <w:spacing w:after="120"/>
      </w:pPr>
      <w:r>
        <w:tab/>
        <w:t>[Heading inserted in Gazette 27 Jan 2012 p. 575.]</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rHeight w:val="425"/>
        </w:trPr>
        <w:tc>
          <w:tcPr>
            <w:tcW w:w="4678" w:type="dxa"/>
          </w:tcPr>
          <w:p>
            <w:pPr>
              <w:pStyle w:val="yTableNAm"/>
            </w:pPr>
            <w:r>
              <w:t>Unit cost for a Monday or Wednesday lotto draw</w:t>
            </w:r>
          </w:p>
        </w:tc>
        <w:tc>
          <w:tcPr>
            <w:tcW w:w="2126" w:type="dxa"/>
          </w:tcPr>
          <w:p>
            <w:pPr>
              <w:pStyle w:val="yTableNAm"/>
            </w:pPr>
            <w:r>
              <w:t>$0.50 (+ a 9% agent’s component)</w:t>
            </w:r>
          </w:p>
        </w:tc>
      </w:tr>
      <w:tr>
        <w:tc>
          <w:tcPr>
            <w:tcW w:w="4678" w:type="dxa"/>
          </w:tcPr>
          <w:p>
            <w:pPr>
              <w:pStyle w:val="yTableNAm"/>
            </w:pPr>
            <w:r>
              <w:t>Prize fund — % of subscriptions</w:t>
            </w:r>
          </w:p>
        </w:tc>
        <w:tc>
          <w:tcPr>
            <w:tcW w:w="2126" w:type="dxa"/>
          </w:tcPr>
          <w:p>
            <w:pPr>
              <w:pStyle w:val="yTableNAm"/>
            </w:pPr>
            <w:r>
              <w:t>60.0%</w:t>
            </w:r>
          </w:p>
        </w:tc>
      </w:tr>
      <w:tr>
        <w:tc>
          <w:tcPr>
            <w:tcW w:w="4678" w:type="dxa"/>
          </w:tcPr>
          <w:p>
            <w:pPr>
              <w:pStyle w:val="yTableNAm"/>
            </w:pPr>
            <w:r>
              <w:t>Prize pool — % of subscriptions</w:t>
            </w:r>
          </w:p>
        </w:tc>
        <w:tc>
          <w:tcPr>
            <w:tcW w:w="2126" w:type="dxa"/>
          </w:tcPr>
          <w:p>
            <w:pPr>
              <w:pStyle w:val="yTableNAm"/>
            </w:pPr>
            <w:r>
              <w:t>no less than 33.0%</w:t>
            </w:r>
          </w:p>
        </w:tc>
      </w:tr>
      <w:tr>
        <w:tc>
          <w:tcPr>
            <w:tcW w:w="4678" w:type="dxa"/>
          </w:tcPr>
          <w:p>
            <w:pPr>
              <w:pStyle w:val="yTableNAm"/>
            </w:pPr>
            <w:r>
              <w:t>Prize reserve fund — % of subscriptions</w:t>
            </w:r>
          </w:p>
        </w:tc>
        <w:tc>
          <w:tcPr>
            <w:tcW w:w="2126" w:type="dxa"/>
          </w:tcPr>
          <w:p>
            <w:pPr>
              <w:pStyle w:val="yTableNAm"/>
            </w:pPr>
            <w:r>
              <w:t>balance of prize fund after prize pool</w:t>
            </w:r>
            <w:r>
              <w:br/>
              <w:t>(up to 27.0%)</w:t>
            </w:r>
          </w:p>
        </w:tc>
      </w:tr>
      <w:tr>
        <w:tc>
          <w:tcPr>
            <w:tcW w:w="4678" w:type="dxa"/>
          </w:tcPr>
          <w:p>
            <w:pPr>
              <w:pStyle w:val="yTableNAm"/>
            </w:pPr>
            <w:r>
              <w:t>Number of divisions</w:t>
            </w:r>
          </w:p>
        </w:tc>
        <w:tc>
          <w:tcPr>
            <w:tcW w:w="2126" w:type="dxa"/>
          </w:tcPr>
          <w:p>
            <w:pPr>
              <w:pStyle w:val="yTableNAm"/>
            </w:pPr>
            <w:r>
              <w:t>6</w:t>
            </w:r>
          </w:p>
        </w:tc>
      </w:tr>
      <w:tr>
        <w:tc>
          <w:tcPr>
            <w:tcW w:w="4678" w:type="dxa"/>
          </w:tcPr>
          <w:p>
            <w:pPr>
              <w:pStyle w:val="yTableNAm"/>
            </w:pPr>
            <w:r>
              <w:t>Winning numbers drawn</w:t>
            </w:r>
          </w:p>
        </w:tc>
        <w:tc>
          <w:tcPr>
            <w:tcW w:w="2126" w:type="dxa"/>
          </w:tcPr>
          <w:p>
            <w:pPr>
              <w:pStyle w:val="yTableNAm"/>
            </w:pPr>
            <w:r>
              <w:t>6</w:t>
            </w:r>
          </w:p>
        </w:tc>
      </w:tr>
      <w:tr>
        <w:tc>
          <w:tcPr>
            <w:tcW w:w="4678" w:type="dxa"/>
          </w:tcPr>
          <w:p>
            <w:pPr>
              <w:pStyle w:val="yTableNAm"/>
            </w:pPr>
            <w:r>
              <w:t>Supplementary numbers drawn</w:t>
            </w:r>
          </w:p>
        </w:tc>
        <w:tc>
          <w:tcPr>
            <w:tcW w:w="2126" w:type="dxa"/>
          </w:tcPr>
          <w:p>
            <w:pPr>
              <w:pStyle w:val="yTableNAm"/>
            </w:pPr>
            <w:r>
              <w:t>2</w:t>
            </w:r>
          </w:p>
        </w:tc>
      </w:tr>
      <w:tr>
        <w:tc>
          <w:tcPr>
            <w:tcW w:w="4678" w:type="dxa"/>
          </w:tcPr>
          <w:p>
            <w:pPr>
              <w:pStyle w:val="yTableNAm"/>
            </w:pPr>
            <w:r>
              <w:t>Forecast range </w:t>
            </w:r>
          </w:p>
        </w:tc>
        <w:tc>
          <w:tcPr>
            <w:tcW w:w="2126" w:type="dxa"/>
          </w:tcPr>
          <w:p>
            <w:pPr>
              <w:pStyle w:val="yTableNAm"/>
            </w:pPr>
            <w:r>
              <w:t>1 to 45 inclusive</w:t>
            </w:r>
          </w:p>
        </w:tc>
      </w:tr>
      <w:tr>
        <w:tc>
          <w:tcPr>
            <w:tcW w:w="4678"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126"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678" w:type="dxa"/>
          </w:tcPr>
          <w:p>
            <w:pPr>
              <w:pStyle w:val="yTableNAm"/>
            </w:pPr>
            <w:r>
              <w:t>Systems range</w:t>
            </w:r>
          </w:p>
        </w:tc>
        <w:tc>
          <w:tcPr>
            <w:tcW w:w="2126" w:type="dxa"/>
          </w:tcPr>
          <w:p>
            <w:pPr>
              <w:pStyle w:val="yTableNAm"/>
            </w:pPr>
            <w:r>
              <w:t>4</w:t>
            </w:r>
            <w:r>
              <w:noBreakHyphen/>
              <w:t>5/7</w:t>
            </w:r>
            <w:r>
              <w:noBreakHyphen/>
              <w:t>20 inclusive</w:t>
            </w:r>
          </w:p>
        </w:tc>
      </w:tr>
      <w:tr>
        <w:tc>
          <w:tcPr>
            <w:tcW w:w="4678" w:type="dxa"/>
          </w:tcPr>
          <w:p>
            <w:pPr>
              <w:pStyle w:val="yTableNAm"/>
            </w:pPr>
            <w:r>
              <w:t>Multiweek options (</w:t>
            </w:r>
            <w:r>
              <w:rPr>
                <w:i/>
                <w:iCs/>
              </w:rPr>
              <w:t>if available</w:t>
            </w:r>
            <w:r>
              <w:t>)</w:t>
            </w:r>
          </w:p>
        </w:tc>
        <w:tc>
          <w:tcPr>
            <w:tcW w:w="2126" w:type="dxa"/>
          </w:tcPr>
          <w:p>
            <w:pPr>
              <w:pStyle w:val="yTableNAm"/>
            </w:pPr>
            <w:r>
              <w:t>2, 5 or 10 weeks</w:t>
            </w:r>
          </w:p>
        </w:tc>
      </w:tr>
      <w:tr>
        <w:tc>
          <w:tcPr>
            <w:tcW w:w="4678" w:type="dxa"/>
          </w:tcPr>
          <w:p>
            <w:pPr>
              <w:pStyle w:val="yTableNAm"/>
            </w:pPr>
            <w:r>
              <w:t>Advance sales (maximum) (</w:t>
            </w:r>
            <w:r>
              <w:rPr>
                <w:i/>
                <w:iCs/>
              </w:rPr>
              <w:t>if available</w:t>
            </w:r>
            <w:r>
              <w:t>)</w:t>
            </w:r>
          </w:p>
        </w:tc>
        <w:tc>
          <w:tcPr>
            <w:tcW w:w="2126" w:type="dxa"/>
          </w:tcPr>
          <w:p>
            <w:pPr>
              <w:pStyle w:val="yTableNAm"/>
            </w:pPr>
            <w:r>
              <w:t>10 weeks</w:t>
            </w:r>
          </w:p>
        </w:tc>
      </w:tr>
      <w:tr>
        <w:tc>
          <w:tcPr>
            <w:tcW w:w="4678" w:type="dxa"/>
          </w:tcPr>
          <w:p>
            <w:pPr>
              <w:pStyle w:val="yTableNAm"/>
            </w:pPr>
            <w:r>
              <w:t>Games per playslip (minimum)</w:t>
            </w:r>
          </w:p>
        </w:tc>
        <w:tc>
          <w:tcPr>
            <w:tcW w:w="2126" w:type="dxa"/>
          </w:tcPr>
          <w:p>
            <w:pPr>
              <w:pStyle w:val="yTableNAm"/>
            </w:pPr>
            <w:r>
              <w:t>4</w:t>
            </w:r>
          </w:p>
        </w:tc>
      </w:tr>
      <w:tr>
        <w:tc>
          <w:tcPr>
            <w:tcW w:w="4678" w:type="dxa"/>
          </w:tcPr>
          <w:p>
            <w:pPr>
              <w:pStyle w:val="yTableNAm"/>
            </w:pPr>
            <w:r>
              <w:t xml:space="preserve">Systems entries per playslip (maximum) </w:t>
            </w:r>
          </w:p>
        </w:tc>
        <w:tc>
          <w:tcPr>
            <w:tcW w:w="2126" w:type="dxa"/>
          </w:tcPr>
          <w:p>
            <w:pPr>
              <w:pStyle w:val="yTableNAm"/>
            </w:pPr>
            <w:r>
              <w:t>18</w:t>
            </w:r>
            <w:r>
              <w:br/>
              <w:t>(subject to maximum aggregate entry cost)</w:t>
            </w:r>
          </w:p>
        </w:tc>
      </w:tr>
      <w:tr>
        <w:tc>
          <w:tcPr>
            <w:tcW w:w="4678" w:type="dxa"/>
          </w:tcPr>
          <w:p>
            <w:pPr>
              <w:pStyle w:val="yTableNAm"/>
            </w:pPr>
            <w:r>
              <w:t>Games per playslip (maximum)</w:t>
            </w:r>
          </w:p>
        </w:tc>
        <w:tc>
          <w:tcPr>
            <w:tcW w:w="2126" w:type="dxa"/>
          </w:tcPr>
          <w:p>
            <w:pPr>
              <w:pStyle w:val="yTableNAm"/>
            </w:pPr>
            <w:r>
              <w:t>18</w:t>
            </w:r>
          </w:p>
        </w:tc>
      </w:tr>
      <w:tr>
        <w:tc>
          <w:tcPr>
            <w:tcW w:w="4678" w:type="dxa"/>
          </w:tcPr>
          <w:p>
            <w:pPr>
              <w:pStyle w:val="yTableNAm"/>
            </w:pPr>
            <w:r>
              <w:t>Games per oral request (default)</w:t>
            </w:r>
          </w:p>
        </w:tc>
        <w:tc>
          <w:tcPr>
            <w:tcW w:w="2126" w:type="dxa"/>
          </w:tcPr>
          <w:p>
            <w:pPr>
              <w:pStyle w:val="yTableNAm"/>
            </w:pPr>
            <w:r>
              <w:t>12, 18, 25, 30 or 50</w:t>
            </w:r>
          </w:p>
        </w:tc>
      </w:tr>
      <w:tr>
        <w:tc>
          <w:tcPr>
            <w:tcW w:w="4678" w:type="dxa"/>
          </w:tcPr>
          <w:p>
            <w:pPr>
              <w:pStyle w:val="yTableNAm"/>
            </w:pPr>
            <w:r>
              <w:t>Games per oral request (</w:t>
            </w:r>
            <w:r>
              <w:rPr>
                <w:i/>
                <w:iCs/>
              </w:rPr>
              <w:t>if available</w:t>
            </w:r>
            <w:r>
              <w:t>)</w:t>
            </w:r>
          </w:p>
        </w:tc>
        <w:tc>
          <w:tcPr>
            <w:tcW w:w="2126" w:type="dxa"/>
          </w:tcPr>
          <w:p>
            <w:pPr>
              <w:pStyle w:val="yTableNAm"/>
            </w:pPr>
            <w:r>
              <w:t>4 to 50</w:t>
            </w:r>
          </w:p>
        </w:tc>
      </w:tr>
      <w:tr>
        <w:tc>
          <w:tcPr>
            <w:tcW w:w="4678" w:type="dxa"/>
          </w:tcPr>
          <w:p>
            <w:pPr>
              <w:pStyle w:val="yTableNAm"/>
            </w:pPr>
            <w:r>
              <w:t>Syndicate entries may be purchased (</w:t>
            </w:r>
            <w:r>
              <w:rPr>
                <w:i/>
                <w:iCs/>
              </w:rPr>
              <w:t>if available</w:t>
            </w:r>
            <w:r>
              <w:t>)</w:t>
            </w:r>
          </w:p>
        </w:tc>
        <w:tc>
          <w:tcPr>
            <w:tcW w:w="2126" w:type="dxa"/>
          </w:tcPr>
          <w:p>
            <w:pPr>
              <w:pStyle w:val="yTableNAm"/>
            </w:pPr>
            <w:r>
              <w:t>(see Part 2A)</w:t>
            </w:r>
          </w:p>
        </w:tc>
      </w:tr>
      <w:tr>
        <w:tc>
          <w:tcPr>
            <w:tcW w:w="4678" w:type="dxa"/>
          </w:tcPr>
          <w:p>
            <w:pPr>
              <w:pStyle w:val="yTableNAm"/>
            </w:pPr>
            <w:r>
              <w:t>Systems entries per oral request</w:t>
            </w:r>
          </w:p>
        </w:tc>
        <w:tc>
          <w:tcPr>
            <w:tcW w:w="2126" w:type="dxa"/>
          </w:tcPr>
          <w:p>
            <w:pPr>
              <w:pStyle w:val="yTableNAm"/>
            </w:pPr>
            <w:r>
              <w:t>1</w:t>
            </w:r>
          </w:p>
        </w:tc>
      </w:tr>
      <w:tr>
        <w:tc>
          <w:tcPr>
            <w:tcW w:w="4678" w:type="dxa"/>
          </w:tcPr>
          <w:p>
            <w:pPr>
              <w:pStyle w:val="yTableNAm"/>
            </w:pPr>
            <w:r>
              <w:t>Prize payout period</w:t>
            </w:r>
          </w:p>
        </w:tc>
        <w:tc>
          <w:tcPr>
            <w:tcW w:w="2126" w:type="dxa"/>
          </w:tcPr>
          <w:p>
            <w:pPr>
              <w:pStyle w:val="yTableNAm"/>
            </w:pPr>
            <w:r>
              <w:t>12 months</w:t>
            </w:r>
          </w:p>
        </w:tc>
      </w:tr>
      <w:tr>
        <w:tc>
          <w:tcPr>
            <w:tcW w:w="4678" w:type="dxa"/>
          </w:tcPr>
          <w:p>
            <w:pPr>
              <w:pStyle w:val="yTableNAm"/>
            </w:pPr>
            <w:r>
              <w:t>Maximum aggregate entry cost</w:t>
            </w:r>
          </w:p>
        </w:tc>
        <w:tc>
          <w:tcPr>
            <w:tcW w:w="2126" w:type="dxa"/>
          </w:tcPr>
          <w:p>
            <w:pPr>
              <w:pStyle w:val="yTableNAm"/>
            </w:pPr>
            <w:r>
              <w:t>$100 000</w:t>
            </w:r>
          </w:p>
        </w:tc>
      </w:tr>
    </w:tbl>
    <w:p>
      <w:pPr>
        <w:pStyle w:val="yFootnotesection"/>
      </w:pPr>
      <w:r>
        <w:tab/>
        <w:t>[Part 2 inserted in Gazette 27 Jan 2012 p. 575</w:t>
      </w:r>
      <w:r>
        <w:noBreakHyphen/>
        <w:t>6.]</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44" w:name="_Toc133385347"/>
      <w:bookmarkStart w:id="445" w:name="_Toc147288435"/>
      <w:bookmarkStart w:id="446" w:name="_Toc170549152"/>
      <w:bookmarkStart w:id="447" w:name="_Toc170620905"/>
      <w:bookmarkStart w:id="448" w:name="_Toc170621055"/>
      <w:bookmarkStart w:id="449" w:name="_Toc200510486"/>
      <w:bookmarkStart w:id="450" w:name="_Toc210787583"/>
      <w:bookmarkStart w:id="451" w:name="_Toc222820843"/>
      <w:bookmarkStart w:id="452" w:name="_Toc222889202"/>
      <w:bookmarkStart w:id="453" w:name="_Toc224108827"/>
      <w:bookmarkStart w:id="454" w:name="_Toc256152956"/>
      <w:bookmarkStart w:id="455" w:name="_Toc277943327"/>
      <w:bookmarkStart w:id="456" w:name="_Toc315428735"/>
      <w:bookmarkStart w:id="457" w:name="_Toc317510767"/>
      <w:bookmarkStart w:id="458" w:name="_Toc317511311"/>
      <w:bookmarkStart w:id="459" w:name="_Toc317578458"/>
      <w:r>
        <w:t>Notes</w:t>
      </w:r>
      <w:bookmarkEnd w:id="431"/>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Subsection"/>
        <w:rPr>
          <w:snapToGrid w:val="0"/>
        </w:rPr>
      </w:pPr>
      <w:bookmarkStart w:id="460" w:name="_Toc70311430"/>
      <w:bookmarkStart w:id="461"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62" w:name="_Toc317578459"/>
      <w:bookmarkEnd w:id="460"/>
      <w:bookmarkEnd w:id="461"/>
      <w:r>
        <w:t>Compilation table</w:t>
      </w:r>
      <w:bookmarkEnd w:id="4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Pr>
          <w:p>
            <w:pPr>
              <w:pStyle w:val="nTable"/>
              <w:spacing w:after="40"/>
              <w:rPr>
                <w:sz w:val="19"/>
              </w:rPr>
            </w:pPr>
            <w:r>
              <w:rPr>
                <w:sz w:val="19"/>
              </w:rPr>
              <w:t>19 Nov 2010 p. 5720</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Lotteries Commission (Monday and Wednesday Lotto) Amendment Rules 2011</w:t>
            </w:r>
          </w:p>
        </w:tc>
        <w:tc>
          <w:tcPr>
            <w:tcW w:w="1276" w:type="dxa"/>
            <w:tcBorders>
              <w:bottom w:val="single" w:sz="4" w:space="0" w:color="auto"/>
            </w:tcBorders>
          </w:tcPr>
          <w:p>
            <w:pPr>
              <w:pStyle w:val="nTable"/>
              <w:spacing w:after="40"/>
              <w:rPr>
                <w:sz w:val="19"/>
              </w:rPr>
            </w:pPr>
            <w:r>
              <w:rPr>
                <w:sz w:val="19"/>
              </w:rPr>
              <w:t>27 Jan 2012 p. 569</w:t>
            </w:r>
            <w:r>
              <w:rPr>
                <w:sz w:val="19"/>
              </w:rPr>
              <w:noBreakHyphen/>
              <w:t>76</w:t>
            </w:r>
          </w:p>
        </w:tc>
        <w:tc>
          <w:tcPr>
            <w:tcW w:w="2693" w:type="dxa"/>
            <w:tcBorders>
              <w:bottom w:val="single" w:sz="4" w:space="0" w:color="auto"/>
            </w:tcBorders>
          </w:tcPr>
          <w:p>
            <w:pPr>
              <w:pStyle w:val="nTable"/>
              <w:spacing w:after="40"/>
              <w:rPr>
                <w:snapToGrid w:val="0"/>
                <w:spacing w:val="-2"/>
                <w:sz w:val="19"/>
                <w:lang w:val="en-US"/>
              </w:rPr>
            </w:pPr>
            <w:r>
              <w:rPr>
                <w:sz w:val="19"/>
              </w:rPr>
              <w:t>21 Feb 2012 (see r. 2)</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63" w:name="_Toc317510769"/>
      <w:bookmarkStart w:id="464" w:name="_Toc317511313"/>
      <w:bookmarkStart w:id="465" w:name="_Toc317578460"/>
      <w:r>
        <w:rPr>
          <w:sz w:val="28"/>
        </w:rPr>
        <w:t>Defined Terms</w:t>
      </w:r>
      <w:bookmarkEnd w:id="463"/>
      <w:bookmarkEnd w:id="464"/>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6" w:name="DefinedTerms"/>
      <w:bookmarkEnd w:id="466"/>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3(1), 3(2), 3(3), 10(9)</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validation period</w:t>
      </w:r>
      <w:r>
        <w:tab/>
        <w:t>3(2), 3(3)</w:t>
      </w:r>
    </w:p>
    <w:p>
      <w:pPr>
        <w:pStyle w:val="DefinedTerms"/>
      </w:pPr>
      <w:r>
        <w:t>Wednesday lotto</w:t>
      </w:r>
      <w:r>
        <w:tab/>
        <w:t>3(1)</w:t>
      </w:r>
    </w:p>
    <w:p>
      <w:pPr>
        <w:pStyle w:val="DefinedTerms"/>
      </w:pPr>
      <w:r>
        <w:t>winning number</w:t>
      </w:r>
      <w:r>
        <w:tab/>
        <w:t>3(2), 3(3)</w:t>
      </w:r>
    </w:p>
    <w:p/>
    <w:p>
      <w:p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Up to draw 3115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Up to draw 3115</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54"/>
    <w:docVar w:name="WAFER_20151208100354" w:val="RemoveTrackChanges"/>
    <w:docVar w:name="WAFER_20151208100354_GUID" w:val="95806d87-c220-4d90-8ed4-2f8061d6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 Id="rId43"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12086</Words>
  <Characters>49195</Characters>
  <Application>Microsoft Office Word</Application>
  <DocSecurity>0</DocSecurity>
  <Lines>4472</Lines>
  <Paragraphs>3604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Part 1 — Up to draw 3115</vt:lpstr>
      <vt:lpstr>        Part 2 — On and after draw 3116</vt:lpstr>
      <vt:lpstr>    Schedule 2 — System entries and game equivalents</vt:lpstr>
      <vt:lpstr>    Schedule 3 — System entry prize schedule</vt:lpstr>
      <vt:lpstr>        Part 1 — Up to draw 3115</vt:lpstr>
      <vt:lpstr>        Part 2 — On and after draw 3116</vt:lpstr>
      <vt:lpstr>    Schedule 4 — Summary of parameters within which Monday or Wednesday lotto is con</vt:lpstr>
      <vt:lpstr>        Part 1 — Up to draw 3115</vt:lpstr>
      <vt:lpstr>        Part 2 — On and after draw 3116</vt:lpstr>
      <vt:lpstr>    Notes</vt:lpstr>
      <vt:lpstr>    Defined Terms</vt:lpstr>
    </vt:vector>
  </TitlesOfParts>
  <Manager/>
  <Company/>
  <LinksUpToDate>false</LinksUpToDate>
  <CharactersWithSpaces>57677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2006 - 01-f0-03</dc:title>
  <dc:subject/>
  <dc:creator/>
  <cp:keywords/>
  <dc:description/>
  <cp:lastModifiedBy>svcMRProcess</cp:lastModifiedBy>
  <cp:revision>4</cp:revision>
  <cp:lastPrinted>2009-03-09T03:29:00Z</cp:lastPrinted>
  <dcterms:created xsi:type="dcterms:W3CDTF">2018-09-12T17:31:00Z</dcterms:created>
  <dcterms:modified xsi:type="dcterms:W3CDTF">2018-09-12T17:31:00Z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20120221</vt:lpwstr>
  </property>
  <property fmtid="{D5CDD505-2E9C-101B-9397-08002B2CF9AE}" pid="4" name="OwlsUID">
    <vt:i4>38476</vt:i4>
  </property>
  <property fmtid="{D5CDD505-2E9C-101B-9397-08002B2CF9AE}" pid="5" name="AsAtDate">
    <vt:lpwstr>21 Feb 2012</vt:lpwstr>
  </property>
  <property fmtid="{D5CDD505-2E9C-101B-9397-08002B2CF9AE}" pid="6" name="Suffix">
    <vt:lpwstr>01-f0-03</vt:lpwstr>
  </property>
  <property fmtid="{D5CDD505-2E9C-101B-9397-08002B2CF9AE}" pid="7" name="ReprintNo">
    <vt:lpwstr>1</vt:lpwstr>
  </property>
  <property fmtid="{D5CDD505-2E9C-101B-9397-08002B2CF9AE}" pid="8" name="DocumentType">
    <vt:lpwstr>Reg</vt:lpwstr>
  </property>
</Properties>
</file>