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Growers Charge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Growers Charge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_Toc419209674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_Toc419209675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Subject to priorities charge created in favour of grower of certain crops</w:t>
      </w:r>
      <w:r>
        <w:tab/>
      </w:r>
      <w:r>
        <w:fldChar w:fldCharType="begin"/>
      </w:r>
      <w:r>
        <w:instrText xml:space="preserve"> PAGEREF _Toc419209676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Grower’s interest in crops under this Act not to be charged or assigned by way of security</w:t>
      </w:r>
      <w:r>
        <w:tab/>
      </w:r>
      <w:r>
        <w:fldChar w:fldCharType="begin"/>
      </w:r>
      <w:r>
        <w:instrText xml:space="preserve"> PAGEREF _Toc419209677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Share</w:t>
      </w:r>
      <w:r>
        <w:rPr>
          <w:snapToGrid w:val="0"/>
        </w:rPr>
        <w:noBreakHyphen/>
        <w:t>farmers</w:t>
      </w:r>
      <w:r>
        <w:tab/>
      </w:r>
      <w:r>
        <w:fldChar w:fldCharType="begin"/>
      </w:r>
      <w:r>
        <w:instrText xml:space="preserve"> PAGEREF _Toc419209678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_Toc419209679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_Toc419209680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Contracting out prohibited</w:t>
      </w:r>
      <w:r>
        <w:tab/>
      </w:r>
      <w:r>
        <w:fldChar w:fldCharType="begin"/>
      </w:r>
      <w:r>
        <w:instrText xml:space="preserve"> PAGEREF _Toc419209681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 Act</w:t>
      </w:r>
      <w:r>
        <w:tab/>
      </w:r>
      <w:r>
        <w:fldChar w:fldCharType="begin"/>
      </w:r>
      <w:r>
        <w:instrText xml:space="preserve"> PAGEREF _Toc419209682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_Toc419209684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Growers Charge Act 1940</w:t>
      </w:r>
    </w:p>
    <w:p>
      <w:pPr>
        <w:pStyle w:val="LongTitle"/>
        <w:rPr>
          <w:snapToGrid w:val="0"/>
        </w:rPr>
      </w:pPr>
      <w:r>
        <w:rPr>
          <w:snapToGrid w:val="0"/>
        </w:rPr>
        <w:t xml:space="preserve">An Act to reserve to the grower of certain crops which are subject to a </w:t>
      </w:r>
      <w:r>
        <w:rPr>
          <w:bCs/>
        </w:rPr>
        <w:t>security agreement</w:t>
      </w:r>
      <w:r>
        <w:rPr>
          <w:snapToGrid w:val="0"/>
        </w:rPr>
        <w:t xml:space="preserve"> an interest in such crops by creating a charge in his favour, and for other purposes.</w:t>
      </w:r>
    </w:p>
    <w:p>
      <w:pPr>
        <w:pStyle w:val="Footnotelongtitle"/>
      </w:pPr>
      <w:r>
        <w:tab/>
        <w:t>[Long title amended: No. 42 of 2011 s. 46.]</w:t>
      </w:r>
    </w:p>
    <w:p>
      <w:pPr>
        <w:pStyle w:val="Heading5"/>
        <w:spacing w:before="600"/>
        <w:rPr>
          <w:snapToGrid w:val="0"/>
        </w:rPr>
      </w:pPr>
      <w:bookmarkStart w:id="3" w:name="_Toc378668659"/>
      <w:bookmarkStart w:id="4" w:name="_Toc4192096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called the </w:t>
      </w:r>
      <w:r>
        <w:rPr>
          <w:i/>
          <w:snapToGrid w:val="0"/>
        </w:rPr>
        <w:t>Growers Charge Act 1940</w:t>
      </w:r>
      <w:r>
        <w:rPr>
          <w:rFonts w:ascii="Times" w:hAnsi="Times"/>
          <w:iCs/>
          <w:snapToGrid w:val="0"/>
          <w:vertAlign w:val="superscript"/>
        </w:rPr>
        <w:t> 1</w:t>
      </w:r>
      <w:r>
        <w:rPr>
          <w:snapToGrid w:val="0"/>
        </w:rPr>
        <w:t>.</w:t>
      </w:r>
    </w:p>
    <w:p>
      <w:pPr>
        <w:pStyle w:val="Heading5"/>
        <w:rPr>
          <w:snapToGrid w:val="0"/>
        </w:rPr>
      </w:pPr>
      <w:bookmarkStart w:id="5" w:name="_Toc378668660"/>
      <w:bookmarkStart w:id="6" w:name="_Toc419209675"/>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and for the purposes thereof, if not inconsistent with the context —</w:t>
      </w:r>
    </w:p>
    <w:p>
      <w:pPr>
        <w:pStyle w:val="Defstart"/>
      </w:pPr>
      <w:r>
        <w:rPr>
          <w:b/>
        </w:rPr>
        <w:tab/>
      </w:r>
      <w:r>
        <w:rPr>
          <w:rStyle w:val="CharDefText"/>
        </w:rPr>
        <w:t>crops</w:t>
      </w:r>
      <w:r>
        <w:t xml:space="preserve"> means wheat or oats marketed for grain;</w:t>
      </w:r>
    </w:p>
    <w:p>
      <w:pPr>
        <w:pStyle w:val="Defstart"/>
      </w:pPr>
      <w:r>
        <w:tab/>
      </w:r>
      <w:r>
        <w:rPr>
          <w:rStyle w:val="CharDefText"/>
        </w:rPr>
        <w:t>secured party</w:t>
      </w:r>
      <w:r>
        <w:t xml:space="preserve"> has the meaning given in the </w:t>
      </w:r>
      <w:r>
        <w:rPr>
          <w:i/>
          <w:iCs/>
        </w:rPr>
        <w:t>Personal Property Securities Act 2009</w:t>
      </w:r>
      <w:r>
        <w:t xml:space="preserve"> (Commonwealth) section 10;</w:t>
      </w:r>
    </w:p>
    <w:p>
      <w:pPr>
        <w:pStyle w:val="Defstart"/>
      </w:pPr>
      <w:r>
        <w:tab/>
      </w:r>
      <w:r>
        <w:rPr>
          <w:rStyle w:val="CharDefText"/>
        </w:rPr>
        <w:t>security agreement</w:t>
      </w:r>
      <w:r>
        <w:t xml:space="preserve"> has the meaning given in the </w:t>
      </w:r>
      <w:r>
        <w:rPr>
          <w:i/>
          <w:iCs/>
        </w:rPr>
        <w:t>Personal Property Securities Act 2009</w:t>
      </w:r>
      <w:r>
        <w:t xml:space="preserve"> (Commonwealth) section 10;</w:t>
      </w:r>
    </w:p>
    <w:p>
      <w:pPr>
        <w:pStyle w:val="Footnotesection"/>
      </w:pPr>
      <w:r>
        <w:tab/>
        <w:t>[Section 2 amended: No. 42 of 2011 s. 47.]</w:t>
      </w:r>
    </w:p>
    <w:p>
      <w:pPr>
        <w:pStyle w:val="Heading5"/>
        <w:rPr>
          <w:snapToGrid w:val="0"/>
        </w:rPr>
      </w:pPr>
      <w:bookmarkStart w:id="7" w:name="_Toc378668661"/>
      <w:bookmarkStart w:id="8" w:name="_Toc419209676"/>
      <w:r>
        <w:rPr>
          <w:rStyle w:val="CharSectno"/>
        </w:rPr>
        <w:t>3</w:t>
      </w:r>
      <w:r>
        <w:rPr>
          <w:snapToGrid w:val="0"/>
        </w:rPr>
        <w:t>.</w:t>
      </w:r>
      <w:r>
        <w:rPr>
          <w:snapToGrid w:val="0"/>
        </w:rPr>
        <w:tab/>
        <w:t>Subject to priorities charge created in favour of grower of certain crops</w:t>
      </w:r>
      <w:bookmarkEnd w:id="7"/>
      <w:bookmarkEnd w:id="8"/>
    </w:p>
    <w:p>
      <w:pPr>
        <w:pStyle w:val="Subsection"/>
        <w:spacing w:before="120"/>
        <w:rPr>
          <w:snapToGrid w:val="0"/>
        </w:rPr>
      </w:pPr>
      <w:r>
        <w:tab/>
        <w:t>(1)</w:t>
      </w:r>
      <w:r>
        <w:tab/>
        <w:t>Whenever crops</w:t>
      </w:r>
      <w:r>
        <w:rPr>
          <w:snapToGrid w:val="0"/>
        </w:rPr>
        <w:t xml:space="preserve"> are subject to a </w:t>
      </w:r>
      <w:r>
        <w:t>security agreement then,</w:t>
      </w:r>
      <w:r>
        <w:rPr>
          <w:snapToGrid w:val="0"/>
        </w:rPr>
        <w:t xml:space="preserve"> notwithstanding the provisions of any other Act, there is hereby created in favour of the grower of such crops a charge on such crops to the extent of 30 cents per acre in respect of so much of the area sown with such crops as does not exceed 500 acres, and 10 cents per acre on so much of such area as exceeds 500 acres.</w:t>
      </w:r>
    </w:p>
    <w:p>
      <w:pPr>
        <w:pStyle w:val="Subsection"/>
        <w:spacing w:before="120"/>
        <w:rPr>
          <w:snapToGrid w:val="0"/>
        </w:rPr>
      </w:pPr>
      <w:r>
        <w:rPr>
          <w:snapToGrid w:val="0"/>
        </w:rPr>
        <w:tab/>
      </w:r>
      <w:r>
        <w:rPr>
          <w:snapToGrid w:val="0"/>
        </w:rPr>
        <w:tab/>
        <w:t>Provided that such charge in favour of the grower shall be subject to the following conditions:</w:t>
      </w:r>
    </w:p>
    <w:p>
      <w:pPr>
        <w:pStyle w:val="Indenta"/>
        <w:rPr>
          <w:snapToGrid w:val="0"/>
        </w:rPr>
      </w:pPr>
      <w:r>
        <w:rPr>
          <w:snapToGrid w:val="0"/>
        </w:rPr>
        <w:tab/>
        <w:t>(a)</w:t>
      </w:r>
      <w:r>
        <w:rPr>
          <w:snapToGrid w:val="0"/>
        </w:rPr>
        <w:tab/>
        <w:t xml:space="preserve">It shall rank immediately after any other statutory charge and any advance for or towards the cost (as ascertained in the prescribed manner) of growing, harvesting, and carting such crops made under any </w:t>
      </w:r>
      <w:r>
        <w:t>security agreement.</w:t>
      </w:r>
    </w:p>
    <w:p>
      <w:pPr>
        <w:pStyle w:val="Indenta"/>
        <w:rPr>
          <w:snapToGrid w:val="0"/>
        </w:rPr>
      </w:pPr>
      <w:r>
        <w:rPr>
          <w:snapToGrid w:val="0"/>
        </w:rPr>
        <w:tab/>
        <w:t>(b)</w:t>
      </w:r>
      <w:r>
        <w:rPr>
          <w:snapToGrid w:val="0"/>
        </w:rPr>
        <w:tab/>
        <w:t xml:space="preserve">It shall be paid or satisfied in priority to all other moneys secured by any </w:t>
      </w:r>
      <w:r>
        <w:t>security agreement.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3 amended: No. 113 of 1965 s. 8; No. 42 of 2011 s. 48.]</w:t>
      </w:r>
    </w:p>
    <w:p>
      <w:pPr>
        <w:pStyle w:val="Heading5"/>
        <w:spacing w:before="180"/>
        <w:rPr>
          <w:snapToGrid w:val="0"/>
        </w:rPr>
      </w:pPr>
      <w:bookmarkStart w:id="9" w:name="_Toc378668662"/>
      <w:bookmarkStart w:id="10" w:name="_Toc419209677"/>
      <w:r>
        <w:rPr>
          <w:rStyle w:val="CharSectno"/>
        </w:rPr>
        <w:t>4</w:t>
      </w:r>
      <w:r>
        <w:rPr>
          <w:snapToGrid w:val="0"/>
        </w:rPr>
        <w:t>.</w:t>
      </w:r>
      <w:r>
        <w:rPr>
          <w:snapToGrid w:val="0"/>
        </w:rPr>
        <w:tab/>
        <w:t>Grower’s interest in crops under this Act not to be charged or assigned by way of security</w:t>
      </w:r>
      <w:bookmarkEnd w:id="9"/>
      <w:bookmarkEnd w:id="10"/>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11" w:name="_Toc378668663"/>
      <w:bookmarkStart w:id="12" w:name="_Toc419209678"/>
      <w:r>
        <w:rPr>
          <w:rStyle w:val="CharSectno"/>
        </w:rPr>
        <w:t>5</w:t>
      </w:r>
      <w:r>
        <w:rPr>
          <w:snapToGrid w:val="0"/>
        </w:rPr>
        <w:t>.</w:t>
      </w:r>
      <w:r>
        <w:rPr>
          <w:snapToGrid w:val="0"/>
        </w:rPr>
        <w:tab/>
        <w:t>Share</w:t>
      </w:r>
      <w:r>
        <w:rPr>
          <w:snapToGrid w:val="0"/>
        </w:rPr>
        <w:noBreakHyphen/>
        <w:t>farmers</w:t>
      </w:r>
      <w:bookmarkEnd w:id="11"/>
      <w:bookmarkEnd w:id="12"/>
    </w:p>
    <w:p>
      <w:pPr>
        <w:pStyle w:val="Subsection"/>
        <w:spacing w:before="120"/>
        <w:rPr>
          <w:snapToGrid w:val="0"/>
        </w:rPr>
      </w:pPr>
      <w:r>
        <w:rPr>
          <w:snapToGrid w:val="0"/>
        </w:rPr>
        <w:tab/>
        <w:t>(a)</w:t>
      </w:r>
      <w:r>
        <w:rPr>
          <w:snapToGrid w:val="0"/>
        </w:rPr>
        <w:tab/>
        <w:t>Where crops are grown under a share</w:t>
      </w:r>
      <w:r>
        <w:rPr>
          <w:snapToGrid w:val="0"/>
        </w:rPr>
        <w:noBreakHyphen/>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r>
        <w:rPr>
          <w:snapToGrid w:val="0"/>
        </w:rPr>
        <w:noBreakHyphen/>
        <w:t>farming agreement, unless 2 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13" w:name="_Toc378668664"/>
      <w:bookmarkStart w:id="14" w:name="_Toc419209679"/>
      <w:r>
        <w:rPr>
          <w:rStyle w:val="CharSectno"/>
        </w:rPr>
        <w:t>6</w:t>
      </w:r>
      <w:r>
        <w:rPr>
          <w:snapToGrid w:val="0"/>
        </w:rPr>
        <w:t>.</w:t>
      </w:r>
      <w:r>
        <w:rPr>
          <w:snapToGrid w:val="0"/>
        </w:rPr>
        <w:tab/>
        <w:t>Offences</w:t>
      </w:r>
      <w:bookmarkEnd w:id="13"/>
      <w:bookmarkEnd w:id="14"/>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 xml:space="preserve">present to any </w:t>
      </w:r>
      <w:r>
        <w:t>secured party</w:t>
      </w:r>
      <w:r>
        <w:rPr>
          <w:snapToGrid w:val="0"/>
        </w:rPr>
        <w:t xml:space="preserve"> or any authority or any person from or through whom any moneys in respect of the charge created by this Act are or might become payable, any document, or make to any such </w:t>
      </w:r>
      <w:r>
        <w:t>secured party,</w:t>
      </w:r>
      <w:r>
        <w:rPr>
          <w:snapToGrid w:val="0"/>
        </w:rPr>
        <w:t xml:space="preserve"> authority or person any statement which is false in any material particular.</w:t>
      </w:r>
    </w:p>
    <w:p>
      <w:pPr>
        <w:pStyle w:val="Penstart"/>
      </w:pPr>
      <w:r>
        <w:tab/>
        <w:t>Penalty: $1 000.</w:t>
      </w:r>
    </w:p>
    <w:p>
      <w:pPr>
        <w:pStyle w:val="Footnotesection"/>
      </w:pPr>
      <w:r>
        <w:tab/>
        <w:t>[Section 6 amended: No. 50 of 2003 s. 69(2); No. 42 of 2011 s. 49.]</w:t>
      </w:r>
    </w:p>
    <w:p>
      <w:pPr>
        <w:pStyle w:val="Heading5"/>
        <w:rPr>
          <w:snapToGrid w:val="0"/>
        </w:rPr>
      </w:pPr>
      <w:bookmarkStart w:id="15" w:name="_Toc378668665"/>
      <w:bookmarkStart w:id="16" w:name="_Toc419209680"/>
      <w:r>
        <w:rPr>
          <w:rStyle w:val="CharSectno"/>
        </w:rPr>
        <w:t>7</w:t>
      </w:r>
      <w:r>
        <w:rPr>
          <w:snapToGrid w:val="0"/>
        </w:rPr>
        <w:t>.</w:t>
      </w:r>
      <w:r>
        <w:rPr>
          <w:snapToGrid w:val="0"/>
        </w:rPr>
        <w:tab/>
        <w:t>Regulations</w:t>
      </w:r>
      <w:bookmarkEnd w:id="15"/>
      <w:bookmarkEnd w:id="16"/>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p>
    <w:p>
      <w:pPr>
        <w:pStyle w:val="Indenta"/>
        <w:rPr>
          <w:snapToGrid w:val="0"/>
        </w:rPr>
      </w:pPr>
      <w:r>
        <w:rPr>
          <w:snapToGrid w:val="0"/>
        </w:rPr>
        <w:tab/>
        <w:t>(a)</w:t>
      </w:r>
      <w:r>
        <w:rPr>
          <w:snapToGrid w:val="0"/>
        </w:rPr>
        <w:tab/>
        <w:t>for prescribing penalties not exceeding $1 000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3,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 xml:space="preserve">for prescribing the rate of commission or deduction to be allowed to </w:t>
      </w:r>
      <w:r>
        <w:t>a secured party</w:t>
      </w:r>
      <w:r>
        <w:rPr>
          <w:snapToGrid w:val="0"/>
        </w:rPr>
        <w:t xml:space="preserve"> or any person as compensation for expense incurred or services rendered when moneys are paid to growers by or through such </w:t>
      </w:r>
      <w:r>
        <w:t>a secured party,</w:t>
      </w:r>
      <w:r>
        <w:rPr>
          <w:snapToGrid w:val="0"/>
        </w:rPr>
        <w:t xml:space="preserv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 7 amended: No. 78 of 1995 s. 147; No. 42 of 2011 s. 50.]</w:t>
      </w:r>
    </w:p>
    <w:p>
      <w:pPr>
        <w:pStyle w:val="Heading5"/>
        <w:rPr>
          <w:snapToGrid w:val="0"/>
        </w:rPr>
      </w:pPr>
      <w:bookmarkStart w:id="17" w:name="_Toc378668666"/>
      <w:bookmarkStart w:id="18" w:name="_Toc419209681"/>
      <w:r>
        <w:rPr>
          <w:rStyle w:val="CharSectno"/>
        </w:rPr>
        <w:t>8</w:t>
      </w:r>
      <w:r>
        <w:rPr>
          <w:snapToGrid w:val="0"/>
        </w:rPr>
        <w:t>.</w:t>
      </w:r>
      <w:r>
        <w:rPr>
          <w:snapToGrid w:val="0"/>
        </w:rPr>
        <w:tab/>
        <w:t>Contracting out prohibited</w:t>
      </w:r>
      <w:bookmarkEnd w:id="17"/>
      <w:bookmarkEnd w:id="18"/>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19" w:name="_Toc378668667"/>
      <w:bookmarkStart w:id="20" w:name="_Toc419209682"/>
      <w:r>
        <w:rPr>
          <w:rStyle w:val="CharSectno"/>
        </w:rPr>
        <w:t>9</w:t>
      </w:r>
      <w:r>
        <w:rPr>
          <w:snapToGrid w:val="0"/>
        </w:rPr>
        <w:t>.</w:t>
      </w:r>
      <w:r>
        <w:rPr>
          <w:snapToGrid w:val="0"/>
        </w:rPr>
        <w:tab/>
        <w:t>Application of Act</w:t>
      </w:r>
      <w:bookmarkEnd w:id="19"/>
      <w:bookmarkEnd w:id="20"/>
    </w:p>
    <w:p>
      <w:pPr>
        <w:pStyle w:val="Subsection"/>
        <w:rPr>
          <w:snapToGrid w:val="0"/>
        </w:rPr>
      </w:pPr>
      <w:r>
        <w:rPr>
          <w:snapToGrid w:val="0"/>
        </w:rPr>
        <w:tab/>
      </w:r>
      <w:r>
        <w:rPr>
          <w:snapToGrid w:val="0"/>
        </w:rPr>
        <w:tab/>
        <w:t>This Act shall apply to all crops sown after 1 March 1941.</w:t>
      </w:r>
    </w:p>
    <w:p>
      <w:pPr>
        <w:pStyle w:val="Sub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8668668"/>
      <w:bookmarkStart w:id="22" w:name="_Toc419209683"/>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Growers Charge Act 1940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78668669"/>
      <w:bookmarkStart w:id="24" w:name="_Toc419209684"/>
      <w:r>
        <w:rPr>
          <w:snapToGrid w:val="0"/>
        </w:rP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Growers Charge Act 1940</w:t>
            </w:r>
          </w:p>
        </w:tc>
        <w:tc>
          <w:tcPr>
            <w:tcW w:w="1134" w:type="dxa"/>
            <w:tcBorders>
              <w:top w:val="single" w:sz="8" w:space="0" w:color="auto"/>
            </w:tcBorders>
          </w:tcPr>
          <w:p>
            <w:pPr>
              <w:pStyle w:val="nTable"/>
              <w:spacing w:after="40"/>
            </w:pPr>
            <w:r>
              <w:t>54 of 1940</w:t>
            </w:r>
            <w:r>
              <w:br/>
              <w:t>(4 and 5 Geo. VI No. 54)</w:t>
            </w:r>
          </w:p>
        </w:tc>
        <w:tc>
          <w:tcPr>
            <w:tcW w:w="1134" w:type="dxa"/>
            <w:tcBorders>
              <w:top w:val="single" w:sz="8" w:space="0" w:color="auto"/>
            </w:tcBorders>
          </w:tcPr>
          <w:p>
            <w:pPr>
              <w:pStyle w:val="nTable"/>
              <w:spacing w:after="40"/>
            </w:pPr>
            <w:r>
              <w:t>30 Dec 1940</w:t>
            </w:r>
          </w:p>
        </w:tc>
        <w:tc>
          <w:tcPr>
            <w:tcW w:w="2552" w:type="dxa"/>
            <w:tcBorders>
              <w:top w:val="single" w:sz="8" w:space="0" w:color="auto"/>
            </w:tcBorders>
          </w:tcPr>
          <w:p>
            <w:pPr>
              <w:pStyle w:val="nTable"/>
              <w:spacing w:after="40"/>
            </w:pPr>
            <w:r>
              <w:t>30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rPr>
                <w:i/>
              </w:rPr>
            </w:pPr>
            <w:r>
              <w:rPr>
                <w:i/>
              </w:rPr>
              <w:t xml:space="preserve">Sentencing Legislation Amendment and Repeal Act 2003 </w:t>
            </w:r>
            <w:r>
              <w:t>s. 69</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4"/>
          </w:tcPr>
          <w:p>
            <w:pPr>
              <w:pStyle w:val="nTable"/>
              <w:spacing w:after="40"/>
            </w:pPr>
            <w:r>
              <w:rPr>
                <w:b/>
                <w:bCs/>
              </w:rPr>
              <w:t xml:space="preserve">Reprint 1: The </w:t>
            </w:r>
            <w:r>
              <w:rPr>
                <w:b/>
                <w:bCs/>
                <w:i/>
              </w:rPr>
              <w:t>Growers Charge Act 1940</w:t>
            </w:r>
            <w:r>
              <w:rPr>
                <w:b/>
                <w:bCs/>
              </w:rPr>
              <w:t xml:space="preserve"> as at 22 Jun 2007</w:t>
            </w:r>
            <w:r>
              <w:t xml:space="preserve"> (includes amendments listed above)</w:t>
            </w:r>
          </w:p>
        </w:tc>
      </w:tr>
      <w:tr>
        <w:tc>
          <w:tcPr>
            <w:tcW w:w="2268" w:type="dxa"/>
            <w:tcBorders>
              <w:bottom w:val="single" w:sz="8" w:space="0" w:color="auto"/>
            </w:tcBorders>
          </w:tcPr>
          <w:p>
            <w:pPr>
              <w:pStyle w:val="nTable"/>
              <w:spacing w:after="40"/>
              <w:rPr>
                <w:i/>
              </w:rPr>
            </w:pPr>
            <w:r>
              <w:rPr>
                <w:i/>
                <w:snapToGrid w:val="0"/>
              </w:rPr>
              <w:t>Personal Property Securities (Consequential Repeals and Amendments) Act 2011</w:t>
            </w:r>
            <w:r>
              <w:rPr>
                <w:snapToGrid w:val="0"/>
              </w:rPr>
              <w:t xml:space="preserve"> Pt. 4 Div. 5</w:t>
            </w:r>
          </w:p>
        </w:tc>
        <w:tc>
          <w:tcPr>
            <w:tcW w:w="1134" w:type="dxa"/>
            <w:tcBorders>
              <w:bottom w:val="single" w:sz="8" w:space="0" w:color="auto"/>
            </w:tcBorders>
          </w:tcPr>
          <w:p>
            <w:pPr>
              <w:pStyle w:val="nTable"/>
              <w:spacing w:after="40"/>
            </w:pPr>
            <w:r>
              <w:rPr>
                <w:snapToGrid w:val="0"/>
              </w:rPr>
              <w:t>42 of 2011</w:t>
            </w:r>
          </w:p>
        </w:tc>
        <w:tc>
          <w:tcPr>
            <w:tcW w:w="1134" w:type="dxa"/>
            <w:tcBorders>
              <w:bottom w:val="single" w:sz="8" w:space="0" w:color="auto"/>
            </w:tcBorders>
          </w:tcPr>
          <w:p>
            <w:pPr>
              <w:pStyle w:val="nTable"/>
              <w:spacing w:after="40"/>
            </w:pPr>
            <w:r>
              <w:t>4 Oct 2011</w:t>
            </w:r>
          </w:p>
        </w:tc>
        <w:tc>
          <w:tcPr>
            <w:tcW w:w="2552" w:type="dxa"/>
            <w:tcBorders>
              <w:bottom w:val="single" w:sz="8" w:space="0" w:color="auto"/>
            </w:tcBorders>
          </w:tcPr>
          <w:p>
            <w:pPr>
              <w:pStyle w:val="nTable"/>
              <w:spacing w:after="40"/>
            </w:pPr>
            <w:r>
              <w:rPr>
                <w:snapToGrid w:val="0"/>
              </w:rPr>
              <w:t>30 Jan 2012 (see s. 2(c) and Cwlth Legislative Instrument No. F2011L02397 cl. 5 registered 21 Nov 2011)</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crops</w:t>
      </w:r>
      <w:r>
        <w:tab/>
        <w:t>2</w:t>
      </w:r>
    </w:p>
    <w:p>
      <w:pPr>
        <w:pStyle w:val="DefinedTerms"/>
      </w:pPr>
      <w:r>
        <w:t>secured party</w:t>
      </w:r>
      <w:r>
        <w:tab/>
        <w:t>2</w:t>
      </w:r>
    </w:p>
    <w:p>
      <w:pPr>
        <w:pStyle w:val="DefinedTerms"/>
      </w:pPr>
      <w:r>
        <w:t>security agreement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Growers Charge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Growers Charge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Growers Charge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Growers Charge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47"/>
    <w:docVar w:name="WAFER_20140128102546" w:val="RemoveTocBookmarks,RemoveUnusedBookmarks,RemoveLanguageTags,UsedStyles,ResetPageSize,UpdateArrangement"/>
    <w:docVar w:name="WAFER_20140128102546_GUID" w:val="e0872e44-069d-4b23-9465-d884341bd257"/>
    <w:docVar w:name="WAFER_20140128102553" w:val="RemoveTocBookmarks,RunningHeaders"/>
    <w:docVar w:name="WAFER_20140128102553_GUID" w:val="9598c970-4808-42de-94a3-4ee358a27f51"/>
    <w:docVar w:name="WAFER_20150512151250" w:val="ResetPageSize,UpdateArrangement,UpdateNTable"/>
    <w:docVar w:name="WAFER_20150512151250_GUID" w:val="a2f7db42-ad9e-4fcc-8da0-f0ced8d867e7"/>
    <w:docVar w:name="WAFER_20151105132039" w:val="UpdateStyles,UsedStyles"/>
    <w:docVar w:name="WAFER_20151105132039_GUID" w:val="106f1207-8a50-436d-a41f-be8512fc1dc4"/>
    <w:docVar w:name="WAFER_20151201092547" w:val="RemoveTrackChanges"/>
    <w:docVar w:name="WAFER_20151201092547_GUID" w:val="4c41287b-e327-4bdc-ab38-c4b52f7fe5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r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r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1410</Words>
  <Characters>6575</Characters>
  <Application>Microsoft Office Word</Application>
  <DocSecurity>0</DocSecurity>
  <Lines>219</Lines>
  <Paragraphs>122</Paragraphs>
  <ScaleCrop>false</ScaleCrop>
  <HeadingPairs>
    <vt:vector size="2" baseType="variant">
      <vt:variant>
        <vt:lpstr>Title</vt:lpstr>
      </vt:variant>
      <vt:variant>
        <vt:i4>1</vt:i4>
      </vt:variant>
    </vt:vector>
  </HeadingPairs>
  <TitlesOfParts>
    <vt:vector size="1" baseType="lpstr">
      <vt:lpstr>Growers Charge Act 1940</vt:lpstr>
    </vt:vector>
  </TitlesOfParts>
  <Manager/>
  <Company/>
  <LinksUpToDate>false</LinksUpToDate>
  <CharactersWithSpaces>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1940 - 01-c0-06</dc:title>
  <dc:subject/>
  <dc:creator/>
  <cp:keywords/>
  <dc:description/>
  <cp:lastModifiedBy>svcMRProcess</cp:lastModifiedBy>
  <cp:revision>4</cp:revision>
  <cp:lastPrinted>2007-06-19T06:49:00Z</cp:lastPrinted>
  <dcterms:created xsi:type="dcterms:W3CDTF">2019-01-22T01:33:00Z</dcterms:created>
  <dcterms:modified xsi:type="dcterms:W3CDTF">2019-01-22T01:33:00Z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ThisVersion">
    <vt:lpwstr>01-a0-02</vt:lpwstr>
  </property>
  <property fmtid="{D5CDD505-2E9C-101B-9397-08002B2CF9AE}" pid="9" name="AsAtDate">
    <vt:lpwstr>30 Jan 2012</vt:lpwstr>
  </property>
  <property fmtid="{D5CDD505-2E9C-101B-9397-08002B2CF9AE}" pid="10" name="Suffix">
    <vt:lpwstr>01-c0-06</vt:lpwstr>
  </property>
</Properties>
</file>