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 Corporation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_Toc418866798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_Toc418866799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_Toc418866800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and administration of Gold Corporation</w:t>
      </w:r>
    </w:p>
    <w:p>
      <w:pPr>
        <w:pStyle w:val="TOC8"/>
        <w:rPr>
          <w:rFonts w:asciiTheme="minorHAnsi" w:eastAsiaTheme="minorEastAsia" w:hAnsiTheme="minorHAnsi" w:cstheme="minorBidi"/>
          <w:szCs w:val="22"/>
        </w:rPr>
      </w:pPr>
      <w:r>
        <w:t>4</w:t>
      </w:r>
      <w:r>
        <w:rPr>
          <w:snapToGrid w:val="0"/>
        </w:rPr>
        <w:t>.</w:t>
      </w:r>
      <w:r>
        <w:rPr>
          <w:snapToGrid w:val="0"/>
        </w:rPr>
        <w:tab/>
        <w:t>Constitution of Gold Corporation as a body corporate</w:t>
      </w:r>
      <w:r>
        <w:tab/>
      </w:r>
      <w:r>
        <w:fldChar w:fldCharType="begin"/>
      </w:r>
      <w:r>
        <w:instrText xml:space="preserve"> PAGEREF _Toc418866802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 of Gold Corporation</w:t>
      </w:r>
      <w:r>
        <w:tab/>
      </w:r>
      <w:r>
        <w:fldChar w:fldCharType="begin"/>
      </w:r>
      <w:r>
        <w:instrText xml:space="preserve"> PAGEREF _Toc418866803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_Toc418866804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Management of Gold Corporation</w:t>
      </w:r>
      <w:r>
        <w:tab/>
      </w:r>
      <w:r>
        <w:fldChar w:fldCharType="begin"/>
      </w:r>
      <w:r>
        <w:instrText xml:space="preserve"> PAGEREF _Toc418866805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appoint committees</w:t>
      </w:r>
      <w:r>
        <w:tab/>
      </w:r>
      <w:r>
        <w:fldChar w:fldCharType="begin"/>
      </w:r>
      <w:r>
        <w:instrText xml:space="preserve"> PAGEREF _Toc418866806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Board to delegate</w:t>
      </w:r>
      <w:r>
        <w:tab/>
      </w:r>
      <w:r>
        <w:fldChar w:fldCharType="begin"/>
      </w:r>
      <w:r>
        <w:instrText xml:space="preserve"> PAGEREF _Toc418866807 \h </w:instrText>
      </w:r>
      <w:r>
        <w:fldChar w:fldCharType="separate"/>
      </w:r>
      <w:r>
        <w:t>11</w:t>
      </w:r>
      <w:r>
        <w:fldChar w:fldCharType="end"/>
      </w:r>
    </w:p>
    <w:p>
      <w:pPr>
        <w:pStyle w:val="TOC8"/>
        <w:rPr>
          <w:rFonts w:asciiTheme="minorHAnsi" w:eastAsiaTheme="minorEastAsia" w:hAnsiTheme="minorHAnsi" w:cstheme="minorBidi"/>
          <w:szCs w:val="22"/>
        </w:rPr>
      </w:pPr>
      <w:r>
        <w:t>9A.</w:t>
      </w:r>
      <w:r>
        <w:tab/>
        <w:t>Duty to observe policy instruments</w:t>
      </w:r>
      <w:r>
        <w:tab/>
      </w:r>
      <w:r>
        <w:fldChar w:fldCharType="begin"/>
      </w:r>
      <w:r>
        <w:instrText xml:space="preserve"> PAGEREF _Toc418866808 \h </w:instrText>
      </w:r>
      <w:r>
        <w:fldChar w:fldCharType="separate"/>
      </w:r>
      <w:r>
        <w:t>12</w:t>
      </w:r>
      <w:r>
        <w:fldChar w:fldCharType="end"/>
      </w:r>
    </w:p>
    <w:p>
      <w:pPr>
        <w:pStyle w:val="TOC8"/>
        <w:rPr>
          <w:rFonts w:asciiTheme="minorHAnsi" w:eastAsiaTheme="minorEastAsia" w:hAnsiTheme="minorHAnsi" w:cstheme="minorBidi"/>
          <w:szCs w:val="22"/>
        </w:rPr>
      </w:pPr>
      <w:r>
        <w:t>9B.</w:t>
      </w:r>
      <w:r>
        <w:tab/>
        <w:t>Strategic development plan and statement of corporate intent</w:t>
      </w:r>
      <w:r>
        <w:tab/>
      </w:r>
      <w:r>
        <w:fldChar w:fldCharType="begin"/>
      </w:r>
      <w:r>
        <w:instrText xml:space="preserve"> PAGEREF _Toc418866809 \h </w:instrText>
      </w:r>
      <w:r>
        <w:fldChar w:fldCharType="separate"/>
      </w:r>
      <w:r>
        <w:t>12</w:t>
      </w:r>
      <w:r>
        <w:fldChar w:fldCharType="end"/>
      </w:r>
    </w:p>
    <w:p>
      <w:pPr>
        <w:pStyle w:val="TOC8"/>
        <w:rPr>
          <w:rFonts w:asciiTheme="minorHAnsi" w:eastAsiaTheme="minorEastAsia" w:hAnsiTheme="minorHAnsi" w:cstheme="minorBidi"/>
          <w:szCs w:val="22"/>
        </w:rPr>
      </w:pPr>
      <w:r>
        <w:t>9C.</w:t>
      </w:r>
      <w:r>
        <w:tab/>
        <w:t>Laying directions about strategic development plan or statement of corporate intent before Parliament</w:t>
      </w:r>
      <w:r>
        <w:tab/>
      </w:r>
      <w:r>
        <w:fldChar w:fldCharType="begin"/>
      </w:r>
      <w:r>
        <w:instrText xml:space="preserve"> PAGEREF _Toc418866810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Gold Corporation</w:t>
      </w:r>
    </w:p>
    <w:p>
      <w:pPr>
        <w:pStyle w:val="TOC8"/>
        <w:rPr>
          <w:rFonts w:asciiTheme="minorHAnsi" w:eastAsiaTheme="minorEastAsia" w:hAnsiTheme="minorHAnsi" w:cstheme="minorBidi"/>
          <w:szCs w:val="22"/>
        </w:rPr>
      </w:pPr>
      <w:r>
        <w:t>10</w:t>
      </w:r>
      <w:r>
        <w:rPr>
          <w:snapToGrid w:val="0"/>
        </w:rPr>
        <w:t>.</w:t>
      </w:r>
      <w:r>
        <w:rPr>
          <w:snapToGrid w:val="0"/>
        </w:rPr>
        <w:tab/>
        <w:t>General functions of Gold Corporation</w:t>
      </w:r>
      <w:r>
        <w:tab/>
      </w:r>
      <w:r>
        <w:fldChar w:fldCharType="begin"/>
      </w:r>
      <w:r>
        <w:instrText xml:space="preserve"> PAGEREF _Toc418866812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Gold Corporation</w:t>
      </w:r>
      <w:r>
        <w:tab/>
      </w:r>
      <w:r>
        <w:fldChar w:fldCharType="begin"/>
      </w:r>
      <w:r>
        <w:instrText xml:space="preserve"> PAGEREF _Toc418866813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act as agent for Commonwealth or States</w:t>
      </w:r>
      <w:r>
        <w:tab/>
      </w:r>
      <w:r>
        <w:fldChar w:fldCharType="begin"/>
      </w:r>
      <w:r>
        <w:instrText xml:space="preserve"> PAGEREF _Toc418866814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 of Gold Corporation</w:t>
      </w:r>
    </w:p>
    <w:p>
      <w:pPr>
        <w:pStyle w:val="TOC8"/>
        <w:rPr>
          <w:rFonts w:asciiTheme="minorHAnsi" w:eastAsiaTheme="minorEastAsia" w:hAnsiTheme="minorHAnsi" w:cstheme="minorBidi"/>
          <w:szCs w:val="22"/>
        </w:rPr>
      </w:pPr>
      <w:r>
        <w:t>15</w:t>
      </w:r>
      <w:r>
        <w:rPr>
          <w:snapToGrid w:val="0"/>
        </w:rPr>
        <w:t>.</w:t>
      </w:r>
      <w:r>
        <w:rPr>
          <w:snapToGrid w:val="0"/>
        </w:rPr>
        <w:tab/>
        <w:t>Capital of Gold Corporation</w:t>
      </w:r>
      <w:r>
        <w:tab/>
      </w:r>
      <w:r>
        <w:fldChar w:fldCharType="begin"/>
      </w:r>
      <w:r>
        <w:instrText xml:space="preserve"> PAGEREF _Toc418866816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Share issues</w:t>
      </w:r>
      <w:r>
        <w:tab/>
      </w:r>
      <w:r>
        <w:fldChar w:fldCharType="begin"/>
      </w:r>
      <w:r>
        <w:instrText xml:space="preserve"> PAGEREF _Toc418866817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Treasurer</w:t>
      </w:r>
      <w:r>
        <w:tab/>
      </w:r>
      <w:r>
        <w:fldChar w:fldCharType="begin"/>
      </w:r>
      <w:r>
        <w:instrText xml:space="preserve"> PAGEREF _Toc418866818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 profits</w:t>
      </w:r>
      <w:r>
        <w:tab/>
      </w:r>
      <w:r>
        <w:fldChar w:fldCharType="begin"/>
      </w:r>
      <w:r>
        <w:instrText xml:space="preserve"> PAGEREF _Toc418866819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by Treasurer</w:t>
      </w:r>
      <w:r>
        <w:tab/>
      </w:r>
      <w:r>
        <w:fldChar w:fldCharType="begin"/>
      </w:r>
      <w:r>
        <w:instrText xml:space="preserve"> PAGEREF _Toc418866820 \h </w:instrText>
      </w:r>
      <w:r>
        <w:fldChar w:fldCharType="separate"/>
      </w:r>
      <w:r>
        <w:t>23</w:t>
      </w:r>
      <w:r>
        <w:fldChar w:fldCharType="end"/>
      </w:r>
    </w:p>
    <w:p>
      <w:pPr>
        <w:pStyle w:val="TOC8"/>
        <w:rPr>
          <w:rFonts w:asciiTheme="minorHAnsi" w:eastAsiaTheme="minorEastAsia" w:hAnsiTheme="minorHAnsi" w:cstheme="minorBidi"/>
          <w:szCs w:val="22"/>
        </w:rPr>
      </w:pPr>
      <w:r>
        <w:t>23.</w:t>
      </w:r>
      <w:r>
        <w:tab/>
        <w:t>Charges for guarantee</w:t>
      </w:r>
      <w:r>
        <w:tab/>
      </w:r>
      <w:r>
        <w:fldChar w:fldCharType="begin"/>
      </w:r>
      <w:r>
        <w:instrText xml:space="preserve"> PAGEREF _Toc418866821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Western Australian Mint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Mint</w:t>
      </w:r>
    </w:p>
    <w:p>
      <w:pPr>
        <w:pStyle w:val="TOC8"/>
        <w:rPr>
          <w:rFonts w:asciiTheme="minorHAnsi" w:eastAsiaTheme="minorEastAsia" w:hAnsiTheme="minorHAnsi" w:cstheme="minorBidi"/>
          <w:szCs w:val="22"/>
        </w:rPr>
      </w:pPr>
      <w:r>
        <w:t>35</w:t>
      </w:r>
      <w:r>
        <w:rPr>
          <w:snapToGrid w:val="0"/>
        </w:rPr>
        <w:t>.</w:t>
      </w:r>
      <w:r>
        <w:rPr>
          <w:snapToGrid w:val="0"/>
        </w:rPr>
        <w:tab/>
        <w:t>Constitution of the Mint</w:t>
      </w:r>
      <w:r>
        <w:tab/>
      </w:r>
      <w:r>
        <w:fldChar w:fldCharType="begin"/>
      </w:r>
      <w:r>
        <w:instrText xml:space="preserve"> PAGEREF _Toc418866824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 of the Mint</w:t>
      </w:r>
      <w:r>
        <w:tab/>
      </w:r>
      <w:r>
        <w:fldChar w:fldCharType="begin"/>
      </w:r>
      <w:r>
        <w:instrText xml:space="preserve"> PAGEREF _Toc418866825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the Mint</w:t>
      </w:r>
      <w:r>
        <w:tab/>
      </w:r>
      <w:r>
        <w:fldChar w:fldCharType="begin"/>
      </w:r>
      <w:r>
        <w:instrText xml:space="preserve"> PAGEREF _Toc418866826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Prescribed symbols</w:t>
      </w:r>
      <w:r>
        <w:tab/>
      </w:r>
      <w:r>
        <w:fldChar w:fldCharType="begin"/>
      </w:r>
      <w:r>
        <w:instrText xml:space="preserve"> PAGEREF _Toc418866827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Branches of the Mint</w:t>
      </w:r>
      <w:r>
        <w:tab/>
      </w:r>
      <w:r>
        <w:fldChar w:fldCharType="begin"/>
      </w:r>
      <w:r>
        <w:instrText xml:space="preserve"> PAGEREF _Toc418866828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Managing director of the Mint</w:t>
      </w:r>
      <w:r>
        <w:tab/>
      </w:r>
      <w:r>
        <w:fldChar w:fldCharType="begin"/>
      </w:r>
      <w:r>
        <w:instrText xml:space="preserve"> PAGEREF _Toc418866829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Employment by the Mint of staff and consultants</w:t>
      </w:r>
      <w:r>
        <w:tab/>
      </w:r>
      <w:r>
        <w:fldChar w:fldCharType="begin"/>
      </w:r>
      <w:r>
        <w:instrText xml:space="preserve"> PAGEREF _Toc418866830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 of the Mint</w:t>
      </w:r>
    </w:p>
    <w:p>
      <w:pPr>
        <w:pStyle w:val="TOC8"/>
        <w:rPr>
          <w:rFonts w:asciiTheme="minorHAnsi" w:eastAsiaTheme="minorEastAsia" w:hAnsiTheme="minorHAnsi" w:cstheme="minorBidi"/>
          <w:szCs w:val="22"/>
        </w:rPr>
      </w:pPr>
      <w:r>
        <w:t>42</w:t>
      </w:r>
      <w:r>
        <w:rPr>
          <w:snapToGrid w:val="0"/>
        </w:rPr>
        <w:t>.</w:t>
      </w:r>
      <w:r>
        <w:rPr>
          <w:snapToGrid w:val="0"/>
        </w:rPr>
        <w:tab/>
        <w:t>Moneys available to the Mint</w:t>
      </w:r>
      <w:r>
        <w:tab/>
      </w:r>
      <w:r>
        <w:fldChar w:fldCharType="begin"/>
      </w:r>
      <w:r>
        <w:instrText xml:space="preserve"> PAGEREF _Toc418866832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Recovery of fees and charges</w:t>
      </w:r>
      <w:r>
        <w:tab/>
      </w:r>
      <w:r>
        <w:fldChar w:fldCharType="begin"/>
      </w:r>
      <w:r>
        <w:instrText xml:space="preserve"> PAGEREF _Toc418866833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to Gold Corporation</w:t>
      </w:r>
      <w:r>
        <w:tab/>
      </w:r>
      <w:r>
        <w:fldChar w:fldCharType="begin"/>
      </w:r>
      <w:r>
        <w:instrText xml:space="preserve"> PAGEREF _Toc418866834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Security provisions</w:t>
      </w:r>
    </w:p>
    <w:p>
      <w:pPr>
        <w:pStyle w:val="TOC8"/>
        <w:rPr>
          <w:rFonts w:asciiTheme="minorHAnsi" w:eastAsiaTheme="minorEastAsia" w:hAnsiTheme="minorHAnsi" w:cstheme="minorBidi"/>
          <w:szCs w:val="22"/>
        </w:rPr>
      </w:pPr>
      <w:r>
        <w:t>45</w:t>
      </w:r>
      <w:r>
        <w:rPr>
          <w:snapToGrid w:val="0"/>
        </w:rPr>
        <w:t>.</w:t>
      </w:r>
      <w:r>
        <w:rPr>
          <w:snapToGrid w:val="0"/>
        </w:rPr>
        <w:tab/>
        <w:t>Title to gold and other residues</w:t>
      </w:r>
      <w:r>
        <w:tab/>
      </w:r>
      <w:r>
        <w:fldChar w:fldCharType="begin"/>
      </w:r>
      <w:r>
        <w:instrText xml:space="preserve"> PAGEREF _Toc418866836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Detention of suspects</w:t>
      </w:r>
      <w:r>
        <w:tab/>
      </w:r>
      <w:r>
        <w:fldChar w:fldCharType="begin"/>
      </w:r>
      <w:r>
        <w:instrText xml:space="preserve"> PAGEREF _Toc418866837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Protection of the Mint name, symbol etc.</w:t>
      </w:r>
      <w:r>
        <w:tab/>
      </w:r>
      <w:r>
        <w:fldChar w:fldCharType="begin"/>
      </w:r>
      <w:r>
        <w:instrText xml:space="preserve"> PAGEREF _Toc418866838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GoldCorp Australia</w:t>
      </w:r>
    </w:p>
    <w:p>
      <w:pPr>
        <w:pStyle w:val="TOC8"/>
        <w:rPr>
          <w:rFonts w:asciiTheme="minorHAnsi" w:eastAsiaTheme="minorEastAsia" w:hAnsiTheme="minorHAnsi" w:cstheme="minorBidi"/>
          <w:szCs w:val="22"/>
        </w:rPr>
      </w:pPr>
      <w:r>
        <w:t>48</w:t>
      </w:r>
      <w:r>
        <w:rPr>
          <w:snapToGrid w:val="0"/>
        </w:rPr>
        <w:t>.</w:t>
      </w:r>
      <w:r>
        <w:rPr>
          <w:snapToGrid w:val="0"/>
        </w:rPr>
        <w:tab/>
        <w:t>Constitution of GoldCorp Australia as a body corporate</w:t>
      </w:r>
      <w:r>
        <w:tab/>
      </w:r>
      <w:r>
        <w:fldChar w:fldCharType="begin"/>
      </w:r>
      <w:r>
        <w:instrText xml:space="preserve"> PAGEREF _Toc418866840 \h </w:instrText>
      </w:r>
      <w:r>
        <w:fldChar w:fldCharType="separate"/>
      </w:r>
      <w:r>
        <w:t>37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Functions of GoldCorp</w:t>
      </w:r>
      <w:r>
        <w:tab/>
      </w:r>
      <w:r>
        <w:fldChar w:fldCharType="begin"/>
      </w:r>
      <w:r>
        <w:instrText xml:space="preserve"> PAGEREF _Toc418866841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Powers of GoldCorp</w:t>
      </w:r>
      <w:r>
        <w:tab/>
      </w:r>
      <w:r>
        <w:fldChar w:fldCharType="begin"/>
      </w:r>
      <w:r>
        <w:instrText xml:space="preserve"> PAGEREF _Toc418866842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Managing director of GoldCorp</w:t>
      </w:r>
      <w:r>
        <w:tab/>
      </w:r>
      <w:r>
        <w:fldChar w:fldCharType="begin"/>
      </w:r>
      <w:r>
        <w:instrText xml:space="preserve"> PAGEREF _Toc418866843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by GoldCorp of staff and consultants</w:t>
      </w:r>
      <w:r>
        <w:tab/>
      </w:r>
      <w:r>
        <w:fldChar w:fldCharType="begin"/>
      </w:r>
      <w:r>
        <w:instrText xml:space="preserve"> PAGEREF _Toc418866844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Payments to Gold Corporation</w:t>
      </w:r>
      <w:r>
        <w:tab/>
      </w:r>
      <w:r>
        <w:fldChar w:fldCharType="begin"/>
      </w:r>
      <w:r>
        <w:instrText xml:space="preserve"> PAGEREF _Toc418866845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_Toc418866847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Funding</w:t>
      </w:r>
      <w:r>
        <w:tab/>
      </w:r>
      <w:r>
        <w:fldChar w:fldCharType="begin"/>
      </w:r>
      <w:r>
        <w:instrText xml:space="preserve"> PAGEREF _Toc418866848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matters</w:t>
      </w:r>
    </w:p>
    <w:p>
      <w:pPr>
        <w:pStyle w:val="TOC8"/>
        <w:rPr>
          <w:rFonts w:asciiTheme="minorHAnsi" w:eastAsiaTheme="minorEastAsia" w:hAnsiTheme="minorHAnsi" w:cstheme="minorBidi"/>
          <w:szCs w:val="22"/>
        </w:rPr>
      </w:pPr>
      <w:r>
        <w:t>67</w:t>
      </w:r>
      <w:r>
        <w:rPr>
          <w:snapToGrid w:val="0"/>
        </w:rPr>
        <w:t>.</w:t>
      </w:r>
      <w:r>
        <w:rPr>
          <w:snapToGrid w:val="0"/>
        </w:rPr>
        <w:tab/>
        <w:t>Title to gold etc.</w:t>
      </w:r>
      <w:r>
        <w:tab/>
      </w:r>
      <w:r>
        <w:fldChar w:fldCharType="begin"/>
      </w:r>
      <w:r>
        <w:instrText xml:space="preserve"> PAGEREF _Toc418866850 \h </w:instrText>
      </w:r>
      <w:r>
        <w:fldChar w:fldCharType="separate"/>
      </w:r>
      <w:r>
        <w:t>44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Employment by Gold Corporation of staff and consultants</w:t>
      </w:r>
      <w:r>
        <w:tab/>
      </w:r>
      <w:r>
        <w:fldChar w:fldCharType="begin"/>
      </w:r>
      <w:r>
        <w:instrText xml:space="preserve"> PAGEREF _Toc418866851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staff and facilities of departments and instrumentalities etc.</w:t>
      </w:r>
      <w:r>
        <w:tab/>
      </w:r>
      <w:r>
        <w:fldChar w:fldCharType="begin"/>
      </w:r>
      <w:r>
        <w:instrText xml:space="preserve"> PAGEREF _Toc418866852 \h </w:instrText>
      </w:r>
      <w:r>
        <w:fldChar w:fldCharType="separate"/>
      </w:r>
      <w:r>
        <w:t>45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Superannuation</w:t>
      </w:r>
      <w:r>
        <w:tab/>
      </w:r>
      <w:r>
        <w:fldChar w:fldCharType="begin"/>
      </w:r>
      <w:r>
        <w:instrText xml:space="preserve"> PAGEREF _Toc418866853 \h </w:instrText>
      </w:r>
      <w:r>
        <w:fldChar w:fldCharType="separate"/>
      </w:r>
      <w:r>
        <w:t>46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and liability of directors</w:t>
      </w:r>
      <w:r>
        <w:tab/>
      </w:r>
      <w:r>
        <w:fldChar w:fldCharType="begin"/>
      </w:r>
      <w:r>
        <w:instrText xml:space="preserve"> PAGEREF _Toc418866854 \h </w:instrText>
      </w:r>
      <w:r>
        <w:fldChar w:fldCharType="separate"/>
      </w:r>
      <w:r>
        <w:t>46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Improper use of position or information</w:t>
      </w:r>
      <w:r>
        <w:tab/>
      </w:r>
      <w:r>
        <w:fldChar w:fldCharType="begin"/>
      </w:r>
      <w:r>
        <w:instrText xml:space="preserve"> PAGEREF _Toc418866855 \h </w:instrText>
      </w:r>
      <w:r>
        <w:fldChar w:fldCharType="separate"/>
      </w:r>
      <w:r>
        <w:t>47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Contravention of sections 71 and 72</w:t>
      </w:r>
      <w:r>
        <w:tab/>
      </w:r>
      <w:r>
        <w:fldChar w:fldCharType="begin"/>
      </w:r>
      <w:r>
        <w:instrText xml:space="preserve"> PAGEREF _Toc418866856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Secrecy and security of records of Gold Corporation and its subsidiaries</w:t>
      </w:r>
      <w:r>
        <w:tab/>
      </w:r>
      <w:r>
        <w:fldChar w:fldCharType="begin"/>
      </w:r>
      <w:r>
        <w:instrText xml:space="preserve"> PAGEREF _Toc418866857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w:t>
      </w:r>
      <w:r>
        <w:tab/>
      </w:r>
      <w:r>
        <w:fldChar w:fldCharType="begin"/>
      </w:r>
      <w:r>
        <w:instrText xml:space="preserve"> PAGEREF _Toc418866858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Offences by bodies corporate</w:t>
      </w:r>
      <w:r>
        <w:tab/>
      </w:r>
      <w:r>
        <w:fldChar w:fldCharType="begin"/>
      </w:r>
      <w:r>
        <w:instrText xml:space="preserve"> PAGEREF _Toc418866859 \h </w:instrText>
      </w:r>
      <w:r>
        <w:fldChar w:fldCharType="separate"/>
      </w:r>
      <w:r>
        <w:t>54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_Toc418866860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Repeal</w:t>
      </w:r>
      <w:r>
        <w:tab/>
      </w:r>
      <w:r>
        <w:fldChar w:fldCharType="begin"/>
      </w:r>
      <w:r>
        <w:instrText xml:space="preserve"> PAGEREF _Toc418866861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directors and the procedure of the Board</w:t>
      </w:r>
    </w:p>
    <w:p>
      <w:pPr>
        <w:pStyle w:val="TOC8"/>
        <w:rPr>
          <w:rFonts w:asciiTheme="minorHAnsi" w:eastAsiaTheme="minorEastAsia" w:hAnsiTheme="minorHAnsi" w:cstheme="minorBidi"/>
          <w:szCs w:val="22"/>
        </w:rPr>
      </w:pPr>
      <w:r>
        <w:t>1</w:t>
      </w:r>
      <w:r>
        <w:rPr>
          <w:snapToGrid w:val="0"/>
        </w:rPr>
        <w:t>.</w:t>
      </w:r>
      <w:r>
        <w:rPr>
          <w:snapToGrid w:val="0"/>
        </w:rPr>
        <w:tab/>
        <w:t>Term of office of directors</w:t>
      </w:r>
      <w:r>
        <w:tab/>
      </w:r>
      <w:r>
        <w:fldChar w:fldCharType="begin"/>
      </w:r>
      <w:r>
        <w:instrText xml:space="preserve"> PAGEREF _Toc418866863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w:t>
      </w:r>
      <w:r>
        <w:tab/>
      </w:r>
      <w:r>
        <w:fldChar w:fldCharType="begin"/>
      </w:r>
      <w:r>
        <w:instrText xml:space="preserve"> PAGEREF _Toc418866864 \h </w:instrText>
      </w:r>
      <w:r>
        <w:fldChar w:fldCharType="separate"/>
      </w:r>
      <w:r>
        <w:t>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directors</w:t>
      </w:r>
      <w:r>
        <w:tab/>
      </w:r>
      <w:r>
        <w:fldChar w:fldCharType="begin"/>
      </w:r>
      <w:r>
        <w:instrText xml:space="preserve"> PAGEREF _Toc418866865 \h </w:instrText>
      </w:r>
      <w:r>
        <w:fldChar w:fldCharType="separate"/>
      </w:r>
      <w:r>
        <w:t>56</w:t>
      </w:r>
      <w:r>
        <w:fldChar w:fldCharType="end"/>
      </w:r>
    </w:p>
    <w:p>
      <w:pPr>
        <w:pStyle w:val="TOC8"/>
        <w:rPr>
          <w:rFonts w:asciiTheme="minorHAnsi" w:eastAsiaTheme="minorEastAsia" w:hAnsiTheme="minorHAnsi" w:cstheme="minorBidi"/>
          <w:szCs w:val="22"/>
        </w:rPr>
      </w:pPr>
      <w:r>
        <w:rPr>
          <w:snapToGrid w:val="0"/>
        </w:rPr>
        <w:t>4.</w:t>
      </w:r>
      <w:r>
        <w:rPr>
          <w:snapToGrid w:val="0"/>
        </w:rPr>
        <w:tab/>
        <w:t>Remuneration of certain directors</w:t>
      </w:r>
      <w:r>
        <w:tab/>
      </w:r>
      <w:r>
        <w:fldChar w:fldCharType="begin"/>
      </w:r>
      <w:r>
        <w:instrText xml:space="preserve"> PAGEREF _Toc418866866 \h </w:instrText>
      </w:r>
      <w:r>
        <w:fldChar w:fldCharType="separate"/>
      </w:r>
      <w:r>
        <w:t>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Restrictions on loans to directors</w:t>
      </w:r>
      <w:r>
        <w:tab/>
      </w:r>
      <w:r>
        <w:fldChar w:fldCharType="begin"/>
      </w:r>
      <w:r>
        <w:instrText xml:space="preserve"> PAGEREF _Toc418866867 \h </w:instrText>
      </w:r>
      <w:r>
        <w:fldChar w:fldCharType="separate"/>
      </w:r>
      <w:r>
        <w:t>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Liability of directors</w:t>
      </w:r>
      <w:r>
        <w:tab/>
      </w:r>
      <w:r>
        <w:fldChar w:fldCharType="begin"/>
      </w:r>
      <w:r>
        <w:instrText xml:space="preserve"> PAGEREF _Toc418866868 \h </w:instrText>
      </w:r>
      <w:r>
        <w:fldChar w:fldCharType="separate"/>
      </w:r>
      <w:r>
        <w:t>57</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_Toc418866869 \h </w:instrText>
      </w:r>
      <w:r>
        <w:fldChar w:fldCharType="separate"/>
      </w:r>
      <w:r>
        <w:t>57</w:t>
      </w:r>
      <w:r>
        <w:fldChar w:fldCharType="end"/>
      </w:r>
    </w:p>
    <w:p>
      <w:pPr>
        <w:pStyle w:val="TOC8"/>
        <w:rPr>
          <w:rFonts w:asciiTheme="minorHAnsi" w:eastAsiaTheme="minorEastAsia" w:hAnsiTheme="minorHAnsi" w:cstheme="minorBidi"/>
          <w:szCs w:val="22"/>
        </w:rPr>
      </w:pPr>
      <w:r>
        <w:rPr>
          <w:snapToGrid w:val="0"/>
        </w:rPr>
        <w:t>8.</w:t>
      </w:r>
      <w:r>
        <w:rPr>
          <w:snapToGrid w:val="0"/>
        </w:rPr>
        <w:tab/>
        <w:t>Presiding member</w:t>
      </w:r>
      <w:r>
        <w:tab/>
      </w:r>
      <w:r>
        <w:fldChar w:fldCharType="begin"/>
      </w:r>
      <w:r>
        <w:instrText xml:space="preserve"> PAGEREF _Toc418866870 \h </w:instrText>
      </w:r>
      <w:r>
        <w:fldChar w:fldCharType="separate"/>
      </w:r>
      <w:r>
        <w:t>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interests by directors</w:t>
      </w:r>
      <w:r>
        <w:tab/>
      </w:r>
      <w:r>
        <w:fldChar w:fldCharType="begin"/>
      </w:r>
      <w:r>
        <w:instrText xml:space="preserve"> PAGEREF _Toc418866871 \h </w:instrText>
      </w:r>
      <w:r>
        <w:fldChar w:fldCharType="separate"/>
      </w:r>
      <w:r>
        <w:t>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Conflict of interest</w:t>
      </w:r>
      <w:r>
        <w:tab/>
      </w:r>
      <w:r>
        <w:fldChar w:fldCharType="begin"/>
      </w:r>
      <w:r>
        <w:instrText xml:space="preserve"> PAGEREF _Toc418866872 \h </w:instrText>
      </w:r>
      <w:r>
        <w:fldChar w:fldCharType="separate"/>
      </w:r>
      <w:r>
        <w:t>58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_Toc418866873 \h </w:instrText>
      </w:r>
      <w:r>
        <w:fldChar w:fldCharType="separate"/>
      </w:r>
      <w:r>
        <w:t>59</w:t>
      </w:r>
      <w:r>
        <w:fldChar w:fldCharType="end"/>
      </w:r>
    </w:p>
    <w:p>
      <w:pPr>
        <w:pStyle w:val="TOC8"/>
        <w:rPr>
          <w:rFonts w:asciiTheme="minorHAnsi" w:eastAsiaTheme="minorEastAsia" w:hAnsiTheme="minorHAnsi" w:cstheme="minorBidi"/>
          <w:szCs w:val="22"/>
        </w:rPr>
      </w:pPr>
      <w:r>
        <w:rPr>
          <w:snapToGrid w:val="0"/>
        </w:rPr>
        <w:t>12.</w:t>
      </w:r>
      <w:r>
        <w:rPr>
          <w:snapToGrid w:val="0"/>
        </w:rPr>
        <w:tab/>
        <w:t>Quorum</w:t>
      </w:r>
      <w:r>
        <w:tab/>
      </w:r>
      <w:r>
        <w:fldChar w:fldCharType="begin"/>
      </w:r>
      <w:r>
        <w:instrText xml:space="preserve"> PAGEREF _Toc418866874 \h </w:instrText>
      </w:r>
      <w:r>
        <w:fldChar w:fldCharType="separate"/>
      </w:r>
      <w:r>
        <w:t>59</w:t>
      </w:r>
      <w:r>
        <w:fldChar w:fldCharType="end"/>
      </w:r>
    </w:p>
    <w:p>
      <w:pPr>
        <w:pStyle w:val="TOC8"/>
        <w:rPr>
          <w:rFonts w:asciiTheme="minorHAnsi" w:eastAsiaTheme="minorEastAsia" w:hAnsiTheme="minorHAnsi" w:cstheme="minorBidi"/>
          <w:szCs w:val="22"/>
        </w:rPr>
      </w:pPr>
      <w:r>
        <w:rPr>
          <w:snapToGrid w:val="0"/>
        </w:rPr>
        <w:t>13.</w:t>
      </w:r>
      <w:r>
        <w:rPr>
          <w:snapToGrid w:val="0"/>
        </w:rPr>
        <w:tab/>
        <w:t>Minutes</w:t>
      </w:r>
      <w:r>
        <w:tab/>
      </w:r>
      <w:r>
        <w:fldChar w:fldCharType="begin"/>
      </w:r>
      <w:r>
        <w:instrText xml:space="preserve"> PAGEREF _Toc418866875 \h </w:instrText>
      </w:r>
      <w:r>
        <w:fldChar w:fldCharType="separate"/>
      </w:r>
      <w:r>
        <w:t>59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Resolution may be passed without meeting</w:t>
      </w:r>
      <w:r>
        <w:tab/>
      </w:r>
      <w:r>
        <w:fldChar w:fldCharType="begin"/>
      </w:r>
      <w:r>
        <w:instrText xml:space="preserve"> PAGEREF _Toc418866876 \h </w:instrText>
      </w:r>
      <w:r>
        <w:fldChar w:fldCharType="separate"/>
      </w:r>
      <w:r>
        <w:t>59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Leave of absence</w:t>
      </w:r>
      <w:r>
        <w:tab/>
      </w:r>
      <w:r>
        <w:fldChar w:fldCharType="begin"/>
      </w:r>
      <w:r>
        <w:instrText xml:space="preserve"> PAGEREF _Toc418866877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17.</w:t>
      </w:r>
      <w:r>
        <w:rPr>
          <w:snapToGrid w:val="0"/>
        </w:rPr>
        <w:tab/>
        <w:t>Common seals, and the use of facsimiles</w:t>
      </w:r>
      <w:r>
        <w:tab/>
      </w:r>
      <w:r>
        <w:fldChar w:fldCharType="begin"/>
      </w:r>
      <w:r>
        <w:instrText xml:space="preserve"> PAGEREF _Toc418866878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 concerning the Mint</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_Toc418866880 \h </w:instrText>
      </w:r>
      <w:r>
        <w:fldChar w:fldCharType="separate"/>
      </w:r>
      <w:r>
        <w:t>61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arrangements as to employment</w:t>
      </w:r>
      <w:r>
        <w:tab/>
      </w:r>
      <w:r>
        <w:fldChar w:fldCharType="begin"/>
      </w:r>
      <w:r>
        <w:instrText xml:space="preserve"> PAGEREF _Toc418866881 \h </w:instrText>
      </w:r>
      <w:r>
        <w:fldChar w:fldCharType="separate"/>
      </w:r>
      <w:r>
        <w:t>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_Toc418866882 \h </w:instrText>
      </w:r>
      <w:r>
        <w:fldChar w:fldCharType="separate"/>
      </w:r>
      <w:r>
        <w:t>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Continuity of service and superannuation</w:t>
      </w:r>
      <w:r>
        <w:tab/>
      </w:r>
      <w:r>
        <w:fldChar w:fldCharType="begin"/>
      </w:r>
      <w:r>
        <w:instrText xml:space="preserve"> PAGEREF _Toc418866883 \h </w:instrText>
      </w:r>
      <w:r>
        <w:fldChar w:fldCharType="separate"/>
      </w:r>
      <w:r>
        <w:t>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Managing Director of the Mint</w:t>
      </w:r>
      <w:r>
        <w:tab/>
      </w:r>
      <w:r>
        <w:fldChar w:fldCharType="begin"/>
      </w:r>
      <w:r>
        <w:instrText xml:space="preserve"> PAGEREF _Toc418866884 \h </w:instrText>
      </w:r>
      <w:r>
        <w:fldChar w:fldCharType="separate"/>
      </w:r>
      <w:r>
        <w:t>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certain functions of directors of the Mint</w:t>
      </w:r>
      <w:r>
        <w:tab/>
      </w:r>
      <w:r>
        <w:fldChar w:fldCharType="begin"/>
      </w:r>
      <w:r>
        <w:instrText xml:space="preserve"> PAGEREF _Toc418866885 \h </w:instrText>
      </w:r>
      <w:r>
        <w:fldChar w:fldCharType="separate"/>
      </w:r>
      <w:r>
        <w:t>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 for employment benefits</w:t>
      </w:r>
      <w:r>
        <w:tab/>
      </w:r>
      <w:r>
        <w:fldChar w:fldCharType="begin"/>
      </w:r>
      <w:r>
        <w:instrText xml:space="preserve"> PAGEREF _Toc418866886 \h </w:instrText>
      </w:r>
      <w:r>
        <w:fldChar w:fldCharType="separate"/>
      </w:r>
      <w:r>
        <w:t>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Amounts payable to the Consolidated Account</w:t>
      </w:r>
      <w:r>
        <w:tab/>
      </w:r>
      <w:r>
        <w:fldChar w:fldCharType="begin"/>
      </w:r>
      <w:r>
        <w:instrText xml:space="preserve"> PAGEREF _Toc418866887 \h </w:instrText>
      </w:r>
      <w:r>
        <w:fldChar w:fldCharType="separate"/>
      </w:r>
      <w:r>
        <w:t>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Construction of references</w:t>
      </w:r>
      <w:r>
        <w:tab/>
      </w:r>
      <w:r>
        <w:fldChar w:fldCharType="begin"/>
      </w:r>
      <w:r>
        <w:instrText xml:space="preserve"> PAGEREF _Toc418866888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_Toc418866890 \h </w:instrText>
      </w:r>
      <w:r>
        <w:fldChar w:fldCharType="separate"/>
      </w:r>
      <w:r>
        <w:t>68</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_Toc418866891 \h </w:instrText>
      </w:r>
      <w:r>
        <w:fldChar w:fldCharType="separate"/>
      </w:r>
      <w:r>
        <w:t>70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3" w:name="_Toc378258828"/>
      <w:bookmarkStart w:id="4" w:name="_Toc418866797"/>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258829"/>
      <w:bookmarkStart w:id="6" w:name="_Toc418866798"/>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7" w:name="_Toc378258830"/>
      <w:bookmarkStart w:id="8" w:name="_Toc418866799"/>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378258831"/>
      <w:bookmarkStart w:id="10" w:name="_Toc418866800"/>
      <w:r>
        <w:rPr>
          <w:rStyle w:val="CharSectno"/>
        </w:rPr>
        <w:t>3</w:t>
      </w:r>
      <w:r>
        <w:rPr>
          <w:snapToGrid w:val="0"/>
        </w:rPr>
        <w:t>.</w:t>
      </w:r>
      <w:r>
        <w:rPr>
          <w:snapToGrid w:val="0"/>
        </w:rPr>
        <w:tab/>
        <w:t>Terms used in this Act</w:t>
      </w:r>
      <w:bookmarkEnd w:id="9"/>
      <w:bookmarkEnd w:id="1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w:t>
      </w:r>
      <w:smartTag w:uri="urn:schemas-microsoft-com:office:smarttags" w:element="place">
        <w:smartTag w:uri="urn:schemas-microsoft-com:office:smarttags" w:element="country-region">
          <w:r>
            <w:t>Australia</w:t>
          </w:r>
        </w:smartTag>
      </w:smartTag>
      <w:r>
        <w:t xml:space="preserve">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w:t>
      </w:r>
      <w:smartTag w:uri="urn:schemas-microsoft-com:office:smarttags" w:element="place">
        <w:smartTag w:uri="urn:schemas-microsoft-com:office:smarttags" w:element="country-region">
          <w:r>
            <w:t>United Kingdom</w:t>
          </w:r>
        </w:smartTag>
      </w:smartTag>
      <w:r>
        <w:t>;</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11" w:name="_Toc378258832"/>
      <w:bookmarkStart w:id="12" w:name="_Toc418866801"/>
      <w:r>
        <w:rPr>
          <w:rStyle w:val="CharPartNo"/>
        </w:rPr>
        <w:t>Part II</w:t>
      </w:r>
      <w:r>
        <w:rPr>
          <w:rStyle w:val="CharDivNo"/>
        </w:rPr>
        <w:t> </w:t>
      </w:r>
      <w:r>
        <w:t>—</w:t>
      </w:r>
      <w:r>
        <w:rPr>
          <w:rStyle w:val="CharDivText"/>
        </w:rPr>
        <w:t> </w:t>
      </w:r>
      <w:r>
        <w:rPr>
          <w:rStyle w:val="CharPartText"/>
        </w:rPr>
        <w:t>Constitution and administration of Gold Corporation</w:t>
      </w:r>
      <w:bookmarkEnd w:id="11"/>
      <w:bookmarkEnd w:id="12"/>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13" w:name="_Toc378258833"/>
      <w:bookmarkStart w:id="14" w:name="_Toc418866802"/>
      <w:r>
        <w:rPr>
          <w:rStyle w:val="CharSectno"/>
        </w:rPr>
        <w:t>4</w:t>
      </w:r>
      <w:r>
        <w:rPr>
          <w:snapToGrid w:val="0"/>
        </w:rPr>
        <w:t>.</w:t>
      </w:r>
      <w:r>
        <w:rPr>
          <w:snapToGrid w:val="0"/>
        </w:rPr>
        <w:tab/>
        <w:t>Constitution of Gold Corporation as a body corporate</w:t>
      </w:r>
      <w:bookmarkEnd w:id="13"/>
      <w:bookmarkEnd w:id="14"/>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15" w:name="_Toc378258834"/>
      <w:bookmarkStart w:id="16" w:name="_Toc418866803"/>
      <w:r>
        <w:rPr>
          <w:rStyle w:val="CharSectno"/>
        </w:rPr>
        <w:t>5</w:t>
      </w:r>
      <w:r>
        <w:rPr>
          <w:snapToGrid w:val="0"/>
        </w:rPr>
        <w:t>.</w:t>
      </w:r>
      <w:r>
        <w:rPr>
          <w:snapToGrid w:val="0"/>
        </w:rPr>
        <w:tab/>
        <w:t>Constitution of Board of Gold Corporation</w:t>
      </w:r>
      <w:bookmarkEnd w:id="15"/>
      <w:bookmarkEnd w:id="16"/>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17" w:name="_Toc378258835"/>
      <w:bookmarkStart w:id="18" w:name="_Toc418866804"/>
      <w:r>
        <w:rPr>
          <w:rStyle w:val="CharSectno"/>
        </w:rPr>
        <w:t>6</w:t>
      </w:r>
      <w:r>
        <w:rPr>
          <w:snapToGrid w:val="0"/>
        </w:rPr>
        <w:t>.</w:t>
      </w:r>
      <w:r>
        <w:rPr>
          <w:snapToGrid w:val="0"/>
        </w:rPr>
        <w:tab/>
        <w:t>Functions of the Board</w:t>
      </w:r>
      <w:bookmarkEnd w:id="17"/>
      <w:bookmarkEnd w:id="18"/>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 xml:space="preserve">perform the functions and develop and expand the business of Gold Corporation and its subsidiaries for the benefit and to the greatest advantage of the people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19" w:name="_Toc378258836"/>
      <w:bookmarkStart w:id="20" w:name="_Toc418866805"/>
      <w:r>
        <w:rPr>
          <w:rStyle w:val="CharSectno"/>
        </w:rPr>
        <w:t>7</w:t>
      </w:r>
      <w:r>
        <w:rPr>
          <w:snapToGrid w:val="0"/>
        </w:rPr>
        <w:t>.</w:t>
      </w:r>
      <w:r>
        <w:rPr>
          <w:snapToGrid w:val="0"/>
        </w:rPr>
        <w:tab/>
        <w:t>Management of Gold Corporation</w:t>
      </w:r>
      <w:bookmarkEnd w:id="19"/>
      <w:bookmarkEnd w:id="20"/>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21" w:name="_Toc378258837"/>
      <w:bookmarkStart w:id="22" w:name="_Toc418866806"/>
      <w:r>
        <w:rPr>
          <w:rStyle w:val="CharSectno"/>
        </w:rPr>
        <w:t>8</w:t>
      </w:r>
      <w:r>
        <w:rPr>
          <w:snapToGrid w:val="0"/>
        </w:rPr>
        <w:t>.</w:t>
      </w:r>
      <w:r>
        <w:rPr>
          <w:snapToGrid w:val="0"/>
        </w:rPr>
        <w:tab/>
        <w:t>Power to appoint committees</w:t>
      </w:r>
      <w:bookmarkEnd w:id="21"/>
      <w:bookmarkEnd w:id="22"/>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23" w:name="_Toc378258838"/>
      <w:bookmarkStart w:id="24" w:name="_Toc418866807"/>
      <w:r>
        <w:rPr>
          <w:rStyle w:val="CharSectno"/>
        </w:rPr>
        <w:t>9</w:t>
      </w:r>
      <w:r>
        <w:rPr>
          <w:snapToGrid w:val="0"/>
        </w:rPr>
        <w:t>.</w:t>
      </w:r>
      <w:r>
        <w:rPr>
          <w:snapToGrid w:val="0"/>
        </w:rPr>
        <w:tab/>
        <w:t>Power of Board to delegate</w:t>
      </w:r>
      <w:bookmarkEnd w:id="23"/>
      <w:bookmarkEnd w:id="24"/>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25" w:name="_Toc378258839"/>
      <w:bookmarkStart w:id="26" w:name="_Toc418866808"/>
      <w:r>
        <w:rPr>
          <w:rStyle w:val="CharSectno"/>
        </w:rPr>
        <w:t>9A</w:t>
      </w:r>
      <w:r>
        <w:t>.</w:t>
      </w:r>
      <w:r>
        <w:tab/>
        <w:t>Duty to observe policy instruments</w:t>
      </w:r>
      <w:bookmarkEnd w:id="25"/>
      <w:bookmarkEnd w:id="26"/>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27" w:name="_Toc378258840"/>
      <w:bookmarkStart w:id="28" w:name="_Toc418866809"/>
      <w:r>
        <w:rPr>
          <w:rStyle w:val="CharSectno"/>
        </w:rPr>
        <w:t>9B</w:t>
      </w:r>
      <w:r>
        <w:t>.</w:t>
      </w:r>
      <w:r>
        <w:tab/>
        <w:t>Strategic development plan and statement of corporate intent</w:t>
      </w:r>
      <w:bookmarkEnd w:id="27"/>
      <w:bookmarkEnd w:id="28"/>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by No. 28 of 2006 s. 418.]</w:t>
      </w:r>
    </w:p>
    <w:p>
      <w:pPr>
        <w:pStyle w:val="Heading5"/>
      </w:pPr>
      <w:bookmarkStart w:id="29" w:name="_Toc378258841"/>
      <w:bookmarkStart w:id="30" w:name="_Toc418866810"/>
      <w:r>
        <w:rPr>
          <w:rStyle w:val="CharSectno"/>
        </w:rPr>
        <w:t>9C</w:t>
      </w:r>
      <w:r>
        <w:t>.</w:t>
      </w:r>
      <w:r>
        <w:tab/>
        <w:t>Laying directions about strategic development plan or statement of corporate intent before Parliament</w:t>
      </w:r>
      <w:bookmarkEnd w:id="29"/>
      <w:bookmarkEnd w:id="30"/>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31" w:name="_Toc378258842"/>
      <w:bookmarkStart w:id="32" w:name="_Toc418866811"/>
      <w:r>
        <w:rPr>
          <w:rStyle w:val="CharPartNo"/>
        </w:rPr>
        <w:t>Part III</w:t>
      </w:r>
      <w:r>
        <w:rPr>
          <w:rStyle w:val="CharDivNo"/>
        </w:rPr>
        <w:t> </w:t>
      </w:r>
      <w:r>
        <w:t>—</w:t>
      </w:r>
      <w:r>
        <w:rPr>
          <w:rStyle w:val="CharDivText"/>
        </w:rPr>
        <w:t> </w:t>
      </w:r>
      <w:r>
        <w:rPr>
          <w:rStyle w:val="CharPartText"/>
        </w:rPr>
        <w:t>Functions of Gold Corporation</w:t>
      </w:r>
      <w:bookmarkEnd w:id="31"/>
      <w:bookmarkEnd w:id="32"/>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33" w:name="_Toc378258843"/>
      <w:bookmarkStart w:id="34" w:name="_Toc418866812"/>
      <w:r>
        <w:rPr>
          <w:rStyle w:val="CharSectno"/>
        </w:rPr>
        <w:t>10</w:t>
      </w:r>
      <w:r>
        <w:rPr>
          <w:snapToGrid w:val="0"/>
        </w:rPr>
        <w:t>.</w:t>
      </w:r>
      <w:r>
        <w:rPr>
          <w:snapToGrid w:val="0"/>
        </w:rPr>
        <w:tab/>
        <w:t>General functions of Gold Corporation</w:t>
      </w:r>
      <w:bookmarkEnd w:id="33"/>
      <w:bookmarkEnd w:id="34"/>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 xml:space="preserve">to promote and develop markets for gold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 xml:space="preserve">to participate and engage in industry concerned with gold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 xml:space="preserve">to establish and promote </w:t>
      </w:r>
      <w:smartTag w:uri="urn:schemas-microsoft-com:office:smarttags" w:element="place">
        <w:smartTag w:uri="urn:schemas-microsoft-com:office:smarttags" w:element="City">
          <w:r>
            <w:rPr>
              <w:snapToGrid w:val="0"/>
            </w:rPr>
            <w:t>Perth</w:t>
          </w:r>
        </w:smartTag>
      </w:smartTag>
      <w:r>
        <w:rPr>
          <w:snapToGrid w:val="0"/>
        </w:rPr>
        <w:t xml:space="preserve">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 xml:space="preserve">Gold Corporation may carry on its business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35" w:name="_Toc378258844"/>
      <w:bookmarkStart w:id="36" w:name="_Toc418866813"/>
      <w:r>
        <w:rPr>
          <w:rStyle w:val="CharSectno"/>
        </w:rPr>
        <w:t>11</w:t>
      </w:r>
      <w:r>
        <w:rPr>
          <w:snapToGrid w:val="0"/>
        </w:rPr>
        <w:t>.</w:t>
      </w:r>
      <w:r>
        <w:rPr>
          <w:snapToGrid w:val="0"/>
        </w:rPr>
        <w:tab/>
        <w:t>Powers of Gold Corporation</w:t>
      </w:r>
      <w:bookmarkEnd w:id="35"/>
      <w:bookmarkEnd w:id="36"/>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 xml:space="preserve">receive gold on current account, certificate of deposit or fixed deposit, or in any other manner determined by Gold Corporation from time to time, within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37" w:name="_Toc378258845"/>
      <w:bookmarkStart w:id="38" w:name="_Toc418866814"/>
      <w:r>
        <w:rPr>
          <w:rStyle w:val="CharSectno"/>
        </w:rPr>
        <w:t>13</w:t>
      </w:r>
      <w:r>
        <w:rPr>
          <w:snapToGrid w:val="0"/>
        </w:rPr>
        <w:t>.</w:t>
      </w:r>
      <w:r>
        <w:rPr>
          <w:snapToGrid w:val="0"/>
        </w:rPr>
        <w:tab/>
        <w:t>Power to act as agent for Commonwealth or States</w:t>
      </w:r>
      <w:bookmarkEnd w:id="37"/>
      <w:bookmarkEnd w:id="38"/>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39" w:name="_Toc378258846"/>
      <w:bookmarkStart w:id="40" w:name="_Toc418866815"/>
      <w:r>
        <w:rPr>
          <w:rStyle w:val="CharPartNo"/>
        </w:rPr>
        <w:t>Part IV</w:t>
      </w:r>
      <w:r>
        <w:rPr>
          <w:rStyle w:val="CharDivNo"/>
        </w:rPr>
        <w:t> </w:t>
      </w:r>
      <w:r>
        <w:t>—</w:t>
      </w:r>
      <w:r>
        <w:rPr>
          <w:rStyle w:val="CharDivText"/>
        </w:rPr>
        <w:t> </w:t>
      </w:r>
      <w:r>
        <w:rPr>
          <w:rStyle w:val="CharPartText"/>
        </w:rPr>
        <w:t>Financial provisions of Gold Corporation</w:t>
      </w:r>
      <w:bookmarkEnd w:id="39"/>
      <w:bookmarkEnd w:id="40"/>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41" w:name="_Toc378258847"/>
      <w:bookmarkStart w:id="42" w:name="_Toc418866816"/>
      <w:r>
        <w:rPr>
          <w:rStyle w:val="CharSectno"/>
        </w:rPr>
        <w:t>15</w:t>
      </w:r>
      <w:r>
        <w:rPr>
          <w:snapToGrid w:val="0"/>
        </w:rPr>
        <w:t>.</w:t>
      </w:r>
      <w:r>
        <w:rPr>
          <w:snapToGrid w:val="0"/>
        </w:rPr>
        <w:tab/>
        <w:t>Capital of Gold Corporation</w:t>
      </w:r>
      <w:bookmarkEnd w:id="41"/>
      <w:bookmarkEnd w:id="42"/>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43" w:name="_Toc378258848"/>
      <w:bookmarkStart w:id="44" w:name="_Toc418866817"/>
      <w:r>
        <w:rPr>
          <w:rStyle w:val="CharSectno"/>
        </w:rPr>
        <w:t>16</w:t>
      </w:r>
      <w:r>
        <w:rPr>
          <w:snapToGrid w:val="0"/>
        </w:rPr>
        <w:t>.</w:t>
      </w:r>
      <w:r>
        <w:rPr>
          <w:snapToGrid w:val="0"/>
        </w:rPr>
        <w:tab/>
        <w:t>Share issues</w:t>
      </w:r>
      <w:bookmarkEnd w:id="43"/>
      <w:bookmarkEnd w:id="44"/>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45" w:name="_Toc378258849"/>
      <w:bookmarkStart w:id="46" w:name="_Toc418866818"/>
      <w:r>
        <w:rPr>
          <w:rStyle w:val="CharSectno"/>
        </w:rPr>
        <w:t>18</w:t>
      </w:r>
      <w:r>
        <w:rPr>
          <w:snapToGrid w:val="0"/>
        </w:rPr>
        <w:t>.</w:t>
      </w:r>
      <w:r>
        <w:rPr>
          <w:snapToGrid w:val="0"/>
        </w:rPr>
        <w:tab/>
        <w:t>Borrowing from Treasurer</w:t>
      </w:r>
      <w:bookmarkEnd w:id="45"/>
      <w:bookmarkEnd w:id="46"/>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r>
        <w:t>[</w:t>
      </w:r>
      <w:r>
        <w:rPr>
          <w:b/>
        </w:rPr>
        <w:t>20.</w:t>
      </w:r>
      <w:r>
        <w:tab/>
        <w:t xml:space="preserve">Deleted by No. 70 of 2003 s. 29.] </w:t>
      </w:r>
    </w:p>
    <w:p>
      <w:pPr>
        <w:pStyle w:val="Heading5"/>
        <w:rPr>
          <w:snapToGrid w:val="0"/>
        </w:rPr>
      </w:pPr>
      <w:bookmarkStart w:id="47" w:name="_Toc378258850"/>
      <w:bookmarkStart w:id="48" w:name="_Toc418866819"/>
      <w:r>
        <w:rPr>
          <w:rStyle w:val="CharSectno"/>
        </w:rPr>
        <w:t>21</w:t>
      </w:r>
      <w:r>
        <w:rPr>
          <w:snapToGrid w:val="0"/>
        </w:rPr>
        <w:t>.</w:t>
      </w:r>
      <w:r>
        <w:rPr>
          <w:snapToGrid w:val="0"/>
        </w:rPr>
        <w:tab/>
        <w:t>Application of profits</w:t>
      </w:r>
      <w:bookmarkEnd w:id="47"/>
      <w:bookmarkEnd w:id="48"/>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49" w:name="_Toc378258851"/>
      <w:bookmarkStart w:id="50" w:name="_Toc418866820"/>
      <w:r>
        <w:rPr>
          <w:rStyle w:val="CharSectno"/>
        </w:rPr>
        <w:t>22</w:t>
      </w:r>
      <w:r>
        <w:rPr>
          <w:snapToGrid w:val="0"/>
        </w:rPr>
        <w:t>.</w:t>
      </w:r>
      <w:r>
        <w:rPr>
          <w:snapToGrid w:val="0"/>
        </w:rPr>
        <w:tab/>
        <w:t>Guarantee by Treasurer</w:t>
      </w:r>
      <w:bookmarkEnd w:id="49"/>
      <w:bookmarkEnd w:id="50"/>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51" w:name="_Toc378258852"/>
      <w:bookmarkStart w:id="52" w:name="_Toc418866821"/>
      <w:r>
        <w:rPr>
          <w:rStyle w:val="CharSectno"/>
        </w:rPr>
        <w:t>23</w:t>
      </w:r>
      <w:r>
        <w:t>.</w:t>
      </w:r>
      <w:r>
        <w:tab/>
        <w:t>Charges for guarantee</w:t>
      </w:r>
      <w:bookmarkEnd w:id="51"/>
      <w:bookmarkEnd w:id="52"/>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53" w:name="_Toc378258853"/>
      <w:bookmarkStart w:id="54" w:name="_Toc418866822"/>
      <w:r>
        <w:rPr>
          <w:rStyle w:val="CharPartNo"/>
        </w:rPr>
        <w:t>Part VI</w:t>
      </w:r>
      <w:r>
        <w:t> — </w:t>
      </w:r>
      <w:r>
        <w:rPr>
          <w:rStyle w:val="CharPartText"/>
        </w:rPr>
        <w:t>Western Australian Mint</w:t>
      </w:r>
      <w:bookmarkEnd w:id="53"/>
      <w:bookmarkEnd w:id="54"/>
    </w:p>
    <w:p>
      <w:pPr>
        <w:pStyle w:val="Heading3"/>
        <w:rPr>
          <w:snapToGrid w:val="0"/>
        </w:rPr>
      </w:pPr>
      <w:bookmarkStart w:id="55" w:name="_Toc378258854"/>
      <w:bookmarkStart w:id="56" w:name="_Toc418866823"/>
      <w:r>
        <w:rPr>
          <w:rStyle w:val="CharDivNo"/>
        </w:rPr>
        <w:t>Division 1</w:t>
      </w:r>
      <w:r>
        <w:rPr>
          <w:snapToGrid w:val="0"/>
        </w:rPr>
        <w:t> — </w:t>
      </w:r>
      <w:r>
        <w:rPr>
          <w:rStyle w:val="CharDivText"/>
        </w:rPr>
        <w:t>Constitution of the Mint</w:t>
      </w:r>
      <w:bookmarkEnd w:id="55"/>
      <w:bookmarkEnd w:id="56"/>
      <w:r>
        <w:rPr>
          <w:rStyle w:val="CharDivText"/>
        </w:rPr>
        <w:t xml:space="preserve"> </w:t>
      </w:r>
    </w:p>
    <w:p>
      <w:pPr>
        <w:pStyle w:val="Heading5"/>
        <w:rPr>
          <w:snapToGrid w:val="0"/>
        </w:rPr>
      </w:pPr>
      <w:bookmarkStart w:id="57" w:name="_Toc378258855"/>
      <w:bookmarkStart w:id="58" w:name="_Toc418866824"/>
      <w:r>
        <w:rPr>
          <w:rStyle w:val="CharSectno"/>
        </w:rPr>
        <w:t>35</w:t>
      </w:r>
      <w:r>
        <w:rPr>
          <w:snapToGrid w:val="0"/>
        </w:rPr>
        <w:t>.</w:t>
      </w:r>
      <w:r>
        <w:rPr>
          <w:snapToGrid w:val="0"/>
        </w:rPr>
        <w:tab/>
        <w:t>Constitution of the Mint</w:t>
      </w:r>
      <w:bookmarkEnd w:id="57"/>
      <w:bookmarkEnd w:id="58"/>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59" w:name="_Toc378258856"/>
      <w:bookmarkStart w:id="60" w:name="_Toc418866825"/>
      <w:r>
        <w:rPr>
          <w:rStyle w:val="CharSectno"/>
        </w:rPr>
        <w:t>36</w:t>
      </w:r>
      <w:r>
        <w:rPr>
          <w:snapToGrid w:val="0"/>
        </w:rPr>
        <w:t>.</w:t>
      </w:r>
      <w:r>
        <w:rPr>
          <w:snapToGrid w:val="0"/>
        </w:rPr>
        <w:tab/>
        <w:t>Functions of the Mint</w:t>
      </w:r>
      <w:bookmarkEnd w:id="59"/>
      <w:bookmarkEnd w:id="60"/>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61" w:name="_Toc378258857"/>
      <w:bookmarkStart w:id="62" w:name="_Toc418866826"/>
      <w:r>
        <w:rPr>
          <w:rStyle w:val="CharSectno"/>
        </w:rPr>
        <w:t>37</w:t>
      </w:r>
      <w:r>
        <w:rPr>
          <w:snapToGrid w:val="0"/>
        </w:rPr>
        <w:t>.</w:t>
      </w:r>
      <w:r>
        <w:rPr>
          <w:snapToGrid w:val="0"/>
        </w:rPr>
        <w:tab/>
        <w:t>Powers of the Mint</w:t>
      </w:r>
      <w:bookmarkEnd w:id="61"/>
      <w:bookmarkEnd w:id="62"/>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 xml:space="preserve">borrow, lease, buy or otherwise acquire, and sell, lend, lease or otherwise dispose of, gold within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63" w:name="_Toc378258858"/>
      <w:bookmarkStart w:id="64" w:name="_Toc418866827"/>
      <w:r>
        <w:rPr>
          <w:rStyle w:val="CharSectno"/>
        </w:rPr>
        <w:t>38</w:t>
      </w:r>
      <w:r>
        <w:rPr>
          <w:snapToGrid w:val="0"/>
        </w:rPr>
        <w:t>.</w:t>
      </w:r>
      <w:r>
        <w:rPr>
          <w:snapToGrid w:val="0"/>
        </w:rPr>
        <w:tab/>
        <w:t>Prescribed symbols</w:t>
      </w:r>
      <w:bookmarkEnd w:id="63"/>
      <w:bookmarkEnd w:id="64"/>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65" w:name="_Toc378258859"/>
      <w:bookmarkStart w:id="66" w:name="_Toc418866828"/>
      <w:r>
        <w:rPr>
          <w:rStyle w:val="CharSectno"/>
        </w:rPr>
        <w:t>39</w:t>
      </w:r>
      <w:r>
        <w:rPr>
          <w:snapToGrid w:val="0"/>
        </w:rPr>
        <w:t>.</w:t>
      </w:r>
      <w:r>
        <w:rPr>
          <w:snapToGrid w:val="0"/>
        </w:rPr>
        <w:tab/>
        <w:t>Branches of the Mint</w:t>
      </w:r>
      <w:bookmarkEnd w:id="65"/>
      <w:bookmarkEnd w:id="66"/>
      <w:r>
        <w:rPr>
          <w:snapToGrid w:val="0"/>
        </w:rPr>
        <w:t xml:space="preserve"> </w:t>
      </w:r>
    </w:p>
    <w:p>
      <w:pPr>
        <w:pStyle w:val="Subsection"/>
        <w:rPr>
          <w:snapToGrid w:val="0"/>
        </w:rPr>
      </w:pPr>
      <w:r>
        <w:rPr>
          <w:snapToGrid w:val="0"/>
        </w:rPr>
        <w:tab/>
      </w:r>
      <w:r>
        <w:rPr>
          <w:snapToGrid w:val="0"/>
        </w:rPr>
        <w:tab/>
        <w:t xml:space="preserve">The Mint may establish and maintain a branch in </w:t>
      </w:r>
      <w:smartTag w:uri="urn:schemas-microsoft-com:office:smarttags" w:element="place">
        <w:smartTag w:uri="urn:schemas-microsoft-com:office:smarttags" w:element="City">
          <w:r>
            <w:rPr>
              <w:snapToGrid w:val="0"/>
            </w:rPr>
            <w:t>Kalgoorlie</w:t>
          </w:r>
        </w:smartTag>
      </w:smartTag>
      <w:r>
        <w:rPr>
          <w:snapToGrid w:val="0"/>
        </w:rPr>
        <w:t xml:space="preserve"> and with the approval of the Board may establish a branch or branches elsewhere.</w:t>
      </w:r>
    </w:p>
    <w:p>
      <w:pPr>
        <w:pStyle w:val="Heading5"/>
        <w:rPr>
          <w:snapToGrid w:val="0"/>
        </w:rPr>
      </w:pPr>
      <w:bookmarkStart w:id="67" w:name="_Toc378258860"/>
      <w:bookmarkStart w:id="68" w:name="_Toc418866829"/>
      <w:r>
        <w:rPr>
          <w:rStyle w:val="CharSectno"/>
        </w:rPr>
        <w:t>40</w:t>
      </w:r>
      <w:r>
        <w:rPr>
          <w:snapToGrid w:val="0"/>
        </w:rPr>
        <w:t>.</w:t>
      </w:r>
      <w:r>
        <w:rPr>
          <w:snapToGrid w:val="0"/>
        </w:rPr>
        <w:tab/>
        <w:t>Managing director of the Mint</w:t>
      </w:r>
      <w:bookmarkEnd w:id="67"/>
      <w:bookmarkEnd w:id="68"/>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69" w:name="_Toc378258861"/>
      <w:bookmarkStart w:id="70" w:name="_Toc418866830"/>
      <w:r>
        <w:rPr>
          <w:rStyle w:val="CharSectno"/>
        </w:rPr>
        <w:t>41</w:t>
      </w:r>
      <w:r>
        <w:rPr>
          <w:snapToGrid w:val="0"/>
        </w:rPr>
        <w:t>.</w:t>
      </w:r>
      <w:r>
        <w:rPr>
          <w:snapToGrid w:val="0"/>
        </w:rPr>
        <w:tab/>
        <w:t>Employment by the Mint of staff and consultants</w:t>
      </w:r>
      <w:bookmarkEnd w:id="69"/>
      <w:bookmarkEnd w:id="70"/>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 xml:space="preserve">The Board may appoint such employees of the Mint outside </w:t>
      </w:r>
      <w:smartTag w:uri="urn:schemas-microsoft-com:office:smarttags" w:element="place">
        <w:smartTag w:uri="urn:schemas-microsoft-com:office:smarttags" w:element="State">
          <w:r>
            <w:rPr>
              <w:snapToGrid w:val="0"/>
            </w:rPr>
            <w:t>Western Australia</w:t>
          </w:r>
        </w:smartTag>
      </w:smartTag>
      <w:r>
        <w:rPr>
          <w:snapToGrid w:val="0"/>
        </w:rPr>
        <w:t xml:space="preserve">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71" w:name="_Toc378258862"/>
      <w:bookmarkStart w:id="72" w:name="_Toc418866831"/>
      <w:r>
        <w:rPr>
          <w:rStyle w:val="CharDivNo"/>
        </w:rPr>
        <w:t>Division 2</w:t>
      </w:r>
      <w:r>
        <w:rPr>
          <w:snapToGrid w:val="0"/>
        </w:rPr>
        <w:t> — </w:t>
      </w:r>
      <w:r>
        <w:rPr>
          <w:rStyle w:val="CharDivText"/>
        </w:rPr>
        <w:t>Financial provisions of the Mint</w:t>
      </w:r>
      <w:bookmarkEnd w:id="71"/>
      <w:bookmarkEnd w:id="72"/>
      <w:r>
        <w:rPr>
          <w:rStyle w:val="CharDivText"/>
        </w:rPr>
        <w:t xml:space="preserve"> </w:t>
      </w:r>
    </w:p>
    <w:p>
      <w:pPr>
        <w:pStyle w:val="Heading5"/>
        <w:rPr>
          <w:snapToGrid w:val="0"/>
        </w:rPr>
      </w:pPr>
      <w:bookmarkStart w:id="73" w:name="_Toc378258863"/>
      <w:bookmarkStart w:id="74" w:name="_Toc418866832"/>
      <w:r>
        <w:rPr>
          <w:rStyle w:val="CharSectno"/>
        </w:rPr>
        <w:t>42</w:t>
      </w:r>
      <w:r>
        <w:rPr>
          <w:snapToGrid w:val="0"/>
        </w:rPr>
        <w:t>.</w:t>
      </w:r>
      <w:r>
        <w:rPr>
          <w:snapToGrid w:val="0"/>
        </w:rPr>
        <w:tab/>
        <w:t>Moneys available to the Mint</w:t>
      </w:r>
      <w:bookmarkEnd w:id="73"/>
      <w:bookmarkEnd w:id="74"/>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75" w:name="_Toc378258864"/>
      <w:bookmarkStart w:id="76" w:name="_Toc418866833"/>
      <w:r>
        <w:rPr>
          <w:rStyle w:val="CharSectno"/>
        </w:rPr>
        <w:t>43</w:t>
      </w:r>
      <w:r>
        <w:rPr>
          <w:snapToGrid w:val="0"/>
        </w:rPr>
        <w:t>.</w:t>
      </w:r>
      <w:r>
        <w:rPr>
          <w:snapToGrid w:val="0"/>
        </w:rPr>
        <w:tab/>
        <w:t>Recovery of fees and charges</w:t>
      </w:r>
      <w:bookmarkEnd w:id="75"/>
      <w:bookmarkEnd w:id="76"/>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77" w:name="_Toc378258865"/>
      <w:bookmarkStart w:id="78" w:name="_Toc418866834"/>
      <w:r>
        <w:rPr>
          <w:rStyle w:val="CharSectno"/>
        </w:rPr>
        <w:t>44</w:t>
      </w:r>
      <w:r>
        <w:rPr>
          <w:snapToGrid w:val="0"/>
        </w:rPr>
        <w:t>.</w:t>
      </w:r>
      <w:r>
        <w:rPr>
          <w:snapToGrid w:val="0"/>
        </w:rPr>
        <w:tab/>
        <w:t>Payments to Gold Corporation</w:t>
      </w:r>
      <w:bookmarkEnd w:id="77"/>
      <w:bookmarkEnd w:id="78"/>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79" w:name="_Toc378258866"/>
      <w:bookmarkStart w:id="80" w:name="_Toc418866835"/>
      <w:r>
        <w:rPr>
          <w:rStyle w:val="CharDivNo"/>
        </w:rPr>
        <w:t>Division 3</w:t>
      </w:r>
      <w:r>
        <w:rPr>
          <w:snapToGrid w:val="0"/>
        </w:rPr>
        <w:t> — </w:t>
      </w:r>
      <w:r>
        <w:rPr>
          <w:rStyle w:val="CharDivText"/>
        </w:rPr>
        <w:t>Security provisions</w:t>
      </w:r>
      <w:bookmarkEnd w:id="79"/>
      <w:bookmarkEnd w:id="80"/>
      <w:r>
        <w:rPr>
          <w:rStyle w:val="CharDivText"/>
        </w:rPr>
        <w:t xml:space="preserve"> </w:t>
      </w:r>
    </w:p>
    <w:p>
      <w:pPr>
        <w:pStyle w:val="Heading5"/>
        <w:rPr>
          <w:snapToGrid w:val="0"/>
        </w:rPr>
      </w:pPr>
      <w:bookmarkStart w:id="81" w:name="_Toc378258867"/>
      <w:bookmarkStart w:id="82" w:name="_Toc418866836"/>
      <w:r>
        <w:rPr>
          <w:rStyle w:val="CharSectno"/>
        </w:rPr>
        <w:t>45</w:t>
      </w:r>
      <w:r>
        <w:rPr>
          <w:snapToGrid w:val="0"/>
        </w:rPr>
        <w:t>.</w:t>
      </w:r>
      <w:r>
        <w:rPr>
          <w:snapToGrid w:val="0"/>
        </w:rPr>
        <w:tab/>
        <w:t>Title to gold and other residues</w:t>
      </w:r>
      <w:bookmarkEnd w:id="81"/>
      <w:bookmarkEnd w:id="8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83" w:name="_Toc378258868"/>
      <w:bookmarkStart w:id="84" w:name="_Toc418866837"/>
      <w:r>
        <w:rPr>
          <w:rStyle w:val="CharSectno"/>
        </w:rPr>
        <w:t>46</w:t>
      </w:r>
      <w:r>
        <w:rPr>
          <w:snapToGrid w:val="0"/>
        </w:rPr>
        <w:t>.</w:t>
      </w:r>
      <w:r>
        <w:rPr>
          <w:snapToGrid w:val="0"/>
        </w:rPr>
        <w:tab/>
        <w:t>Detention of suspects</w:t>
      </w:r>
      <w:bookmarkEnd w:id="83"/>
      <w:bookmarkEnd w:id="84"/>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85" w:name="_Toc378258869"/>
      <w:bookmarkStart w:id="86" w:name="_Toc418866838"/>
      <w:r>
        <w:rPr>
          <w:rStyle w:val="CharSectno"/>
        </w:rPr>
        <w:t>47</w:t>
      </w:r>
      <w:r>
        <w:rPr>
          <w:snapToGrid w:val="0"/>
        </w:rPr>
        <w:t>.</w:t>
      </w:r>
      <w:r>
        <w:rPr>
          <w:snapToGrid w:val="0"/>
        </w:rPr>
        <w:tab/>
        <w:t>Protection of the Mint name, symbol etc.</w:t>
      </w:r>
      <w:bookmarkEnd w:id="85"/>
      <w:bookmarkEnd w:id="86"/>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87" w:name="_Toc378258870"/>
      <w:bookmarkStart w:id="88" w:name="_Toc418866839"/>
      <w:r>
        <w:rPr>
          <w:rStyle w:val="CharPartNo"/>
        </w:rPr>
        <w:t>Part VII</w:t>
      </w:r>
      <w:r>
        <w:rPr>
          <w:rStyle w:val="CharDivNo"/>
        </w:rPr>
        <w:t> </w:t>
      </w:r>
      <w:r>
        <w:t>—</w:t>
      </w:r>
      <w:r>
        <w:rPr>
          <w:rStyle w:val="CharDivText"/>
        </w:rPr>
        <w:t> </w:t>
      </w:r>
      <w:r>
        <w:rPr>
          <w:rStyle w:val="CharPartText"/>
        </w:rPr>
        <w:t xml:space="preserve">GoldCorp </w:t>
      </w:r>
      <w:smartTag w:uri="urn:schemas-microsoft-com:office:smarttags" w:element="place">
        <w:smartTag w:uri="urn:schemas-microsoft-com:office:smarttags" w:element="country-region">
          <w:r>
            <w:rPr>
              <w:rStyle w:val="CharPartText"/>
            </w:rPr>
            <w:t>Australia</w:t>
          </w:r>
        </w:smartTag>
      </w:smartTag>
      <w:bookmarkEnd w:id="87"/>
      <w:bookmarkEnd w:id="88"/>
      <w:r>
        <w:rPr>
          <w:rStyle w:val="CharPartText"/>
        </w:rPr>
        <w:t xml:space="preserve"> </w:t>
      </w:r>
    </w:p>
    <w:p>
      <w:pPr>
        <w:pStyle w:val="Heading5"/>
        <w:rPr>
          <w:snapToGrid w:val="0"/>
        </w:rPr>
      </w:pPr>
      <w:bookmarkStart w:id="89" w:name="_Toc378258871"/>
      <w:bookmarkStart w:id="90" w:name="_Toc418866840"/>
      <w:r>
        <w:rPr>
          <w:rStyle w:val="CharSectno"/>
        </w:rPr>
        <w:t>48</w:t>
      </w:r>
      <w:r>
        <w:rPr>
          <w:snapToGrid w:val="0"/>
        </w:rPr>
        <w:t>.</w:t>
      </w:r>
      <w:r>
        <w:rPr>
          <w:snapToGrid w:val="0"/>
        </w:rPr>
        <w:tab/>
        <w:t xml:space="preserve">Constitution of GoldCorp </w:t>
      </w:r>
      <w:smartTag w:uri="urn:schemas-microsoft-com:office:smarttags" w:element="place">
        <w:smartTag w:uri="urn:schemas-microsoft-com:office:smarttags" w:element="country-region">
          <w:r>
            <w:rPr>
              <w:snapToGrid w:val="0"/>
            </w:rPr>
            <w:t>Australia</w:t>
          </w:r>
        </w:smartTag>
      </w:smartTag>
      <w:r>
        <w:rPr>
          <w:snapToGrid w:val="0"/>
        </w:rPr>
        <w:t xml:space="preserve"> as a body corporate</w:t>
      </w:r>
      <w:bookmarkEnd w:id="89"/>
      <w:bookmarkEnd w:id="90"/>
      <w:r>
        <w:rPr>
          <w:snapToGrid w:val="0"/>
        </w:rPr>
        <w:t xml:space="preserve"> </w:t>
      </w:r>
    </w:p>
    <w:p>
      <w:pPr>
        <w:pStyle w:val="Subsection"/>
        <w:rPr>
          <w:snapToGrid w:val="0"/>
        </w:rPr>
      </w:pPr>
      <w:r>
        <w:rPr>
          <w:snapToGrid w:val="0"/>
        </w:rPr>
        <w:tab/>
        <w:t>(1)</w:t>
      </w:r>
      <w:r>
        <w:rPr>
          <w:snapToGrid w:val="0"/>
        </w:rPr>
        <w:tab/>
        <w:t xml:space="preserve">There is hereby established a body corporate to be called GoldCorp </w:t>
      </w:r>
      <w:smartTag w:uri="urn:schemas-microsoft-com:office:smarttags" w:element="place">
        <w:smartTag w:uri="urn:schemas-microsoft-com:office:smarttags" w:element="country-region">
          <w:r>
            <w:rPr>
              <w:snapToGrid w:val="0"/>
            </w:rPr>
            <w:t>Australia</w:t>
          </w:r>
        </w:smartTag>
      </w:smartTag>
      <w:r>
        <w:rPr>
          <w:snapToGrid w:val="0"/>
        </w:rPr>
        <w:t xml:space="preserve">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91" w:name="_Toc378258872"/>
      <w:bookmarkStart w:id="92" w:name="_Toc418866841"/>
      <w:r>
        <w:rPr>
          <w:rStyle w:val="CharSectno"/>
        </w:rPr>
        <w:t>49</w:t>
      </w:r>
      <w:r>
        <w:rPr>
          <w:snapToGrid w:val="0"/>
        </w:rPr>
        <w:t>.</w:t>
      </w:r>
      <w:r>
        <w:rPr>
          <w:snapToGrid w:val="0"/>
        </w:rPr>
        <w:tab/>
        <w:t>Functions of GoldCorp</w:t>
      </w:r>
      <w:bookmarkEnd w:id="91"/>
      <w:bookmarkEnd w:id="92"/>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 xml:space="preserve">to develop, promote and market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93" w:name="_Toc378258873"/>
      <w:bookmarkStart w:id="94" w:name="_Toc418866842"/>
      <w:r>
        <w:rPr>
          <w:rStyle w:val="CharSectno"/>
        </w:rPr>
        <w:t>50</w:t>
      </w:r>
      <w:r>
        <w:rPr>
          <w:snapToGrid w:val="0"/>
        </w:rPr>
        <w:t>.</w:t>
      </w:r>
      <w:r>
        <w:rPr>
          <w:snapToGrid w:val="0"/>
        </w:rPr>
        <w:tab/>
        <w:t>Powers of GoldCorp</w:t>
      </w:r>
      <w:bookmarkEnd w:id="93"/>
      <w:bookmarkEnd w:id="94"/>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 xml:space="preserve">form or establish subsidiaries or appoint agents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95" w:name="_Toc378258874"/>
      <w:bookmarkStart w:id="96" w:name="_Toc418866843"/>
      <w:r>
        <w:rPr>
          <w:rStyle w:val="CharSectno"/>
        </w:rPr>
        <w:t>51</w:t>
      </w:r>
      <w:r>
        <w:rPr>
          <w:snapToGrid w:val="0"/>
        </w:rPr>
        <w:t>.</w:t>
      </w:r>
      <w:r>
        <w:rPr>
          <w:snapToGrid w:val="0"/>
        </w:rPr>
        <w:tab/>
        <w:t>Managing director of GoldCorp</w:t>
      </w:r>
      <w:bookmarkEnd w:id="95"/>
      <w:bookmarkEnd w:id="9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97" w:name="_Toc378258875"/>
      <w:bookmarkStart w:id="98" w:name="_Toc418866844"/>
      <w:r>
        <w:rPr>
          <w:rStyle w:val="CharSectno"/>
        </w:rPr>
        <w:t>52</w:t>
      </w:r>
      <w:r>
        <w:rPr>
          <w:snapToGrid w:val="0"/>
        </w:rPr>
        <w:t>.</w:t>
      </w:r>
      <w:r>
        <w:rPr>
          <w:snapToGrid w:val="0"/>
        </w:rPr>
        <w:tab/>
        <w:t>Employment by GoldCorp of staff and consultants</w:t>
      </w:r>
      <w:bookmarkEnd w:id="97"/>
      <w:bookmarkEnd w:id="98"/>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 xml:space="preserve">The Board may appoint such employees of GoldCorp outside </w:t>
      </w:r>
      <w:smartTag w:uri="urn:schemas-microsoft-com:office:smarttags" w:element="place">
        <w:smartTag w:uri="urn:schemas-microsoft-com:office:smarttags" w:element="State">
          <w:r>
            <w:rPr>
              <w:snapToGrid w:val="0"/>
            </w:rPr>
            <w:t>Western Australia</w:t>
          </w:r>
        </w:smartTag>
      </w:smartTag>
      <w:r>
        <w:rPr>
          <w:snapToGrid w:val="0"/>
        </w:rPr>
        <w:t xml:space="preserve">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99" w:name="_Toc378258876"/>
      <w:bookmarkStart w:id="100" w:name="_Toc418866845"/>
      <w:r>
        <w:rPr>
          <w:rStyle w:val="CharSectno"/>
        </w:rPr>
        <w:t>53</w:t>
      </w:r>
      <w:r>
        <w:rPr>
          <w:snapToGrid w:val="0"/>
        </w:rPr>
        <w:t>.</w:t>
      </w:r>
      <w:r>
        <w:rPr>
          <w:snapToGrid w:val="0"/>
        </w:rPr>
        <w:tab/>
        <w:t>Payments to Gold Corporation</w:t>
      </w:r>
      <w:bookmarkEnd w:id="99"/>
      <w:bookmarkEnd w:id="100"/>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101" w:name="_Toc378258877"/>
      <w:bookmarkStart w:id="102" w:name="_Toc418866846"/>
      <w:r>
        <w:rPr>
          <w:rStyle w:val="CharPartNo"/>
        </w:rPr>
        <w:t>Part VIII</w:t>
      </w:r>
      <w:r>
        <w:rPr>
          <w:rStyle w:val="CharDivNo"/>
        </w:rPr>
        <w:t> </w:t>
      </w:r>
      <w:r>
        <w:t>—</w:t>
      </w:r>
      <w:r>
        <w:rPr>
          <w:rStyle w:val="CharDivText"/>
        </w:rPr>
        <w:t> </w:t>
      </w:r>
      <w:r>
        <w:rPr>
          <w:rStyle w:val="CharPartText"/>
        </w:rPr>
        <w:t>Accounts and audit</w:t>
      </w:r>
      <w:bookmarkEnd w:id="101"/>
      <w:bookmarkEnd w:id="102"/>
      <w:r>
        <w:rPr>
          <w:rStyle w:val="CharPartText"/>
        </w:rPr>
        <w:t xml:space="preserve"> </w:t>
      </w:r>
    </w:p>
    <w:p>
      <w:pPr>
        <w:pStyle w:val="Heading5"/>
        <w:rPr>
          <w:snapToGrid w:val="0"/>
        </w:rPr>
      </w:pPr>
      <w:bookmarkStart w:id="103" w:name="_Toc378258878"/>
      <w:bookmarkStart w:id="104" w:name="_Toc418866847"/>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3"/>
      <w:bookmarkEnd w:id="104"/>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 xml:space="preserve">the subsidiaries of Gold Corporation known respectively as the Western Australian Mint and as GoldCorp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105" w:name="_Toc378258879"/>
      <w:bookmarkStart w:id="106" w:name="_Toc418866848"/>
      <w:r>
        <w:rPr>
          <w:rStyle w:val="CharSectno"/>
        </w:rPr>
        <w:t>55</w:t>
      </w:r>
      <w:r>
        <w:rPr>
          <w:snapToGrid w:val="0"/>
        </w:rPr>
        <w:t>.</w:t>
      </w:r>
      <w:r>
        <w:rPr>
          <w:snapToGrid w:val="0"/>
        </w:rPr>
        <w:tab/>
        <w:t>Funding</w:t>
      </w:r>
      <w:bookmarkEnd w:id="105"/>
      <w:bookmarkEnd w:id="106"/>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107" w:name="_Toc378258880"/>
      <w:bookmarkStart w:id="108" w:name="_Toc418866849"/>
      <w:r>
        <w:rPr>
          <w:rStyle w:val="CharPartNo"/>
        </w:rPr>
        <w:t>Part IX</w:t>
      </w:r>
      <w:r>
        <w:rPr>
          <w:rStyle w:val="CharDivNo"/>
        </w:rPr>
        <w:t> </w:t>
      </w:r>
      <w:r>
        <w:t>—</w:t>
      </w:r>
      <w:r>
        <w:rPr>
          <w:rStyle w:val="CharDivText"/>
        </w:rPr>
        <w:t> </w:t>
      </w:r>
      <w:r>
        <w:rPr>
          <w:rStyle w:val="CharPartText"/>
        </w:rPr>
        <w:t>Miscellaneous matters</w:t>
      </w:r>
      <w:bookmarkEnd w:id="107"/>
      <w:bookmarkEnd w:id="108"/>
      <w:r>
        <w:rPr>
          <w:rStyle w:val="CharPartText"/>
        </w:rPr>
        <w:t xml:space="preserve"> </w:t>
      </w:r>
    </w:p>
    <w:p>
      <w:pPr>
        <w:pStyle w:val="Heading5"/>
        <w:rPr>
          <w:snapToGrid w:val="0"/>
        </w:rPr>
      </w:pPr>
      <w:bookmarkStart w:id="109" w:name="_Toc378258881"/>
      <w:bookmarkStart w:id="110" w:name="_Toc418866850"/>
      <w:r>
        <w:rPr>
          <w:rStyle w:val="CharSectno"/>
        </w:rPr>
        <w:t>67</w:t>
      </w:r>
      <w:r>
        <w:rPr>
          <w:snapToGrid w:val="0"/>
        </w:rPr>
        <w:t>.</w:t>
      </w:r>
      <w:r>
        <w:rPr>
          <w:snapToGrid w:val="0"/>
        </w:rPr>
        <w:tab/>
        <w:t>Title to gold etc.</w:t>
      </w:r>
      <w:bookmarkEnd w:id="109"/>
      <w:bookmarkEnd w:id="110"/>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by No. 10 of 1990 s. 6; No. 42 of 2011 s. 93.] </w:t>
      </w:r>
    </w:p>
    <w:p>
      <w:pPr>
        <w:pStyle w:val="Heading5"/>
        <w:rPr>
          <w:snapToGrid w:val="0"/>
        </w:rPr>
      </w:pPr>
      <w:bookmarkStart w:id="111" w:name="_Toc378258882"/>
      <w:bookmarkStart w:id="112" w:name="_Toc418866851"/>
      <w:r>
        <w:rPr>
          <w:rStyle w:val="CharSectno"/>
        </w:rPr>
        <w:t>68</w:t>
      </w:r>
      <w:r>
        <w:rPr>
          <w:snapToGrid w:val="0"/>
        </w:rPr>
        <w:t>.</w:t>
      </w:r>
      <w:r>
        <w:rPr>
          <w:snapToGrid w:val="0"/>
        </w:rPr>
        <w:tab/>
        <w:t>Employment by Gold Corporation of staff and consultants</w:t>
      </w:r>
      <w:bookmarkEnd w:id="111"/>
      <w:bookmarkEnd w:id="112"/>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 xml:space="preserve">The Board may appoint such employees of Gold Corporation outside </w:t>
      </w:r>
      <w:smartTag w:uri="urn:schemas-microsoft-com:office:smarttags" w:element="place">
        <w:smartTag w:uri="urn:schemas-microsoft-com:office:smarttags" w:element="State">
          <w:r>
            <w:rPr>
              <w:snapToGrid w:val="0"/>
            </w:rPr>
            <w:t>Western Australia</w:t>
          </w:r>
        </w:smartTag>
      </w:smartTag>
      <w:r>
        <w:rPr>
          <w:snapToGrid w:val="0"/>
        </w:rPr>
        <w:t xml:space="preserve">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113" w:name="_Toc378258883"/>
      <w:bookmarkStart w:id="114" w:name="_Toc418866852"/>
      <w:r>
        <w:rPr>
          <w:rStyle w:val="CharSectno"/>
        </w:rPr>
        <w:t>69</w:t>
      </w:r>
      <w:r>
        <w:rPr>
          <w:snapToGrid w:val="0"/>
        </w:rPr>
        <w:t>.</w:t>
      </w:r>
      <w:r>
        <w:rPr>
          <w:snapToGrid w:val="0"/>
        </w:rPr>
        <w:tab/>
        <w:t>Use of staff and facilities of departments and instrumentalities etc.</w:t>
      </w:r>
      <w:bookmarkEnd w:id="113"/>
      <w:bookmarkEnd w:id="114"/>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115" w:name="_Toc378258884"/>
      <w:bookmarkStart w:id="116" w:name="_Toc418866853"/>
      <w:r>
        <w:rPr>
          <w:rStyle w:val="CharSectno"/>
        </w:rPr>
        <w:t>70</w:t>
      </w:r>
      <w:r>
        <w:rPr>
          <w:snapToGrid w:val="0"/>
        </w:rPr>
        <w:t>.</w:t>
      </w:r>
      <w:r>
        <w:rPr>
          <w:snapToGrid w:val="0"/>
        </w:rPr>
        <w:tab/>
        <w:t>Superannuation</w:t>
      </w:r>
      <w:bookmarkEnd w:id="115"/>
      <w:bookmarkEnd w:id="116"/>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117" w:name="_Toc378258885"/>
      <w:bookmarkStart w:id="118" w:name="_Toc418866854"/>
      <w:r>
        <w:rPr>
          <w:rStyle w:val="CharSectno"/>
        </w:rPr>
        <w:t>71</w:t>
      </w:r>
      <w:r>
        <w:rPr>
          <w:snapToGrid w:val="0"/>
        </w:rPr>
        <w:t>.</w:t>
      </w:r>
      <w:r>
        <w:rPr>
          <w:snapToGrid w:val="0"/>
        </w:rPr>
        <w:tab/>
        <w:t>Duty and liability of directors</w:t>
      </w:r>
      <w:bookmarkEnd w:id="117"/>
      <w:bookmarkEnd w:id="118"/>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119" w:name="_Toc378258886"/>
      <w:bookmarkStart w:id="120" w:name="_Toc418866855"/>
      <w:r>
        <w:rPr>
          <w:rStyle w:val="CharSectno"/>
        </w:rPr>
        <w:t>72</w:t>
      </w:r>
      <w:r>
        <w:rPr>
          <w:snapToGrid w:val="0"/>
        </w:rPr>
        <w:t>.</w:t>
      </w:r>
      <w:r>
        <w:rPr>
          <w:snapToGrid w:val="0"/>
        </w:rPr>
        <w:tab/>
        <w:t>Improper use of position or information</w:t>
      </w:r>
      <w:bookmarkEnd w:id="119"/>
      <w:bookmarkEnd w:id="120"/>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121" w:name="_Toc378258887"/>
      <w:bookmarkStart w:id="122" w:name="_Toc418866856"/>
      <w:r>
        <w:rPr>
          <w:rStyle w:val="CharSectno"/>
        </w:rPr>
        <w:t>73</w:t>
      </w:r>
      <w:r>
        <w:rPr>
          <w:snapToGrid w:val="0"/>
        </w:rPr>
        <w:t>.</w:t>
      </w:r>
      <w:r>
        <w:rPr>
          <w:snapToGrid w:val="0"/>
        </w:rPr>
        <w:tab/>
        <w:t>Contravention of sections 71 and 72</w:t>
      </w:r>
      <w:bookmarkEnd w:id="121"/>
      <w:bookmarkEnd w:id="122"/>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123" w:name="_Toc378258888"/>
      <w:bookmarkStart w:id="124" w:name="_Toc418866857"/>
      <w:r>
        <w:rPr>
          <w:rStyle w:val="CharSectno"/>
        </w:rPr>
        <w:t>74</w:t>
      </w:r>
      <w:r>
        <w:rPr>
          <w:snapToGrid w:val="0"/>
        </w:rPr>
        <w:t>.</w:t>
      </w:r>
      <w:r>
        <w:rPr>
          <w:snapToGrid w:val="0"/>
        </w:rPr>
        <w:tab/>
        <w:t>Secrecy and security of records of Gold Corporation and its subsidiaries</w:t>
      </w:r>
      <w:bookmarkEnd w:id="123"/>
      <w:bookmarkEnd w:id="124"/>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125" w:name="_Toc378258889"/>
      <w:bookmarkStart w:id="126" w:name="_Toc418866858"/>
      <w:r>
        <w:rPr>
          <w:rStyle w:val="CharSectno"/>
        </w:rPr>
        <w:t>75</w:t>
      </w:r>
      <w:r>
        <w:rPr>
          <w:snapToGrid w:val="0"/>
        </w:rPr>
        <w:t>.</w:t>
      </w:r>
      <w:r>
        <w:rPr>
          <w:snapToGrid w:val="0"/>
        </w:rPr>
        <w:tab/>
        <w:t>Security</w:t>
      </w:r>
      <w:bookmarkEnd w:id="125"/>
      <w:bookmarkEnd w:id="12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127" w:name="_Toc378258890"/>
      <w:bookmarkStart w:id="128" w:name="_Toc418866859"/>
      <w:r>
        <w:rPr>
          <w:rStyle w:val="CharSectno"/>
        </w:rPr>
        <w:t>76</w:t>
      </w:r>
      <w:r>
        <w:rPr>
          <w:snapToGrid w:val="0"/>
        </w:rPr>
        <w:t>.</w:t>
      </w:r>
      <w:r>
        <w:rPr>
          <w:snapToGrid w:val="0"/>
        </w:rPr>
        <w:tab/>
        <w:t>Offences by bodies corporate</w:t>
      </w:r>
      <w:bookmarkEnd w:id="127"/>
      <w:bookmarkEnd w:id="128"/>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129" w:name="_Toc378258891"/>
      <w:bookmarkStart w:id="130" w:name="_Toc418866860"/>
      <w:r>
        <w:rPr>
          <w:rStyle w:val="CharSectno"/>
        </w:rPr>
        <w:t>77</w:t>
      </w:r>
      <w:r>
        <w:rPr>
          <w:snapToGrid w:val="0"/>
        </w:rPr>
        <w:t>.</w:t>
      </w:r>
      <w:r>
        <w:rPr>
          <w:snapToGrid w:val="0"/>
        </w:rPr>
        <w:tab/>
        <w:t>Regulations</w:t>
      </w:r>
      <w:bookmarkEnd w:id="129"/>
      <w:bookmarkEnd w:id="13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131" w:name="_Toc378258892"/>
      <w:bookmarkStart w:id="132" w:name="_Toc418866861"/>
      <w:r>
        <w:rPr>
          <w:rStyle w:val="CharSectno"/>
        </w:rPr>
        <w:t>78</w:t>
      </w:r>
      <w:r>
        <w:rPr>
          <w:snapToGrid w:val="0"/>
        </w:rPr>
        <w:t>.</w:t>
      </w:r>
      <w:r>
        <w:rPr>
          <w:snapToGrid w:val="0"/>
        </w:rPr>
        <w:tab/>
        <w:t>Repeal</w:t>
      </w:r>
      <w:bookmarkEnd w:id="131"/>
      <w:bookmarkEnd w:id="132"/>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3" w:name="_Toc378258893"/>
      <w:bookmarkStart w:id="134" w:name="_Toc418866862"/>
      <w:r>
        <w:rPr>
          <w:rStyle w:val="CharSchNo"/>
        </w:rPr>
        <w:t>Schedule 1</w:t>
      </w:r>
      <w:r>
        <w:t> — </w:t>
      </w:r>
      <w:r>
        <w:rPr>
          <w:rStyle w:val="CharSchText"/>
        </w:rPr>
        <w:t>Provisions concerning directors and the procedure of the Board</w:t>
      </w:r>
      <w:bookmarkEnd w:id="133"/>
      <w:bookmarkEnd w:id="134"/>
    </w:p>
    <w:p>
      <w:pPr>
        <w:pStyle w:val="yShoulderClause"/>
        <w:rPr>
          <w:snapToGrid w:val="0"/>
        </w:rPr>
      </w:pPr>
      <w:r>
        <w:rPr>
          <w:snapToGrid w:val="0"/>
        </w:rPr>
        <w:t>[s. 5(4)]</w:t>
      </w:r>
    </w:p>
    <w:p>
      <w:pPr>
        <w:pStyle w:val="yFootnoteheading"/>
      </w:pPr>
      <w:r>
        <w:tab/>
        <w:t>[Heading amended by No. 19 of 2010 s. 4.]</w:t>
      </w:r>
    </w:p>
    <w:p>
      <w:pPr>
        <w:pStyle w:val="yHeading5"/>
        <w:rPr>
          <w:snapToGrid w:val="0"/>
        </w:rPr>
      </w:pPr>
      <w:bookmarkStart w:id="135" w:name="_Toc378258894"/>
      <w:bookmarkStart w:id="136" w:name="_Toc418866863"/>
      <w:r>
        <w:rPr>
          <w:rStyle w:val="CharSClsNo"/>
        </w:rPr>
        <w:t>1</w:t>
      </w:r>
      <w:r>
        <w:rPr>
          <w:snapToGrid w:val="0"/>
        </w:rPr>
        <w:t>.</w:t>
      </w:r>
      <w:r>
        <w:rPr>
          <w:snapToGrid w:val="0"/>
        </w:rPr>
        <w:tab/>
        <w:t>Term of office of directors</w:t>
      </w:r>
      <w:bookmarkEnd w:id="135"/>
      <w:bookmarkEnd w:id="136"/>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by No. 10 of 1990 s. 6 and 33(a); No. 28 of 2006 s. 423(1).] </w:t>
      </w:r>
    </w:p>
    <w:p>
      <w:pPr>
        <w:pStyle w:val="yHeading5"/>
        <w:rPr>
          <w:snapToGrid w:val="0"/>
        </w:rPr>
      </w:pPr>
      <w:bookmarkStart w:id="137" w:name="_Toc378258895"/>
      <w:bookmarkStart w:id="138" w:name="_Toc418866864"/>
      <w:r>
        <w:rPr>
          <w:rStyle w:val="CharSClsNo"/>
        </w:rPr>
        <w:t>2</w:t>
      </w:r>
      <w:r>
        <w:rPr>
          <w:snapToGrid w:val="0"/>
        </w:rPr>
        <w:t>.</w:t>
      </w:r>
      <w:r>
        <w:rPr>
          <w:snapToGrid w:val="0"/>
        </w:rPr>
        <w:tab/>
        <w:t>Vacation of office</w:t>
      </w:r>
      <w:bookmarkEnd w:id="137"/>
      <w:bookmarkEnd w:id="138"/>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by No. 20 of 2003 s. 29(1).]</w:t>
      </w:r>
    </w:p>
    <w:p>
      <w:pPr>
        <w:pStyle w:val="yHeading5"/>
        <w:rPr>
          <w:snapToGrid w:val="0"/>
        </w:rPr>
      </w:pPr>
      <w:bookmarkStart w:id="139" w:name="_Toc378258896"/>
      <w:bookmarkStart w:id="140" w:name="_Toc418866865"/>
      <w:r>
        <w:rPr>
          <w:rStyle w:val="CharSClsNo"/>
        </w:rPr>
        <w:t>3</w:t>
      </w:r>
      <w:r>
        <w:rPr>
          <w:snapToGrid w:val="0"/>
        </w:rPr>
        <w:t>.</w:t>
      </w:r>
      <w:r>
        <w:rPr>
          <w:snapToGrid w:val="0"/>
        </w:rPr>
        <w:tab/>
        <w:t>Temporary directors</w:t>
      </w:r>
      <w:bookmarkEnd w:id="139"/>
      <w:bookmarkEnd w:id="140"/>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by No. 28 of 2006 s. 423(2).] </w:t>
      </w:r>
    </w:p>
    <w:p>
      <w:pPr>
        <w:pStyle w:val="yHeading5"/>
        <w:rPr>
          <w:snapToGrid w:val="0"/>
        </w:rPr>
      </w:pPr>
      <w:bookmarkStart w:id="141" w:name="_Toc378258897"/>
      <w:bookmarkStart w:id="142" w:name="_Toc418866866"/>
      <w:r>
        <w:rPr>
          <w:snapToGrid w:val="0"/>
        </w:rPr>
        <w:t>4.</w:t>
      </w:r>
      <w:r>
        <w:rPr>
          <w:snapToGrid w:val="0"/>
        </w:rPr>
        <w:tab/>
        <w:t>Remuneration of certain directors</w:t>
      </w:r>
      <w:bookmarkEnd w:id="141"/>
      <w:bookmarkEnd w:id="142"/>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by No. 28 of 2006 s. 423(3).] </w:t>
      </w:r>
    </w:p>
    <w:p>
      <w:pPr>
        <w:pStyle w:val="yHeading5"/>
        <w:rPr>
          <w:snapToGrid w:val="0"/>
        </w:rPr>
      </w:pPr>
      <w:bookmarkStart w:id="143" w:name="_Toc378258898"/>
      <w:bookmarkStart w:id="144" w:name="_Toc418866867"/>
      <w:r>
        <w:rPr>
          <w:rStyle w:val="CharSClsNo"/>
        </w:rPr>
        <w:t>5</w:t>
      </w:r>
      <w:r>
        <w:rPr>
          <w:snapToGrid w:val="0"/>
        </w:rPr>
        <w:t>.</w:t>
      </w:r>
      <w:r>
        <w:rPr>
          <w:snapToGrid w:val="0"/>
        </w:rPr>
        <w:tab/>
        <w:t>Restrictions on loans to directors</w:t>
      </w:r>
      <w:bookmarkEnd w:id="143"/>
      <w:bookmarkEnd w:id="144"/>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145" w:name="_Toc378258899"/>
      <w:bookmarkStart w:id="146" w:name="_Toc418866868"/>
      <w:r>
        <w:rPr>
          <w:rStyle w:val="CharSClsNo"/>
        </w:rPr>
        <w:t>6</w:t>
      </w:r>
      <w:r>
        <w:rPr>
          <w:snapToGrid w:val="0"/>
        </w:rPr>
        <w:t>.</w:t>
      </w:r>
      <w:r>
        <w:rPr>
          <w:snapToGrid w:val="0"/>
        </w:rPr>
        <w:tab/>
        <w:t>Liability of directors</w:t>
      </w:r>
      <w:bookmarkEnd w:id="145"/>
      <w:bookmarkEnd w:id="146"/>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by No. 41 of 1996 s. 3.] </w:t>
      </w:r>
    </w:p>
    <w:p>
      <w:pPr>
        <w:pStyle w:val="yHeading5"/>
        <w:rPr>
          <w:snapToGrid w:val="0"/>
        </w:rPr>
      </w:pPr>
      <w:bookmarkStart w:id="147" w:name="_Toc378258900"/>
      <w:bookmarkStart w:id="148" w:name="_Toc418866869"/>
      <w:r>
        <w:rPr>
          <w:snapToGrid w:val="0"/>
        </w:rPr>
        <w:t>7.</w:t>
      </w:r>
      <w:r>
        <w:rPr>
          <w:snapToGrid w:val="0"/>
        </w:rPr>
        <w:tab/>
        <w:t>General procedure concerning meetings</w:t>
      </w:r>
      <w:bookmarkEnd w:id="147"/>
      <w:bookmarkEnd w:id="148"/>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149" w:name="_Toc378258901"/>
      <w:bookmarkStart w:id="150" w:name="_Toc418866870"/>
      <w:r>
        <w:rPr>
          <w:snapToGrid w:val="0"/>
        </w:rPr>
        <w:t>8.</w:t>
      </w:r>
      <w:r>
        <w:rPr>
          <w:snapToGrid w:val="0"/>
        </w:rPr>
        <w:tab/>
        <w:t>Presiding member</w:t>
      </w:r>
      <w:bookmarkEnd w:id="149"/>
      <w:bookmarkEnd w:id="150"/>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151" w:name="_Toc378258902"/>
      <w:bookmarkStart w:id="152" w:name="_Toc418866871"/>
      <w:r>
        <w:rPr>
          <w:rStyle w:val="CharSClsNo"/>
        </w:rPr>
        <w:t>9</w:t>
      </w:r>
      <w:r>
        <w:rPr>
          <w:snapToGrid w:val="0"/>
        </w:rPr>
        <w:t>.</w:t>
      </w:r>
      <w:r>
        <w:rPr>
          <w:snapToGrid w:val="0"/>
        </w:rPr>
        <w:tab/>
        <w:t>Declaration of interests by directors</w:t>
      </w:r>
      <w:bookmarkEnd w:id="151"/>
      <w:bookmarkEnd w:id="152"/>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by No. 10 of 1990 s. 6.] </w:t>
      </w:r>
    </w:p>
    <w:p>
      <w:pPr>
        <w:pStyle w:val="yHeading5"/>
        <w:rPr>
          <w:snapToGrid w:val="0"/>
        </w:rPr>
      </w:pPr>
      <w:bookmarkStart w:id="153" w:name="_Toc378258903"/>
      <w:bookmarkStart w:id="154" w:name="_Toc418866872"/>
      <w:r>
        <w:rPr>
          <w:rStyle w:val="CharSClsNo"/>
        </w:rPr>
        <w:t>10</w:t>
      </w:r>
      <w:r>
        <w:rPr>
          <w:snapToGrid w:val="0"/>
        </w:rPr>
        <w:t>.</w:t>
      </w:r>
      <w:r>
        <w:rPr>
          <w:snapToGrid w:val="0"/>
        </w:rPr>
        <w:tab/>
        <w:t>Conflict of interest</w:t>
      </w:r>
      <w:bookmarkEnd w:id="153"/>
      <w:bookmarkEnd w:id="154"/>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by No. 10 of 1990 s. 6; No. 20 of 2003 s. 29(2).]</w:t>
      </w:r>
    </w:p>
    <w:p>
      <w:pPr>
        <w:pStyle w:val="yHeading5"/>
        <w:rPr>
          <w:snapToGrid w:val="0"/>
        </w:rPr>
      </w:pPr>
      <w:bookmarkStart w:id="155" w:name="_Toc378258904"/>
      <w:bookmarkStart w:id="156" w:name="_Toc418866873"/>
      <w:r>
        <w:rPr>
          <w:rStyle w:val="CharSClsNo"/>
        </w:rPr>
        <w:t>11</w:t>
      </w:r>
      <w:r>
        <w:rPr>
          <w:snapToGrid w:val="0"/>
        </w:rPr>
        <w:t>.</w:t>
      </w:r>
      <w:r>
        <w:rPr>
          <w:snapToGrid w:val="0"/>
        </w:rPr>
        <w:tab/>
        <w:t>Voting</w:t>
      </w:r>
      <w:bookmarkEnd w:id="155"/>
      <w:bookmarkEnd w:id="156"/>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157" w:name="_Toc378258905"/>
      <w:bookmarkStart w:id="158" w:name="_Toc418866874"/>
      <w:r>
        <w:rPr>
          <w:snapToGrid w:val="0"/>
        </w:rPr>
        <w:t>12.</w:t>
      </w:r>
      <w:r>
        <w:rPr>
          <w:snapToGrid w:val="0"/>
        </w:rPr>
        <w:tab/>
        <w:t>Quorum</w:t>
      </w:r>
      <w:bookmarkEnd w:id="157"/>
      <w:bookmarkEnd w:id="158"/>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159" w:name="_Toc378258906"/>
      <w:bookmarkStart w:id="160" w:name="_Toc418866875"/>
      <w:r>
        <w:rPr>
          <w:snapToGrid w:val="0"/>
        </w:rPr>
        <w:t>13.</w:t>
      </w:r>
      <w:r>
        <w:rPr>
          <w:snapToGrid w:val="0"/>
        </w:rPr>
        <w:tab/>
        <w:t>Minutes</w:t>
      </w:r>
      <w:bookmarkEnd w:id="159"/>
      <w:bookmarkEnd w:id="16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161" w:name="_Toc378258907"/>
      <w:bookmarkStart w:id="162" w:name="_Toc418866876"/>
      <w:r>
        <w:rPr>
          <w:rStyle w:val="CharSClsNo"/>
        </w:rPr>
        <w:t>14</w:t>
      </w:r>
      <w:r>
        <w:rPr>
          <w:snapToGrid w:val="0"/>
        </w:rPr>
        <w:t>.</w:t>
      </w:r>
      <w:r>
        <w:rPr>
          <w:snapToGrid w:val="0"/>
        </w:rPr>
        <w:tab/>
        <w:t>Resolution may be passed without meeting</w:t>
      </w:r>
      <w:bookmarkEnd w:id="161"/>
      <w:bookmarkEnd w:id="162"/>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163" w:name="_Toc378258908"/>
      <w:bookmarkStart w:id="164" w:name="_Toc418866877"/>
      <w:r>
        <w:rPr>
          <w:rStyle w:val="CharSClsNo"/>
        </w:rPr>
        <w:t>15</w:t>
      </w:r>
      <w:r>
        <w:rPr>
          <w:snapToGrid w:val="0"/>
        </w:rPr>
        <w:t>.</w:t>
      </w:r>
      <w:r>
        <w:rPr>
          <w:snapToGrid w:val="0"/>
        </w:rPr>
        <w:tab/>
        <w:t>Leave of absence</w:t>
      </w:r>
      <w:bookmarkEnd w:id="163"/>
      <w:bookmarkEnd w:id="164"/>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165" w:name="_Toc378258909"/>
      <w:bookmarkStart w:id="166" w:name="_Toc418866878"/>
      <w:r>
        <w:rPr>
          <w:snapToGrid w:val="0"/>
        </w:rPr>
        <w:t>17.</w:t>
      </w:r>
      <w:r>
        <w:rPr>
          <w:snapToGrid w:val="0"/>
        </w:rPr>
        <w:tab/>
        <w:t>Common seals, and the use of facsimiles</w:t>
      </w:r>
      <w:bookmarkEnd w:id="165"/>
      <w:bookmarkEnd w:id="166"/>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167" w:name="_Toc378258910"/>
      <w:bookmarkStart w:id="168" w:name="_Toc418866879"/>
      <w:r>
        <w:rPr>
          <w:rStyle w:val="CharSchNo"/>
        </w:rPr>
        <w:t>Schedule 2</w:t>
      </w:r>
      <w:r>
        <w:t> — </w:t>
      </w:r>
      <w:r>
        <w:rPr>
          <w:rStyle w:val="CharSchText"/>
        </w:rPr>
        <w:t>Transitional provisions concerning the Mint</w:t>
      </w:r>
      <w:bookmarkEnd w:id="167"/>
      <w:bookmarkEnd w:id="168"/>
    </w:p>
    <w:p>
      <w:pPr>
        <w:pStyle w:val="yShoulderClause"/>
        <w:rPr>
          <w:snapToGrid w:val="0"/>
        </w:rPr>
      </w:pPr>
      <w:r>
        <w:rPr>
          <w:snapToGrid w:val="0"/>
        </w:rPr>
        <w:t>[s. 35(9)]</w:t>
      </w:r>
    </w:p>
    <w:p>
      <w:pPr>
        <w:pStyle w:val="yFootnoteheading"/>
      </w:pPr>
      <w:r>
        <w:tab/>
        <w:t>[Heading amended by No. 19 of 2010 s. 4.]</w:t>
      </w:r>
    </w:p>
    <w:p>
      <w:pPr>
        <w:pStyle w:val="yHeading5"/>
        <w:rPr>
          <w:snapToGrid w:val="0"/>
        </w:rPr>
      </w:pPr>
      <w:bookmarkStart w:id="169" w:name="_Toc378258911"/>
      <w:bookmarkStart w:id="170" w:name="_Toc418866880"/>
      <w:r>
        <w:rPr>
          <w:rStyle w:val="CharSClsNo"/>
        </w:rPr>
        <w:t>1</w:t>
      </w:r>
      <w:r>
        <w:rPr>
          <w:snapToGrid w:val="0"/>
        </w:rPr>
        <w:t>.</w:t>
      </w:r>
      <w:r>
        <w:rPr>
          <w:snapToGrid w:val="0"/>
        </w:rPr>
        <w:tab/>
        <w:t>Terms used in this Schedule</w:t>
      </w:r>
      <w:bookmarkEnd w:id="169"/>
      <w:bookmarkEnd w:id="17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smartTag w:uri="urn:schemas-microsoft-com:office:smarttags" w:element="place">
        <w:smartTag w:uri="urn:schemas-microsoft-com:office:smarttags" w:element="City">
          <w:r>
            <w:rPr>
              <w:i/>
            </w:rPr>
            <w:t>Perth</w:t>
          </w:r>
        </w:smartTag>
      </w:smartTag>
      <w:r>
        <w:rPr>
          <w:i/>
        </w:rPr>
        <w:t xml:space="preserve">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w:t>
      </w:r>
      <w:smartTag w:uri="urn:schemas-microsoft-com:office:smarttags" w:element="place">
        <w:smartTag w:uri="urn:schemas-microsoft-com:office:smarttags" w:element="country-region">
          <w:r>
            <w:t>United Kingdom</w:t>
          </w:r>
        </w:smartTag>
      </w:smartTag>
      <w:r>
        <w:t>;</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171" w:name="_Toc378258912"/>
      <w:bookmarkStart w:id="172" w:name="_Toc418866881"/>
      <w:r>
        <w:rPr>
          <w:rStyle w:val="CharSClsNo"/>
        </w:rPr>
        <w:t>2</w:t>
      </w:r>
      <w:r>
        <w:rPr>
          <w:snapToGrid w:val="0"/>
        </w:rPr>
        <w:t>.</w:t>
      </w:r>
      <w:r>
        <w:rPr>
          <w:snapToGrid w:val="0"/>
        </w:rPr>
        <w:tab/>
        <w:t>Transitional arrangements as to employment</w:t>
      </w:r>
      <w:bookmarkEnd w:id="171"/>
      <w:bookmarkEnd w:id="172"/>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173" w:name="_Toc378258913"/>
      <w:bookmarkStart w:id="174" w:name="_Toc418866882"/>
      <w:r>
        <w:rPr>
          <w:rStyle w:val="CharSClsNo"/>
        </w:rPr>
        <w:t>3</w:t>
      </w:r>
      <w:r>
        <w:rPr>
          <w:snapToGrid w:val="0"/>
        </w:rPr>
        <w:t>.</w:t>
      </w:r>
      <w:r>
        <w:rPr>
          <w:snapToGrid w:val="0"/>
        </w:rPr>
        <w:tab/>
        <w:t>Transitional termination and re</w:t>
      </w:r>
      <w:r>
        <w:rPr>
          <w:snapToGrid w:val="0"/>
        </w:rPr>
        <w:noBreakHyphen/>
        <w:t>employment scheme</w:t>
      </w:r>
      <w:bookmarkEnd w:id="173"/>
      <w:bookmarkEnd w:id="174"/>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smartTag w:uri="urn:schemas-microsoft-com:office:smarttags" w:element="place">
        <w:smartTag w:uri="urn:schemas-microsoft-com:office:smarttags" w:element="City">
          <w:r>
            <w:rPr>
              <w:i/>
              <w:snapToGrid w:val="0"/>
            </w:rPr>
            <w:t>Perth</w:t>
          </w:r>
        </w:smartTag>
      </w:smartTag>
      <w:r>
        <w:rPr>
          <w:i/>
          <w:snapToGrid w:val="0"/>
        </w:rPr>
        <w:t xml:space="preserve">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by No. 32 of 1994 s. 3(2); No. 43 of 2000 s. 46(1).]</w:t>
      </w:r>
    </w:p>
    <w:p>
      <w:pPr>
        <w:pStyle w:val="yHeading5"/>
        <w:rPr>
          <w:snapToGrid w:val="0"/>
        </w:rPr>
      </w:pPr>
      <w:bookmarkStart w:id="175" w:name="_Toc378258914"/>
      <w:bookmarkStart w:id="176" w:name="_Toc418866883"/>
      <w:r>
        <w:rPr>
          <w:rStyle w:val="CharSClsNo"/>
        </w:rPr>
        <w:t>4</w:t>
      </w:r>
      <w:r>
        <w:rPr>
          <w:snapToGrid w:val="0"/>
        </w:rPr>
        <w:t>.</w:t>
      </w:r>
      <w:r>
        <w:rPr>
          <w:snapToGrid w:val="0"/>
        </w:rPr>
        <w:tab/>
        <w:t>Continuity of service and superannuation</w:t>
      </w:r>
      <w:bookmarkEnd w:id="175"/>
      <w:bookmarkEnd w:id="176"/>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by No. 6 of 1993 s. 11; No. 32 of 1994 s. 3(2); No. 49 of 1996 s. 64; No. 77 of 2006 s. 4.]</w:t>
      </w:r>
    </w:p>
    <w:p>
      <w:pPr>
        <w:pStyle w:val="yHeading5"/>
        <w:rPr>
          <w:snapToGrid w:val="0"/>
        </w:rPr>
      </w:pPr>
      <w:bookmarkStart w:id="177" w:name="_Toc378258915"/>
      <w:bookmarkStart w:id="178" w:name="_Toc418866884"/>
      <w:r>
        <w:rPr>
          <w:rStyle w:val="CharSClsNo"/>
        </w:rPr>
        <w:t>5</w:t>
      </w:r>
      <w:r>
        <w:rPr>
          <w:snapToGrid w:val="0"/>
        </w:rPr>
        <w:t>.</w:t>
      </w:r>
      <w:r>
        <w:rPr>
          <w:snapToGrid w:val="0"/>
        </w:rPr>
        <w:tab/>
        <w:t>Managing Director of the Mint</w:t>
      </w:r>
      <w:bookmarkEnd w:id="177"/>
      <w:bookmarkEnd w:id="178"/>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179" w:name="_Toc378258916"/>
      <w:bookmarkStart w:id="180" w:name="_Toc418866885"/>
      <w:r>
        <w:rPr>
          <w:rStyle w:val="CharSClsNo"/>
        </w:rPr>
        <w:t>6</w:t>
      </w:r>
      <w:r>
        <w:rPr>
          <w:snapToGrid w:val="0"/>
        </w:rPr>
        <w:t>.</w:t>
      </w:r>
      <w:r>
        <w:rPr>
          <w:snapToGrid w:val="0"/>
        </w:rPr>
        <w:tab/>
        <w:t>Transfer of certain functions of directors of the Mint</w:t>
      </w:r>
      <w:bookmarkEnd w:id="179"/>
      <w:bookmarkEnd w:id="180"/>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by No. 10 of 1990 s. 6.]</w:t>
      </w:r>
    </w:p>
    <w:p>
      <w:pPr>
        <w:pStyle w:val="yHeading5"/>
        <w:rPr>
          <w:snapToGrid w:val="0"/>
        </w:rPr>
      </w:pPr>
      <w:bookmarkStart w:id="181" w:name="_Toc378258917"/>
      <w:bookmarkStart w:id="182" w:name="_Toc418866886"/>
      <w:r>
        <w:rPr>
          <w:rStyle w:val="CharSClsNo"/>
        </w:rPr>
        <w:t>7</w:t>
      </w:r>
      <w:r>
        <w:rPr>
          <w:snapToGrid w:val="0"/>
        </w:rPr>
        <w:t>.</w:t>
      </w:r>
      <w:r>
        <w:rPr>
          <w:snapToGrid w:val="0"/>
        </w:rPr>
        <w:tab/>
        <w:t>Appropriation for employment benefits</w:t>
      </w:r>
      <w:bookmarkEnd w:id="181"/>
      <w:bookmarkEnd w:id="182"/>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smartTag w:uri="urn:schemas-microsoft-com:office:smarttags" w:element="place">
        <w:smartTag w:uri="urn:schemas-microsoft-com:office:smarttags" w:element="City">
          <w:r>
            <w:rPr>
              <w:i/>
              <w:snapToGrid w:val="0"/>
            </w:rPr>
            <w:t>Perth</w:t>
          </w:r>
        </w:smartTag>
      </w:smartTag>
      <w:r>
        <w:rPr>
          <w:i/>
          <w:snapToGrid w:val="0"/>
        </w:rPr>
        <w:t xml:space="preserve">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by No. 6 of 1993 s. 11; No. 49 of 1996 s. 64; No. 77 of 2006 s. 4.]</w:t>
      </w:r>
    </w:p>
    <w:p>
      <w:pPr>
        <w:pStyle w:val="yHeading5"/>
        <w:rPr>
          <w:snapToGrid w:val="0"/>
        </w:rPr>
      </w:pPr>
      <w:bookmarkStart w:id="183" w:name="_Toc378258918"/>
      <w:bookmarkStart w:id="184" w:name="_Toc418866887"/>
      <w:r>
        <w:rPr>
          <w:rStyle w:val="CharSClsNo"/>
        </w:rPr>
        <w:t>8</w:t>
      </w:r>
      <w:r>
        <w:rPr>
          <w:snapToGrid w:val="0"/>
        </w:rPr>
        <w:t>.</w:t>
      </w:r>
      <w:r>
        <w:rPr>
          <w:snapToGrid w:val="0"/>
        </w:rPr>
        <w:tab/>
        <w:t>Amounts payable to the Consolidated Account</w:t>
      </w:r>
      <w:bookmarkEnd w:id="183"/>
      <w:bookmarkEnd w:id="184"/>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smartTag w:uri="urn:schemas-microsoft-com:office:smarttags" w:element="place">
        <w:smartTag w:uri="urn:schemas-microsoft-com:office:smarttags" w:element="City">
          <w:r>
            <w:rPr>
              <w:i/>
              <w:snapToGrid w:val="0"/>
            </w:rPr>
            <w:t>Perth</w:t>
          </w:r>
        </w:smartTag>
      </w:smartTag>
      <w:r>
        <w:rPr>
          <w:i/>
          <w:snapToGrid w:val="0"/>
        </w:rPr>
        <w:t xml:space="preserve"> Mint Amendment Act 1986</w:t>
      </w:r>
      <w:r>
        <w:rPr>
          <w:snapToGrid w:val="0"/>
        </w:rPr>
        <w:t>.</w:t>
      </w:r>
    </w:p>
    <w:p>
      <w:pPr>
        <w:pStyle w:val="yFootnotesection"/>
      </w:pPr>
      <w:r>
        <w:tab/>
        <w:t>[Clause 8 amended by No. 6 of 1993 s. 11; No. 49 of 1996 s. 64; No. 77 of 2006 s. 4.]</w:t>
      </w:r>
    </w:p>
    <w:p>
      <w:pPr>
        <w:pStyle w:val="yHeading5"/>
        <w:rPr>
          <w:snapToGrid w:val="0"/>
        </w:rPr>
      </w:pPr>
      <w:bookmarkStart w:id="185" w:name="_Toc378258919"/>
      <w:bookmarkStart w:id="186" w:name="_Toc418866888"/>
      <w:r>
        <w:rPr>
          <w:rStyle w:val="CharSClsNo"/>
        </w:rPr>
        <w:t>9</w:t>
      </w:r>
      <w:r>
        <w:rPr>
          <w:snapToGrid w:val="0"/>
        </w:rPr>
        <w:t>.</w:t>
      </w:r>
      <w:r>
        <w:rPr>
          <w:snapToGrid w:val="0"/>
        </w:rPr>
        <w:tab/>
        <w:t>Construction of references</w:t>
      </w:r>
      <w:bookmarkEnd w:id="185"/>
      <w:bookmarkEnd w:id="186"/>
      <w:r>
        <w:rPr>
          <w:snapToGrid w:val="0"/>
        </w:rPr>
        <w:t xml:space="preserve"> </w:t>
      </w:r>
    </w:p>
    <w:p>
      <w:pPr>
        <w:pStyle w:val="ySubsection"/>
        <w:keepNext/>
        <w:rPr>
          <w:snapToGrid w:val="0"/>
        </w:rPr>
      </w:pPr>
      <w:r>
        <w:rPr>
          <w:snapToGrid w:val="0"/>
        </w:rPr>
        <w:tab/>
      </w:r>
      <w:r>
        <w:rPr>
          <w:snapToGrid w:val="0"/>
        </w:rPr>
        <w:tab/>
        <w:t xml:space="preserve">A reference to The Director of The Perth Mint, the </w:t>
      </w:r>
      <w:smartTag w:uri="urn:schemas-microsoft-com:office:smarttags" w:element="place">
        <w:smartTag w:uri="urn:schemas-microsoft-com:office:smarttags" w:element="City">
          <w:r>
            <w:rPr>
              <w:snapToGrid w:val="0"/>
            </w:rPr>
            <w:t>Perth</w:t>
          </w:r>
        </w:smartTag>
      </w:smartTag>
      <w:r>
        <w:rPr>
          <w:snapToGrid w:val="0"/>
        </w:rPr>
        <w:t xml:space="preserve">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88" w:name="_Toc378258920"/>
      <w:bookmarkStart w:id="189" w:name="_Toc418866889"/>
      <w:r>
        <w:t>Notes</w:t>
      </w:r>
      <w:bookmarkEnd w:id="188"/>
      <w:bookmarkEnd w:id="189"/>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190" w:name="_Toc378258921"/>
      <w:bookmarkStart w:id="191" w:name="_Toc418866890"/>
      <w:r>
        <w:rPr>
          <w:snapToGrid w:val="0"/>
        </w:rPr>
        <w:t>Compilation table</w:t>
      </w:r>
      <w:bookmarkEnd w:id="190"/>
      <w:bookmarkEnd w:id="191"/>
    </w:p>
    <w:tbl>
      <w:tblPr>
        <w:tblW w:w="7088" w:type="dxa"/>
        <w:tblInd w:w="28" w:type="dxa"/>
        <w:tblLayout w:type="fixed"/>
        <w:tblCellMar>
          <w:left w:w="56" w:type="dxa"/>
          <w:right w:w="56" w:type="dxa"/>
        </w:tblCellMar>
        <w:tblLook w:val="0000" w:firstRow="0" w:lastRow="0" w:firstColumn="0" w:lastColumn="0" w:noHBand="0" w:noVBand="0"/>
      </w:tblPr>
      <w:tblGrid>
        <w:gridCol w:w="6"/>
        <w:gridCol w:w="2263"/>
        <w:gridCol w:w="1133"/>
        <w:gridCol w:w="1130"/>
        <w:gridCol w:w="2556"/>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rPr>
          <w:gridBefore w:val="1"/>
          <w:wBefore w:w="6" w:type="dxa"/>
          <w:cantSplit/>
        </w:trPr>
        <w:tc>
          <w:tcPr>
            <w:tcW w:w="2263" w:type="dxa"/>
          </w:tcPr>
          <w:p>
            <w:pPr>
              <w:pStyle w:val="nTable"/>
              <w:spacing w:after="40"/>
              <w:ind w:right="113"/>
            </w:pPr>
            <w:r>
              <w:rPr>
                <w:i/>
              </w:rPr>
              <w:t>Gold Banking Corporation Act 1987</w:t>
            </w:r>
            <w:r>
              <w:rPr>
                <w:snapToGrid w:val="0"/>
              </w:rPr>
              <w:t> </w:t>
            </w:r>
            <w:r>
              <w:rPr>
                <w:snapToGrid w:val="0"/>
                <w:vertAlign w:val="superscript"/>
              </w:rPr>
              <w:t>8</w:t>
            </w:r>
          </w:p>
        </w:tc>
        <w:tc>
          <w:tcPr>
            <w:tcW w:w="1133" w:type="dxa"/>
          </w:tcPr>
          <w:p>
            <w:pPr>
              <w:pStyle w:val="nTable"/>
              <w:spacing w:after="40"/>
            </w:pPr>
            <w:r>
              <w:t>99 of 1987</w:t>
            </w:r>
          </w:p>
        </w:tc>
        <w:tc>
          <w:tcPr>
            <w:tcW w:w="1130"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rPr>
          <w:gridBefore w:val="1"/>
          <w:wBefore w:w="6" w:type="dxa"/>
          <w:cantSplit/>
        </w:trPr>
        <w:tc>
          <w:tcPr>
            <w:tcW w:w="2263" w:type="dxa"/>
          </w:tcPr>
          <w:p>
            <w:pPr>
              <w:pStyle w:val="nTable"/>
              <w:spacing w:after="40"/>
              <w:ind w:right="113"/>
            </w:pPr>
            <w:r>
              <w:rPr>
                <w:i/>
              </w:rPr>
              <w:t>Gold Banking Corporation Amendment Act 1988</w:t>
            </w:r>
          </w:p>
        </w:tc>
        <w:tc>
          <w:tcPr>
            <w:tcW w:w="1133" w:type="dxa"/>
          </w:tcPr>
          <w:p>
            <w:pPr>
              <w:pStyle w:val="nTable"/>
              <w:spacing w:after="40"/>
            </w:pPr>
            <w:r>
              <w:t>5 of 1988</w:t>
            </w:r>
          </w:p>
        </w:tc>
        <w:tc>
          <w:tcPr>
            <w:tcW w:w="1130" w:type="dxa"/>
          </w:tcPr>
          <w:p>
            <w:pPr>
              <w:pStyle w:val="nTable"/>
              <w:spacing w:after="40"/>
            </w:pPr>
            <w:r>
              <w:t>29 Jun 1988</w:t>
            </w:r>
          </w:p>
        </w:tc>
        <w:tc>
          <w:tcPr>
            <w:tcW w:w="2556" w:type="dxa"/>
          </w:tcPr>
          <w:p>
            <w:pPr>
              <w:pStyle w:val="nTable"/>
              <w:spacing w:after="40"/>
            </w:pPr>
            <w:r>
              <w:t>29 Jun 1988 (see s. 2)</w:t>
            </w:r>
          </w:p>
        </w:tc>
      </w:tr>
      <w:tr>
        <w:trPr>
          <w:gridBefore w:val="1"/>
          <w:wBefore w:w="6" w:type="dxa"/>
          <w:cantSplit/>
        </w:trPr>
        <w:tc>
          <w:tcPr>
            <w:tcW w:w="2263" w:type="dxa"/>
          </w:tcPr>
          <w:p>
            <w:pPr>
              <w:pStyle w:val="nTable"/>
              <w:spacing w:after="40"/>
              <w:ind w:right="113"/>
            </w:pPr>
            <w:r>
              <w:rPr>
                <w:i/>
              </w:rPr>
              <w:t>Acts Amendment (Gold Banking Corporation) Act 1990</w:t>
            </w:r>
            <w:r>
              <w:t xml:space="preserve"> Pt. 2</w:t>
            </w:r>
          </w:p>
        </w:tc>
        <w:tc>
          <w:tcPr>
            <w:tcW w:w="1133" w:type="dxa"/>
          </w:tcPr>
          <w:p>
            <w:pPr>
              <w:pStyle w:val="nTable"/>
              <w:spacing w:after="40"/>
            </w:pPr>
            <w:r>
              <w:t>10 of 1990</w:t>
            </w:r>
          </w:p>
        </w:tc>
        <w:tc>
          <w:tcPr>
            <w:tcW w:w="1130"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rPr>
          <w:gridBefore w:val="1"/>
          <w:wBefore w:w="6" w:type="dxa"/>
          <w:cantSplit/>
        </w:trPr>
        <w:tc>
          <w:tcPr>
            <w:tcW w:w="2263"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0" w:type="dxa"/>
          </w:tcPr>
          <w:p>
            <w:pPr>
              <w:pStyle w:val="nTable"/>
              <w:spacing w:after="40"/>
            </w:pPr>
            <w:r>
              <w:t>27 Aug 1993</w:t>
            </w:r>
          </w:p>
        </w:tc>
        <w:tc>
          <w:tcPr>
            <w:tcW w:w="2556" w:type="dxa"/>
          </w:tcPr>
          <w:p>
            <w:pPr>
              <w:pStyle w:val="nTable"/>
              <w:spacing w:after="40"/>
            </w:pPr>
            <w:r>
              <w:t>1 Jul 1993 (see s. 2(1))</w:t>
            </w:r>
          </w:p>
        </w:tc>
      </w:tr>
      <w:tr>
        <w:trPr>
          <w:gridBefore w:val="1"/>
          <w:wBefore w:w="6" w:type="dxa"/>
          <w:cantSplit/>
        </w:trPr>
        <w:tc>
          <w:tcPr>
            <w:tcW w:w="2263" w:type="dxa"/>
          </w:tcPr>
          <w:p>
            <w:pPr>
              <w:pStyle w:val="nTable"/>
              <w:spacing w:after="40"/>
              <w:ind w:right="113"/>
            </w:pPr>
            <w:r>
              <w:rPr>
                <w:i/>
              </w:rPr>
              <w:t>Acts Amendment (Public Sector Management) Act 1994</w:t>
            </w:r>
            <w:r>
              <w:t xml:space="preserve"> s. 3(2)</w:t>
            </w:r>
          </w:p>
        </w:tc>
        <w:tc>
          <w:tcPr>
            <w:tcW w:w="1133" w:type="dxa"/>
          </w:tcPr>
          <w:p>
            <w:pPr>
              <w:pStyle w:val="nTable"/>
              <w:spacing w:after="40"/>
            </w:pPr>
            <w:r>
              <w:t>32 of 1994</w:t>
            </w:r>
          </w:p>
        </w:tc>
        <w:tc>
          <w:tcPr>
            <w:tcW w:w="1130"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7082"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rPr>
          <w:gridBefore w:val="1"/>
          <w:wBefore w:w="6" w:type="dxa"/>
          <w:cantSplit/>
        </w:trPr>
        <w:tc>
          <w:tcPr>
            <w:tcW w:w="2263" w:type="dxa"/>
          </w:tcPr>
          <w:p>
            <w:pPr>
              <w:pStyle w:val="nTable"/>
              <w:spacing w:after="40"/>
              <w:ind w:right="113"/>
            </w:pPr>
            <w:r>
              <w:rPr>
                <w:i/>
              </w:rPr>
              <w:t>Statutes (Repeals and Minor Amendments) Act 1994</w:t>
            </w:r>
            <w:r>
              <w:t xml:space="preserve"> s. 4</w:t>
            </w:r>
          </w:p>
        </w:tc>
        <w:tc>
          <w:tcPr>
            <w:tcW w:w="1133" w:type="dxa"/>
          </w:tcPr>
          <w:p>
            <w:pPr>
              <w:pStyle w:val="nTable"/>
              <w:spacing w:after="40"/>
            </w:pPr>
            <w:r>
              <w:t>73 of 1994</w:t>
            </w:r>
          </w:p>
        </w:tc>
        <w:tc>
          <w:tcPr>
            <w:tcW w:w="1130" w:type="dxa"/>
          </w:tcPr>
          <w:p>
            <w:pPr>
              <w:pStyle w:val="nTable"/>
              <w:spacing w:after="40"/>
            </w:pPr>
            <w:r>
              <w:t>9 Dec 1994</w:t>
            </w:r>
          </w:p>
        </w:tc>
        <w:tc>
          <w:tcPr>
            <w:tcW w:w="2556" w:type="dxa"/>
          </w:tcPr>
          <w:p>
            <w:pPr>
              <w:pStyle w:val="nTable"/>
              <w:spacing w:after="40"/>
            </w:pPr>
            <w:r>
              <w:t>9 Dec 1994 (see s. 2)</w:t>
            </w:r>
          </w:p>
        </w:tc>
      </w:tr>
      <w:tr>
        <w:trPr>
          <w:gridBefore w:val="1"/>
          <w:wBefore w:w="6" w:type="dxa"/>
          <w:cantSplit/>
        </w:trPr>
        <w:tc>
          <w:tcPr>
            <w:tcW w:w="2263" w:type="dxa"/>
          </w:tcPr>
          <w:p>
            <w:pPr>
              <w:pStyle w:val="nTable"/>
              <w:spacing w:after="40"/>
              <w:ind w:right="113"/>
            </w:pPr>
            <w:r>
              <w:rPr>
                <w:i/>
              </w:rPr>
              <w:t>Industrial Legislation Amendment Act 1995</w:t>
            </w:r>
            <w:r>
              <w:t xml:space="preserve"> s. 35</w:t>
            </w:r>
          </w:p>
        </w:tc>
        <w:tc>
          <w:tcPr>
            <w:tcW w:w="1133" w:type="dxa"/>
          </w:tcPr>
          <w:p>
            <w:pPr>
              <w:pStyle w:val="nTable"/>
              <w:keepNext/>
              <w:keepLines/>
              <w:spacing w:after="40"/>
            </w:pPr>
            <w:r>
              <w:t>1 of 1995</w:t>
            </w:r>
          </w:p>
        </w:tc>
        <w:tc>
          <w:tcPr>
            <w:tcW w:w="1130"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rPr>
          <w:gridBefore w:val="1"/>
          <w:wBefore w:w="6" w:type="dxa"/>
          <w:cantSplit/>
        </w:trPr>
        <w:tc>
          <w:tcPr>
            <w:tcW w:w="2263" w:type="dxa"/>
          </w:tcPr>
          <w:p>
            <w:pPr>
              <w:pStyle w:val="nTable"/>
              <w:spacing w:after="40"/>
              <w:ind w:right="113"/>
            </w:pPr>
            <w:r>
              <w:rPr>
                <w:i/>
              </w:rPr>
              <w:t>Statutory Corporations (Liability of Directors) Act 1996</w:t>
            </w:r>
            <w:r>
              <w:t xml:space="preserve"> s. 3</w:t>
            </w:r>
          </w:p>
        </w:tc>
        <w:tc>
          <w:tcPr>
            <w:tcW w:w="1133" w:type="dxa"/>
          </w:tcPr>
          <w:p>
            <w:pPr>
              <w:pStyle w:val="nTable"/>
              <w:spacing w:after="40"/>
            </w:pPr>
            <w:r>
              <w:t>41 of 1996</w:t>
            </w:r>
          </w:p>
        </w:tc>
        <w:tc>
          <w:tcPr>
            <w:tcW w:w="1130"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rPr>
          <w:gridBefore w:val="1"/>
          <w:wBefore w:w="6" w:type="dxa"/>
          <w:cantSplit/>
        </w:trPr>
        <w:tc>
          <w:tcPr>
            <w:tcW w:w="2263" w:type="dxa"/>
          </w:tcPr>
          <w:p>
            <w:pPr>
              <w:pStyle w:val="nTable"/>
              <w:spacing w:after="40"/>
              <w:ind w:right="113"/>
            </w:pPr>
            <w:r>
              <w:rPr>
                <w:i/>
              </w:rPr>
              <w:t>Financial Legislation Amendment Act 1996</w:t>
            </w:r>
            <w:r>
              <w:t xml:space="preserve"> s. 64</w:t>
            </w:r>
          </w:p>
        </w:tc>
        <w:tc>
          <w:tcPr>
            <w:tcW w:w="1133" w:type="dxa"/>
          </w:tcPr>
          <w:p>
            <w:pPr>
              <w:pStyle w:val="nTable"/>
              <w:spacing w:after="40"/>
            </w:pPr>
            <w:r>
              <w:t>49 of 1996</w:t>
            </w:r>
          </w:p>
        </w:tc>
        <w:tc>
          <w:tcPr>
            <w:tcW w:w="1130" w:type="dxa"/>
          </w:tcPr>
          <w:p>
            <w:pPr>
              <w:pStyle w:val="nTable"/>
              <w:spacing w:after="40"/>
            </w:pPr>
            <w:r>
              <w:t>25 Oct 1996</w:t>
            </w:r>
          </w:p>
        </w:tc>
        <w:tc>
          <w:tcPr>
            <w:tcW w:w="2556" w:type="dxa"/>
          </w:tcPr>
          <w:p>
            <w:pPr>
              <w:pStyle w:val="nTable"/>
              <w:spacing w:after="40"/>
            </w:pPr>
            <w:r>
              <w:t>25 Oct 1996 (see s. 2(1))</w:t>
            </w:r>
          </w:p>
        </w:tc>
      </w:tr>
      <w:tr>
        <w:trPr>
          <w:gridBefore w:val="1"/>
          <w:wBefore w:w="6" w:type="dxa"/>
          <w:cantSplit/>
        </w:trPr>
        <w:tc>
          <w:tcPr>
            <w:tcW w:w="2263" w:type="dxa"/>
          </w:tcPr>
          <w:p>
            <w:pPr>
              <w:pStyle w:val="nTable"/>
              <w:spacing w:after="40"/>
              <w:ind w:right="113"/>
              <w:rPr>
                <w:i/>
              </w:rPr>
            </w:pPr>
            <w:r>
              <w:rPr>
                <w:i/>
              </w:rPr>
              <w:t xml:space="preserve">State Superannuation (Transitional and Consequential Provisions) Act 2000 </w:t>
            </w:r>
            <w:r>
              <w:t>s. 46(1)</w:t>
            </w:r>
          </w:p>
        </w:tc>
        <w:tc>
          <w:tcPr>
            <w:tcW w:w="1133" w:type="dxa"/>
          </w:tcPr>
          <w:p>
            <w:pPr>
              <w:pStyle w:val="nTable"/>
              <w:spacing w:after="40"/>
            </w:pPr>
            <w:r>
              <w:t>43 of 2000</w:t>
            </w:r>
          </w:p>
        </w:tc>
        <w:tc>
          <w:tcPr>
            <w:tcW w:w="1130"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rPr>
          <w:gridBefore w:val="1"/>
          <w:wBefore w:w="6" w:type="dxa"/>
          <w:cantSplit/>
        </w:trPr>
        <w:tc>
          <w:tcPr>
            <w:tcW w:w="7082"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rPr>
          <w:gridBefore w:val="1"/>
          <w:wBefore w:w="6" w:type="dxa"/>
          <w:cantSplit/>
        </w:trPr>
        <w:tc>
          <w:tcPr>
            <w:tcW w:w="2263" w:type="dxa"/>
          </w:tcPr>
          <w:p>
            <w:pPr>
              <w:pStyle w:val="nTable"/>
              <w:spacing w:after="40"/>
              <w:ind w:right="113"/>
              <w:rPr>
                <w:i/>
              </w:rPr>
            </w:pPr>
            <w:r>
              <w:rPr>
                <w:i/>
              </w:rPr>
              <w:t>Corporations (Consequential Amendments) Act</w:t>
            </w:r>
            <w:r>
              <w:rPr>
                <w:i/>
              </w:rPr>
              <w:br/>
              <w:t>(No. 2) 2003</w:t>
            </w:r>
            <w:r>
              <w:t xml:space="preserve"> Pt. 9</w:t>
            </w:r>
          </w:p>
        </w:tc>
        <w:tc>
          <w:tcPr>
            <w:tcW w:w="1133" w:type="dxa"/>
          </w:tcPr>
          <w:p>
            <w:pPr>
              <w:pStyle w:val="nTable"/>
              <w:spacing w:after="40"/>
            </w:pPr>
            <w:r>
              <w:t>20 of 2003</w:t>
            </w:r>
          </w:p>
        </w:tc>
        <w:tc>
          <w:tcPr>
            <w:tcW w:w="1130"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rPr>
          <w:gridBefore w:val="1"/>
          <w:wBefore w:w="6" w:type="dxa"/>
          <w:cantSplit/>
        </w:trPr>
        <w:tc>
          <w:tcPr>
            <w:tcW w:w="2263" w:type="dxa"/>
          </w:tcPr>
          <w:p>
            <w:pPr>
              <w:pStyle w:val="nTable"/>
              <w:spacing w:after="40"/>
              <w:ind w:right="113"/>
            </w:pPr>
            <w:r>
              <w:rPr>
                <w:i/>
              </w:rPr>
              <w:t>Acts Amendment (Equality of Status) Act 2003</w:t>
            </w:r>
            <w:r>
              <w:t xml:space="preserve"> Pt. 24</w:t>
            </w:r>
          </w:p>
        </w:tc>
        <w:tc>
          <w:tcPr>
            <w:tcW w:w="1133" w:type="dxa"/>
          </w:tcPr>
          <w:p>
            <w:pPr>
              <w:pStyle w:val="nTable"/>
              <w:spacing w:after="40"/>
            </w:pPr>
            <w:r>
              <w:t>28 of 2003</w:t>
            </w:r>
          </w:p>
        </w:tc>
        <w:tc>
          <w:tcPr>
            <w:tcW w:w="1130"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2263" w:type="dxa"/>
          </w:tcPr>
          <w:p>
            <w:pPr>
              <w:pStyle w:val="nTable"/>
              <w:spacing w:after="40"/>
              <w:ind w:right="113"/>
              <w:rPr>
                <w:i/>
              </w:rPr>
            </w:pPr>
            <w:r>
              <w:rPr>
                <w:i/>
              </w:rPr>
              <w:t>Acts Amendment and Repeal (Competition Policy) Act 2003</w:t>
            </w:r>
            <w:r>
              <w:t xml:space="preserve"> Pt. 8</w:t>
            </w:r>
          </w:p>
        </w:tc>
        <w:tc>
          <w:tcPr>
            <w:tcW w:w="1133" w:type="dxa"/>
          </w:tcPr>
          <w:p>
            <w:pPr>
              <w:pStyle w:val="nTable"/>
              <w:spacing w:after="40"/>
            </w:pPr>
            <w:r>
              <w:t>70 of 2003</w:t>
            </w:r>
          </w:p>
        </w:tc>
        <w:tc>
          <w:tcPr>
            <w:tcW w:w="1130"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rPr>
          <w:gridBefore w:val="1"/>
          <w:wBefore w:w="6" w:type="dxa"/>
          <w:cantSplit/>
        </w:trPr>
        <w:tc>
          <w:tcPr>
            <w:tcW w:w="2263" w:type="dxa"/>
          </w:tcPr>
          <w:p>
            <w:pPr>
              <w:pStyle w:val="nTable"/>
              <w:spacing w:after="40"/>
              <w:ind w:right="113"/>
              <w:rPr>
                <w:i/>
              </w:rPr>
            </w:pPr>
            <w:r>
              <w:rPr>
                <w:i/>
                <w:snapToGrid w:val="0"/>
              </w:rPr>
              <w:t>Criminal Code Amendment Act 2004</w:t>
            </w:r>
            <w:r>
              <w:rPr>
                <w:snapToGrid w:val="0"/>
              </w:rPr>
              <w:t xml:space="preserve"> s. 58</w:t>
            </w:r>
          </w:p>
        </w:tc>
        <w:tc>
          <w:tcPr>
            <w:tcW w:w="1133" w:type="dxa"/>
          </w:tcPr>
          <w:p>
            <w:pPr>
              <w:pStyle w:val="nTable"/>
              <w:spacing w:after="40"/>
            </w:pPr>
            <w:r>
              <w:t>4 of 2004</w:t>
            </w:r>
          </w:p>
        </w:tc>
        <w:tc>
          <w:tcPr>
            <w:tcW w:w="1130" w:type="dxa"/>
          </w:tcPr>
          <w:p>
            <w:pPr>
              <w:pStyle w:val="nTable"/>
              <w:spacing w:after="40"/>
            </w:pPr>
            <w:r>
              <w:t>23 Apr 2004</w:t>
            </w:r>
          </w:p>
        </w:tc>
        <w:tc>
          <w:tcPr>
            <w:tcW w:w="2556" w:type="dxa"/>
          </w:tcPr>
          <w:p>
            <w:pPr>
              <w:pStyle w:val="nTable"/>
              <w:spacing w:after="40"/>
            </w:pPr>
            <w:r>
              <w:t>21 May 2004 (see s. 2)</w:t>
            </w:r>
          </w:p>
        </w:tc>
      </w:tr>
      <w:tr>
        <w:trPr>
          <w:gridBefore w:val="1"/>
          <w:wBefore w:w="6" w:type="dxa"/>
          <w:cantSplit/>
        </w:trPr>
        <w:tc>
          <w:tcPr>
            <w:tcW w:w="2263"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1133" w:type="dxa"/>
          </w:tcPr>
          <w:p>
            <w:pPr>
              <w:pStyle w:val="nTable"/>
              <w:spacing w:after="40"/>
              <w:rPr>
                <w:snapToGrid w:val="0"/>
              </w:rPr>
            </w:pPr>
            <w:r>
              <w:rPr>
                <w:snapToGrid w:val="0"/>
              </w:rPr>
              <w:t>84 of 2004</w:t>
            </w:r>
          </w:p>
        </w:tc>
        <w:tc>
          <w:tcPr>
            <w:tcW w:w="1130"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6" w:type="dxa"/>
          <w:cantSplit/>
        </w:trPr>
        <w:tc>
          <w:tcPr>
            <w:tcW w:w="7082"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rPr>
          <w:gridBefore w:val="1"/>
          <w:wBefore w:w="6" w:type="dxa"/>
          <w:cantSplit/>
        </w:trPr>
        <w:tc>
          <w:tcPr>
            <w:tcW w:w="2263"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9</w:t>
            </w:r>
          </w:p>
        </w:tc>
        <w:tc>
          <w:tcPr>
            <w:tcW w:w="1133" w:type="dxa"/>
          </w:tcPr>
          <w:p>
            <w:pPr>
              <w:pStyle w:val="nTable"/>
              <w:spacing w:after="40"/>
              <w:rPr>
                <w:snapToGrid w:val="0"/>
              </w:rPr>
            </w:pPr>
            <w:r>
              <w:rPr>
                <w:snapToGrid w:val="0"/>
              </w:rPr>
              <w:t>28 of 2006</w:t>
            </w:r>
          </w:p>
        </w:tc>
        <w:tc>
          <w:tcPr>
            <w:tcW w:w="1130"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gridBefore w:val="1"/>
          <w:wBefore w:w="6" w:type="dxa"/>
          <w:cantSplit/>
        </w:trPr>
        <w:tc>
          <w:tcPr>
            <w:tcW w:w="2263"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3" w:type="dxa"/>
          </w:tcPr>
          <w:p>
            <w:pPr>
              <w:pStyle w:val="nTable"/>
              <w:spacing w:after="40"/>
              <w:rPr>
                <w:snapToGrid w:val="0"/>
              </w:rPr>
            </w:pPr>
            <w:r>
              <w:rPr>
                <w:snapToGrid w:val="0"/>
              </w:rPr>
              <w:t xml:space="preserve">77 of 2006 </w:t>
            </w:r>
          </w:p>
        </w:tc>
        <w:tc>
          <w:tcPr>
            <w:tcW w:w="1130"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Before w:val="1"/>
          <w:wBefore w:w="6" w:type="dxa"/>
          <w:cantSplit/>
        </w:trPr>
        <w:tc>
          <w:tcPr>
            <w:tcW w:w="2263" w:type="dxa"/>
          </w:tcPr>
          <w:p>
            <w:pPr>
              <w:pStyle w:val="nTable"/>
              <w:spacing w:after="40"/>
              <w:rPr>
                <w:iCs/>
                <w:vertAlign w:val="superscript"/>
              </w:rPr>
            </w:pPr>
            <w:r>
              <w:rPr>
                <w:i/>
              </w:rPr>
              <w:t>Duties Legislation Amendment Act 2008</w:t>
            </w:r>
            <w:r>
              <w:rPr>
                <w:iCs/>
              </w:rPr>
              <w:t xml:space="preserve"> s. 52 </w:t>
            </w:r>
          </w:p>
        </w:tc>
        <w:tc>
          <w:tcPr>
            <w:tcW w:w="1133" w:type="dxa"/>
          </w:tcPr>
          <w:p>
            <w:pPr>
              <w:pStyle w:val="nTable"/>
              <w:spacing w:after="40"/>
            </w:pPr>
            <w:r>
              <w:t>12 of 2008</w:t>
            </w:r>
          </w:p>
        </w:tc>
        <w:tc>
          <w:tcPr>
            <w:tcW w:w="1130" w:type="dxa"/>
          </w:tcPr>
          <w:p>
            <w:pPr>
              <w:pStyle w:val="nTable"/>
              <w:spacing w:after="40"/>
            </w:pPr>
            <w:r>
              <w:t>14 Apr 2008</w:t>
            </w:r>
          </w:p>
        </w:tc>
        <w:tc>
          <w:tcPr>
            <w:tcW w:w="2556" w:type="dxa"/>
          </w:tcPr>
          <w:p>
            <w:pPr>
              <w:pStyle w:val="nTable"/>
              <w:spacing w:after="40"/>
            </w:pPr>
            <w:r>
              <w:t>1 Jul 2008 (see s. 2(d))</w:t>
            </w:r>
          </w:p>
        </w:tc>
      </w:tr>
      <w:tr>
        <w:trPr>
          <w:gridBefore w:val="1"/>
          <w:wBefore w:w="6" w:type="dxa"/>
          <w:cantSplit/>
        </w:trPr>
        <w:tc>
          <w:tcPr>
            <w:tcW w:w="7082"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rPr>
          <w:gridBefore w:val="1"/>
          <w:wBefore w:w="6" w:type="dxa"/>
          <w:cantSplit/>
        </w:trPr>
        <w:tc>
          <w:tcPr>
            <w:tcW w:w="2263" w:type="dxa"/>
          </w:tcPr>
          <w:p>
            <w:pPr>
              <w:pStyle w:val="nTable"/>
              <w:spacing w:after="40"/>
              <w:ind w:right="113"/>
              <w:rPr>
                <w:iCs/>
              </w:rPr>
            </w:pPr>
            <w:r>
              <w:rPr>
                <w:i/>
              </w:rPr>
              <w:t>Statutes (Repeals and Miscellaneous Amendments) Act 2009</w:t>
            </w:r>
            <w:r>
              <w:rPr>
                <w:iCs/>
              </w:rPr>
              <w:t xml:space="preserve"> s. 65</w:t>
            </w:r>
          </w:p>
        </w:tc>
        <w:tc>
          <w:tcPr>
            <w:tcW w:w="1133" w:type="dxa"/>
          </w:tcPr>
          <w:p>
            <w:pPr>
              <w:pStyle w:val="nTable"/>
              <w:spacing w:after="40"/>
            </w:pPr>
            <w:r>
              <w:t xml:space="preserve">8 of 2009 </w:t>
            </w:r>
          </w:p>
        </w:tc>
        <w:tc>
          <w:tcPr>
            <w:tcW w:w="1130" w:type="dxa"/>
          </w:tcPr>
          <w:p>
            <w:pPr>
              <w:pStyle w:val="nTable"/>
              <w:spacing w:after="40"/>
            </w:pPr>
            <w:r>
              <w:t>21 May 2009</w:t>
            </w:r>
          </w:p>
        </w:tc>
        <w:tc>
          <w:tcPr>
            <w:tcW w:w="2556" w:type="dxa"/>
          </w:tcPr>
          <w:p>
            <w:pPr>
              <w:pStyle w:val="nTable"/>
              <w:spacing w:after="40"/>
            </w:pPr>
            <w:r>
              <w:t>22 May 2009 (see s. 2(b))</w:t>
            </w:r>
          </w:p>
        </w:tc>
      </w:tr>
      <w:tr>
        <w:trPr>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gridSpan w:val="2"/>
            <w:tcBorders>
              <w:bottom w:val="single" w:sz="4" w:space="0" w:color="auto"/>
            </w:tcBorders>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1133" w:type="dxa"/>
            <w:tcBorders>
              <w:bottom w:val="single" w:sz="4" w:space="0" w:color="auto"/>
            </w:tcBorders>
          </w:tcPr>
          <w:p>
            <w:pPr>
              <w:pStyle w:val="nTable"/>
              <w:spacing w:after="40"/>
              <w:rPr>
                <w:snapToGrid w:val="0"/>
              </w:rPr>
            </w:pPr>
            <w:r>
              <w:rPr>
                <w:snapToGrid w:val="0"/>
              </w:rPr>
              <w:t>42 of 2011</w:t>
            </w:r>
          </w:p>
        </w:tc>
        <w:tc>
          <w:tcPr>
            <w:tcW w:w="1130" w:type="dxa"/>
            <w:tcBorders>
              <w:bottom w:val="single" w:sz="4" w:space="0" w:color="auto"/>
            </w:tcBorders>
          </w:tcPr>
          <w:p>
            <w:pPr>
              <w:pStyle w:val="nTable"/>
              <w:spacing w:after="40"/>
              <w:rPr>
                <w:snapToGrid w:val="0"/>
              </w:rPr>
            </w:pPr>
            <w:r>
              <w:t>4 Oct 2011</w:t>
            </w:r>
          </w:p>
        </w:tc>
        <w:tc>
          <w:tcPr>
            <w:tcW w:w="2556" w:type="dxa"/>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192" w:name="_Toc378258922"/>
      <w:bookmarkStart w:id="193" w:name="_Toc418866891"/>
      <w:r>
        <w:rPr>
          <w:snapToGrid w:val="0"/>
        </w:rPr>
        <w:t>Provisions that have not come into operation</w:t>
      </w:r>
      <w:bookmarkEnd w:id="192"/>
      <w:bookmarkEnd w:id="19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6" w:type="dxa"/>
            <w:tcBorders>
              <w:top w:val="single" w:sz="8" w:space="0" w:color="auto"/>
              <w:bottom w:val="single" w:sz="8" w:space="0" w:color="auto"/>
            </w:tcBorders>
          </w:tcPr>
          <w:p>
            <w:pPr>
              <w:pStyle w:val="nTable"/>
              <w:keepNext/>
              <w:spacing w:after="40"/>
              <w:rPr>
                <w:b/>
              </w:rPr>
            </w:pPr>
            <w:r>
              <w:rPr>
                <w:b/>
              </w:rPr>
              <w:t>Assent</w:t>
            </w:r>
          </w:p>
        </w:tc>
        <w:tc>
          <w:tcPr>
            <w:tcW w:w="257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 </w:t>
            </w:r>
            <w:r>
              <w:rPr>
                <w:snapToGrid w:val="0"/>
                <w:vertAlign w:val="superscript"/>
              </w:rPr>
              <w:t>10</w:t>
            </w:r>
          </w:p>
        </w:tc>
        <w:tc>
          <w:tcPr>
            <w:tcW w:w="1139" w:type="dxa"/>
            <w:tcBorders>
              <w:top w:val="single" w:sz="8" w:space="0" w:color="auto"/>
              <w:bottom w:val="single" w:sz="4" w:space="0" w:color="auto"/>
            </w:tcBorders>
          </w:tcPr>
          <w:p>
            <w:pPr>
              <w:pStyle w:val="nTable"/>
              <w:keepNext/>
              <w:spacing w:after="40"/>
            </w:pPr>
            <w:r>
              <w:t>43 of 2000</w:t>
            </w:r>
          </w:p>
        </w:tc>
        <w:tc>
          <w:tcPr>
            <w:tcW w:w="1136" w:type="dxa"/>
            <w:tcBorders>
              <w:top w:val="single" w:sz="8" w:space="0" w:color="auto"/>
              <w:bottom w:val="single" w:sz="4" w:space="0" w:color="auto"/>
            </w:tcBorders>
          </w:tcPr>
          <w:p>
            <w:pPr>
              <w:pStyle w:val="nTable"/>
              <w:keepNext/>
              <w:spacing w:after="40"/>
            </w:pPr>
            <w:r>
              <w:t>2 Nov 2000</w:t>
            </w:r>
          </w:p>
        </w:tc>
        <w:tc>
          <w:tcPr>
            <w:tcW w:w="2572" w:type="dxa"/>
            <w:tcBorders>
              <w:top w:val="single" w:sz="8" w:space="0" w:color="auto"/>
              <w:bottom w:val="single" w:sz="4" w:space="0" w:color="auto"/>
            </w:tcBorders>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was superseded by the Corporations Law which, on 15 July 2001, was superseded by the </w:t>
      </w:r>
      <w:r>
        <w:rPr>
          <w:i/>
        </w:rPr>
        <w:t>Corporations Act 2001</w:t>
      </w:r>
      <w:r>
        <w:t xml:space="preserve"> of the Commonwealth.  See Part 13 Division 2 of the </w:t>
      </w:r>
      <w:r>
        <w:rPr>
          <w:i/>
        </w:rPr>
        <w:t>Corporations (</w:t>
      </w:r>
      <w:smartTag w:uri="urn:schemas-microsoft-com:office:smarttags" w:element="place">
        <w:smartTag w:uri="urn:schemas-microsoft-com:office:smarttags" w:element="State">
          <w:r>
            <w:rPr>
              <w:i/>
            </w:rPr>
            <w:t>Western Australia</w:t>
          </w:r>
        </w:smartTag>
      </w:smartTag>
      <w:r>
        <w:rPr>
          <w:i/>
        </w:rPr>
        <w:t>)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 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pPr>
      <w:r>
        <w:t>The Director of The Perth Mint</w:t>
      </w:r>
      <w:r>
        <w:tab/>
        <w:t>3(1), Sch. 2 cl. 1</w:t>
      </w:r>
    </w:p>
    <w:p>
      <w:pPr>
        <w:pStyle w:val="DefinedTerms"/>
      </w:pPr>
      <w:r>
        <w:t>the Mint</w:t>
      </w:r>
      <w:r>
        <w:tab/>
        <w:t>47(5)</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7" w:name="Schedule"/>
    <w:bookmarkEnd w:id="1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Pr>
    <w:bookmarkStart w:id="194" w:name="Compilation"/>
    <w:bookmarkEnd w:id="1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5" w:name="DefinedTerms"/>
    <w:bookmarkEnd w:id="1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6" w:name="Coversheet"/>
    <w:bookmarkEnd w:id="1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8457E2"/>
    <w:lvl w:ilvl="0">
      <w:start w:val="1"/>
      <w:numFmt w:val="decimal"/>
      <w:lvlText w:val="%1."/>
      <w:lvlJc w:val="left"/>
      <w:pPr>
        <w:tabs>
          <w:tab w:val="num" w:pos="1492"/>
        </w:tabs>
        <w:ind w:left="1492" w:hanging="360"/>
      </w:pPr>
    </w:lvl>
  </w:abstractNum>
  <w:abstractNum w:abstractNumId="1">
    <w:nsid w:val="FFFFFF7D"/>
    <w:multiLevelType w:val="singleLevel"/>
    <w:tmpl w:val="E5905C72"/>
    <w:lvl w:ilvl="0">
      <w:start w:val="1"/>
      <w:numFmt w:val="decimal"/>
      <w:lvlText w:val="%1."/>
      <w:lvlJc w:val="left"/>
      <w:pPr>
        <w:tabs>
          <w:tab w:val="num" w:pos="1209"/>
        </w:tabs>
        <w:ind w:left="1209" w:hanging="360"/>
      </w:pPr>
    </w:lvl>
  </w:abstractNum>
  <w:abstractNum w:abstractNumId="2">
    <w:nsid w:val="FFFFFF7E"/>
    <w:multiLevelType w:val="singleLevel"/>
    <w:tmpl w:val="853AA8EC"/>
    <w:lvl w:ilvl="0">
      <w:start w:val="1"/>
      <w:numFmt w:val="decimal"/>
      <w:lvlText w:val="%1."/>
      <w:lvlJc w:val="left"/>
      <w:pPr>
        <w:tabs>
          <w:tab w:val="num" w:pos="926"/>
        </w:tabs>
        <w:ind w:left="926" w:hanging="360"/>
      </w:pPr>
    </w:lvl>
  </w:abstractNum>
  <w:abstractNum w:abstractNumId="3">
    <w:nsid w:val="FFFFFF7F"/>
    <w:multiLevelType w:val="singleLevel"/>
    <w:tmpl w:val="FB6C27A6"/>
    <w:lvl w:ilvl="0">
      <w:start w:val="1"/>
      <w:numFmt w:val="decimal"/>
      <w:lvlText w:val="%1."/>
      <w:lvlJc w:val="left"/>
      <w:pPr>
        <w:tabs>
          <w:tab w:val="num" w:pos="643"/>
        </w:tabs>
        <w:ind w:left="643" w:hanging="360"/>
      </w:pPr>
    </w:lvl>
  </w:abstractNum>
  <w:abstractNum w:abstractNumId="4">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A54500A"/>
    <w:lvl w:ilvl="0">
      <w:start w:val="1"/>
      <w:numFmt w:val="decimal"/>
      <w:lvlText w:val="%1."/>
      <w:lvlJc w:val="left"/>
      <w:pPr>
        <w:tabs>
          <w:tab w:val="num" w:pos="360"/>
        </w:tabs>
        <w:ind w:left="360" w:hanging="360"/>
      </w:pPr>
    </w:lvl>
  </w:abstractNum>
  <w:abstractNum w:abstractNumId="9">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1032"/>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19719</Words>
  <Characters>93075</Characters>
  <Application>Microsoft Office Word</Application>
  <DocSecurity>0</DocSecurity>
  <Lines>2449</Lines>
  <Paragraphs>1296</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111498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1987 - 04-f0-04</dc:title>
  <dc:subject/>
  <dc:creator/>
  <cp:keywords/>
  <dc:description/>
  <cp:lastModifiedBy>svcMRProcess</cp:lastModifiedBy>
  <cp:revision>4</cp:revision>
  <cp:lastPrinted>2008-07-31T07:09:00Z</cp:lastPrinted>
  <dcterms:created xsi:type="dcterms:W3CDTF">2018-08-30T01:24:00Z</dcterms:created>
  <dcterms:modified xsi:type="dcterms:W3CDTF">2018-08-30T01:24:00Z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322</vt:i4>
  </property>
  <property fmtid="{D5CDD505-2E9C-101B-9397-08002B2CF9AE}" pid="6" name="ReprintNo">
    <vt:lpwstr>4</vt:lpwstr>
  </property>
  <property fmtid="{D5CDD505-2E9C-101B-9397-08002B2CF9AE}" pid="7" name="ThisVersion">
    <vt:lpwstr>04-d0-00</vt:lpwstr>
  </property>
  <property fmtid="{D5CDD505-2E9C-101B-9397-08002B2CF9AE}" pid="8" name="AsAtDate">
    <vt:lpwstr>30 Jan 2012</vt:lpwstr>
  </property>
  <property fmtid="{D5CDD505-2E9C-101B-9397-08002B2CF9AE}" pid="9" name="Suffix">
    <vt:lpwstr>04-f0-04</vt:lpwstr>
  </property>
</Properties>
</file>