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_Toc424221800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_Toc424221801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_Toc424221803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_Toc424221804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_Toc424221805 \h </w:instrText>
      </w:r>
      <w:r>
        <w:fldChar w:fldCharType="separate"/>
      </w:r>
      <w:r>
        <w:t>3</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_Toc424221806 \h </w:instrText>
      </w:r>
      <w:r>
        <w:fldChar w:fldCharType="separate"/>
      </w:r>
      <w:r>
        <w:t>3</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_Toc424221807 \h </w:instrText>
      </w:r>
      <w:r>
        <w:fldChar w:fldCharType="separate"/>
      </w:r>
      <w:r>
        <w:t>3</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_Toc424221808 \h </w:instrText>
      </w:r>
      <w:r>
        <w:fldChar w:fldCharType="separate"/>
      </w:r>
      <w:r>
        <w:t>3</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_Toc424221809 \h </w:instrText>
      </w:r>
      <w:r>
        <w:fldChar w:fldCharType="separate"/>
      </w:r>
      <w:r>
        <w:t>3</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_Toc424221810 \h </w:instrText>
      </w:r>
      <w:r>
        <w:fldChar w:fldCharType="separate"/>
      </w:r>
      <w:r>
        <w:t>3</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_Toc424221811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_Toc424221813 \h </w:instrText>
      </w:r>
      <w:r>
        <w:fldChar w:fldCharType="separate"/>
      </w:r>
      <w:r>
        <w:t>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_Toc424221814 \h </w:instrText>
      </w:r>
      <w:r>
        <w:fldChar w:fldCharType="separate"/>
      </w:r>
      <w:r>
        <w:t>3</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_Toc424221815 \h </w:instrText>
      </w:r>
      <w:r>
        <w:fldChar w:fldCharType="separate"/>
      </w:r>
      <w:r>
        <w:t>3</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_Toc424221816 \h </w:instrText>
      </w:r>
      <w:r>
        <w:fldChar w:fldCharType="separate"/>
      </w:r>
      <w:r>
        <w:t>3</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_Toc424221817 \h </w:instrText>
      </w:r>
      <w:r>
        <w:fldChar w:fldCharType="separate"/>
      </w:r>
      <w:r>
        <w:t>3</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_Toc424221818 \h </w:instrText>
      </w:r>
      <w:r>
        <w:fldChar w:fldCharType="separate"/>
      </w:r>
      <w:r>
        <w:t>3</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_Toc424221819 \h </w:instrText>
      </w:r>
      <w:r>
        <w:fldChar w:fldCharType="separate"/>
      </w:r>
      <w:r>
        <w:t>3</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_Toc424221820 \h </w:instrText>
      </w:r>
      <w:r>
        <w:fldChar w:fldCharType="separate"/>
      </w:r>
      <w:r>
        <w:t>3</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_Toc424221821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_Toc424221823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_Toc424221824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
        <w:suppressLineNumbers/>
      </w:pPr>
      <w:r>
        <w:t>Personal Property Securities (Commonwealth Laws) Act 2011</w:t>
      </w:r>
    </w:p>
    <w:p>
      <w:pPr>
        <w:pStyle w:val="LongTitle"/>
        <w:suppressLineNumbers/>
        <w:rPr>
          <w:snapToGrid w:val="0"/>
        </w:rPr>
      </w:pPr>
      <w:bookmarkStart w:id="3" w:name="BillCited"/>
      <w:bookmarkEnd w:id="3"/>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4221799"/>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rPr>
          <w:snapToGrid w:val="0"/>
        </w:rPr>
      </w:pPr>
      <w:bookmarkStart w:id="5" w:name="_Toc424221800"/>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6" w:name="_Toc424221801"/>
      <w:r>
        <w:rPr>
          <w:rStyle w:val="CharSectno"/>
        </w:rPr>
        <w:t>2</w:t>
      </w:r>
      <w:r>
        <w:rPr>
          <w:snapToGrid w:val="0"/>
        </w:rPr>
        <w:t>.</w:t>
      </w:r>
      <w:r>
        <w:rPr>
          <w:snapToGrid w:val="0"/>
        </w:rPr>
        <w:tab/>
      </w:r>
      <w:r>
        <w:t>Commencement</w:t>
      </w:r>
      <w:bookmarkEnd w:id="6"/>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7" w:name="_Toc424221802"/>
      <w:r>
        <w:rPr>
          <w:rStyle w:val="CharPartNo"/>
        </w:rPr>
        <w:lastRenderedPageBreak/>
        <w:t>Part 2</w:t>
      </w:r>
      <w:r>
        <w:rPr>
          <w:rStyle w:val="CharDivNo"/>
        </w:rPr>
        <w:t> </w:t>
      </w:r>
      <w:r>
        <w:t>—</w:t>
      </w:r>
      <w:r>
        <w:rPr>
          <w:rStyle w:val="CharDivText"/>
        </w:rPr>
        <w:t> </w:t>
      </w:r>
      <w:r>
        <w:rPr>
          <w:rStyle w:val="CharPartText"/>
        </w:rPr>
        <w:t>Adoption and referral</w:t>
      </w:r>
      <w:bookmarkEnd w:id="7"/>
    </w:p>
    <w:p>
      <w:pPr>
        <w:pStyle w:val="Heading5"/>
        <w:rPr>
          <w:snapToGrid w:val="0"/>
        </w:rPr>
      </w:pPr>
      <w:bookmarkStart w:id="8" w:name="_Toc424221803"/>
      <w:r>
        <w:rPr>
          <w:rStyle w:val="CharSectno"/>
        </w:rPr>
        <w:t>3</w:t>
      </w:r>
      <w:r>
        <w:rPr>
          <w:snapToGrid w:val="0"/>
        </w:rPr>
        <w:t>.</w:t>
      </w:r>
      <w:r>
        <w:rPr>
          <w:snapToGrid w:val="0"/>
        </w:rPr>
        <w:tab/>
        <w:t>Terms used</w:t>
      </w:r>
      <w:bookmarkEnd w:id="8"/>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lastRenderedPageBreak/>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9" w:name="_Toc424221804"/>
      <w:r>
        <w:rPr>
          <w:rStyle w:val="CharSectno"/>
        </w:rPr>
        <w:t>4</w:t>
      </w:r>
      <w:r>
        <w:t>.</w:t>
      </w:r>
      <w:r>
        <w:tab/>
        <w:t>Term used: referred PPS matters</w:t>
      </w:r>
      <w:bookmarkEnd w:id="9"/>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lastRenderedPageBreak/>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0" w:name="_Toc424221805"/>
      <w:r>
        <w:rPr>
          <w:rStyle w:val="CharSectno"/>
        </w:rPr>
        <w:t>5</w:t>
      </w:r>
      <w:r>
        <w:t>.</w:t>
      </w:r>
      <w:r>
        <w:tab/>
        <w:t>Term used: security interest</w:t>
      </w:r>
      <w:bookmarkEnd w:id="10"/>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1" w:name="_Toc424221806"/>
      <w:r>
        <w:rPr>
          <w:rStyle w:val="CharSectno"/>
        </w:rPr>
        <w:t>6</w:t>
      </w:r>
      <w:r>
        <w:t>.</w:t>
      </w:r>
      <w:r>
        <w:tab/>
        <w:t>Adoption of Commonwealth PPS Act</w:t>
      </w:r>
      <w:bookmarkEnd w:id="11"/>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2" w:name="_Toc424221807"/>
      <w:r>
        <w:rPr>
          <w:rStyle w:val="CharSectno"/>
        </w:rPr>
        <w:t>7</w:t>
      </w:r>
      <w:r>
        <w:t>.</w:t>
      </w:r>
      <w:r>
        <w:tab/>
        <w:t>Termination of adoption</w:t>
      </w:r>
      <w:bookmarkEnd w:id="12"/>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3" w:name="_Toc424221808"/>
      <w:r>
        <w:rPr>
          <w:rStyle w:val="CharSectno"/>
        </w:rPr>
        <w:t>8</w:t>
      </w:r>
      <w:r>
        <w:t>.</w:t>
      </w:r>
      <w:r>
        <w:tab/>
        <w:t>References of matters</w:t>
      </w:r>
      <w:bookmarkEnd w:id="13"/>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r>
        <w:rPr>
          <w:vertAlign w:val="superscript"/>
        </w:rPr>
        <w:t> 2</w:t>
      </w:r>
      <w:r>
        <w:t>.]</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4" w:name="_Toc424221809"/>
      <w:r>
        <w:rPr>
          <w:rStyle w:val="CharSectno"/>
        </w:rPr>
        <w:t>9</w:t>
      </w:r>
      <w:r>
        <w:t>.</w:t>
      </w:r>
      <w:r>
        <w:tab/>
        <w:t>Termination of references</w:t>
      </w:r>
      <w:bookmarkEnd w:id="14"/>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5" w:name="_Toc424221810"/>
      <w:r>
        <w:rPr>
          <w:rStyle w:val="CharSectno"/>
        </w:rPr>
        <w:t>10</w:t>
      </w:r>
      <w:r>
        <w:t>.</w:t>
      </w:r>
      <w:r>
        <w:tab/>
        <w:t>Amendment of Commonwealth law</w:t>
      </w:r>
      <w:bookmarkEnd w:id="15"/>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6" w:name="_Toc424221811"/>
      <w:r>
        <w:rPr>
          <w:rStyle w:val="CharSectno"/>
        </w:rPr>
        <w:t>11</w:t>
      </w:r>
      <w:r>
        <w:t>.</w:t>
      </w:r>
      <w:r>
        <w:tab/>
        <w:t>Effect of termination of amendment references before termination of adoption of Commonwealth PPS Act</w:t>
      </w:r>
      <w:bookmarkEnd w:id="16"/>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17" w:name="_Toc424221812"/>
      <w:r>
        <w:rPr>
          <w:rStyle w:val="CharPartNo"/>
        </w:rPr>
        <w:t>Part 3</w:t>
      </w:r>
      <w:r>
        <w:t> — </w:t>
      </w:r>
      <w:r>
        <w:rPr>
          <w:rStyle w:val="CharPartText"/>
        </w:rPr>
        <w:t>Consequential provisions</w:t>
      </w:r>
      <w:bookmarkEnd w:id="17"/>
    </w:p>
    <w:p>
      <w:pPr>
        <w:pStyle w:val="Heading5"/>
      </w:pPr>
      <w:bookmarkStart w:id="18" w:name="_Toc424221813"/>
      <w:r>
        <w:rPr>
          <w:rStyle w:val="CharSectno"/>
        </w:rPr>
        <w:t>12</w:t>
      </w:r>
      <w:r>
        <w:t>.</w:t>
      </w:r>
      <w:r>
        <w:tab/>
        <w:t>Terms used</w:t>
      </w:r>
      <w:bookmarkEnd w:id="18"/>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19" w:name="_Toc424221814"/>
      <w:r>
        <w:rPr>
          <w:rStyle w:val="CharSectno"/>
        </w:rPr>
        <w:t>13</w:t>
      </w:r>
      <w:r>
        <w:t>.</w:t>
      </w:r>
      <w:r>
        <w:tab/>
        <w:t>Provision of information to the Commonwealth</w:t>
      </w:r>
      <w:bookmarkEnd w:id="19"/>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0" w:name="_Toc424221815"/>
      <w:r>
        <w:rPr>
          <w:rStyle w:val="CharSectno"/>
        </w:rPr>
        <w:t>14</w:t>
      </w:r>
      <w:r>
        <w:t>.</w:t>
      </w:r>
      <w:r>
        <w:tab/>
        <w:t>Compensation not payable in respect of PPS transitional matters</w:t>
      </w:r>
      <w:bookmarkEnd w:id="20"/>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1" w:name="_Toc424221816"/>
      <w:r>
        <w:rPr>
          <w:rStyle w:val="CharSectno"/>
        </w:rPr>
        <w:t>15</w:t>
      </w:r>
      <w:r>
        <w:t>.</w:t>
      </w:r>
      <w:r>
        <w:tab/>
        <w:t>Implied power to make declaration that licence etc. not personal property</w:t>
      </w:r>
      <w:bookmarkEnd w:id="21"/>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2" w:name="_Toc424221817"/>
      <w:r>
        <w:rPr>
          <w:rStyle w:val="CharSectno"/>
        </w:rPr>
        <w:t>16</w:t>
      </w:r>
      <w:r>
        <w:t>.</w:t>
      </w:r>
      <w:r>
        <w:tab/>
        <w:t>References to charges and fixed and floating charges</w:t>
      </w:r>
      <w:bookmarkEnd w:id="22"/>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3" w:name="_Toc424221818"/>
      <w:r>
        <w:rPr>
          <w:rStyle w:val="CharSectno"/>
        </w:rPr>
        <w:t>17</w:t>
      </w:r>
      <w:r>
        <w:t>.</w:t>
      </w:r>
      <w:r>
        <w:tab/>
        <w:t>Enforcement of and other dealings with PPS security interests restricted in certain circumstances</w:t>
      </w:r>
      <w:bookmarkEnd w:id="23"/>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Act 2010</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Heading5"/>
      </w:pPr>
      <w:bookmarkStart w:id="24" w:name="_Toc424221819"/>
      <w:r>
        <w:rPr>
          <w:rStyle w:val="CharSectno"/>
        </w:rPr>
        <w:t>18</w:t>
      </w:r>
      <w:r>
        <w:t>.</w:t>
      </w:r>
      <w:r>
        <w:tab/>
        <w:t>Bills of sale records</w:t>
      </w:r>
      <w:bookmarkEnd w:id="24"/>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25" w:name="_Toc424221820"/>
      <w:r>
        <w:rPr>
          <w:rStyle w:val="CharSectno"/>
        </w:rPr>
        <w:t>19</w:t>
      </w:r>
      <w:r>
        <w:t>.</w:t>
      </w:r>
      <w:r>
        <w:tab/>
        <w:t>Regulations for transitional matters</w:t>
      </w:r>
      <w:bookmarkEnd w:id="25"/>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26" w:name="_Toc424221821"/>
      <w:r>
        <w:rPr>
          <w:rStyle w:val="CharSectno"/>
        </w:rPr>
        <w:t>20</w:t>
      </w:r>
      <w:r>
        <w:t>.</w:t>
      </w:r>
      <w:r>
        <w:tab/>
        <w:t>Regulations</w:t>
      </w:r>
      <w:bookmarkEnd w:id="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7" w:name="_Toc424221822"/>
      <w:r>
        <w:t>Notes</w:t>
      </w:r>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Personal Property Securities (Commonwealth Laws) Act 2011</w:t>
      </w:r>
      <w:r>
        <w:rPr>
          <w:noProof/>
          <w:snapToGrid w:val="0"/>
        </w:rPr>
        <w:t xml:space="preserve">. </w:t>
      </w:r>
      <w:r>
        <w:rPr>
          <w:snapToGrid w:val="0"/>
        </w:rPr>
        <w:t xml:space="preserve"> The following table contains information about that Act</w:t>
      </w:r>
      <w:r>
        <w:rPr>
          <w:snapToGrid w:val="0"/>
          <w:vertAlign w:val="superscript"/>
        </w:rPr>
        <w:t> 1a</w:t>
      </w:r>
      <w:r>
        <w:rPr>
          <w:snapToGrid w:val="0"/>
        </w:rPr>
        <w:t>.</w:t>
      </w:r>
    </w:p>
    <w:p>
      <w:pPr>
        <w:pStyle w:val="nHeading3"/>
      </w:pPr>
      <w:bookmarkStart w:id="28" w:name="_Toc424221823"/>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bottom w:val="single" w:sz="8" w:space="0" w:color="auto"/>
            </w:tcBorders>
          </w:tcPr>
          <w:p>
            <w:pPr>
              <w:pStyle w:val="nTable"/>
              <w:spacing w:after="40"/>
            </w:pPr>
            <w:r>
              <w:t>41 of 2011</w:t>
            </w:r>
          </w:p>
        </w:tc>
        <w:tc>
          <w:tcPr>
            <w:tcW w:w="1134" w:type="dxa"/>
            <w:tcBorders>
              <w:top w:val="single" w:sz="8" w:space="0" w:color="auto"/>
              <w:bottom w:val="single" w:sz="8" w:space="0" w:color="auto"/>
            </w:tcBorders>
          </w:tcPr>
          <w:p>
            <w:pPr>
              <w:pStyle w:val="nTable"/>
              <w:spacing w:after="40"/>
            </w:pPr>
            <w:r>
              <w:t>4 Oct 2011</w:t>
            </w:r>
          </w:p>
        </w:tc>
        <w:tc>
          <w:tcPr>
            <w:tcW w:w="2552" w:type="dxa"/>
            <w:tcBorders>
              <w:top w:val="single" w:sz="8" w:space="0" w:color="auto"/>
              <w:bottom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 w:name="_Toc424221824"/>
      <w:r>
        <w:rPr>
          <w:snapToGrid w:val="0"/>
        </w:rPr>
        <w:t>Provisions that have not come into operation</w:t>
      </w:r>
      <w:bookmarkEnd w:id="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rPr>
            </w:pPr>
            <w:r>
              <w:rPr>
                <w:i/>
              </w:rPr>
              <w:t>Personal Property Securities (Commonwealth Laws) Act 2011</w:t>
            </w:r>
            <w:r>
              <w:t xml:space="preserve"> s. 8(2) and (3)</w:t>
            </w:r>
            <w:r>
              <w:rPr>
                <w:vertAlign w:val="superscript"/>
              </w:rPr>
              <w:t> 2</w:t>
            </w:r>
          </w:p>
        </w:tc>
        <w:tc>
          <w:tcPr>
            <w:tcW w:w="1118" w:type="dxa"/>
          </w:tcPr>
          <w:p>
            <w:pPr>
              <w:pStyle w:val="nTable"/>
              <w:spacing w:after="40"/>
              <w:rPr>
                <w:snapToGrid w:val="0"/>
              </w:rPr>
            </w:pPr>
            <w:r>
              <w:rPr>
                <w:snapToGrid w:val="0"/>
              </w:rPr>
              <w:t>41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s. 8(2) and (3): to be proclaimed (see s. 2(1)(d) and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Personal Property Securities (Commonwealth Laws) Act 2011</w:t>
      </w:r>
      <w:r>
        <w:rPr>
          <w:snapToGrid w:val="0"/>
        </w:rPr>
        <w:t xml:space="preserve"> s. 8(2) and (3) had not come into operation.  They read as follows:</w:t>
      </w:r>
    </w:p>
    <w:p>
      <w:pPr>
        <w:pStyle w:val="BlankOpen"/>
      </w:pPr>
    </w:p>
    <w:p>
      <w:pPr>
        <w:pStyle w:val="nzHeading5"/>
      </w:pPr>
      <w:r>
        <w:rPr>
          <w:rStyle w:val="CharSectno"/>
        </w:rPr>
        <w:t>8</w:t>
      </w:r>
      <w:r>
        <w:t>.</w:t>
      </w:r>
      <w:r>
        <w:tab/>
        <w:t>References of matters</w:t>
      </w:r>
    </w:p>
    <w:p>
      <w:pPr>
        <w:pStyle w:val="nzSubsection"/>
      </w:pPr>
      <w:r>
        <w:tab/>
        <w:t>(2)</w:t>
      </w:r>
      <w:r>
        <w:tab/>
        <w: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t>
      </w:r>
    </w:p>
    <w:p>
      <w:pPr>
        <w:pStyle w:val="nzSubsection"/>
      </w:pPr>
      <w:r>
        <w:tab/>
        <w:t>(3)</w:t>
      </w:r>
      <w:r>
        <w:tab/>
        <w: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t>
      </w:r>
    </w:p>
    <w:p>
      <w:pPr>
        <w:pStyle w:val="BlankClose"/>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w:t>
      </w:r>
      <w:r>
        <w:tab/>
        <w:t>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Adoption and referral</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Adoption and referral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4</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09160920"/>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5215</Words>
  <Characters>26339</Characters>
  <Application>Microsoft Office Word</Application>
  <DocSecurity>0</DocSecurity>
  <Lines>731</Lines>
  <Paragraphs>399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Western Australia</vt:lpstr>
      <vt:lpstr>Personal Property Securities (Commonwealth Laws) Act 2011</vt:lpstr>
      <vt:lpstr/>
      <vt:lpstr>Western Australia</vt:lpstr>
      <vt:lpstr>Western Australia</vt:lpstr>
      <vt:lpstr>    Part 1 — Preliminary</vt:lpstr>
      <vt:lpstr>    Part 2 — Adoption and referral</vt:lpstr>
      <vt:lpstr>    Part 3 — Consequential provisions</vt:lpstr>
      <vt:lpstr>    Notes</vt:lpstr>
      <vt:lpstr>    Defined Terms</vt:lpstr>
    </vt:vector>
  </TitlesOfParts>
  <Manager/>
  <Company>Parliamentary Counsel's Office</Company>
  <LinksUpToDate>false</LinksUpToDate>
  <CharactersWithSpaces>31155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2011 - 00-b0-04</dc:title>
  <dc:subject>Bills and Amendments</dc:subject>
  <dc:creator>svcMRProcess</dc:creator>
  <cp:keywords/>
  <dc:description>V1.1</dc:description>
  <cp:lastModifiedBy>svcMRProcess</cp:lastModifiedBy>
  <cp:revision>4</cp:revision>
  <cp:lastPrinted>2011-08-19T09:01:00Z</cp:lastPrinted>
  <dcterms:created xsi:type="dcterms:W3CDTF">2015-07-09T08:23:00Z</dcterms:created>
  <dcterms:modified xsi:type="dcterms:W3CDTF">2015-07-09T08:23:00Z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20120130</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AsAtDate">
    <vt:lpwstr>30 Jan 2012</vt:lpwstr>
  </property>
  <property fmtid="{D5CDD505-2E9C-101B-9397-08002B2CF9AE}" pid="6" name="Suffix">
    <vt:lpwstr>00-b0-04</vt:lpwstr>
  </property>
</Properties>
</file>