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_Toc416441604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_Toc416441605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_Toc416441606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_Toc416441608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_Toc416441609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_Toc416441610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an exemption</w:t>
      </w:r>
      <w:r>
        <w:tab/>
      </w:r>
      <w:r>
        <w:fldChar w:fldCharType="begin"/>
      </w:r>
      <w:r>
        <w:instrText xml:space="preserve"> PAGEREF _Toc416441612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an application for an exemption</w:t>
      </w:r>
      <w:r>
        <w:tab/>
      </w:r>
      <w:r>
        <w:fldChar w:fldCharType="begin"/>
      </w:r>
      <w:r>
        <w:instrText xml:space="preserve"> PAGEREF _Toc416441613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_Toc416441614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_Toc416441616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_Toc416441618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_Toc416441619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_Toc416441620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_Toc416441622 \h </w:instrText>
      </w:r>
      <w:r>
        <w:fldChar w:fldCharType="separate"/>
      </w:r>
      <w:r>
        <w:t>12</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_Toc416441623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_Toc416441626 \h </w:instrText>
      </w:r>
      <w:r>
        <w:fldChar w:fldCharType="separate"/>
      </w:r>
      <w:r>
        <w:t>16</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_Toc416441627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_Toc416441629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378164537"/>
      <w:bookmarkStart w:id="4" w:name="_Toc416441576"/>
      <w:bookmarkStart w:id="5" w:name="_Toc416441603"/>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378164538"/>
      <w:bookmarkStart w:id="7" w:name="_Toc41644160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9" w:name="_Toc378164539"/>
      <w:bookmarkStart w:id="10" w:name="_Toc416441605"/>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1" w:name="_Toc378164540"/>
      <w:bookmarkStart w:id="12" w:name="_Toc416441606"/>
      <w:r>
        <w:rPr>
          <w:rStyle w:val="CharSectno"/>
        </w:rPr>
        <w:t>3</w:t>
      </w:r>
      <w:r>
        <w:t>.</w:t>
      </w:r>
      <w:r>
        <w:tab/>
        <w:t>Interpretation</w:t>
      </w:r>
      <w:bookmarkEnd w:id="11"/>
      <w:bookmarkEnd w:id="1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pPr>
      <w:r>
        <w:tab/>
        <w:t>[Regulation 3 amended in Gazette 22 Jun 2010 p. 2781.]</w:t>
      </w:r>
    </w:p>
    <w:p>
      <w:pPr>
        <w:pStyle w:val="Heading2"/>
      </w:pPr>
      <w:bookmarkStart w:id="13" w:name="_Toc378164541"/>
      <w:bookmarkStart w:id="14" w:name="_Toc416441580"/>
      <w:bookmarkStart w:id="15" w:name="_Toc416441607"/>
      <w:r>
        <w:rPr>
          <w:rStyle w:val="CharPartNo"/>
        </w:rPr>
        <w:t>Part 2</w:t>
      </w:r>
      <w:r>
        <w:rPr>
          <w:rStyle w:val="CharDivNo"/>
        </w:rPr>
        <w:t> </w:t>
      </w:r>
      <w:r>
        <w:t>—</w:t>
      </w:r>
      <w:r>
        <w:rPr>
          <w:rStyle w:val="CharDivText"/>
        </w:rPr>
        <w:t> </w:t>
      </w:r>
      <w:r>
        <w:rPr>
          <w:rStyle w:val="CharPartText"/>
        </w:rPr>
        <w:t>Matters for the Act Parts 1 and 2</w:t>
      </w:r>
      <w:bookmarkEnd w:id="13"/>
      <w:bookmarkEnd w:id="14"/>
      <w:bookmarkEnd w:id="15"/>
    </w:p>
    <w:p>
      <w:pPr>
        <w:pStyle w:val="Heading5"/>
      </w:pPr>
      <w:bookmarkStart w:id="16" w:name="_Toc378164542"/>
      <w:bookmarkStart w:id="17" w:name="_Toc416441608"/>
      <w:r>
        <w:rPr>
          <w:rStyle w:val="CharSectno"/>
        </w:rPr>
        <w:t>4</w:t>
      </w:r>
      <w:r>
        <w:t>.</w:t>
      </w:r>
      <w:r>
        <w:tab/>
        <w:t>“Dangerous goods” prescribed (Act s. 3(1)(a))</w:t>
      </w:r>
      <w:bookmarkEnd w:id="16"/>
      <w:bookmarkEnd w:id="17"/>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8" w:name="_Toc378164543"/>
      <w:bookmarkStart w:id="19" w:name="_Toc416441609"/>
      <w:r>
        <w:rPr>
          <w:rStyle w:val="CharSectno"/>
        </w:rPr>
        <w:t>5</w:t>
      </w:r>
      <w:r>
        <w:t>.</w:t>
      </w:r>
      <w:r>
        <w:tab/>
        <w:t>“Dangerous goods”, how Chief Officer determines (Act s. 3(1)(b))</w:t>
      </w:r>
      <w:bookmarkEnd w:id="18"/>
      <w:bookmarkEnd w:id="19"/>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20" w:name="_Toc378164544"/>
      <w:bookmarkStart w:id="21" w:name="_Toc416441610"/>
      <w:r>
        <w:rPr>
          <w:rStyle w:val="CharSectno"/>
        </w:rPr>
        <w:t>6</w:t>
      </w:r>
      <w:r>
        <w:t>.</w:t>
      </w:r>
      <w:r>
        <w:tab/>
        <w:t>Goods too dangerous to transport (Act s. 16)</w:t>
      </w:r>
      <w:bookmarkEnd w:id="20"/>
      <w:bookmarkEnd w:id="21"/>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22" w:name="_Toc378164545"/>
      <w:bookmarkStart w:id="23" w:name="_Toc416441584"/>
      <w:bookmarkStart w:id="24" w:name="_Toc416441611"/>
      <w:r>
        <w:rPr>
          <w:rStyle w:val="CharPartNo"/>
        </w:rPr>
        <w:t>Part 3</w:t>
      </w:r>
      <w:r>
        <w:rPr>
          <w:rStyle w:val="CharDivNo"/>
        </w:rPr>
        <w:t> </w:t>
      </w:r>
      <w:r>
        <w:t>—</w:t>
      </w:r>
      <w:r>
        <w:rPr>
          <w:rStyle w:val="CharDivText"/>
        </w:rPr>
        <w:t> </w:t>
      </w:r>
      <w:r>
        <w:rPr>
          <w:rStyle w:val="CharPartText"/>
        </w:rPr>
        <w:t>Matters for the Act Part 4</w:t>
      </w:r>
      <w:bookmarkEnd w:id="22"/>
      <w:bookmarkEnd w:id="23"/>
      <w:bookmarkEnd w:id="24"/>
    </w:p>
    <w:p>
      <w:pPr>
        <w:pStyle w:val="Heading5"/>
      </w:pPr>
      <w:bookmarkStart w:id="25" w:name="_Toc378164546"/>
      <w:bookmarkStart w:id="26" w:name="_Toc416441612"/>
      <w:r>
        <w:rPr>
          <w:rStyle w:val="CharSectno"/>
        </w:rPr>
        <w:t>7</w:t>
      </w:r>
      <w:r>
        <w:t>.</w:t>
      </w:r>
      <w:r>
        <w:tab/>
        <w:t>Applying for an exemption</w:t>
      </w:r>
      <w:bookmarkEnd w:id="25"/>
      <w:bookmarkEnd w:id="26"/>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7" w:name="_Toc378164547"/>
      <w:bookmarkStart w:id="28" w:name="_Toc416441613"/>
      <w:r>
        <w:rPr>
          <w:rStyle w:val="CharSectno"/>
        </w:rPr>
        <w:t>8</w:t>
      </w:r>
      <w:r>
        <w:t>.</w:t>
      </w:r>
      <w:r>
        <w:tab/>
        <w:t>Dealing with an application for an exemption</w:t>
      </w:r>
      <w:bookmarkEnd w:id="27"/>
      <w:bookmarkEnd w:id="28"/>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9" w:name="_Toc378164548"/>
      <w:bookmarkStart w:id="30" w:name="_Toc416441614"/>
      <w:r>
        <w:rPr>
          <w:rStyle w:val="CharSectno"/>
        </w:rPr>
        <w:t>9</w:t>
      </w:r>
      <w:r>
        <w:t>.</w:t>
      </w:r>
      <w:r>
        <w:tab/>
        <w:t>Register of exemptions</w:t>
      </w:r>
      <w:bookmarkEnd w:id="29"/>
      <w:bookmarkEnd w:id="30"/>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31" w:name="_Toc378164549"/>
      <w:bookmarkStart w:id="32" w:name="_Toc416441588"/>
      <w:bookmarkStart w:id="33" w:name="_Toc416441615"/>
      <w:r>
        <w:rPr>
          <w:rStyle w:val="CharPartNo"/>
        </w:rPr>
        <w:t>Part 4</w:t>
      </w:r>
      <w:r>
        <w:rPr>
          <w:rStyle w:val="CharDivNo"/>
        </w:rPr>
        <w:t> </w:t>
      </w:r>
      <w:r>
        <w:t>—</w:t>
      </w:r>
      <w:r>
        <w:rPr>
          <w:rStyle w:val="CharDivText"/>
        </w:rPr>
        <w:t> </w:t>
      </w:r>
      <w:r>
        <w:rPr>
          <w:rStyle w:val="CharPartText"/>
        </w:rPr>
        <w:t>Matters for the Act Part 5</w:t>
      </w:r>
      <w:bookmarkEnd w:id="31"/>
      <w:bookmarkEnd w:id="32"/>
      <w:bookmarkEnd w:id="33"/>
    </w:p>
    <w:p>
      <w:pPr>
        <w:pStyle w:val="Heading5"/>
      </w:pPr>
      <w:bookmarkStart w:id="34" w:name="_Toc378164550"/>
      <w:bookmarkStart w:id="35" w:name="_Toc416441616"/>
      <w:r>
        <w:rPr>
          <w:rStyle w:val="CharSectno"/>
        </w:rPr>
        <w:t>10</w:t>
      </w:r>
      <w:r>
        <w:t>.</w:t>
      </w:r>
      <w:r>
        <w:tab/>
        <w:t>Identity cards, prescribed details (Act s. 28)</w:t>
      </w:r>
      <w:bookmarkEnd w:id="34"/>
      <w:bookmarkEnd w:id="35"/>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6" w:name="_Toc378164551"/>
      <w:bookmarkStart w:id="37" w:name="_Toc416441590"/>
      <w:bookmarkStart w:id="38" w:name="_Toc416441617"/>
      <w:r>
        <w:rPr>
          <w:rStyle w:val="CharPartNo"/>
        </w:rPr>
        <w:t>Part 5</w:t>
      </w:r>
      <w:r>
        <w:rPr>
          <w:rStyle w:val="CharDivNo"/>
        </w:rPr>
        <w:t> </w:t>
      </w:r>
      <w:r>
        <w:t>—</w:t>
      </w:r>
      <w:r>
        <w:rPr>
          <w:rStyle w:val="CharDivText"/>
        </w:rPr>
        <w:t> </w:t>
      </w:r>
      <w:r>
        <w:rPr>
          <w:rStyle w:val="CharPartText"/>
        </w:rPr>
        <w:t>Infringement notices</w:t>
      </w:r>
      <w:bookmarkEnd w:id="36"/>
      <w:bookmarkEnd w:id="37"/>
      <w:bookmarkEnd w:id="38"/>
    </w:p>
    <w:p>
      <w:pPr>
        <w:pStyle w:val="Heading5"/>
      </w:pPr>
      <w:bookmarkStart w:id="39" w:name="_Toc378164552"/>
      <w:bookmarkStart w:id="40" w:name="_Toc416441618"/>
      <w:r>
        <w:rPr>
          <w:rStyle w:val="CharSectno"/>
        </w:rPr>
        <w:t>11</w:t>
      </w:r>
      <w:r>
        <w:t>.</w:t>
      </w:r>
      <w:r>
        <w:tab/>
        <w:t>Prescribed offences (Act s. 56)</w:t>
      </w:r>
      <w:bookmarkEnd w:id="39"/>
      <w:bookmarkEnd w:id="40"/>
    </w:p>
    <w:p>
      <w:pPr>
        <w:pStyle w:val="Subsection"/>
      </w:pPr>
      <w:r>
        <w:tab/>
      </w:r>
      <w:r>
        <w:tab/>
        <w:t>For the purposes of section 56, the prescribed offences are those offences prescribed for the purposes of that section by other regulations made under the Act.</w:t>
      </w:r>
    </w:p>
    <w:p>
      <w:pPr>
        <w:pStyle w:val="Heading5"/>
      </w:pPr>
      <w:bookmarkStart w:id="41" w:name="_Toc378164553"/>
      <w:bookmarkStart w:id="42" w:name="_Toc416441619"/>
      <w:r>
        <w:rPr>
          <w:rStyle w:val="CharSectno"/>
        </w:rPr>
        <w:t>12</w:t>
      </w:r>
      <w:r>
        <w:t>.</w:t>
      </w:r>
      <w:r>
        <w:tab/>
        <w:t>Infringement notice, form of (Act s. 56)</w:t>
      </w:r>
      <w:bookmarkEnd w:id="41"/>
      <w:bookmarkEnd w:id="42"/>
    </w:p>
    <w:p>
      <w:pPr>
        <w:pStyle w:val="Subsection"/>
      </w:pPr>
      <w:r>
        <w:tab/>
      </w:r>
      <w:r>
        <w:tab/>
        <w:t>For the purposes of section 56(3), the prescribed form of an infringement notice is Form 1.</w:t>
      </w:r>
    </w:p>
    <w:p>
      <w:pPr>
        <w:pStyle w:val="Heading5"/>
      </w:pPr>
      <w:bookmarkStart w:id="43" w:name="_Toc378164554"/>
      <w:bookmarkStart w:id="44" w:name="_Toc416441620"/>
      <w:r>
        <w:rPr>
          <w:rStyle w:val="CharSectno"/>
        </w:rPr>
        <w:t>13</w:t>
      </w:r>
      <w:r>
        <w:t>.</w:t>
      </w:r>
      <w:r>
        <w:tab/>
        <w:t>Withdrawal of infringement notice, form of (Act s. 56)</w:t>
      </w:r>
      <w:bookmarkEnd w:id="43"/>
      <w:bookmarkEnd w:id="44"/>
    </w:p>
    <w:p>
      <w:pPr>
        <w:pStyle w:val="Subsection"/>
      </w:pPr>
      <w:r>
        <w:tab/>
      </w:r>
      <w:r>
        <w:tab/>
        <w:t>For the purposes of section 56(7), the prescribed form of a withdrawal of an infringement notice is Form 2.</w:t>
      </w:r>
    </w:p>
    <w:p>
      <w:pPr>
        <w:pStyle w:val="Heading2"/>
      </w:pPr>
      <w:bookmarkStart w:id="45" w:name="_Toc378164555"/>
      <w:bookmarkStart w:id="46" w:name="_Toc416441594"/>
      <w:bookmarkStart w:id="47" w:name="_Toc416441621"/>
      <w:r>
        <w:rPr>
          <w:rStyle w:val="CharPartNo"/>
        </w:rPr>
        <w:t>Part 6</w:t>
      </w:r>
      <w:r>
        <w:rPr>
          <w:rStyle w:val="CharDivNo"/>
        </w:rPr>
        <w:t> </w:t>
      </w:r>
      <w:r>
        <w:t>—</w:t>
      </w:r>
      <w:r>
        <w:rPr>
          <w:rStyle w:val="CharDivText"/>
        </w:rPr>
        <w:t> </w:t>
      </w:r>
      <w:r>
        <w:rPr>
          <w:rStyle w:val="CharPartText"/>
        </w:rPr>
        <w:t>Miscellaneous matters</w:t>
      </w:r>
      <w:bookmarkEnd w:id="45"/>
      <w:bookmarkEnd w:id="46"/>
      <w:bookmarkEnd w:id="47"/>
    </w:p>
    <w:p>
      <w:pPr>
        <w:pStyle w:val="Footnoteheading"/>
      </w:pPr>
      <w:r>
        <w:tab/>
        <w:t>[Heading inserted in Gazette 16 Mar 2012 p. 1257.]</w:t>
      </w:r>
    </w:p>
    <w:p>
      <w:pPr>
        <w:pStyle w:val="Heading5"/>
      </w:pPr>
      <w:bookmarkStart w:id="48" w:name="_Toc378164556"/>
      <w:bookmarkStart w:id="49" w:name="_Toc416441622"/>
      <w:r>
        <w:rPr>
          <w:rStyle w:val="CharSectno"/>
        </w:rPr>
        <w:t>14</w:t>
      </w:r>
      <w:r>
        <w:t>.</w:t>
      </w:r>
      <w:r>
        <w:tab/>
        <w:t>Fees, Chief Officer may reduce etc.</w:t>
      </w:r>
      <w:bookmarkEnd w:id="48"/>
      <w:bookmarkEnd w:id="49"/>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50" w:name="_Toc378164557"/>
      <w:bookmarkStart w:id="51" w:name="_Toc416441623"/>
      <w:r>
        <w:rPr>
          <w:rStyle w:val="CharSectno"/>
        </w:rPr>
        <w:t>15</w:t>
      </w:r>
      <w:r>
        <w:t>.</w:t>
      </w:r>
      <w:r>
        <w:tab/>
        <w:t>Licences, Chief Officer may synchronise duration of and date for payment of annual fees for</w:t>
      </w:r>
      <w:bookmarkEnd w:id="50"/>
      <w:bookmarkEnd w:id="51"/>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Risk Substances) Regulations 2007</w:t>
      </w:r>
      <w:r>
        <w:t> —</w:t>
      </w:r>
    </w:p>
    <w:p>
      <w:pPr>
        <w:pStyle w:val="Defsubpara"/>
      </w:pPr>
      <w:r>
        <w:tab/>
        <w:t>(i)</w:t>
      </w:r>
      <w:r>
        <w:tab/>
        <w:t>an SRS import/export licence;</w:t>
      </w:r>
    </w:p>
    <w:p>
      <w:pPr>
        <w:pStyle w:val="Defsubpara"/>
      </w:pPr>
      <w:r>
        <w:tab/>
        <w:t>(ii)</w:t>
      </w:r>
      <w:r>
        <w:tab/>
        <w:t>an SRS manufacture licence;</w:t>
      </w:r>
    </w:p>
    <w:p>
      <w:pPr>
        <w:pStyle w:val="Defsubpara"/>
      </w:pPr>
      <w:r>
        <w:tab/>
        <w:t>(iii)</w:t>
      </w:r>
      <w:r>
        <w:tab/>
        <w:t>an SRS storage licence;</w:t>
      </w:r>
    </w:p>
    <w:p>
      <w:pPr>
        <w:pStyle w:val="Defsubpara"/>
      </w:pPr>
      <w:r>
        <w:tab/>
        <w:t>(iv)</w:t>
      </w:r>
      <w:r>
        <w:tab/>
        <w:t>an SRS transport licence;</w:t>
      </w:r>
    </w:p>
    <w:p>
      <w:pPr>
        <w:pStyle w:val="Defsubpara"/>
      </w:pPr>
      <w:r>
        <w:tab/>
        <w:t>(v)</w:t>
      </w:r>
      <w:r>
        <w:tab/>
        <w:t>an SRS supply licence;</w:t>
      </w:r>
    </w:p>
    <w:p>
      <w:pPr>
        <w:pStyle w:val="Defsubpara"/>
      </w:pPr>
      <w:r>
        <w:tab/>
        <w:t>(vi)</w:t>
      </w:r>
      <w:r>
        <w:tab/>
        <w:t>an SRS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 xml:space="preserve">Dangerous Goods Safety (Security Risk Substances) Regulations 2007 </w:t>
      </w:r>
      <w:r>
        <w:t>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52" w:name="_Toc378164558"/>
      <w:bookmarkStart w:id="53" w:name="_Toc416441597"/>
      <w:bookmarkStart w:id="54" w:name="_Toc416441624"/>
      <w:r>
        <w:rPr>
          <w:rStyle w:val="CharSchNo"/>
        </w:rPr>
        <w:t>Schedule 1</w:t>
      </w:r>
      <w:r>
        <w:rPr>
          <w:rStyle w:val="CharSDivNo"/>
        </w:rPr>
        <w:t> </w:t>
      </w:r>
      <w:r>
        <w:t>—</w:t>
      </w:r>
      <w:r>
        <w:rPr>
          <w:rStyle w:val="CharSDivText"/>
        </w:rPr>
        <w:t> </w:t>
      </w:r>
      <w:r>
        <w:rPr>
          <w:rStyle w:val="CharSchText"/>
        </w:rPr>
        <w:t>Specific dangerous goods</w:t>
      </w:r>
      <w:bookmarkEnd w:id="52"/>
      <w:bookmarkEnd w:id="53"/>
      <w:bookmarkEnd w:id="54"/>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4"/>
          <w:headerReference w:type="default" r:id="rId25"/>
          <w:footerReference w:type="even" r:id="rId26"/>
          <w:headerReference w:type="first" r:id="rId27"/>
          <w:endnotePr>
            <w:numFmt w:val="decimal"/>
          </w:endnotePr>
          <w:pgSz w:w="11907" w:h="16840" w:code="9"/>
          <w:pgMar w:top="2376" w:right="2405" w:bottom="3542" w:left="2405" w:header="706" w:footer="3528" w:gutter="0"/>
          <w:cols w:space="720"/>
          <w:noEndnote/>
        </w:sectPr>
      </w:pPr>
    </w:p>
    <w:p>
      <w:pPr>
        <w:pStyle w:val="yScheduleHeading"/>
      </w:pPr>
      <w:bookmarkStart w:id="56" w:name="_Toc378164559"/>
      <w:bookmarkStart w:id="57" w:name="_Toc416441598"/>
      <w:bookmarkStart w:id="58" w:name="_Toc416441625"/>
      <w:r>
        <w:rPr>
          <w:rStyle w:val="CharSchNo"/>
        </w:rPr>
        <w:t>Schedule 2</w:t>
      </w:r>
      <w:r>
        <w:rPr>
          <w:rStyle w:val="CharSDivNo"/>
        </w:rPr>
        <w:t> </w:t>
      </w:r>
      <w:r>
        <w:t>—</w:t>
      </w:r>
      <w:r>
        <w:rPr>
          <w:rStyle w:val="CharSDivText"/>
        </w:rPr>
        <w:t> </w:t>
      </w:r>
      <w:r>
        <w:rPr>
          <w:rStyle w:val="CharSchText"/>
        </w:rPr>
        <w:t>Forms</w:t>
      </w:r>
      <w:bookmarkEnd w:id="56"/>
      <w:bookmarkEnd w:id="57"/>
      <w:bookmarkEnd w:id="58"/>
    </w:p>
    <w:p>
      <w:pPr>
        <w:pStyle w:val="yShoulderClause"/>
      </w:pPr>
      <w:r>
        <w:t>[r. 3]</w:t>
      </w:r>
    </w:p>
    <w:p>
      <w:pPr>
        <w:pStyle w:val="yHeading5"/>
        <w:spacing w:after="120"/>
      </w:pPr>
      <w:bookmarkStart w:id="59" w:name="_Toc378164560"/>
      <w:bookmarkStart w:id="60" w:name="_Toc416441626"/>
      <w:r>
        <w:rPr>
          <w:rStyle w:val="CharSClsNo"/>
        </w:rPr>
        <w:t>1</w:t>
      </w:r>
      <w:r>
        <w:t>.</w:t>
      </w:r>
      <w:r>
        <w:tab/>
        <w:t>Infringement notice (r. 12)</w:t>
      </w:r>
      <w:bookmarkEnd w:id="59"/>
      <w:bookmarkEnd w:id="6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pPr>
            <w:r>
              <w:t>Alleged offender</w:t>
            </w:r>
          </w:p>
          <w:p>
            <w:pPr>
              <w:pStyle w:val="yTableNAm"/>
            </w:pPr>
            <w:r>
              <w:t>(individual)</w:t>
            </w:r>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6" w:type="dxa"/>
            <w:vMerge w:val="restart"/>
          </w:tcPr>
          <w:p>
            <w:pPr>
              <w:pStyle w:val="yTableNAm"/>
            </w:pPr>
            <w:r>
              <w:t>Alleged offender</w:t>
            </w:r>
          </w:p>
          <w:p>
            <w:pPr>
              <w:pStyle w:val="yTableNAm"/>
            </w:pPr>
            <w:r>
              <w:t>(body corporate)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6" w:type="dxa"/>
            <w:vMerge/>
          </w:tcPr>
          <w:p>
            <w:pPr>
              <w:pStyle w:val="yTableNAm"/>
            </w:pPr>
          </w:p>
        </w:tc>
        <w:tc>
          <w:tcPr>
            <w:tcW w:w="1275" w:type="dxa"/>
            <w:tcBorders>
              <w:bottom w:val="single" w:sz="4" w:space="0" w:color="auto"/>
            </w:tcBorders>
          </w:tcPr>
          <w:p>
            <w:pPr>
              <w:pStyle w:val="yTableNAm"/>
            </w:pPr>
            <w:r>
              <w:t>ACN</w:t>
            </w:r>
          </w:p>
        </w:tc>
        <w:tc>
          <w:tcPr>
            <w:tcW w:w="2439" w:type="dxa"/>
            <w:gridSpan w:val="4"/>
            <w:tcBorders>
              <w:bottom w:val="single" w:sz="4" w:space="0" w:color="auto"/>
            </w:tcBorders>
          </w:tcPr>
          <w:p>
            <w:pPr>
              <w:pStyle w:val="yTableNAm"/>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pPr>
      <w:r>
        <w:tab/>
        <w:t>[Form 1 amended in Gazette 22 Jun 2010 p. 2781.]</w:t>
      </w:r>
    </w:p>
    <w:p>
      <w:pPr>
        <w:pStyle w:val="yHeading5"/>
        <w:pageBreakBefore/>
        <w:spacing w:after="120"/>
      </w:pPr>
      <w:bookmarkStart w:id="61" w:name="_Toc378164561"/>
      <w:bookmarkStart w:id="62" w:name="_Toc416441627"/>
      <w:r>
        <w:rPr>
          <w:rStyle w:val="CharSClsNo"/>
        </w:rPr>
        <w:t>2</w:t>
      </w:r>
      <w:r>
        <w:t>.</w:t>
      </w:r>
      <w:r>
        <w:tab/>
        <w:t>Withdrawal of infringement notice (r. 13)</w:t>
      </w:r>
      <w:bookmarkEnd w:id="61"/>
      <w:bookmarkEnd w:id="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8"/>
          <w:headerReference w:type="default" r:id="rId29"/>
          <w:endnotePr>
            <w:numFmt w:val="decimal"/>
          </w:endnotePr>
          <w:pgSz w:w="11907" w:h="16840" w:code="9"/>
          <w:pgMar w:top="2376" w:right="2405" w:bottom="3542" w:left="2405" w:header="706" w:footer="3528" w:gutter="0"/>
          <w:cols w:space="720"/>
          <w:noEndnote/>
        </w:sectPr>
      </w:pPr>
    </w:p>
    <w:p>
      <w:pPr>
        <w:pStyle w:val="nHeading2"/>
      </w:pPr>
      <w:bookmarkStart w:id="63" w:name="_Toc378164562"/>
      <w:bookmarkStart w:id="64" w:name="_Toc416441601"/>
      <w:bookmarkStart w:id="65" w:name="_Toc416441628"/>
      <w:r>
        <w:t>Notes</w:t>
      </w:r>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66" w:name="_Toc378164563"/>
      <w:bookmarkStart w:id="67" w:name="_Toc416441629"/>
      <w:r>
        <w:t>Compilation table</w:t>
      </w:r>
      <w:bookmarkEnd w:id="66"/>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single" w:sz="4" w:space="0" w:color="auto"/>
            </w:tcBorders>
          </w:tcPr>
          <w:p>
            <w:pPr>
              <w:pStyle w:val="nTable"/>
              <w:spacing w:after="40"/>
              <w:rPr>
                <w:i/>
              </w:rPr>
            </w:pPr>
            <w:r>
              <w:rPr>
                <w:i/>
              </w:rPr>
              <w:t>Dangerous Goods Safety (General) Amendment Regulations 2012</w:t>
            </w:r>
          </w:p>
        </w:tc>
        <w:tc>
          <w:tcPr>
            <w:tcW w:w="1276" w:type="dxa"/>
            <w:tcBorders>
              <w:top w:val="nil"/>
              <w:bottom w:val="single" w:sz="4" w:space="0" w:color="auto"/>
            </w:tcBorders>
          </w:tcPr>
          <w:p>
            <w:pPr>
              <w:pStyle w:val="nTable"/>
              <w:spacing w:after="40"/>
            </w:pPr>
            <w:r>
              <w:t>16 Mar 2012 p. 1257</w:t>
            </w:r>
            <w:r>
              <w:noBreakHyphen/>
              <w:t>9</w:t>
            </w:r>
          </w:p>
        </w:tc>
        <w:tc>
          <w:tcPr>
            <w:tcW w:w="2693" w:type="dxa"/>
            <w:tcBorders>
              <w:top w:val="nil"/>
              <w:bottom w:val="single" w:sz="4" w:space="0" w:color="auto"/>
            </w:tcBorders>
          </w:tcPr>
          <w:p>
            <w:pPr>
              <w:pStyle w:val="nTable"/>
              <w:spacing w:after="40"/>
              <w:rPr>
                <w:snapToGrid w:val="0"/>
              </w:rPr>
            </w:pPr>
            <w:r>
              <w:rPr>
                <w:snapToGrid w:val="0"/>
              </w:rPr>
              <w:t>r. 1 and 2: 16 Mar 2012 (see r. 2(a));</w:t>
            </w:r>
            <w:r>
              <w:rPr>
                <w:snapToGrid w:val="0"/>
              </w:rPr>
              <w:br/>
              <w:t>Regulations other than r. 1 and 2: 1 Apr 2012 (see r. 2(b))</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9" w:name="_Toc416441630"/>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24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3320</Words>
  <Characters>16202</Characters>
  <Application>Microsoft Office Word</Application>
  <DocSecurity>0</DocSecurity>
  <Lines>675</Lines>
  <Paragraphs>433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Part 6 — Miscellaneous matters</vt:lpstr>
      <vt:lpstr>    Schedule 1 — Specific dangerous goods</vt:lpstr>
      <vt:lpstr>    Schedule 2 — Forms</vt:lpstr>
      <vt:lpstr>    Notes</vt:lpstr>
      <vt:lpstr>    Defined Terms</vt:lpstr>
    </vt:vector>
  </TitlesOfParts>
  <Manager/>
  <Company/>
  <LinksUpToDate>false</LinksUpToDate>
  <CharactersWithSpaces>19089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2007 - 00-e0-05</dc:title>
  <dc:subject/>
  <dc:creator/>
  <cp:keywords/>
  <dc:description/>
  <cp:lastModifiedBy>svcMRProcess</cp:lastModifiedBy>
  <cp:revision>4</cp:revision>
  <cp:lastPrinted>2006-12-05T07:12:00Z</cp:lastPrinted>
  <dcterms:created xsi:type="dcterms:W3CDTF">2015-12-01T03:24:00Z</dcterms:created>
  <dcterms:modified xsi:type="dcterms:W3CDTF">2015-12-01T03:24:00Z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20120401</vt:lpwstr>
  </property>
  <property fmtid="{D5CDD505-2E9C-101B-9397-08002B2CF9AE}" pid="4" name="OwlsUID">
    <vt:i4>37439</vt:i4>
  </property>
  <property fmtid="{D5CDD505-2E9C-101B-9397-08002B2CF9AE}" pid="5" name="DocumentType">
    <vt:lpwstr>Reg</vt:lpwstr>
  </property>
  <property fmtid="{D5CDD505-2E9C-101B-9397-08002B2CF9AE}" pid="6" name="AsAtDate">
    <vt:lpwstr>01 Apr 2012</vt:lpwstr>
  </property>
  <property fmtid="{D5CDD505-2E9C-101B-9397-08002B2CF9AE}" pid="7" name="Suffix">
    <vt:lpwstr>00-e0-05</vt:lpwstr>
  </property>
</Properties>
</file>