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Building Act 2011</w:t>
      </w:r>
    </w:p>
    <w:p>
      <w:pPr>
        <w:pStyle w:val="NameofActRegPage1"/>
        <w:spacing w:before="1800" w:after="4200"/>
        <w:ind w:left="570" w:right="598"/>
      </w:pPr>
      <w:r>
        <w:fldChar w:fldCharType="begin"/>
      </w:r>
      <w:r>
        <w:instrText xml:space="preserve"> STYLEREF "Name Of Act/Reg"</w:instrText>
      </w:r>
      <w:r>
        <w:fldChar w:fldCharType="separate"/>
      </w:r>
      <w:r>
        <w:rPr>
          <w:noProof/>
        </w:rPr>
        <w:t>Building Regulations 2012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after="48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_Toc320697791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_Toc320697792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_Toc320697793 \h </w:instrText>
      </w:r>
      <w:r>
        <w:fldChar w:fldCharType="separate"/>
      </w:r>
      <w:r>
        <w:t>1</w:t>
      </w:r>
      <w:r>
        <w:fldChar w:fldCharType="end"/>
      </w:r>
    </w:p>
    <w:p>
      <w:pPr>
        <w:pStyle w:val="TOC2"/>
        <w:tabs>
          <w:tab w:val="right" w:leader="dot" w:pos="7086"/>
        </w:tabs>
        <w:rPr>
          <w:b w:val="0"/>
          <w:sz w:val="24"/>
          <w:szCs w:val="24"/>
          <w:lang w:val="en-US"/>
        </w:rPr>
      </w:pPr>
      <w:r>
        <w:t>Part 2 — General matters</w:t>
      </w:r>
    </w:p>
    <w:p>
      <w:pPr>
        <w:pStyle w:val="TOC8"/>
        <w:rPr>
          <w:sz w:val="24"/>
          <w:szCs w:val="24"/>
          <w:lang w:val="en-US"/>
        </w:rPr>
      </w:pPr>
      <w:r>
        <w:t>4.</w:t>
      </w:r>
      <w:r>
        <w:tab/>
        <w:t>Approval of manner or form of things (s. 3)</w:t>
      </w:r>
      <w:r>
        <w:tab/>
      </w:r>
      <w:r>
        <w:fldChar w:fldCharType="begin"/>
      </w:r>
      <w:r>
        <w:instrText xml:space="preserve"> PAGEREF _Toc320697795 \h </w:instrText>
      </w:r>
      <w:r>
        <w:fldChar w:fldCharType="separate"/>
      </w:r>
      <w:r>
        <w:t>3</w:t>
      </w:r>
      <w:r>
        <w:fldChar w:fldCharType="end"/>
      </w:r>
    </w:p>
    <w:p>
      <w:pPr>
        <w:pStyle w:val="TOC8"/>
        <w:rPr>
          <w:sz w:val="24"/>
          <w:szCs w:val="24"/>
          <w:lang w:val="en-US"/>
        </w:rPr>
      </w:pPr>
      <w:r>
        <w:t>5.</w:t>
      </w:r>
      <w:r>
        <w:tab/>
        <w:t>Building surveyors (s. 3)</w:t>
      </w:r>
      <w:r>
        <w:tab/>
      </w:r>
      <w:r>
        <w:fldChar w:fldCharType="begin"/>
      </w:r>
      <w:r>
        <w:instrText xml:space="preserve"> PAGEREF _Toc320697796 \h </w:instrText>
      </w:r>
      <w:r>
        <w:fldChar w:fldCharType="separate"/>
      </w:r>
      <w:r>
        <w:t>4</w:t>
      </w:r>
      <w:r>
        <w:fldChar w:fldCharType="end"/>
      </w:r>
    </w:p>
    <w:p>
      <w:pPr>
        <w:pStyle w:val="TOC8"/>
        <w:rPr>
          <w:sz w:val="24"/>
          <w:szCs w:val="24"/>
          <w:lang w:val="en-US"/>
        </w:rPr>
      </w:pPr>
      <w:r>
        <w:t>6.</w:t>
      </w:r>
      <w:r>
        <w:tab/>
        <w:t>Classification of buildings and incidental structures (s. 3)</w:t>
      </w:r>
      <w:r>
        <w:tab/>
      </w:r>
      <w:r>
        <w:fldChar w:fldCharType="begin"/>
      </w:r>
      <w:r>
        <w:instrText xml:space="preserve"> PAGEREF _Toc320697797 \h </w:instrText>
      </w:r>
      <w:r>
        <w:fldChar w:fldCharType="separate"/>
      </w:r>
      <w:r>
        <w:t>5</w:t>
      </w:r>
      <w:r>
        <w:fldChar w:fldCharType="end"/>
      </w:r>
    </w:p>
    <w:p>
      <w:pPr>
        <w:pStyle w:val="TOC8"/>
        <w:rPr>
          <w:sz w:val="24"/>
          <w:szCs w:val="24"/>
          <w:lang w:val="en-US"/>
        </w:rPr>
      </w:pPr>
      <w:r>
        <w:t>7.</w:t>
      </w:r>
      <w:r>
        <w:tab/>
        <w:t>Building standards in relation to construction (s. 3)</w:t>
      </w:r>
      <w:r>
        <w:tab/>
      </w:r>
      <w:r>
        <w:fldChar w:fldCharType="begin"/>
      </w:r>
      <w:r>
        <w:instrText xml:space="preserve"> PAGEREF _Toc320697798 \h </w:instrText>
      </w:r>
      <w:r>
        <w:fldChar w:fldCharType="separate"/>
      </w:r>
      <w:r>
        <w:t>5</w:t>
      </w:r>
      <w:r>
        <w:fldChar w:fldCharType="end"/>
      </w:r>
    </w:p>
    <w:p>
      <w:pPr>
        <w:pStyle w:val="TOC8"/>
        <w:rPr>
          <w:sz w:val="24"/>
          <w:szCs w:val="24"/>
          <w:lang w:val="en-US"/>
        </w:rPr>
      </w:pPr>
      <w:r>
        <w:t>8.</w:t>
      </w:r>
      <w:r>
        <w:tab/>
        <w:t>Building standards in relation to demolition (s. 3)</w:t>
      </w:r>
      <w:r>
        <w:tab/>
      </w:r>
      <w:r>
        <w:fldChar w:fldCharType="begin"/>
      </w:r>
      <w:r>
        <w:instrText xml:space="preserve"> PAGEREF _Toc320697799 \h </w:instrText>
      </w:r>
      <w:r>
        <w:fldChar w:fldCharType="separate"/>
      </w:r>
      <w:r>
        <w:t>8</w:t>
      </w:r>
      <w:r>
        <w:fldChar w:fldCharType="end"/>
      </w:r>
    </w:p>
    <w:p>
      <w:pPr>
        <w:pStyle w:val="TOC8"/>
        <w:rPr>
          <w:sz w:val="24"/>
          <w:szCs w:val="24"/>
          <w:lang w:val="en-US"/>
        </w:rPr>
      </w:pPr>
      <w:r>
        <w:t>9.</w:t>
      </w:r>
      <w:r>
        <w:tab/>
        <w:t>Compliance with building standards — CodeMark certificates</w:t>
      </w:r>
      <w:r>
        <w:tab/>
      </w:r>
      <w:r>
        <w:fldChar w:fldCharType="begin"/>
      </w:r>
      <w:r>
        <w:instrText xml:space="preserve"> PAGEREF _Toc320697800 \h </w:instrText>
      </w:r>
      <w:r>
        <w:fldChar w:fldCharType="separate"/>
      </w:r>
      <w:r>
        <w:t>8</w:t>
      </w:r>
      <w:r>
        <w:fldChar w:fldCharType="end"/>
      </w:r>
    </w:p>
    <w:p>
      <w:pPr>
        <w:pStyle w:val="TOC8"/>
        <w:rPr>
          <w:sz w:val="24"/>
          <w:szCs w:val="24"/>
          <w:lang w:val="en-US"/>
        </w:rPr>
      </w:pPr>
      <w:r>
        <w:t>10.</w:t>
      </w:r>
      <w:r>
        <w:tab/>
        <w:t>Owners of land (s. 5(1))</w:t>
      </w:r>
      <w:r>
        <w:tab/>
      </w:r>
      <w:r>
        <w:fldChar w:fldCharType="begin"/>
      </w:r>
      <w:r>
        <w:instrText xml:space="preserve"> PAGEREF _Toc320697801 \h </w:instrText>
      </w:r>
      <w:r>
        <w:fldChar w:fldCharType="separate"/>
      </w:r>
      <w:r>
        <w:t>9</w:t>
      </w:r>
      <w:r>
        <w:fldChar w:fldCharType="end"/>
      </w:r>
    </w:p>
    <w:p>
      <w:pPr>
        <w:pStyle w:val="TOC8"/>
        <w:rPr>
          <w:sz w:val="24"/>
          <w:szCs w:val="24"/>
          <w:lang w:val="en-US"/>
        </w:rPr>
      </w:pPr>
      <w:r>
        <w:t>11.</w:t>
      </w:r>
      <w:r>
        <w:tab/>
        <w:t>Fees</w:t>
      </w:r>
      <w:r>
        <w:tab/>
      </w:r>
      <w:r>
        <w:fldChar w:fldCharType="begin"/>
      </w:r>
      <w:r>
        <w:instrText xml:space="preserve"> PAGEREF _Toc320697802 \h </w:instrText>
      </w:r>
      <w:r>
        <w:fldChar w:fldCharType="separate"/>
      </w:r>
      <w:r>
        <w:t>9</w:t>
      </w:r>
      <w:r>
        <w:fldChar w:fldCharType="end"/>
      </w:r>
    </w:p>
    <w:p>
      <w:pPr>
        <w:pStyle w:val="TOC8"/>
        <w:rPr>
          <w:sz w:val="24"/>
          <w:szCs w:val="24"/>
          <w:lang w:val="en-US"/>
        </w:rPr>
      </w:pPr>
      <w:r>
        <w:t>12.</w:t>
      </w:r>
      <w:r>
        <w:tab/>
        <w:t>Building records to be kept (s. 130)</w:t>
      </w:r>
      <w:r>
        <w:tab/>
      </w:r>
      <w:r>
        <w:fldChar w:fldCharType="begin"/>
      </w:r>
      <w:r>
        <w:instrText xml:space="preserve"> PAGEREF _Toc320697803 \h </w:instrText>
      </w:r>
      <w:r>
        <w:fldChar w:fldCharType="separate"/>
      </w:r>
      <w:r>
        <w:t>9</w:t>
      </w:r>
      <w:r>
        <w:fldChar w:fldCharType="end"/>
      </w:r>
    </w:p>
    <w:p>
      <w:pPr>
        <w:pStyle w:val="TOC8"/>
        <w:rPr>
          <w:sz w:val="24"/>
          <w:szCs w:val="24"/>
          <w:lang w:val="en-US"/>
        </w:rPr>
      </w:pPr>
      <w:r>
        <w:t>13.</w:t>
      </w:r>
      <w:r>
        <w:tab/>
        <w:t>Inspection, copies of building records (s. 131)</w:t>
      </w:r>
      <w:r>
        <w:tab/>
      </w:r>
      <w:r>
        <w:fldChar w:fldCharType="begin"/>
      </w:r>
      <w:r>
        <w:instrText xml:space="preserve"> PAGEREF _Toc320697804 \h </w:instrText>
      </w:r>
      <w:r>
        <w:fldChar w:fldCharType="separate"/>
      </w:r>
      <w:r>
        <w:t>10</w:t>
      </w:r>
      <w:r>
        <w:fldChar w:fldCharType="end"/>
      </w:r>
    </w:p>
    <w:p>
      <w:pPr>
        <w:pStyle w:val="TOC8"/>
        <w:rPr>
          <w:sz w:val="24"/>
          <w:szCs w:val="24"/>
          <w:lang w:val="en-US"/>
        </w:rPr>
      </w:pPr>
      <w:r>
        <w:t>14.</w:t>
      </w:r>
      <w:r>
        <w:tab/>
        <w:t>Provision of information to Building Commissioner (s. 132)</w:t>
      </w:r>
      <w:r>
        <w:tab/>
      </w:r>
      <w:r>
        <w:fldChar w:fldCharType="begin"/>
      </w:r>
      <w:r>
        <w:instrText xml:space="preserve"> PAGEREF _Toc320697805 \h </w:instrText>
      </w:r>
      <w:r>
        <w:fldChar w:fldCharType="separate"/>
      </w:r>
      <w:r>
        <w:t>10</w:t>
      </w:r>
      <w:r>
        <w:fldChar w:fldCharType="end"/>
      </w:r>
    </w:p>
    <w:p>
      <w:pPr>
        <w:pStyle w:val="TOC2"/>
        <w:tabs>
          <w:tab w:val="right" w:leader="dot" w:pos="7086"/>
        </w:tabs>
        <w:rPr>
          <w:b w:val="0"/>
          <w:sz w:val="24"/>
          <w:szCs w:val="24"/>
          <w:lang w:val="en-US"/>
        </w:rPr>
      </w:pPr>
      <w:r>
        <w:t>Part 3 — Building and demolition permits</w:t>
      </w:r>
    </w:p>
    <w:p>
      <w:pPr>
        <w:pStyle w:val="TOC8"/>
        <w:rPr>
          <w:sz w:val="24"/>
          <w:szCs w:val="24"/>
          <w:lang w:val="en-US"/>
        </w:rPr>
      </w:pPr>
      <w:r>
        <w:t>15.</w:t>
      </w:r>
      <w:r>
        <w:tab/>
        <w:t>Uncertified applications (s. 14(2))</w:t>
      </w:r>
      <w:r>
        <w:tab/>
      </w:r>
      <w:r>
        <w:fldChar w:fldCharType="begin"/>
      </w:r>
      <w:r>
        <w:instrText xml:space="preserve"> PAGEREF _Toc320697807 \h </w:instrText>
      </w:r>
      <w:r>
        <w:fldChar w:fldCharType="separate"/>
      </w:r>
      <w:r>
        <w:t>12</w:t>
      </w:r>
      <w:r>
        <w:fldChar w:fldCharType="end"/>
      </w:r>
    </w:p>
    <w:p>
      <w:pPr>
        <w:pStyle w:val="TOC8"/>
        <w:rPr>
          <w:sz w:val="24"/>
          <w:szCs w:val="24"/>
          <w:lang w:val="en-US"/>
        </w:rPr>
      </w:pPr>
      <w:r>
        <w:t>16.</w:t>
      </w:r>
      <w:r>
        <w:tab/>
        <w:t>Application for building and demolition permits (s. 16)</w:t>
      </w:r>
      <w:r>
        <w:tab/>
      </w:r>
      <w:r>
        <w:fldChar w:fldCharType="begin"/>
      </w:r>
      <w:r>
        <w:instrText xml:space="preserve"> PAGEREF _Toc320697808 \h </w:instrText>
      </w:r>
      <w:r>
        <w:fldChar w:fldCharType="separate"/>
      </w:r>
      <w:r>
        <w:t>12</w:t>
      </w:r>
      <w:r>
        <w:fldChar w:fldCharType="end"/>
      </w:r>
    </w:p>
    <w:p>
      <w:pPr>
        <w:pStyle w:val="TOC8"/>
        <w:rPr>
          <w:sz w:val="24"/>
          <w:szCs w:val="24"/>
          <w:lang w:val="en-US"/>
        </w:rPr>
      </w:pPr>
      <w:r>
        <w:t>17.</w:t>
      </w:r>
      <w:r>
        <w:tab/>
        <w:t>Certificate of design compliance (s. 19)</w:t>
      </w:r>
      <w:r>
        <w:tab/>
      </w:r>
      <w:r>
        <w:fldChar w:fldCharType="begin"/>
      </w:r>
      <w:r>
        <w:instrText xml:space="preserve"> PAGEREF _Toc320697809 \h </w:instrText>
      </w:r>
      <w:r>
        <w:fldChar w:fldCharType="separate"/>
      </w:r>
      <w:r>
        <w:t>14</w:t>
      </w:r>
      <w:r>
        <w:fldChar w:fldCharType="end"/>
      </w:r>
    </w:p>
    <w:p>
      <w:pPr>
        <w:pStyle w:val="TOC8"/>
        <w:rPr>
          <w:sz w:val="24"/>
          <w:szCs w:val="24"/>
          <w:lang w:val="en-US"/>
        </w:rPr>
      </w:pPr>
      <w:r>
        <w:t>18.</w:t>
      </w:r>
      <w:r>
        <w:tab/>
        <w:t>Grant of building permit (s. 20)</w:t>
      </w:r>
      <w:r>
        <w:tab/>
      </w:r>
      <w:r>
        <w:fldChar w:fldCharType="begin"/>
      </w:r>
      <w:r>
        <w:instrText xml:space="preserve"> PAGEREF _Toc320697810 \h </w:instrText>
      </w:r>
      <w:r>
        <w:fldChar w:fldCharType="separate"/>
      </w:r>
      <w:r>
        <w:t>15</w:t>
      </w:r>
      <w:r>
        <w:fldChar w:fldCharType="end"/>
      </w:r>
    </w:p>
    <w:p>
      <w:pPr>
        <w:pStyle w:val="TOC8"/>
        <w:rPr>
          <w:sz w:val="24"/>
          <w:szCs w:val="24"/>
          <w:lang w:val="en-US"/>
        </w:rPr>
      </w:pPr>
      <w:r>
        <w:t>19.</w:t>
      </w:r>
      <w:r>
        <w:tab/>
        <w:t>Grant of demolition permit (s. 21)</w:t>
      </w:r>
      <w:r>
        <w:tab/>
      </w:r>
      <w:r>
        <w:fldChar w:fldCharType="begin"/>
      </w:r>
      <w:r>
        <w:instrText xml:space="preserve"> PAGEREF _Toc320697811 \h </w:instrText>
      </w:r>
      <w:r>
        <w:fldChar w:fldCharType="separate"/>
      </w:r>
      <w:r>
        <w:t>17</w:t>
      </w:r>
      <w:r>
        <w:fldChar w:fldCharType="end"/>
      </w:r>
    </w:p>
    <w:p>
      <w:pPr>
        <w:pStyle w:val="TOC8"/>
        <w:rPr>
          <w:sz w:val="24"/>
          <w:szCs w:val="24"/>
          <w:lang w:val="en-US"/>
        </w:rPr>
      </w:pPr>
      <w:r>
        <w:t>20.</w:t>
      </w:r>
      <w:r>
        <w:tab/>
        <w:t>Time for deciding application for building or demolition permit (s. 23)</w:t>
      </w:r>
      <w:r>
        <w:tab/>
      </w:r>
      <w:r>
        <w:fldChar w:fldCharType="begin"/>
      </w:r>
      <w:r>
        <w:instrText xml:space="preserve"> PAGEREF _Toc320697812 \h </w:instrText>
      </w:r>
      <w:r>
        <w:fldChar w:fldCharType="separate"/>
      </w:r>
      <w:r>
        <w:t>18</w:t>
      </w:r>
      <w:r>
        <w:fldChar w:fldCharType="end"/>
      </w:r>
    </w:p>
    <w:p>
      <w:pPr>
        <w:pStyle w:val="TOC8"/>
        <w:rPr>
          <w:sz w:val="24"/>
          <w:szCs w:val="24"/>
          <w:lang w:val="en-US"/>
        </w:rPr>
      </w:pPr>
      <w:r>
        <w:t>21.</w:t>
      </w:r>
      <w:r>
        <w:tab/>
        <w:t>Form and content of building permit (s. 25)</w:t>
      </w:r>
      <w:r>
        <w:tab/>
      </w:r>
      <w:r>
        <w:fldChar w:fldCharType="begin"/>
      </w:r>
      <w:r>
        <w:instrText xml:space="preserve"> PAGEREF _Toc320697813 \h </w:instrText>
      </w:r>
      <w:r>
        <w:fldChar w:fldCharType="separate"/>
      </w:r>
      <w:r>
        <w:t>18</w:t>
      </w:r>
      <w:r>
        <w:fldChar w:fldCharType="end"/>
      </w:r>
    </w:p>
    <w:p>
      <w:pPr>
        <w:pStyle w:val="TOC8"/>
        <w:rPr>
          <w:sz w:val="24"/>
          <w:szCs w:val="24"/>
          <w:lang w:val="en-US"/>
        </w:rPr>
      </w:pPr>
      <w:r>
        <w:t>22.</w:t>
      </w:r>
      <w:r>
        <w:tab/>
        <w:t>Form and content of demolition permit (s. 25)</w:t>
      </w:r>
      <w:r>
        <w:tab/>
      </w:r>
      <w:r>
        <w:fldChar w:fldCharType="begin"/>
      </w:r>
      <w:r>
        <w:instrText xml:space="preserve"> PAGEREF _Toc320697814 \h </w:instrText>
      </w:r>
      <w:r>
        <w:fldChar w:fldCharType="separate"/>
      </w:r>
      <w:r>
        <w:t>18</w:t>
      </w:r>
      <w:r>
        <w:fldChar w:fldCharType="end"/>
      </w:r>
    </w:p>
    <w:p>
      <w:pPr>
        <w:pStyle w:val="TOC8"/>
        <w:rPr>
          <w:sz w:val="24"/>
          <w:szCs w:val="24"/>
          <w:lang w:val="en-US"/>
        </w:rPr>
      </w:pPr>
      <w:r>
        <w:t>23.</w:t>
      </w:r>
      <w:r>
        <w:tab/>
        <w:t>Application to extend time during which permit has effect (s. 32)</w:t>
      </w:r>
      <w:r>
        <w:tab/>
      </w:r>
      <w:r>
        <w:fldChar w:fldCharType="begin"/>
      </w:r>
      <w:r>
        <w:instrText xml:space="preserve"> PAGEREF _Toc320697815 \h </w:instrText>
      </w:r>
      <w:r>
        <w:fldChar w:fldCharType="separate"/>
      </w:r>
      <w:r>
        <w:t>19</w:t>
      </w:r>
      <w:r>
        <w:fldChar w:fldCharType="end"/>
      </w:r>
    </w:p>
    <w:p>
      <w:pPr>
        <w:pStyle w:val="TOC8"/>
        <w:rPr>
          <w:sz w:val="24"/>
          <w:szCs w:val="24"/>
          <w:lang w:val="en-US"/>
        </w:rPr>
      </w:pPr>
      <w:r>
        <w:t>24.</w:t>
      </w:r>
      <w:r>
        <w:tab/>
        <w:t>Extension of time during which permit has effect (s. 32(3))</w:t>
      </w:r>
      <w:r>
        <w:tab/>
      </w:r>
      <w:r>
        <w:fldChar w:fldCharType="begin"/>
      </w:r>
      <w:r>
        <w:instrText xml:space="preserve"> PAGEREF _Toc320697816 \h </w:instrText>
      </w:r>
      <w:r>
        <w:fldChar w:fldCharType="separate"/>
      </w:r>
      <w:r>
        <w:t>20</w:t>
      </w:r>
      <w:r>
        <w:fldChar w:fldCharType="end"/>
      </w:r>
    </w:p>
    <w:p>
      <w:pPr>
        <w:pStyle w:val="TOC8"/>
        <w:rPr>
          <w:sz w:val="24"/>
          <w:szCs w:val="24"/>
          <w:lang w:val="en-US"/>
        </w:rPr>
      </w:pPr>
      <w:r>
        <w:t>25.</w:t>
      </w:r>
      <w:r>
        <w:tab/>
        <w:t>Review of decision to refuse to extend time during which permit has effect (s. 32(3))</w:t>
      </w:r>
      <w:r>
        <w:tab/>
      </w:r>
      <w:r>
        <w:fldChar w:fldCharType="begin"/>
      </w:r>
      <w:r>
        <w:instrText xml:space="preserve"> PAGEREF _Toc320697817 \h </w:instrText>
      </w:r>
      <w:r>
        <w:fldChar w:fldCharType="separate"/>
      </w:r>
      <w:r>
        <w:t>20</w:t>
      </w:r>
      <w:r>
        <w:fldChar w:fldCharType="end"/>
      </w:r>
    </w:p>
    <w:p>
      <w:pPr>
        <w:pStyle w:val="TOC8"/>
        <w:rPr>
          <w:sz w:val="24"/>
          <w:szCs w:val="24"/>
          <w:lang w:val="en-US"/>
        </w:rPr>
      </w:pPr>
      <w:r>
        <w:t>26.</w:t>
      </w:r>
      <w:r>
        <w:tab/>
        <w:t>Approval of new responsible person (s. 35(c))</w:t>
      </w:r>
      <w:r>
        <w:tab/>
      </w:r>
      <w:r>
        <w:fldChar w:fldCharType="begin"/>
      </w:r>
      <w:r>
        <w:instrText xml:space="preserve"> PAGEREF _Toc320697818 \h </w:instrText>
      </w:r>
      <w:r>
        <w:fldChar w:fldCharType="separate"/>
      </w:r>
      <w:r>
        <w:t>21</w:t>
      </w:r>
      <w:r>
        <w:fldChar w:fldCharType="end"/>
      </w:r>
    </w:p>
    <w:p>
      <w:pPr>
        <w:pStyle w:val="TOC8"/>
        <w:rPr>
          <w:sz w:val="24"/>
          <w:szCs w:val="24"/>
          <w:lang w:val="en-US"/>
        </w:rPr>
      </w:pPr>
      <w:r>
        <w:t>27.</w:t>
      </w:r>
      <w:r>
        <w:tab/>
        <w:t>Required inspection and tests: Class 2 to Class 9 buildings (s. 36(2)(a))</w:t>
      </w:r>
      <w:r>
        <w:tab/>
      </w:r>
      <w:r>
        <w:fldChar w:fldCharType="begin"/>
      </w:r>
      <w:r>
        <w:instrText xml:space="preserve"> PAGEREF _Toc320697819 \h </w:instrText>
      </w:r>
      <w:r>
        <w:fldChar w:fldCharType="separate"/>
      </w:r>
      <w:r>
        <w:t>21</w:t>
      </w:r>
      <w:r>
        <w:fldChar w:fldCharType="end"/>
      </w:r>
    </w:p>
    <w:p>
      <w:pPr>
        <w:pStyle w:val="TOC8"/>
        <w:rPr>
          <w:sz w:val="24"/>
          <w:szCs w:val="24"/>
          <w:lang w:val="en-US"/>
        </w:rPr>
      </w:pPr>
      <w:r>
        <w:t>28.</w:t>
      </w:r>
      <w:r>
        <w:tab/>
        <w:t>Required inspection: enclosure of private swimming pool (s. 36(2)(a))</w:t>
      </w:r>
      <w:r>
        <w:tab/>
      </w:r>
      <w:r>
        <w:fldChar w:fldCharType="begin"/>
      </w:r>
      <w:r>
        <w:instrText xml:space="preserve"> PAGEREF _Toc320697820 \h </w:instrText>
      </w:r>
      <w:r>
        <w:fldChar w:fldCharType="separate"/>
      </w:r>
      <w:r>
        <w:t>22</w:t>
      </w:r>
      <w:r>
        <w:fldChar w:fldCharType="end"/>
      </w:r>
    </w:p>
    <w:p>
      <w:pPr>
        <w:pStyle w:val="TOC8"/>
        <w:rPr>
          <w:sz w:val="24"/>
          <w:szCs w:val="24"/>
          <w:lang w:val="en-US"/>
        </w:rPr>
      </w:pPr>
      <w:r>
        <w:t>29.</w:t>
      </w:r>
      <w:r>
        <w:tab/>
        <w:t>Inspection certificates (s. 36(2)(h) and (j))</w:t>
      </w:r>
      <w:r>
        <w:tab/>
      </w:r>
      <w:r>
        <w:fldChar w:fldCharType="begin"/>
      </w:r>
      <w:r>
        <w:instrText xml:space="preserve"> PAGEREF _Toc320697821 \h </w:instrText>
      </w:r>
      <w:r>
        <w:fldChar w:fldCharType="separate"/>
      </w:r>
      <w:r>
        <w:t>22</w:t>
      </w:r>
      <w:r>
        <w:fldChar w:fldCharType="end"/>
      </w:r>
    </w:p>
    <w:p>
      <w:pPr>
        <w:pStyle w:val="TOC8"/>
        <w:rPr>
          <w:sz w:val="24"/>
          <w:szCs w:val="24"/>
          <w:lang w:val="en-US"/>
        </w:rPr>
      </w:pPr>
      <w:r>
        <w:t>30.</w:t>
      </w:r>
      <w:r>
        <w:tab/>
        <w:t>Transitional provisions (s. 203)</w:t>
      </w:r>
      <w:r>
        <w:tab/>
      </w:r>
      <w:r>
        <w:fldChar w:fldCharType="begin"/>
      </w:r>
      <w:r>
        <w:instrText xml:space="preserve"> PAGEREF _Toc320697822 \h </w:instrText>
      </w:r>
      <w:r>
        <w:fldChar w:fldCharType="separate"/>
      </w:r>
      <w:r>
        <w:t>23</w:t>
      </w:r>
      <w:r>
        <w:fldChar w:fldCharType="end"/>
      </w:r>
    </w:p>
    <w:p>
      <w:pPr>
        <w:pStyle w:val="TOC2"/>
        <w:tabs>
          <w:tab w:val="right" w:leader="dot" w:pos="7086"/>
        </w:tabs>
        <w:rPr>
          <w:b w:val="0"/>
          <w:sz w:val="24"/>
          <w:szCs w:val="24"/>
          <w:lang w:val="en-US"/>
        </w:rPr>
      </w:pPr>
      <w:r>
        <w:t>Part 4 — Building standards</w:t>
      </w:r>
    </w:p>
    <w:p>
      <w:pPr>
        <w:pStyle w:val="TOC8"/>
        <w:rPr>
          <w:sz w:val="24"/>
          <w:szCs w:val="24"/>
          <w:lang w:val="en-US"/>
        </w:rPr>
      </w:pPr>
      <w:r>
        <w:t>31.</w:t>
      </w:r>
      <w:r>
        <w:tab/>
        <w:t>Term used: application</w:t>
      </w:r>
      <w:r>
        <w:tab/>
      </w:r>
      <w:r>
        <w:fldChar w:fldCharType="begin"/>
      </w:r>
      <w:r>
        <w:instrText xml:space="preserve"> PAGEREF _Toc320697824 \h </w:instrText>
      </w:r>
      <w:r>
        <w:fldChar w:fldCharType="separate"/>
      </w:r>
      <w:r>
        <w:t>24</w:t>
      </w:r>
      <w:r>
        <w:fldChar w:fldCharType="end"/>
      </w:r>
    </w:p>
    <w:p>
      <w:pPr>
        <w:pStyle w:val="TOC8"/>
        <w:rPr>
          <w:sz w:val="24"/>
          <w:szCs w:val="24"/>
          <w:lang w:val="en-US"/>
        </w:rPr>
      </w:pPr>
      <w:r>
        <w:t>32.</w:t>
      </w:r>
      <w:r>
        <w:tab/>
        <w:t>Statements to accompany application (s. 39(8)(b))</w:t>
      </w:r>
      <w:r>
        <w:tab/>
      </w:r>
      <w:r>
        <w:fldChar w:fldCharType="begin"/>
      </w:r>
      <w:r>
        <w:instrText xml:space="preserve"> PAGEREF _Toc320697825 \h </w:instrText>
      </w:r>
      <w:r>
        <w:fldChar w:fldCharType="separate"/>
      </w:r>
      <w:r>
        <w:t>24</w:t>
      </w:r>
      <w:r>
        <w:fldChar w:fldCharType="end"/>
      </w:r>
    </w:p>
    <w:p>
      <w:pPr>
        <w:pStyle w:val="TOC8"/>
        <w:rPr>
          <w:sz w:val="24"/>
          <w:szCs w:val="24"/>
          <w:lang w:val="en-US"/>
        </w:rPr>
      </w:pPr>
      <w:r>
        <w:t>33.</w:t>
      </w:r>
      <w:r>
        <w:tab/>
        <w:t>Decisions on applications (s. 39(9)(a))</w:t>
      </w:r>
      <w:r>
        <w:tab/>
      </w:r>
      <w:r>
        <w:fldChar w:fldCharType="begin"/>
      </w:r>
      <w:r>
        <w:instrText xml:space="preserve"> PAGEREF _Toc320697826 \h </w:instrText>
      </w:r>
      <w:r>
        <w:fldChar w:fldCharType="separate"/>
      </w:r>
      <w:r>
        <w:t>25</w:t>
      </w:r>
      <w:r>
        <w:fldChar w:fldCharType="end"/>
      </w:r>
    </w:p>
    <w:p>
      <w:pPr>
        <w:pStyle w:val="TOC8"/>
        <w:rPr>
          <w:sz w:val="24"/>
          <w:szCs w:val="24"/>
          <w:lang w:val="en-US"/>
        </w:rPr>
      </w:pPr>
      <w:r>
        <w:t>34.</w:t>
      </w:r>
      <w:r>
        <w:tab/>
        <w:t>Revoking or amending declarations (s. 39(9)(b))</w:t>
      </w:r>
      <w:r>
        <w:tab/>
      </w:r>
      <w:r>
        <w:fldChar w:fldCharType="begin"/>
      </w:r>
      <w:r>
        <w:instrText xml:space="preserve"> PAGEREF _Toc320697827 \h </w:instrText>
      </w:r>
      <w:r>
        <w:fldChar w:fldCharType="separate"/>
      </w:r>
      <w:r>
        <w:t>26</w:t>
      </w:r>
      <w:r>
        <w:fldChar w:fldCharType="end"/>
      </w:r>
    </w:p>
    <w:p>
      <w:pPr>
        <w:pStyle w:val="TOC2"/>
        <w:tabs>
          <w:tab w:val="right" w:leader="dot" w:pos="7086"/>
        </w:tabs>
        <w:rPr>
          <w:b w:val="0"/>
          <w:sz w:val="24"/>
          <w:szCs w:val="24"/>
          <w:lang w:val="en-US"/>
        </w:rPr>
      </w:pPr>
      <w:r>
        <w:t>Part 5 — Occupancy permits and building approval certificates</w:t>
      </w:r>
    </w:p>
    <w:p>
      <w:pPr>
        <w:pStyle w:val="TOC8"/>
        <w:rPr>
          <w:sz w:val="24"/>
          <w:szCs w:val="24"/>
          <w:lang w:val="en-US"/>
        </w:rPr>
      </w:pPr>
      <w:r>
        <w:t>35.</w:t>
      </w:r>
      <w:r>
        <w:tab/>
        <w:t>Display of occupancy permit details (s. 42(a))</w:t>
      </w:r>
      <w:r>
        <w:tab/>
      </w:r>
      <w:r>
        <w:fldChar w:fldCharType="begin"/>
      </w:r>
      <w:r>
        <w:instrText xml:space="preserve"> PAGEREF _Toc320697829 \h </w:instrText>
      </w:r>
      <w:r>
        <w:fldChar w:fldCharType="separate"/>
      </w:r>
      <w:r>
        <w:t>27</w:t>
      </w:r>
      <w:r>
        <w:fldChar w:fldCharType="end"/>
      </w:r>
    </w:p>
    <w:p>
      <w:pPr>
        <w:pStyle w:val="TOC8"/>
        <w:rPr>
          <w:sz w:val="24"/>
          <w:szCs w:val="24"/>
          <w:lang w:val="en-US"/>
        </w:rPr>
      </w:pPr>
      <w:r>
        <w:t>36.</w:t>
      </w:r>
      <w:r>
        <w:tab/>
        <w:t>Certificate of building compliance (s. 57)</w:t>
      </w:r>
      <w:r>
        <w:tab/>
      </w:r>
      <w:r>
        <w:fldChar w:fldCharType="begin"/>
      </w:r>
      <w:r>
        <w:instrText xml:space="preserve"> PAGEREF _Toc320697830 \h </w:instrText>
      </w:r>
      <w:r>
        <w:fldChar w:fldCharType="separate"/>
      </w:r>
      <w:r>
        <w:t>27</w:t>
      </w:r>
      <w:r>
        <w:fldChar w:fldCharType="end"/>
      </w:r>
    </w:p>
    <w:p>
      <w:pPr>
        <w:pStyle w:val="TOC8"/>
        <w:rPr>
          <w:sz w:val="24"/>
          <w:szCs w:val="24"/>
          <w:lang w:val="en-US"/>
        </w:rPr>
      </w:pPr>
      <w:r>
        <w:t>37.</w:t>
      </w:r>
      <w:r>
        <w:tab/>
        <w:t>Grant of occupancy permit or building approval certificate (s. 58)</w:t>
      </w:r>
      <w:r>
        <w:tab/>
      </w:r>
      <w:r>
        <w:fldChar w:fldCharType="begin"/>
      </w:r>
      <w:r>
        <w:instrText xml:space="preserve"> PAGEREF _Toc320697831 \h </w:instrText>
      </w:r>
      <w:r>
        <w:fldChar w:fldCharType="separate"/>
      </w:r>
      <w:r>
        <w:t>28</w:t>
      </w:r>
      <w:r>
        <w:fldChar w:fldCharType="end"/>
      </w:r>
    </w:p>
    <w:p>
      <w:pPr>
        <w:pStyle w:val="TOC8"/>
        <w:rPr>
          <w:sz w:val="24"/>
          <w:szCs w:val="24"/>
          <w:lang w:val="en-US"/>
        </w:rPr>
      </w:pPr>
      <w:r>
        <w:t>38.</w:t>
      </w:r>
      <w:r>
        <w:tab/>
        <w:t>Time for granting occupancy permit or building approval certificate (s. 59)</w:t>
      </w:r>
      <w:r>
        <w:tab/>
      </w:r>
      <w:r>
        <w:fldChar w:fldCharType="begin"/>
      </w:r>
      <w:r>
        <w:instrText xml:space="preserve"> PAGEREF _Toc320697832 \h </w:instrText>
      </w:r>
      <w:r>
        <w:fldChar w:fldCharType="separate"/>
      </w:r>
      <w:r>
        <w:t>28</w:t>
      </w:r>
      <w:r>
        <w:fldChar w:fldCharType="end"/>
      </w:r>
    </w:p>
    <w:p>
      <w:pPr>
        <w:pStyle w:val="TOC8"/>
        <w:rPr>
          <w:sz w:val="24"/>
          <w:szCs w:val="24"/>
          <w:lang w:val="en-US"/>
        </w:rPr>
      </w:pPr>
      <w:r>
        <w:t>39.</w:t>
      </w:r>
      <w:r>
        <w:tab/>
        <w:t>Occupancy permit and building approval certificates (s. 61(2))</w:t>
      </w:r>
      <w:r>
        <w:tab/>
      </w:r>
      <w:r>
        <w:fldChar w:fldCharType="begin"/>
      </w:r>
      <w:r>
        <w:instrText xml:space="preserve"> PAGEREF _Toc320697833 \h </w:instrText>
      </w:r>
      <w:r>
        <w:fldChar w:fldCharType="separate"/>
      </w:r>
      <w:r>
        <w:t>29</w:t>
      </w:r>
      <w:r>
        <w:fldChar w:fldCharType="end"/>
      </w:r>
    </w:p>
    <w:p>
      <w:pPr>
        <w:pStyle w:val="TOC8"/>
        <w:rPr>
          <w:sz w:val="24"/>
          <w:szCs w:val="24"/>
          <w:lang w:val="en-US"/>
        </w:rPr>
      </w:pPr>
      <w:r>
        <w:t>40.</w:t>
      </w:r>
      <w:r>
        <w:tab/>
        <w:t>Extension of period of duration of time limited occupancy permit or building approval certificate (s. 65)</w:t>
      </w:r>
      <w:r>
        <w:tab/>
      </w:r>
      <w:r>
        <w:fldChar w:fldCharType="begin"/>
      </w:r>
      <w:r>
        <w:instrText xml:space="preserve"> PAGEREF _Toc320697834 \h </w:instrText>
      </w:r>
      <w:r>
        <w:fldChar w:fldCharType="separate"/>
      </w:r>
      <w:r>
        <w:t>29</w:t>
      </w:r>
      <w:r>
        <w:fldChar w:fldCharType="end"/>
      </w:r>
    </w:p>
    <w:p>
      <w:pPr>
        <w:pStyle w:val="TOC2"/>
        <w:tabs>
          <w:tab w:val="right" w:leader="dot" w:pos="7086"/>
        </w:tabs>
        <w:rPr>
          <w:b w:val="0"/>
          <w:sz w:val="24"/>
          <w:szCs w:val="24"/>
          <w:lang w:val="en-US"/>
        </w:rPr>
      </w:pPr>
      <w:r>
        <w:t>Part 6 — Circumstances in which building, demolition or occupancy permits not required</w:t>
      </w:r>
    </w:p>
    <w:p>
      <w:pPr>
        <w:pStyle w:val="TOC8"/>
        <w:rPr>
          <w:sz w:val="24"/>
          <w:szCs w:val="24"/>
          <w:lang w:val="en-US"/>
        </w:rPr>
      </w:pPr>
      <w:r>
        <w:t>41.</w:t>
      </w:r>
      <w:r>
        <w:tab/>
        <w:t>Building work for which building permit is not required (s. 9(1)(b))</w:t>
      </w:r>
      <w:r>
        <w:tab/>
      </w:r>
      <w:r>
        <w:fldChar w:fldCharType="begin"/>
      </w:r>
      <w:r>
        <w:instrText xml:space="preserve"> PAGEREF _Toc320697836 \h </w:instrText>
      </w:r>
      <w:r>
        <w:fldChar w:fldCharType="separate"/>
      </w:r>
      <w:r>
        <w:t>32</w:t>
      </w:r>
      <w:r>
        <w:fldChar w:fldCharType="end"/>
      </w:r>
    </w:p>
    <w:p>
      <w:pPr>
        <w:pStyle w:val="TOC8"/>
        <w:rPr>
          <w:sz w:val="24"/>
          <w:szCs w:val="24"/>
          <w:lang w:val="en-US"/>
        </w:rPr>
      </w:pPr>
      <w:r>
        <w:t>42.</w:t>
      </w:r>
      <w:r>
        <w:tab/>
        <w:t>Demolition work for which demolition permit not required (s. 10(c))</w:t>
      </w:r>
      <w:r>
        <w:tab/>
      </w:r>
      <w:r>
        <w:fldChar w:fldCharType="begin"/>
      </w:r>
      <w:r>
        <w:instrText xml:space="preserve"> PAGEREF _Toc320697837 \h </w:instrText>
      </w:r>
      <w:r>
        <w:fldChar w:fldCharType="separate"/>
      </w:r>
      <w:r>
        <w:t>33</w:t>
      </w:r>
      <w:r>
        <w:fldChar w:fldCharType="end"/>
      </w:r>
    </w:p>
    <w:p>
      <w:pPr>
        <w:pStyle w:val="TOC8"/>
        <w:rPr>
          <w:sz w:val="24"/>
          <w:szCs w:val="24"/>
          <w:lang w:val="en-US"/>
        </w:rPr>
      </w:pPr>
      <w:r>
        <w:t>43.</w:t>
      </w:r>
      <w:r>
        <w:tab/>
        <w:t>Buildings and incidental structures for which occupancy permit not required (s. 41(2))</w:t>
      </w:r>
      <w:r>
        <w:tab/>
      </w:r>
      <w:r>
        <w:fldChar w:fldCharType="begin"/>
      </w:r>
      <w:r>
        <w:instrText xml:space="preserve"> PAGEREF _Toc320697838 \h </w:instrText>
      </w:r>
      <w:r>
        <w:fldChar w:fldCharType="separate"/>
      </w:r>
      <w:r>
        <w:t>33</w:t>
      </w:r>
      <w:r>
        <w:fldChar w:fldCharType="end"/>
      </w:r>
    </w:p>
    <w:p>
      <w:pPr>
        <w:pStyle w:val="TOC2"/>
        <w:tabs>
          <w:tab w:val="right" w:leader="dot" w:pos="7086"/>
        </w:tabs>
        <w:rPr>
          <w:b w:val="0"/>
          <w:sz w:val="24"/>
          <w:szCs w:val="24"/>
          <w:lang w:val="en-US"/>
        </w:rPr>
      </w:pPr>
      <w:r>
        <w:t>Part 7 — Work affecting other land</w:t>
      </w:r>
    </w:p>
    <w:p>
      <w:pPr>
        <w:pStyle w:val="TOC8"/>
        <w:rPr>
          <w:sz w:val="24"/>
          <w:szCs w:val="24"/>
          <w:lang w:val="en-US"/>
        </w:rPr>
      </w:pPr>
      <w:r>
        <w:t>44.</w:t>
      </w:r>
      <w:r>
        <w:tab/>
        <w:t>Owner of land for purposes of Part 6 of Act</w:t>
      </w:r>
      <w:r>
        <w:tab/>
      </w:r>
      <w:r>
        <w:fldChar w:fldCharType="begin"/>
      </w:r>
      <w:r>
        <w:instrText xml:space="preserve"> PAGEREF _Toc320697840 \h </w:instrText>
      </w:r>
      <w:r>
        <w:fldChar w:fldCharType="separate"/>
      </w:r>
      <w:r>
        <w:t>34</w:t>
      </w:r>
      <w:r>
        <w:fldChar w:fldCharType="end"/>
      </w:r>
    </w:p>
    <w:p>
      <w:pPr>
        <w:pStyle w:val="TOC8"/>
        <w:rPr>
          <w:sz w:val="24"/>
          <w:szCs w:val="24"/>
          <w:lang w:val="en-US"/>
        </w:rPr>
      </w:pPr>
      <w:r>
        <w:t>45.</w:t>
      </w:r>
      <w:r>
        <w:tab/>
        <w:t>Content of notice about effect on other land (s. 85)</w:t>
      </w:r>
      <w:r>
        <w:tab/>
      </w:r>
      <w:r>
        <w:fldChar w:fldCharType="begin"/>
      </w:r>
      <w:r>
        <w:instrText xml:space="preserve"> PAGEREF _Toc320697841 \h </w:instrText>
      </w:r>
      <w:r>
        <w:fldChar w:fldCharType="separate"/>
      </w:r>
      <w:r>
        <w:t>34</w:t>
      </w:r>
      <w:r>
        <w:fldChar w:fldCharType="end"/>
      </w:r>
    </w:p>
    <w:p>
      <w:pPr>
        <w:pStyle w:val="TOC2"/>
        <w:tabs>
          <w:tab w:val="right" w:leader="dot" w:pos="7086"/>
        </w:tabs>
        <w:rPr>
          <w:b w:val="0"/>
          <w:sz w:val="24"/>
          <w:szCs w:val="24"/>
          <w:lang w:val="en-US"/>
        </w:rPr>
      </w:pPr>
      <w:r>
        <w:t>Part 8 — Existing buildings</w:t>
      </w:r>
    </w:p>
    <w:p>
      <w:pPr>
        <w:pStyle w:val="TOC4"/>
        <w:tabs>
          <w:tab w:val="right" w:leader="dot" w:pos="7086"/>
        </w:tabs>
        <w:rPr>
          <w:b w:val="0"/>
          <w:sz w:val="24"/>
          <w:szCs w:val="24"/>
          <w:lang w:val="en-US"/>
        </w:rPr>
      </w:pPr>
      <w:r>
        <w:t>Division 1 — General</w:t>
      </w:r>
    </w:p>
    <w:p>
      <w:pPr>
        <w:pStyle w:val="TOC8"/>
        <w:rPr>
          <w:sz w:val="24"/>
          <w:szCs w:val="24"/>
          <w:lang w:val="en-US"/>
        </w:rPr>
      </w:pPr>
      <w:r>
        <w:t>46.</w:t>
      </w:r>
      <w:r>
        <w:tab/>
        <w:t>Building standards to apply to relocated buildings and incidental structures</w:t>
      </w:r>
      <w:r>
        <w:tab/>
      </w:r>
      <w:r>
        <w:fldChar w:fldCharType="begin"/>
      </w:r>
      <w:r>
        <w:instrText xml:space="preserve"> PAGEREF _Toc320697844 \h </w:instrText>
      </w:r>
      <w:r>
        <w:fldChar w:fldCharType="separate"/>
      </w:r>
      <w:r>
        <w:t>35</w:t>
      </w:r>
      <w:r>
        <w:fldChar w:fldCharType="end"/>
      </w:r>
    </w:p>
    <w:p>
      <w:pPr>
        <w:pStyle w:val="TOC8"/>
        <w:rPr>
          <w:sz w:val="24"/>
          <w:szCs w:val="24"/>
          <w:lang w:val="en-US"/>
        </w:rPr>
      </w:pPr>
      <w:r>
        <w:t>47.</w:t>
      </w:r>
      <w:r>
        <w:tab/>
        <w:t>Notification of change of classification of certain buildings and incidental structures</w:t>
      </w:r>
      <w:r>
        <w:tab/>
      </w:r>
      <w:r>
        <w:fldChar w:fldCharType="begin"/>
      </w:r>
      <w:r>
        <w:instrText xml:space="preserve"> PAGEREF _Toc320697845 \h </w:instrText>
      </w:r>
      <w:r>
        <w:fldChar w:fldCharType="separate"/>
      </w:r>
      <w:r>
        <w:t>35</w:t>
      </w:r>
      <w:r>
        <w:fldChar w:fldCharType="end"/>
      </w:r>
    </w:p>
    <w:p>
      <w:pPr>
        <w:pStyle w:val="TOC4"/>
        <w:tabs>
          <w:tab w:val="right" w:leader="dot" w:pos="7086"/>
        </w:tabs>
        <w:rPr>
          <w:b w:val="0"/>
          <w:sz w:val="24"/>
          <w:szCs w:val="24"/>
          <w:lang w:val="en-US"/>
        </w:rPr>
      </w:pPr>
      <w:r>
        <w:t>Division 2 — Private swimming pools</w:t>
      </w:r>
    </w:p>
    <w:p>
      <w:pPr>
        <w:pStyle w:val="TOC8"/>
        <w:rPr>
          <w:sz w:val="24"/>
          <w:szCs w:val="24"/>
          <w:lang w:val="en-US"/>
        </w:rPr>
      </w:pPr>
      <w:r>
        <w:t>48.</w:t>
      </w:r>
      <w:r>
        <w:tab/>
        <w:t>Terms used</w:t>
      </w:r>
      <w:r>
        <w:tab/>
      </w:r>
      <w:r>
        <w:fldChar w:fldCharType="begin"/>
      </w:r>
      <w:r>
        <w:instrText xml:space="preserve"> PAGEREF _Toc320697847 \h </w:instrText>
      </w:r>
      <w:r>
        <w:fldChar w:fldCharType="separate"/>
      </w:r>
      <w:r>
        <w:t>36</w:t>
      </w:r>
      <w:r>
        <w:fldChar w:fldCharType="end"/>
      </w:r>
    </w:p>
    <w:p>
      <w:pPr>
        <w:pStyle w:val="TOC8"/>
        <w:rPr>
          <w:sz w:val="24"/>
          <w:szCs w:val="24"/>
          <w:lang w:val="en-US"/>
        </w:rPr>
      </w:pPr>
      <w:r>
        <w:t>49.</w:t>
      </w:r>
      <w:r>
        <w:tab/>
        <w:t>Application of this Division</w:t>
      </w:r>
      <w:r>
        <w:tab/>
      </w:r>
      <w:r>
        <w:fldChar w:fldCharType="begin"/>
      </w:r>
      <w:r>
        <w:instrText xml:space="preserve"> PAGEREF _Toc320697848 \h </w:instrText>
      </w:r>
      <w:r>
        <w:fldChar w:fldCharType="separate"/>
      </w:r>
      <w:r>
        <w:t>36</w:t>
      </w:r>
      <w:r>
        <w:fldChar w:fldCharType="end"/>
      </w:r>
    </w:p>
    <w:p>
      <w:pPr>
        <w:pStyle w:val="TOC8"/>
        <w:rPr>
          <w:sz w:val="24"/>
          <w:szCs w:val="24"/>
          <w:lang w:val="en-US"/>
        </w:rPr>
      </w:pPr>
      <w:r>
        <w:t>50.</w:t>
      </w:r>
      <w:r>
        <w:tab/>
        <w:t>Enclosure of private swimming pool</w:t>
      </w:r>
      <w:r>
        <w:tab/>
      </w:r>
      <w:r>
        <w:fldChar w:fldCharType="begin"/>
      </w:r>
      <w:r>
        <w:instrText xml:space="preserve"> PAGEREF _Toc320697849 \h </w:instrText>
      </w:r>
      <w:r>
        <w:fldChar w:fldCharType="separate"/>
      </w:r>
      <w:r>
        <w:t>36</w:t>
      </w:r>
      <w:r>
        <w:fldChar w:fldCharType="end"/>
      </w:r>
    </w:p>
    <w:p>
      <w:pPr>
        <w:pStyle w:val="TOC8"/>
        <w:rPr>
          <w:sz w:val="24"/>
          <w:szCs w:val="24"/>
          <w:lang w:val="en-US"/>
        </w:rPr>
      </w:pPr>
      <w:r>
        <w:t>51.</w:t>
      </w:r>
      <w:r>
        <w:tab/>
        <w:t>Approvals by permit authority</w:t>
      </w:r>
      <w:r>
        <w:tab/>
      </w:r>
      <w:r>
        <w:fldChar w:fldCharType="begin"/>
      </w:r>
      <w:r>
        <w:instrText xml:space="preserve"> PAGEREF _Toc320697850 \h </w:instrText>
      </w:r>
      <w:r>
        <w:fldChar w:fldCharType="separate"/>
      </w:r>
      <w:r>
        <w:t>37</w:t>
      </w:r>
      <w:r>
        <w:fldChar w:fldCharType="end"/>
      </w:r>
    </w:p>
    <w:p>
      <w:pPr>
        <w:pStyle w:val="TOC8"/>
        <w:rPr>
          <w:sz w:val="24"/>
          <w:szCs w:val="24"/>
          <w:lang w:val="en-US"/>
        </w:rPr>
      </w:pPr>
      <w:r>
        <w:t>52.</w:t>
      </w:r>
      <w:r>
        <w:tab/>
        <w:t>Concessions for pre</w:t>
      </w:r>
      <w:r>
        <w:noBreakHyphen/>
        <w:t>November 2001 private swimming pools</w:t>
      </w:r>
      <w:r>
        <w:tab/>
      </w:r>
      <w:r>
        <w:fldChar w:fldCharType="begin"/>
      </w:r>
      <w:r>
        <w:instrText xml:space="preserve"> PAGEREF _Toc320697851 \h </w:instrText>
      </w:r>
      <w:r>
        <w:fldChar w:fldCharType="separate"/>
      </w:r>
      <w:r>
        <w:t>39</w:t>
      </w:r>
      <w:r>
        <w:fldChar w:fldCharType="end"/>
      </w:r>
    </w:p>
    <w:p>
      <w:pPr>
        <w:pStyle w:val="TOC8"/>
        <w:rPr>
          <w:sz w:val="24"/>
          <w:szCs w:val="24"/>
          <w:lang w:val="en-US"/>
        </w:rPr>
      </w:pPr>
      <w:r>
        <w:t>53.</w:t>
      </w:r>
      <w:r>
        <w:tab/>
        <w:t>Inspections of pool enclosures</w:t>
      </w:r>
      <w:r>
        <w:tab/>
      </w:r>
      <w:r>
        <w:fldChar w:fldCharType="begin"/>
      </w:r>
      <w:r>
        <w:instrText xml:space="preserve"> PAGEREF _Toc320697852 \h </w:instrText>
      </w:r>
      <w:r>
        <w:fldChar w:fldCharType="separate"/>
      </w:r>
      <w:r>
        <w:t>39</w:t>
      </w:r>
      <w:r>
        <w:fldChar w:fldCharType="end"/>
      </w:r>
    </w:p>
    <w:p>
      <w:pPr>
        <w:pStyle w:val="TOC8"/>
        <w:rPr>
          <w:sz w:val="24"/>
          <w:szCs w:val="24"/>
          <w:lang w:val="en-US"/>
        </w:rPr>
      </w:pPr>
      <w:r>
        <w:t>54.</w:t>
      </w:r>
      <w:r>
        <w:tab/>
        <w:t>Transitional provisions — persons authorised to carry out inspections of private swimming pools</w:t>
      </w:r>
      <w:r>
        <w:tab/>
      </w:r>
      <w:r>
        <w:fldChar w:fldCharType="begin"/>
      </w:r>
      <w:r>
        <w:instrText xml:space="preserve"> PAGEREF _Toc320697853 \h </w:instrText>
      </w:r>
      <w:r>
        <w:fldChar w:fldCharType="separate"/>
      </w:r>
      <w:r>
        <w:t>40</w:t>
      </w:r>
      <w:r>
        <w:fldChar w:fldCharType="end"/>
      </w:r>
    </w:p>
    <w:p>
      <w:pPr>
        <w:pStyle w:val="TOC4"/>
        <w:tabs>
          <w:tab w:val="right" w:leader="dot" w:pos="7086"/>
        </w:tabs>
        <w:rPr>
          <w:b w:val="0"/>
          <w:sz w:val="24"/>
          <w:szCs w:val="24"/>
          <w:lang w:val="en-US"/>
        </w:rPr>
      </w:pPr>
      <w:r>
        <w:t>Division 3 — Smoke alarms</w:t>
      </w:r>
    </w:p>
    <w:p>
      <w:pPr>
        <w:pStyle w:val="TOC8"/>
        <w:rPr>
          <w:sz w:val="24"/>
          <w:szCs w:val="24"/>
          <w:lang w:val="en-US"/>
        </w:rPr>
      </w:pPr>
      <w:r>
        <w:t>55.</w:t>
      </w:r>
      <w:r>
        <w:tab/>
        <w:t>Terms used</w:t>
      </w:r>
      <w:r>
        <w:tab/>
      </w:r>
      <w:r>
        <w:fldChar w:fldCharType="begin"/>
      </w:r>
      <w:r>
        <w:instrText xml:space="preserve"> PAGEREF _Toc320697855 \h </w:instrText>
      </w:r>
      <w:r>
        <w:fldChar w:fldCharType="separate"/>
      </w:r>
      <w:r>
        <w:t>40</w:t>
      </w:r>
      <w:r>
        <w:fldChar w:fldCharType="end"/>
      </w:r>
    </w:p>
    <w:p>
      <w:pPr>
        <w:pStyle w:val="TOC8"/>
        <w:rPr>
          <w:sz w:val="24"/>
          <w:szCs w:val="24"/>
          <w:lang w:val="en-US"/>
        </w:rPr>
      </w:pPr>
      <w:r>
        <w:t>56.</w:t>
      </w:r>
      <w:r>
        <w:tab/>
        <w:t>Requirement to have smoke alarms or similar prior to transfer of dwelling</w:t>
      </w:r>
      <w:r>
        <w:tab/>
      </w:r>
      <w:r>
        <w:fldChar w:fldCharType="begin"/>
      </w:r>
      <w:r>
        <w:instrText xml:space="preserve"> PAGEREF _Toc320697856 \h </w:instrText>
      </w:r>
      <w:r>
        <w:fldChar w:fldCharType="separate"/>
      </w:r>
      <w:r>
        <w:t>42</w:t>
      </w:r>
      <w:r>
        <w:fldChar w:fldCharType="end"/>
      </w:r>
    </w:p>
    <w:p>
      <w:pPr>
        <w:pStyle w:val="TOC8"/>
        <w:rPr>
          <w:sz w:val="24"/>
          <w:szCs w:val="24"/>
          <w:lang w:val="en-US"/>
        </w:rPr>
      </w:pPr>
      <w:r>
        <w:t>57.</w:t>
      </w:r>
      <w:r>
        <w:tab/>
        <w:t>New owner must install smoke alarms or similar, and right to recover costs</w:t>
      </w:r>
      <w:r>
        <w:tab/>
      </w:r>
      <w:r>
        <w:fldChar w:fldCharType="begin"/>
      </w:r>
      <w:r>
        <w:instrText xml:space="preserve"> PAGEREF _Toc320697857 \h </w:instrText>
      </w:r>
      <w:r>
        <w:fldChar w:fldCharType="separate"/>
      </w:r>
      <w:r>
        <w:t>42</w:t>
      </w:r>
      <w:r>
        <w:fldChar w:fldCharType="end"/>
      </w:r>
    </w:p>
    <w:p>
      <w:pPr>
        <w:pStyle w:val="TOC8"/>
        <w:rPr>
          <w:sz w:val="24"/>
          <w:szCs w:val="24"/>
          <w:lang w:val="en-US"/>
        </w:rPr>
      </w:pPr>
      <w:r>
        <w:t>58.</w:t>
      </w:r>
      <w:r>
        <w:tab/>
        <w:t>Requirement to have smoke alarms or similar prior to tenancy</w:t>
      </w:r>
      <w:r>
        <w:tab/>
      </w:r>
      <w:r>
        <w:fldChar w:fldCharType="begin"/>
      </w:r>
      <w:r>
        <w:instrText xml:space="preserve"> PAGEREF _Toc320697858 \h </w:instrText>
      </w:r>
      <w:r>
        <w:fldChar w:fldCharType="separate"/>
      </w:r>
      <w:r>
        <w:t>43</w:t>
      </w:r>
      <w:r>
        <w:fldChar w:fldCharType="end"/>
      </w:r>
    </w:p>
    <w:p>
      <w:pPr>
        <w:pStyle w:val="TOC8"/>
        <w:rPr>
          <w:sz w:val="24"/>
          <w:szCs w:val="24"/>
          <w:lang w:val="en-US"/>
        </w:rPr>
      </w:pPr>
      <w:r>
        <w:t>59.</w:t>
      </w:r>
      <w:r>
        <w:tab/>
        <w:t>Requirement to have smoke alarms or similar prior to hire of dwelling</w:t>
      </w:r>
      <w:r>
        <w:tab/>
      </w:r>
      <w:r>
        <w:fldChar w:fldCharType="begin"/>
      </w:r>
      <w:r>
        <w:instrText xml:space="preserve"> PAGEREF _Toc320697859 \h </w:instrText>
      </w:r>
      <w:r>
        <w:fldChar w:fldCharType="separate"/>
      </w:r>
      <w:r>
        <w:t>43</w:t>
      </w:r>
      <w:r>
        <w:fldChar w:fldCharType="end"/>
      </w:r>
    </w:p>
    <w:p>
      <w:pPr>
        <w:pStyle w:val="TOC8"/>
        <w:rPr>
          <w:sz w:val="24"/>
          <w:szCs w:val="24"/>
          <w:lang w:val="en-US"/>
        </w:rPr>
      </w:pPr>
      <w:r>
        <w:t>60.</w:t>
      </w:r>
      <w:r>
        <w:tab/>
        <w:t>Requirements for smoke alarms</w:t>
      </w:r>
      <w:r>
        <w:tab/>
      </w:r>
      <w:r>
        <w:fldChar w:fldCharType="begin"/>
      </w:r>
      <w:r>
        <w:instrText xml:space="preserve"> PAGEREF _Toc320697860 \h </w:instrText>
      </w:r>
      <w:r>
        <w:fldChar w:fldCharType="separate"/>
      </w:r>
      <w:r>
        <w:t>43</w:t>
      </w:r>
      <w:r>
        <w:fldChar w:fldCharType="end"/>
      </w:r>
    </w:p>
    <w:p>
      <w:pPr>
        <w:pStyle w:val="TOC8"/>
        <w:rPr>
          <w:sz w:val="24"/>
          <w:szCs w:val="24"/>
          <w:lang w:val="en-US"/>
        </w:rPr>
      </w:pPr>
      <w:r>
        <w:t>61.</w:t>
      </w:r>
      <w:r>
        <w:tab/>
        <w:t>Local government approval of battery powered smoke alarms</w:t>
      </w:r>
      <w:r>
        <w:tab/>
      </w:r>
      <w:r>
        <w:fldChar w:fldCharType="begin"/>
      </w:r>
      <w:r>
        <w:instrText xml:space="preserve"> PAGEREF _Toc320697861 \h </w:instrText>
      </w:r>
      <w:r>
        <w:fldChar w:fldCharType="separate"/>
      </w:r>
      <w:r>
        <w:t>45</w:t>
      </w:r>
      <w:r>
        <w:fldChar w:fldCharType="end"/>
      </w:r>
    </w:p>
    <w:p>
      <w:pPr>
        <w:pStyle w:val="TOC8"/>
        <w:rPr>
          <w:sz w:val="24"/>
          <w:szCs w:val="24"/>
          <w:lang w:val="en-US"/>
        </w:rPr>
      </w:pPr>
      <w:r>
        <w:t>62.</w:t>
      </w:r>
      <w:r>
        <w:tab/>
        <w:t>Requirement to maintain certain smoke alarms</w:t>
      </w:r>
      <w:r>
        <w:tab/>
      </w:r>
      <w:r>
        <w:fldChar w:fldCharType="begin"/>
      </w:r>
      <w:r>
        <w:instrText xml:space="preserve"> PAGEREF _Toc320697862 \h </w:instrText>
      </w:r>
      <w:r>
        <w:fldChar w:fldCharType="separate"/>
      </w:r>
      <w:r>
        <w:t>46</w:t>
      </w:r>
      <w:r>
        <w:fldChar w:fldCharType="end"/>
      </w:r>
    </w:p>
    <w:p>
      <w:pPr>
        <w:pStyle w:val="TOC2"/>
        <w:tabs>
          <w:tab w:val="right" w:leader="dot" w:pos="7086"/>
        </w:tabs>
        <w:rPr>
          <w:b w:val="0"/>
          <w:sz w:val="24"/>
          <w:szCs w:val="24"/>
          <w:lang w:val="en-US"/>
        </w:rPr>
      </w:pPr>
      <w:r>
        <w:t xml:space="preserve">Part 9 — Transitional provisions relating to </w:t>
      </w:r>
      <w:r>
        <w:rPr>
          <w:i/>
        </w:rPr>
        <w:t>Local Government (Miscellaneous Provisions) Act 1960</w:t>
      </w:r>
    </w:p>
    <w:p>
      <w:pPr>
        <w:pStyle w:val="TOC8"/>
        <w:rPr>
          <w:sz w:val="24"/>
          <w:szCs w:val="24"/>
          <w:lang w:val="en-US"/>
        </w:rPr>
      </w:pPr>
      <w:r>
        <w:t>63.</w:t>
      </w:r>
      <w:r>
        <w:tab/>
      </w:r>
      <w:r>
        <w:rPr>
          <w:snapToGrid w:val="0"/>
        </w:rPr>
        <w:t>Notice to be given before commencing building or demolition work</w:t>
      </w:r>
      <w:r>
        <w:tab/>
      </w:r>
      <w:r>
        <w:fldChar w:fldCharType="begin"/>
      </w:r>
      <w:r>
        <w:instrText xml:space="preserve"> PAGEREF _Toc320697864 \h </w:instrText>
      </w:r>
      <w:r>
        <w:fldChar w:fldCharType="separate"/>
      </w:r>
      <w:r>
        <w:t>47</w:t>
      </w:r>
      <w:r>
        <w:fldChar w:fldCharType="end"/>
      </w:r>
    </w:p>
    <w:p>
      <w:pPr>
        <w:pStyle w:val="TOC8"/>
        <w:rPr>
          <w:sz w:val="24"/>
          <w:szCs w:val="24"/>
          <w:lang w:val="en-US"/>
        </w:rPr>
      </w:pPr>
      <w:r>
        <w:t>64.</w:t>
      </w:r>
      <w:r>
        <w:tab/>
      </w:r>
      <w:r>
        <w:rPr>
          <w:snapToGrid w:val="0"/>
        </w:rPr>
        <w:t>No materials to be deposited on streets without licence</w:t>
      </w:r>
      <w:r>
        <w:tab/>
      </w:r>
      <w:r>
        <w:fldChar w:fldCharType="begin"/>
      </w:r>
      <w:r>
        <w:instrText xml:space="preserve"> PAGEREF _Toc320697865 \h </w:instrText>
      </w:r>
      <w:r>
        <w:fldChar w:fldCharType="separate"/>
      </w:r>
      <w:r>
        <w:t>47</w:t>
      </w:r>
      <w:r>
        <w:fldChar w:fldCharType="end"/>
      </w:r>
    </w:p>
    <w:p>
      <w:pPr>
        <w:pStyle w:val="TOC8"/>
        <w:rPr>
          <w:sz w:val="24"/>
          <w:szCs w:val="24"/>
          <w:lang w:val="en-US"/>
        </w:rPr>
      </w:pPr>
      <w:r>
        <w:t>65.</w:t>
      </w:r>
      <w:r>
        <w:tab/>
      </w:r>
      <w:r>
        <w:rPr>
          <w:snapToGrid w:val="0"/>
        </w:rPr>
        <w:t>Hoardings erected and materials deposited otherwise than as permitted by licence may be removed</w:t>
      </w:r>
      <w:r>
        <w:tab/>
      </w:r>
      <w:r>
        <w:fldChar w:fldCharType="begin"/>
      </w:r>
      <w:r>
        <w:instrText xml:space="preserve"> PAGEREF _Toc320697866 \h </w:instrText>
      </w:r>
      <w:r>
        <w:fldChar w:fldCharType="separate"/>
      </w:r>
      <w:r>
        <w:t>49</w:t>
      </w:r>
      <w:r>
        <w:fldChar w:fldCharType="end"/>
      </w:r>
    </w:p>
    <w:p>
      <w:pPr>
        <w:pStyle w:val="TOC8"/>
        <w:rPr>
          <w:sz w:val="24"/>
          <w:szCs w:val="24"/>
          <w:lang w:val="en-US"/>
        </w:rPr>
      </w:pPr>
      <w:r>
        <w:t>66.</w:t>
      </w:r>
      <w:r>
        <w:tab/>
      </w:r>
      <w:r>
        <w:rPr>
          <w:snapToGrid w:val="0"/>
        </w:rPr>
        <w:t>Damage done to footpaths, drains etc. to be made good</w:t>
      </w:r>
      <w:r>
        <w:tab/>
      </w:r>
      <w:r>
        <w:fldChar w:fldCharType="begin"/>
      </w:r>
      <w:r>
        <w:instrText xml:space="preserve"> PAGEREF _Toc320697867 \h </w:instrText>
      </w:r>
      <w:r>
        <w:fldChar w:fldCharType="separate"/>
      </w:r>
      <w:r>
        <w:t>50</w:t>
      </w:r>
      <w:r>
        <w:fldChar w:fldCharType="end"/>
      </w:r>
    </w:p>
    <w:p>
      <w:pPr>
        <w:pStyle w:val="TOC8"/>
        <w:rPr>
          <w:sz w:val="24"/>
          <w:szCs w:val="24"/>
          <w:lang w:val="en-US"/>
        </w:rPr>
      </w:pPr>
      <w:r>
        <w:t>67.</w:t>
      </w:r>
      <w:r>
        <w:tab/>
      </w:r>
      <w:r>
        <w:rPr>
          <w:snapToGrid w:val="0"/>
        </w:rPr>
        <w:t>While building is in progress footpath to be covered</w:t>
      </w:r>
      <w:r>
        <w:tab/>
      </w:r>
      <w:r>
        <w:fldChar w:fldCharType="begin"/>
      </w:r>
      <w:r>
        <w:instrText xml:space="preserve"> PAGEREF _Toc320697868 \h </w:instrText>
      </w:r>
      <w:r>
        <w:fldChar w:fldCharType="separate"/>
      </w:r>
      <w:r>
        <w:t>51</w:t>
      </w:r>
      <w:r>
        <w:fldChar w:fldCharType="end"/>
      </w:r>
    </w:p>
    <w:p>
      <w:pPr>
        <w:pStyle w:val="TOC8"/>
        <w:rPr>
          <w:sz w:val="24"/>
          <w:szCs w:val="24"/>
          <w:lang w:val="en-US"/>
        </w:rPr>
      </w:pPr>
      <w:r>
        <w:t>68.</w:t>
      </w:r>
      <w:r>
        <w:tab/>
        <w:t>Expiry of Part</w:t>
      </w:r>
      <w:r>
        <w:tab/>
      </w:r>
      <w:r>
        <w:fldChar w:fldCharType="begin"/>
      </w:r>
      <w:r>
        <w:instrText xml:space="preserve"> PAGEREF _Toc320697869 \h </w:instrText>
      </w:r>
      <w:r>
        <w:fldChar w:fldCharType="separate"/>
      </w:r>
      <w:r>
        <w:t>52</w:t>
      </w:r>
      <w:r>
        <w:fldChar w:fldCharType="end"/>
      </w:r>
    </w:p>
    <w:p>
      <w:pPr>
        <w:pStyle w:val="TOC2"/>
        <w:tabs>
          <w:tab w:val="right" w:leader="dot" w:pos="7086"/>
        </w:tabs>
        <w:rPr>
          <w:b w:val="0"/>
          <w:sz w:val="24"/>
          <w:szCs w:val="24"/>
          <w:lang w:val="en-US"/>
        </w:rPr>
      </w:pPr>
      <w:r>
        <w:t>Schedule 1 — Estimated value of building work</w:t>
      </w:r>
    </w:p>
    <w:p>
      <w:pPr>
        <w:pStyle w:val="TOC8"/>
        <w:rPr>
          <w:sz w:val="24"/>
          <w:szCs w:val="24"/>
          <w:lang w:val="en-US"/>
        </w:rPr>
      </w:pPr>
      <w:r>
        <w:t>1.</w:t>
      </w:r>
      <w:r>
        <w:tab/>
        <w:t>Terms used</w:t>
      </w:r>
      <w:r>
        <w:tab/>
      </w:r>
      <w:r>
        <w:fldChar w:fldCharType="begin"/>
      </w:r>
      <w:r>
        <w:instrText xml:space="preserve"> PAGEREF _Toc320697871 \h </w:instrText>
      </w:r>
      <w:r>
        <w:fldChar w:fldCharType="separate"/>
      </w:r>
      <w:r>
        <w:t>53</w:t>
      </w:r>
      <w:r>
        <w:fldChar w:fldCharType="end"/>
      </w:r>
    </w:p>
    <w:p>
      <w:pPr>
        <w:pStyle w:val="TOC8"/>
        <w:rPr>
          <w:sz w:val="24"/>
          <w:szCs w:val="24"/>
          <w:lang w:val="en-US"/>
        </w:rPr>
      </w:pPr>
      <w:r>
        <w:t>2.</w:t>
      </w:r>
      <w:r>
        <w:tab/>
        <w:t>Estimated value of building work</w:t>
      </w:r>
      <w:r>
        <w:tab/>
      </w:r>
      <w:r>
        <w:fldChar w:fldCharType="begin"/>
      </w:r>
      <w:r>
        <w:instrText xml:space="preserve"> PAGEREF _Toc320697872 \h </w:instrText>
      </w:r>
      <w:r>
        <w:fldChar w:fldCharType="separate"/>
      </w:r>
      <w:r>
        <w:t>53</w:t>
      </w:r>
      <w:r>
        <w:fldChar w:fldCharType="end"/>
      </w:r>
    </w:p>
    <w:p>
      <w:pPr>
        <w:pStyle w:val="TOC8"/>
        <w:rPr>
          <w:sz w:val="24"/>
          <w:szCs w:val="24"/>
          <w:lang w:val="en-US"/>
        </w:rPr>
      </w:pPr>
      <w:r>
        <w:t>3.</w:t>
      </w:r>
      <w:r>
        <w:tab/>
        <w:t>Estimated value of unauthorised building work</w:t>
      </w:r>
      <w:r>
        <w:tab/>
      </w:r>
      <w:r>
        <w:fldChar w:fldCharType="begin"/>
      </w:r>
      <w:r>
        <w:instrText xml:space="preserve"> PAGEREF _Toc320697873 \h </w:instrText>
      </w:r>
      <w:r>
        <w:fldChar w:fldCharType="separate"/>
      </w:r>
      <w:r>
        <w:t>54</w:t>
      </w:r>
      <w:r>
        <w:fldChar w:fldCharType="end"/>
      </w:r>
    </w:p>
    <w:p>
      <w:pPr>
        <w:pStyle w:val="TOC2"/>
        <w:tabs>
          <w:tab w:val="right" w:leader="dot" w:pos="7086"/>
        </w:tabs>
        <w:rPr>
          <w:b w:val="0"/>
          <w:sz w:val="24"/>
          <w:szCs w:val="24"/>
          <w:lang w:val="en-US"/>
        </w:rPr>
      </w:pPr>
      <w:r>
        <w:t>Schedule 2 — Fees</w:t>
      </w:r>
    </w:p>
    <w:p>
      <w:pPr>
        <w:pStyle w:val="TOC4"/>
        <w:tabs>
          <w:tab w:val="right" w:leader="dot" w:pos="7086"/>
        </w:tabs>
        <w:rPr>
          <w:b w:val="0"/>
          <w:sz w:val="24"/>
          <w:szCs w:val="24"/>
          <w:lang w:val="en-US"/>
        </w:rPr>
      </w:pPr>
      <w:r>
        <w:t>Division 1 — Applications for building permits, demolition permits</w:t>
      </w:r>
    </w:p>
    <w:p>
      <w:pPr>
        <w:pStyle w:val="TOC4"/>
        <w:tabs>
          <w:tab w:val="right" w:leader="dot" w:pos="7086"/>
        </w:tabs>
        <w:rPr>
          <w:b w:val="0"/>
          <w:sz w:val="24"/>
          <w:szCs w:val="24"/>
          <w:lang w:val="en-US"/>
        </w:rPr>
      </w:pPr>
      <w:r>
        <w:t>Division 2 — Application for occupancy permits, building approval certificates</w:t>
      </w:r>
    </w:p>
    <w:p>
      <w:pPr>
        <w:pStyle w:val="TOC4"/>
        <w:tabs>
          <w:tab w:val="right" w:leader="dot" w:pos="7086"/>
        </w:tabs>
        <w:rPr>
          <w:b w:val="0"/>
          <w:sz w:val="24"/>
          <w:szCs w:val="24"/>
          <w:lang w:val="en-US"/>
        </w:rPr>
      </w:pPr>
      <w:r>
        <w:t>Division 3 — Other applications</w:t>
      </w:r>
    </w:p>
    <w:p>
      <w:pPr>
        <w:pStyle w:val="TOC2"/>
        <w:tabs>
          <w:tab w:val="right" w:leader="dot" w:pos="7086"/>
        </w:tabs>
        <w:rPr>
          <w:b w:val="0"/>
          <w:sz w:val="24"/>
          <w:szCs w:val="24"/>
          <w:lang w:val="en-US"/>
        </w:rPr>
      </w:pPr>
      <w:r>
        <w:t>Schedule 3 — Inspections or tests of systems</w:t>
      </w:r>
    </w:p>
    <w:p>
      <w:pPr>
        <w:pStyle w:val="TOC8"/>
        <w:rPr>
          <w:sz w:val="24"/>
          <w:szCs w:val="24"/>
          <w:lang w:val="en-US"/>
        </w:rPr>
      </w:pPr>
      <w:r>
        <w:t>1.</w:t>
      </w:r>
      <w:r>
        <w:tab/>
        <w:t>Term used: EP</w:t>
      </w:r>
      <w:r>
        <w:tab/>
      </w:r>
      <w:r>
        <w:fldChar w:fldCharType="begin"/>
      </w:r>
      <w:r>
        <w:instrText xml:space="preserve"> PAGEREF _Toc320697879 \h </w:instrText>
      </w:r>
      <w:r>
        <w:fldChar w:fldCharType="separate"/>
      </w:r>
      <w:r>
        <w:t>58</w:t>
      </w:r>
      <w:r>
        <w:fldChar w:fldCharType="end"/>
      </w:r>
    </w:p>
    <w:p>
      <w:pPr>
        <w:pStyle w:val="TOC2"/>
        <w:tabs>
          <w:tab w:val="right" w:leader="dot" w:pos="7086"/>
        </w:tabs>
        <w:rPr>
          <w:b w:val="0"/>
          <w:sz w:val="24"/>
          <w:szCs w:val="24"/>
          <w:lang w:val="en-US"/>
        </w:rPr>
      </w:pPr>
      <w:r>
        <w:t>Schedule 4 — Building work that does not require building permit</w:t>
      </w:r>
    </w:p>
    <w:p>
      <w:pPr>
        <w:pStyle w:val="TOC8"/>
        <w:rPr>
          <w:sz w:val="24"/>
          <w:szCs w:val="24"/>
          <w:lang w:val="en-US"/>
        </w:rPr>
      </w:pPr>
      <w:r>
        <w:t>1.</w:t>
      </w:r>
      <w:r>
        <w:tab/>
        <w:t>Areas where building permit not required for certain work</w:t>
      </w:r>
      <w:r>
        <w:tab/>
      </w:r>
      <w:r>
        <w:fldChar w:fldCharType="begin"/>
      </w:r>
      <w:r>
        <w:instrText xml:space="preserve"> PAGEREF _Toc320697881 \h </w:instrText>
      </w:r>
      <w:r>
        <w:fldChar w:fldCharType="separate"/>
      </w:r>
      <w:r>
        <w:t>59</w:t>
      </w:r>
      <w:r>
        <w:fldChar w:fldCharType="end"/>
      </w:r>
    </w:p>
    <w:p>
      <w:pPr>
        <w:pStyle w:val="TOC8"/>
        <w:rPr>
          <w:sz w:val="24"/>
          <w:szCs w:val="24"/>
          <w:lang w:val="en-US"/>
        </w:rPr>
      </w:pPr>
      <w:r>
        <w:t>2.</w:t>
      </w:r>
      <w:r>
        <w:tab/>
        <w:t>Kinds of building work for which a building permit is not required</w:t>
      </w:r>
      <w:r>
        <w:tab/>
      </w:r>
      <w:r>
        <w:fldChar w:fldCharType="begin"/>
      </w:r>
      <w:r>
        <w:instrText xml:space="preserve"> PAGEREF _Toc320697882 \h </w:instrText>
      </w:r>
      <w:r>
        <w:fldChar w:fldCharType="separate"/>
      </w:r>
      <w:r>
        <w:t>66</w:t>
      </w:r>
      <w:r>
        <w:fldChar w:fldCharType="end"/>
      </w:r>
    </w:p>
    <w:p>
      <w:pPr>
        <w:pStyle w:val="TOC2"/>
        <w:tabs>
          <w:tab w:val="right" w:leader="dot" w:pos="7086"/>
        </w:tabs>
        <w:rPr>
          <w:b w:val="0"/>
          <w:sz w:val="24"/>
          <w:szCs w:val="24"/>
          <w:lang w:val="en-US"/>
        </w:rPr>
      </w:pPr>
      <w:r>
        <w:t>Schedule 5 — Areas of State where Part 8 Division 2 applies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_Toc320697885 \h </w:instrText>
      </w:r>
      <w:r>
        <w:fldChar w:fldCharType="separate"/>
      </w:r>
      <w:r>
        <w:t>75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Building Act 2011</w:t>
      </w:r>
    </w:p>
    <w:p>
      <w:pPr>
        <w:pStyle w:val="NameofActReg"/>
      </w:pPr>
      <w:r>
        <w:t>Building Regulations 2012</w:t>
      </w:r>
    </w:p>
    <w:p>
      <w:pPr>
        <w:pStyle w:val="Heading2"/>
        <w:keepNext w:val="0"/>
        <w:pageBreakBefore w:val="0"/>
        <w:spacing w:before="240"/>
      </w:pPr>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8" w:name="_Toc423332722"/>
      <w:bookmarkStart w:id="59" w:name="_Toc425219441"/>
      <w:bookmarkStart w:id="60" w:name="_Toc426249308"/>
      <w:bookmarkStart w:id="61" w:name="_Toc449924704"/>
      <w:bookmarkStart w:id="62" w:name="_Toc449947722"/>
      <w:bookmarkStart w:id="63" w:name="_Toc454185713"/>
      <w:bookmarkStart w:id="64" w:name="_Toc515958686"/>
      <w:bookmarkStart w:id="65" w:name="_Toc318120356"/>
      <w:bookmarkStart w:id="66" w:name="_Toc319068333"/>
      <w:bookmarkStart w:id="67" w:name="_Toc320697791"/>
      <w:r>
        <w:rPr>
          <w:rStyle w:val="CharSectno"/>
        </w:rPr>
        <w:t>1</w:t>
      </w:r>
      <w:r>
        <w:t>.</w:t>
      </w:r>
      <w:r>
        <w:tab/>
        <w:t>Citation</w:t>
      </w:r>
      <w:bookmarkEnd w:id="58"/>
      <w:bookmarkEnd w:id="59"/>
      <w:bookmarkEnd w:id="60"/>
      <w:bookmarkEnd w:id="61"/>
      <w:bookmarkEnd w:id="62"/>
      <w:bookmarkEnd w:id="63"/>
      <w:bookmarkEnd w:id="64"/>
      <w:bookmarkEnd w:id="65"/>
      <w:bookmarkEnd w:id="66"/>
      <w:bookmarkEnd w:id="67"/>
    </w:p>
    <w:p>
      <w:pPr>
        <w:pStyle w:val="Subsection"/>
        <w:rPr>
          <w:i/>
        </w:rPr>
      </w:pPr>
      <w:r>
        <w:tab/>
      </w:r>
      <w:r>
        <w:tab/>
      </w:r>
      <w:bookmarkStart w:id="68" w:name="Start_Cursor"/>
      <w:bookmarkEnd w:id="68"/>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69" w:name="_Toc423332723"/>
      <w:bookmarkStart w:id="70" w:name="_Toc425219442"/>
      <w:bookmarkStart w:id="71" w:name="_Toc426249309"/>
      <w:bookmarkStart w:id="72" w:name="_Toc449924705"/>
      <w:bookmarkStart w:id="73" w:name="_Toc449947723"/>
      <w:bookmarkStart w:id="74" w:name="_Toc454185714"/>
      <w:bookmarkStart w:id="75" w:name="_Toc515958687"/>
      <w:bookmarkStart w:id="76" w:name="_Toc318120357"/>
      <w:bookmarkStart w:id="77" w:name="_Toc319068334"/>
      <w:bookmarkStart w:id="78" w:name="_Toc320697792"/>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79" w:name="_Toc320625114"/>
      <w:bookmarkStart w:id="80" w:name="_Toc320697793"/>
      <w:r>
        <w:rPr>
          <w:rStyle w:val="CharSectno"/>
        </w:rPr>
        <w:t>3</w:t>
      </w:r>
      <w:r>
        <w:t>.</w:t>
      </w:r>
      <w:r>
        <w:tab/>
        <w:t>Terms used</w:t>
      </w:r>
      <w:bookmarkEnd w:id="79"/>
      <w:bookmarkEnd w:id="80"/>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w:t>
      </w:r>
      <w:r>
        <w:rPr>
          <w:rStyle w:val="CharDefText"/>
          <w:b w:val="0"/>
          <w:i w:val="0"/>
        </w:rPr>
        <w:t>fo</w:t>
      </w:r>
      <w:r>
        <w:t>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 xml:space="preserve">Building Code </w:t>
      </w:r>
      <w:r>
        <w:t>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rPr>
          <w:rStyle w:val="CharDefText"/>
          <w:b w:val="0"/>
          <w:i w:val="0"/>
        </w:rPr>
        <w:t>, in relation to building work,</w:t>
      </w:r>
      <w:r>
        <w:t xml:space="preserve"> means the value of the work estimated in accordance with Schedule 1;</w:t>
      </w:r>
    </w:p>
    <w:p>
      <w:pPr>
        <w:pStyle w:val="Defstart"/>
      </w:pPr>
      <w:r>
        <w:tab/>
      </w:r>
      <w:r>
        <w:rPr>
          <w:rStyle w:val="CharDefText"/>
        </w:rPr>
        <w:t>FESA</w:t>
      </w:r>
      <w:r>
        <w:t xml:space="preserve"> means the Fire and Emergency Services Authority of Western Australian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pPr>
      <w:r>
        <w:tab/>
        <w:t>(a)</w:t>
      </w:r>
      <w:r>
        <w:tab/>
        <w:t>which the public are not entitled to use; and</w:t>
      </w:r>
    </w:p>
    <w:p>
      <w:pPr>
        <w:pStyle w:val="Defpara"/>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Heading2"/>
      </w:pPr>
      <w:bookmarkStart w:id="81" w:name="_Toc320625115"/>
      <w:bookmarkStart w:id="82" w:name="_Toc320625479"/>
      <w:bookmarkStart w:id="83" w:name="_Toc320625754"/>
      <w:bookmarkStart w:id="84" w:name="_Toc320697794"/>
      <w:r>
        <w:rPr>
          <w:rStyle w:val="CharPartNo"/>
        </w:rPr>
        <w:t>Part 2</w:t>
      </w:r>
      <w:r>
        <w:rPr>
          <w:rStyle w:val="CharDivNo"/>
        </w:rPr>
        <w:t> </w:t>
      </w:r>
      <w:r>
        <w:t>—</w:t>
      </w:r>
      <w:r>
        <w:rPr>
          <w:rStyle w:val="CharDivText"/>
        </w:rPr>
        <w:t> </w:t>
      </w:r>
      <w:r>
        <w:rPr>
          <w:rStyle w:val="CharPartText"/>
        </w:rPr>
        <w:t>General matters</w:t>
      </w:r>
      <w:bookmarkEnd w:id="81"/>
      <w:bookmarkEnd w:id="82"/>
      <w:bookmarkEnd w:id="83"/>
      <w:bookmarkEnd w:id="84"/>
    </w:p>
    <w:p>
      <w:pPr>
        <w:pStyle w:val="Heading5"/>
      </w:pPr>
      <w:bookmarkStart w:id="85" w:name="_Toc320625116"/>
      <w:bookmarkStart w:id="86" w:name="_Toc320697795"/>
      <w:r>
        <w:rPr>
          <w:rStyle w:val="CharSectno"/>
        </w:rPr>
        <w:t>4</w:t>
      </w:r>
      <w:r>
        <w:t>.</w:t>
      </w:r>
      <w:r>
        <w:tab/>
        <w:t>Approval of manner or form of things (s. 3)</w:t>
      </w:r>
      <w:bookmarkEnd w:id="85"/>
      <w:bookmarkEnd w:id="86"/>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jc w:val="center"/>
              <w:rPr>
                <w:b/>
                <w:bCs/>
              </w:rPr>
            </w:pPr>
            <w:r>
              <w:rPr>
                <w:b/>
                <w:bCs/>
              </w:rPr>
              <w:t>Section</w:t>
            </w:r>
          </w:p>
        </w:tc>
        <w:tc>
          <w:tcPr>
            <w:tcW w:w="4252" w:type="dxa"/>
          </w:tcPr>
          <w:p>
            <w:pPr>
              <w:pStyle w:val="TableNAm"/>
              <w:keepNext/>
              <w:keepLines/>
              <w:jc w:val="center"/>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7" w:name="_Toc320625117"/>
      <w:bookmarkStart w:id="88" w:name="_Toc320697796"/>
      <w:r>
        <w:rPr>
          <w:rStyle w:val="CharSectno"/>
        </w:rPr>
        <w:t>5</w:t>
      </w:r>
      <w:r>
        <w:t>.</w:t>
      </w:r>
      <w:r>
        <w:tab/>
        <w:t>Building surveyors (s. 3)</w:t>
      </w:r>
      <w:bookmarkEnd w:id="87"/>
      <w:bookmarkEnd w:id="88"/>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1"/>
        <w:gridCol w:w="2409"/>
        <w:gridCol w:w="2977"/>
      </w:tblGrid>
      <w:tr>
        <w:trPr>
          <w:cantSplit/>
          <w:tblHeader/>
        </w:trPr>
        <w:tc>
          <w:tcPr>
            <w:tcW w:w="681" w:type="dxa"/>
          </w:tcPr>
          <w:p>
            <w:pPr>
              <w:pStyle w:val="TableNAm"/>
              <w:tabs>
                <w:tab w:val="left" w:pos="6"/>
              </w:tabs>
              <w:ind w:left="6" w:hanging="142"/>
              <w:jc w:val="center"/>
              <w:rPr>
                <w:b/>
                <w:bCs/>
              </w:rPr>
            </w:pPr>
            <w:r>
              <w:rPr>
                <w:b/>
                <w:bCs/>
              </w:rPr>
              <w:t>Item</w:t>
            </w:r>
          </w:p>
        </w:tc>
        <w:tc>
          <w:tcPr>
            <w:tcW w:w="2409" w:type="dxa"/>
          </w:tcPr>
          <w:p>
            <w:pPr>
              <w:pStyle w:val="TableNAm"/>
              <w:jc w:val="center"/>
              <w:rPr>
                <w:b/>
                <w:bCs/>
              </w:rPr>
            </w:pPr>
            <w:r>
              <w:rPr>
                <w:b/>
                <w:bCs/>
              </w:rPr>
              <w:t>Class of building service practitioner</w:t>
            </w:r>
          </w:p>
        </w:tc>
        <w:tc>
          <w:tcPr>
            <w:tcW w:w="2977" w:type="dxa"/>
          </w:tcPr>
          <w:p>
            <w:pPr>
              <w:pStyle w:val="TableNAm"/>
              <w:jc w:val="center"/>
              <w:rPr>
                <w:b/>
                <w:bCs/>
              </w:rPr>
            </w:pPr>
            <w:r>
              <w:rPr>
                <w:b/>
                <w:bCs/>
              </w:rPr>
              <w:t>Type of building</w:t>
            </w:r>
          </w:p>
        </w:tc>
      </w:tr>
      <w:tr>
        <w:trPr>
          <w:cantSplit/>
        </w:trPr>
        <w:tc>
          <w:tcPr>
            <w:tcW w:w="681" w:type="dxa"/>
          </w:tcPr>
          <w:p>
            <w:pPr>
              <w:pStyle w:val="TableNAm"/>
            </w:pPr>
            <w:r>
              <w:t>1.</w:t>
            </w:r>
          </w:p>
        </w:tc>
        <w:tc>
          <w:tcPr>
            <w:tcW w:w="2409" w:type="dxa"/>
          </w:tcPr>
          <w:p>
            <w:pPr>
              <w:pStyle w:val="TableNAm"/>
            </w:pPr>
            <w:r>
              <w:t>Building surveying practitioner level 1</w:t>
            </w:r>
          </w:p>
        </w:tc>
        <w:tc>
          <w:tcPr>
            <w:tcW w:w="2977" w:type="dxa"/>
          </w:tcPr>
          <w:p>
            <w:pPr>
              <w:pStyle w:val="TableNAm"/>
            </w:pPr>
            <w:r>
              <w:t>Any type of building or incidental structure</w:t>
            </w:r>
          </w:p>
        </w:tc>
      </w:tr>
      <w:tr>
        <w:trPr>
          <w:cantSplit/>
        </w:trPr>
        <w:tc>
          <w:tcPr>
            <w:tcW w:w="681" w:type="dxa"/>
            <w:tcBorders>
              <w:bottom w:val="nil"/>
            </w:tcBorders>
          </w:tcPr>
          <w:p>
            <w:pPr>
              <w:pStyle w:val="TableNAm"/>
            </w:pPr>
            <w:r>
              <w:t>2.</w:t>
            </w:r>
          </w:p>
        </w:tc>
        <w:tc>
          <w:tcPr>
            <w:tcW w:w="2409" w:type="dxa"/>
            <w:tcBorders>
              <w:bottom w:val="nil"/>
            </w:tcBorders>
          </w:tcPr>
          <w:p>
            <w:pPr>
              <w:pStyle w:val="TableNAm"/>
            </w:pPr>
            <w:r>
              <w:t>Building surveying practitioner level 2</w:t>
            </w:r>
          </w:p>
        </w:tc>
        <w:tc>
          <w:tcPr>
            <w:tcW w:w="2977" w:type="dxa"/>
            <w:tcBorders>
              <w:bottom w:val="nil"/>
            </w:tcBorders>
          </w:tcPr>
          <w:p>
            <w:pPr>
              <w:pStyle w:val="TableNAm"/>
            </w:pPr>
            <w:r>
              <w:t xml:space="preserve">A building or incidental structure — </w:t>
            </w:r>
          </w:p>
          <w:p>
            <w:pPr>
              <w:pStyle w:val="TableNAm"/>
              <w:tabs>
                <w:tab w:val="clear" w:pos="567"/>
                <w:tab w:val="left" w:pos="375"/>
              </w:tabs>
              <w:ind w:left="374" w:hanging="374"/>
            </w:pPr>
            <w:r>
              <w:t>(a)</w:t>
            </w:r>
            <w:r>
              <w:tab/>
              <w:t>with a floor area not exceeding 2 000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681" w:type="dxa"/>
            <w:tcBorders>
              <w:bottom w:val="nil"/>
            </w:tcBorders>
          </w:tcPr>
          <w:p>
            <w:pPr>
              <w:pStyle w:val="TableNAm"/>
            </w:pPr>
            <w:r>
              <w:t>3.</w:t>
            </w:r>
          </w:p>
        </w:tc>
        <w:tc>
          <w:tcPr>
            <w:tcW w:w="2409" w:type="dxa"/>
            <w:tcBorders>
              <w:bottom w:val="nil"/>
            </w:tcBorders>
          </w:tcPr>
          <w:p>
            <w:pPr>
              <w:pStyle w:val="TableNAm"/>
            </w:pPr>
            <w:r>
              <w:t>Building surveying practitioner technician</w:t>
            </w:r>
          </w:p>
        </w:tc>
        <w:tc>
          <w:tcPr>
            <w:tcW w:w="2977" w:type="dxa"/>
            <w:tcBorders>
              <w:bottom w:val="nil"/>
            </w:tcBorders>
          </w:tcPr>
          <w:p>
            <w:pPr>
              <w:pStyle w:val="TableNAm"/>
              <w:tabs>
                <w:tab w:val="clear" w:pos="567"/>
                <w:tab w:val="left" w:pos="34"/>
              </w:tabs>
            </w:pPr>
            <w:r>
              <w:t xml:space="preserve">A building or incidental structure — </w:t>
            </w:r>
          </w:p>
          <w:p>
            <w:pPr>
              <w:pStyle w:val="TableNAm"/>
              <w:tabs>
                <w:tab w:val="clear" w:pos="567"/>
                <w:tab w:val="left" w:pos="375"/>
              </w:tabs>
              <w:ind w:left="375" w:hanging="375"/>
            </w:pPr>
            <w:r>
              <w:t>(a)</w:t>
            </w:r>
            <w:r>
              <w:tab/>
              <w:t>with a floor area not exceeding 500 m</w:t>
            </w:r>
            <w:r>
              <w:rPr>
                <w:vertAlign w:val="superscript"/>
              </w:rPr>
              <w:t>2</w:t>
            </w:r>
            <w:r>
              <w:t>; and</w:t>
            </w:r>
          </w:p>
        </w:tc>
      </w:tr>
      <w:tr>
        <w:trPr>
          <w:cantSplit/>
        </w:trPr>
        <w:tc>
          <w:tcPr>
            <w:tcW w:w="681" w:type="dxa"/>
            <w:tcBorders>
              <w:top w:val="nil"/>
            </w:tcBorders>
          </w:tcPr>
          <w:p>
            <w:pPr>
              <w:pStyle w:val="TableNAm"/>
              <w:spacing w:before="0"/>
            </w:pPr>
          </w:p>
        </w:tc>
        <w:tc>
          <w:tcPr>
            <w:tcW w:w="2409" w:type="dxa"/>
            <w:tcBorders>
              <w:top w:val="nil"/>
            </w:tcBorders>
          </w:tcPr>
          <w:p>
            <w:pPr>
              <w:pStyle w:val="TableNAm"/>
              <w:spacing w:before="0"/>
            </w:pPr>
          </w:p>
        </w:tc>
        <w:tc>
          <w:tcPr>
            <w:tcW w:w="2977"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89" w:name="_Toc320625118"/>
      <w:bookmarkStart w:id="90" w:name="_Toc320697797"/>
      <w:r>
        <w:rPr>
          <w:rStyle w:val="CharSectno"/>
        </w:rPr>
        <w:t>6</w:t>
      </w:r>
      <w:r>
        <w:t>.</w:t>
      </w:r>
      <w:r>
        <w:tab/>
        <w:t>Classification of buildings and incidental structures (s. 3)</w:t>
      </w:r>
      <w:bookmarkEnd w:id="89"/>
      <w:bookmarkEnd w:id="90"/>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Heading5"/>
      </w:pPr>
      <w:bookmarkStart w:id="91" w:name="_Toc320625119"/>
      <w:bookmarkStart w:id="92" w:name="_Toc320697798"/>
      <w:r>
        <w:rPr>
          <w:rStyle w:val="CharSectno"/>
        </w:rPr>
        <w:t>7</w:t>
      </w:r>
      <w:r>
        <w:t>.</w:t>
      </w:r>
      <w:r>
        <w:tab/>
        <w:t>Building standards in relation to construction (s. 3)</w:t>
      </w:r>
      <w:bookmarkEnd w:id="91"/>
      <w:bookmarkEnd w:id="92"/>
    </w:p>
    <w:p>
      <w:pPr>
        <w:pStyle w:val="Subsection"/>
      </w:pPr>
      <w:r>
        <w:tab/>
        <w:t>(1)</w:t>
      </w:r>
      <w:r>
        <w:tab/>
        <w:t xml:space="preserve">For the purposes of the definition of </w:t>
      </w:r>
      <w:r>
        <w:rPr>
          <w:b/>
          <w:i/>
        </w:rPr>
        <w:t>building standard</w:t>
      </w:r>
      <w:r>
        <w:t xml:space="preserve"> in section 3, the requirements in relation to the technical aspects of the construction of a building or incidental structure of a particular classification are the requirements set out in the Building Code applicable to that classification of building or incidental structure.</w:t>
      </w:r>
    </w:p>
    <w:p>
      <w:pPr>
        <w:pStyle w:val="Subsection"/>
      </w:pPr>
      <w:r>
        <w:tab/>
        <w:t>(2)</w:t>
      </w:r>
      <w:r>
        <w:tab/>
        <w:t xml:space="preserve">Despite subregulation (1), for the purposes of the definition of </w:t>
      </w:r>
      <w:r>
        <w:rPr>
          <w:b/>
          <w:i/>
        </w:rPr>
        <w:t>building standard</w:t>
      </w:r>
      <w:r>
        <w:t xml:space="preserve"> in section 3, until 1 May 2012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(3)</w:t>
      </w:r>
      <w:r>
        <w:tab/>
        <w:t xml:space="preserve">Despite subregulation (1), for the purposes of the definition of </w:t>
      </w:r>
      <w:r>
        <w:rPr>
          <w:b/>
          <w:i/>
        </w:rPr>
        <w:t>building standard</w:t>
      </w:r>
      <w:r>
        <w:t xml:space="preserve"> in section 3, in relation to a building or incidental structure that is being renovated, altered, extended, improved or repaired, until 1 May 2013 — </w:t>
      </w:r>
    </w:p>
    <w:p>
      <w:pPr>
        <w:pStyle w:val="Indenta"/>
      </w:pPr>
      <w:r>
        <w:tab/>
        <w:t>(a)</w:t>
      </w:r>
      <w:r>
        <w:tab/>
        <w:t>the requirements set out in Volume 1 Part JO and Volume 2 Parts 2.6 and 3.12 of the Building Code are not applicable; and</w:t>
      </w:r>
    </w:p>
    <w:p>
      <w:pPr>
        <w:pStyle w:val="Indenta"/>
      </w:pPr>
      <w:r>
        <w:tab/>
        <w:t>(b)</w:t>
      </w:r>
      <w:r>
        <w:tab/>
        <w:t>the requirements set out in Volume 1 WA Part JO of Appendices (Variation and Additions) of the Building Code published on 1 May 2010 are applicable to Class 2 to Class 9 buildings and incidental structures; and</w:t>
      </w:r>
    </w:p>
    <w:p>
      <w:pPr>
        <w:pStyle w:val="Indenta"/>
      </w:pPr>
      <w:r>
        <w:tab/>
        <w:t>(c)</w:t>
      </w:r>
      <w:r>
        <w:tab/>
        <w:t>the requirements set out in Volume 2 Parts 2.6 and 3.12 of the Building Code published on 1 May 2009 are applicable to Class 1 or Class 10 buildings and incidental structures.</w:t>
      </w:r>
    </w:p>
    <w:p>
      <w:pPr>
        <w:pStyle w:val="Subsection"/>
      </w:pPr>
      <w:r>
        <w:tab/>
        <w:t>(4)</w:t>
      </w:r>
      <w:r>
        <w:tab/>
        <w:t xml:space="preserve">Despite subregulation (1), for the purposes of the definition of </w:t>
      </w:r>
      <w:r>
        <w:rPr>
          <w:b/>
          <w:i/>
        </w:rPr>
        <w:t>building standard</w:t>
      </w:r>
      <w:r>
        <w:t xml:space="preserve"> in section 3, the requirements in relation to the technical aspects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Subsection"/>
      </w:pPr>
      <w:r>
        <w:tab/>
        <w:t>(5)</w:t>
      </w:r>
      <w:r>
        <w:tab/>
        <w:t xml:space="preserve">Despite subregulation (1), for the purposes of the definition of </w:t>
      </w:r>
      <w:r>
        <w:rPr>
          <w:b/>
          <w:i/>
        </w:rPr>
        <w:t>building standard</w:t>
      </w:r>
      <w:r>
        <w:t xml:space="preserve"> in section 3, the requirements in relation to the technical aspects of the assembly, reassembly or securing of a relocated building or a relocated incidental structure are the requirements set out in the Building Code that relate to each of the performance requirements listed in the Table that is applicable to that classification of the building or incidental structure.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Section or part of Building Code</w:t>
            </w:r>
          </w:p>
        </w:tc>
        <w:tc>
          <w:tcPr>
            <w:tcW w:w="3034" w:type="dxa"/>
          </w:tcPr>
          <w:p>
            <w:pPr>
              <w:pStyle w:val="TableNAm"/>
              <w:jc w:val="center"/>
              <w:rPr>
                <w:b/>
                <w:bCs/>
              </w:rPr>
            </w:pPr>
            <w:r>
              <w:rPr>
                <w:b/>
                <w:bCs/>
              </w:rPr>
              <w:t>Performance requirements</w:t>
            </w:r>
          </w:p>
        </w:tc>
      </w:tr>
      <w:tr>
        <w:tc>
          <w:tcPr>
            <w:tcW w:w="3033" w:type="dxa"/>
          </w:tcPr>
          <w:p>
            <w:pPr>
              <w:pStyle w:val="TableNAm"/>
            </w:pPr>
            <w:r>
              <w:t>Volume One, Section B — Structural provisions</w:t>
            </w:r>
          </w:p>
        </w:tc>
        <w:tc>
          <w:tcPr>
            <w:tcW w:w="3034" w:type="dxa"/>
          </w:tcPr>
          <w:p>
            <w:pPr>
              <w:pStyle w:val="TableNAm"/>
            </w:pPr>
            <w:r>
              <w:t>BP1.1, BP1.2, BP1.3</w:t>
            </w:r>
          </w:p>
        </w:tc>
      </w:tr>
      <w:tr>
        <w:tc>
          <w:tcPr>
            <w:tcW w:w="3033" w:type="dxa"/>
          </w:tcPr>
          <w:p>
            <w:pPr>
              <w:pStyle w:val="TableNAm"/>
            </w:pPr>
            <w:r>
              <w:t>Volume One, Section C — Fire resistance</w:t>
            </w:r>
          </w:p>
        </w:tc>
        <w:tc>
          <w:tcPr>
            <w:tcW w:w="3034" w:type="dxa"/>
          </w:tcPr>
          <w:p>
            <w:pPr>
              <w:pStyle w:val="TableNAm"/>
            </w:pPr>
            <w:r>
              <w:t>CP1, CP2, CP3, CP4, CP5, CP6, CP7, CP8, CP9</w:t>
            </w:r>
          </w:p>
        </w:tc>
      </w:tr>
      <w:tr>
        <w:tc>
          <w:tcPr>
            <w:tcW w:w="3033" w:type="dxa"/>
          </w:tcPr>
          <w:p>
            <w:pPr>
              <w:pStyle w:val="TableNAm"/>
            </w:pPr>
            <w:r>
              <w:t>Volume One, Section D — Access and egress</w:t>
            </w:r>
          </w:p>
        </w:tc>
        <w:tc>
          <w:tcPr>
            <w:tcW w:w="3034" w:type="dxa"/>
          </w:tcPr>
          <w:p>
            <w:pPr>
              <w:pStyle w:val="TableNAm"/>
            </w:pPr>
            <w:r>
              <w:t>DP2, DP3, DP4, DP5, DP6</w:t>
            </w:r>
          </w:p>
        </w:tc>
      </w:tr>
      <w:tr>
        <w:tc>
          <w:tcPr>
            <w:tcW w:w="3033" w:type="dxa"/>
          </w:tcPr>
          <w:p>
            <w:pPr>
              <w:pStyle w:val="TableNAm"/>
            </w:pPr>
            <w:r>
              <w:t>Volume One, Section E — Services and equipment</w:t>
            </w:r>
          </w:p>
        </w:tc>
        <w:tc>
          <w:tcPr>
            <w:tcW w:w="3034" w:type="dxa"/>
          </w:tcPr>
          <w:p>
            <w:pPr>
              <w:pStyle w:val="TableNAm"/>
            </w:pPr>
            <w:r>
              <w:t>EP1.1, EP1.2, EP1.3, EP1.4, EP1.5, EP1.6, EP2.1, EP2.2, EP4.1, EP4.2, EP4.3</w:t>
            </w:r>
          </w:p>
        </w:tc>
      </w:tr>
      <w:tr>
        <w:tc>
          <w:tcPr>
            <w:tcW w:w="3033" w:type="dxa"/>
          </w:tcPr>
          <w:p>
            <w:pPr>
              <w:pStyle w:val="TableNAm"/>
            </w:pPr>
            <w:r>
              <w:t>Volume One, Section G — Ancillary provisions</w:t>
            </w:r>
          </w:p>
        </w:tc>
        <w:tc>
          <w:tcPr>
            <w:tcW w:w="3034" w:type="dxa"/>
          </w:tcPr>
          <w:p>
            <w:pPr>
              <w:pStyle w:val="TableNAm"/>
            </w:pPr>
            <w:r>
              <w:t>GP1.2(b), GP2.1, GP 2.2, GP5.1</w:t>
            </w:r>
          </w:p>
        </w:tc>
      </w:tr>
      <w:tr>
        <w:tc>
          <w:tcPr>
            <w:tcW w:w="3033" w:type="dxa"/>
          </w:tcPr>
          <w:p>
            <w:pPr>
              <w:pStyle w:val="TableNAm"/>
            </w:pPr>
            <w:r>
              <w:t>Volume Two, Part 2.1 — Structure</w:t>
            </w:r>
          </w:p>
        </w:tc>
        <w:tc>
          <w:tcPr>
            <w:tcW w:w="3034" w:type="dxa"/>
          </w:tcPr>
          <w:p>
            <w:pPr>
              <w:pStyle w:val="TableNAm"/>
            </w:pPr>
            <w:r>
              <w:t>P2.1</w:t>
            </w:r>
          </w:p>
        </w:tc>
      </w:tr>
      <w:tr>
        <w:tc>
          <w:tcPr>
            <w:tcW w:w="3033" w:type="dxa"/>
          </w:tcPr>
          <w:p>
            <w:pPr>
              <w:pStyle w:val="TableNAm"/>
            </w:pPr>
            <w:r>
              <w:t>Volume Two, Part 2.3 — Fire safety</w:t>
            </w:r>
          </w:p>
        </w:tc>
        <w:tc>
          <w:tcPr>
            <w:tcW w:w="3034" w:type="dxa"/>
          </w:tcPr>
          <w:p>
            <w:pPr>
              <w:pStyle w:val="TableNAm"/>
            </w:pPr>
            <w:r>
              <w:t>P2.3.1, P2.3.2, P2.3.3, P2.3.4, P2.3.5</w:t>
            </w:r>
          </w:p>
        </w:tc>
      </w:tr>
      <w:tr>
        <w:tc>
          <w:tcPr>
            <w:tcW w:w="3033" w:type="dxa"/>
          </w:tcPr>
          <w:p>
            <w:pPr>
              <w:pStyle w:val="TableNAm"/>
            </w:pPr>
            <w:r>
              <w:t>Volume Two, Part 2.5 — Safe movement and access</w:t>
            </w:r>
          </w:p>
        </w:tc>
        <w:tc>
          <w:tcPr>
            <w:tcW w:w="3034" w:type="dxa"/>
          </w:tcPr>
          <w:p>
            <w:pPr>
              <w:pStyle w:val="TableNAm"/>
            </w:pPr>
            <w:r>
              <w:t>P2.5.1, P2.5.2, P2.5.4</w:t>
            </w:r>
          </w:p>
        </w:tc>
      </w:tr>
    </w:tbl>
    <w:p>
      <w:pPr>
        <w:pStyle w:val="Heading5"/>
      </w:pPr>
      <w:bookmarkStart w:id="93" w:name="_Toc320625120"/>
      <w:bookmarkStart w:id="94" w:name="_Toc320697799"/>
      <w:r>
        <w:rPr>
          <w:rStyle w:val="CharSectno"/>
        </w:rPr>
        <w:t>8</w:t>
      </w:r>
      <w:r>
        <w:t>.</w:t>
      </w:r>
      <w:r>
        <w:tab/>
        <w:t>Building standards in relation to demolition (s. 3)</w:t>
      </w:r>
      <w:bookmarkEnd w:id="93"/>
      <w:bookmarkEnd w:id="94"/>
    </w:p>
    <w:p>
      <w:pPr>
        <w:pStyle w:val="Subsection"/>
      </w:pPr>
      <w:r>
        <w:tab/>
      </w:r>
      <w:r>
        <w:tab/>
        <w:t xml:space="preserve">For the purposes of the definition of </w:t>
      </w:r>
      <w:r>
        <w:rPr>
          <w:b/>
          <w:i/>
        </w:rPr>
        <w:t>building standard</w:t>
      </w:r>
      <w:r>
        <w:t xml:space="preserve"> in section 3, the requirements in relation to the technical aspects of the demolition of a building or incidental structure are as follows —</w:t>
      </w:r>
    </w:p>
    <w:p>
      <w:pPr>
        <w:pStyle w:val="Indenta"/>
      </w:pPr>
      <w:r>
        <w:tab/>
        <w:t>(a)</w:t>
      </w:r>
      <w:r>
        <w:tab/>
        <w:t>before demolition work commences each electrical, gas, telephone or water service to the building or incidental structure must be disconnected;</w:t>
      </w:r>
    </w:p>
    <w:p>
      <w:pPr>
        <w:pStyle w:val="Indenta"/>
      </w:pPr>
      <w:r>
        <w:tab/>
        <w:t>(b)</w:t>
      </w:r>
      <w:r>
        <w:tab/>
        <w:t xml:space="preserve">material removed or displaced from a building or incidental structure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Heading5"/>
      </w:pPr>
      <w:bookmarkStart w:id="95" w:name="_Toc320625121"/>
      <w:bookmarkStart w:id="96" w:name="_Toc320697800"/>
      <w:r>
        <w:rPr>
          <w:rStyle w:val="CharSectno"/>
        </w:rPr>
        <w:t>9</w:t>
      </w:r>
      <w:r>
        <w:t>.</w:t>
      </w:r>
      <w:r>
        <w:tab/>
        <w:t>Compliance with building standards — CodeMark certificates</w:t>
      </w:r>
      <w:bookmarkEnd w:id="95"/>
      <w:bookmarkEnd w:id="96"/>
      <w:r>
        <w:t xml:space="preserve"> </w:t>
      </w:r>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Heading5"/>
      </w:pPr>
      <w:bookmarkStart w:id="97" w:name="_Toc320625122"/>
      <w:bookmarkStart w:id="98" w:name="_Toc320697801"/>
      <w:r>
        <w:rPr>
          <w:rStyle w:val="CharSectno"/>
        </w:rPr>
        <w:t>10</w:t>
      </w:r>
      <w:r>
        <w:t>.</w:t>
      </w:r>
      <w:r>
        <w:tab/>
        <w:t>Owners of land (s. 5(1))</w:t>
      </w:r>
      <w:bookmarkEnd w:id="97"/>
      <w:bookmarkEnd w:id="98"/>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Heading5"/>
      </w:pPr>
      <w:bookmarkStart w:id="99" w:name="_Toc320625123"/>
      <w:bookmarkStart w:id="100" w:name="_Toc320697802"/>
      <w:r>
        <w:rPr>
          <w:rStyle w:val="CharSectno"/>
        </w:rPr>
        <w:t>11</w:t>
      </w:r>
      <w:r>
        <w:t>.</w:t>
      </w:r>
      <w:r>
        <w:tab/>
        <w:t>Fees</w:t>
      </w:r>
      <w:bookmarkEnd w:id="99"/>
      <w:bookmarkEnd w:id="100"/>
    </w:p>
    <w:p>
      <w:pPr>
        <w:pStyle w:val="Subsection"/>
      </w:pPr>
      <w:r>
        <w:tab/>
      </w:r>
      <w:r>
        <w:tab/>
        <w:t>The fee for an application of a kind mentioned in an item set out in Schedule 2 is the fee specified in that item in relation to the application.</w:t>
      </w:r>
    </w:p>
    <w:p>
      <w:pPr>
        <w:pStyle w:val="Heading5"/>
      </w:pPr>
      <w:bookmarkStart w:id="101" w:name="_Toc320625124"/>
      <w:bookmarkStart w:id="102" w:name="_Toc320697803"/>
      <w:r>
        <w:rPr>
          <w:rStyle w:val="CharSectno"/>
        </w:rPr>
        <w:t>12</w:t>
      </w:r>
      <w:r>
        <w:t>.</w:t>
      </w:r>
      <w:r>
        <w:tab/>
        <w:t>Building records to be kept (s. 130)</w:t>
      </w:r>
      <w:bookmarkEnd w:id="101"/>
      <w:bookmarkEnd w:id="102"/>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03" w:name="_Toc320625125"/>
      <w:bookmarkStart w:id="104" w:name="_Toc320697804"/>
      <w:r>
        <w:rPr>
          <w:rStyle w:val="CharSectno"/>
        </w:rPr>
        <w:t>13</w:t>
      </w:r>
      <w:r>
        <w:t>.</w:t>
      </w:r>
      <w:r>
        <w:tab/>
        <w:t>Inspection, copies of building records (s. 131)</w:t>
      </w:r>
      <w:bookmarkEnd w:id="103"/>
      <w:bookmarkEnd w:id="10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 in the course of duty in connection with a situation in which the safety of a person is at risk.</w:t>
      </w:r>
    </w:p>
    <w:p>
      <w:pPr>
        <w:pStyle w:val="Heading5"/>
      </w:pPr>
      <w:bookmarkStart w:id="105" w:name="_Toc320625126"/>
      <w:bookmarkStart w:id="106" w:name="_Toc320697805"/>
      <w:r>
        <w:rPr>
          <w:rStyle w:val="CharSectno"/>
        </w:rPr>
        <w:t>14</w:t>
      </w:r>
      <w:r>
        <w:t>.</w:t>
      </w:r>
      <w:r>
        <w:tab/>
        <w:t>Provision of information to Building Commissioner (s. 132)</w:t>
      </w:r>
      <w:bookmarkEnd w:id="105"/>
      <w:bookmarkEnd w:id="106"/>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2"/>
      </w:pPr>
      <w:bookmarkStart w:id="107" w:name="_Toc320625127"/>
      <w:bookmarkStart w:id="108" w:name="_Toc320625491"/>
      <w:bookmarkStart w:id="109" w:name="_Toc320625766"/>
      <w:bookmarkStart w:id="110" w:name="_Toc320697806"/>
      <w:r>
        <w:rPr>
          <w:rStyle w:val="CharPartNo"/>
        </w:rPr>
        <w:t>Part 3</w:t>
      </w:r>
      <w:r>
        <w:rPr>
          <w:rStyle w:val="CharDivNo"/>
        </w:rPr>
        <w:t> </w:t>
      </w:r>
      <w:r>
        <w:t>—</w:t>
      </w:r>
      <w:r>
        <w:rPr>
          <w:rStyle w:val="CharDivText"/>
        </w:rPr>
        <w:t> </w:t>
      </w:r>
      <w:r>
        <w:rPr>
          <w:rStyle w:val="CharPartText"/>
        </w:rPr>
        <w:t>Building and demolition permits</w:t>
      </w:r>
      <w:bookmarkEnd w:id="107"/>
      <w:bookmarkEnd w:id="108"/>
      <w:bookmarkEnd w:id="109"/>
      <w:bookmarkEnd w:id="110"/>
    </w:p>
    <w:p>
      <w:pPr>
        <w:pStyle w:val="Heading5"/>
      </w:pPr>
      <w:bookmarkStart w:id="111" w:name="_Toc320625128"/>
      <w:bookmarkStart w:id="112" w:name="_Toc320697807"/>
      <w:r>
        <w:rPr>
          <w:rStyle w:val="CharSectno"/>
        </w:rPr>
        <w:t>15</w:t>
      </w:r>
      <w:r>
        <w:t>.</w:t>
      </w:r>
      <w:r>
        <w:tab/>
        <w:t>Uncertified applications (s. 14(2))</w:t>
      </w:r>
      <w:bookmarkEnd w:id="111"/>
      <w:bookmarkEnd w:id="112"/>
    </w:p>
    <w:p>
      <w:pPr>
        <w:pStyle w:val="Subsection"/>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pPr>
      <w:bookmarkStart w:id="113" w:name="_Toc320625129"/>
      <w:bookmarkStart w:id="114" w:name="_Toc320697808"/>
      <w:r>
        <w:rPr>
          <w:rStyle w:val="CharSectno"/>
        </w:rPr>
        <w:t>16</w:t>
      </w:r>
      <w:r>
        <w:t>.</w:t>
      </w:r>
      <w:r>
        <w:tab/>
        <w:t>Application for building and demolition permits (s. 16)</w:t>
      </w:r>
      <w:bookmarkEnd w:id="113"/>
      <w:bookmarkEnd w:id="114"/>
    </w:p>
    <w:p>
      <w:pPr>
        <w:pStyle w:val="Subsection"/>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pPr>
      <w:r>
        <w:tab/>
        <w:t>(i)</w:t>
      </w:r>
      <w:r>
        <w:tab/>
        <w:t>the classification of the building or incidental structure; and</w:t>
      </w:r>
    </w:p>
    <w:p>
      <w:pPr>
        <w:pStyle w:val="Indenti"/>
      </w:pPr>
      <w:r>
        <w:tab/>
        <w:t>(ii)</w:t>
      </w:r>
      <w:r>
        <w:tab/>
        <w:t>the occupancy permit number (if any) of the building or incidental structure.</w:t>
      </w:r>
    </w:p>
    <w:p>
      <w:pPr>
        <w:pStyle w:val="Subsection"/>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pPr>
      <w:bookmarkStart w:id="115" w:name="_Toc320625130"/>
      <w:bookmarkStart w:id="116" w:name="_Toc320697809"/>
      <w:r>
        <w:rPr>
          <w:rStyle w:val="CharSectno"/>
        </w:rPr>
        <w:t>17</w:t>
      </w:r>
      <w:r>
        <w:t>.</w:t>
      </w:r>
      <w:r>
        <w:tab/>
        <w:t>Certificate of design compliance (s. 19)</w:t>
      </w:r>
      <w:bookmarkEnd w:id="115"/>
      <w:bookmarkEnd w:id="116"/>
    </w:p>
    <w:p>
      <w:pPr>
        <w:pStyle w:val="Subsection"/>
      </w:pPr>
      <w:r>
        <w:tab/>
      </w:r>
      <w:r>
        <w:tab/>
        <w:t xml:space="preserve">For the purposes of section 19(5), a certificate of design compliance must contain the following things — </w:t>
      </w:r>
    </w:p>
    <w:p>
      <w:pPr>
        <w:pStyle w:val="Indenta"/>
      </w:pPr>
      <w:r>
        <w:tab/>
        <w:t>(a)</w:t>
      </w:r>
      <w:r>
        <w:tab/>
        <w:t>if a declaration under section 39 has been made in respect of the building that is the subject of the application, a statement to that effect;</w:t>
      </w:r>
    </w:p>
    <w:p>
      <w:pPr>
        <w:pStyle w:val="Indenta"/>
      </w:pPr>
      <w:r>
        <w:tab/>
        <w:t>(b)</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(c)</w:t>
      </w:r>
      <w:r>
        <w:tab/>
        <w:t>a statement identifying any work that adversely affects land beyond the boundaries of the works land;</w:t>
      </w:r>
    </w:p>
    <w:p>
      <w:pPr>
        <w:pStyle w:val="Indenta"/>
      </w:pPr>
      <w:r>
        <w:tab/>
        <w:t>(d)</w:t>
      </w:r>
      <w:r>
        <w:tab/>
        <w:t>a statement of the building surveyor signing the certificate to the effect that if the building work that is the subject of the application is done in accordance with the plans and specifications that are specified in the certificate, the building work will comply with each authority under a written law listed in regulation 18(2) that applies to the building work;</w:t>
      </w:r>
    </w:p>
    <w:p>
      <w:pPr>
        <w:pStyle w:val="Indenta"/>
      </w:pPr>
      <w:r>
        <w:tab/>
        <w:t>(e)</w:t>
      </w:r>
      <w:r>
        <w:tab/>
        <w:t xml:space="preserve">if the certificate of design compliance is in respect of a Class 2 to Class 9 building, a statement by the building surveyor signing the certificate — </w:t>
      </w:r>
    </w:p>
    <w:p>
      <w:pPr>
        <w:pStyle w:val="Indenti"/>
      </w:pPr>
      <w:r>
        <w:tab/>
        <w:t>(i)</w:t>
      </w:r>
      <w:r>
        <w:tab/>
        <w:t>that plans and specifications in sufficient detail to allow assessment of compliance with FESA operational requirements were provided to FESA at least 15 business days before the certificate of design compliance was signed; and</w:t>
      </w:r>
    </w:p>
    <w:p>
      <w:pPr>
        <w:pStyle w:val="Indenti"/>
      </w:pPr>
      <w:r>
        <w:tab/>
        <w:t>(ii)</w:t>
      </w:r>
      <w:r>
        <w:tab/>
        <w:t>setting out the details of any advice given by FESA in respect of the plans and specifications; and</w:t>
      </w:r>
    </w:p>
    <w:p>
      <w:pPr>
        <w:pStyle w:val="Indenti"/>
      </w:pPr>
      <w:r>
        <w:tab/>
        <w:t>(iii)</w:t>
      </w:r>
      <w:r>
        <w:tab/>
        <w:t>noting any part of the advice given by FESA that the building surveyor does not intend to follow; and</w:t>
      </w:r>
    </w:p>
    <w:p>
      <w:pPr>
        <w:pStyle w:val="Indenti"/>
      </w:pPr>
      <w:r>
        <w:tab/>
        <w:t>(iv)</w:t>
      </w:r>
      <w:r>
        <w:tab/>
        <w:t>that FESA has been advised of any decision not to follow advice given by FESA in respect of the plans and specification and the reasons for that decision.</w:t>
      </w:r>
    </w:p>
    <w:p>
      <w:pPr>
        <w:pStyle w:val="Heading5"/>
      </w:pPr>
      <w:bookmarkStart w:id="117" w:name="_Toc320625131"/>
      <w:bookmarkStart w:id="118" w:name="_Toc320697810"/>
      <w:r>
        <w:rPr>
          <w:rStyle w:val="CharSectno"/>
        </w:rPr>
        <w:t>18</w:t>
      </w:r>
      <w:r>
        <w:t>.</w:t>
      </w:r>
      <w:r>
        <w:tab/>
        <w:t>Grant of building permit (s. 20)</w:t>
      </w:r>
      <w:bookmarkEnd w:id="117"/>
      <w:bookmarkEnd w:id="118"/>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Indenta"/>
      </w:pPr>
      <w:r>
        <w:tab/>
        <w:t>(d)</w:t>
      </w:r>
      <w:r>
        <w:tab/>
        <w:t xml:space="preserve">if the building work involves the construction by the owner of private land of a crossing giving access from a public thoroughfare to the private land or to a private thoroughfare serving the private land, the approval required under the </w:t>
      </w:r>
      <w:r>
        <w:rPr>
          <w:i/>
        </w:rPr>
        <w:t xml:space="preserve">Local Government (Uniform Local Provisions) Regulations 1996 </w:t>
      </w:r>
      <w:r>
        <w:t>regulation 12(2);</w:t>
      </w:r>
    </w:p>
    <w:p>
      <w:pPr>
        <w:pStyle w:val="Indenta"/>
      </w:pPr>
      <w:r>
        <w:tab/>
        <w:t>(e)</w:t>
      </w:r>
      <w:r>
        <w:tab/>
        <w:t xml:space="preserve">if the building work involves the construction of a building in the vicinity of water mains or sewers, the consents required under the following laws in relation to the work — </w:t>
      </w:r>
    </w:p>
    <w:p>
      <w:pPr>
        <w:pStyle w:val="Indenti"/>
      </w:pPr>
      <w:r>
        <w:tab/>
        <w:t>(i)</w:t>
      </w:r>
      <w:r>
        <w:tab/>
        <w:t xml:space="preserve">the </w:t>
      </w:r>
      <w:r>
        <w:rPr>
          <w:i/>
        </w:rPr>
        <w:t>Country Areas Water Supply Act 1947</w:t>
      </w:r>
      <w:r>
        <w:t xml:space="preserve"> section 43B;</w:t>
      </w:r>
    </w:p>
    <w:p>
      <w:pPr>
        <w:pStyle w:val="Indenti"/>
      </w:pPr>
      <w:r>
        <w:tab/>
        <w:t>(ii)</w:t>
      </w:r>
      <w:r>
        <w:tab/>
        <w:t xml:space="preserve">the </w:t>
      </w:r>
      <w:r>
        <w:rPr>
          <w:i/>
        </w:rPr>
        <w:t>Country Towns Sewerage Act 1948</w:t>
      </w:r>
      <w:r>
        <w:t xml:space="preserve"> section 42;</w:t>
      </w:r>
    </w:p>
    <w:p>
      <w:pPr>
        <w:pStyle w:val="Indenti"/>
      </w:pPr>
      <w:r>
        <w:tab/>
        <w:t>(iii)</w:t>
      </w:r>
      <w:r>
        <w:tab/>
        <w:t xml:space="preserve">the </w:t>
      </w:r>
      <w:r>
        <w:rPr>
          <w:i/>
        </w:rPr>
        <w:t>Metropolitan Water Supply, Sewerage, and Drainage Act 1909</w:t>
      </w:r>
      <w:r>
        <w:t xml:space="preserve"> section 50A(1) or 66(1).</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notifications required under the following laws — </w:t>
      </w:r>
    </w:p>
    <w:p>
      <w:pPr>
        <w:pStyle w:val="Indenti"/>
      </w:pPr>
      <w:r>
        <w:tab/>
        <w:t>(i)</w:t>
      </w:r>
      <w:r>
        <w:tab/>
        <w:t xml:space="preserve">the </w:t>
      </w:r>
      <w:r>
        <w:rPr>
          <w:i/>
        </w:rPr>
        <w:t>Country Areas Water Supply Act 1947</w:t>
      </w:r>
      <w:r>
        <w:t xml:space="preserve"> section 43A;</w:t>
      </w:r>
    </w:p>
    <w:p>
      <w:pPr>
        <w:pStyle w:val="Indenti"/>
      </w:pPr>
      <w:r>
        <w:tab/>
        <w:t>(ii)</w:t>
      </w:r>
      <w:r>
        <w:tab/>
        <w:t xml:space="preserve">the </w:t>
      </w:r>
      <w:r>
        <w:rPr>
          <w:i/>
        </w:rPr>
        <w:t>Country Towns Sewerage Act 1948</w:t>
      </w:r>
      <w:r>
        <w:t xml:space="preserve"> section 41A;</w:t>
      </w:r>
    </w:p>
    <w:p>
      <w:pPr>
        <w:pStyle w:val="Indenti"/>
      </w:pPr>
      <w:r>
        <w:tab/>
        <w:t>(iii)</w:t>
      </w:r>
      <w:r>
        <w:tab/>
        <w:t xml:space="preserve">the </w:t>
      </w:r>
      <w:r>
        <w:rPr>
          <w:i/>
        </w:rPr>
        <w:t>Metropolitan Water Supply, Sewerage, and Drainage Act 1909</w:t>
      </w:r>
      <w:r>
        <w:t xml:space="preserve"> section 148.</w:t>
      </w:r>
    </w:p>
    <w:p>
      <w:pPr>
        <w:pStyle w:val="Subsection"/>
      </w:pPr>
      <w:r>
        <w:tab/>
        <w:t>(4)</w:t>
      </w:r>
      <w:r>
        <w:tab/>
        <w:t>For the purposes of section 20(1)(s), it is a requirement that if the application relates to building work for a Class 2 to Class 9 building the applicant has deposited with FESA the plans and specifications specified in the certificate of design compliance accompanying the application.</w:t>
      </w:r>
    </w:p>
    <w:p>
      <w:pPr>
        <w:pStyle w:val="Heading5"/>
      </w:pPr>
      <w:bookmarkStart w:id="119" w:name="_Toc320625132"/>
      <w:bookmarkStart w:id="120" w:name="_Toc320697811"/>
      <w:r>
        <w:rPr>
          <w:rStyle w:val="CharSectno"/>
        </w:rPr>
        <w:t>19</w:t>
      </w:r>
      <w:r>
        <w:t>.</w:t>
      </w:r>
      <w:r>
        <w:tab/>
        <w:t>Grant of demolition permit (s. 21)</w:t>
      </w:r>
      <w:bookmarkEnd w:id="119"/>
      <w:bookmarkEnd w:id="12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21" w:name="_Toc320625133"/>
      <w:bookmarkStart w:id="122" w:name="_Toc320697812"/>
      <w:r>
        <w:rPr>
          <w:rStyle w:val="CharSectno"/>
        </w:rPr>
        <w:t>20</w:t>
      </w:r>
      <w:r>
        <w:t>.</w:t>
      </w:r>
      <w:r>
        <w:tab/>
        <w:t>Time for deciding application for building or demolition permit (s. 23)</w:t>
      </w:r>
      <w:bookmarkEnd w:id="121"/>
      <w:bookmarkEnd w:id="122"/>
    </w:p>
    <w:p>
      <w:pPr>
        <w:pStyle w:val="Subsection"/>
      </w:pPr>
      <w:r>
        <w:tab/>
        <w:t>(1)</w:t>
      </w:r>
      <w:r>
        <w:tab/>
        <w:t>For the purposes of section 23(1)(a), the period for buildings of all classifications is 25 business days.</w:t>
      </w:r>
    </w:p>
    <w:p>
      <w:pPr>
        <w:pStyle w:val="Subsection"/>
      </w:pPr>
      <w:r>
        <w:tab/>
        <w:t>(2)</w:t>
      </w:r>
      <w:r>
        <w:tab/>
        <w:t>For the purposes of section 23(2)(a), the period for buildings of all classifications is 10 business days.</w:t>
      </w:r>
    </w:p>
    <w:p>
      <w:pPr>
        <w:pStyle w:val="Heading5"/>
      </w:pPr>
      <w:bookmarkStart w:id="123" w:name="_Toc320625134"/>
      <w:bookmarkStart w:id="124" w:name="_Toc320697813"/>
      <w:r>
        <w:rPr>
          <w:rStyle w:val="CharSectno"/>
        </w:rPr>
        <w:t>21</w:t>
      </w:r>
      <w:r>
        <w:t>.</w:t>
      </w:r>
      <w:r>
        <w:tab/>
        <w:t>Form and content of building permit (s. 25)</w:t>
      </w:r>
      <w:bookmarkEnd w:id="123"/>
      <w:bookmarkEnd w:id="124"/>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25" w:name="_Toc320625135"/>
      <w:bookmarkStart w:id="126" w:name="_Toc320697814"/>
      <w:r>
        <w:rPr>
          <w:rStyle w:val="CharSectno"/>
        </w:rPr>
        <w:t>22</w:t>
      </w:r>
      <w:r>
        <w:t>.</w:t>
      </w:r>
      <w:r>
        <w:tab/>
        <w:t>Form and content of demolition permit (s. 25)</w:t>
      </w:r>
      <w:bookmarkEnd w:id="125"/>
      <w:bookmarkEnd w:id="12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127" w:name="_Toc320625136"/>
      <w:bookmarkStart w:id="128" w:name="_Toc320697815"/>
      <w:r>
        <w:rPr>
          <w:rStyle w:val="CharSectno"/>
        </w:rPr>
        <w:t>23</w:t>
      </w:r>
      <w:r>
        <w:t>.</w:t>
      </w:r>
      <w:r>
        <w:tab/>
        <w:t>Application to extend time during which permit has effect (s. 32)</w:t>
      </w:r>
      <w:bookmarkEnd w:id="127"/>
      <w:bookmarkEnd w:id="128"/>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129" w:name="_Toc320625137"/>
      <w:bookmarkStart w:id="130" w:name="_Toc320697816"/>
      <w:r>
        <w:rPr>
          <w:rStyle w:val="CharSectno"/>
        </w:rPr>
        <w:t>24</w:t>
      </w:r>
      <w:r>
        <w:t>.</w:t>
      </w:r>
      <w:r>
        <w:tab/>
        <w:t>Extension of time during which permit has effect (s. 32(3))</w:t>
      </w:r>
      <w:bookmarkEnd w:id="129"/>
      <w:bookmarkEnd w:id="130"/>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131" w:name="_Toc320625138"/>
      <w:bookmarkStart w:id="132" w:name="_Toc320697817"/>
      <w:r>
        <w:rPr>
          <w:rStyle w:val="CharSectno"/>
        </w:rPr>
        <w:t>25</w:t>
      </w:r>
      <w:r>
        <w:t>.</w:t>
      </w:r>
      <w:r>
        <w:tab/>
        <w:t>Review of decision to refuse to extend time during which permit has effect (s. 32(3))</w:t>
      </w:r>
      <w:bookmarkEnd w:id="131"/>
      <w:bookmarkEnd w:id="132"/>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133" w:name="_Toc320625139"/>
      <w:bookmarkStart w:id="134" w:name="_Toc320697818"/>
      <w:r>
        <w:rPr>
          <w:rStyle w:val="CharSectno"/>
        </w:rPr>
        <w:t>26</w:t>
      </w:r>
      <w:r>
        <w:t>.</w:t>
      </w:r>
      <w:r>
        <w:tab/>
        <w:t>Approval of new responsible person (s. 35(c))</w:t>
      </w:r>
      <w:bookmarkEnd w:id="133"/>
      <w:bookmarkEnd w:id="134"/>
    </w:p>
    <w:p>
      <w:pPr>
        <w:pStyle w:val="Subsection"/>
      </w:pPr>
      <w:r>
        <w:tab/>
        <w:t>(1)</w:t>
      </w:r>
      <w:r>
        <w:tab/>
        <w:t>If the responsible person in relation to a permit gives a notice of cessation in accordance with section 34, the owner of a building or incidental structure to which a permit applies may apply to the relevant permit authority for approval of a new responsible person for the work to which the permit applies.</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Heading5"/>
      </w:pPr>
      <w:bookmarkStart w:id="135" w:name="_Toc320625140"/>
      <w:bookmarkStart w:id="136" w:name="_Toc320697819"/>
      <w:r>
        <w:rPr>
          <w:rStyle w:val="CharSectno"/>
        </w:rPr>
        <w:t>27</w:t>
      </w:r>
      <w:r>
        <w:t>.</w:t>
      </w:r>
      <w:r>
        <w:tab/>
        <w:t>Required inspection and tests: Class 2 to Class 9 buildings (s. 36(2)(a))</w:t>
      </w:r>
      <w:bookmarkEnd w:id="135"/>
      <w:bookmarkEnd w:id="13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37" w:name="_Toc320625141"/>
      <w:bookmarkStart w:id="138" w:name="_Toc320697820"/>
      <w:r>
        <w:rPr>
          <w:rStyle w:val="CharSectno"/>
        </w:rPr>
        <w:t>28</w:t>
      </w:r>
      <w:r>
        <w:t>.</w:t>
      </w:r>
      <w:r>
        <w:tab/>
        <w:t>Required inspection: enclosure of private swimming pool (s. 36(2)(a))</w:t>
      </w:r>
      <w:bookmarkEnd w:id="137"/>
      <w:bookmarkEnd w:id="138"/>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139" w:name="_Toc320625142"/>
      <w:bookmarkStart w:id="140" w:name="_Toc320697821"/>
      <w:r>
        <w:rPr>
          <w:rStyle w:val="CharSectno"/>
        </w:rPr>
        <w:t>29</w:t>
      </w:r>
      <w:r>
        <w:t>.</w:t>
      </w:r>
      <w:r>
        <w:tab/>
        <w:t>Inspection certificates (s. 36(2)(h) and (j))</w:t>
      </w:r>
      <w:bookmarkEnd w:id="139"/>
      <w:bookmarkEnd w:id="14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41" w:name="_Toc320625143"/>
      <w:bookmarkStart w:id="142" w:name="_Toc320697822"/>
      <w:r>
        <w:rPr>
          <w:rStyle w:val="CharSectno"/>
        </w:rPr>
        <w:t>30</w:t>
      </w:r>
      <w:r>
        <w:t>.</w:t>
      </w:r>
      <w:r>
        <w:tab/>
        <w:t>Transitional provisions (s. 203)</w:t>
      </w:r>
      <w:bookmarkEnd w:id="141"/>
      <w:bookmarkEnd w:id="14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43" w:name="_Toc320625144"/>
      <w:bookmarkStart w:id="144" w:name="_Toc320625508"/>
      <w:bookmarkStart w:id="145" w:name="_Toc320625783"/>
      <w:bookmarkStart w:id="146" w:name="_Toc320697823"/>
      <w:r>
        <w:rPr>
          <w:rStyle w:val="CharPartNo"/>
        </w:rPr>
        <w:t>Part 4</w:t>
      </w:r>
      <w:r>
        <w:rPr>
          <w:rStyle w:val="CharDivNo"/>
        </w:rPr>
        <w:t> </w:t>
      </w:r>
      <w:r>
        <w:t>—</w:t>
      </w:r>
      <w:r>
        <w:rPr>
          <w:rStyle w:val="CharDivText"/>
        </w:rPr>
        <w:t> </w:t>
      </w:r>
      <w:r>
        <w:rPr>
          <w:rStyle w:val="CharPartText"/>
        </w:rPr>
        <w:t>Building standards</w:t>
      </w:r>
      <w:bookmarkEnd w:id="143"/>
      <w:bookmarkEnd w:id="144"/>
      <w:bookmarkEnd w:id="145"/>
      <w:bookmarkEnd w:id="146"/>
    </w:p>
    <w:p>
      <w:pPr>
        <w:pStyle w:val="Heading5"/>
      </w:pPr>
      <w:bookmarkStart w:id="147" w:name="_Toc320625145"/>
      <w:bookmarkStart w:id="148" w:name="_Toc320697824"/>
      <w:r>
        <w:rPr>
          <w:rStyle w:val="CharSectno"/>
        </w:rPr>
        <w:t>31</w:t>
      </w:r>
      <w:r>
        <w:t>.</w:t>
      </w:r>
      <w:r>
        <w:tab/>
        <w:t>Term used: application</w:t>
      </w:r>
      <w:bookmarkEnd w:id="147"/>
      <w:bookmarkEnd w:id="148"/>
    </w:p>
    <w:p>
      <w:pPr>
        <w:pStyle w:val="Subsection"/>
      </w:pPr>
      <w:r>
        <w:tab/>
      </w:r>
      <w:r>
        <w:tab/>
        <w:t xml:space="preserve">In this Part —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Heading5"/>
      </w:pPr>
      <w:bookmarkStart w:id="149" w:name="_Toc320625146"/>
      <w:bookmarkStart w:id="150" w:name="_Toc320697825"/>
      <w:r>
        <w:rPr>
          <w:rStyle w:val="CharSectno"/>
        </w:rPr>
        <w:t>32</w:t>
      </w:r>
      <w:r>
        <w:t>.</w:t>
      </w:r>
      <w:r>
        <w:tab/>
        <w:t>Statements to accompany application (s. 39(8)(b))</w:t>
      </w:r>
      <w:bookmarkEnd w:id="149"/>
      <w:bookmarkEnd w:id="150"/>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i"/>
      </w:pP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151" w:name="_Toc320625147"/>
      <w:bookmarkStart w:id="152" w:name="_Toc320697826"/>
      <w:r>
        <w:rPr>
          <w:rStyle w:val="CharSectno"/>
        </w:rPr>
        <w:t>33</w:t>
      </w:r>
      <w:r>
        <w:t>.</w:t>
      </w:r>
      <w:r>
        <w:tab/>
        <w:t>Decisions on applications (s. 39(9)(a))</w:t>
      </w:r>
      <w:bookmarkEnd w:id="151"/>
      <w:bookmarkEnd w:id="15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pPr>
      <w:r>
        <w:tab/>
        <w:t>(a)</w:t>
      </w:r>
      <w:r>
        <w:tab/>
        <w:t>to not declare that a building standard does not apply; or</w:t>
      </w:r>
    </w:p>
    <w:p>
      <w:pPr>
        <w:pStyle w:val="Defpara"/>
      </w:pPr>
      <w:r>
        <w:tab/>
        <w:t>(b)</w:t>
      </w:r>
      <w:r>
        <w:tab/>
        <w:t>to not modify a building standard; or</w:t>
      </w:r>
    </w:p>
    <w:p>
      <w:pPr>
        <w:pStyle w:val="Defpara"/>
      </w:pPr>
      <w:r>
        <w:tab/>
        <w:t>(c)</w:t>
      </w:r>
      <w:r>
        <w:tab/>
        <w:t>to modify a building standard in a way different from that proposed by the applicant.</w:t>
      </w:r>
    </w:p>
    <w:p>
      <w:pPr>
        <w:pStyle w:val="Subsection"/>
      </w:pPr>
      <w:r>
        <w:tab/>
        <w:t>(2)</w:t>
      </w:r>
      <w:r>
        <w:tab/>
        <w:t xml:space="preserve">The Building Commissioner must — </w:t>
      </w:r>
    </w:p>
    <w:p>
      <w:pPr>
        <w:pStyle w:val="Indenta"/>
      </w:pPr>
      <w:r>
        <w:tab/>
        <w:t>(a)</w:t>
      </w:r>
      <w:r>
        <w:tab/>
        <w:t>record the grounds on which a decision is based and the reasons for the decision; and</w:t>
      </w:r>
    </w:p>
    <w:p>
      <w:pPr>
        <w:pStyle w:val="Indenta"/>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153" w:name="_Toc320625148"/>
      <w:bookmarkStart w:id="154" w:name="_Toc320697827"/>
      <w:r>
        <w:rPr>
          <w:rStyle w:val="CharSectno"/>
        </w:rPr>
        <w:t>34</w:t>
      </w:r>
      <w:r>
        <w:t>.</w:t>
      </w:r>
      <w:r>
        <w:tab/>
        <w:t>Revoking or amending declarations (s. 39(9)(b))</w:t>
      </w:r>
      <w:bookmarkEnd w:id="153"/>
      <w:bookmarkEnd w:id="1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155" w:name="_Toc320625149"/>
      <w:bookmarkStart w:id="156" w:name="_Toc320625513"/>
      <w:bookmarkStart w:id="157" w:name="_Toc320625788"/>
      <w:bookmarkStart w:id="158" w:name="_Toc320697828"/>
      <w:r>
        <w:rPr>
          <w:rStyle w:val="CharPartNo"/>
        </w:rPr>
        <w:t>Part 5</w:t>
      </w:r>
      <w:r>
        <w:rPr>
          <w:rStyle w:val="CharDivNo"/>
        </w:rPr>
        <w:t> </w:t>
      </w:r>
      <w:r>
        <w:t>—</w:t>
      </w:r>
      <w:r>
        <w:rPr>
          <w:rStyle w:val="CharDivText"/>
        </w:rPr>
        <w:t> </w:t>
      </w:r>
      <w:r>
        <w:rPr>
          <w:rStyle w:val="CharPartText"/>
        </w:rPr>
        <w:t>Occupancy permits and building approval certificates</w:t>
      </w:r>
      <w:bookmarkEnd w:id="155"/>
      <w:bookmarkEnd w:id="156"/>
      <w:bookmarkEnd w:id="157"/>
      <w:bookmarkEnd w:id="158"/>
    </w:p>
    <w:p>
      <w:pPr>
        <w:pStyle w:val="Heading5"/>
      </w:pPr>
      <w:bookmarkStart w:id="159" w:name="_Toc320625150"/>
      <w:bookmarkStart w:id="160" w:name="_Toc320697829"/>
      <w:r>
        <w:rPr>
          <w:rStyle w:val="CharSectno"/>
        </w:rPr>
        <w:t>35</w:t>
      </w:r>
      <w:r>
        <w:t>.</w:t>
      </w:r>
      <w:r>
        <w:tab/>
        <w:t>Display of occupancy permit details (s. 42(a))</w:t>
      </w:r>
      <w:bookmarkEnd w:id="159"/>
      <w:bookmarkEnd w:id="160"/>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161" w:name="_Toc320625151"/>
      <w:bookmarkStart w:id="162" w:name="_Toc320697830"/>
      <w:r>
        <w:rPr>
          <w:rStyle w:val="CharSectno"/>
        </w:rPr>
        <w:t>36</w:t>
      </w:r>
      <w:r>
        <w:t>.</w:t>
      </w:r>
      <w:r>
        <w:tab/>
        <w:t>Certificate of building compliance (s. 57)</w:t>
      </w:r>
      <w:bookmarkEnd w:id="161"/>
      <w:bookmarkEnd w:id="162"/>
    </w:p>
    <w:p>
      <w:pPr>
        <w:pStyle w:val="Subsection"/>
      </w:pPr>
      <w:r>
        <w:tab/>
        <w:t>(1)</w:t>
      </w:r>
      <w:r>
        <w:tab/>
        <w:t xml:space="preserve">For the purposes of section 57(2)(c),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pPr>
      <w:r>
        <w:tab/>
        <w:t>(a)</w:t>
      </w:r>
      <w:r>
        <w:tab/>
        <w:t>if a declaration under section 39 has been made in respect of the building, a statement to that effect;</w:t>
      </w:r>
    </w:p>
    <w:p>
      <w:pPr>
        <w:pStyle w:val="Indenta"/>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163" w:name="_Toc320625152"/>
      <w:bookmarkStart w:id="164" w:name="_Toc320697831"/>
      <w:r>
        <w:rPr>
          <w:rStyle w:val="CharSectno"/>
        </w:rPr>
        <w:t>37</w:t>
      </w:r>
      <w:r>
        <w:t>.</w:t>
      </w:r>
      <w:r>
        <w:tab/>
        <w:t>Grant of occupancy permit or building approval certificate (s. 58)</w:t>
      </w:r>
      <w:bookmarkEnd w:id="163"/>
      <w:bookmarkEnd w:id="164"/>
    </w:p>
    <w:p>
      <w:pPr>
        <w:pStyle w:val="Subsection"/>
      </w:pPr>
      <w:r>
        <w:tab/>
      </w:r>
      <w:r>
        <w:tab/>
        <w:t xml:space="preserve">For the purposes of section 58(1)(j), the following authorities under written laws, as relevant to the building or incidental structure, are prescribed — </w:t>
      </w:r>
    </w:p>
    <w:p>
      <w:pPr>
        <w:pStyle w:val="Indenta"/>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165" w:name="_Toc320625153"/>
      <w:bookmarkStart w:id="166" w:name="_Toc320697832"/>
      <w:r>
        <w:rPr>
          <w:rStyle w:val="CharSectno"/>
        </w:rPr>
        <w:t>38</w:t>
      </w:r>
      <w:r>
        <w:t>.</w:t>
      </w:r>
      <w:r>
        <w:tab/>
        <w:t>Time for granting occupancy permit or building approval certificate (s. 59)</w:t>
      </w:r>
      <w:bookmarkEnd w:id="165"/>
      <w:bookmarkEnd w:id="166"/>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67" w:name="_Toc320625154"/>
      <w:bookmarkStart w:id="168" w:name="_Toc320697833"/>
      <w:r>
        <w:rPr>
          <w:rStyle w:val="CharSectno"/>
        </w:rPr>
        <w:t>39</w:t>
      </w:r>
      <w:r>
        <w:t>.</w:t>
      </w:r>
      <w:r>
        <w:tab/>
        <w:t>Occupancy permit and building approval certificates (s. 61(2))</w:t>
      </w:r>
      <w:bookmarkEnd w:id="167"/>
      <w:bookmarkEnd w:id="16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69" w:name="_Toc320625155"/>
      <w:bookmarkStart w:id="170" w:name="_Toc320697834"/>
      <w:r>
        <w:rPr>
          <w:rStyle w:val="CharSectno"/>
        </w:rPr>
        <w:t>40</w:t>
      </w:r>
      <w:r>
        <w:t>.</w:t>
      </w:r>
      <w:r>
        <w:tab/>
        <w:t>Extension of period of duration of time limited occupancy permit or building approval certificate (s. 65)</w:t>
      </w:r>
      <w:bookmarkEnd w:id="169"/>
      <w:bookmarkEnd w:id="170"/>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71" w:name="_Toc320625156"/>
      <w:bookmarkStart w:id="172" w:name="_Toc320625520"/>
      <w:bookmarkStart w:id="173" w:name="_Toc320625795"/>
      <w:bookmarkStart w:id="174" w:name="_Toc32069783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71"/>
      <w:bookmarkEnd w:id="172"/>
      <w:bookmarkEnd w:id="173"/>
      <w:bookmarkEnd w:id="174"/>
    </w:p>
    <w:p>
      <w:pPr>
        <w:pStyle w:val="Heading5"/>
      </w:pPr>
      <w:bookmarkStart w:id="175" w:name="_Toc320625157"/>
      <w:bookmarkStart w:id="176" w:name="_Toc320697836"/>
      <w:r>
        <w:rPr>
          <w:rStyle w:val="CharSectno"/>
        </w:rPr>
        <w:t>41</w:t>
      </w:r>
      <w:r>
        <w:t>.</w:t>
      </w:r>
      <w:r>
        <w:tab/>
        <w:t>Building work for which building permit is not required (s. 9(1)(b))</w:t>
      </w:r>
      <w:bookmarkEnd w:id="175"/>
      <w:bookmarkEnd w:id="17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77" w:name="_Toc320625158"/>
      <w:bookmarkStart w:id="178" w:name="_Toc320697837"/>
      <w:r>
        <w:rPr>
          <w:rStyle w:val="CharSectno"/>
        </w:rPr>
        <w:t>42</w:t>
      </w:r>
      <w:r>
        <w:t>.</w:t>
      </w:r>
      <w:r>
        <w:tab/>
        <w:t>Demolition work for which demolition permit not required (s. 10(c))</w:t>
      </w:r>
      <w:bookmarkEnd w:id="177"/>
      <w:bookmarkEnd w:id="17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79" w:name="_Toc320625159"/>
      <w:bookmarkStart w:id="180" w:name="_Toc320697838"/>
      <w:r>
        <w:rPr>
          <w:rStyle w:val="CharSectno"/>
        </w:rPr>
        <w:t>43</w:t>
      </w:r>
      <w:r>
        <w:t>.</w:t>
      </w:r>
      <w:r>
        <w:tab/>
        <w:t>Buildings and incidental structures for which occupancy permit not required (s. 41(2))</w:t>
      </w:r>
      <w:bookmarkEnd w:id="179"/>
      <w:bookmarkEnd w:id="180"/>
    </w:p>
    <w:p>
      <w:pPr>
        <w:pStyle w:val="Subsection"/>
      </w:pPr>
      <w:r>
        <w:tab/>
      </w:r>
      <w:r>
        <w:tab/>
        <w:t xml:space="preserve">An occupancy permit is not required for — </w:t>
      </w:r>
    </w:p>
    <w:p>
      <w:pPr>
        <w:pStyle w:val="Indenta"/>
      </w:pPr>
      <w:r>
        <w:tab/>
        <w:t>(a)</w:t>
      </w:r>
      <w:r>
        <w:tab/>
        <w:t>a Class 1 or Class 10 building or incidental structure; or</w:t>
      </w:r>
    </w:p>
    <w:p>
      <w:pPr>
        <w:pStyle w:val="Indenta"/>
      </w:pPr>
      <w:r>
        <w:tab/>
        <w:t>(b)</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Heading2"/>
        <w:rPr>
          <w:rStyle w:val="CharPartText"/>
        </w:rPr>
      </w:pPr>
      <w:bookmarkStart w:id="181" w:name="_Toc320625160"/>
      <w:bookmarkStart w:id="182" w:name="_Toc320625524"/>
      <w:bookmarkStart w:id="183" w:name="_Toc320625799"/>
      <w:bookmarkStart w:id="184" w:name="_Toc320697839"/>
      <w:r>
        <w:rPr>
          <w:rStyle w:val="CharPartNo"/>
        </w:rPr>
        <w:t>Part 7</w:t>
      </w:r>
      <w:r>
        <w:rPr>
          <w:rStyle w:val="CharDivNo"/>
        </w:rPr>
        <w:t> </w:t>
      </w:r>
      <w:r>
        <w:t>—</w:t>
      </w:r>
      <w:r>
        <w:rPr>
          <w:rStyle w:val="CharDivText"/>
        </w:rPr>
        <w:t> </w:t>
      </w:r>
      <w:r>
        <w:rPr>
          <w:rStyle w:val="CharPartText"/>
        </w:rPr>
        <w:t>Work affecting other land</w:t>
      </w:r>
      <w:bookmarkEnd w:id="181"/>
      <w:bookmarkEnd w:id="182"/>
      <w:bookmarkEnd w:id="183"/>
      <w:bookmarkEnd w:id="184"/>
    </w:p>
    <w:p>
      <w:pPr>
        <w:pStyle w:val="Heading5"/>
      </w:pPr>
      <w:bookmarkStart w:id="185" w:name="_Toc320625161"/>
      <w:bookmarkStart w:id="186" w:name="_Toc320697840"/>
      <w:r>
        <w:rPr>
          <w:rStyle w:val="CharSectno"/>
        </w:rPr>
        <w:t>44</w:t>
      </w:r>
      <w:r>
        <w:t>.</w:t>
      </w:r>
      <w:r>
        <w:tab/>
        <w:t>Owner of land for purposes of Part 6 of Act</w:t>
      </w:r>
      <w:bookmarkEnd w:id="185"/>
      <w:bookmarkEnd w:id="18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87" w:name="_Toc320625162"/>
      <w:bookmarkStart w:id="188" w:name="_Toc320697841"/>
      <w:r>
        <w:rPr>
          <w:rStyle w:val="CharSectno"/>
        </w:rPr>
        <w:t>45</w:t>
      </w:r>
      <w:r>
        <w:t>.</w:t>
      </w:r>
      <w:r>
        <w:tab/>
        <w:t>Content of notice about effect on other land (s. 85)</w:t>
      </w:r>
      <w:bookmarkEnd w:id="187"/>
      <w:bookmarkEnd w:id="188"/>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89" w:name="_Toc320625163"/>
      <w:bookmarkStart w:id="190" w:name="_Toc320625527"/>
      <w:bookmarkStart w:id="191" w:name="_Toc320625802"/>
      <w:bookmarkStart w:id="192" w:name="_Toc320697842"/>
      <w:r>
        <w:rPr>
          <w:rStyle w:val="CharPartNo"/>
        </w:rPr>
        <w:t>Part 8</w:t>
      </w:r>
      <w:r>
        <w:t> — </w:t>
      </w:r>
      <w:r>
        <w:rPr>
          <w:rStyle w:val="CharPartText"/>
        </w:rPr>
        <w:t>Existing buildings</w:t>
      </w:r>
      <w:bookmarkEnd w:id="189"/>
      <w:bookmarkEnd w:id="190"/>
      <w:bookmarkEnd w:id="191"/>
      <w:bookmarkEnd w:id="192"/>
    </w:p>
    <w:p>
      <w:pPr>
        <w:pStyle w:val="Heading3"/>
      </w:pPr>
      <w:bookmarkStart w:id="193" w:name="_Toc320625164"/>
      <w:bookmarkStart w:id="194" w:name="_Toc320625528"/>
      <w:bookmarkStart w:id="195" w:name="_Toc320625803"/>
      <w:bookmarkStart w:id="196" w:name="_Toc320697843"/>
      <w:r>
        <w:rPr>
          <w:rStyle w:val="CharDivNo"/>
        </w:rPr>
        <w:t>Division 1</w:t>
      </w:r>
      <w:r>
        <w:t> — </w:t>
      </w:r>
      <w:r>
        <w:rPr>
          <w:rStyle w:val="CharDivText"/>
        </w:rPr>
        <w:t>General</w:t>
      </w:r>
      <w:bookmarkEnd w:id="193"/>
      <w:bookmarkEnd w:id="194"/>
      <w:bookmarkEnd w:id="195"/>
      <w:bookmarkEnd w:id="196"/>
    </w:p>
    <w:p>
      <w:pPr>
        <w:pStyle w:val="Heading5"/>
      </w:pPr>
      <w:bookmarkStart w:id="197" w:name="_Toc320625165"/>
      <w:bookmarkStart w:id="198" w:name="_Toc320697844"/>
      <w:r>
        <w:rPr>
          <w:rStyle w:val="CharSectno"/>
        </w:rPr>
        <w:t>46</w:t>
      </w:r>
      <w:r>
        <w:t>.</w:t>
      </w:r>
      <w:r>
        <w:tab/>
        <w:t>Building standards to apply to relocated buildings and incidental structures</w:t>
      </w:r>
      <w:bookmarkEnd w:id="197"/>
      <w:bookmarkEnd w:id="198"/>
    </w:p>
    <w:p>
      <w:pPr>
        <w:pStyle w:val="Subsection"/>
      </w:pPr>
      <w:r>
        <w:tab/>
      </w:r>
      <w:r>
        <w:tab/>
        <w:t xml:space="preserve">If an existing building or incidental structure is relocated, the building or incidental structure, when reassembled or secured at the new location, must comply with — </w:t>
      </w:r>
    </w:p>
    <w:p>
      <w:pPr>
        <w:pStyle w:val="Indenta"/>
      </w:pPr>
      <w:r>
        <w:tab/>
        <w:t>(a)</w:t>
      </w:r>
      <w:r>
        <w:tab/>
        <w:t>the building standards referred to in regulation 7(5); and</w:t>
      </w:r>
    </w:p>
    <w:p>
      <w:pPr>
        <w:pStyle w:val="Indenta"/>
      </w:pPr>
      <w:r>
        <w:tab/>
        <w:t>(b)</w:t>
      </w:r>
      <w:r>
        <w:tab/>
        <w:t>to the extent that there is not a building standard referred to in regulation 7(5) that is relevant — the requirements of the written law applicable at the time of its construction.</w:t>
      </w:r>
    </w:p>
    <w:p>
      <w:pPr>
        <w:pStyle w:val="Heading5"/>
      </w:pPr>
      <w:bookmarkStart w:id="199" w:name="_Toc320625166"/>
      <w:bookmarkStart w:id="200" w:name="_Toc320697845"/>
      <w:r>
        <w:rPr>
          <w:rStyle w:val="CharSectno"/>
        </w:rPr>
        <w:t>47</w:t>
      </w:r>
      <w:r>
        <w:t>.</w:t>
      </w:r>
      <w:r>
        <w:tab/>
        <w:t>Notification of change of classification of certain buildings and incidental structures</w:t>
      </w:r>
      <w:bookmarkEnd w:id="199"/>
      <w:bookmarkEnd w:id="200"/>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48"/>
        <w:gridCol w:w="2268"/>
        <w:gridCol w:w="2409"/>
      </w:tblGrid>
      <w:tr>
        <w:trPr>
          <w:tblHeader/>
        </w:trPr>
        <w:tc>
          <w:tcPr>
            <w:tcW w:w="1248" w:type="dxa"/>
          </w:tcPr>
          <w:p>
            <w:pPr>
              <w:pStyle w:val="TableNAm"/>
              <w:jc w:val="center"/>
              <w:rPr>
                <w:b/>
                <w:bCs/>
              </w:rPr>
            </w:pPr>
            <w:r>
              <w:rPr>
                <w:b/>
                <w:bCs/>
              </w:rPr>
              <w:t>Column 1</w:t>
            </w:r>
          </w:p>
          <w:p>
            <w:pPr>
              <w:pStyle w:val="TableNAm"/>
              <w:jc w:val="center"/>
              <w:rPr>
                <w:b/>
                <w:bCs/>
              </w:rPr>
            </w:pPr>
            <w:r>
              <w:rPr>
                <w:b/>
                <w:bCs/>
              </w:rPr>
              <w:t>Item</w:t>
            </w:r>
          </w:p>
        </w:tc>
        <w:tc>
          <w:tcPr>
            <w:tcW w:w="2268" w:type="dxa"/>
          </w:tcPr>
          <w:p>
            <w:pPr>
              <w:pStyle w:val="TableNAm"/>
              <w:jc w:val="center"/>
              <w:rPr>
                <w:b/>
                <w:bCs/>
              </w:rPr>
            </w:pPr>
            <w:r>
              <w:rPr>
                <w:b/>
                <w:bCs/>
              </w:rPr>
              <w:t>Column 2</w:t>
            </w:r>
          </w:p>
          <w:p>
            <w:pPr>
              <w:pStyle w:val="TableNAm"/>
              <w:jc w:val="center"/>
              <w:rPr>
                <w:b/>
                <w:bCs/>
              </w:rPr>
            </w:pPr>
            <w:r>
              <w:rPr>
                <w:b/>
                <w:bCs/>
              </w:rPr>
              <w:t>Existing classification</w:t>
            </w:r>
          </w:p>
        </w:tc>
        <w:tc>
          <w:tcPr>
            <w:tcW w:w="2409" w:type="dxa"/>
          </w:tcPr>
          <w:p>
            <w:pPr>
              <w:pStyle w:val="TableNAm"/>
              <w:jc w:val="center"/>
              <w:rPr>
                <w:b/>
                <w:bCs/>
              </w:rPr>
            </w:pPr>
            <w:r>
              <w:rPr>
                <w:b/>
                <w:bCs/>
              </w:rPr>
              <w:t>Column 3</w:t>
            </w:r>
          </w:p>
          <w:p>
            <w:pPr>
              <w:pStyle w:val="TableNAm"/>
              <w:jc w:val="center"/>
              <w:rPr>
                <w:b/>
                <w:bCs/>
              </w:rPr>
            </w:pPr>
            <w:r>
              <w:rPr>
                <w:b/>
                <w:bCs/>
              </w:rPr>
              <w:t>Proposed classification</w:t>
            </w:r>
          </w:p>
        </w:tc>
      </w:tr>
      <w:tr>
        <w:tc>
          <w:tcPr>
            <w:tcW w:w="1248" w:type="dxa"/>
          </w:tcPr>
          <w:p>
            <w:pPr>
              <w:pStyle w:val="TableNAm"/>
            </w:pPr>
            <w:r>
              <w:t>1.</w:t>
            </w:r>
          </w:p>
        </w:tc>
        <w:tc>
          <w:tcPr>
            <w:tcW w:w="2268" w:type="dxa"/>
          </w:tcPr>
          <w:p>
            <w:pPr>
              <w:pStyle w:val="TableNAm"/>
            </w:pPr>
            <w:r>
              <w:t>Class 10a</w:t>
            </w:r>
          </w:p>
        </w:tc>
        <w:tc>
          <w:tcPr>
            <w:tcW w:w="2409" w:type="dxa"/>
          </w:tcPr>
          <w:p>
            <w:pPr>
              <w:pStyle w:val="TableNAm"/>
            </w:pPr>
            <w:r>
              <w:t>Class 1</w:t>
            </w:r>
          </w:p>
        </w:tc>
      </w:tr>
      <w:tr>
        <w:tc>
          <w:tcPr>
            <w:tcW w:w="1248" w:type="dxa"/>
          </w:tcPr>
          <w:p>
            <w:pPr>
              <w:pStyle w:val="TableNAm"/>
            </w:pPr>
            <w:r>
              <w:t>2.</w:t>
            </w:r>
          </w:p>
        </w:tc>
        <w:tc>
          <w:tcPr>
            <w:tcW w:w="2268" w:type="dxa"/>
          </w:tcPr>
          <w:p>
            <w:pPr>
              <w:pStyle w:val="TableNAm"/>
            </w:pPr>
            <w:r>
              <w:t>Class 1a</w:t>
            </w:r>
          </w:p>
        </w:tc>
        <w:tc>
          <w:tcPr>
            <w:tcW w:w="2409" w:type="dxa"/>
          </w:tcPr>
          <w:p>
            <w:pPr>
              <w:pStyle w:val="TableNAm"/>
            </w:pPr>
            <w:r>
              <w:t>Class 1b</w:t>
            </w:r>
          </w:p>
        </w:tc>
      </w:tr>
    </w:tbl>
    <w:p>
      <w:pPr>
        <w:pStyle w:val="Penstart"/>
      </w:pPr>
      <w:r>
        <w:tab/>
        <w:t>Penalty: a fine of $5 000.</w:t>
      </w:r>
    </w:p>
    <w:p>
      <w:pPr>
        <w:pStyle w:val="Subsection"/>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pPr>
      <w:bookmarkStart w:id="201" w:name="_Toc320625167"/>
      <w:bookmarkStart w:id="202" w:name="_Toc320625531"/>
      <w:bookmarkStart w:id="203" w:name="_Toc320625806"/>
      <w:bookmarkStart w:id="204" w:name="_Toc320697846"/>
      <w:r>
        <w:rPr>
          <w:rStyle w:val="CharDivNo"/>
        </w:rPr>
        <w:t>Division 2</w:t>
      </w:r>
      <w:r>
        <w:t> — </w:t>
      </w:r>
      <w:r>
        <w:rPr>
          <w:rStyle w:val="CharDivText"/>
        </w:rPr>
        <w:t>Private swimming pools</w:t>
      </w:r>
      <w:bookmarkEnd w:id="201"/>
      <w:bookmarkEnd w:id="202"/>
      <w:bookmarkEnd w:id="203"/>
      <w:bookmarkEnd w:id="204"/>
    </w:p>
    <w:p>
      <w:pPr>
        <w:pStyle w:val="Heading5"/>
      </w:pPr>
      <w:bookmarkStart w:id="205" w:name="_Toc320625168"/>
      <w:bookmarkStart w:id="206" w:name="_Toc320697847"/>
      <w:r>
        <w:rPr>
          <w:rStyle w:val="CharSectno"/>
        </w:rPr>
        <w:t>48</w:t>
      </w:r>
      <w:r>
        <w:t>.</w:t>
      </w:r>
      <w:r>
        <w:tab/>
        <w:t>Terms used</w:t>
      </w:r>
      <w:bookmarkEnd w:id="205"/>
      <w:bookmarkEnd w:id="206"/>
    </w:p>
    <w:p>
      <w:pPr>
        <w:pStyle w:val="Subsection"/>
      </w:pPr>
      <w:r>
        <w:tab/>
      </w:r>
      <w:r>
        <w:tab/>
        <w:t>In this Division —</w:t>
      </w:r>
    </w:p>
    <w:p>
      <w:pPr>
        <w:pStyle w:val="Defstart"/>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207" w:name="_Toc320625169"/>
      <w:bookmarkStart w:id="208" w:name="_Toc320697848"/>
      <w:r>
        <w:rPr>
          <w:rStyle w:val="CharSectno"/>
        </w:rPr>
        <w:t>49</w:t>
      </w:r>
      <w:r>
        <w:t>.</w:t>
      </w:r>
      <w:r>
        <w:tab/>
        <w:t>Application of this Division</w:t>
      </w:r>
      <w:bookmarkEnd w:id="207"/>
      <w:bookmarkEnd w:id="208"/>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209" w:name="_Toc320625170"/>
      <w:bookmarkStart w:id="210" w:name="_Toc320697849"/>
      <w:r>
        <w:rPr>
          <w:rStyle w:val="CharSectno"/>
        </w:rPr>
        <w:t>50</w:t>
      </w:r>
      <w:r>
        <w:t>.</w:t>
      </w:r>
      <w:r>
        <w:tab/>
        <w:t>Enclosure of private swimming pool</w:t>
      </w:r>
      <w:bookmarkEnd w:id="209"/>
      <w:bookmarkEnd w:id="210"/>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211" w:name="_Toc320625171"/>
      <w:bookmarkStart w:id="212" w:name="_Toc320697850"/>
      <w:r>
        <w:rPr>
          <w:rStyle w:val="CharSectno"/>
        </w:rPr>
        <w:t>51</w:t>
      </w:r>
      <w:r>
        <w:t>.</w:t>
      </w:r>
      <w:r>
        <w:tab/>
        <w:t>Approvals by permit authority</w:t>
      </w:r>
      <w:bookmarkEnd w:id="211"/>
      <w:bookmarkEnd w:id="212"/>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Heading5"/>
      </w:pPr>
      <w:bookmarkStart w:id="213" w:name="_Toc320625172"/>
      <w:bookmarkStart w:id="214" w:name="_Toc320697851"/>
      <w:r>
        <w:rPr>
          <w:rStyle w:val="CharSectno"/>
        </w:rPr>
        <w:t>52</w:t>
      </w:r>
      <w:r>
        <w:t>.</w:t>
      </w:r>
      <w:r>
        <w:tab/>
        <w:t>Concessions for pre</w:t>
      </w:r>
      <w:r>
        <w:noBreakHyphen/>
        <w:t>November 2001 private swimming pools</w:t>
      </w:r>
      <w:bookmarkEnd w:id="213"/>
      <w:bookmarkEnd w:id="214"/>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enclosure required by regulation 50 may include a wall that contains a door permitting access through a building if that door satisfies the requirements of AS 1926.l.</w:t>
      </w:r>
    </w:p>
    <w:p>
      <w:pPr>
        <w:pStyle w:val="Heading5"/>
      </w:pPr>
      <w:bookmarkStart w:id="215" w:name="_Toc320625173"/>
      <w:bookmarkStart w:id="216" w:name="_Toc320697852"/>
      <w:r>
        <w:rPr>
          <w:rStyle w:val="CharSectno"/>
        </w:rPr>
        <w:t>53</w:t>
      </w:r>
      <w:r>
        <w:t>.</w:t>
      </w:r>
      <w:r>
        <w:tab/>
        <w:t>Inspections of pool enclosures</w:t>
      </w:r>
      <w:bookmarkEnd w:id="215"/>
      <w:bookmarkEnd w:id="216"/>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to exceed $55.</w:t>
      </w:r>
    </w:p>
    <w:p>
      <w:pPr>
        <w:pStyle w:val="Heading5"/>
      </w:pPr>
      <w:bookmarkStart w:id="217" w:name="_Toc320625174"/>
      <w:bookmarkStart w:id="218" w:name="_Toc320697853"/>
      <w:r>
        <w:rPr>
          <w:rStyle w:val="CharSectno"/>
        </w:rPr>
        <w:t>54</w:t>
      </w:r>
      <w:r>
        <w:t>.</w:t>
      </w:r>
      <w:r>
        <w:tab/>
        <w:t>Transitional provisions — persons authorised to carry out inspections of private swimming pools</w:t>
      </w:r>
      <w:bookmarkEnd w:id="217"/>
      <w:bookmarkEnd w:id="218"/>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any of the following persons is to be taken to be an authorised person in relation to the inspection of private swimming pool enclosures for the period commencing on repeal day and ending on the day that is 5 years after that day — </w:t>
      </w:r>
    </w:p>
    <w:p>
      <w:pPr>
        <w:pStyle w:val="Indenta"/>
      </w:pPr>
      <w:r>
        <w:tab/>
        <w:t>(a)</w:t>
      </w:r>
      <w:r>
        <w:tab/>
        <w:t xml:space="preserve">a person who was an authorised person for the purposes of section 245A of the repealed provisions immediately before repeal day; </w:t>
      </w:r>
    </w:p>
    <w:p>
      <w:pPr>
        <w:pStyle w:val="Indenta"/>
      </w:pPr>
      <w:r>
        <w:tab/>
        <w:t>(b)</w:t>
      </w:r>
      <w:r>
        <w:tab/>
        <w:t>a person with appropriate experience or qualifications authorised by the local government for the purposes of this regulation.</w:t>
      </w:r>
    </w:p>
    <w:p>
      <w:pPr>
        <w:pStyle w:val="Heading3"/>
      </w:pPr>
      <w:bookmarkStart w:id="219" w:name="_Toc320625175"/>
      <w:bookmarkStart w:id="220" w:name="_Toc320625539"/>
      <w:bookmarkStart w:id="221" w:name="_Toc320625814"/>
      <w:bookmarkStart w:id="222" w:name="_Toc320697854"/>
      <w:r>
        <w:rPr>
          <w:rStyle w:val="CharDivNo"/>
        </w:rPr>
        <w:t>Division 3</w:t>
      </w:r>
      <w:r>
        <w:t> — </w:t>
      </w:r>
      <w:r>
        <w:rPr>
          <w:rStyle w:val="CharDivText"/>
        </w:rPr>
        <w:t>Smoke alarms</w:t>
      </w:r>
      <w:bookmarkEnd w:id="219"/>
      <w:bookmarkEnd w:id="220"/>
      <w:bookmarkEnd w:id="221"/>
      <w:bookmarkEnd w:id="222"/>
    </w:p>
    <w:p>
      <w:pPr>
        <w:pStyle w:val="Heading5"/>
      </w:pPr>
      <w:bookmarkStart w:id="223" w:name="_Toc320625176"/>
      <w:bookmarkStart w:id="224" w:name="_Toc320697855"/>
      <w:r>
        <w:rPr>
          <w:rStyle w:val="CharSectno"/>
        </w:rPr>
        <w:t>55</w:t>
      </w:r>
      <w:r>
        <w:t>.</w:t>
      </w:r>
      <w:r>
        <w:tab/>
        <w:t>Terms used</w:t>
      </w:r>
      <w:bookmarkEnd w:id="223"/>
      <w:bookmarkEnd w:id="224"/>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225" w:name="_Toc320625177"/>
      <w:bookmarkStart w:id="226" w:name="_Toc320697856"/>
      <w:r>
        <w:rPr>
          <w:rStyle w:val="CharSectno"/>
        </w:rPr>
        <w:t>56</w:t>
      </w:r>
      <w:r>
        <w:t>.</w:t>
      </w:r>
      <w:r>
        <w:tab/>
        <w:t>Requirement to have smoke alarms or similar prior to transfer of dwelling</w:t>
      </w:r>
      <w:bookmarkEnd w:id="225"/>
      <w:bookmarkEnd w:id="226"/>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27" w:name="_Toc320625178"/>
      <w:bookmarkStart w:id="228" w:name="_Toc320697857"/>
      <w:r>
        <w:rPr>
          <w:rStyle w:val="CharSectno"/>
        </w:rPr>
        <w:t>57</w:t>
      </w:r>
      <w:r>
        <w:t>.</w:t>
      </w:r>
      <w:r>
        <w:tab/>
        <w:t>New owner must install smoke alarms or similar, and right to recover costs</w:t>
      </w:r>
      <w:bookmarkEnd w:id="227"/>
      <w:bookmarkEnd w:id="22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229" w:name="_Toc320625179"/>
      <w:bookmarkStart w:id="230" w:name="_Toc320697858"/>
      <w:r>
        <w:rPr>
          <w:rStyle w:val="CharSectno"/>
        </w:rPr>
        <w:t>58</w:t>
      </w:r>
      <w:r>
        <w:t>.</w:t>
      </w:r>
      <w:r>
        <w:tab/>
        <w:t>Requirement to have smoke alarms or similar prior to tenancy</w:t>
      </w:r>
      <w:bookmarkEnd w:id="229"/>
      <w:bookmarkEnd w:id="230"/>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31" w:name="_Toc320625180"/>
      <w:bookmarkStart w:id="232" w:name="_Toc320697859"/>
      <w:r>
        <w:rPr>
          <w:rStyle w:val="CharSectno"/>
        </w:rPr>
        <w:t>59</w:t>
      </w:r>
      <w:r>
        <w:t>.</w:t>
      </w:r>
      <w:r>
        <w:tab/>
        <w:t>Requirement to have smoke alarms or similar prior to hire of dwelling</w:t>
      </w:r>
      <w:bookmarkEnd w:id="231"/>
      <w:bookmarkEnd w:id="232"/>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233" w:name="_Toc320625181"/>
      <w:bookmarkStart w:id="234" w:name="_Toc320697860"/>
      <w:r>
        <w:rPr>
          <w:rStyle w:val="CharSectno"/>
        </w:rPr>
        <w:t>60</w:t>
      </w:r>
      <w:r>
        <w:t>.</w:t>
      </w:r>
      <w:r>
        <w:tab/>
        <w:t>Requirements for smoke alarms</w:t>
      </w:r>
      <w:bookmarkEnd w:id="233"/>
      <w:bookmarkEnd w:id="234"/>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pPr>
      <w:bookmarkStart w:id="235" w:name="_Toc320625182"/>
      <w:bookmarkStart w:id="236" w:name="_Toc320697861"/>
      <w:r>
        <w:rPr>
          <w:rStyle w:val="CharSectno"/>
        </w:rPr>
        <w:t>61</w:t>
      </w:r>
      <w:r>
        <w:t>.</w:t>
      </w:r>
      <w:r>
        <w:tab/>
        <w:t>Local government approval of battery powered smoke alarms</w:t>
      </w:r>
      <w:bookmarkEnd w:id="235"/>
      <w:bookmarkEnd w:id="236"/>
    </w:p>
    <w:p>
      <w:pPr>
        <w:pStyle w:val="Subsection"/>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pPr>
      <w:r>
        <w:tab/>
        <w:t>(a)</w:t>
      </w:r>
      <w:r>
        <w:tab/>
        <w:t>a sufficient problem of a structural nature; or</w:t>
      </w:r>
    </w:p>
    <w:p>
      <w:pPr>
        <w:pStyle w:val="Indenta"/>
      </w:pPr>
      <w:r>
        <w:tab/>
        <w:t>(b)</w:t>
      </w:r>
      <w:r>
        <w:tab/>
        <w:t>a sufficient problem of any other nature, the cause of which is not within the control of the owner.</w:t>
      </w:r>
    </w:p>
    <w:p>
      <w:pPr>
        <w:pStyle w:val="Subsection"/>
      </w:pPr>
      <w:r>
        <w:tab/>
        <w:t>(2)</w:t>
      </w:r>
      <w:r>
        <w:tab/>
        <w:t>The local government may give its approval in relation to an alarm that was installed before the approval is to be given.</w:t>
      </w:r>
    </w:p>
    <w:p>
      <w:pPr>
        <w:pStyle w:val="Subsection"/>
      </w:pPr>
      <w:r>
        <w:tab/>
        <w:t>(3)</w:t>
      </w:r>
      <w:r>
        <w:tab/>
        <w:t>An application for approval must be made in the manner and form approved by the local government, and must include or be accompanied by —</w:t>
      </w:r>
    </w:p>
    <w:p>
      <w:pPr>
        <w:pStyle w:val="Indenta"/>
      </w:pPr>
      <w:r>
        <w:tab/>
        <w:t>(a)</w:t>
      </w:r>
      <w:r>
        <w:tab/>
        <w:t>the plans and information required by the local government; and</w:t>
      </w:r>
    </w:p>
    <w:p>
      <w:pPr>
        <w:pStyle w:val="Indenta"/>
      </w:pPr>
      <w:r>
        <w:tab/>
        <w:t>(b)</w:t>
      </w:r>
      <w:r>
        <w:tab/>
        <w:t>the fee set by the local government, which cannot exceed $170.</w:t>
      </w:r>
    </w:p>
    <w:p>
      <w:pPr>
        <w:pStyle w:val="Subsection"/>
      </w:pPr>
      <w:r>
        <w:tab/>
        <w:t>(4)</w:t>
      </w:r>
      <w:r>
        <w:tab/>
        <w:t>The local government is to be taken to have refused approval if it has not made a decision whether to give approval within 35 days after the later of —</w:t>
      </w:r>
    </w:p>
    <w:p>
      <w:pPr>
        <w:pStyle w:val="Indenta"/>
      </w:pPr>
      <w:r>
        <w:tab/>
        <w:t>(a)</w:t>
      </w:r>
      <w:r>
        <w:tab/>
        <w:t>the day on which the person made the application for approval; or</w:t>
      </w:r>
    </w:p>
    <w:p>
      <w:pPr>
        <w:pStyle w:val="Indenta"/>
      </w:pPr>
      <w:r>
        <w:tab/>
        <w:t>(b)</w:t>
      </w:r>
      <w:r>
        <w:tab/>
        <w:t>the day on which the person complied with a, or the latest, request by the local government for further plans or information.</w:t>
      </w:r>
    </w:p>
    <w:p>
      <w:pPr>
        <w:pStyle w:val="Heading5"/>
      </w:pPr>
      <w:bookmarkStart w:id="237" w:name="_Toc320625183"/>
      <w:bookmarkStart w:id="238" w:name="_Toc320697862"/>
      <w:r>
        <w:rPr>
          <w:rStyle w:val="CharSectno"/>
        </w:rPr>
        <w:t>62</w:t>
      </w:r>
      <w:r>
        <w:t>.</w:t>
      </w:r>
      <w:r>
        <w:tab/>
        <w:t>Requirement to maintain certain smoke alarms</w:t>
      </w:r>
      <w:bookmarkEnd w:id="237"/>
      <w:bookmarkEnd w:id="238"/>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Heading2"/>
      </w:pPr>
      <w:bookmarkStart w:id="239" w:name="_Toc320625184"/>
      <w:bookmarkStart w:id="240" w:name="_Toc320625548"/>
      <w:bookmarkStart w:id="241" w:name="_Toc320625823"/>
      <w:bookmarkStart w:id="242" w:name="_Toc320697863"/>
      <w:r>
        <w:rPr>
          <w:rStyle w:val="CharPartNo"/>
        </w:rPr>
        <w:t>Part 9</w:t>
      </w:r>
      <w:r>
        <w:rPr>
          <w:rStyle w:val="CharDivNo"/>
        </w:rPr>
        <w:t> </w:t>
      </w:r>
      <w:r>
        <w:t>—</w:t>
      </w:r>
      <w:r>
        <w:rPr>
          <w:rStyle w:val="CharDivText"/>
        </w:rPr>
        <w:t> </w:t>
      </w:r>
      <w:r>
        <w:rPr>
          <w:rStyle w:val="CharPartText"/>
        </w:rPr>
        <w:t xml:space="preserve">Transitional provisions relating to </w:t>
      </w:r>
      <w:r>
        <w:rPr>
          <w:rStyle w:val="CharPartText"/>
          <w:i/>
        </w:rPr>
        <w:t>Local Government (Miscellaneous Provisions) Act 1960</w:t>
      </w:r>
      <w:bookmarkEnd w:id="239"/>
      <w:bookmarkEnd w:id="240"/>
      <w:bookmarkEnd w:id="241"/>
      <w:bookmarkEnd w:id="242"/>
    </w:p>
    <w:p>
      <w:pPr>
        <w:pStyle w:val="Heading5"/>
        <w:rPr>
          <w:snapToGrid w:val="0"/>
        </w:rPr>
      </w:pPr>
      <w:bookmarkStart w:id="243" w:name="_Toc320625185"/>
      <w:bookmarkStart w:id="244" w:name="_Toc320697864"/>
      <w:r>
        <w:rPr>
          <w:rStyle w:val="CharSectno"/>
        </w:rPr>
        <w:t>63</w:t>
      </w:r>
      <w:r>
        <w:t>.</w:t>
      </w:r>
      <w:r>
        <w:tab/>
      </w:r>
      <w:r>
        <w:rPr>
          <w:snapToGrid w:val="0"/>
        </w:rPr>
        <w:t>Notice to be given before commencing building or demolition work</w:t>
      </w:r>
      <w:bookmarkEnd w:id="243"/>
      <w:bookmarkEnd w:id="244"/>
    </w:p>
    <w:p>
      <w:pPr>
        <w:pStyle w:val="Subsection"/>
        <w:rPr>
          <w:snapToGrid w:val="0"/>
        </w:rPr>
      </w:pPr>
      <w:r>
        <w:tab/>
        <w:t>(1)</w:t>
      </w:r>
      <w:r>
        <w:tab/>
        <w:t>A</w:t>
      </w:r>
      <w:r>
        <w:rPr>
          <w:snapToGrid w:val="0"/>
        </w:rPr>
        <w:t xml:space="preserve"> person who intends to commence any building work or demolition work or do any other thing by which a street, way or other public place in a district may be obstructed or rendered dangerous or inconvenient to persons passing over or near must — </w:t>
      </w:r>
    </w:p>
    <w:p>
      <w:pPr>
        <w:pStyle w:val="Indenta"/>
        <w:rPr>
          <w:snapToGrid w:val="0"/>
        </w:rPr>
      </w:pPr>
      <w:r>
        <w:rPr>
          <w:snapToGrid w:val="0"/>
        </w:rPr>
        <w:tab/>
        <w:t>(a)</w:t>
      </w:r>
      <w:r>
        <w:rPr>
          <w:snapToGrid w:val="0"/>
        </w:rPr>
        <w:tab/>
        <w:t>give written notice to the local government of the district at least 3 days before commencing the work or doing the thing; and</w:t>
      </w:r>
    </w:p>
    <w:p>
      <w:pPr>
        <w:pStyle w:val="Indenta"/>
        <w:rPr>
          <w:snapToGrid w:val="0"/>
        </w:rPr>
      </w:pPr>
      <w:r>
        <w:tab/>
        <w:t>(b)</w:t>
      </w:r>
      <w:r>
        <w:tab/>
      </w:r>
      <w:r>
        <w:rPr>
          <w:snapToGrid w:val="0"/>
        </w:rPr>
        <w:t>put up such hoardings, fences, footway or other protective structures as the local government reasonably requires for the purpose of public safety.</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person who intends to demolish or remove a building in a city, town or townsite must give written notice to the local government for the district in which the building is located at least 7 days before commencing the demolition or removal.</w:t>
      </w:r>
    </w:p>
    <w:p>
      <w:pPr>
        <w:pStyle w:val="Heading5"/>
        <w:rPr>
          <w:snapToGrid w:val="0"/>
        </w:rPr>
      </w:pPr>
      <w:bookmarkStart w:id="245" w:name="_Toc320625186"/>
      <w:bookmarkStart w:id="246" w:name="_Toc320697865"/>
      <w:r>
        <w:rPr>
          <w:rStyle w:val="CharSectno"/>
        </w:rPr>
        <w:t>64</w:t>
      </w:r>
      <w:r>
        <w:t>.</w:t>
      </w:r>
      <w:r>
        <w:tab/>
      </w:r>
      <w:r>
        <w:rPr>
          <w:snapToGrid w:val="0"/>
        </w:rPr>
        <w:t>No materials to be deposited on streets without licence</w:t>
      </w:r>
      <w:bookmarkEnd w:id="245"/>
      <w:bookmarkEnd w:id="246"/>
    </w:p>
    <w:p>
      <w:pPr>
        <w:pStyle w:val="Subsection"/>
        <w:rPr>
          <w:snapToGrid w:val="0"/>
        </w:rPr>
      </w:pPr>
      <w:r>
        <w:tab/>
        <w:t>(1)</w:t>
      </w:r>
      <w:r>
        <w:tab/>
        <w:t>A</w:t>
      </w:r>
      <w:r>
        <w:rPr>
          <w:snapToGrid w:val="0"/>
        </w:rPr>
        <w:t xml:space="preserve"> person must not deposit stones, bricks, lime, rubbish, timber, iron, or other materials on a street, way or other public place, or make an excavation on land abutting or adjoining a street, way or other public place, unless — </w:t>
      </w:r>
    </w:p>
    <w:p>
      <w:pPr>
        <w:pStyle w:val="Indenta"/>
      </w:pPr>
      <w:r>
        <w:tab/>
        <w:t>(a)</w:t>
      </w:r>
      <w:r>
        <w:tab/>
        <w:t>the person is authorised to do so under a written law; or</w:t>
      </w:r>
    </w:p>
    <w:p>
      <w:pPr>
        <w:pStyle w:val="Indenta"/>
      </w:pPr>
      <w:r>
        <w:rPr>
          <w:snapToGrid w:val="0"/>
        </w:rPr>
        <w:tab/>
        <w:t>(b)</w:t>
      </w:r>
      <w:r>
        <w:rPr>
          <w:snapToGrid w:val="0"/>
        </w:rPr>
        <w:tab/>
      </w:r>
      <w:r>
        <w:t xml:space="preserve">the person — </w:t>
      </w:r>
    </w:p>
    <w:p>
      <w:pPr>
        <w:pStyle w:val="Indenti"/>
        <w:rPr>
          <w:snapToGrid w:val="0"/>
        </w:rPr>
      </w:pPr>
      <w:r>
        <w:tab/>
        <w:t>(i)</w:t>
      </w:r>
      <w:r>
        <w:tab/>
      </w:r>
      <w:r>
        <w:rPr>
          <w:snapToGrid w:val="0"/>
        </w:rPr>
        <w:t>does so in accordance with a licence in writing from the local government in whose district the street, way, public place or land is situated; and</w:t>
      </w:r>
    </w:p>
    <w:p>
      <w:pPr>
        <w:pStyle w:val="Indenti"/>
        <w:rPr>
          <w:snapToGrid w:val="0"/>
        </w:rPr>
      </w:pPr>
      <w:r>
        <w:tab/>
        <w:t>(ii)</w:t>
      </w:r>
      <w:r>
        <w:tab/>
      </w:r>
      <w:r>
        <w:rPr>
          <w:snapToGrid w:val="0"/>
        </w:rPr>
        <w:t>in the case of an excavation, has securely fenced off the place where the excavation is to be made from the street, way or other public place.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pPr>
      <w:r>
        <w:tab/>
        <w:t>(2)</w:t>
      </w:r>
      <w:r>
        <w:tab/>
        <w:t>A licence must set out the purpose for which it is granted.</w:t>
      </w:r>
    </w:p>
    <w:p>
      <w:pPr>
        <w:pStyle w:val="Subsection"/>
      </w:pPr>
      <w:r>
        <w:tab/>
        <w:t>(3)</w:t>
      </w:r>
      <w:r>
        <w:tab/>
        <w:t>The local government may grant a licence subject to such conditions as the local government reasonably requires, including conditions relating to the erection of hoardings, fences, walkways or other protective structures for public safety.</w:t>
      </w:r>
    </w:p>
    <w:p>
      <w:pPr>
        <w:pStyle w:val="Subsection"/>
        <w:rPr>
          <w:snapToGrid w:val="0"/>
        </w:rPr>
      </w:pPr>
      <w:r>
        <w:tab/>
        <w:t>(4)</w:t>
      </w:r>
      <w:r>
        <w:tab/>
      </w:r>
      <w:r>
        <w:rPr>
          <w:snapToGrid w:val="0"/>
        </w:rPr>
        <w:t xml:space="preserve">The local </w:t>
      </w:r>
      <w:r>
        <w:rPr>
          <w:snapToGrid w:val="0"/>
          <w:spacing w:val="-4"/>
        </w:rPr>
        <w:t>government</w:t>
      </w:r>
      <w:r>
        <w:rPr>
          <w:snapToGrid w:val="0"/>
        </w:rPr>
        <w:t xml:space="preserve"> may charge a licence fee of $1 per month or part of a month for each m</w:t>
      </w:r>
      <w:r>
        <w:rPr>
          <w:snapToGrid w:val="0"/>
          <w:vertAlign w:val="superscript"/>
        </w:rPr>
        <w:t>2</w:t>
      </w:r>
      <w:r>
        <w:rPr>
          <w:snapToGrid w:val="0"/>
        </w:rPr>
        <w:t xml:space="preserve"> of the street, way or public place that is enclosed by a hoarding or fence.</w:t>
      </w:r>
    </w:p>
    <w:p>
      <w:pPr>
        <w:pStyle w:val="Subsection"/>
        <w:rPr>
          <w:snapToGrid w:val="0"/>
        </w:rPr>
      </w:pPr>
      <w:r>
        <w:tab/>
        <w:t>(5)</w:t>
      </w:r>
      <w:r>
        <w:tab/>
      </w:r>
      <w:r>
        <w:rPr>
          <w:snapToGrid w:val="0"/>
        </w:rPr>
        <w:t xml:space="preserve">The local government may, before granting the licence, require the </w:t>
      </w:r>
      <w:r>
        <w:rPr>
          <w:snapToGrid w:val="0"/>
          <w:spacing w:val="-4"/>
        </w:rPr>
        <w:t>applicant</w:t>
      </w:r>
      <w:r>
        <w:rPr>
          <w:snapToGrid w:val="0"/>
        </w:rPr>
        <w:t xml:space="preserve"> to deposit with the local government a sum sufficient in the opinion </w:t>
      </w:r>
      <w:r>
        <w:t>of the CEO of the local government</w:t>
      </w:r>
      <w:r>
        <w:rPr>
          <w:snapToGrid w:val="0"/>
        </w:rPr>
        <w:t xml:space="preserve"> to cover the cost of repairing damage caused by the licensee to the street, footpath or kerb, to be retained by the local government until the damage, if any, is made good by the licensee.</w:t>
      </w:r>
    </w:p>
    <w:p>
      <w:pPr>
        <w:pStyle w:val="Subsection"/>
        <w:rPr>
          <w:snapToGrid w:val="0"/>
        </w:rPr>
      </w:pPr>
      <w:r>
        <w:rPr>
          <w:snapToGrid w:val="0"/>
        </w:rPr>
        <w:tab/>
        <w:t>(6)</w:t>
      </w:r>
      <w:r>
        <w:rPr>
          <w:snapToGrid w:val="0"/>
        </w:rPr>
        <w:tab/>
      </w:r>
      <w:r>
        <w:t xml:space="preserve">If </w:t>
      </w:r>
      <w:r>
        <w:rPr>
          <w:snapToGrid w:val="0"/>
        </w:rPr>
        <w: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t>
      </w:r>
    </w:p>
    <w:p>
      <w:pPr>
        <w:pStyle w:val="Subsection"/>
      </w:pPr>
      <w:r>
        <w:tab/>
        <w:t>(7)</w:t>
      </w:r>
      <w:r>
        <w:tab/>
      </w:r>
      <w:r>
        <w:rPr>
          <w:snapToGrid w:val="0"/>
        </w:rPr>
        <w:t xml:space="preserve">If the </w:t>
      </w:r>
      <w:r>
        <w:rPr>
          <w:snapToGrid w:val="0"/>
          <w:spacing w:val="-4"/>
        </w:rPr>
        <w:t>local</w:t>
      </w:r>
      <w:r>
        <w:rPr>
          <w:snapToGrid w:val="0"/>
        </w:rPr>
        <w:t xml:space="preserve"> government refuses to grant the licence or in granting the licence imposes conditions, a person dissatisfied with the refusal or the conditions may</w:t>
      </w:r>
      <w:r>
        <w:t xml:space="preserve"> apply to the State Administrative Tribunal for a review of the decision with which the person is dissatisfied.</w:t>
      </w:r>
    </w:p>
    <w:p>
      <w:pPr>
        <w:pStyle w:val="Subsection"/>
        <w:rPr>
          <w:snapToGrid w:val="0"/>
        </w:rPr>
      </w:pPr>
      <w:r>
        <w:tab/>
        <w:t>(8)</w:t>
      </w:r>
      <w:r>
        <w:tab/>
      </w:r>
      <w:r>
        <w:rPr>
          <w:snapToGrid w:val="0"/>
        </w:rPr>
        <w: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(9)</w:t>
      </w:r>
      <w:r>
        <w:tab/>
        <w:t>A person who, in connection with an excavation, erects a</w:t>
      </w:r>
      <w:r>
        <w:rPr>
          <w:snapToGrid w:val="0"/>
        </w:rPr>
        <w:t xml:space="preserve"> hoarding, fence or other obstruction in a street, way or other public place must —</w:t>
      </w:r>
    </w:p>
    <w:p>
      <w:pPr>
        <w:pStyle w:val="Indenta"/>
        <w:rPr>
          <w:snapToGrid w:val="0"/>
        </w:rPr>
      </w:pPr>
      <w:r>
        <w:tab/>
        <w:t>(a)</w:t>
      </w:r>
      <w:r>
        <w:tab/>
      </w:r>
      <w:r>
        <w:rPr>
          <w:snapToGrid w:val="0"/>
        </w:rPr>
        <w:t>cause it to be sufficiently lighted every night from sunset to sunrise to prevent mishaps; and</w:t>
      </w:r>
    </w:p>
    <w:p>
      <w:pPr>
        <w:pStyle w:val="Indenta"/>
        <w:rPr>
          <w:snapToGrid w:val="0"/>
        </w:rPr>
      </w:pPr>
      <w:r>
        <w:tab/>
        <w:t>(b)</w:t>
      </w:r>
      <w:r>
        <w:tab/>
      </w:r>
      <w:r>
        <w:rPr>
          <w:snapToGrid w:val="0"/>
        </w:rPr>
        <w:t xml:space="preserve">within a reasonable time after being required in writing to do so by the local government — </w:t>
      </w:r>
    </w:p>
    <w:p>
      <w:pPr>
        <w:pStyle w:val="Indenti"/>
        <w:rPr>
          <w:snapToGrid w:val="0"/>
        </w:rPr>
      </w:pPr>
      <w:r>
        <w:rPr>
          <w:snapToGrid w:val="0"/>
        </w:rPr>
        <w:tab/>
        <w:t>(i)</w:t>
      </w:r>
      <w:r>
        <w:rPr>
          <w:snapToGrid w:val="0"/>
        </w:rPr>
        <w:tab/>
      </w:r>
      <w:r>
        <w:t>remove the hoarding, fence or other obstruction</w:t>
      </w:r>
      <w:r>
        <w:rPr>
          <w:snapToGrid w:val="0"/>
        </w:rPr>
        <w:t>; and</w:t>
      </w:r>
    </w:p>
    <w:p>
      <w:pPr>
        <w:pStyle w:val="Indenti"/>
      </w:pPr>
      <w:r>
        <w:tab/>
        <w:t>(ii)</w:t>
      </w:r>
      <w:r>
        <w:tab/>
        <w:t>fill in the excavation; and</w:t>
      </w:r>
    </w:p>
    <w:p>
      <w:pPr>
        <w:pStyle w:val="Indenti"/>
      </w:pPr>
      <w:r>
        <w:tab/>
        <w:t>(iii)</w:t>
      </w:r>
      <w:r>
        <w:tab/>
        <w:t>repair any damage that the person has done to the street, footpath or kerb.</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Heading5"/>
        <w:rPr>
          <w:snapToGrid w:val="0"/>
        </w:rPr>
      </w:pPr>
      <w:bookmarkStart w:id="247" w:name="_Toc320625187"/>
      <w:bookmarkStart w:id="248" w:name="_Toc320697866"/>
      <w:r>
        <w:rPr>
          <w:rStyle w:val="CharSectno"/>
        </w:rPr>
        <w:t>65</w:t>
      </w:r>
      <w:r>
        <w:t>.</w:t>
      </w:r>
      <w:r>
        <w:tab/>
      </w:r>
      <w:r>
        <w:rPr>
          <w:snapToGrid w:val="0"/>
        </w:rPr>
        <w:t>Hoardings erected and materials deposited otherwise than as permitted by licence may be removed</w:t>
      </w:r>
      <w:bookmarkEnd w:id="247"/>
      <w:bookmarkEnd w:id="248"/>
      <w:r>
        <w:rPr>
          <w:snapToGrid w:val="0"/>
        </w:rPr>
        <w:t xml:space="preserve"> </w:t>
      </w:r>
    </w:p>
    <w:p>
      <w:pPr>
        <w:pStyle w:val="Subsection"/>
        <w:rPr>
          <w:snapToGrid w:val="0"/>
        </w:rPr>
      </w:pPr>
      <w:r>
        <w:tab/>
      </w:r>
      <w:r>
        <w:tab/>
        <w:t>If</w:t>
      </w:r>
      <w:r>
        <w:rPr>
          <w:snapToGrid w:val="0"/>
        </w:rPr>
        <w:t xml:space="preserve"> a person —</w:t>
      </w:r>
    </w:p>
    <w:p>
      <w:pPr>
        <w:pStyle w:val="Indenta"/>
        <w:rPr>
          <w:snapToGrid w:val="0"/>
        </w:rPr>
      </w:pPr>
      <w:r>
        <w:tab/>
        <w:t>(a)</w:t>
      </w:r>
      <w:r>
        <w:tab/>
      </w:r>
      <w:r>
        <w:rPr>
          <w:snapToGrid w:val="0"/>
        </w:rPr>
        <w:t>erects or sets up in or on a street, way or other public place in a district, a hoarding, fence, scaffold or enclosure; or</w:t>
      </w:r>
    </w:p>
    <w:p>
      <w:pPr>
        <w:pStyle w:val="Indenta"/>
        <w:rPr>
          <w:snapToGrid w:val="0"/>
        </w:rPr>
      </w:pPr>
      <w:r>
        <w:tab/>
        <w:t>(b)</w:t>
      </w:r>
      <w:r>
        <w:tab/>
      </w:r>
      <w:r>
        <w:rPr>
          <w:snapToGrid w:val="0"/>
        </w:rPr>
        <w:t>makes an excavation on land abutting or adjoining a street, way or other public place except where the excavation is securely fenced off from the street, way or other public place; or</w:t>
      </w:r>
    </w:p>
    <w:p>
      <w:pPr>
        <w:pStyle w:val="Indenta"/>
        <w:keepNext/>
        <w:rPr>
          <w:snapToGrid w:val="0"/>
        </w:rPr>
      </w:pPr>
      <w:r>
        <w:tab/>
        <w:t>(c)</w:t>
      </w:r>
      <w:r>
        <w:tab/>
      </w:r>
      <w:r>
        <w:rPr>
          <w:snapToGrid w:val="0"/>
        </w:rPr>
        <w:t>deposits stone, bricks, lime, rubbish, timber, iron, or other materials in or on a street, way or other public place —</w:t>
      </w:r>
    </w:p>
    <w:p>
      <w:pPr>
        <w:pStyle w:val="Indenti"/>
        <w:rPr>
          <w:snapToGrid w:val="0"/>
        </w:rPr>
      </w:pPr>
      <w:r>
        <w:tab/>
        <w:t>(i)</w:t>
      </w:r>
      <w:r>
        <w:tab/>
      </w:r>
      <w:r>
        <w:rPr>
          <w:snapToGrid w:val="0"/>
        </w:rPr>
        <w:t>without a licence from the local government; or</w:t>
      </w:r>
    </w:p>
    <w:p>
      <w:pPr>
        <w:pStyle w:val="Indenti"/>
        <w:rPr>
          <w:snapToGrid w:val="0"/>
        </w:rPr>
      </w:pPr>
      <w:r>
        <w:tab/>
        <w:t>(ii)</w:t>
      </w:r>
      <w:r>
        <w:tab/>
        <w:t>h</w:t>
      </w:r>
      <w:r>
        <w:rPr>
          <w:snapToGrid w:val="0"/>
        </w:rPr>
        <w:t xml:space="preserve">aving obtained a licence — </w:t>
      </w:r>
    </w:p>
    <w:p>
      <w:pPr>
        <w:pStyle w:val="IndentI0"/>
        <w:rPr>
          <w:snapToGrid w:val="0"/>
        </w:rPr>
      </w:pPr>
      <w:r>
        <w:rPr>
          <w:snapToGrid w:val="0"/>
        </w:rPr>
        <w:tab/>
        <w:t>(I)</w:t>
      </w:r>
      <w:r>
        <w:rPr>
          <w:snapToGrid w:val="0"/>
        </w:rPr>
        <w:tab/>
        <w:t>does so otherwise than in accordance with the licence; or</w:t>
      </w:r>
    </w:p>
    <w:p>
      <w:pPr>
        <w:pStyle w:val="IndentI0"/>
        <w:rPr>
          <w:snapToGrid w:val="0"/>
        </w:rPr>
      </w:pPr>
      <w:r>
        <w:tab/>
        <w:t>(II)</w:t>
      </w:r>
      <w:r>
        <w:tab/>
      </w:r>
      <w:r>
        <w:rPr>
          <w:snapToGrid w:val="0"/>
        </w:rPr>
        <w:t xml:space="preserve">permits any of those things to remain beyond the time stated in the licence; </w:t>
      </w:r>
    </w:p>
    <w:p>
      <w:pPr>
        <w:pStyle w:val="Indenta"/>
        <w:rPr>
          <w:snapToGrid w:val="0"/>
        </w:rPr>
      </w:pPr>
      <w:r>
        <w:rPr>
          <w:snapToGrid w:val="0"/>
        </w:rPr>
        <w:tab/>
      </w:r>
      <w:r>
        <w:rPr>
          <w:snapToGrid w:val="0"/>
        </w:rPr>
        <w:tab/>
        <w:t>or</w:t>
      </w:r>
    </w:p>
    <w:p>
      <w:pPr>
        <w:pStyle w:val="Indenta"/>
        <w:rPr>
          <w:snapToGrid w:val="0"/>
        </w:rPr>
      </w:pPr>
      <w:r>
        <w:tab/>
        <w:t>(d)</w:t>
      </w:r>
      <w:r>
        <w:tab/>
      </w:r>
      <w:r>
        <w:rPr>
          <w:snapToGrid w:val="0"/>
        </w:rPr>
        <w:t>fails to keep a hoarding, fence or other protective structure in good repair,</w:t>
      </w:r>
    </w:p>
    <w:p>
      <w:pPr>
        <w:pStyle w:val="Subsection"/>
        <w:rPr>
          <w:snapToGrid w:val="0"/>
        </w:rPr>
      </w:pPr>
      <w:r>
        <w:rPr>
          <w:snapToGrid w:val="0"/>
        </w:rPr>
        <w:tab/>
      </w:r>
      <w:r>
        <w:rPr>
          <w:snapToGrid w:val="0"/>
        </w:rPr>
        <w:tab/>
        <w:t xml:space="preserve">the local government may do any of the following — </w:t>
      </w:r>
    </w:p>
    <w:p>
      <w:pPr>
        <w:pStyle w:val="Indenta"/>
        <w:rPr>
          <w:snapToGrid w:val="0"/>
        </w:rPr>
      </w:pPr>
      <w:r>
        <w:rPr>
          <w:snapToGrid w:val="0"/>
        </w:rPr>
        <w:tab/>
        <w:t>(e)</w:t>
      </w:r>
      <w:r>
        <w:rPr>
          <w:snapToGrid w:val="0"/>
        </w:rPr>
        <w:tab/>
        <w:t xml:space="preserve">fill in the excavation; </w:t>
      </w:r>
    </w:p>
    <w:p>
      <w:pPr>
        <w:pStyle w:val="Indenta"/>
        <w:rPr>
          <w:snapToGrid w:val="0"/>
        </w:rPr>
      </w:pPr>
      <w:r>
        <w:rPr>
          <w:snapToGrid w:val="0"/>
        </w:rPr>
        <w:tab/>
        <w:t>(f)</w:t>
      </w:r>
      <w:r>
        <w:rPr>
          <w:snapToGrid w:val="0"/>
        </w:rPr>
        <w:tab/>
        <w:t>pull down the hoarding, fence, scaffold or enclosure;</w:t>
      </w:r>
    </w:p>
    <w:p>
      <w:pPr>
        <w:pStyle w:val="Indenta"/>
        <w:rPr>
          <w:snapToGrid w:val="0"/>
        </w:rPr>
      </w:pPr>
      <w:r>
        <w:rPr>
          <w:snapToGrid w:val="0"/>
        </w:rPr>
        <w:tab/>
        <w:t>(g)</w:t>
      </w:r>
      <w:r>
        <w:rPr>
          <w:snapToGrid w:val="0"/>
        </w:rPr>
        <w:tab/>
        <w: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t>
      </w:r>
    </w:p>
    <w:p>
      <w:pPr>
        <w:pStyle w:val="Indenta"/>
        <w:rPr>
          <w:snapToGrid w:val="0"/>
        </w:rPr>
      </w:pPr>
      <w:r>
        <w:rPr>
          <w:snapToGrid w:val="0"/>
        </w:rPr>
        <w:tab/>
        <w:t>(h)</w:t>
      </w:r>
      <w:r>
        <w:rPr>
          <w:snapToGrid w:val="0"/>
        </w:rPr>
        <w:tab/>
        <w:t>by written notice served on the person require the person to pay to the local government the</w:t>
      </w:r>
      <w:r>
        <w:t xml:space="preserve"> expenses of doing any of the things referred to in paragraphs (e) to (g) and recover the expenses in a court of competent jurisdiction</w:t>
      </w:r>
      <w:r>
        <w:rPr>
          <w:snapToGrid w:val="0"/>
        </w:rPr>
        <w:t>.</w:t>
      </w:r>
    </w:p>
    <w:p>
      <w:pPr>
        <w:pStyle w:val="Heading5"/>
        <w:rPr>
          <w:snapToGrid w:val="0"/>
        </w:rPr>
      </w:pPr>
      <w:bookmarkStart w:id="249" w:name="_Toc320625188"/>
      <w:bookmarkStart w:id="250" w:name="_Toc320697867"/>
      <w:r>
        <w:rPr>
          <w:rStyle w:val="CharSectno"/>
        </w:rPr>
        <w:t>66</w:t>
      </w:r>
      <w:r>
        <w:t>.</w:t>
      </w:r>
      <w:r>
        <w:tab/>
      </w:r>
      <w:r>
        <w:rPr>
          <w:snapToGrid w:val="0"/>
        </w:rPr>
        <w:t>Damage done to footpaths, drains etc. to be made good</w:t>
      </w:r>
      <w:bookmarkEnd w:id="249"/>
      <w:bookmarkEnd w:id="250"/>
    </w:p>
    <w:p>
      <w:pPr>
        <w:pStyle w:val="Subsection"/>
        <w:rPr>
          <w:snapToGrid w:val="0"/>
        </w:rPr>
      </w:pPr>
      <w:r>
        <w:tab/>
        <w:t>(1)</w:t>
      </w:r>
      <w:r>
        <w:tab/>
      </w:r>
      <w:r>
        <w:rPr>
          <w:snapToGrid w:val="0"/>
        </w:rPr>
        <w:t>A person who, in erecting or setting up in a street, way or other public place in a district, a hoarding, fence, or scaffolding, damages a footpath or roadway of the street, way or other public place, or a kerb, water</w:t>
      </w:r>
      <w:r>
        <w:rPr>
          <w:snapToGrid w:val="0"/>
        </w:rPr>
        <w:noBreakHyphen/>
        <w:t xml:space="preserve">table or drain, must make good the damage to the satisfaction of the CEO of the </w:t>
      </w:r>
      <w:r>
        <w:t>local government</w:t>
      </w:r>
      <w:r>
        <w:rPr>
          <w:snapToGrid w:val="0"/>
        </w:rPr>
        <w:t xml:space="preserve"> for that district.</w:t>
      </w:r>
    </w:p>
    <w:p>
      <w:pPr>
        <w:pStyle w:val="Subsection"/>
        <w:rPr>
          <w:snapToGrid w:val="0"/>
        </w:rPr>
      </w:pPr>
      <w:r>
        <w:tab/>
        <w:t>(2)</w:t>
      </w:r>
      <w:r>
        <w:tab/>
      </w:r>
      <w:r>
        <w:rPr>
          <w:snapToGrid w:val="0"/>
        </w:rPr>
        <w:t>If the person who owns or erects the hoarding, fence or scaffold does not, to the satisfaction of the CEO, make good and repair the footpath, roadway, kerb, water</w:t>
      </w:r>
      <w:r>
        <w:rPr>
          <w:snapToGrid w:val="0"/>
        </w:rPr>
        <w:noBreakHyphen/>
        <w:t xml:space="preserve">table or drain, the local government may — </w:t>
      </w:r>
    </w:p>
    <w:p>
      <w:pPr>
        <w:pStyle w:val="Indenta"/>
        <w:rPr>
          <w:snapToGrid w:val="0"/>
        </w:rPr>
      </w:pPr>
      <w:r>
        <w:rPr>
          <w:snapToGrid w:val="0"/>
        </w:rPr>
        <w:tab/>
        <w:t>(a)</w:t>
      </w:r>
      <w:r>
        <w:rPr>
          <w:snapToGrid w:val="0"/>
        </w:rPr>
        <w:tab/>
        <w:t xml:space="preserve">cause the repairs and reinstatement to be done; and </w:t>
      </w:r>
    </w:p>
    <w:p>
      <w:pPr>
        <w:pStyle w:val="Indenta"/>
        <w:rPr>
          <w:snapToGrid w:val="0"/>
        </w:rPr>
      </w:pPr>
      <w:r>
        <w:rPr>
          <w:snapToGrid w:val="0"/>
        </w:rPr>
        <w:tab/>
        <w:t>(b)</w:t>
      </w:r>
      <w:r>
        <w:rPr>
          <w:snapToGrid w:val="0"/>
        </w:rPr>
        <w:tab/>
        <w: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t>
      </w:r>
    </w:p>
    <w:p>
      <w:pPr>
        <w:pStyle w:val="Heading5"/>
        <w:rPr>
          <w:snapToGrid w:val="0"/>
        </w:rPr>
      </w:pPr>
      <w:bookmarkStart w:id="251" w:name="_Toc320625189"/>
      <w:bookmarkStart w:id="252" w:name="_Toc320697868"/>
      <w:r>
        <w:rPr>
          <w:rStyle w:val="CharSectno"/>
        </w:rPr>
        <w:t>67</w:t>
      </w:r>
      <w:r>
        <w:t>.</w:t>
      </w:r>
      <w:r>
        <w:tab/>
      </w:r>
      <w:r>
        <w:rPr>
          <w:snapToGrid w:val="0"/>
        </w:rPr>
        <w:t>While building is in progress footpath to be covered</w:t>
      </w:r>
      <w:bookmarkEnd w:id="251"/>
      <w:bookmarkEnd w:id="252"/>
    </w:p>
    <w:p>
      <w:pPr>
        <w:pStyle w:val="Subsection"/>
      </w:pPr>
      <w:r>
        <w:tab/>
        <w:t>(1)</w:t>
      </w:r>
      <w:r>
        <w:tab/>
        <w:t xml:space="preserve">A local government may, by written notice served on a person, require the person to cover a footpath to prevent inconvenience to the public or danger from falling materials during any period in which the person — </w:t>
      </w:r>
    </w:p>
    <w:p>
      <w:pPr>
        <w:pStyle w:val="Indenta"/>
        <w:rPr>
          <w:snapToGrid w:val="0"/>
        </w:rPr>
      </w:pPr>
      <w:r>
        <w:tab/>
        <w:t>(a)</w:t>
      </w:r>
      <w:r>
        <w:tab/>
      </w:r>
      <w:r>
        <w:rPr>
          <w:snapToGrid w:val="0"/>
        </w:rPr>
        <w:t xml:space="preserve">erects in a district the ground floor of a building abutting a footpath of a street, way or other public place; or </w:t>
      </w:r>
    </w:p>
    <w:p>
      <w:pPr>
        <w:pStyle w:val="Indenta"/>
        <w:rPr>
          <w:snapToGrid w:val="0"/>
        </w:rPr>
      </w:pPr>
      <w:r>
        <w:rPr>
          <w:snapToGrid w:val="0"/>
        </w:rPr>
        <w:tab/>
        <w:t>(b)</w:t>
      </w:r>
      <w:r>
        <w:rPr>
          <w:snapToGrid w:val="0"/>
        </w:rPr>
        <w:tab/>
      </w:r>
      <w:r>
        <w:t>carries out p</w:t>
      </w:r>
      <w:r>
        <w:rPr>
          <w:snapToGrid w:val="0"/>
        </w:rPr>
        <w:t>lastering, painting or decorating operations above the ground floor of a building abutting a footpath of a street, way or other public place.</w:t>
      </w:r>
    </w:p>
    <w:p>
      <w:pPr>
        <w:pStyle w:val="Subsection"/>
        <w:rPr>
          <w:snapToGrid w:val="0"/>
        </w:rPr>
      </w:pPr>
      <w:r>
        <w:tab/>
        <w:t>(2)</w:t>
      </w:r>
      <w:r>
        <w:tab/>
      </w:r>
      <w:r>
        <w:rPr>
          <w:snapToGrid w:val="0"/>
        </w:rPr>
        <w:t>A person must comply with a notice under subregulation (1).</w:t>
      </w:r>
    </w:p>
    <w:p>
      <w:pPr>
        <w:pStyle w:val="Penstart"/>
        <w:rPr>
          <w:snapToGrid w:val="0"/>
        </w:rPr>
      </w:pPr>
      <w:r>
        <w:tab/>
        <w:t xml:space="preserve">Penalty: </w:t>
      </w:r>
      <w:r>
        <w:rPr>
          <w:snapToGrid w:val="0"/>
        </w:rPr>
        <w:t xml:space="preserve"> a fine of $5 000 and a daily penalty of $100 for each day during which the offence continues.</w:t>
      </w:r>
    </w:p>
    <w:p>
      <w:pPr>
        <w:pStyle w:val="Subsection"/>
        <w:rPr>
          <w:snapToGrid w:val="0"/>
        </w:rPr>
      </w:pPr>
      <w:r>
        <w:tab/>
        <w:t>(3)</w:t>
      </w:r>
      <w:r>
        <w:tab/>
      </w:r>
      <w:r>
        <w:rPr>
          <w:snapToGrid w:val="0"/>
        </w:rPr>
        <w:t>A person who is dissatisfied with the requisition of the local government may apply to the State Administrative Tribunal for a review of the decision to make the requisition.</w:t>
      </w:r>
    </w:p>
    <w:p>
      <w:pPr>
        <w:pStyle w:val="Heading5"/>
      </w:pPr>
      <w:bookmarkStart w:id="253" w:name="_Toc320625190"/>
      <w:bookmarkStart w:id="254" w:name="_Toc320697869"/>
      <w:r>
        <w:rPr>
          <w:rStyle w:val="CharSectno"/>
        </w:rPr>
        <w:t>68</w:t>
      </w:r>
      <w:r>
        <w:t>.</w:t>
      </w:r>
      <w:r>
        <w:tab/>
        <w:t>Expiry of Part</w:t>
      </w:r>
      <w:bookmarkEnd w:id="253"/>
      <w:bookmarkEnd w:id="254"/>
    </w:p>
    <w:p>
      <w:pPr>
        <w:pStyle w:val="Subsection"/>
      </w:pPr>
      <w:r>
        <w:tab/>
      </w:r>
      <w:r>
        <w:tab/>
        <w:t>This Part expires on the day that is one year after the day on which the rest of these regulations come into operation under regulation 2(b).</w:t>
      </w:r>
    </w:p>
    <w:p>
      <w:pPr>
        <w:pStyle w:val="ByCommand"/>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81" w:right="2410" w:bottom="3544" w:left="2410" w:header="720" w:footer="3380" w:gutter="0"/>
          <w:pgNumType w:start="1"/>
          <w:cols w:space="720"/>
          <w:noEndnote/>
          <w:titlePg/>
          <w:docGrid w:linePitch="78"/>
        </w:sectPr>
      </w:pPr>
      <w:bookmarkStart w:id="255" w:name="_Toc320625191"/>
      <w:bookmarkStart w:id="256" w:name="_Toc302037515"/>
      <w:bookmarkStart w:id="257" w:name="_Toc302051536"/>
      <w:bookmarkStart w:id="258" w:name="_Toc302052272"/>
      <w:bookmarkStart w:id="259" w:name="_Toc302634416"/>
    </w:p>
    <w:p>
      <w:pPr>
        <w:pStyle w:val="yScheduleHeading"/>
      </w:pPr>
      <w:bookmarkStart w:id="260" w:name="_Toc320625555"/>
      <w:bookmarkStart w:id="261" w:name="_Toc320625830"/>
      <w:bookmarkStart w:id="262" w:name="_Toc320697870"/>
      <w:r>
        <w:rPr>
          <w:rStyle w:val="CharSchNo"/>
        </w:rPr>
        <w:t>Schedule 1</w:t>
      </w:r>
      <w:r>
        <w:rPr>
          <w:rStyle w:val="CharSDivNo"/>
        </w:rPr>
        <w:t> </w:t>
      </w:r>
      <w:r>
        <w:t>—</w:t>
      </w:r>
      <w:r>
        <w:rPr>
          <w:rStyle w:val="CharSDivText"/>
        </w:rPr>
        <w:t> </w:t>
      </w:r>
      <w:r>
        <w:rPr>
          <w:rStyle w:val="CharSchText"/>
        </w:rPr>
        <w:t>Estimated value of building work</w:t>
      </w:r>
      <w:bookmarkEnd w:id="255"/>
      <w:bookmarkEnd w:id="260"/>
      <w:bookmarkEnd w:id="261"/>
      <w:bookmarkEnd w:id="262"/>
    </w:p>
    <w:p>
      <w:pPr>
        <w:pStyle w:val="yShoulderClause"/>
      </w:pPr>
      <w:r>
        <w:t>[r. 3]</w:t>
      </w:r>
    </w:p>
    <w:p>
      <w:pPr>
        <w:pStyle w:val="yHeading5"/>
      </w:pPr>
      <w:bookmarkStart w:id="263" w:name="_Toc320625192"/>
      <w:bookmarkStart w:id="264" w:name="_Toc320697871"/>
      <w:r>
        <w:rPr>
          <w:rStyle w:val="CharSClsNo"/>
        </w:rPr>
        <w:t>1</w:t>
      </w:r>
      <w:r>
        <w:t>.</w:t>
      </w:r>
      <w:r>
        <w:tab/>
        <w:t>Terms used</w:t>
      </w:r>
      <w:bookmarkEnd w:id="263"/>
      <w:bookmarkEnd w:id="26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265" w:name="_Toc320625193"/>
      <w:bookmarkStart w:id="266" w:name="_Toc320697872"/>
      <w:r>
        <w:rPr>
          <w:rStyle w:val="CharSClsNo"/>
        </w:rPr>
        <w:t>2</w:t>
      </w:r>
      <w:r>
        <w:t>.</w:t>
      </w:r>
      <w:r>
        <w:tab/>
        <w:t>Estimated value of building work</w:t>
      </w:r>
      <w:bookmarkEnd w:id="265"/>
      <w:bookmarkEnd w:id="266"/>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267" w:name="_Toc320625194"/>
      <w:bookmarkStart w:id="268" w:name="_Toc320697873"/>
      <w:r>
        <w:rPr>
          <w:rStyle w:val="CharSClsNo"/>
        </w:rPr>
        <w:t>3</w:t>
      </w:r>
      <w:r>
        <w:t>.</w:t>
      </w:r>
      <w:r>
        <w:tab/>
        <w:t>Estimated value of unauthorised building work</w:t>
      </w:r>
      <w:bookmarkEnd w:id="267"/>
      <w:bookmarkEnd w:id="268"/>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78"/>
        </w:sectPr>
      </w:pPr>
    </w:p>
    <w:p>
      <w:pPr>
        <w:pStyle w:val="yScheduleHeading"/>
      </w:pPr>
      <w:bookmarkStart w:id="269" w:name="_Toc320625195"/>
      <w:bookmarkStart w:id="270" w:name="_Toc320625559"/>
      <w:bookmarkStart w:id="271" w:name="_Toc320625834"/>
      <w:bookmarkStart w:id="272" w:name="_Toc320697874"/>
      <w:r>
        <w:rPr>
          <w:rStyle w:val="CharSchNo"/>
        </w:rPr>
        <w:t>Schedule 2</w:t>
      </w:r>
      <w:r>
        <w:t> — </w:t>
      </w:r>
      <w:r>
        <w:rPr>
          <w:rStyle w:val="CharSchText"/>
        </w:rPr>
        <w:t>Fees</w:t>
      </w:r>
      <w:bookmarkEnd w:id="269"/>
      <w:bookmarkEnd w:id="270"/>
      <w:bookmarkEnd w:id="271"/>
      <w:bookmarkEnd w:id="272"/>
    </w:p>
    <w:p>
      <w:pPr>
        <w:pStyle w:val="yShoulderClause"/>
        <w:ind w:right="141"/>
      </w:pPr>
      <w:r>
        <w:t>[r. 11]</w:t>
      </w:r>
    </w:p>
    <w:p>
      <w:pPr>
        <w:pStyle w:val="yHeading3"/>
        <w:spacing w:after="60"/>
      </w:pPr>
      <w:bookmarkStart w:id="273" w:name="_Toc320625196"/>
      <w:bookmarkStart w:id="274" w:name="_Toc320625560"/>
      <w:bookmarkStart w:id="275" w:name="_Toc320625835"/>
      <w:bookmarkStart w:id="276" w:name="_Toc320697875"/>
      <w:r>
        <w:rPr>
          <w:rStyle w:val="CharSDivNo"/>
        </w:rPr>
        <w:t>Division 1</w:t>
      </w:r>
      <w:r>
        <w:t> — </w:t>
      </w:r>
      <w:r>
        <w:rPr>
          <w:rStyle w:val="CharSDivText"/>
        </w:rPr>
        <w:t>Applications for building permits, demolition permits</w:t>
      </w:r>
      <w:bookmarkEnd w:id="273"/>
      <w:bookmarkEnd w:id="274"/>
      <w:bookmarkEnd w:id="275"/>
      <w:bookmarkEnd w:id="276"/>
    </w:p>
    <w:tbl>
      <w:tblPr>
        <w:tblW w:w="6775" w:type="dxa"/>
        <w:tblInd w:w="284" w:type="dxa"/>
        <w:tblLayout w:type="fixed"/>
        <w:tblCellMar>
          <w:left w:w="113" w:type="dxa"/>
          <w:right w:w="113" w:type="dxa"/>
        </w:tblCellMar>
        <w:tblLook w:val="0000" w:firstRow="0" w:lastRow="0" w:firstColumn="0" w:lastColumn="0" w:noHBand="0" w:noVBand="0"/>
      </w:tblPr>
      <w:tblGrid>
        <w:gridCol w:w="822"/>
        <w:gridCol w:w="3685"/>
        <w:gridCol w:w="2268"/>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3685" w:type="dxa"/>
            <w:tcBorders>
              <w:top w:val="single" w:sz="4" w:space="0" w:color="auto"/>
              <w:bottom w:val="single" w:sz="4" w:space="0" w:color="auto"/>
            </w:tcBorders>
          </w:tcPr>
          <w:p>
            <w:pPr>
              <w:pStyle w:val="yTableNAm"/>
              <w:jc w:val="center"/>
              <w:rPr>
                <w:b/>
                <w:szCs w:val="22"/>
              </w:rPr>
            </w:pPr>
            <w:r>
              <w:rPr>
                <w:b/>
                <w:szCs w:val="22"/>
              </w:rPr>
              <w:t>Application</w:t>
            </w:r>
          </w:p>
        </w:tc>
        <w:tc>
          <w:tcPr>
            <w:tcW w:w="2268"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3685" w:type="dxa"/>
            <w:tcBorders>
              <w:top w:val="single" w:sz="4" w:space="0" w:color="auto"/>
            </w:tcBorders>
          </w:tcPr>
          <w:p>
            <w:pPr>
              <w:pStyle w:val="yTableNAm"/>
              <w:rPr>
                <w:szCs w:val="22"/>
              </w:rPr>
            </w:pPr>
            <w:r>
              <w:rPr>
                <w:szCs w:val="22"/>
              </w:rPr>
              <w:t>Certified application for a building permit (s. 16(l)) — </w:t>
            </w:r>
          </w:p>
        </w:tc>
        <w:tc>
          <w:tcPr>
            <w:tcW w:w="2268" w:type="dxa"/>
            <w:tcBorders>
              <w:top w:val="single" w:sz="4" w:space="0" w:color="auto"/>
            </w:tcBorders>
          </w:tcPr>
          <w:p>
            <w:pPr>
              <w:pStyle w:val="yTableNAm"/>
              <w:rPr>
                <w:szCs w:val="22"/>
              </w:rPr>
            </w:pPr>
          </w:p>
        </w:tc>
      </w:tr>
      <w:tr>
        <w:trPr>
          <w:cantSplit/>
        </w:trPr>
        <w:tc>
          <w:tcPr>
            <w:tcW w:w="822" w:type="dxa"/>
          </w:tcPr>
          <w:p>
            <w:pPr>
              <w:pStyle w:val="yTableNAm"/>
              <w:tabs>
                <w:tab w:val="clear" w:pos="567"/>
                <w:tab w:val="left" w:pos="446"/>
              </w:tabs>
              <w:rPr>
                <w:szCs w:val="22"/>
              </w:rPr>
            </w:pPr>
          </w:p>
        </w:tc>
        <w:tc>
          <w:tcPr>
            <w:tcW w:w="3685" w:type="dxa"/>
          </w:tcPr>
          <w:p>
            <w:pPr>
              <w:pStyle w:val="yTableNAm"/>
              <w:ind w:left="595" w:hanging="595"/>
              <w:rPr>
                <w:szCs w:val="22"/>
              </w:rPr>
            </w:pPr>
            <w:r>
              <w:rPr>
                <w:szCs w:val="22"/>
              </w:rPr>
              <w:t>(a)</w:t>
            </w:r>
            <w:r>
              <w:rPr>
                <w:szCs w:val="22"/>
              </w:rPr>
              <w:tab/>
              <w:t>for building work for a Class 1 or Class 10 building or incidental structure</w:t>
            </w:r>
          </w:p>
        </w:tc>
        <w:tc>
          <w:tcPr>
            <w:tcW w:w="2268" w:type="dxa"/>
          </w:tcPr>
          <w:p>
            <w:pPr>
              <w:pStyle w:val="yTableNAm"/>
              <w:rPr>
                <w:szCs w:val="22"/>
              </w:rPr>
            </w:pPr>
            <w:r>
              <w:rPr>
                <w:szCs w:val="22"/>
              </w:rPr>
              <w:t>0.19% of the estimated value of the building work as determined by the relevant permit authority, but not less than $90</w:t>
            </w:r>
          </w:p>
        </w:tc>
      </w:tr>
      <w:tr>
        <w:trPr>
          <w:cantSplit/>
        </w:trPr>
        <w:tc>
          <w:tcPr>
            <w:tcW w:w="822" w:type="dxa"/>
          </w:tcPr>
          <w:p>
            <w:pPr>
              <w:pStyle w:val="yTableNAm"/>
              <w:tabs>
                <w:tab w:val="clear" w:pos="567"/>
                <w:tab w:val="left" w:pos="425"/>
              </w:tabs>
              <w:rPr>
                <w:szCs w:val="22"/>
              </w:rPr>
            </w:pPr>
          </w:p>
        </w:tc>
        <w:tc>
          <w:tcPr>
            <w:tcW w:w="3685" w:type="dxa"/>
          </w:tcPr>
          <w:p>
            <w:pPr>
              <w:pStyle w:val="yTableNAm"/>
              <w:ind w:left="595" w:hanging="595"/>
              <w:rPr>
                <w:szCs w:val="22"/>
              </w:rPr>
            </w:pPr>
            <w:r>
              <w:rPr>
                <w:szCs w:val="22"/>
              </w:rPr>
              <w:t>(b)</w:t>
            </w:r>
            <w:r>
              <w:rPr>
                <w:szCs w:val="22"/>
              </w:rPr>
              <w:tab/>
              <w:t>for building work for a Class 2 to Class 9 building or incidental structure</w:t>
            </w:r>
          </w:p>
        </w:tc>
        <w:tc>
          <w:tcPr>
            <w:tcW w:w="2268" w:type="dxa"/>
          </w:tcPr>
          <w:p>
            <w:pPr>
              <w:pStyle w:val="yTableNAm"/>
              <w:rPr>
                <w:szCs w:val="22"/>
              </w:rPr>
            </w:pPr>
            <w:r>
              <w:rPr>
                <w:szCs w:val="22"/>
              </w:rPr>
              <w:t>0.09% of the estimated value of the building work as determined by the relevant permit authority, but not less than $90</w:t>
            </w:r>
          </w:p>
        </w:tc>
      </w:tr>
      <w:tr>
        <w:trPr>
          <w:cantSplit/>
        </w:trPr>
        <w:tc>
          <w:tcPr>
            <w:tcW w:w="822" w:type="dxa"/>
          </w:tcPr>
          <w:p>
            <w:pPr>
              <w:pStyle w:val="yTableNAm"/>
              <w:rPr>
                <w:szCs w:val="22"/>
              </w:rPr>
            </w:pPr>
            <w:r>
              <w:rPr>
                <w:szCs w:val="22"/>
              </w:rPr>
              <w:t>2.</w:t>
            </w:r>
          </w:p>
        </w:tc>
        <w:tc>
          <w:tcPr>
            <w:tcW w:w="3685" w:type="dxa"/>
          </w:tcPr>
          <w:p>
            <w:pPr>
              <w:pStyle w:val="yTableNAm"/>
              <w:rPr>
                <w:szCs w:val="22"/>
              </w:rPr>
            </w:pPr>
            <w:r>
              <w:rPr>
                <w:szCs w:val="22"/>
              </w:rPr>
              <w:t>Uncertified application for a building permit (s. 16(l))</w:t>
            </w:r>
          </w:p>
        </w:tc>
        <w:tc>
          <w:tcPr>
            <w:tcW w:w="2268" w:type="dxa"/>
          </w:tcPr>
          <w:p>
            <w:pPr>
              <w:pStyle w:val="yTableNAm"/>
              <w:rPr>
                <w:szCs w:val="22"/>
              </w:rPr>
            </w:pPr>
            <w:r>
              <w:rPr>
                <w:szCs w:val="22"/>
              </w:rPr>
              <w:t>0.32% of the estimated value of the building work as determined by the relevant permit authority, but not less than $90</w:t>
            </w:r>
          </w:p>
        </w:tc>
      </w:tr>
      <w:tr>
        <w:trPr>
          <w:cantSplit/>
        </w:trPr>
        <w:tc>
          <w:tcPr>
            <w:tcW w:w="822" w:type="dxa"/>
          </w:tcPr>
          <w:p>
            <w:pPr>
              <w:pStyle w:val="yTableNAm"/>
              <w:rPr>
                <w:szCs w:val="22"/>
              </w:rPr>
            </w:pPr>
            <w:r>
              <w:rPr>
                <w:szCs w:val="22"/>
              </w:rPr>
              <w:t>3.</w:t>
            </w:r>
          </w:p>
        </w:tc>
        <w:tc>
          <w:tcPr>
            <w:tcW w:w="3685" w:type="dxa"/>
          </w:tcPr>
          <w:p>
            <w:pPr>
              <w:pStyle w:val="yTableNAm"/>
              <w:rPr>
                <w:rStyle w:val="DraftersNotes"/>
                <w:b w:val="0"/>
                <w:i w:val="0"/>
                <w:sz w:val="22"/>
                <w:szCs w:val="22"/>
              </w:rPr>
            </w:pPr>
            <w:r>
              <w:rPr>
                <w:szCs w:val="22"/>
              </w:rPr>
              <w:t xml:space="preserve">Application for a demolition permit (s. 16(l)) —  </w:t>
            </w:r>
          </w:p>
        </w:tc>
        <w:tc>
          <w:tcPr>
            <w:tcW w:w="2268" w:type="dxa"/>
          </w:tcPr>
          <w:p>
            <w:pPr>
              <w:pStyle w:val="yTableNAm"/>
              <w:rPr>
                <w:rStyle w:val="DraftersNotes"/>
                <w:b w:val="0"/>
                <w:i w:val="0"/>
                <w:sz w:val="22"/>
                <w:szCs w:val="22"/>
              </w:rPr>
            </w:pP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268" w:type="dxa"/>
          </w:tcPr>
          <w:p>
            <w:pPr>
              <w:pStyle w:val="yTableNAm"/>
              <w:rPr>
                <w:szCs w:val="22"/>
              </w:rPr>
            </w:pPr>
            <w:r>
              <w:rPr>
                <w:szCs w:val="22"/>
              </w:rPr>
              <w:t>$90</w:t>
            </w:r>
          </w:p>
        </w:tc>
      </w:tr>
      <w:tr>
        <w:trPr>
          <w:cantSplit/>
        </w:trPr>
        <w:tc>
          <w:tcPr>
            <w:tcW w:w="822" w:type="dxa"/>
          </w:tcPr>
          <w:p>
            <w:pPr>
              <w:pStyle w:val="yTableNAm"/>
              <w:rPr>
                <w:szCs w:val="22"/>
              </w:rPr>
            </w:pPr>
          </w:p>
        </w:tc>
        <w:tc>
          <w:tcPr>
            <w:tcW w:w="3685"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268" w:type="dxa"/>
          </w:tcPr>
          <w:p>
            <w:pPr>
              <w:pStyle w:val="yTableNAm"/>
              <w:rPr>
                <w:szCs w:val="22"/>
              </w:rPr>
            </w:pPr>
            <w:r>
              <w:rPr>
                <w:szCs w:val="22"/>
              </w:rPr>
              <w:t xml:space="preserve">$90 for each storey of the building </w:t>
            </w:r>
          </w:p>
        </w:tc>
      </w:tr>
      <w:tr>
        <w:trPr>
          <w:cantSplit/>
        </w:trPr>
        <w:tc>
          <w:tcPr>
            <w:tcW w:w="822" w:type="dxa"/>
            <w:tcBorders>
              <w:bottom w:val="single" w:sz="4" w:space="0" w:color="auto"/>
            </w:tcBorders>
          </w:tcPr>
          <w:p>
            <w:pPr>
              <w:pStyle w:val="yTableNAm"/>
              <w:rPr>
                <w:szCs w:val="22"/>
              </w:rPr>
            </w:pPr>
            <w:r>
              <w:rPr>
                <w:szCs w:val="22"/>
              </w:rPr>
              <w:t>4.</w:t>
            </w:r>
          </w:p>
        </w:tc>
        <w:tc>
          <w:tcPr>
            <w:tcW w:w="3685"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268" w:type="dxa"/>
            <w:tcBorders>
              <w:bottom w:val="single" w:sz="4" w:space="0" w:color="auto"/>
            </w:tcBorders>
          </w:tcPr>
          <w:p>
            <w:pPr>
              <w:pStyle w:val="yTableNAm"/>
              <w:rPr>
                <w:szCs w:val="22"/>
              </w:rPr>
            </w:pPr>
            <w:r>
              <w:rPr>
                <w:szCs w:val="22"/>
              </w:rPr>
              <w:t>$90</w:t>
            </w:r>
          </w:p>
        </w:tc>
      </w:tr>
    </w:tbl>
    <w:p>
      <w:pPr>
        <w:pStyle w:val="ySubsection"/>
      </w:pPr>
    </w:p>
    <w:p>
      <w:pPr>
        <w:pStyle w:val="yHeading3"/>
        <w:spacing w:after="60"/>
        <w:rPr>
          <w:sz w:val="22"/>
          <w:szCs w:val="22"/>
        </w:rPr>
      </w:pPr>
      <w:bookmarkStart w:id="277" w:name="_Toc320625197"/>
      <w:bookmarkStart w:id="278" w:name="_Toc320625561"/>
      <w:bookmarkStart w:id="279" w:name="_Toc320625836"/>
      <w:bookmarkStart w:id="280" w:name="_Toc320697876"/>
      <w:r>
        <w:rPr>
          <w:rStyle w:val="CharSDivNo"/>
          <w:sz w:val="22"/>
          <w:szCs w:val="22"/>
        </w:rPr>
        <w:t>Division 2</w:t>
      </w:r>
      <w:r>
        <w:rPr>
          <w:sz w:val="22"/>
          <w:szCs w:val="22"/>
        </w:rPr>
        <w:t> — </w:t>
      </w:r>
      <w:r>
        <w:rPr>
          <w:rStyle w:val="CharSDivText"/>
          <w:sz w:val="22"/>
        </w:rPr>
        <w:t>Application for o</w:t>
      </w:r>
      <w:r>
        <w:rPr>
          <w:rStyle w:val="CharSDivText"/>
          <w:sz w:val="22"/>
          <w:szCs w:val="22"/>
        </w:rPr>
        <w:t>ccupancy permits, building approval certificates</w:t>
      </w:r>
      <w:bookmarkEnd w:id="277"/>
      <w:bookmarkEnd w:id="278"/>
      <w:bookmarkEnd w:id="279"/>
      <w:bookmarkEnd w:id="280"/>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rPr>
          <w:cantSplit/>
          <w:tblHeader/>
        </w:trPr>
        <w:tc>
          <w:tcPr>
            <w:tcW w:w="822" w:type="dxa"/>
            <w:tcBorders>
              <w:top w:val="single" w:sz="4" w:space="0" w:color="auto"/>
              <w:bottom w:val="single" w:sz="4" w:space="0" w:color="auto"/>
            </w:tcBorders>
          </w:tcPr>
          <w:p>
            <w:pPr>
              <w:pStyle w:val="yTableNAm"/>
              <w:tabs>
                <w:tab w:val="clear" w:pos="567"/>
              </w:tabs>
              <w:rPr>
                <w:b/>
                <w:szCs w:val="22"/>
              </w:rPr>
            </w:pPr>
            <w:r>
              <w:rPr>
                <w:b/>
                <w:szCs w:val="22"/>
              </w:rPr>
              <w:t>Item</w:t>
            </w:r>
          </w:p>
        </w:tc>
        <w:tc>
          <w:tcPr>
            <w:tcW w:w="4252" w:type="dxa"/>
            <w:tcBorders>
              <w:top w:val="single" w:sz="4" w:space="0" w:color="auto"/>
              <w:bottom w:val="single" w:sz="4" w:space="0" w:color="auto"/>
            </w:tcBorders>
          </w:tcPr>
          <w:p>
            <w:pPr>
              <w:pStyle w:val="yTableNAm"/>
              <w:jc w:val="center"/>
              <w:rPr>
                <w:b/>
                <w:szCs w:val="22"/>
              </w:rPr>
            </w:pPr>
            <w:r>
              <w:rPr>
                <w:b/>
                <w:szCs w:val="22"/>
              </w:rPr>
              <w:t>Application</w:t>
            </w:r>
          </w:p>
        </w:tc>
        <w:tc>
          <w:tcPr>
            <w:tcW w:w="1701" w:type="dxa"/>
            <w:tcBorders>
              <w:top w:val="single" w:sz="4" w:space="0" w:color="auto"/>
              <w:bottom w:val="single" w:sz="4" w:space="0" w:color="auto"/>
            </w:tcBorders>
          </w:tcPr>
          <w:p>
            <w:pPr>
              <w:pStyle w:val="yTableNAm"/>
              <w:jc w:val="center"/>
              <w:rPr>
                <w:b/>
                <w:szCs w:val="22"/>
              </w:rPr>
            </w:pPr>
            <w:r>
              <w:rPr>
                <w:b/>
                <w:szCs w:val="22"/>
              </w:rPr>
              <w:t>Fee</w:t>
            </w:r>
          </w:p>
        </w:tc>
      </w:tr>
      <w:tr>
        <w:trPr>
          <w:cantSplit/>
        </w:trPr>
        <w:tc>
          <w:tcPr>
            <w:tcW w:w="822" w:type="dxa"/>
            <w:tcBorders>
              <w:top w:val="single" w:sz="4" w:space="0" w:color="auto"/>
            </w:tcBorders>
          </w:tcPr>
          <w:p>
            <w:pPr>
              <w:pStyle w:val="yTableNAm"/>
              <w:tabs>
                <w:tab w:val="clear" w:pos="567"/>
              </w:tabs>
              <w:rPr>
                <w:szCs w:val="22"/>
              </w:rPr>
            </w:pPr>
            <w:r>
              <w:rPr>
                <w:szCs w:val="22"/>
              </w:rPr>
              <w:t>1.</w:t>
            </w:r>
          </w:p>
        </w:tc>
        <w:tc>
          <w:tcPr>
            <w:tcW w:w="4252" w:type="dxa"/>
            <w:tcBorders>
              <w:top w:val="single" w:sz="4" w:space="0" w:color="auto"/>
            </w:tcBorders>
          </w:tcPr>
          <w:p>
            <w:pPr>
              <w:pStyle w:val="yTableNAm"/>
              <w:rPr>
                <w:szCs w:val="22"/>
              </w:rPr>
            </w:pPr>
            <w:r>
              <w:rPr>
                <w:szCs w:val="22"/>
              </w:rPr>
              <w:t>Application for an occupancy permit for a completed building (s. 46)</w:t>
            </w:r>
          </w:p>
        </w:tc>
        <w:tc>
          <w:tcPr>
            <w:tcW w:w="1701"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2.</w:t>
            </w:r>
          </w:p>
        </w:tc>
        <w:tc>
          <w:tcPr>
            <w:tcW w:w="4252" w:type="dxa"/>
          </w:tcPr>
          <w:p>
            <w:pPr>
              <w:pStyle w:val="yTableNAm"/>
              <w:rPr>
                <w:szCs w:val="22"/>
              </w:rPr>
            </w:pPr>
            <w:r>
              <w:rPr>
                <w:szCs w:val="22"/>
              </w:rPr>
              <w:t>Application for a temporary occupancy permit for an incomplete building (s. 47)</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3.</w:t>
            </w:r>
          </w:p>
        </w:tc>
        <w:tc>
          <w:tcPr>
            <w:tcW w:w="4252"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4.</w:t>
            </w:r>
          </w:p>
        </w:tc>
        <w:tc>
          <w:tcPr>
            <w:tcW w:w="4252"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5.</w:t>
            </w:r>
          </w:p>
        </w:tc>
        <w:tc>
          <w:tcPr>
            <w:tcW w:w="4252"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701"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22" w:type="dxa"/>
          </w:tcPr>
          <w:p>
            <w:pPr>
              <w:pStyle w:val="yTableNAm"/>
              <w:rPr>
                <w:szCs w:val="22"/>
              </w:rPr>
            </w:pPr>
            <w:r>
              <w:rPr>
                <w:szCs w:val="22"/>
              </w:rPr>
              <w:t>6.</w:t>
            </w:r>
          </w:p>
        </w:tc>
        <w:tc>
          <w:tcPr>
            <w:tcW w:w="4252" w:type="dxa"/>
          </w:tcPr>
          <w:p>
            <w:pPr>
              <w:pStyle w:val="yTableNAm"/>
              <w:rPr>
                <w:szCs w:val="22"/>
              </w:rPr>
            </w:pPr>
            <w:r>
              <w:rPr>
                <w:szCs w:val="22"/>
              </w:rPr>
              <w:t>Application for an occupancy permit for a building in respect of which unauthorised work has been done (s. 51(2))</w:t>
            </w:r>
          </w:p>
        </w:tc>
        <w:tc>
          <w:tcPr>
            <w:tcW w:w="1701"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7.</w:t>
            </w:r>
          </w:p>
        </w:tc>
        <w:tc>
          <w:tcPr>
            <w:tcW w:w="4252" w:type="dxa"/>
          </w:tcPr>
          <w:p>
            <w:pPr>
              <w:pStyle w:val="yTableNAm"/>
              <w:rPr>
                <w:szCs w:val="22"/>
              </w:rPr>
            </w:pPr>
            <w:r>
              <w:rPr>
                <w:szCs w:val="22"/>
              </w:rPr>
              <w:t>Application for a building approval certificate for a building in respect of which unauthorised work has been done (s. 51(3))</w:t>
            </w:r>
          </w:p>
        </w:tc>
        <w:tc>
          <w:tcPr>
            <w:tcW w:w="1701"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22" w:type="dxa"/>
          </w:tcPr>
          <w:p>
            <w:pPr>
              <w:pStyle w:val="yTableNAm"/>
              <w:rPr>
                <w:szCs w:val="22"/>
              </w:rPr>
            </w:pPr>
            <w:r>
              <w:rPr>
                <w:szCs w:val="22"/>
              </w:rPr>
              <w:t>8.</w:t>
            </w:r>
          </w:p>
        </w:tc>
        <w:tc>
          <w:tcPr>
            <w:tcW w:w="4252" w:type="dxa"/>
          </w:tcPr>
          <w:p>
            <w:pPr>
              <w:pStyle w:val="yTableNAm"/>
              <w:rPr>
                <w:szCs w:val="22"/>
              </w:rPr>
            </w:pPr>
            <w:r>
              <w:rPr>
                <w:szCs w:val="22"/>
              </w:rPr>
              <w:t>Application to replace an occupancy permit for an existing building (s. 52(1))</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Pr>
          <w:p>
            <w:pPr>
              <w:pStyle w:val="yTableNAm"/>
              <w:rPr>
                <w:szCs w:val="22"/>
              </w:rPr>
            </w:pPr>
            <w:r>
              <w:rPr>
                <w:szCs w:val="22"/>
              </w:rPr>
              <w:t>9.</w:t>
            </w:r>
          </w:p>
        </w:tc>
        <w:tc>
          <w:tcPr>
            <w:tcW w:w="4252" w:type="dxa"/>
          </w:tcPr>
          <w:p>
            <w:pPr>
              <w:pStyle w:val="yTableNAm"/>
              <w:rPr>
                <w:szCs w:val="22"/>
              </w:rPr>
            </w:pPr>
            <w:r>
              <w:rPr>
                <w:szCs w:val="22"/>
              </w:rPr>
              <w:t>Application for a building approval certificate for an existing building where unauthorised work has not been done (s. 52(2))</w:t>
            </w:r>
          </w:p>
        </w:tc>
        <w:tc>
          <w:tcPr>
            <w:tcW w:w="1701" w:type="dxa"/>
          </w:tcPr>
          <w:p>
            <w:pPr>
              <w:pStyle w:val="TableNAm"/>
              <w:tabs>
                <w:tab w:val="clear" w:pos="567"/>
                <w:tab w:val="left" w:pos="316"/>
              </w:tabs>
              <w:rPr>
                <w:sz w:val="22"/>
                <w:szCs w:val="22"/>
              </w:rPr>
            </w:pPr>
            <w:r>
              <w:rPr>
                <w:sz w:val="22"/>
                <w:szCs w:val="22"/>
              </w:rPr>
              <w:t>$90</w:t>
            </w:r>
          </w:p>
        </w:tc>
      </w:tr>
      <w:tr>
        <w:trPr>
          <w:cantSplit/>
        </w:trPr>
        <w:tc>
          <w:tcPr>
            <w:tcW w:w="822" w:type="dxa"/>
            <w:tcBorders>
              <w:bottom w:val="single" w:sz="4" w:space="0" w:color="auto"/>
            </w:tcBorders>
          </w:tcPr>
          <w:p>
            <w:pPr>
              <w:pStyle w:val="yTableNAm"/>
              <w:rPr>
                <w:szCs w:val="22"/>
              </w:rPr>
            </w:pPr>
            <w:r>
              <w:rPr>
                <w:szCs w:val="22"/>
              </w:rPr>
              <w:t>10.</w:t>
            </w:r>
          </w:p>
        </w:tc>
        <w:tc>
          <w:tcPr>
            <w:tcW w:w="4252"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701"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 w:val="22"/>
          <w:szCs w:val="22"/>
        </w:rPr>
      </w:pPr>
      <w:bookmarkStart w:id="281" w:name="_Toc320625198"/>
      <w:bookmarkStart w:id="282" w:name="_Toc320625562"/>
      <w:bookmarkStart w:id="283" w:name="_Toc320625837"/>
      <w:bookmarkStart w:id="284" w:name="_Toc320697877"/>
      <w:r>
        <w:rPr>
          <w:rStyle w:val="CharSDivNo"/>
          <w:sz w:val="22"/>
          <w:szCs w:val="22"/>
        </w:rPr>
        <w:t>Division 3</w:t>
      </w:r>
      <w:r>
        <w:rPr>
          <w:sz w:val="22"/>
          <w:szCs w:val="22"/>
        </w:rPr>
        <w:t> — </w:t>
      </w:r>
      <w:r>
        <w:rPr>
          <w:rStyle w:val="CharSDivText"/>
          <w:sz w:val="22"/>
          <w:szCs w:val="22"/>
        </w:rPr>
        <w:t>Other applications</w:t>
      </w:r>
      <w:bookmarkEnd w:id="281"/>
      <w:bookmarkEnd w:id="282"/>
      <w:bookmarkEnd w:id="283"/>
      <w:bookmarkEnd w:id="284"/>
    </w:p>
    <w:tbl>
      <w:tblPr>
        <w:tblW w:w="6775" w:type="dxa"/>
        <w:tblInd w:w="284" w:type="dxa"/>
        <w:tblLayout w:type="fixed"/>
        <w:tblCellMar>
          <w:left w:w="113" w:type="dxa"/>
          <w:right w:w="113" w:type="dxa"/>
        </w:tblCellMar>
        <w:tblLook w:val="0000" w:firstRow="0" w:lastRow="0" w:firstColumn="0" w:lastColumn="0" w:noHBand="0" w:noVBand="0"/>
      </w:tblPr>
      <w:tblGrid>
        <w:gridCol w:w="822"/>
        <w:gridCol w:w="4252"/>
        <w:gridCol w:w="1701"/>
      </w:tblGrid>
      <w:tr>
        <w:tc>
          <w:tcPr>
            <w:tcW w:w="822" w:type="dxa"/>
            <w:tcBorders>
              <w:top w:val="single" w:sz="4" w:space="0" w:color="auto"/>
              <w:bottom w:val="single" w:sz="4" w:space="0" w:color="auto"/>
            </w:tcBorders>
          </w:tcPr>
          <w:p>
            <w:pPr>
              <w:pStyle w:val="yTableNAm"/>
              <w:keepNext/>
              <w:keepLines/>
              <w:rPr>
                <w:szCs w:val="22"/>
              </w:rPr>
            </w:pPr>
            <w:r>
              <w:rPr>
                <w:b/>
                <w:bCs/>
                <w:szCs w:val="22"/>
              </w:rPr>
              <w:t>Item</w:t>
            </w:r>
          </w:p>
        </w:tc>
        <w:tc>
          <w:tcPr>
            <w:tcW w:w="4252" w:type="dxa"/>
            <w:tcBorders>
              <w:top w:val="single" w:sz="4" w:space="0" w:color="auto"/>
              <w:bottom w:val="single" w:sz="4" w:space="0" w:color="auto"/>
            </w:tcBorders>
          </w:tcPr>
          <w:p>
            <w:pPr>
              <w:pStyle w:val="yTableNAm"/>
              <w:keepNext/>
              <w:keepLines/>
              <w:jc w:val="center"/>
              <w:rPr>
                <w:szCs w:val="22"/>
              </w:rPr>
            </w:pPr>
            <w:r>
              <w:rPr>
                <w:b/>
                <w:bCs/>
                <w:szCs w:val="22"/>
              </w:rPr>
              <w:t>Application</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jc w:val="center"/>
              <w:rPr>
                <w:sz w:val="22"/>
                <w:szCs w:val="22"/>
              </w:rPr>
            </w:pPr>
            <w:r>
              <w:rPr>
                <w:b/>
                <w:bCs/>
                <w:sz w:val="22"/>
                <w:szCs w:val="22"/>
              </w:rPr>
              <w:t>Fee</w:t>
            </w:r>
          </w:p>
        </w:tc>
      </w:tr>
      <w:tr>
        <w:tc>
          <w:tcPr>
            <w:tcW w:w="822" w:type="dxa"/>
            <w:tcBorders>
              <w:top w:val="single" w:sz="4" w:space="0" w:color="auto"/>
              <w:bottom w:val="single" w:sz="4" w:space="0" w:color="auto"/>
            </w:tcBorders>
          </w:tcPr>
          <w:p>
            <w:pPr>
              <w:pStyle w:val="yTableNAm"/>
              <w:keepNext/>
              <w:keepLines/>
              <w:rPr>
                <w:szCs w:val="22"/>
              </w:rPr>
            </w:pPr>
            <w:r>
              <w:rPr>
                <w:szCs w:val="22"/>
              </w:rPr>
              <w:t>1.</w:t>
            </w:r>
          </w:p>
        </w:tc>
        <w:tc>
          <w:tcPr>
            <w:tcW w:w="4252"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701"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6"/>
          <w:headerReference w:type="default" r:id="rId27"/>
          <w:pgSz w:w="11907" w:h="16840" w:code="9"/>
          <w:pgMar w:top="2381" w:right="2410" w:bottom="3544" w:left="2410" w:header="720" w:footer="3380" w:gutter="0"/>
          <w:cols w:space="720"/>
          <w:docGrid w:linePitch="78"/>
        </w:sectPr>
      </w:pPr>
    </w:p>
    <w:p>
      <w:pPr>
        <w:pStyle w:val="yScheduleHeading"/>
      </w:pPr>
      <w:bookmarkStart w:id="285" w:name="_Toc320625199"/>
      <w:bookmarkStart w:id="286" w:name="_Toc320625563"/>
      <w:bookmarkStart w:id="287" w:name="_Toc320625838"/>
      <w:bookmarkStart w:id="288" w:name="_Toc320697878"/>
      <w:r>
        <w:rPr>
          <w:rStyle w:val="CharSchNo"/>
        </w:rPr>
        <w:t>Schedule 3</w:t>
      </w:r>
      <w:r>
        <w:t> — </w:t>
      </w:r>
      <w:r>
        <w:rPr>
          <w:rStyle w:val="CharSchText"/>
        </w:rPr>
        <w:t>Inspections or tests of systems</w:t>
      </w:r>
      <w:bookmarkEnd w:id="285"/>
      <w:bookmarkEnd w:id="286"/>
      <w:bookmarkEnd w:id="287"/>
      <w:bookmarkEnd w:id="288"/>
    </w:p>
    <w:p>
      <w:pPr>
        <w:pStyle w:val="yShoulderClause"/>
      </w:pPr>
      <w:r>
        <w:t>[r. 27]</w:t>
      </w:r>
    </w:p>
    <w:p>
      <w:pPr>
        <w:pStyle w:val="yHeading5"/>
      </w:pPr>
      <w:bookmarkStart w:id="289" w:name="_Toc320625200"/>
      <w:bookmarkStart w:id="290" w:name="_Toc320697879"/>
      <w:r>
        <w:rPr>
          <w:rStyle w:val="CharSClsNo"/>
        </w:rPr>
        <w:t>1</w:t>
      </w:r>
      <w:r>
        <w:t>.</w:t>
      </w:r>
      <w:r>
        <w:tab/>
        <w:t>Term used: EP</w:t>
      </w:r>
      <w:bookmarkEnd w:id="289"/>
      <w:bookmarkEnd w:id="290"/>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544"/>
      </w:tblGrid>
      <w:tr>
        <w:trPr>
          <w:tblHeader/>
        </w:trPr>
        <w:tc>
          <w:tcPr>
            <w:tcW w:w="3402" w:type="dxa"/>
          </w:tcPr>
          <w:p>
            <w:pPr>
              <w:pStyle w:val="yTableNAm"/>
              <w:jc w:val="center"/>
              <w:rPr>
                <w:b/>
                <w:bCs/>
              </w:rPr>
            </w:pPr>
            <w:r>
              <w:rPr>
                <w:b/>
                <w:bCs/>
              </w:rPr>
              <w:t>Column 1</w:t>
            </w:r>
          </w:p>
          <w:p>
            <w:pPr>
              <w:pStyle w:val="yTableNAm"/>
              <w:jc w:val="center"/>
              <w:rPr>
                <w:b/>
                <w:bCs/>
              </w:rPr>
            </w:pPr>
            <w:r>
              <w:rPr>
                <w:b/>
                <w:bCs/>
              </w:rPr>
              <w:t>System to be tested</w:t>
            </w:r>
          </w:p>
        </w:tc>
        <w:tc>
          <w:tcPr>
            <w:tcW w:w="3544" w:type="dxa"/>
          </w:tcPr>
          <w:p>
            <w:pPr>
              <w:pStyle w:val="yTableNAm"/>
              <w:jc w:val="center"/>
              <w:rPr>
                <w:b/>
                <w:bCs/>
              </w:rPr>
            </w:pPr>
            <w:r>
              <w:rPr>
                <w:b/>
                <w:bCs/>
              </w:rPr>
              <w:t>Column 2</w:t>
            </w:r>
          </w:p>
          <w:p>
            <w:pPr>
              <w:pStyle w:val="yTableNAm"/>
              <w:jc w:val="center"/>
              <w:rPr>
                <w:b/>
                <w:bCs/>
              </w:rPr>
            </w:pPr>
            <w:r>
              <w:rPr>
                <w:b/>
                <w:bCs/>
              </w:rPr>
              <w:t>When test to be conducted</w:t>
            </w:r>
          </w:p>
        </w:tc>
      </w:tr>
      <w:tr>
        <w:tc>
          <w:tcPr>
            <w:tcW w:w="3402" w:type="dxa"/>
          </w:tcPr>
          <w:p>
            <w:pPr>
              <w:pStyle w:val="yTableNAm"/>
            </w:pPr>
            <w:r>
              <w:t>Fire hose reel system required under EP1.1 and EP1.5</w:t>
            </w:r>
          </w:p>
        </w:tc>
        <w:tc>
          <w:tcPr>
            <w:tcW w:w="3544" w:type="dxa"/>
          </w:tcPr>
          <w:p>
            <w:pPr>
              <w:pStyle w:val="yTableNAm"/>
            </w:pPr>
            <w:r>
              <w:t>On completion of the installation of the system</w:t>
            </w:r>
          </w:p>
        </w:tc>
      </w:tr>
      <w:tr>
        <w:tc>
          <w:tcPr>
            <w:tcW w:w="3402" w:type="dxa"/>
          </w:tcPr>
          <w:p>
            <w:pPr>
              <w:pStyle w:val="yTableNAm"/>
            </w:pPr>
            <w:r>
              <w:t>Fire hydrant system required under EP1.1 and EP1.5</w:t>
            </w:r>
          </w:p>
        </w:tc>
        <w:tc>
          <w:tcPr>
            <w:tcW w:w="3544" w:type="dxa"/>
          </w:tcPr>
          <w:p>
            <w:pPr>
              <w:pStyle w:val="yTableNAm"/>
            </w:pPr>
            <w:r>
              <w:t>On completion of the installation of the system</w:t>
            </w:r>
          </w:p>
        </w:tc>
      </w:tr>
      <w:tr>
        <w:tc>
          <w:tcPr>
            <w:tcW w:w="3402" w:type="dxa"/>
          </w:tcPr>
          <w:p>
            <w:pPr>
              <w:pStyle w:val="yTableNAm"/>
            </w:pPr>
            <w:r>
              <w:t>Automatic fire suppression system required under EP1.4</w:t>
            </w:r>
          </w:p>
        </w:tc>
        <w:tc>
          <w:tcPr>
            <w:tcW w:w="3544" w:type="dxa"/>
          </w:tcPr>
          <w:p>
            <w:pPr>
              <w:pStyle w:val="yTableNAm"/>
            </w:pPr>
            <w:r>
              <w:t>On completion of the installation of the system</w:t>
            </w:r>
          </w:p>
        </w:tc>
      </w:tr>
      <w:tr>
        <w:tc>
          <w:tcPr>
            <w:tcW w:w="3402" w:type="dxa"/>
          </w:tcPr>
          <w:p>
            <w:pPr>
              <w:pStyle w:val="yTableNAm"/>
            </w:pPr>
            <w:r>
              <w:t>Fire detection, warning, control and intercom systems required under EP2.1 and EP2.2</w:t>
            </w:r>
          </w:p>
        </w:tc>
        <w:tc>
          <w:tcPr>
            <w:tcW w:w="3544" w:type="dxa"/>
          </w:tcPr>
          <w:p>
            <w:pPr>
              <w:pStyle w:val="yTableNAm"/>
            </w:pPr>
            <w:r>
              <w:t>On completion of the installation of the system</w:t>
            </w:r>
          </w:p>
        </w:tc>
      </w:tr>
      <w:tr>
        <w:tc>
          <w:tcPr>
            <w:tcW w:w="3402" w:type="dxa"/>
          </w:tcPr>
          <w:p>
            <w:pPr>
              <w:pStyle w:val="yTableNAm"/>
            </w:pPr>
            <w:r>
              <w:t>Air handling systems that incorporate smoke control provisions required under EP2.2</w:t>
            </w:r>
          </w:p>
        </w:tc>
        <w:tc>
          <w:tcPr>
            <w:tcW w:w="3544" w:type="dxa"/>
          </w:tcPr>
          <w:p>
            <w:pPr>
              <w:pStyle w:val="yTableNAm"/>
            </w:pPr>
            <w:r>
              <w:t>On completion of the building work</w:t>
            </w:r>
          </w:p>
        </w:tc>
      </w:tr>
      <w:tr>
        <w:tc>
          <w:tcPr>
            <w:tcW w:w="3402" w:type="dxa"/>
          </w:tcPr>
          <w:p>
            <w:pPr>
              <w:pStyle w:val="yTableNAm"/>
            </w:pPr>
            <w:r>
              <w:t>Smoke/heat venting systems required under EP2.2</w:t>
            </w:r>
          </w:p>
        </w:tc>
        <w:tc>
          <w:tcPr>
            <w:tcW w:w="3544" w:type="dxa"/>
          </w:tcPr>
          <w:p>
            <w:pPr>
              <w:pStyle w:val="yTableNAm"/>
            </w:pPr>
            <w:r>
              <w:t>On completion of the installation of the system</w:t>
            </w:r>
          </w:p>
        </w:tc>
      </w:tr>
      <w:tr>
        <w:tc>
          <w:tcPr>
            <w:tcW w:w="3402" w:type="dxa"/>
          </w:tcPr>
          <w:p>
            <w:pPr>
              <w:pStyle w:val="yTableNAm"/>
            </w:pPr>
            <w:r>
              <w:t>Sound systems and intercom systems for emergency purposes required under EP4.3</w:t>
            </w:r>
          </w:p>
        </w:tc>
        <w:tc>
          <w:tcPr>
            <w:tcW w:w="3544" w:type="dxa"/>
          </w:tcPr>
          <w:p>
            <w:pPr>
              <w:pStyle w:val="yTableNAm"/>
            </w:pPr>
            <w:r>
              <w:t>On completion of the installation of the system</w:t>
            </w:r>
          </w:p>
        </w:tc>
      </w:tr>
    </w:tbl>
    <w:p>
      <w:pPr>
        <w:sectPr>
          <w:headerReference w:type="even" r:id="rId28"/>
          <w:headerReference w:type="default" r:id="rId29"/>
          <w:pgSz w:w="11907" w:h="16840" w:code="9"/>
          <w:pgMar w:top="2381" w:right="2410" w:bottom="3544" w:left="2410" w:header="720" w:footer="3380" w:gutter="0"/>
          <w:cols w:space="720"/>
          <w:docGrid w:linePitch="78"/>
        </w:sectPr>
      </w:pPr>
      <w:bookmarkStart w:id="291" w:name="_Toc308532497"/>
      <w:bookmarkStart w:id="292" w:name="_Toc308532582"/>
      <w:bookmarkStart w:id="293" w:name="_Toc308601871"/>
      <w:bookmarkStart w:id="294" w:name="_Toc309051609"/>
      <w:bookmarkStart w:id="295" w:name="_Toc309907294"/>
      <w:bookmarkStart w:id="296" w:name="_Toc309907380"/>
      <w:bookmarkStart w:id="297" w:name="_Toc309911998"/>
      <w:bookmarkStart w:id="298" w:name="_Toc309914706"/>
    </w:p>
    <w:p>
      <w:pPr>
        <w:pStyle w:val="yScheduleHeading"/>
      </w:pPr>
      <w:bookmarkStart w:id="299" w:name="_Toc320625201"/>
      <w:bookmarkStart w:id="300" w:name="_Toc320625565"/>
      <w:bookmarkStart w:id="301" w:name="_Toc320625840"/>
      <w:bookmarkStart w:id="302" w:name="_Toc320697880"/>
      <w:bookmarkEnd w:id="291"/>
      <w:bookmarkEnd w:id="292"/>
      <w:bookmarkEnd w:id="293"/>
      <w:bookmarkEnd w:id="294"/>
      <w:bookmarkEnd w:id="295"/>
      <w:bookmarkEnd w:id="296"/>
      <w:bookmarkEnd w:id="297"/>
      <w:bookmarkEnd w:id="298"/>
      <w:r>
        <w:rPr>
          <w:rStyle w:val="CharSchNo"/>
        </w:rPr>
        <w:t>Schedule 4</w:t>
      </w:r>
      <w:r>
        <w:t> — </w:t>
      </w:r>
      <w:r>
        <w:rPr>
          <w:rStyle w:val="CharSchText"/>
        </w:rPr>
        <w:t>Building work that does not require building permit</w:t>
      </w:r>
      <w:bookmarkEnd w:id="299"/>
      <w:bookmarkEnd w:id="300"/>
      <w:bookmarkEnd w:id="301"/>
      <w:bookmarkEnd w:id="302"/>
    </w:p>
    <w:p>
      <w:pPr>
        <w:pStyle w:val="yShoulderClause"/>
      </w:pPr>
      <w:r>
        <w:t>[r. 41]</w:t>
      </w:r>
    </w:p>
    <w:p>
      <w:pPr>
        <w:pStyle w:val="yHeading5"/>
        <w:rPr>
          <w:rStyle w:val="CharSDivText"/>
        </w:rPr>
      </w:pPr>
      <w:bookmarkStart w:id="303" w:name="_Toc320625202"/>
      <w:bookmarkStart w:id="304" w:name="_Toc320697881"/>
      <w:r>
        <w:rPr>
          <w:rStyle w:val="CharSClsNo"/>
        </w:rPr>
        <w:t>1</w:t>
      </w:r>
      <w:r>
        <w:t>.</w:t>
      </w:r>
      <w:r>
        <w:tab/>
      </w:r>
      <w:r>
        <w:rPr>
          <w:rStyle w:val="CharSDivText"/>
        </w:rPr>
        <w:t>Areas where building permit not required for certain work</w:t>
      </w:r>
      <w:bookmarkEnd w:id="303"/>
      <w:bookmarkEnd w:id="304"/>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2551"/>
        <w:gridCol w:w="2552"/>
      </w:tblGrid>
      <w:tr>
        <w:trPr>
          <w:tblHeader/>
        </w:trPr>
        <w:tc>
          <w:tcPr>
            <w:tcW w:w="1701" w:type="dxa"/>
            <w:tcBorders>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2551" w:type="dxa"/>
            <w:tcBorders>
              <w:bottom w:val="single" w:sz="4" w:space="0" w:color="auto"/>
            </w:tcBorders>
          </w:tcPr>
          <w:p>
            <w:pPr>
              <w:pStyle w:val="yTableNAm"/>
              <w:jc w:val="center"/>
              <w:rPr>
                <w:b/>
                <w:bCs/>
              </w:rPr>
            </w:pPr>
            <w:r>
              <w:rPr>
                <w:b/>
                <w:bCs/>
              </w:rPr>
              <w:t>Column 2</w:t>
            </w:r>
          </w:p>
          <w:p>
            <w:pPr>
              <w:pStyle w:val="yTableNAm"/>
              <w:jc w:val="center"/>
              <w:rPr>
                <w:b/>
                <w:bCs/>
              </w:rPr>
            </w:pPr>
            <w:r>
              <w:rPr>
                <w:b/>
                <w:bCs/>
              </w:rPr>
              <w:t>Area where building permit not required for building work for Class 10 building or incidental structure</w:t>
            </w:r>
          </w:p>
        </w:tc>
        <w:tc>
          <w:tcPr>
            <w:tcW w:w="2552" w:type="dxa"/>
            <w:tcBorders>
              <w:bottom w:val="single" w:sz="4" w:space="0" w:color="auto"/>
            </w:tcBorders>
          </w:tcPr>
          <w:p>
            <w:pPr>
              <w:pStyle w:val="yTableNAm"/>
              <w:jc w:val="center"/>
              <w:rPr>
                <w:b/>
                <w:bCs/>
              </w:rPr>
            </w:pPr>
            <w:r>
              <w:rPr>
                <w:b/>
                <w:bCs/>
              </w:rPr>
              <w:t>Column 3</w:t>
            </w:r>
          </w:p>
          <w:p>
            <w:pPr>
              <w:pStyle w:val="yTableNAm"/>
              <w:jc w:val="center"/>
              <w:rPr>
                <w:b/>
                <w:bCs/>
              </w:rPr>
            </w:pPr>
            <w:r>
              <w:rPr>
                <w:b/>
                <w:bCs/>
              </w:rPr>
              <w:t>Area where building permit not required for building work for building other than Class 10 building or incidental structure</w:t>
            </w:r>
          </w:p>
        </w:tc>
      </w:tr>
      <w:tr>
        <w:trPr>
          <w:cantSplit/>
        </w:trPr>
        <w:tc>
          <w:tcPr>
            <w:tcW w:w="1701" w:type="dxa"/>
            <w:tcBorders>
              <w:bottom w:val="nil"/>
            </w:tcBorders>
          </w:tcPr>
          <w:p>
            <w:pPr>
              <w:pStyle w:val="yTableNAm"/>
            </w:pPr>
            <w:r>
              <w:t>Broomehill</w:t>
            </w:r>
          </w:p>
        </w:tc>
        <w:tc>
          <w:tcPr>
            <w:tcW w:w="2551" w:type="dxa"/>
            <w:tcBorders>
              <w:bottom w:val="nil"/>
            </w:tcBorders>
          </w:tcPr>
          <w:p>
            <w:pPr>
              <w:pStyle w:val="ySubsection"/>
              <w:tabs>
                <w:tab w:val="clear" w:pos="595"/>
                <w:tab w:val="clear" w:pos="879"/>
                <w:tab w:val="right" w:pos="0"/>
                <w:tab w:val="left" w:pos="749"/>
                <w:tab w:val="left" w:pos="1139"/>
              </w:tabs>
              <w:ind w:left="0" w:firstLine="0"/>
            </w:pPr>
            <w:r>
              <w:t xml:space="preserve">Whole district other than — </w:t>
            </w:r>
          </w:p>
          <w:p>
            <w:pPr>
              <w:pStyle w:val="yTableNAm"/>
              <w:tabs>
                <w:tab w:val="left" w:pos="459"/>
                <w:tab w:val="left" w:pos="1139"/>
              </w:tabs>
              <w:ind w:left="34"/>
            </w:pPr>
            <w:r>
              <w:t>(a)</w:t>
            </w:r>
            <w:r>
              <w:tab/>
              <w:t>townsites;</w:t>
            </w:r>
          </w:p>
        </w:tc>
        <w:tc>
          <w:tcPr>
            <w:tcW w:w="2552" w:type="dxa"/>
            <w:tcBorders>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552" w:type="dxa"/>
            <w:tcBorders>
              <w:top w:val="nil"/>
              <w:bottom w:val="nil"/>
            </w:tcBorders>
          </w:tcPr>
          <w:p>
            <w:pPr>
              <w:pStyle w:val="yTableNAm"/>
            </w:pPr>
          </w:p>
        </w:tc>
      </w:tr>
      <w:tr>
        <w:trPr>
          <w:cantSplit/>
        </w:trPr>
        <w:tc>
          <w:tcPr>
            <w:tcW w:w="1701" w:type="dxa"/>
            <w:tcBorders>
              <w:top w:val="nil"/>
              <w:bottom w:val="nil"/>
            </w:tcBorders>
          </w:tcPr>
          <w:p>
            <w:pPr>
              <w:pStyle w:val="yTableNAm"/>
            </w:pPr>
          </w:p>
        </w:tc>
        <w:tc>
          <w:tcPr>
            <w:tcW w:w="2551" w:type="dxa"/>
            <w:tcBorders>
              <w:top w:val="nil"/>
              <w:bottom w:val="nil"/>
            </w:tcBorders>
          </w:tcPr>
          <w:p>
            <w:pPr>
              <w:pStyle w:val="yTableNAm"/>
              <w:tabs>
                <w:tab w:val="clear" w:pos="567"/>
                <w:tab w:val="left" w:pos="459"/>
              </w:tabs>
              <w:spacing w:before="0"/>
              <w:ind w:left="459" w:hanging="459"/>
            </w:pPr>
            <w:r>
              <w:t>(d)</w:t>
            </w:r>
            <w:r>
              <w:tab/>
              <w:t>Kojonup Location 1671;</w:t>
            </w:r>
          </w:p>
        </w:tc>
        <w:tc>
          <w:tcPr>
            <w:tcW w:w="2552" w:type="dxa"/>
            <w:tcBorders>
              <w:top w:val="nil"/>
              <w:bottom w:val="nil"/>
            </w:tcBorders>
          </w:tcPr>
          <w:p>
            <w:pPr>
              <w:pStyle w:val="yTableNAm"/>
            </w:pPr>
          </w:p>
        </w:tc>
      </w:tr>
      <w:tr>
        <w:trPr>
          <w:cantSplit/>
        </w:trPr>
        <w:tc>
          <w:tcPr>
            <w:tcW w:w="1701" w:type="dxa"/>
            <w:tcBorders>
              <w:top w:val="nil"/>
              <w:bottom w:val="single" w:sz="4" w:space="0" w:color="auto"/>
            </w:tcBorders>
          </w:tcPr>
          <w:p>
            <w:pPr>
              <w:pStyle w:val="yTableNAm"/>
            </w:pPr>
          </w:p>
        </w:tc>
        <w:tc>
          <w:tcPr>
            <w:tcW w:w="2551"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552" w:type="dxa"/>
            <w:tcBorders>
              <w:top w:val="nil"/>
              <w:bottom w:val="single" w:sz="4" w:space="0" w:color="auto"/>
            </w:tcBorders>
          </w:tcPr>
          <w:p>
            <w:pPr>
              <w:pStyle w:val="yTableNAm"/>
            </w:pPr>
          </w:p>
        </w:tc>
      </w:tr>
      <w:tr>
        <w:trPr>
          <w:cantSplit/>
        </w:trPr>
        <w:tc>
          <w:tcPr>
            <w:tcW w:w="1701" w:type="dxa"/>
            <w:tcBorders>
              <w:top w:val="single" w:sz="4" w:space="0" w:color="auto"/>
            </w:tcBorders>
          </w:tcPr>
          <w:p>
            <w:pPr>
              <w:pStyle w:val="yTableNAm"/>
            </w:pPr>
            <w:r>
              <w:t>Bruce Rock</w:t>
            </w:r>
          </w:p>
        </w:tc>
        <w:tc>
          <w:tcPr>
            <w:tcW w:w="2551" w:type="dxa"/>
            <w:tcBorders>
              <w:top w:val="single" w:sz="4" w:space="0" w:color="auto"/>
            </w:tcBorders>
          </w:tcPr>
          <w:p>
            <w:pPr>
              <w:pStyle w:val="yTableNAm"/>
            </w:pPr>
            <w:r>
              <w:t>Whole district other than townsites</w:t>
            </w:r>
          </w:p>
        </w:tc>
        <w:tc>
          <w:tcPr>
            <w:tcW w:w="2552" w:type="dxa"/>
            <w:tcBorders>
              <w:top w:val="single" w:sz="4" w:space="0" w:color="auto"/>
            </w:tcBorders>
          </w:tcPr>
          <w:p>
            <w:pPr>
              <w:pStyle w:val="yTableNAm"/>
            </w:pPr>
          </w:p>
        </w:tc>
      </w:tr>
      <w:tr>
        <w:trPr>
          <w:cantSplit/>
        </w:trPr>
        <w:tc>
          <w:tcPr>
            <w:tcW w:w="1701" w:type="dxa"/>
          </w:tcPr>
          <w:p>
            <w:pPr>
              <w:pStyle w:val="yTableNAm"/>
            </w:pPr>
            <w:r>
              <w:t>Carnarvon</w:t>
            </w:r>
          </w:p>
        </w:tc>
        <w:tc>
          <w:tcPr>
            <w:tcW w:w="2551" w:type="dxa"/>
          </w:tcPr>
          <w:p>
            <w:pPr>
              <w:pStyle w:val="yTableNAm"/>
            </w:pPr>
            <w:r>
              <w:t>Gascoyne</w:t>
            </w:r>
            <w:r>
              <w:noBreakHyphen/>
              <w:t>Minilya Ward</w:t>
            </w:r>
          </w:p>
        </w:tc>
        <w:tc>
          <w:tcPr>
            <w:tcW w:w="2552" w:type="dxa"/>
          </w:tcPr>
          <w:p>
            <w:pPr>
              <w:pStyle w:val="yTableNAm"/>
            </w:pPr>
          </w:p>
        </w:tc>
      </w:tr>
      <w:tr>
        <w:trPr>
          <w:cantSplit/>
        </w:trPr>
        <w:tc>
          <w:tcPr>
            <w:tcW w:w="1701" w:type="dxa"/>
          </w:tcPr>
          <w:p>
            <w:pPr>
              <w:pStyle w:val="yTableNAm"/>
            </w:pPr>
            <w:r>
              <w:t>Corrigin</w:t>
            </w:r>
          </w:p>
        </w:tc>
        <w:tc>
          <w:tcPr>
            <w:tcW w:w="2551" w:type="dxa"/>
          </w:tcPr>
          <w:p>
            <w:pPr>
              <w:pStyle w:val="yTableNAm"/>
            </w:pPr>
            <w:r>
              <w:t>Whole district other than townsite of Corrigin</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ity">
                <w:r>
                  <w:t>Cranbrook</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Cue</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Cunderdin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Dalwallinu</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Dandaragan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Dowerin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Dumbleyung</w:t>
            </w:r>
          </w:p>
        </w:tc>
        <w:tc>
          <w:tcPr>
            <w:tcW w:w="2551" w:type="dxa"/>
          </w:tcPr>
          <w:p>
            <w:pPr>
              <w:pStyle w:val="yTableNAm"/>
            </w:pPr>
            <w:r>
              <w:t>Whole district other than townsites of Dumbleyung, Kukerin</w:t>
            </w:r>
          </w:p>
        </w:tc>
        <w:tc>
          <w:tcPr>
            <w:tcW w:w="2552" w:type="dxa"/>
          </w:tcPr>
          <w:p>
            <w:pPr>
              <w:pStyle w:val="yTableNAm"/>
            </w:pPr>
          </w:p>
        </w:tc>
      </w:tr>
      <w:tr>
        <w:trPr>
          <w:cantSplit/>
        </w:trPr>
        <w:tc>
          <w:tcPr>
            <w:tcW w:w="1701" w:type="dxa"/>
          </w:tcPr>
          <w:p>
            <w:pPr>
              <w:pStyle w:val="yTableNAm"/>
            </w:pPr>
            <w:r>
              <w:t>Esperance</w:t>
            </w:r>
          </w:p>
        </w:tc>
        <w:tc>
          <w:tcPr>
            <w:tcW w:w="2551" w:type="dxa"/>
          </w:tcPr>
          <w:p>
            <w:pPr>
              <w:pStyle w:val="yTableNAm"/>
            </w:pPr>
            <w:r>
              <w:t xml:space="preserve">Whole district other than — </w:t>
            </w:r>
          </w:p>
          <w:p>
            <w:pPr>
              <w:pStyle w:val="yTableNAm"/>
              <w:tabs>
                <w:tab w:val="left" w:pos="459"/>
                <w:tab w:val="left" w:pos="1139"/>
              </w:tabs>
              <w:ind w:left="34"/>
            </w:pPr>
            <w:r>
              <w:t>(a)</w:t>
            </w:r>
            <w:r>
              <w:tab/>
              <w:t>townsites;</w:t>
            </w:r>
          </w:p>
          <w:p>
            <w:pPr>
              <w:pStyle w:val="yTableNAm"/>
              <w:tabs>
                <w:tab w:val="clear" w:pos="567"/>
                <w:tab w:val="left" w:pos="499"/>
              </w:tabs>
              <w:ind w:left="485" w:hanging="451"/>
            </w:pPr>
            <w:r>
              <w:t>(b)</w:t>
            </w:r>
            <w:r>
              <w:tab/>
              <w:t>lots measuring 10 ha or less</w:t>
            </w:r>
          </w:p>
        </w:tc>
        <w:tc>
          <w:tcPr>
            <w:tcW w:w="2552" w:type="dxa"/>
          </w:tcPr>
          <w:p>
            <w:pPr>
              <w:pStyle w:val="yTableNAm"/>
            </w:pPr>
          </w:p>
        </w:tc>
      </w:tr>
      <w:tr>
        <w:trPr>
          <w:cantSplit/>
        </w:trPr>
        <w:tc>
          <w:tcPr>
            <w:tcW w:w="1701" w:type="dxa"/>
          </w:tcPr>
          <w:p>
            <w:pPr>
              <w:pStyle w:val="yTableNAm"/>
            </w:pPr>
            <w:r>
              <w:t>Gnowangerup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Greater Geraldton</w:t>
            </w:r>
          </w:p>
        </w:tc>
        <w:tc>
          <w:tcPr>
            <w:tcW w:w="2551" w:type="dxa"/>
          </w:tcPr>
          <w:p>
            <w:pPr>
              <w:pStyle w:val="yTableNAm"/>
            </w:pPr>
            <w:r>
              <w:t>Mullewa Ward other than townsites</w:t>
            </w:r>
          </w:p>
        </w:tc>
        <w:tc>
          <w:tcPr>
            <w:tcW w:w="2552" w:type="dxa"/>
          </w:tcPr>
          <w:p>
            <w:pPr>
              <w:pStyle w:val="yTableNAm"/>
            </w:pPr>
          </w:p>
        </w:tc>
      </w:tr>
      <w:tr>
        <w:trPr>
          <w:cantSplit/>
        </w:trPr>
        <w:tc>
          <w:tcPr>
            <w:tcW w:w="1701" w:type="dxa"/>
          </w:tcPr>
          <w:p>
            <w:pPr>
              <w:pStyle w:val="yTableNAm"/>
            </w:pPr>
            <w:r>
              <w:t>Jerramungup</w:t>
            </w:r>
          </w:p>
        </w:tc>
        <w:tc>
          <w:tcPr>
            <w:tcW w:w="2551" w:type="dxa"/>
          </w:tcPr>
          <w:p>
            <w:pPr>
              <w:pStyle w:val="yTableNAm"/>
            </w:pPr>
            <w:r>
              <w:t>Areas zoned rural by a local planning scheme</w:t>
            </w:r>
          </w:p>
        </w:tc>
        <w:tc>
          <w:tcPr>
            <w:tcW w:w="2552" w:type="dxa"/>
          </w:tcPr>
          <w:p>
            <w:pPr>
              <w:pStyle w:val="yTableNAm"/>
            </w:pPr>
          </w:p>
        </w:tc>
      </w:tr>
      <w:tr>
        <w:trPr>
          <w:cantSplit/>
        </w:trPr>
        <w:tc>
          <w:tcPr>
            <w:tcW w:w="1701" w:type="dxa"/>
          </w:tcPr>
          <w:p>
            <w:pPr>
              <w:pStyle w:val="yTableNAm"/>
            </w:pPr>
            <w:r>
              <w:t>Kellerberrin</w:t>
            </w:r>
          </w:p>
        </w:tc>
        <w:tc>
          <w:tcPr>
            <w:tcW w:w="2551" w:type="dxa"/>
          </w:tcPr>
          <w:p>
            <w:pPr>
              <w:pStyle w:val="yTableNAm"/>
            </w:pPr>
            <w:r>
              <w:t>Whole district other than townsites of Kellerberrin, Doodlakine and Baandee</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country-region">
                <w:r>
                  <w:t>Kent</w:t>
                </w:r>
              </w:smartTag>
            </w:smartTag>
          </w:p>
        </w:tc>
        <w:tc>
          <w:tcPr>
            <w:tcW w:w="2551" w:type="dxa"/>
          </w:tcPr>
          <w:p>
            <w:pPr>
              <w:pStyle w:val="yTableNAm"/>
            </w:pPr>
            <w:r>
              <w:t>Whole district other than townsites of Nyabing, Pingrup</w:t>
            </w:r>
          </w:p>
        </w:tc>
        <w:tc>
          <w:tcPr>
            <w:tcW w:w="2552" w:type="dxa"/>
          </w:tcPr>
          <w:p>
            <w:pPr>
              <w:pStyle w:val="yTableNAm"/>
            </w:pPr>
            <w:r>
              <w:t>Whole district other than townsites of Nyabing, Pingrup</w:t>
            </w:r>
          </w:p>
        </w:tc>
      </w:tr>
      <w:tr>
        <w:trPr>
          <w:cantSplit/>
        </w:trPr>
        <w:tc>
          <w:tcPr>
            <w:tcW w:w="1701" w:type="dxa"/>
          </w:tcPr>
          <w:p>
            <w:pPr>
              <w:pStyle w:val="yTableNAm"/>
            </w:pPr>
            <w:r>
              <w:t>Kojonup</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Koorda</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w:t>
            </w:r>
          </w:p>
          <w:p>
            <w:pPr>
              <w:pStyle w:val="yTableNAm"/>
              <w:tabs>
                <w:tab w:val="clear" w:pos="567"/>
                <w:tab w:val="left" w:pos="499"/>
              </w:tabs>
              <w:ind w:left="485" w:hanging="451"/>
            </w:pPr>
            <w:r>
              <w:t>(b)</w:t>
            </w:r>
            <w:r>
              <w:tab/>
            </w:r>
            <w:smartTag w:uri="urn:schemas-microsoft-com:office:smarttags" w:element="place">
              <w:r>
                <w:t>Avon</w:t>
              </w:r>
            </w:smartTag>
            <w:r>
              <w:t xml:space="preserve"> location 16386</w:t>
            </w:r>
          </w:p>
        </w:tc>
        <w:tc>
          <w:tcPr>
            <w:tcW w:w="2552" w:type="dxa"/>
          </w:tcPr>
          <w:p>
            <w:pPr>
              <w:pStyle w:val="yTableNAm"/>
            </w:pPr>
          </w:p>
        </w:tc>
      </w:tr>
      <w:tr>
        <w:trPr>
          <w:cantSplit/>
        </w:trPr>
        <w:tc>
          <w:tcPr>
            <w:tcW w:w="1701"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Laverton</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Leonora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Meekatharra</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Menzies</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Merredin</w:t>
            </w:r>
          </w:p>
        </w:tc>
        <w:tc>
          <w:tcPr>
            <w:tcW w:w="2551" w:type="dxa"/>
          </w:tcPr>
          <w:p>
            <w:pPr>
              <w:pStyle w:val="yTableNAm"/>
            </w:pPr>
            <w:r>
              <w:t>Whole district other than townsites of Burracoppin, Hines Hill, Korbel, Merredin, Muntadgin, Nangeenan, Nokaning, Nukarni</w:t>
            </w:r>
          </w:p>
        </w:tc>
        <w:tc>
          <w:tcPr>
            <w:tcW w:w="2552" w:type="dxa"/>
          </w:tcPr>
          <w:p>
            <w:pPr>
              <w:pStyle w:val="yTableNAm"/>
            </w:pPr>
          </w:p>
        </w:tc>
      </w:tr>
      <w:tr>
        <w:trPr>
          <w:cantSplit/>
        </w:trPr>
        <w:tc>
          <w:tcPr>
            <w:tcW w:w="1701" w:type="dxa"/>
          </w:tcPr>
          <w:p>
            <w:pPr>
              <w:pStyle w:val="yTableNAm"/>
            </w:pPr>
            <w:r>
              <w:t>Mingenew</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Moora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Morawa</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Marshall</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Mt Magnet</w:t>
            </w:r>
          </w:p>
        </w:tc>
        <w:tc>
          <w:tcPr>
            <w:tcW w:w="2551" w:type="dxa"/>
          </w:tcPr>
          <w:p>
            <w:pPr>
              <w:pStyle w:val="yTableNAm"/>
            </w:pPr>
            <w:r>
              <w:t>Whole district other than townsites</w:t>
            </w:r>
          </w:p>
        </w:tc>
        <w:tc>
          <w:tcPr>
            <w:tcW w:w="2552" w:type="dxa"/>
          </w:tcPr>
          <w:p>
            <w:pPr>
              <w:pStyle w:val="yTableNAm"/>
            </w:pPr>
            <w:r>
              <w:t>Whole district other than townsites</w:t>
            </w:r>
          </w:p>
        </w:tc>
      </w:tr>
      <w:tr>
        <w:trPr>
          <w:cantSplit/>
        </w:trPr>
        <w:tc>
          <w:tcPr>
            <w:tcW w:w="1701" w:type="dxa"/>
          </w:tcPr>
          <w:p>
            <w:pPr>
              <w:pStyle w:val="yTableNAm"/>
            </w:pPr>
            <w:r>
              <w:t>Mukinbudin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Murchison</w:t>
            </w:r>
          </w:p>
        </w:tc>
        <w:tc>
          <w:tcPr>
            <w:tcW w:w="2551" w:type="dxa"/>
          </w:tcPr>
          <w:p>
            <w:pPr>
              <w:pStyle w:val="yTableNAm"/>
            </w:pPr>
            <w:r>
              <w:t>Whole district</w:t>
            </w:r>
          </w:p>
        </w:tc>
        <w:tc>
          <w:tcPr>
            <w:tcW w:w="2552" w:type="dxa"/>
          </w:tcPr>
          <w:p>
            <w:pPr>
              <w:pStyle w:val="yTableNAm"/>
            </w:pPr>
            <w:r>
              <w:t>Whole district</w:t>
            </w:r>
          </w:p>
        </w:tc>
      </w:tr>
      <w:tr>
        <w:trPr>
          <w:cantSplit/>
        </w:trPr>
        <w:tc>
          <w:tcPr>
            <w:tcW w:w="1701" w:type="dxa"/>
          </w:tcPr>
          <w:p>
            <w:pPr>
              <w:pStyle w:val="yTableNAm"/>
            </w:pPr>
            <w:smartTag w:uri="urn:schemas-microsoft-com:office:smarttags" w:element="place">
              <w:smartTag w:uri="urn:schemas-microsoft-com:office:smarttags" w:element="City">
                <w:r>
                  <w:t>Murray</w:t>
                </w:r>
              </w:smartTag>
            </w:smartTag>
          </w:p>
        </w:tc>
        <w:tc>
          <w:tcPr>
            <w:tcW w:w="2551" w:type="dxa"/>
          </w:tcPr>
          <w:p>
            <w:pPr>
              <w:pStyle w:val="yTableNAm"/>
            </w:pPr>
            <w:r>
              <w:t>Areas zoned rural by local laws or a local planning scheme</w:t>
            </w:r>
          </w:p>
        </w:tc>
        <w:tc>
          <w:tcPr>
            <w:tcW w:w="2552" w:type="dxa"/>
          </w:tcPr>
          <w:p>
            <w:pPr>
              <w:pStyle w:val="yTableNAm"/>
            </w:pPr>
          </w:p>
        </w:tc>
      </w:tr>
      <w:tr>
        <w:trPr>
          <w:cantSplit/>
        </w:trPr>
        <w:tc>
          <w:tcPr>
            <w:tcW w:w="1701" w:type="dxa"/>
          </w:tcPr>
          <w:p>
            <w:pPr>
              <w:pStyle w:val="yTableNAm"/>
            </w:pPr>
            <w:r>
              <w:t>Narembeen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Narrogin (Shire)</w:t>
            </w:r>
          </w:p>
        </w:tc>
        <w:tc>
          <w:tcPr>
            <w:tcW w:w="2551" w:type="dxa"/>
          </w:tcPr>
          <w:p>
            <w:pPr>
              <w:pStyle w:val="yTableNAm"/>
            </w:pPr>
            <w:r>
              <w:t>Areas zoned for farming purposes by a local planning scheme</w:t>
            </w:r>
          </w:p>
        </w:tc>
        <w:tc>
          <w:tcPr>
            <w:tcW w:w="2552" w:type="dxa"/>
          </w:tcPr>
          <w:p>
            <w:pPr>
              <w:pStyle w:val="yTableNAm"/>
            </w:pPr>
          </w:p>
        </w:tc>
      </w:tr>
      <w:tr>
        <w:trPr>
          <w:cantSplit/>
        </w:trPr>
        <w:tc>
          <w:tcPr>
            <w:tcW w:w="1701" w:type="dxa"/>
          </w:tcPr>
          <w:p>
            <w:pPr>
              <w:pStyle w:val="yTableNAm"/>
            </w:pPr>
            <w:r>
              <w:t>Nungarin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Perenjori</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w:t>
            </w:r>
          </w:p>
          <w:p>
            <w:pPr>
              <w:pStyle w:val="yTableNAm"/>
              <w:tabs>
                <w:tab w:val="clear" w:pos="567"/>
                <w:tab w:val="left" w:pos="499"/>
              </w:tabs>
              <w:ind w:left="485" w:hanging="451"/>
            </w:pPr>
            <w:r>
              <w:t>(b)</w:t>
            </w:r>
            <w:r>
              <w:tab/>
              <w:t>areas subject to local planning schemes</w:t>
            </w:r>
          </w:p>
        </w:tc>
        <w:tc>
          <w:tcPr>
            <w:tcW w:w="2552" w:type="dxa"/>
          </w:tcPr>
          <w:p>
            <w:pPr>
              <w:pStyle w:val="yTableNAm"/>
            </w:pPr>
          </w:p>
        </w:tc>
      </w:tr>
      <w:tr>
        <w:trPr>
          <w:cantSplit/>
        </w:trPr>
        <w:tc>
          <w:tcPr>
            <w:tcW w:w="1701" w:type="dxa"/>
          </w:tcPr>
          <w:p>
            <w:pPr>
              <w:pStyle w:val="yTableNAm"/>
            </w:pPr>
            <w:r>
              <w:t>Port Hedland</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Ravensthorpe</w:t>
            </w:r>
          </w:p>
        </w:tc>
        <w:tc>
          <w:tcPr>
            <w:tcW w:w="2551" w:type="dxa"/>
          </w:tcPr>
          <w:p>
            <w:pPr>
              <w:pStyle w:val="yTableNAm"/>
            </w:pPr>
            <w:r>
              <w:t>Areas zoned general agricultural by a local planning scheme</w:t>
            </w:r>
          </w:p>
        </w:tc>
        <w:tc>
          <w:tcPr>
            <w:tcW w:w="2552" w:type="dxa"/>
          </w:tcPr>
          <w:p>
            <w:pPr>
              <w:pStyle w:val="yTableNAm"/>
            </w:pPr>
          </w:p>
        </w:tc>
      </w:tr>
      <w:tr>
        <w:trPr>
          <w:cantSplit/>
        </w:trPr>
        <w:tc>
          <w:tcPr>
            <w:tcW w:w="1701" w:type="dxa"/>
          </w:tcPr>
          <w:p>
            <w:pPr>
              <w:pStyle w:val="yTableNAm"/>
            </w:pPr>
            <w:r>
              <w:t>Sandstone</w:t>
            </w:r>
          </w:p>
        </w:tc>
        <w:tc>
          <w:tcPr>
            <w:tcW w:w="2551" w:type="dxa"/>
          </w:tcPr>
          <w:p>
            <w:pPr>
              <w:pStyle w:val="yTableNAm"/>
            </w:pPr>
            <w:r>
              <w:t>Whole district other than townsites in Sandstone Ward</w:t>
            </w:r>
          </w:p>
        </w:tc>
        <w:tc>
          <w:tcPr>
            <w:tcW w:w="2552" w:type="dxa"/>
          </w:tcPr>
          <w:p>
            <w:pPr>
              <w:pStyle w:val="yTableNAm"/>
            </w:pPr>
            <w:r>
              <w:t>Whole district other than Sandstone Ward</w:t>
            </w:r>
          </w:p>
        </w:tc>
      </w:tr>
      <w:tr>
        <w:trPr>
          <w:cantSplit/>
        </w:trPr>
        <w:tc>
          <w:tcPr>
            <w:tcW w:w="1701" w:type="dxa"/>
          </w:tcPr>
          <w:p>
            <w:pPr>
              <w:pStyle w:val="yTableNAm"/>
            </w:pPr>
            <w:r>
              <w:t>Tammin</w:t>
            </w:r>
          </w:p>
        </w:tc>
        <w:tc>
          <w:tcPr>
            <w:tcW w:w="2551" w:type="dxa"/>
          </w:tcPr>
          <w:p>
            <w:pPr>
              <w:pStyle w:val="yTableNAm"/>
            </w:pPr>
            <w:r>
              <w:t>Whole district other than townsite of Tammin</w:t>
            </w:r>
          </w:p>
        </w:tc>
        <w:tc>
          <w:tcPr>
            <w:tcW w:w="2552" w:type="dxa"/>
          </w:tcPr>
          <w:p>
            <w:pPr>
              <w:pStyle w:val="yTableNAm"/>
            </w:pPr>
          </w:p>
        </w:tc>
      </w:tr>
      <w:tr>
        <w:trPr>
          <w:cantSplit/>
        </w:trPr>
        <w:tc>
          <w:tcPr>
            <w:tcW w:w="1701" w:type="dxa"/>
          </w:tcPr>
          <w:p>
            <w:pPr>
              <w:pStyle w:val="yTableNAm"/>
            </w:pPr>
            <w:r>
              <w:t>Three Springs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Trayning</w:t>
            </w:r>
          </w:p>
        </w:tc>
        <w:tc>
          <w:tcPr>
            <w:tcW w:w="2551" w:type="dxa"/>
          </w:tcPr>
          <w:p>
            <w:pPr>
              <w:pStyle w:val="yTableNAm"/>
            </w:pPr>
            <w:r>
              <w:t>Whole district other than townsites of Trayning, Kununoppin, Yelbeni</w:t>
            </w:r>
          </w:p>
        </w:tc>
        <w:tc>
          <w:tcPr>
            <w:tcW w:w="2552" w:type="dxa"/>
          </w:tcPr>
          <w:p>
            <w:pPr>
              <w:pStyle w:val="yTableNAm"/>
            </w:pPr>
            <w:r>
              <w:t>Whole district other than townsites of Trayning, Kununoppin, Yelbeni</w:t>
            </w:r>
          </w:p>
        </w:tc>
      </w:tr>
      <w:tr>
        <w:trPr>
          <w:cantSplit/>
        </w:trPr>
        <w:tc>
          <w:tcPr>
            <w:tcW w:w="1701" w:type="dxa"/>
          </w:tcPr>
          <w:p>
            <w:pPr>
              <w:pStyle w:val="yTableNAm"/>
            </w:pPr>
            <w:r>
              <w:t>Wagin</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townsites in Town Ward;</w:t>
            </w:r>
          </w:p>
          <w:p>
            <w:pPr>
              <w:pStyle w:val="yTableNAm"/>
              <w:tabs>
                <w:tab w:val="clear" w:pos="567"/>
                <w:tab w:val="left" w:pos="499"/>
              </w:tabs>
              <w:ind w:left="485" w:hanging="451"/>
            </w:pPr>
            <w:r>
              <w:t>(b)</w:t>
            </w:r>
            <w:r>
              <w:tab/>
              <w:t>Williams loc. 440, 507, 545, 618, 945, 1165 or 5330</w:t>
            </w:r>
          </w:p>
        </w:tc>
        <w:tc>
          <w:tcPr>
            <w:tcW w:w="2552" w:type="dxa"/>
          </w:tcPr>
          <w:p>
            <w:pPr>
              <w:pStyle w:val="yTableNAm"/>
            </w:pPr>
          </w:p>
        </w:tc>
      </w:tr>
      <w:tr>
        <w:trPr>
          <w:cantSplit/>
        </w:trPr>
        <w:tc>
          <w:tcPr>
            <w:tcW w:w="1701" w:type="dxa"/>
          </w:tcPr>
          <w:p>
            <w:pPr>
              <w:pStyle w:val="yTableNAm"/>
            </w:pPr>
            <w:r>
              <w:t>Wandering</w:t>
            </w:r>
          </w:p>
        </w:tc>
        <w:tc>
          <w:tcPr>
            <w:tcW w:w="2551" w:type="dxa"/>
          </w:tcPr>
          <w:p>
            <w:pPr>
              <w:pStyle w:val="yTableNAm"/>
            </w:pPr>
            <w:r>
              <w:t xml:space="preserve">Whole district other than — </w:t>
            </w:r>
          </w:p>
          <w:p>
            <w:pPr>
              <w:pStyle w:val="yTableNAm"/>
              <w:tabs>
                <w:tab w:val="clear" w:pos="567"/>
                <w:tab w:val="left" w:pos="499"/>
              </w:tabs>
              <w:ind w:left="485" w:hanging="451"/>
            </w:pPr>
            <w:r>
              <w:t>(a)</w:t>
            </w:r>
            <w:r>
              <w:tab/>
              <w:t>townsite of Wandering;</w:t>
            </w:r>
          </w:p>
          <w:p>
            <w:pPr>
              <w:pStyle w:val="yTableNAm"/>
              <w:tabs>
                <w:tab w:val="clear" w:pos="567"/>
                <w:tab w:val="left" w:pos="499"/>
              </w:tabs>
              <w:ind w:left="485" w:hanging="451"/>
            </w:pPr>
            <w:r>
              <w:t>(b)</w:t>
            </w:r>
            <w:r>
              <w:tab/>
              <w:t>areas zoned rural residential by local laws or a local planning scheme</w:t>
            </w:r>
          </w:p>
        </w:tc>
        <w:tc>
          <w:tcPr>
            <w:tcW w:w="2552" w:type="dxa"/>
          </w:tcPr>
          <w:p>
            <w:pPr>
              <w:pStyle w:val="yTableNAm"/>
            </w:pPr>
          </w:p>
        </w:tc>
      </w:tr>
      <w:tr>
        <w:trPr>
          <w:cantSplit/>
        </w:trPr>
        <w:tc>
          <w:tcPr>
            <w:tcW w:w="1701" w:type="dxa"/>
          </w:tcPr>
          <w:p>
            <w:pPr>
              <w:pStyle w:val="yTableNAm"/>
            </w:pPr>
            <w:r>
              <w:t>West Arthur</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Wickepin</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Williams</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Wiluna</w:t>
            </w:r>
          </w:p>
        </w:tc>
        <w:tc>
          <w:tcPr>
            <w:tcW w:w="2551" w:type="dxa"/>
          </w:tcPr>
          <w:p>
            <w:pPr>
              <w:pStyle w:val="yTableNAm"/>
            </w:pPr>
            <w:r>
              <w:t>Whole district other than townsite of Wiluna</w:t>
            </w:r>
          </w:p>
        </w:tc>
        <w:tc>
          <w:tcPr>
            <w:tcW w:w="2552" w:type="dxa"/>
          </w:tcPr>
          <w:p>
            <w:pPr>
              <w:pStyle w:val="yTableNAm"/>
            </w:pPr>
            <w:r>
              <w:t>Whole district other than townsite of Wiluna</w:t>
            </w:r>
          </w:p>
        </w:tc>
      </w:tr>
      <w:tr>
        <w:trPr>
          <w:cantSplit/>
        </w:trPr>
        <w:tc>
          <w:tcPr>
            <w:tcW w:w="1701" w:type="dxa"/>
          </w:tcPr>
          <w:p>
            <w:pPr>
              <w:pStyle w:val="yTableNAm"/>
            </w:pPr>
            <w:r>
              <w:t>Wongan</w:t>
            </w:r>
            <w:r>
              <w:noBreakHyphen/>
              <w:t>Ballidu</w:t>
            </w:r>
          </w:p>
        </w:tc>
        <w:tc>
          <w:tcPr>
            <w:tcW w:w="2551" w:type="dxa"/>
          </w:tcPr>
          <w:p>
            <w:pPr>
              <w:pStyle w:val="yTableNAm"/>
            </w:pPr>
            <w:r>
              <w:t>Whole district other than townsites of Wongan Hills, Ballidu, Cadoux, Kondut, Burakin</w:t>
            </w:r>
          </w:p>
        </w:tc>
        <w:tc>
          <w:tcPr>
            <w:tcW w:w="2552" w:type="dxa"/>
          </w:tcPr>
          <w:p>
            <w:pPr>
              <w:pStyle w:val="yTableNAm"/>
            </w:pPr>
            <w:r>
              <w:t>Whole district other than townsites of Wongan Hills, Ballidu, Cadoux, Kondut, Burakin</w:t>
            </w:r>
          </w:p>
        </w:tc>
      </w:tr>
      <w:tr>
        <w:trPr>
          <w:cantSplit/>
        </w:trPr>
        <w:tc>
          <w:tcPr>
            <w:tcW w:w="1701" w:type="dxa"/>
          </w:tcPr>
          <w:p>
            <w:pPr>
              <w:pStyle w:val="yTableNAm"/>
            </w:pPr>
            <w:r>
              <w:t>Woodanilling</w:t>
            </w:r>
          </w:p>
        </w:tc>
        <w:tc>
          <w:tcPr>
            <w:tcW w:w="2551" w:type="dxa"/>
          </w:tcPr>
          <w:p>
            <w:pPr>
              <w:pStyle w:val="yTableNAm"/>
            </w:pPr>
            <w:r>
              <w:t>Whole district other than townsite of Woodanilling</w:t>
            </w:r>
          </w:p>
        </w:tc>
        <w:tc>
          <w:tcPr>
            <w:tcW w:w="2552" w:type="dxa"/>
          </w:tcPr>
          <w:p>
            <w:pPr>
              <w:pStyle w:val="yTableNAm"/>
            </w:pPr>
          </w:p>
        </w:tc>
      </w:tr>
      <w:tr>
        <w:trPr>
          <w:cantSplit/>
        </w:trPr>
        <w:tc>
          <w:tcPr>
            <w:tcW w:w="1701" w:type="dxa"/>
          </w:tcPr>
          <w:p>
            <w:pPr>
              <w:pStyle w:val="yTableNAm"/>
            </w:pPr>
            <w:r>
              <w:t>Yalgoo</w:t>
            </w:r>
          </w:p>
        </w:tc>
        <w:tc>
          <w:tcPr>
            <w:tcW w:w="2551" w:type="dxa"/>
          </w:tcPr>
          <w:p>
            <w:pPr>
              <w:pStyle w:val="yTableNAm"/>
            </w:pPr>
            <w:r>
              <w:t>Whole district other than townsites</w:t>
            </w:r>
          </w:p>
        </w:tc>
        <w:tc>
          <w:tcPr>
            <w:tcW w:w="2552" w:type="dxa"/>
          </w:tcPr>
          <w:p>
            <w:pPr>
              <w:pStyle w:val="yTableNAm"/>
            </w:pPr>
          </w:p>
        </w:tc>
      </w:tr>
      <w:tr>
        <w:trPr>
          <w:cantSplit/>
        </w:trPr>
        <w:tc>
          <w:tcPr>
            <w:tcW w:w="1701" w:type="dxa"/>
          </w:tcPr>
          <w:p>
            <w:pPr>
              <w:pStyle w:val="yTableNAm"/>
            </w:pPr>
            <w:r>
              <w:t>Yilgarn</w:t>
            </w:r>
          </w:p>
        </w:tc>
        <w:tc>
          <w:tcPr>
            <w:tcW w:w="2551" w:type="dxa"/>
          </w:tcPr>
          <w:p>
            <w:pPr>
              <w:pStyle w:val="yTableNAm"/>
            </w:pPr>
            <w:r>
              <w:t>Whole district other than townsites</w:t>
            </w:r>
          </w:p>
        </w:tc>
        <w:tc>
          <w:tcPr>
            <w:tcW w:w="2552" w:type="dxa"/>
          </w:tcPr>
          <w:p>
            <w:pPr>
              <w:pStyle w:val="yTableNAm"/>
            </w:pPr>
            <w:r>
              <w:t>Whole district other than townsites</w:t>
            </w:r>
          </w:p>
        </w:tc>
      </w:tr>
    </w:tbl>
    <w:p>
      <w:pPr>
        <w:pStyle w:val="yHeading5"/>
        <w:rPr>
          <w:rStyle w:val="CharSDivText"/>
        </w:rPr>
      </w:pPr>
      <w:bookmarkStart w:id="305" w:name="_Toc320625203"/>
      <w:bookmarkStart w:id="306" w:name="_Toc320697882"/>
      <w:r>
        <w:rPr>
          <w:rStyle w:val="CharSClsNo"/>
        </w:rPr>
        <w:t>2</w:t>
      </w:r>
      <w:r>
        <w:t>.</w:t>
      </w:r>
      <w:r>
        <w:tab/>
      </w:r>
      <w:r>
        <w:rPr>
          <w:rStyle w:val="CharSDivText"/>
        </w:rPr>
        <w:t>Kinds of building work for which a building permit is not required</w:t>
      </w:r>
      <w:bookmarkEnd w:id="305"/>
      <w:bookmarkEnd w:id="306"/>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6095"/>
      </w:tblGrid>
      <w:tr>
        <w:trPr>
          <w:cantSplit/>
          <w:tblHeader/>
        </w:trPr>
        <w:tc>
          <w:tcPr>
            <w:tcW w:w="709" w:type="dxa"/>
          </w:tcPr>
          <w:p>
            <w:pPr>
              <w:pStyle w:val="yTableNAm"/>
              <w:keepNext/>
              <w:jc w:val="center"/>
              <w:rPr>
                <w:b/>
                <w:bCs/>
                <w:szCs w:val="22"/>
              </w:rPr>
            </w:pPr>
            <w:r>
              <w:rPr>
                <w:b/>
                <w:bCs/>
                <w:szCs w:val="22"/>
              </w:rPr>
              <w:t>Item</w:t>
            </w:r>
          </w:p>
        </w:tc>
        <w:tc>
          <w:tcPr>
            <w:tcW w:w="6095" w:type="dxa"/>
          </w:tcPr>
          <w:p>
            <w:pPr>
              <w:pStyle w:val="yTableNAm"/>
              <w:keepNext/>
              <w:rPr>
                <w:b/>
                <w:bCs/>
                <w:szCs w:val="22"/>
              </w:rPr>
            </w:pPr>
            <w:r>
              <w:rPr>
                <w:b/>
                <w:bCs/>
                <w:szCs w:val="22"/>
              </w:rPr>
              <w:t>Description of building work for which building permit is not required</w:t>
            </w:r>
          </w:p>
        </w:tc>
      </w:tr>
      <w:tr>
        <w:trPr>
          <w:cantSplit/>
        </w:trPr>
        <w:tc>
          <w:tcPr>
            <w:tcW w:w="709" w:type="dxa"/>
          </w:tcPr>
          <w:p>
            <w:pPr>
              <w:pStyle w:val="yTableNAm"/>
              <w:rPr>
                <w:szCs w:val="22"/>
              </w:rPr>
            </w:pPr>
            <w:r>
              <w:rPr>
                <w:szCs w:val="22"/>
              </w:rPr>
              <w:t>1.</w:t>
            </w:r>
          </w:p>
        </w:tc>
        <w:tc>
          <w:tcPr>
            <w:tcW w:w="6095" w:type="dxa"/>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2.</w:t>
            </w:r>
          </w:p>
        </w:tc>
        <w:tc>
          <w:tcPr>
            <w:tcW w:w="6095"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ind w:left="742" w:hanging="567"/>
              <w:rPr>
                <w:szCs w:val="22"/>
              </w:rPr>
            </w:pPr>
            <w:r>
              <w:rPr>
                <w:szCs w:val="22"/>
              </w:rPr>
              <w:tab/>
              <w:t>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(e)</w:t>
            </w:r>
            <w:r>
              <w:rPr>
                <w:szCs w:val="22"/>
              </w:rPr>
              <w:tab/>
              <w:t>will not affect whether the building or incidental structure complies with each building standard that applies to the building or incidental structure;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709" w:type="dxa"/>
          </w:tcPr>
          <w:p>
            <w:pPr>
              <w:pStyle w:val="yTableNAm"/>
              <w:rPr>
                <w:szCs w:val="22"/>
              </w:rPr>
            </w:pPr>
            <w:r>
              <w:rPr>
                <w:szCs w:val="22"/>
              </w:rPr>
              <w:t>3.</w:t>
            </w:r>
          </w:p>
        </w:tc>
        <w:tc>
          <w:tcPr>
            <w:tcW w:w="6095" w:type="dxa"/>
          </w:tcPr>
          <w:p>
            <w:pPr>
              <w:pStyle w:val="yTableNAm"/>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709" w:type="dxa"/>
            <w:tcBorders>
              <w:bottom w:val="nil"/>
            </w:tcBorders>
          </w:tcPr>
          <w:p>
            <w:pPr>
              <w:pStyle w:val="yTableNAm"/>
              <w:rPr>
                <w:szCs w:val="22"/>
              </w:rPr>
            </w:pPr>
            <w:r>
              <w:rPr>
                <w:szCs w:val="22"/>
              </w:rPr>
              <w:t>4.</w:t>
            </w:r>
          </w:p>
        </w:tc>
        <w:tc>
          <w:tcPr>
            <w:tcW w:w="6095" w:type="dxa"/>
            <w:tcBorders>
              <w:bottom w:val="nil"/>
            </w:tcBorders>
          </w:tcPr>
          <w:p>
            <w:pPr>
              <w:pStyle w:val="yTableNAm"/>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ind w:left="1593" w:hanging="1593"/>
              <w:rPr>
                <w:szCs w:val="22"/>
              </w:rPr>
            </w:pPr>
            <w:r>
              <w:rPr>
                <w:szCs w:val="22"/>
              </w:rPr>
              <w:tab/>
              <w:t>(iii)</w:t>
            </w:r>
            <w:r>
              <w:rPr>
                <w:szCs w:val="22"/>
              </w:rPr>
              <w:tab/>
              <w:t>is not located in wind region C or D as defined in AS 1170.2.</w:t>
            </w:r>
          </w:p>
        </w:tc>
      </w:tr>
      <w:tr>
        <w:trPr>
          <w:cantSplit/>
        </w:trPr>
        <w:tc>
          <w:tcPr>
            <w:tcW w:w="709" w:type="dxa"/>
            <w:tcBorders>
              <w:bottom w:val="nil"/>
            </w:tcBorders>
          </w:tcPr>
          <w:p>
            <w:pPr>
              <w:pStyle w:val="yTableNAm"/>
              <w:rPr>
                <w:szCs w:val="22"/>
              </w:rPr>
            </w:pPr>
            <w:r>
              <w:rPr>
                <w:szCs w:val="22"/>
              </w:rPr>
              <w:t>5.</w:t>
            </w:r>
          </w:p>
        </w:tc>
        <w:tc>
          <w:tcPr>
            <w:tcW w:w="6095"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ind w:left="742" w:hanging="567"/>
              <w:rPr>
                <w:szCs w:val="22"/>
              </w:rPr>
            </w:pPr>
            <w:r>
              <w:rPr>
                <w:szCs w:val="22"/>
              </w:rPr>
              <w:t>(a)</w:t>
            </w:r>
            <w:r>
              <w:rPr>
                <w:szCs w:val="22"/>
              </w:rPr>
              <w:tab/>
              <w:t>is not located in wind region C or D as defined in AS 1170.2; and</w:t>
            </w:r>
          </w:p>
        </w:tc>
      </w:tr>
      <w:tr>
        <w:trPr>
          <w:cantSplit/>
        </w:trPr>
        <w:tc>
          <w:tcPr>
            <w:tcW w:w="709" w:type="dxa"/>
            <w:tcBorders>
              <w:top w:val="nil"/>
              <w:bottom w:val="nil"/>
            </w:tcBorders>
          </w:tcPr>
          <w:p>
            <w:pPr>
              <w:pStyle w:val="yTableNAm"/>
              <w:rPr>
                <w:szCs w:val="22"/>
              </w:rPr>
            </w:pPr>
          </w:p>
        </w:tc>
        <w:tc>
          <w:tcPr>
            <w:tcW w:w="6095" w:type="dxa"/>
            <w:tcBorders>
              <w:top w:val="nil"/>
              <w:bottom w:val="nil"/>
            </w:tcBorders>
          </w:tcPr>
          <w:p>
            <w:pPr>
              <w:pStyle w:val="yTableNAm"/>
              <w:tabs>
                <w:tab w:val="clear" w:pos="567"/>
              </w:tabs>
              <w:ind w:left="742" w:hanging="567"/>
              <w:rPr>
                <w:szCs w:val="22"/>
              </w:rPr>
            </w:pPr>
            <w:r>
              <w:rPr>
                <w:szCs w:val="22"/>
              </w:rPr>
              <w:t>(b)</w:t>
            </w:r>
            <w:r>
              <w:rPr>
                <w:szCs w:val="22"/>
              </w:rPr>
              <w:tab/>
              <w:t>if attached to a building —</w:t>
            </w:r>
          </w:p>
          <w:p>
            <w:pPr>
              <w:pStyle w:val="zMiscellaneousBody"/>
              <w:tabs>
                <w:tab w:val="left" w:pos="1026"/>
                <w:tab w:val="left" w:pos="1131"/>
                <w:tab w:val="left" w:pos="1581"/>
              </w:tabs>
              <w:ind w:left="1593" w:hanging="1593"/>
              <w:rPr>
                <w:sz w:val="22"/>
                <w:szCs w:val="22"/>
              </w:rPr>
            </w:pPr>
            <w:r>
              <w:rPr>
                <w:sz w:val="22"/>
                <w:szCs w:val="22"/>
              </w:rPr>
              <w:tab/>
              <w:t>(i)</w:t>
            </w:r>
            <w:r>
              <w:rPr>
                <w:sz w:val="22"/>
                <w:szCs w:val="22"/>
              </w:rPr>
              <w:tab/>
              <w:t>is no more than 2 m in height above the highest point of attachment to the building; and</w:t>
            </w:r>
          </w:p>
          <w:p>
            <w:pPr>
              <w:pStyle w:val="zMiscellaneousBody"/>
              <w:tabs>
                <w:tab w:val="left" w:pos="1026"/>
                <w:tab w:val="left" w:pos="1131"/>
                <w:tab w:val="left" w:pos="1581"/>
              </w:tabs>
              <w:ind w:left="1593" w:hanging="1593"/>
              <w:rPr>
                <w:sz w:val="22"/>
                <w:szCs w:val="22"/>
              </w:rPr>
            </w:pPr>
            <w:r>
              <w:rPr>
                <w:sz w:val="22"/>
                <w:szCs w:val="22"/>
              </w:rPr>
              <w:tab/>
              <w:t>(ii)</w:t>
            </w:r>
            <w:r>
              <w:rPr>
                <w:sz w:val="22"/>
                <w:szCs w:val="22"/>
              </w:rPr>
              <w:tab/>
              <w:t>will not affect the way in which the building complies with each building standard that applies to the building;</w:t>
            </w:r>
          </w:p>
          <w:p>
            <w:pPr>
              <w:pStyle w:val="zMiscellaneousBody"/>
              <w:tabs>
                <w:tab w:val="left" w:pos="1026"/>
                <w:tab w:val="left" w:pos="1131"/>
                <w:tab w:val="left" w:pos="1581"/>
              </w:tabs>
              <w:ind w:left="1593" w:hanging="1593"/>
              <w:rPr>
                <w:szCs w:val="22"/>
              </w:rPr>
            </w:pPr>
            <w:r>
              <w:rPr>
                <w:sz w:val="22"/>
                <w:szCs w:val="22"/>
              </w:rPr>
              <w:tab/>
            </w:r>
            <w:r>
              <w:rPr>
                <w:sz w:val="22"/>
                <w:szCs w:val="22"/>
              </w:rPr>
              <w:tab/>
              <w:t>and</w:t>
            </w:r>
          </w:p>
        </w:tc>
      </w:tr>
      <w:tr>
        <w:trPr>
          <w:cantSplit/>
        </w:trPr>
        <w:tc>
          <w:tcPr>
            <w:tcW w:w="709" w:type="dxa"/>
            <w:tcBorders>
              <w:top w:val="nil"/>
            </w:tcBorders>
          </w:tcPr>
          <w:p>
            <w:pPr>
              <w:pStyle w:val="yTableNAm"/>
              <w:rPr>
                <w:szCs w:val="22"/>
              </w:rPr>
            </w:pPr>
          </w:p>
        </w:tc>
        <w:tc>
          <w:tcPr>
            <w:tcW w:w="6095" w:type="dxa"/>
            <w:tcBorders>
              <w:top w:val="nil"/>
            </w:tcBorders>
          </w:tcPr>
          <w:p>
            <w:pPr>
              <w:pStyle w:val="yTableNAm"/>
              <w:tabs>
                <w:tab w:val="clear" w:pos="567"/>
              </w:tabs>
              <w:ind w:left="742" w:hanging="567"/>
              <w:rPr>
                <w:szCs w:val="22"/>
              </w:rPr>
            </w:pPr>
            <w:r>
              <w:rPr>
                <w:szCs w:val="22"/>
              </w:rPr>
              <w:t>(c)</w:t>
            </w:r>
            <w:r>
              <w:rPr>
                <w:szCs w:val="22"/>
              </w:rPr>
              <w:tab/>
              <w:t>if not attached to a building, is no more than 3 m in height.</w:t>
            </w:r>
          </w:p>
        </w:tc>
      </w:tr>
      <w:tr>
        <w:trPr>
          <w:cantSplit/>
        </w:trPr>
        <w:tc>
          <w:tcPr>
            <w:tcW w:w="709" w:type="dxa"/>
          </w:tcPr>
          <w:p>
            <w:pPr>
              <w:pStyle w:val="yTableNAm"/>
              <w:rPr>
                <w:szCs w:val="22"/>
              </w:rPr>
            </w:pPr>
            <w:r>
              <w:rPr>
                <w:szCs w:val="22"/>
              </w:rPr>
              <w:t>6.</w:t>
            </w:r>
          </w:p>
        </w:tc>
        <w:tc>
          <w:tcPr>
            <w:tcW w:w="6095" w:type="dxa"/>
          </w:tcPr>
          <w:p>
            <w:pPr>
              <w:pStyle w:val="yTableNAm"/>
              <w:rPr>
                <w:szCs w:val="22"/>
              </w:rPr>
            </w:pPr>
            <w:r>
              <w:rPr>
                <w:szCs w:val="22"/>
              </w:rPr>
              <w:t xml:space="preserve">Construction, erection, assembly or placement of a retaining wall that — </w:t>
            </w:r>
          </w:p>
          <w:p>
            <w:pPr>
              <w:pStyle w:val="yTableNAm"/>
              <w:tabs>
                <w:tab w:val="clear" w:pos="567"/>
              </w:tabs>
              <w:ind w:left="742" w:hanging="567"/>
              <w:rPr>
                <w:szCs w:val="22"/>
              </w:rPr>
            </w:pPr>
            <w:r>
              <w:rPr>
                <w:szCs w:val="22"/>
              </w:rPr>
              <w:t>(a)</w:t>
            </w:r>
            <w:r>
              <w:rPr>
                <w:szCs w:val="22"/>
              </w:rPr>
              <w:tab/>
              <w:t>retains ground no more than 0.5 m in height; and</w:t>
            </w:r>
          </w:p>
          <w:p>
            <w:pPr>
              <w:pStyle w:val="yTableNAm"/>
              <w:tabs>
                <w:tab w:val="clear" w:pos="567"/>
              </w:tabs>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ind w:left="742" w:hanging="567"/>
              <w:rPr>
                <w:szCs w:val="22"/>
              </w:rPr>
            </w:pPr>
            <w:r>
              <w:rPr>
                <w:szCs w:val="22"/>
              </w:rPr>
              <w:t>(c)</w:t>
            </w:r>
            <w:r>
              <w:rPr>
                <w:szCs w:val="22"/>
              </w:rPr>
              <w:tab/>
              <w:t>is not work of a kind to which section 76, 77, 78 or 79 relates.</w:t>
            </w:r>
          </w:p>
        </w:tc>
      </w:tr>
      <w:tr>
        <w:trPr>
          <w:cantSplit/>
        </w:trPr>
        <w:tc>
          <w:tcPr>
            <w:tcW w:w="709" w:type="dxa"/>
          </w:tcPr>
          <w:p>
            <w:pPr>
              <w:pStyle w:val="yTableNAm"/>
              <w:rPr>
                <w:szCs w:val="22"/>
              </w:rPr>
            </w:pPr>
            <w:r>
              <w:rPr>
                <w:szCs w:val="22"/>
              </w:rPr>
              <w:t>7.</w:t>
            </w:r>
          </w:p>
        </w:tc>
        <w:tc>
          <w:tcPr>
            <w:tcW w:w="6095"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that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709" w:type="dxa"/>
          </w:tcPr>
          <w:p>
            <w:pPr>
              <w:pStyle w:val="yTableNAm"/>
              <w:rPr>
                <w:szCs w:val="22"/>
              </w:rPr>
            </w:pPr>
            <w:r>
              <w:rPr>
                <w:szCs w:val="22"/>
              </w:rPr>
              <w:t>8.</w:t>
            </w:r>
          </w:p>
        </w:tc>
        <w:tc>
          <w:tcPr>
            <w:tcW w:w="6095" w:type="dxa"/>
          </w:tcPr>
          <w:p>
            <w:pPr>
              <w:pStyle w:val="yTableNAm"/>
              <w:rPr>
                <w:szCs w:val="22"/>
              </w:rPr>
            </w:pPr>
            <w:r>
              <w:rPr>
                <w:szCs w:val="22"/>
              </w:rPr>
              <w:t xml:space="preserve">Construction, erection, assembly or placement of a rainwater tank with a capacity of 5 000 L or less. </w:t>
            </w:r>
          </w:p>
        </w:tc>
      </w:tr>
      <w:tr>
        <w:trPr>
          <w:cantSplit/>
        </w:trPr>
        <w:tc>
          <w:tcPr>
            <w:tcW w:w="709" w:type="dxa"/>
          </w:tcPr>
          <w:p>
            <w:pPr>
              <w:pStyle w:val="yTableNAm"/>
              <w:rPr>
                <w:szCs w:val="22"/>
              </w:rPr>
            </w:pPr>
            <w:r>
              <w:rPr>
                <w:szCs w:val="22"/>
              </w:rPr>
              <w:t>9.</w:t>
            </w:r>
          </w:p>
        </w:tc>
        <w:tc>
          <w:tcPr>
            <w:tcW w:w="6095"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709" w:type="dxa"/>
          </w:tcPr>
          <w:p>
            <w:pPr>
              <w:pStyle w:val="yTableNAm"/>
              <w:rPr>
                <w:szCs w:val="22"/>
              </w:rPr>
            </w:pPr>
            <w:r>
              <w:rPr>
                <w:szCs w:val="22"/>
              </w:rPr>
              <w:t>10.</w:t>
            </w:r>
          </w:p>
        </w:tc>
        <w:tc>
          <w:tcPr>
            <w:tcW w:w="6095"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709" w:type="dxa"/>
          </w:tcPr>
          <w:p>
            <w:pPr>
              <w:pStyle w:val="yTableNAm"/>
              <w:rPr>
                <w:szCs w:val="22"/>
              </w:rPr>
            </w:pPr>
            <w:r>
              <w:rPr>
                <w:szCs w:val="22"/>
              </w:rPr>
              <w:t>11.</w:t>
            </w:r>
          </w:p>
        </w:tc>
        <w:tc>
          <w:tcPr>
            <w:tcW w:w="6095"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709" w:type="dxa"/>
          </w:tcPr>
          <w:p>
            <w:pPr>
              <w:pStyle w:val="yTableNAm"/>
              <w:rPr>
                <w:szCs w:val="22"/>
              </w:rPr>
            </w:pPr>
            <w:r>
              <w:rPr>
                <w:szCs w:val="22"/>
              </w:rPr>
              <w:t>12.</w:t>
            </w:r>
          </w:p>
        </w:tc>
        <w:tc>
          <w:tcPr>
            <w:tcW w:w="6095" w:type="dxa"/>
          </w:tcPr>
          <w:p>
            <w:pPr>
              <w:pStyle w:val="yTableNAm"/>
              <w:rPr>
                <w:szCs w:val="22"/>
              </w:rPr>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rPr>
                <w:szCs w:val="22"/>
              </w:rPr>
            </w:pPr>
            <w:r>
              <w:rPr>
                <w:szCs w:val="22"/>
              </w:rPr>
              <w:t>(a)</w:t>
            </w:r>
            <w:r>
              <w:rPr>
                <w:szCs w:val="22"/>
              </w:rPr>
              <w:tab/>
              <w:t>commences before 31 December 2012; and</w:t>
            </w:r>
          </w:p>
          <w:p>
            <w:pPr>
              <w:pStyle w:val="yTableNAm"/>
              <w:tabs>
                <w:tab w:val="clear" w:pos="567"/>
              </w:tabs>
              <w:ind w:left="742" w:hanging="567"/>
              <w:rPr>
                <w:szCs w:val="22"/>
              </w:rPr>
            </w:pPr>
            <w:r>
              <w:rPr>
                <w:szCs w:val="22"/>
              </w:rPr>
              <w:t>(b)</w:t>
            </w:r>
            <w:r>
              <w:rPr>
                <w:szCs w:val="22"/>
              </w:rPr>
              <w:tab/>
              <w:t>has an estimated value of less than $100 000.</w:t>
            </w:r>
          </w:p>
        </w:tc>
      </w:tr>
    </w:tbl>
    <w:p>
      <w:pPr>
        <w:sectPr>
          <w:headerReference w:type="even" r:id="rId30"/>
          <w:headerReference w:type="default" r:id="rId31"/>
          <w:pgSz w:w="11907" w:h="16840" w:code="9"/>
          <w:pgMar w:top="2381" w:right="2410" w:bottom="3544" w:left="2410" w:header="720" w:footer="3380" w:gutter="0"/>
          <w:cols w:space="720"/>
          <w:docGrid w:linePitch="78"/>
        </w:sectPr>
      </w:pPr>
    </w:p>
    <w:p>
      <w:pPr>
        <w:pStyle w:val="yScheduleHeading"/>
      </w:pPr>
      <w:bookmarkStart w:id="307" w:name="_Toc320625204"/>
      <w:bookmarkStart w:id="308" w:name="_Toc320625568"/>
      <w:bookmarkStart w:id="309" w:name="_Toc320625843"/>
      <w:bookmarkStart w:id="310" w:name="_Toc320697883"/>
      <w:r>
        <w:rPr>
          <w:rStyle w:val="CharSchNo"/>
        </w:rPr>
        <w:t>Schedule 5</w:t>
      </w:r>
      <w:r>
        <w:rPr>
          <w:rStyle w:val="CharSDivNo"/>
        </w:rPr>
        <w:t> </w:t>
      </w:r>
      <w:r>
        <w:t>—</w:t>
      </w:r>
      <w:r>
        <w:rPr>
          <w:rStyle w:val="CharSDivText"/>
        </w:rPr>
        <w:t> </w:t>
      </w:r>
      <w:r>
        <w:rPr>
          <w:rStyle w:val="CharSchText"/>
        </w:rPr>
        <w:t>Areas of State where Part 8 Division 2 applies</w:t>
      </w:r>
      <w:bookmarkEnd w:id="307"/>
      <w:bookmarkEnd w:id="308"/>
      <w:bookmarkEnd w:id="309"/>
      <w:bookmarkEnd w:id="310"/>
    </w:p>
    <w:p>
      <w:pPr>
        <w:pStyle w:val="yShoulderClause"/>
      </w:pPr>
      <w:r>
        <w:t>[r. 49]</w:t>
      </w:r>
    </w:p>
    <w:p>
      <w:pPr>
        <w:pStyle w:val="yTHeadingNAm"/>
      </w:pPr>
      <w:r>
        <w:t>Table</w:t>
      </w:r>
    </w:p>
    <w:tbl>
      <w:tblPr>
        <w:tblW w:w="6662" w:type="dxa"/>
        <w:tblInd w:w="340" w:type="dxa"/>
        <w:tblLayout w:type="fixed"/>
        <w:tblCellMar>
          <w:left w:w="56" w:type="dxa"/>
          <w:right w:w="56" w:type="dxa"/>
        </w:tblCellMar>
        <w:tblLook w:val="0000" w:firstRow="0" w:lastRow="0" w:firstColumn="0" w:lastColumn="0" w:noHBand="0" w:noVBand="0"/>
      </w:tblPr>
      <w:tblGrid>
        <w:gridCol w:w="3118"/>
        <w:gridCol w:w="3544"/>
      </w:tblGrid>
      <w:tr>
        <w:trPr>
          <w:cantSplit/>
          <w:tblHeader/>
        </w:trPr>
        <w:tc>
          <w:tcPr>
            <w:tcW w:w="3118" w:type="dxa"/>
            <w:tcBorders>
              <w:top w:val="single" w:sz="4" w:space="0" w:color="auto"/>
              <w:bottom w:val="single" w:sz="4" w:space="0" w:color="auto"/>
            </w:tcBorders>
          </w:tcPr>
          <w:p>
            <w:pPr>
              <w:pStyle w:val="yTableNAm"/>
              <w:jc w:val="center"/>
              <w:rPr>
                <w:b/>
                <w:bCs/>
              </w:rPr>
            </w:pPr>
            <w:r>
              <w:rPr>
                <w:b/>
                <w:bCs/>
              </w:rPr>
              <w:t>Column 1</w:t>
            </w:r>
          </w:p>
          <w:p>
            <w:pPr>
              <w:pStyle w:val="yTableNAm"/>
              <w:jc w:val="center"/>
              <w:rPr>
                <w:b/>
                <w:bCs/>
              </w:rPr>
            </w:pPr>
            <w:r>
              <w:rPr>
                <w:b/>
                <w:bCs/>
              </w:rPr>
              <w:t>Local government district</w:t>
            </w:r>
          </w:p>
        </w:tc>
        <w:tc>
          <w:tcPr>
            <w:tcW w:w="3544" w:type="dxa"/>
            <w:tcBorders>
              <w:top w:val="single" w:sz="4" w:space="0" w:color="auto"/>
              <w:bottom w:val="single" w:sz="4" w:space="0" w:color="auto"/>
            </w:tcBorders>
          </w:tcPr>
          <w:p>
            <w:pPr>
              <w:pStyle w:val="yTableNAm"/>
              <w:jc w:val="center"/>
              <w:rPr>
                <w:b/>
                <w:bCs/>
              </w:rPr>
            </w:pPr>
            <w:r>
              <w:rPr>
                <w:b/>
                <w:bCs/>
              </w:rPr>
              <w:t>Column 2</w:t>
            </w:r>
          </w:p>
          <w:p>
            <w:pPr>
              <w:pStyle w:val="yTableNAm"/>
              <w:jc w:val="center"/>
              <w:rPr>
                <w:b/>
                <w:bCs/>
              </w:rPr>
            </w:pPr>
            <w:r>
              <w:rPr>
                <w:b/>
              </w:rPr>
              <w:t xml:space="preserve">Areas of State where </w:t>
            </w:r>
            <w:r>
              <w:rPr>
                <w:b/>
              </w:rPr>
              <w:br/>
              <w:t>Part 8 Division 2 applies</w:t>
            </w:r>
          </w:p>
        </w:tc>
      </w:tr>
      <w:tr>
        <w:trPr>
          <w:cantSplit/>
        </w:trPr>
        <w:tc>
          <w:tcPr>
            <w:tcW w:w="3118"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544"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Armadale</w:t>
            </w:r>
          </w:p>
        </w:tc>
        <w:tc>
          <w:tcPr>
            <w:tcW w:w="3544" w:type="dxa"/>
          </w:tcPr>
          <w:p>
            <w:pPr>
              <w:pStyle w:val="yTableNAm"/>
              <w:tabs>
                <w:tab w:val="clear" w:pos="567"/>
                <w:tab w:val="left" w:pos="304"/>
                <w:tab w:val="left" w:pos="2170"/>
                <w:tab w:val="left" w:pos="3631"/>
              </w:tabs>
              <w:spacing w:before="60"/>
            </w:pPr>
            <w:r>
              <w:t xml:space="preserve">Whole district </w:t>
            </w:r>
          </w:p>
        </w:tc>
      </w:tr>
      <w:tr>
        <w:trPr>
          <w:cantSplit/>
        </w:trPr>
        <w:tc>
          <w:tcPr>
            <w:tcW w:w="3118" w:type="dxa"/>
          </w:tcPr>
          <w:p>
            <w:pPr>
              <w:pStyle w:val="yTableNAm"/>
              <w:tabs>
                <w:tab w:val="clear" w:pos="567"/>
                <w:tab w:val="left" w:pos="3631"/>
              </w:tabs>
              <w:spacing w:before="0"/>
            </w:pPr>
            <w:r>
              <w:t>Augusta</w:t>
            </w:r>
            <w:r>
              <w:noBreakHyphen/>
              <w:t>Margaret River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Bassendean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Bayswater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Beverley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Boddington</w:t>
            </w:r>
          </w:p>
        </w:tc>
        <w:tc>
          <w:tcPr>
            <w:tcW w:w="3544"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118" w:type="dxa"/>
          </w:tcPr>
          <w:p>
            <w:pPr>
              <w:pStyle w:val="yTableNAm"/>
              <w:tabs>
                <w:tab w:val="clear" w:pos="567"/>
                <w:tab w:val="left" w:pos="3631"/>
              </w:tabs>
              <w:spacing w:before="60"/>
              <w:ind w:right="64"/>
            </w:pPr>
            <w:r>
              <w:t>Bridgetown</w:t>
            </w:r>
            <w:r>
              <w:noBreakHyphen/>
              <w:t>Greenbushes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Brookton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Bunbury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Busselton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Capel</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Carnarvon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Cockburn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Collie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Coorow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Cottesloe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Dardanup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Donnybook</w:t>
            </w:r>
            <w:r>
              <w:noBreakHyphen/>
              <w:t>Balingup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Dumbleyung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East Fremantle</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Esperance</w:t>
            </w:r>
          </w:p>
        </w:tc>
        <w:tc>
          <w:tcPr>
            <w:tcW w:w="3544"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118" w:type="dxa"/>
          </w:tcPr>
          <w:p>
            <w:pPr>
              <w:pStyle w:val="yTableNAm"/>
              <w:tabs>
                <w:tab w:val="clear" w:pos="567"/>
                <w:tab w:val="left" w:pos="3631"/>
              </w:tabs>
              <w:spacing w:before="60"/>
            </w:pPr>
            <w:r>
              <w:t>Fremantle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Gosnells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ind w:right="304"/>
            </w:pPr>
            <w:r>
              <w:t>Greater Geraldton</w:t>
            </w:r>
          </w:p>
        </w:tc>
        <w:tc>
          <w:tcPr>
            <w:tcW w:w="3544"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118" w:type="dxa"/>
          </w:tcPr>
          <w:p>
            <w:pPr>
              <w:pStyle w:val="yTableNAm"/>
              <w:tabs>
                <w:tab w:val="clear" w:pos="567"/>
                <w:tab w:val="left" w:pos="3631"/>
              </w:tabs>
              <w:spacing w:before="60"/>
            </w:pPr>
            <w:r>
              <w:t>Hall’s Creek</w:t>
            </w:r>
          </w:p>
        </w:tc>
        <w:tc>
          <w:tcPr>
            <w:tcW w:w="3544"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544"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118" w:type="dxa"/>
          </w:tcPr>
          <w:p>
            <w:pPr>
              <w:pStyle w:val="yTableNAm"/>
              <w:tabs>
                <w:tab w:val="clear" w:pos="567"/>
                <w:tab w:val="left" w:pos="3631"/>
              </w:tabs>
              <w:spacing w:before="60"/>
            </w:pPr>
            <w:r>
              <w:t>Jerramungup</w:t>
            </w:r>
          </w:p>
        </w:tc>
        <w:tc>
          <w:tcPr>
            <w:tcW w:w="3544"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118" w:type="dxa"/>
          </w:tcPr>
          <w:p>
            <w:pPr>
              <w:pStyle w:val="yTableNAm"/>
              <w:tabs>
                <w:tab w:val="clear" w:pos="567"/>
                <w:tab w:val="left" w:pos="3631"/>
              </w:tabs>
              <w:spacing w:before="60"/>
            </w:pPr>
            <w:r>
              <w:t>Joondalup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Kalamunda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Kalgoorlie</w:t>
            </w:r>
            <w:r>
              <w:noBreakHyphen/>
            </w:r>
          </w:p>
          <w:p>
            <w:pPr>
              <w:pStyle w:val="yTableNAm"/>
              <w:tabs>
                <w:tab w:val="clear" w:pos="567"/>
                <w:tab w:val="left" w:pos="3631"/>
              </w:tabs>
              <w:spacing w:before="0"/>
            </w:pPr>
            <w:smartTag w:uri="urn:schemas-microsoft-com:office:smarttags" w:element="place">
              <w:smartTag w:uri="urn:schemas-microsoft-com:office:smarttags" w:element="City">
                <w:r>
                  <w:t>Boulder</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Katanning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Kellerberrin</w:t>
            </w:r>
          </w:p>
        </w:tc>
        <w:tc>
          <w:tcPr>
            <w:tcW w:w="3544"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544" w:type="dxa"/>
          </w:tcPr>
          <w:p>
            <w:pPr>
              <w:pStyle w:val="yTableNAm"/>
              <w:tabs>
                <w:tab w:val="clear" w:pos="567"/>
                <w:tab w:val="left" w:pos="304"/>
                <w:tab w:val="left" w:pos="2170"/>
                <w:tab w:val="left" w:pos="3631"/>
              </w:tabs>
              <w:spacing w:before="60"/>
            </w:pPr>
            <w:r>
              <w:t>Townsites of Nyabing, Pingrup</w:t>
            </w:r>
          </w:p>
        </w:tc>
      </w:tr>
      <w:tr>
        <w:trPr>
          <w:cantSplit/>
        </w:trPr>
        <w:tc>
          <w:tcPr>
            <w:tcW w:w="3118" w:type="dxa"/>
          </w:tcPr>
          <w:p>
            <w:pPr>
              <w:pStyle w:val="yTableNAm"/>
              <w:tabs>
                <w:tab w:val="clear" w:pos="567"/>
                <w:tab w:val="left" w:pos="3631"/>
              </w:tabs>
              <w:spacing w:before="60"/>
            </w:pPr>
            <w:r>
              <w:t>Koorda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Kwinana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Mandurah</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Manjimup</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Melville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Merredin</w:t>
            </w:r>
          </w:p>
        </w:tc>
        <w:tc>
          <w:tcPr>
            <w:tcW w:w="3544"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118" w:type="dxa"/>
          </w:tcPr>
          <w:p>
            <w:pPr>
              <w:pStyle w:val="yTableNAm"/>
              <w:tabs>
                <w:tab w:val="clear" w:pos="567"/>
                <w:tab w:val="left" w:pos="3631"/>
              </w:tabs>
              <w:spacing w:before="60"/>
            </w:pPr>
            <w:r>
              <w:t>Mingenew</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Mundaring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Murchison</w:t>
            </w:r>
          </w:p>
        </w:tc>
        <w:tc>
          <w:tcPr>
            <w:tcW w:w="3544" w:type="dxa"/>
          </w:tcPr>
          <w:p>
            <w:pPr>
              <w:pStyle w:val="yTableNAm"/>
              <w:tabs>
                <w:tab w:val="clear" w:pos="567"/>
                <w:tab w:val="left" w:pos="304"/>
                <w:tab w:val="left" w:pos="2170"/>
                <w:tab w:val="left" w:pos="3631"/>
              </w:tabs>
              <w:spacing w:before="60"/>
            </w:pPr>
            <w:r>
              <w:t>None</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Narrogin (Town)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Nedlands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Northam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Peppermint Grove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Pingelly</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Plantagenet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Quairading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Ravensthorpe</w:t>
            </w:r>
          </w:p>
        </w:tc>
        <w:tc>
          <w:tcPr>
            <w:tcW w:w="3544"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118" w:type="dxa"/>
          </w:tcPr>
          <w:p>
            <w:pPr>
              <w:pStyle w:val="yTableNAm"/>
              <w:tabs>
                <w:tab w:val="clear" w:pos="567"/>
                <w:tab w:val="left" w:pos="3631"/>
              </w:tabs>
              <w:spacing w:before="60"/>
            </w:pPr>
            <w:r>
              <w:t>Rockingham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Sandstone</w:t>
            </w:r>
          </w:p>
        </w:tc>
        <w:tc>
          <w:tcPr>
            <w:tcW w:w="3544" w:type="dxa"/>
          </w:tcPr>
          <w:p>
            <w:pPr>
              <w:pStyle w:val="yTableNAm"/>
              <w:tabs>
                <w:tab w:val="clear" w:pos="567"/>
                <w:tab w:val="left" w:pos="304"/>
                <w:tab w:val="left" w:pos="2170"/>
                <w:tab w:val="left" w:pos="3631"/>
              </w:tabs>
              <w:spacing w:before="60"/>
            </w:pPr>
            <w:r>
              <w:t>Sandstone Ward</w:t>
            </w:r>
          </w:p>
        </w:tc>
      </w:tr>
      <w:tr>
        <w:trPr>
          <w:cantSplit/>
        </w:trPr>
        <w:tc>
          <w:tcPr>
            <w:tcW w:w="3118" w:type="dxa"/>
          </w:tcPr>
          <w:p>
            <w:pPr>
              <w:pStyle w:val="yTableNAm"/>
              <w:tabs>
                <w:tab w:val="clear" w:pos="567"/>
                <w:tab w:val="left" w:pos="3631"/>
              </w:tabs>
              <w:spacing w:before="0"/>
            </w:pPr>
            <w:r>
              <w:t>Serpentine</w:t>
            </w:r>
            <w:r>
              <w:noBreakHyphen/>
              <w:t>Jarrahdale</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South Perth</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r>
                <w:t>Stirling</w:t>
              </w:r>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Subiaco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Swan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Tammin</w:t>
            </w:r>
          </w:p>
        </w:tc>
        <w:tc>
          <w:tcPr>
            <w:tcW w:w="3544" w:type="dxa"/>
          </w:tcPr>
          <w:p>
            <w:pPr>
              <w:pStyle w:val="yTableNAm"/>
              <w:tabs>
                <w:tab w:val="clear" w:pos="567"/>
                <w:tab w:val="left" w:pos="304"/>
                <w:tab w:val="left" w:pos="2170"/>
                <w:tab w:val="left" w:pos="3631"/>
              </w:tabs>
              <w:spacing w:before="60"/>
            </w:pPr>
            <w:r>
              <w:t>Townsite of Tammin</w:t>
            </w:r>
          </w:p>
        </w:tc>
      </w:tr>
      <w:tr>
        <w:trPr>
          <w:cantSplit/>
        </w:trPr>
        <w:tc>
          <w:tcPr>
            <w:tcW w:w="3118" w:type="dxa"/>
          </w:tcPr>
          <w:p>
            <w:pPr>
              <w:pStyle w:val="yTableNAm"/>
              <w:tabs>
                <w:tab w:val="clear" w:pos="567"/>
                <w:tab w:val="left" w:pos="3631"/>
              </w:tabs>
              <w:spacing w:before="60"/>
            </w:pPr>
            <w:r>
              <w:t>Trayning</w:t>
            </w:r>
          </w:p>
        </w:tc>
        <w:tc>
          <w:tcPr>
            <w:tcW w:w="3544"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118" w:type="dxa"/>
          </w:tcPr>
          <w:p>
            <w:pPr>
              <w:pStyle w:val="yTableNAm"/>
              <w:tabs>
                <w:tab w:val="clear" w:pos="567"/>
                <w:tab w:val="left" w:pos="3631"/>
              </w:tabs>
              <w:spacing w:before="60"/>
            </w:pPr>
            <w:r>
              <w:t>Victoria Park</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Vincent</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Wagin</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Wandering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Wanneroo</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Waroona</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West Arthur</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Williams</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Wiluna</w:t>
            </w:r>
          </w:p>
        </w:tc>
        <w:tc>
          <w:tcPr>
            <w:tcW w:w="3544" w:type="dxa"/>
          </w:tcPr>
          <w:p>
            <w:pPr>
              <w:pStyle w:val="yTableNAm"/>
              <w:tabs>
                <w:tab w:val="clear" w:pos="567"/>
                <w:tab w:val="left" w:pos="304"/>
                <w:tab w:val="left" w:pos="2170"/>
                <w:tab w:val="left" w:pos="3631"/>
              </w:tabs>
              <w:spacing w:before="60"/>
            </w:pPr>
            <w:r>
              <w:t>Townsite of Wiluna</w:t>
            </w:r>
          </w:p>
        </w:tc>
      </w:tr>
      <w:tr>
        <w:trPr>
          <w:cantSplit/>
        </w:trPr>
        <w:tc>
          <w:tcPr>
            <w:tcW w:w="3118" w:type="dxa"/>
          </w:tcPr>
          <w:p>
            <w:pPr>
              <w:pStyle w:val="yTableNAm"/>
              <w:tabs>
                <w:tab w:val="clear" w:pos="567"/>
                <w:tab w:val="left" w:pos="3631"/>
              </w:tabs>
              <w:spacing w:before="0"/>
            </w:pPr>
            <w:r>
              <w:t>Wongan</w:t>
            </w:r>
            <w:r>
              <w:noBreakHyphen/>
              <w:t>Ballidu</w:t>
            </w:r>
          </w:p>
        </w:tc>
        <w:tc>
          <w:tcPr>
            <w:tcW w:w="3544"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118" w:type="dxa"/>
          </w:tcPr>
          <w:p>
            <w:pPr>
              <w:pStyle w:val="yTableNAm"/>
              <w:tabs>
                <w:tab w:val="clear" w:pos="567"/>
                <w:tab w:val="left" w:pos="3631"/>
              </w:tabs>
              <w:spacing w:before="60"/>
            </w:pPr>
            <w:r>
              <w:t>Woodanilling</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r>
              <w:t>Wyalkatchem</w:t>
            </w:r>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0"/>
            </w:pPr>
            <w:r>
              <w:t>Wyndham</w:t>
            </w:r>
            <w:r>
              <w:noBreakHyphen/>
              <w:t>East </w:t>
            </w:r>
            <w:smartTag w:uri="urn:schemas-microsoft-com:office:smarttags" w:element="place">
              <w:smartTag w:uri="urn:schemas-microsoft-com:office:smarttags" w:element="City">
                <w:r>
                  <w:t>Kimberley</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544" w:type="dxa"/>
          </w:tcPr>
          <w:p>
            <w:pPr>
              <w:pStyle w:val="yTableNAm"/>
              <w:tabs>
                <w:tab w:val="clear" w:pos="567"/>
                <w:tab w:val="left" w:pos="304"/>
                <w:tab w:val="left" w:pos="2170"/>
                <w:tab w:val="left" w:pos="3631"/>
              </w:tabs>
              <w:spacing w:before="60"/>
            </w:pPr>
            <w:r>
              <w:t>Whole district</w:t>
            </w:r>
          </w:p>
        </w:tc>
      </w:tr>
      <w:tr>
        <w:trPr>
          <w:cantSplit/>
        </w:trPr>
        <w:tc>
          <w:tcPr>
            <w:tcW w:w="3118" w:type="dxa"/>
            <w:tcBorders>
              <w:bottom w:val="single" w:sz="4" w:space="0" w:color="auto"/>
            </w:tcBorders>
          </w:tcPr>
          <w:p>
            <w:pPr>
              <w:pStyle w:val="yTableNAm"/>
              <w:tabs>
                <w:tab w:val="clear" w:pos="567"/>
                <w:tab w:val="left" w:pos="3631"/>
              </w:tabs>
              <w:spacing w:before="60"/>
            </w:pPr>
            <w:r>
              <w:t xml:space="preserve">All other districts </w:t>
            </w:r>
          </w:p>
        </w:tc>
        <w:tc>
          <w:tcPr>
            <w:tcW w:w="3544"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Subsection"/>
        <w:outlineLvl w:val="0"/>
        <w:sectPr>
          <w:headerReference w:type="even" r:id="rId32"/>
          <w:headerReference w:type="default" r:id="rId33"/>
          <w:endnotePr>
            <w:numFmt w:val="decimal"/>
          </w:endnotePr>
          <w:pgSz w:w="11907" w:h="16840" w:code="9"/>
          <w:pgMar w:top="2381" w:right="2410" w:bottom="3544" w:left="2410" w:header="720" w:footer="3380" w:gutter="0"/>
          <w:cols w:space="720"/>
          <w:docGrid w:linePitch="78"/>
        </w:sectPr>
      </w:pPr>
      <w:bookmarkStart w:id="311" w:name="_Toc319322069"/>
      <w:bookmarkStart w:id="312" w:name="_Toc319403168"/>
    </w:p>
    <w:p>
      <w:pPr>
        <w:pStyle w:val="nHeading2"/>
      </w:pPr>
      <w:bookmarkStart w:id="313" w:name="_Toc320625569"/>
      <w:bookmarkStart w:id="314" w:name="_Toc320625844"/>
      <w:bookmarkStart w:id="315" w:name="_Toc320697884"/>
      <w:r>
        <w:t>Notes</w:t>
      </w:r>
      <w:bookmarkEnd w:id="256"/>
      <w:bookmarkEnd w:id="257"/>
      <w:bookmarkEnd w:id="258"/>
      <w:bookmarkEnd w:id="259"/>
      <w:bookmarkEnd w:id="311"/>
      <w:bookmarkEnd w:id="312"/>
      <w:bookmarkEnd w:id="313"/>
      <w:bookmarkEnd w:id="314"/>
      <w:bookmarkEnd w:id="315"/>
    </w:p>
    <w:p>
      <w:pPr>
        <w:pStyle w:val="nSubsection"/>
        <w:rPr>
          <w:snapToGrid w:val="0"/>
        </w:rPr>
      </w:pPr>
      <w:r>
        <w:rPr>
          <w:snapToGrid w:val="0"/>
          <w:vertAlign w:val="superscript"/>
        </w:rPr>
        <w:t>1</w:t>
      </w:r>
      <w:r>
        <w:rPr>
          <w:snapToGrid w:val="0"/>
        </w:rPr>
        <w:tab/>
        <w:t xml:space="preserve">This is a compilation of the </w:t>
      </w:r>
      <w:r>
        <w:rPr>
          <w:i/>
        </w:rPr>
        <w:t>Building Regulations 2012</w:t>
      </w:r>
      <w:r>
        <w:rPr>
          <w:snapToGrid w:val="0"/>
        </w:rPr>
        <w:t xml:space="preserve">.  The following table contains information about those regulations. </w:t>
      </w:r>
    </w:p>
    <w:p>
      <w:pPr>
        <w:pStyle w:val="nHeading3"/>
      </w:pPr>
      <w:bookmarkStart w:id="316" w:name="_Toc320697885"/>
      <w:r>
        <w:t>Compilation table</w:t>
      </w:r>
      <w:bookmarkEnd w:id="3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shd w:val="clear" w:color="auto" w:fill="auto"/>
          </w:tcPr>
          <w:p>
            <w:pPr>
              <w:pStyle w:val="nTable"/>
              <w:spacing w:after="40"/>
              <w:rPr>
                <w:b/>
                <w:sz w:val="19"/>
              </w:rPr>
            </w:pPr>
            <w:r>
              <w:rPr>
                <w:b/>
                <w:sz w:val="19"/>
              </w:rPr>
              <w:t>Citation</w:t>
            </w:r>
          </w:p>
        </w:tc>
        <w:tc>
          <w:tcPr>
            <w:tcW w:w="1276" w:type="dxa"/>
            <w:shd w:val="clear" w:color="auto" w:fill="auto"/>
          </w:tcPr>
          <w:p>
            <w:pPr>
              <w:pStyle w:val="nTable"/>
              <w:spacing w:after="40"/>
              <w:rPr>
                <w:b/>
                <w:sz w:val="19"/>
              </w:rPr>
            </w:pPr>
            <w:r>
              <w:rPr>
                <w:b/>
                <w:sz w:val="19"/>
              </w:rPr>
              <w:t>Gazettal</w:t>
            </w:r>
          </w:p>
        </w:tc>
        <w:tc>
          <w:tcPr>
            <w:tcW w:w="2693" w:type="dxa"/>
            <w:shd w:val="clear" w:color="auto" w:fill="auto"/>
          </w:tcPr>
          <w:p>
            <w:pPr>
              <w:pStyle w:val="nTable"/>
              <w:spacing w:after="40"/>
              <w:rPr>
                <w:b/>
                <w:sz w:val="19"/>
              </w:rPr>
            </w:pPr>
            <w:r>
              <w:rPr>
                <w:b/>
                <w:sz w:val="19"/>
              </w:rPr>
              <w:t>Commencement</w:t>
            </w:r>
          </w:p>
        </w:tc>
      </w:tr>
      <w:tr>
        <w:tc>
          <w:tcPr>
            <w:tcW w:w="3118" w:type="dxa"/>
          </w:tcPr>
          <w:p>
            <w:pPr>
              <w:pStyle w:val="nTable"/>
              <w:spacing w:after="40"/>
              <w:rPr>
                <w:i/>
                <w:noProof/>
                <w:snapToGrid w:val="0"/>
                <w:sz w:val="19"/>
              </w:rPr>
            </w:pPr>
            <w:r>
              <w:rPr>
                <w:i/>
                <w:noProof/>
                <w:snapToGrid w:val="0"/>
                <w:sz w:val="19"/>
              </w:rPr>
              <w:t>Building Regulations 2012</w:t>
            </w:r>
          </w:p>
        </w:tc>
        <w:tc>
          <w:tcPr>
            <w:tcW w:w="1276" w:type="dxa"/>
          </w:tcPr>
          <w:p>
            <w:pPr>
              <w:pStyle w:val="nTable"/>
              <w:spacing w:after="40"/>
              <w:rPr>
                <w:sz w:val="19"/>
              </w:rPr>
            </w:pPr>
            <w:r>
              <w:rPr>
                <w:sz w:val="19"/>
              </w:rPr>
              <w:t>13 Mar 2012 p. 1055-137</w:t>
            </w:r>
          </w:p>
        </w:tc>
        <w:tc>
          <w:tcPr>
            <w:tcW w:w="2693" w:type="dxa"/>
          </w:tcPr>
          <w:p>
            <w:pPr>
              <w:pStyle w:val="nTable"/>
              <w:spacing w:after="40"/>
              <w:rPr>
                <w:sz w:val="19"/>
              </w:rPr>
            </w:pPr>
            <w:r>
              <w:rPr>
                <w:sz w:val="19"/>
              </w:rPr>
              <w:t>r. 1 and 2: 13 Mar 2012 (see r. 2(a))</w:t>
            </w:r>
            <w:r>
              <w:rPr>
                <w:sz w:val="19"/>
              </w:rPr>
              <w:br/>
              <w:t xml:space="preserve">Regulations other than r. 1 and 2: 2 Apr 2012 (see r. 2(b) and </w:t>
            </w:r>
            <w:r>
              <w:rPr>
                <w:i/>
                <w:sz w:val="19"/>
              </w:rPr>
              <w:t>Gazette</w:t>
            </w:r>
            <w:r>
              <w:rPr>
                <w:sz w:val="19"/>
              </w:rPr>
              <w:t xml:space="preserve"> 13 Mar 2012 p. 1033)</w:t>
            </w:r>
          </w:p>
        </w:tc>
      </w:tr>
    </w:tbl>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Building Regulations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4CC03303"/>
    <w:multiLevelType w:val="singleLevel"/>
    <w:tmpl w:val="0809000F"/>
    <w:lvl w:ilvl="0">
      <w:start w:val="1"/>
      <w:numFmt w:val="decimal"/>
      <w:lvlText w:val="%1."/>
      <w:lvlJc w:val="left"/>
      <w:pPr>
        <w:tabs>
          <w:tab w:val="num" w:pos="360"/>
        </w:tabs>
        <w:ind w:left="360" w:hanging="360"/>
      </w:pPr>
    </w:lvl>
  </w:abstractNum>
  <w:abstractNum w:abstractNumId="3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3">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2">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1"/>
  </w:num>
  <w:num w:numId="3">
    <w:abstractNumId w:val="19"/>
  </w:num>
  <w:num w:numId="4">
    <w:abstractNumId w:val="14"/>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9"/>
  </w:num>
  <w:num w:numId="17">
    <w:abstractNumId w:val="38"/>
  </w:num>
  <w:num w:numId="18">
    <w:abstractNumId w:val="33"/>
  </w:num>
  <w:num w:numId="19">
    <w:abstractNumId w:val="30"/>
  </w:num>
  <w:num w:numId="20">
    <w:abstractNumId w:val="13"/>
  </w:num>
  <w:num w:numId="21">
    <w:abstractNumId w:val="34"/>
  </w:num>
  <w:num w:numId="22">
    <w:abstractNumId w:val="18"/>
  </w:num>
  <w:num w:numId="23">
    <w:abstractNumId w:val="12"/>
  </w:num>
  <w:num w:numId="24">
    <w:abstractNumId w:val="16"/>
  </w:num>
  <w:num w:numId="25">
    <w:abstractNumId w:val="35"/>
  </w:num>
  <w:num w:numId="26">
    <w:abstractNumId w:val="26"/>
  </w:num>
  <w:num w:numId="27">
    <w:abstractNumId w:val="20"/>
  </w:num>
  <w:num w:numId="28">
    <w:abstractNumId w:val="28"/>
  </w:num>
  <w:num w:numId="29">
    <w:abstractNumId w:val="41"/>
  </w:num>
  <w:num w:numId="30">
    <w:abstractNumId w:val="42"/>
  </w:num>
  <w:num w:numId="31">
    <w:abstractNumId w:val="39"/>
  </w:num>
  <w:num w:numId="32">
    <w:abstractNumId w:val="3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character" w:customStyle="1" w:styleId="TableAmChar">
    <w:name w:val="TableAm Char"/>
    <w:basedOn w:val="DefaultParagraphFont"/>
    <w:link w:val="TableAm"/>
    <w:rPr>
      <w:sz w:val="24"/>
      <w:lang w:val="en-AU" w:eastAsia="en-US" w:bidi="ar-SA"/>
    </w:rPr>
  </w:style>
  <w:style w:type="character" w:customStyle="1" w:styleId="zTableNAmChar">
    <w:name w:val="zTableNAm Char"/>
    <w:basedOn w:val="TableAmChar"/>
    <w:link w:val="zTableNAm"/>
    <w:rPr>
      <w:sz w:val="24"/>
      <w:lang w:val="en-AU" w:eastAsia="en-US" w:bidi="ar-SA"/>
    </w:rPr>
  </w:style>
  <w:style w:type="character" w:customStyle="1" w:styleId="SubsectionChar">
    <w:name w:val="Subsection Char"/>
    <w:basedOn w:val="DefaultParagraphFont"/>
    <w:link w:val="Subsection"/>
    <w:rPr>
      <w:sz w:val="24"/>
      <w:lang w:val="en-AU" w:eastAsia="en-US" w:bidi="ar-SA"/>
    </w:rPr>
  </w:style>
  <w:style w:type="paragraph" w:styleId="ListParagraph">
    <w:name w:val="List Paragraph"/>
    <w:basedOn w:val="Normal"/>
    <w:qFormat/>
    <w:pPr>
      <w:spacing w:before="100" w:beforeAutospacing="1" w:after="100" w:afterAutospacing="1"/>
    </w:pPr>
    <w:rPr>
      <w:rFonts w:eastAsia="Calibri"/>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15763</Words>
  <Characters>78505</Characters>
  <Application>Microsoft Office Word</Application>
  <DocSecurity>0</DocSecurity>
  <Lines>2707</Lines>
  <Paragraphs>1545</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Drafting Template (Regs)</vt:lpstr>
      <vt:lpstr>    Part 1 — Preliminary</vt:lpstr>
      <vt:lpstr>    Part 2 — General matters</vt:lpstr>
      <vt:lpstr>    Part 3 — Building and demolition permits</vt:lpstr>
      <vt:lpstr>    Part 4 — Building standards</vt:lpstr>
      <vt:lpstr>    Part 5 — Occupancy permits and building approval certificates</vt:lpstr>
      <vt:lpstr>    Part 6 — Circumstances in which building, demolition or occupancy permits not re</vt:lpstr>
      <vt:lpstr>    Part 7 — Work affecting other land</vt:lpstr>
      <vt:lpstr>    Part 8 — Existing buildings</vt:lpstr>
      <vt:lpstr>        Division 1 — General</vt:lpstr>
      <vt:lpstr>        Division 2 — Private swimming pools</vt:lpstr>
      <vt:lpstr>        Division 3 — Smoke alarms</vt:lpstr>
      <vt:lpstr>    Part 9 — Transitional provisions relating to Local Government (Miscellaneous Pro</vt:lpstr>
      <vt:lpstr>    Schedule 1 — Estimated value of building work</vt:lpstr>
      <vt:lpstr>    Schedule 2 — Fees</vt:lpstr>
      <vt:lpstr>        Division 1 — Applications for building permits, demolition permits</vt:lpstr>
      <vt:lpstr>        Division 2 — Application for occupancy permits, building approval certificates</vt:lpstr>
      <vt:lpstr>        Division 3 — Other applications</vt:lpstr>
      <vt:lpstr>    Schedule 3 — Inspections or tests of systems</vt:lpstr>
      <vt:lpstr>    Schedule 4 — Building work that does not require building permit</vt:lpstr>
      <vt:lpstr>    Schedule 5 — Areas of State where Part 8 Division 2 applies</vt:lpstr>
      <vt:lpstr/>
      <vt:lpstr>    Notes</vt:lpstr>
    </vt:vector>
  </TitlesOfParts>
  <Manager/>
  <Company/>
  <LinksUpToDate>false</LinksUpToDate>
  <CharactersWithSpaces>92723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2012 - 00-b0-02</dc:title>
  <dc:subject/>
  <dc:creator/>
  <cp:keywords/>
  <dc:description/>
  <cp:lastModifiedBy>svcMRProcess</cp:lastModifiedBy>
  <cp:revision>4</cp:revision>
  <cp:lastPrinted>2012-02-24T02:46:00Z</cp:lastPrinted>
  <dcterms:created xsi:type="dcterms:W3CDTF">2018-09-18T22:24:00Z</dcterms:created>
  <dcterms:modified xsi:type="dcterms:W3CDTF">2018-09-18T22:24:00Z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20120402</vt:lpwstr>
  </property>
  <property fmtid="{D5CDD505-2E9C-101B-9397-08002B2CF9AE}" pid="4" name="AsAtDate">
    <vt:lpwstr>02 Apr 2012</vt:lpwstr>
  </property>
  <property fmtid="{D5CDD505-2E9C-101B-9397-08002B2CF9AE}" pid="5" name="Suffix">
    <vt:lpwstr>00-b0-02</vt:lpwstr>
  </property>
  <property fmtid="{D5CDD505-2E9C-101B-9397-08002B2CF9AE}" pid="6" name="DocumentType">
    <vt:lpwstr>Reg</vt:lpwstr>
  </property>
</Properties>
</file>