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March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_Toc421011447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_Toc421011448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_Toc421011450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Prescribed manner of giving notice of purpose and effect of proposed local law </w:t>
      </w:r>
      <w:r>
        <w:rPr>
          <w:snapToGrid w:val="0"/>
        </w:rPr>
        <w:t>(Act </w:t>
      </w:r>
      <w:r>
        <w:t>s. 3.12(2))</w:t>
      </w:r>
      <w:r>
        <w:tab/>
      </w:r>
      <w:r>
        <w:fldChar w:fldCharType="begin"/>
      </w:r>
      <w:r>
        <w:instrText xml:space="preserve"> PAGEREF _Toc421011451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pPr>
        <w:pStyle w:val="TOC8"/>
        <w:rPr>
          <w:rFonts w:asciiTheme="minorHAnsi" w:eastAsiaTheme="minorEastAsia" w:hAnsiTheme="minorHAnsi" w:cstheme="minorBidi"/>
          <w:szCs w:val="22"/>
        </w:rPr>
      </w:pPr>
      <w:r>
        <w:t>4</w:t>
      </w:r>
      <w:r>
        <w:rPr>
          <w:snapToGrid w:val="0"/>
        </w:rPr>
        <w:t>.</w:t>
      </w:r>
      <w:r>
        <w:rPr>
          <w:snapToGrid w:val="0"/>
        </w:rPr>
        <w:tab/>
        <w:t>Persons prescribed to be notified of road closure (Act s. 3.50)</w:t>
      </w:r>
      <w:r>
        <w:tab/>
      </w:r>
      <w:r>
        <w:fldChar w:fldCharType="begin"/>
      </w:r>
      <w:r>
        <w:instrText xml:space="preserve"> PAGEREF _Toc421011453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Persons prescribed to be notified of certain proposals (Act s. </w:t>
      </w:r>
      <w:r>
        <w:t>3</w:t>
      </w:r>
      <w:r>
        <w:rPr>
          <w:snapToGrid w:val="0"/>
        </w:rPr>
        <w:t xml:space="preserve">.51(1) </w:t>
      </w:r>
      <w:r>
        <w:rPr>
          <w:i/>
          <w:snapToGrid w:val="0"/>
        </w:rPr>
        <w:t>person having an interest</w:t>
      </w:r>
      <w:r>
        <w:rPr>
          <w:snapToGrid w:val="0"/>
        </w:rPr>
        <w:t>)</w:t>
      </w:r>
      <w:r>
        <w:tab/>
      </w:r>
      <w:r>
        <w:fldChar w:fldCharType="begin"/>
      </w:r>
      <w:r>
        <w:instrText xml:space="preserve"> PAGEREF _Toc421011454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provisions about road closures</w:t>
      </w:r>
      <w:r>
        <w:tab/>
      </w:r>
      <w:r>
        <w:fldChar w:fldCharType="begin"/>
      </w:r>
      <w:r>
        <w:instrText xml:space="preserve"> PAGEREF _Toc421011455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_Toc421011457 \h </w:instrText>
      </w:r>
      <w:r>
        <w:fldChar w:fldCharType="separate"/>
      </w:r>
      <w:r>
        <w:t>5</w:t>
      </w:r>
      <w:r>
        <w:fldChar w:fldCharType="end"/>
      </w:r>
    </w:p>
    <w:p>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Pr>
          <w:snapToGrid w:val="0"/>
        </w:rPr>
        <w:t>(Act </w:t>
      </w:r>
      <w:r>
        <w:t>s. 3.59)</w:t>
      </w:r>
      <w:r>
        <w:tab/>
      </w:r>
      <w:r>
        <w:fldChar w:fldCharType="begin"/>
      </w:r>
      <w:r>
        <w:instrText xml:space="preserve"> PAGEREF _Toc421011458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 land transactions prescribed (Act s. 3.59)</w:t>
      </w:r>
      <w:r>
        <w:tab/>
      </w:r>
      <w:r>
        <w:fldChar w:fldCharType="begin"/>
      </w:r>
      <w:r>
        <w:instrText xml:space="preserve"> PAGEREF _Toc421011459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Amount prescribed for major trading undertakings; exempt trading undertakings prescribed (Act s. 3.59)</w:t>
      </w:r>
      <w:r>
        <w:tab/>
      </w:r>
      <w:r>
        <w:fldChar w:fldCharType="begin"/>
      </w:r>
      <w:r>
        <w:instrText xml:space="preserve"> PAGEREF _Toc421011460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plans for major trading undertaking and major land transaction, content of</w:t>
      </w:r>
      <w:r>
        <w:tab/>
      </w:r>
      <w:r>
        <w:fldChar w:fldCharType="begin"/>
      </w:r>
      <w:r>
        <w:instrText xml:space="preserve"> PAGEREF _Toc421011461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w:t>
      </w:r>
      <w:r>
        <w:rPr>
          <w:b w:val="0"/>
          <w:noProof/>
        </w:rPr>
        <w:t> </w:t>
      </w:r>
      <w:r>
        <w:rPr>
          <w:noProof/>
        </w:rPr>
        <w:t>—</w:t>
      </w:r>
      <w:r>
        <w:rPr>
          <w:b w:val="0"/>
          <w:noProof/>
        </w:rPr>
        <w:t> </w:t>
      </w:r>
      <w:r>
        <w:rPr>
          <w:noProof/>
        </w:rPr>
        <w:t>Provision of goods and services</w:t>
      </w:r>
    </w:p>
    <w:p>
      <w:pPr>
        <w:pStyle w:val="TOC4"/>
        <w:tabs>
          <w:tab w:val="right" w:leader="dot" w:pos="7077"/>
        </w:tabs>
        <w:rPr>
          <w:rFonts w:asciiTheme="minorHAnsi" w:eastAsiaTheme="minorEastAsia" w:hAnsiTheme="minorHAnsi" w:cstheme="minorBidi"/>
          <w:b w:val="0"/>
          <w:szCs w:val="22"/>
        </w:rPr>
      </w:pPr>
      <w:r>
        <w:t>Division 1 — Purchasing policies</w:t>
      </w:r>
    </w:p>
    <w:p>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_Toc421011464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pPr>
        <w:pStyle w:val="TOC8"/>
        <w:rPr>
          <w:rFonts w:asciiTheme="minorHAnsi" w:eastAsiaTheme="minorEastAsia" w:hAnsiTheme="minorHAnsi" w:cstheme="minorBidi"/>
          <w:szCs w:val="22"/>
        </w:rPr>
      </w:pPr>
      <w:r>
        <w:t>11</w:t>
      </w:r>
      <w:r>
        <w:rPr>
          <w:snapToGrid w:val="0"/>
        </w:rPr>
        <w:t>.</w:t>
      </w:r>
      <w:r>
        <w:rPr>
          <w:snapToGrid w:val="0"/>
        </w:rPr>
        <w:tab/>
        <w:t>When tenders have to be publicly invited</w:t>
      </w:r>
      <w:r>
        <w:tab/>
      </w:r>
      <w:r>
        <w:fldChar w:fldCharType="begin"/>
      </w:r>
      <w:r>
        <w:instrText xml:space="preserve"> PAGEREF _Toc421011466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Anti</w:t>
      </w:r>
      <w:r>
        <w:rPr>
          <w:snapToGrid w:val="0"/>
        </w:rPr>
        <w:noBreakHyphen/>
        <w:t>avoidance provision for r. 11(1)</w:t>
      </w:r>
      <w:r>
        <w:tab/>
      </w:r>
      <w:r>
        <w:fldChar w:fldCharType="begin"/>
      </w:r>
      <w:r>
        <w:instrText xml:space="preserve"> PAGEREF _Toc421011467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Requirements when local government invites tenders though not required to do so</w:t>
      </w:r>
      <w:r>
        <w:tab/>
      </w:r>
      <w:r>
        <w:fldChar w:fldCharType="begin"/>
      </w:r>
      <w:r>
        <w:instrText xml:space="preserve"> PAGEREF _Toc421011468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Publicly inviting tenders, requirements for</w:t>
      </w:r>
      <w:r>
        <w:tab/>
      </w:r>
      <w:r>
        <w:fldChar w:fldCharType="begin"/>
      </w:r>
      <w:r>
        <w:instrText xml:space="preserve"> PAGEREF _Toc421011469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Minimum time to be allowed for submitting tenders</w:t>
      </w:r>
      <w:r>
        <w:tab/>
      </w:r>
      <w:r>
        <w:fldChar w:fldCharType="begin"/>
      </w:r>
      <w:r>
        <w:instrText xml:space="preserve"> PAGEREF _Toc421011470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Receiving and opening tenders, procedure for</w:t>
      </w:r>
      <w:r>
        <w:tab/>
      </w:r>
      <w:r>
        <w:fldChar w:fldCharType="begin"/>
      </w:r>
      <w:r>
        <w:instrText xml:space="preserve"> PAGEREF _Toc421011471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Tenders register</w:t>
      </w:r>
      <w:r>
        <w:tab/>
      </w:r>
      <w:r>
        <w:fldChar w:fldCharType="begin"/>
      </w:r>
      <w:r>
        <w:instrText xml:space="preserve"> PAGEREF _Toc421011472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Rejecting and accepting tenders</w:t>
      </w:r>
      <w:r>
        <w:tab/>
      </w:r>
      <w:r>
        <w:fldChar w:fldCharType="begin"/>
      </w:r>
      <w:r>
        <w:instrText xml:space="preserve"> PAGEREF _Toc421011473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Tenderers to be notified of outcome</w:t>
      </w:r>
      <w:r>
        <w:tab/>
      </w:r>
      <w:r>
        <w:fldChar w:fldCharType="begin"/>
      </w:r>
      <w:r>
        <w:instrText xml:space="preserve"> PAGEREF _Toc421011474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of requirements before entry into contract</w:t>
      </w:r>
      <w:r>
        <w:tab/>
      </w:r>
      <w:r>
        <w:fldChar w:fldCharType="begin"/>
      </w:r>
      <w:r>
        <w:instrText xml:space="preserve"> PAGEREF _Toc421011475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Limiting who can tender, procedure for</w:t>
      </w:r>
      <w:r>
        <w:tab/>
      </w:r>
      <w:r>
        <w:fldChar w:fldCharType="begin"/>
      </w:r>
      <w:r>
        <w:instrText xml:space="preserve"> PAGEREF _Toc421011476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Minimum time to be allowed for submitting expressions of interest</w:t>
      </w:r>
      <w:r>
        <w:tab/>
      </w:r>
      <w:r>
        <w:fldChar w:fldCharType="begin"/>
      </w:r>
      <w:r>
        <w:instrText xml:space="preserve"> PAGEREF _Toc421011477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Rejecting and accepting expressions of interest to be acceptable tenderer</w:t>
      </w:r>
      <w:r>
        <w:tab/>
      </w:r>
      <w:r>
        <w:fldChar w:fldCharType="begin"/>
      </w:r>
      <w:r>
        <w:instrText xml:space="preserve"> PAGEREF _Toc421011478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People who submitted expression of interest to be notified of outcome</w:t>
      </w:r>
      <w:r>
        <w:tab/>
      </w:r>
      <w:r>
        <w:fldChar w:fldCharType="begin"/>
      </w:r>
      <w:r>
        <w:instrText xml:space="preserve"> PAGEREF _Toc421011479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_Toc421011481 \h </w:instrText>
      </w:r>
      <w:r>
        <w:fldChar w:fldCharType="separate"/>
      </w:r>
      <w:r>
        <w:t>22</w:t>
      </w:r>
      <w:r>
        <w:fldChar w:fldCharType="end"/>
      </w:r>
    </w:p>
    <w:p>
      <w:pPr>
        <w:pStyle w:val="TOC8"/>
        <w:rPr>
          <w:rFonts w:asciiTheme="minorHAnsi" w:eastAsiaTheme="minorEastAsia" w:hAnsiTheme="minorHAnsi" w:cstheme="minorBidi"/>
          <w:szCs w:val="22"/>
        </w:rPr>
      </w:pPr>
      <w:r>
        <w:t>24B.</w:t>
      </w:r>
      <w:r>
        <w:tab/>
        <w:t>Terms used</w:t>
      </w:r>
      <w:r>
        <w:tab/>
      </w:r>
      <w:r>
        <w:fldChar w:fldCharType="begin"/>
      </w:r>
      <w:r>
        <w:instrText xml:space="preserve"> PAGEREF _Toc421011482 \h </w:instrText>
      </w:r>
      <w:r>
        <w:fldChar w:fldCharType="separate"/>
      </w:r>
      <w:r>
        <w:t>22</w:t>
      </w:r>
      <w:r>
        <w:fldChar w:fldCharType="end"/>
      </w:r>
    </w:p>
    <w:p>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_Toc421011483 \h </w:instrText>
      </w:r>
      <w:r>
        <w:fldChar w:fldCharType="separate"/>
      </w:r>
      <w:r>
        <w:t>22</w:t>
      </w:r>
      <w:r>
        <w:fldChar w:fldCharType="end"/>
      </w:r>
    </w:p>
    <w:p>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_Toc421011484 \h </w:instrText>
      </w:r>
      <w:r>
        <w:fldChar w:fldCharType="separate"/>
      </w:r>
      <w:r>
        <w:t>23</w:t>
      </w:r>
      <w:r>
        <w:fldChar w:fldCharType="end"/>
      </w:r>
    </w:p>
    <w:p>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_Toc421011485 \h </w:instrText>
      </w:r>
      <w:r>
        <w:fldChar w:fldCharType="separate"/>
      </w:r>
      <w:r>
        <w:t>24</w:t>
      </w:r>
      <w:r>
        <w:fldChar w:fldCharType="end"/>
      </w:r>
    </w:p>
    <w:p>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_Toc421011486 \h </w:instrText>
      </w:r>
      <w:r>
        <w:fldChar w:fldCharType="separate"/>
      </w:r>
      <w:r>
        <w:t>25</w:t>
      </w:r>
      <w:r>
        <w:fldChar w:fldCharType="end"/>
      </w:r>
    </w:p>
    <w:p>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_Toc421011487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pPr>
        <w:pStyle w:val="TOC8"/>
        <w:rPr>
          <w:rFonts w:asciiTheme="minorHAnsi" w:eastAsiaTheme="minorEastAsia" w:hAnsiTheme="minorHAnsi" w:cstheme="minorBidi"/>
          <w:szCs w:val="22"/>
        </w:rPr>
      </w:pPr>
      <w:r>
        <w:t>25</w:t>
      </w:r>
      <w:r>
        <w:rPr>
          <w:snapToGrid w:val="0"/>
        </w:rPr>
        <w:t>.</w:t>
      </w:r>
      <w:r>
        <w:rPr>
          <w:snapToGrid w:val="0"/>
        </w:rPr>
        <w:tab/>
        <w:t>Notice to put onus on vehicle owner, form of (Act s. 9.13)</w:t>
      </w:r>
      <w:r>
        <w:tab/>
      </w:r>
      <w:r>
        <w:fldChar w:fldCharType="begin"/>
      </w:r>
      <w:r>
        <w:instrText xml:space="preserve"> PAGEREF _Toc421011489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Infringement notice, form of (Act s. 9.16)</w:t>
      </w:r>
      <w:r>
        <w:tab/>
      </w:r>
      <w:r>
        <w:fldChar w:fldCharType="begin"/>
      </w:r>
      <w:r>
        <w:instrText xml:space="preserve"> PAGEREF _Toc421011490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Withdrawal of infringement notice, form of (Act s. 9.20)</w:t>
      </w:r>
      <w:r>
        <w:tab/>
      </w:r>
      <w:r>
        <w:fldChar w:fldCharType="begin"/>
      </w:r>
      <w:r>
        <w:instrText xml:space="preserve"> PAGEREF _Toc421011491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pPr>
        <w:pStyle w:val="TOC8"/>
        <w:rPr>
          <w:rFonts w:asciiTheme="minorHAnsi" w:eastAsiaTheme="minorEastAsia" w:hAnsiTheme="minorHAnsi" w:cstheme="minorBidi"/>
          <w:szCs w:val="22"/>
        </w:rPr>
      </w:pPr>
      <w:r>
        <w:t>29</w:t>
      </w:r>
      <w:r>
        <w:rPr>
          <w:snapToGrid w:val="0"/>
        </w:rPr>
        <w:t>.</w:t>
      </w:r>
      <w:r>
        <w:rPr>
          <w:snapToGrid w:val="0"/>
        </w:rPr>
        <w:tab/>
        <w:t>Contraventions that may lead to impounding of goods (Act s. </w:t>
      </w:r>
      <w:r>
        <w:t>3</w:t>
      </w:r>
      <w:r>
        <w:rPr>
          <w:snapToGrid w:val="0"/>
        </w:rPr>
        <w:t>.37)</w:t>
      </w:r>
      <w:r>
        <w:tab/>
      </w:r>
      <w:r>
        <w:fldChar w:fldCharType="begin"/>
      </w:r>
      <w:r>
        <w:instrText xml:space="preserve"> PAGEREF _Toc421011493 \h </w:instrText>
      </w:r>
      <w:r>
        <w:fldChar w:fldCharType="separate"/>
      </w:r>
      <w:r>
        <w:t>28</w:t>
      </w:r>
      <w:r>
        <w:fldChar w:fldCharType="end"/>
      </w:r>
    </w:p>
    <w:p>
      <w:pPr>
        <w:pStyle w:val="TOC8"/>
        <w:rPr>
          <w:rFonts w:asciiTheme="minorHAnsi" w:eastAsiaTheme="minorEastAsia" w:hAnsiTheme="minorHAnsi" w:cstheme="minorBidi"/>
          <w:szCs w:val="22"/>
        </w:rPr>
      </w:pPr>
      <w:r>
        <w:t>29A.</w:t>
      </w:r>
      <w:r>
        <w:tab/>
        <w:t xml:space="preserve">Abandoned vehicle wrecks, value etc. prescribed for </w:t>
      </w:r>
      <w:r>
        <w:rPr>
          <w:snapToGrid w:val="0"/>
        </w:rPr>
        <w:t>(Act </w:t>
      </w:r>
      <w:r>
        <w:t>s. 3.40A(5)(c))</w:t>
      </w:r>
      <w:r>
        <w:tab/>
      </w:r>
      <w:r>
        <w:fldChar w:fldCharType="begin"/>
      </w:r>
      <w:r>
        <w:instrText xml:space="preserve"> PAGEREF _Toc421011494 \h </w:instrText>
      </w:r>
      <w:r>
        <w:fldChar w:fldCharType="separate"/>
      </w:r>
      <w:r>
        <w:t>28</w:t>
      </w:r>
      <w:r>
        <w:fldChar w:fldCharType="end"/>
      </w:r>
    </w:p>
    <w:p>
      <w:pPr>
        <w:pStyle w:val="TOC8"/>
        <w:rPr>
          <w:rFonts w:asciiTheme="minorHAnsi" w:eastAsiaTheme="minorEastAsia" w:hAnsiTheme="minorHAnsi" w:cstheme="minorBidi"/>
          <w:szCs w:val="22"/>
        </w:rPr>
      </w:pPr>
      <w:r>
        <w:t>29B.</w:t>
      </w:r>
      <w:r>
        <w:tab/>
        <w:t>Prescribed non</w:t>
      </w:r>
      <w:r>
        <w:noBreakHyphen/>
        <w:t xml:space="preserve">perishable goods </w:t>
      </w:r>
      <w:r>
        <w:rPr>
          <w:snapToGrid w:val="0"/>
        </w:rPr>
        <w:t>(Act </w:t>
      </w:r>
      <w:r>
        <w:t>s. 3.47(2b)(ca))</w:t>
      </w:r>
      <w:r>
        <w:tab/>
      </w:r>
      <w:r>
        <w:fldChar w:fldCharType="begin"/>
      </w:r>
      <w:r>
        <w:instrText xml:space="preserve"> PAGEREF _Toc421011495 \h </w:instrText>
      </w:r>
      <w:r>
        <w:fldChar w:fldCharType="separate"/>
      </w:r>
      <w:r>
        <w:t>29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Dispositions of property excluded from Act s. 3.58</w:t>
      </w:r>
      <w:r>
        <w:tab/>
      </w:r>
      <w:r>
        <w:fldChar w:fldCharType="begin"/>
      </w:r>
      <w:r>
        <w:instrText xml:space="preserve"> PAGEREF _Toc421011496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Anti</w:t>
      </w:r>
      <w:r>
        <w:rPr>
          <w:snapToGrid w:val="0"/>
        </w:rPr>
        <w:noBreakHyphen/>
        <w:t>avoidance provision for Act s. 3.58</w:t>
      </w:r>
      <w:r>
        <w:tab/>
      </w:r>
      <w:r>
        <w:fldChar w:fldCharType="begin"/>
      </w:r>
      <w:r>
        <w:instrText xml:space="preserve"> PAGEREF _Toc421011497 \h </w:instrText>
      </w:r>
      <w:r>
        <w:fldChar w:fldCharType="separate"/>
      </w:r>
      <w:r>
        <w:t>31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Local government permitted to form incorporated association (Act s. </w:t>
      </w:r>
      <w:r>
        <w:t>3</w:t>
      </w:r>
      <w:r>
        <w:rPr>
          <w:snapToGrid w:val="0"/>
        </w:rPr>
        <w:t>.60)</w:t>
      </w:r>
      <w:r>
        <w:tab/>
      </w:r>
      <w:r>
        <w:fldChar w:fldCharType="begin"/>
      </w:r>
      <w:r>
        <w:instrText xml:space="preserve"> PAGEREF _Toc421011498 \h </w:instrText>
      </w:r>
      <w:r>
        <w:fldChar w:fldCharType="separate"/>
      </w:r>
      <w:r>
        <w:t>32</w:t>
      </w:r>
      <w:r>
        <w:fldChar w:fldCharType="end"/>
      </w:r>
    </w:p>
    <w:p>
      <w:pPr>
        <w:pStyle w:val="TOC8"/>
        <w:rPr>
          <w:rFonts w:asciiTheme="minorHAnsi" w:eastAsiaTheme="minorEastAsia" w:hAnsiTheme="minorHAnsi" w:cstheme="minorBidi"/>
          <w:szCs w:val="22"/>
        </w:rPr>
      </w:pPr>
      <w:r>
        <w:t>32A.</w:t>
      </w:r>
      <w:r>
        <w:tab/>
        <w:t xml:space="preserve">Excluded authorisations </w:t>
      </w:r>
      <w:r>
        <w:rPr>
          <w:snapToGrid w:val="0"/>
        </w:rPr>
        <w:t>(Act </w:t>
      </w:r>
      <w:r>
        <w:t>s. 9.2)</w:t>
      </w:r>
      <w:r>
        <w:tab/>
      </w:r>
      <w:r>
        <w:fldChar w:fldCharType="begin"/>
      </w:r>
      <w:r>
        <w:instrText xml:space="preserve"> PAGEREF _Toc421011499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Objections to decisions, form of etc. prescribed (Act s. 9.5)</w:t>
      </w:r>
      <w:r>
        <w:tab/>
      </w:r>
      <w:r>
        <w:fldChar w:fldCharType="begin"/>
      </w:r>
      <w:r>
        <w:instrText xml:space="preserve"> PAGEREF _Toc421011500 \h </w:instrText>
      </w:r>
      <w:r>
        <w:fldChar w:fldCharType="separate"/>
      </w:r>
      <w:r>
        <w:t>33</w:t>
      </w:r>
      <w:r>
        <w:fldChar w:fldCharType="end"/>
      </w:r>
    </w:p>
    <w:p>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_Toc421011501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Certain persons protected from liability for wrongdoing (Act s. </w:t>
      </w:r>
      <w:r>
        <w:t>9</w:t>
      </w:r>
      <w:r>
        <w:rPr>
          <w:snapToGrid w:val="0"/>
        </w:rPr>
        <w:t>.56(1)(c))</w:t>
      </w:r>
      <w:r>
        <w:tab/>
      </w:r>
      <w:r>
        <w:fldChar w:fldCharType="begin"/>
      </w:r>
      <w:r>
        <w:instrText xml:space="preserve"> PAGEREF _Toc421011502 \h </w:instrText>
      </w:r>
      <w:r>
        <w:fldChar w:fldCharType="separate"/>
      </w:r>
      <w:r>
        <w:t>33</w:t>
      </w:r>
      <w:r>
        <w:fldChar w:fldCharType="end"/>
      </w:r>
    </w:p>
    <w:p>
      <w:pPr>
        <w:pStyle w:val="TOC8"/>
        <w:rPr>
          <w:rFonts w:asciiTheme="minorHAnsi" w:eastAsiaTheme="minorEastAsia" w:hAnsiTheme="minorHAnsi" w:cstheme="minorBidi"/>
          <w:szCs w:val="22"/>
        </w:rPr>
      </w:pPr>
      <w:r>
        <w:t>35A.</w:t>
      </w:r>
      <w:r>
        <w:tab/>
        <w:t xml:space="preserve">Delegable functions of Minister </w:t>
      </w:r>
      <w:r>
        <w:rPr>
          <w:snapToGrid w:val="0"/>
        </w:rPr>
        <w:t>(Act </w:t>
      </w:r>
      <w:r>
        <w:t>s. 9.66)</w:t>
      </w:r>
      <w:r>
        <w:tab/>
      </w:r>
      <w:r>
        <w:fldChar w:fldCharType="begin"/>
      </w:r>
      <w:r>
        <w:instrText xml:space="preserve"> PAGEREF _Toc421011503 \h </w:instrText>
      </w:r>
      <w:r>
        <w:fldChar w:fldCharType="separate"/>
      </w:r>
      <w:r>
        <w:t>34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to enter, form of (Act s. 3.33(1) and 8.8(1))</w:t>
      </w:r>
      <w:r>
        <w:tab/>
      </w:r>
      <w:r>
        <w:fldChar w:fldCharType="begin"/>
      </w:r>
      <w:r>
        <w:instrText xml:space="preserve"> PAGEREF _Toc421011504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pPr>
        <w:pStyle w:val="TOC8"/>
        <w:rPr>
          <w:rFonts w:asciiTheme="minorHAnsi" w:eastAsiaTheme="minorEastAsia" w:hAnsiTheme="minorHAnsi" w:cstheme="minorBidi"/>
          <w:szCs w:val="22"/>
        </w:rPr>
      </w:pPr>
      <w:r>
        <w:t>38.</w:t>
      </w:r>
      <w:r>
        <w:rPr>
          <w:snapToGrid w:val="0"/>
        </w:rPr>
        <w:tab/>
        <w:t>Adopting former model by</w:t>
      </w:r>
      <w:r>
        <w:rPr>
          <w:snapToGrid w:val="0"/>
        </w:rPr>
        <w:noBreakHyphen/>
        <w:t>laws as local laws (Act s. 3.8(2) and (3))</w:t>
      </w:r>
      <w:r>
        <w:tab/>
      </w:r>
      <w:r>
        <w:fldChar w:fldCharType="begin"/>
      </w:r>
      <w:r>
        <w:instrText xml:space="preserve"> PAGEREF _Toc421011506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Forms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_Toc421011509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March 2012</w:t>
            </w:r>
          </w:p>
        </w:tc>
      </w:tr>
    </w:tbl>
    <w:p>
      <w:pPr>
        <w:pStyle w:val="WA"/>
        <w:spacing w:before="12"/>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3" w:name="_Toc379205555"/>
      <w:bookmarkStart w:id="4" w:name="_Toc421011382"/>
      <w:bookmarkStart w:id="5" w:name="_Toc42101144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9205556"/>
      <w:bookmarkStart w:id="7" w:name="_Toc421011447"/>
      <w:r>
        <w:rPr>
          <w:rStyle w:val="CharSectno"/>
        </w:rPr>
        <w:t>1</w:t>
      </w:r>
      <w:r>
        <w:rPr>
          <w:snapToGrid w:val="0"/>
        </w:rPr>
        <w:t>.</w:t>
      </w:r>
      <w:r>
        <w:rPr>
          <w:snapToGrid w:val="0"/>
        </w:rPr>
        <w:tab/>
        <w:t>Citation</w:t>
      </w:r>
      <w:bookmarkEnd w:id="6"/>
      <w:bookmarkEnd w:id="7"/>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8" w:name="_Toc379205557"/>
      <w:bookmarkStart w:id="9" w:name="_Toc421011448"/>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July 1996.</w:t>
      </w:r>
    </w:p>
    <w:p>
      <w:pPr>
        <w:pStyle w:val="Heading2"/>
      </w:pPr>
      <w:bookmarkStart w:id="10" w:name="_Toc379205558"/>
      <w:bookmarkStart w:id="11" w:name="_Toc421011385"/>
      <w:bookmarkStart w:id="12" w:name="_Toc421011449"/>
      <w:r>
        <w:rPr>
          <w:rStyle w:val="CharPartNo"/>
        </w:rPr>
        <w:t>Part 1A</w:t>
      </w:r>
      <w:r>
        <w:rPr>
          <w:rStyle w:val="CharDivNo"/>
        </w:rPr>
        <w:t> </w:t>
      </w:r>
      <w:r>
        <w:rPr>
          <w:rStyle w:val="CharPartNo"/>
        </w:rPr>
        <w:t>—</w:t>
      </w:r>
      <w:r>
        <w:rPr>
          <w:rStyle w:val="CharDivText"/>
        </w:rPr>
        <w:t> </w:t>
      </w:r>
      <w:r>
        <w:rPr>
          <w:rStyle w:val="CharPartText"/>
        </w:rPr>
        <w:t>Local laws</w:t>
      </w:r>
      <w:bookmarkEnd w:id="10"/>
      <w:bookmarkEnd w:id="11"/>
      <w:bookmarkEnd w:id="12"/>
    </w:p>
    <w:p>
      <w:pPr>
        <w:pStyle w:val="Footnoteheading"/>
      </w:pPr>
      <w:r>
        <w:tab/>
        <w:t>[Heading inserted in Gazette 11 Sep 1998 p. 4927.]</w:t>
      </w:r>
    </w:p>
    <w:p>
      <w:pPr>
        <w:pStyle w:val="Heading5"/>
      </w:pPr>
      <w:bookmarkStart w:id="13" w:name="_Toc379205559"/>
      <w:bookmarkStart w:id="14" w:name="_Toc421011450"/>
      <w:r>
        <w:rPr>
          <w:rStyle w:val="CharSectno"/>
        </w:rPr>
        <w:t>2A</w:t>
      </w:r>
      <w:r>
        <w:t>.</w:t>
      </w:r>
      <w:r>
        <w:tab/>
        <w:t>Matters about which local laws are not to be made (Act s. 3.5)</w:t>
      </w:r>
      <w:bookmarkEnd w:id="13"/>
      <w:bookmarkEnd w:id="14"/>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15" w:name="_Toc379205560"/>
      <w:bookmarkStart w:id="16" w:name="_Toc421011451"/>
      <w:r>
        <w:rPr>
          <w:rStyle w:val="CharSectno"/>
        </w:rPr>
        <w:t>3</w:t>
      </w:r>
      <w:r>
        <w:t>.</w:t>
      </w:r>
      <w:r>
        <w:tab/>
        <w:t xml:space="preserve">Prescribed manner of giving notice of purpose and effect of proposed local law </w:t>
      </w:r>
      <w:r>
        <w:rPr>
          <w:snapToGrid w:val="0"/>
        </w:rPr>
        <w:t>(Act </w:t>
      </w:r>
      <w:r>
        <w:t>s. 3.12(2))</w:t>
      </w:r>
      <w:bookmarkEnd w:id="15"/>
      <w:bookmarkEnd w:id="16"/>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 amended in Gazette 27 Sep 2011 p. 3846.]</w:t>
      </w:r>
    </w:p>
    <w:p>
      <w:pPr>
        <w:pStyle w:val="Heading2"/>
      </w:pPr>
      <w:bookmarkStart w:id="17" w:name="_Toc379205561"/>
      <w:bookmarkStart w:id="18" w:name="_Toc421011388"/>
      <w:bookmarkStart w:id="19" w:name="_Toc421011452"/>
      <w:r>
        <w:rPr>
          <w:rStyle w:val="CharPartNo"/>
        </w:rPr>
        <w:t>Part 2</w:t>
      </w:r>
      <w:r>
        <w:rPr>
          <w:rStyle w:val="CharDivNo"/>
        </w:rPr>
        <w:t> </w:t>
      </w:r>
      <w:r>
        <w:t>—</w:t>
      </w:r>
      <w:r>
        <w:rPr>
          <w:rStyle w:val="CharDivText"/>
        </w:rPr>
        <w:t> </w:t>
      </w:r>
      <w:r>
        <w:rPr>
          <w:rStyle w:val="CharPartText"/>
        </w:rPr>
        <w:t>Thoroughfares</w:t>
      </w:r>
      <w:bookmarkEnd w:id="17"/>
      <w:bookmarkEnd w:id="18"/>
      <w:bookmarkEnd w:id="19"/>
    </w:p>
    <w:p>
      <w:pPr>
        <w:pStyle w:val="Heading5"/>
        <w:rPr>
          <w:snapToGrid w:val="0"/>
        </w:rPr>
      </w:pPr>
      <w:bookmarkStart w:id="20" w:name="_Toc379205562"/>
      <w:bookmarkStart w:id="21" w:name="_Toc421011453"/>
      <w:r>
        <w:rPr>
          <w:rStyle w:val="CharSectno"/>
        </w:rPr>
        <w:t>4</w:t>
      </w:r>
      <w:r>
        <w:rPr>
          <w:snapToGrid w:val="0"/>
        </w:rPr>
        <w:t>.</w:t>
      </w:r>
      <w:r>
        <w:rPr>
          <w:snapToGrid w:val="0"/>
        </w:rPr>
        <w:tab/>
        <w:t>Persons prescribed to be notified of road closure (Act s. 3.50)</w:t>
      </w:r>
      <w:bookmarkEnd w:id="20"/>
      <w:bookmarkEnd w:id="21"/>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2" w:name="_Toc379205563"/>
      <w:bookmarkStart w:id="23" w:name="_Toc421011454"/>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2"/>
      <w:bookmarkEnd w:id="23"/>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24" w:name="_Toc379205564"/>
      <w:bookmarkStart w:id="25" w:name="_Toc421011455"/>
      <w:r>
        <w:rPr>
          <w:rStyle w:val="CharSectno"/>
        </w:rPr>
        <w:t>6</w:t>
      </w:r>
      <w:r>
        <w:rPr>
          <w:snapToGrid w:val="0"/>
        </w:rPr>
        <w:t>.</w:t>
      </w:r>
      <w:r>
        <w:rPr>
          <w:snapToGrid w:val="0"/>
        </w:rPr>
        <w:tab/>
        <w:t>Transitional provisions about road closures</w:t>
      </w:r>
      <w:bookmarkEnd w:id="24"/>
      <w:bookmarkEnd w:id="25"/>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26" w:name="_Toc379205565"/>
      <w:bookmarkStart w:id="27" w:name="_Toc421011392"/>
      <w:bookmarkStart w:id="28" w:name="_Toc421011456"/>
      <w:r>
        <w:rPr>
          <w:rStyle w:val="CharPartNo"/>
        </w:rPr>
        <w:t>Part 3</w:t>
      </w:r>
      <w:r>
        <w:rPr>
          <w:rStyle w:val="CharDivNo"/>
        </w:rPr>
        <w:t> </w:t>
      </w:r>
      <w:r>
        <w:t>—</w:t>
      </w:r>
      <w:r>
        <w:rPr>
          <w:rStyle w:val="CharDivText"/>
        </w:rPr>
        <w:t> </w:t>
      </w:r>
      <w:r>
        <w:rPr>
          <w:rStyle w:val="CharPartText"/>
        </w:rPr>
        <w:t>Commercial enterprises by local governments (s. 3.59)</w:t>
      </w:r>
      <w:bookmarkEnd w:id="26"/>
      <w:bookmarkEnd w:id="27"/>
      <w:bookmarkEnd w:id="28"/>
    </w:p>
    <w:p>
      <w:pPr>
        <w:pStyle w:val="Heading5"/>
      </w:pPr>
      <w:bookmarkStart w:id="29" w:name="_Toc379205566"/>
      <w:bookmarkStart w:id="30" w:name="_Toc421011457"/>
      <w:r>
        <w:rPr>
          <w:rStyle w:val="CharSectno"/>
        </w:rPr>
        <w:t>7</w:t>
      </w:r>
      <w:r>
        <w:t>.</w:t>
      </w:r>
      <w:r>
        <w:tab/>
        <w:t>Term used: major regional centre</w:t>
      </w:r>
      <w:bookmarkEnd w:id="29"/>
      <w:bookmarkEnd w:id="30"/>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in Gazette 27 Sep 2011 p. 3843-4.]</w:t>
      </w:r>
    </w:p>
    <w:p>
      <w:pPr>
        <w:pStyle w:val="Heading5"/>
      </w:pPr>
      <w:bookmarkStart w:id="31" w:name="_Toc379205567"/>
      <w:bookmarkStart w:id="32" w:name="_Toc421011458"/>
      <w:r>
        <w:rPr>
          <w:rStyle w:val="CharSectno"/>
        </w:rPr>
        <w:t>8A</w:t>
      </w:r>
      <w:r>
        <w:t>.</w:t>
      </w:r>
      <w:r>
        <w:tab/>
        <w:t xml:space="preserve">Amount prescribed for major land transactions; exempt land transactions prescribed </w:t>
      </w:r>
      <w:r>
        <w:rPr>
          <w:snapToGrid w:val="0"/>
        </w:rPr>
        <w:t>(Act </w:t>
      </w:r>
      <w:r>
        <w:t>s. 3.59)</w:t>
      </w:r>
      <w:bookmarkEnd w:id="31"/>
      <w:bookmarkEnd w:id="32"/>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in Gazette 27 Sep 2011 p. 3844.]</w:t>
      </w:r>
    </w:p>
    <w:p>
      <w:pPr>
        <w:pStyle w:val="Heading5"/>
        <w:rPr>
          <w:snapToGrid w:val="0"/>
        </w:rPr>
      </w:pPr>
      <w:bookmarkStart w:id="33" w:name="_Toc379205568"/>
      <w:bookmarkStart w:id="34" w:name="_Toc421011459"/>
      <w:r>
        <w:rPr>
          <w:rStyle w:val="CharSectno"/>
        </w:rPr>
        <w:t>8</w:t>
      </w:r>
      <w:r>
        <w:rPr>
          <w:snapToGrid w:val="0"/>
        </w:rPr>
        <w:t>.</w:t>
      </w:r>
      <w:r>
        <w:rPr>
          <w:snapToGrid w:val="0"/>
        </w:rPr>
        <w:tab/>
        <w:t>Exempt land transactions prescribed (Act s. 3.59)</w:t>
      </w:r>
      <w:bookmarkEnd w:id="33"/>
      <w:bookmarkEnd w:id="34"/>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8.]</w:t>
      </w:r>
    </w:p>
    <w:p>
      <w:pPr>
        <w:pStyle w:val="Heading5"/>
        <w:rPr>
          <w:snapToGrid w:val="0"/>
        </w:rPr>
      </w:pPr>
      <w:bookmarkStart w:id="35" w:name="_Toc379205569"/>
      <w:bookmarkStart w:id="36" w:name="_Toc421011460"/>
      <w:r>
        <w:rPr>
          <w:rStyle w:val="CharSectno"/>
        </w:rPr>
        <w:t>9</w:t>
      </w:r>
      <w:r>
        <w:rPr>
          <w:snapToGrid w:val="0"/>
        </w:rPr>
        <w:t>.</w:t>
      </w:r>
      <w:r>
        <w:rPr>
          <w:snapToGrid w:val="0"/>
        </w:rPr>
        <w:tab/>
        <w:t>Amount prescribed for major trading undertakings; exempt trading undertakings prescribed (Act s. 3.59)</w:t>
      </w:r>
      <w:bookmarkEnd w:id="35"/>
      <w:bookmarkEnd w:id="36"/>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in Gazette 31 Mar 2005 p. 1054; 27 Sep 2011 p. 3845.]</w:t>
      </w:r>
    </w:p>
    <w:p>
      <w:pPr>
        <w:pStyle w:val="Heading5"/>
        <w:rPr>
          <w:snapToGrid w:val="0"/>
        </w:rPr>
      </w:pPr>
      <w:bookmarkStart w:id="37" w:name="_Toc379205570"/>
      <w:bookmarkStart w:id="38" w:name="_Toc421011461"/>
      <w:r>
        <w:rPr>
          <w:rStyle w:val="CharSectno"/>
        </w:rPr>
        <w:t>10</w:t>
      </w:r>
      <w:r>
        <w:rPr>
          <w:snapToGrid w:val="0"/>
        </w:rPr>
        <w:t>.</w:t>
      </w:r>
      <w:r>
        <w:rPr>
          <w:snapToGrid w:val="0"/>
        </w:rPr>
        <w:tab/>
        <w:t>Business plans for major trading undertaking and major land transaction, content of</w:t>
      </w:r>
      <w:bookmarkEnd w:id="37"/>
      <w:bookmarkEnd w:id="38"/>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39" w:name="_Toc379205571"/>
      <w:bookmarkStart w:id="40" w:name="_Toc421011398"/>
      <w:bookmarkStart w:id="41" w:name="_Toc421011462"/>
      <w:r>
        <w:rPr>
          <w:rStyle w:val="CharPartNo"/>
        </w:rPr>
        <w:t>Part 4</w:t>
      </w:r>
      <w:r>
        <w:rPr>
          <w:b w:val="0"/>
        </w:rPr>
        <w:t> </w:t>
      </w:r>
      <w:r>
        <w:t>—</w:t>
      </w:r>
      <w:r>
        <w:rPr>
          <w:b w:val="0"/>
        </w:rPr>
        <w:t> </w:t>
      </w:r>
      <w:r>
        <w:rPr>
          <w:rStyle w:val="CharPartText"/>
        </w:rPr>
        <w:t>Provision of goods and services</w:t>
      </w:r>
      <w:bookmarkEnd w:id="39"/>
      <w:bookmarkEnd w:id="40"/>
      <w:bookmarkEnd w:id="41"/>
    </w:p>
    <w:p>
      <w:pPr>
        <w:pStyle w:val="Footnoteheading"/>
      </w:pPr>
      <w:r>
        <w:tab/>
        <w:t>[Heading inserted in Gazette 2 Feb 2007 p. 244.]</w:t>
      </w:r>
    </w:p>
    <w:p>
      <w:pPr>
        <w:pStyle w:val="Heading3"/>
      </w:pPr>
      <w:bookmarkStart w:id="42" w:name="_Toc379205572"/>
      <w:bookmarkStart w:id="43" w:name="_Toc421011399"/>
      <w:bookmarkStart w:id="44" w:name="_Toc421011463"/>
      <w:r>
        <w:rPr>
          <w:rStyle w:val="CharDivNo"/>
        </w:rPr>
        <w:t>Division 1</w:t>
      </w:r>
      <w:r>
        <w:t> — </w:t>
      </w:r>
      <w:r>
        <w:rPr>
          <w:rStyle w:val="CharDivText"/>
        </w:rPr>
        <w:t>Purchasing policies</w:t>
      </w:r>
      <w:bookmarkEnd w:id="42"/>
      <w:bookmarkEnd w:id="43"/>
      <w:bookmarkEnd w:id="44"/>
    </w:p>
    <w:p>
      <w:pPr>
        <w:pStyle w:val="Footnoteheading"/>
      </w:pPr>
      <w:r>
        <w:tab/>
        <w:t>[Heading inserted in Gazette 2 Feb 2007 p. 244.]</w:t>
      </w:r>
    </w:p>
    <w:p>
      <w:pPr>
        <w:pStyle w:val="Heading5"/>
      </w:pPr>
      <w:bookmarkStart w:id="45" w:name="_Toc379205573"/>
      <w:bookmarkStart w:id="46" w:name="_Toc421011464"/>
      <w:r>
        <w:rPr>
          <w:rStyle w:val="CharSectno"/>
        </w:rPr>
        <w:t>11A</w:t>
      </w:r>
      <w:r>
        <w:t>.</w:t>
      </w:r>
      <w:r>
        <w:tab/>
        <w:t>Purchasing policies for local governments</w:t>
      </w:r>
      <w:bookmarkEnd w:id="45"/>
      <w:bookmarkEnd w:id="46"/>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Subsection"/>
      </w:pPr>
      <w:r>
        <w:tab/>
        <w:t>(4)</w:t>
      </w:r>
      <w:r>
        <w:tab/>
        <w:t>Different requirements may be imposed under a purchasing policy in respect of different classes, or types, of any of the following —</w:t>
      </w:r>
    </w:p>
    <w:p>
      <w:pPr>
        <w:pStyle w:val="Indenta"/>
      </w:pPr>
      <w:r>
        <w:tab/>
        <w:t>(a)</w:t>
      </w:r>
      <w:r>
        <w:tab/>
        <w:t>goods and services;</w:t>
      </w:r>
    </w:p>
    <w:p>
      <w:pPr>
        <w:pStyle w:val="Indenta"/>
      </w:pPr>
      <w:r>
        <w:tab/>
        <w:t>(b)</w:t>
      </w:r>
      <w:r>
        <w:tab/>
        <w:t>suppliers;</w:t>
      </w:r>
    </w:p>
    <w:p>
      <w:pPr>
        <w:pStyle w:val="Indenta"/>
      </w:pPr>
      <w:r>
        <w:tab/>
        <w:t>(c)</w:t>
      </w:r>
      <w:r>
        <w:tab/>
        <w:t>contracts;</w:t>
      </w:r>
    </w:p>
    <w:p>
      <w:pPr>
        <w:pStyle w:val="Indenta"/>
      </w:pPr>
      <w:r>
        <w:tab/>
        <w:t>(d)</w:t>
      </w:r>
      <w:r>
        <w:tab/>
        <w:t>any other thing that the local government considers appropriate.</w:t>
      </w:r>
    </w:p>
    <w:p>
      <w:pPr>
        <w:pStyle w:val="Footnotesection"/>
      </w:pPr>
      <w:r>
        <w:tab/>
        <w:t>[Regulation 11A inserted in Gazette 2 Feb 2007 p. 245.]</w:t>
      </w:r>
    </w:p>
    <w:p>
      <w:pPr>
        <w:pStyle w:val="Heading3"/>
      </w:pPr>
      <w:bookmarkStart w:id="47" w:name="_Toc379205574"/>
      <w:bookmarkStart w:id="48" w:name="_Toc421011401"/>
      <w:bookmarkStart w:id="49" w:name="_Toc421011465"/>
      <w:r>
        <w:rPr>
          <w:rStyle w:val="CharDivNo"/>
        </w:rPr>
        <w:t>Division 2</w:t>
      </w:r>
      <w:r>
        <w:t> — </w:t>
      </w:r>
      <w:r>
        <w:rPr>
          <w:rStyle w:val="CharDivText"/>
        </w:rPr>
        <w:t>Tenders for providing goods or services (s. 3.57)</w:t>
      </w:r>
      <w:bookmarkEnd w:id="47"/>
      <w:bookmarkEnd w:id="48"/>
      <w:bookmarkEnd w:id="49"/>
    </w:p>
    <w:p>
      <w:pPr>
        <w:pStyle w:val="Footnoteheading"/>
      </w:pPr>
      <w:r>
        <w:tab/>
        <w:t>[Heading inserted in Gazette 2 Feb 2007 p. 245.]</w:t>
      </w:r>
    </w:p>
    <w:p>
      <w:pPr>
        <w:pStyle w:val="Heading5"/>
        <w:rPr>
          <w:snapToGrid w:val="0"/>
        </w:rPr>
      </w:pPr>
      <w:bookmarkStart w:id="50" w:name="_Toc379205575"/>
      <w:bookmarkStart w:id="51" w:name="_Toc421011466"/>
      <w:r>
        <w:rPr>
          <w:rStyle w:val="CharSectno"/>
        </w:rPr>
        <w:t>11</w:t>
      </w:r>
      <w:r>
        <w:rPr>
          <w:snapToGrid w:val="0"/>
        </w:rPr>
        <w:t>.</w:t>
      </w:r>
      <w:r>
        <w:rPr>
          <w:snapToGrid w:val="0"/>
        </w:rPr>
        <w:tab/>
        <w:t>When tenders have to be publicly invited</w:t>
      </w:r>
      <w:bookmarkEnd w:id="50"/>
      <w:bookmarkEnd w:id="51"/>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$100 000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the supply of the goods or services is to be obtained through the Council Purchasing Service of WALGA; or</w:t>
      </w:r>
    </w:p>
    <w:p>
      <w:pPr>
        <w:pStyle w:val="Indenta"/>
        <w:spacing w:before="76"/>
      </w:pPr>
      <w:r>
        <w:tab/>
        <w:t>(ba)</w:t>
      </w:r>
      <w:r>
        <w:tab/>
        <w:t>the local government intends to enter into a contract arrangement for the supply of goods or services where —</w:t>
      </w:r>
    </w:p>
    <w:p>
      <w:pPr>
        <w:pStyle w:val="Indenti"/>
        <w:spacing w:before="76"/>
      </w:pPr>
      <w:r>
        <w:tab/>
        <w:t>(i)</w:t>
      </w:r>
      <w:r>
        <w:tab/>
        <w:t>the supplier is either —</w:t>
      </w:r>
    </w:p>
    <w:p>
      <w:pPr>
        <w:pStyle w:val="IndentI0"/>
        <w:spacing w:before="76"/>
      </w:pPr>
      <w:r>
        <w:tab/>
        <w:t>(I)</w:t>
      </w:r>
      <w:r>
        <w:tab/>
        <w:t>an individual whose last employer was the local government; or</w:t>
      </w:r>
    </w:p>
    <w:p>
      <w:pPr>
        <w:pStyle w:val="IndentI0"/>
        <w:spacing w:before="76"/>
      </w:pPr>
      <w:r>
        <w:tab/>
        <w:t>(II)</w:t>
      </w:r>
      <w:r>
        <w:tab/>
        <w:t>a group, partnership or company comprising at least 75% of persons whose last employer was that local government;</w:t>
      </w:r>
    </w:p>
    <w:p>
      <w:pPr>
        <w:pStyle w:val="Indenti"/>
        <w:spacing w:before="76"/>
      </w:pPr>
      <w:r>
        <w:tab/>
      </w:r>
      <w:r>
        <w:tab/>
        <w:t>and</w:t>
      </w:r>
    </w:p>
    <w:p>
      <w:pPr>
        <w:pStyle w:val="Indenti"/>
        <w:spacing w:before="76"/>
      </w:pPr>
      <w:r>
        <w:tab/>
        <w:t>(ii)</w:t>
      </w:r>
      <w:r>
        <w:tab/>
        <w:t>the contract —</w:t>
      </w:r>
    </w:p>
    <w:p>
      <w:pPr>
        <w:pStyle w:val="IndentI0"/>
        <w:spacing w:before="76"/>
      </w:pPr>
      <w:r>
        <w:tab/>
        <w:t>(I)</w:t>
      </w:r>
      <w:r>
        <w:tab/>
        <w:t>is the first contract of that nature with that individual or group; and</w:t>
      </w:r>
    </w:p>
    <w:p>
      <w:pPr>
        <w:pStyle w:val="IndentI0"/>
        <w:spacing w:before="76"/>
      </w:pPr>
      <w:r>
        <w:tab/>
        <w:t>(II)</w:t>
      </w:r>
      <w:r>
        <w:tab/>
        <w:t>is not to operate for more than 3 years;</w:t>
      </w:r>
    </w:p>
    <w:p>
      <w:pPr>
        <w:pStyle w:val="Indenti"/>
        <w:spacing w:before="76"/>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6.]</w:t>
      </w:r>
    </w:p>
    <w:p>
      <w:pPr>
        <w:pStyle w:val="Heading5"/>
        <w:rPr>
          <w:snapToGrid w:val="0"/>
        </w:rPr>
      </w:pPr>
      <w:bookmarkStart w:id="52" w:name="_Toc379205576"/>
      <w:bookmarkStart w:id="53" w:name="_Toc421011467"/>
      <w:r>
        <w:rPr>
          <w:rStyle w:val="CharSectno"/>
        </w:rPr>
        <w:t>12</w:t>
      </w:r>
      <w:r>
        <w:rPr>
          <w:snapToGrid w:val="0"/>
        </w:rPr>
        <w:t>.</w:t>
      </w:r>
      <w:r>
        <w:rPr>
          <w:snapToGrid w:val="0"/>
        </w:rPr>
        <w:tab/>
        <w:t>Anti</w:t>
      </w:r>
      <w:r>
        <w:rPr>
          <w:snapToGrid w:val="0"/>
        </w:rPr>
        <w:noBreakHyphen/>
        <w:t>avoidance provision for r. 11(1)</w:t>
      </w:r>
      <w:bookmarkEnd w:id="52"/>
      <w:bookmarkEnd w:id="53"/>
    </w:p>
    <w:p>
      <w:pPr>
        <w:pStyle w:val="Subsection"/>
        <w:rPr>
          <w:snapToGrid w:val="0"/>
        </w:rPr>
      </w:pPr>
      <w:r>
        <w:rPr>
          <w:snapToGrid w:val="0"/>
        </w:rPr>
        <w:tab/>
      </w:r>
      <w:r>
        <w:rPr>
          <w:snapToGrid w:val="0"/>
        </w:rPr>
        <w:tab/>
        <w:t xml:space="preserve">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w:t>
      </w:r>
      <w:r>
        <w:t xml:space="preserve">Division </w:t>
      </w:r>
      <w:r>
        <w:rPr>
          <w:snapToGrid w:val="0"/>
        </w:rPr>
        <w:t>before entering into any of the contracts regardless of the consideration.</w:t>
      </w:r>
    </w:p>
    <w:p>
      <w:pPr>
        <w:pStyle w:val="Footnotesection"/>
      </w:pPr>
      <w:r>
        <w:tab/>
        <w:t>[Regulation 12 amended in Gazette 2 Feb 2007 p. 245</w:t>
      </w:r>
      <w:r>
        <w:noBreakHyphen/>
        <w:t>6.]</w:t>
      </w:r>
    </w:p>
    <w:p>
      <w:pPr>
        <w:pStyle w:val="Heading5"/>
        <w:rPr>
          <w:snapToGrid w:val="0"/>
        </w:rPr>
      </w:pPr>
      <w:bookmarkStart w:id="54" w:name="_Toc379205577"/>
      <w:bookmarkStart w:id="55" w:name="_Toc421011468"/>
      <w:r>
        <w:rPr>
          <w:rStyle w:val="CharSectno"/>
        </w:rPr>
        <w:t>13</w:t>
      </w:r>
      <w:r>
        <w:rPr>
          <w:snapToGrid w:val="0"/>
        </w:rPr>
        <w:t>.</w:t>
      </w:r>
      <w:r>
        <w:rPr>
          <w:snapToGrid w:val="0"/>
        </w:rPr>
        <w:tab/>
        <w:t>Requirements when local government invites tenders though not required to do so</w:t>
      </w:r>
      <w:bookmarkEnd w:id="54"/>
      <w:bookmarkEnd w:id="55"/>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56" w:name="_Toc379205578"/>
      <w:bookmarkStart w:id="57" w:name="_Toc421011469"/>
      <w:r>
        <w:rPr>
          <w:rStyle w:val="CharSectno"/>
        </w:rPr>
        <w:t>14</w:t>
      </w:r>
      <w:r>
        <w:rPr>
          <w:snapToGrid w:val="0"/>
        </w:rPr>
        <w:t>.</w:t>
      </w:r>
      <w:r>
        <w:rPr>
          <w:snapToGrid w:val="0"/>
        </w:rPr>
        <w:tab/>
        <w:t>Publicly inviting tenders, requirements for</w:t>
      </w:r>
      <w:bookmarkEnd w:id="56"/>
      <w:bookmarkEnd w:id="57"/>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58" w:name="_Toc379205579"/>
      <w:bookmarkStart w:id="59" w:name="_Toc421011470"/>
      <w:r>
        <w:rPr>
          <w:rStyle w:val="CharSectno"/>
        </w:rPr>
        <w:t>15</w:t>
      </w:r>
      <w:r>
        <w:rPr>
          <w:snapToGrid w:val="0"/>
        </w:rPr>
        <w:t>.</w:t>
      </w:r>
      <w:r>
        <w:rPr>
          <w:snapToGrid w:val="0"/>
        </w:rPr>
        <w:tab/>
        <w:t>Minimum time to be allowed for submitting tenders</w:t>
      </w:r>
      <w:bookmarkEnd w:id="58"/>
      <w:bookmarkEnd w:id="59"/>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60" w:name="_Toc379205580"/>
      <w:bookmarkStart w:id="61" w:name="_Toc421011471"/>
      <w:r>
        <w:rPr>
          <w:rStyle w:val="CharSectno"/>
        </w:rPr>
        <w:t>16</w:t>
      </w:r>
      <w:r>
        <w:rPr>
          <w:snapToGrid w:val="0"/>
        </w:rPr>
        <w:t>.</w:t>
      </w:r>
      <w:r>
        <w:rPr>
          <w:snapToGrid w:val="0"/>
        </w:rPr>
        <w:tab/>
        <w:t>Receiving and opening tenders, procedure for</w:t>
      </w:r>
      <w:bookmarkEnd w:id="60"/>
      <w:bookmarkEnd w:id="61"/>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 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62" w:name="_Toc379205581"/>
      <w:bookmarkStart w:id="63" w:name="_Toc421011472"/>
      <w:r>
        <w:rPr>
          <w:rStyle w:val="CharSectno"/>
        </w:rPr>
        <w:t>17</w:t>
      </w:r>
      <w:r>
        <w:rPr>
          <w:snapToGrid w:val="0"/>
        </w:rPr>
        <w:t>.</w:t>
      </w:r>
      <w:r>
        <w:rPr>
          <w:snapToGrid w:val="0"/>
        </w:rPr>
        <w:tab/>
        <w:t>Tenders register</w:t>
      </w:r>
      <w:bookmarkEnd w:id="62"/>
      <w:bookmarkEnd w:id="63"/>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of the making of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64" w:name="_Toc379205582"/>
      <w:bookmarkStart w:id="65" w:name="_Toc421011473"/>
      <w:r>
        <w:rPr>
          <w:rStyle w:val="CharSectno"/>
        </w:rPr>
        <w:t>18</w:t>
      </w:r>
      <w:r>
        <w:rPr>
          <w:snapToGrid w:val="0"/>
        </w:rPr>
        <w:t>.</w:t>
      </w:r>
      <w:r>
        <w:rPr>
          <w:snapToGrid w:val="0"/>
        </w:rPr>
        <w:tab/>
        <w:t>Rejecting and accepting tenders</w:t>
      </w:r>
      <w:bookmarkEnd w:id="64"/>
      <w:bookmarkEnd w:id="65"/>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66" w:name="_Toc379205583"/>
      <w:bookmarkStart w:id="67" w:name="_Toc421011474"/>
      <w:r>
        <w:rPr>
          <w:rStyle w:val="CharSectno"/>
        </w:rPr>
        <w:t>19</w:t>
      </w:r>
      <w:r>
        <w:rPr>
          <w:snapToGrid w:val="0"/>
        </w:rPr>
        <w:t>.</w:t>
      </w:r>
      <w:r>
        <w:rPr>
          <w:snapToGrid w:val="0"/>
        </w:rPr>
        <w:tab/>
        <w:t>Tenderers to be notified of outcome</w:t>
      </w:r>
      <w:bookmarkEnd w:id="66"/>
      <w:bookmarkEnd w:id="67"/>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68" w:name="_Toc379205584"/>
      <w:bookmarkStart w:id="69" w:name="_Toc421011475"/>
      <w:r>
        <w:rPr>
          <w:rStyle w:val="CharSectno"/>
        </w:rPr>
        <w:t>20</w:t>
      </w:r>
      <w:r>
        <w:rPr>
          <w:snapToGrid w:val="0"/>
        </w:rPr>
        <w:t>.</w:t>
      </w:r>
      <w:r>
        <w:rPr>
          <w:snapToGrid w:val="0"/>
        </w:rPr>
        <w:tab/>
        <w:t>Variation of requirements before entry into contract</w:t>
      </w:r>
      <w:bookmarkEnd w:id="68"/>
      <w:bookmarkEnd w:id="69"/>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rPr>
          <w:snapToGrid w:val="0"/>
        </w:rPr>
      </w:pPr>
      <w:bookmarkStart w:id="70" w:name="_Toc379205585"/>
      <w:bookmarkStart w:id="71" w:name="_Toc421011476"/>
      <w:r>
        <w:rPr>
          <w:rStyle w:val="CharSectno"/>
        </w:rPr>
        <w:t>21</w:t>
      </w:r>
      <w:r>
        <w:rPr>
          <w:snapToGrid w:val="0"/>
        </w:rPr>
        <w:t>.</w:t>
      </w:r>
      <w:r>
        <w:rPr>
          <w:snapToGrid w:val="0"/>
        </w:rPr>
        <w:tab/>
        <w:t>Limiting who can tender, procedure for</w:t>
      </w:r>
      <w:bookmarkEnd w:id="70"/>
      <w:bookmarkEnd w:id="71"/>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72" w:name="_Toc379205586"/>
      <w:bookmarkStart w:id="73" w:name="_Toc421011477"/>
      <w:r>
        <w:rPr>
          <w:rStyle w:val="CharSectno"/>
        </w:rPr>
        <w:t>22</w:t>
      </w:r>
      <w:r>
        <w:rPr>
          <w:snapToGrid w:val="0"/>
        </w:rPr>
        <w:t>.</w:t>
      </w:r>
      <w:r>
        <w:rPr>
          <w:snapToGrid w:val="0"/>
        </w:rPr>
        <w:tab/>
        <w:t>Minimum time to be allowed for submitting expressions of interest</w:t>
      </w:r>
      <w:bookmarkEnd w:id="72"/>
      <w:bookmarkEnd w:id="73"/>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74" w:name="_Toc379205587"/>
      <w:bookmarkStart w:id="75" w:name="_Toc421011478"/>
      <w:r>
        <w:rPr>
          <w:rStyle w:val="CharSectno"/>
        </w:rPr>
        <w:t>23</w:t>
      </w:r>
      <w:r>
        <w:rPr>
          <w:snapToGrid w:val="0"/>
        </w:rPr>
        <w:t>.</w:t>
      </w:r>
      <w:r>
        <w:rPr>
          <w:snapToGrid w:val="0"/>
        </w:rPr>
        <w:tab/>
        <w:t>Rejecting and accepting expressions of interest to be acceptable tenderer</w:t>
      </w:r>
      <w:bookmarkEnd w:id="74"/>
      <w:bookmarkEnd w:id="75"/>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76" w:name="_Toc379205588"/>
      <w:bookmarkStart w:id="77" w:name="_Toc421011479"/>
      <w:r>
        <w:rPr>
          <w:rStyle w:val="CharSectno"/>
        </w:rPr>
        <w:t>24</w:t>
      </w:r>
      <w:r>
        <w:rPr>
          <w:snapToGrid w:val="0"/>
        </w:rPr>
        <w:t>.</w:t>
      </w:r>
      <w:r>
        <w:rPr>
          <w:snapToGrid w:val="0"/>
        </w:rPr>
        <w:tab/>
        <w:t>People who submitted expression of interest to be notified of outcome</w:t>
      </w:r>
      <w:bookmarkEnd w:id="76"/>
      <w:bookmarkEnd w:id="77"/>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78" w:name="_Toc379205589"/>
      <w:bookmarkStart w:id="79" w:name="_Toc421011416"/>
      <w:bookmarkStart w:id="80" w:name="_Toc421011480"/>
      <w:r>
        <w:rPr>
          <w:rStyle w:val="CharPartNo"/>
        </w:rPr>
        <w:t>Part 4A</w:t>
      </w:r>
      <w:r>
        <w:rPr>
          <w:rStyle w:val="CharDivNo"/>
        </w:rPr>
        <w:t xml:space="preserve"> </w:t>
      </w:r>
      <w:r>
        <w:t>—</w:t>
      </w:r>
      <w:r>
        <w:rPr>
          <w:rStyle w:val="CharDivText"/>
        </w:rPr>
        <w:t xml:space="preserve"> </w:t>
      </w:r>
      <w:r>
        <w:rPr>
          <w:rStyle w:val="CharPartText"/>
        </w:rPr>
        <w:t>Regional price preference</w:t>
      </w:r>
      <w:bookmarkEnd w:id="78"/>
      <w:bookmarkEnd w:id="79"/>
      <w:bookmarkEnd w:id="80"/>
    </w:p>
    <w:p>
      <w:pPr>
        <w:pStyle w:val="Footnoteheading"/>
      </w:pPr>
      <w:r>
        <w:tab/>
        <w:t>[Heading inserted in Gazette 25 Feb 2000 p. 971.]</w:t>
      </w:r>
    </w:p>
    <w:p>
      <w:pPr>
        <w:pStyle w:val="Heading5"/>
        <w:spacing w:before="180"/>
      </w:pPr>
      <w:bookmarkStart w:id="81" w:name="_Toc379205590"/>
      <w:bookmarkStart w:id="82" w:name="_Toc421011481"/>
      <w:r>
        <w:rPr>
          <w:rStyle w:val="CharSectno"/>
        </w:rPr>
        <w:t>24A</w:t>
      </w:r>
      <w:r>
        <w:t>.</w:t>
      </w:r>
      <w:r>
        <w:tab/>
        <w:t>Application of this Part</w:t>
      </w:r>
      <w:bookmarkEnd w:id="81"/>
      <w:bookmarkEnd w:id="82"/>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83" w:name="_Toc379205591"/>
      <w:bookmarkStart w:id="84" w:name="_Toc421011482"/>
      <w:r>
        <w:rPr>
          <w:rStyle w:val="CharSectno"/>
        </w:rPr>
        <w:t>24B</w:t>
      </w:r>
      <w:r>
        <w:t>.</w:t>
      </w:r>
      <w:r>
        <w:tab/>
        <w:t>Terms used</w:t>
      </w:r>
      <w:bookmarkEnd w:id="83"/>
      <w:bookmarkEnd w:id="84"/>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85" w:name="_Toc379205592"/>
      <w:bookmarkStart w:id="86" w:name="_Toc421011483"/>
      <w:r>
        <w:rPr>
          <w:rStyle w:val="CharSectno"/>
        </w:rPr>
        <w:t>24C</w:t>
      </w:r>
      <w:r>
        <w:t>.</w:t>
      </w:r>
      <w:r>
        <w:tab/>
        <w:t>Regional price preference may be given</w:t>
      </w:r>
      <w:bookmarkEnd w:id="85"/>
      <w:bookmarkEnd w:id="86"/>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87" w:name="_Toc379205593"/>
      <w:bookmarkStart w:id="88" w:name="_Toc421011484"/>
      <w:r>
        <w:rPr>
          <w:rStyle w:val="CharSectno"/>
        </w:rPr>
        <w:t>24D</w:t>
      </w:r>
      <w:r>
        <w:t>.</w:t>
      </w:r>
      <w:r>
        <w:tab/>
        <w:t>Discounts permitted for regional price preferences</w:t>
      </w:r>
      <w:bookmarkEnd w:id="87"/>
      <w:bookmarkEnd w:id="88"/>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89" w:name="_Toc379205594"/>
      <w:bookmarkStart w:id="90" w:name="_Toc421011485"/>
      <w:r>
        <w:rPr>
          <w:rStyle w:val="CharSectno"/>
        </w:rPr>
        <w:t>24E</w:t>
      </w:r>
      <w:r>
        <w:t>.</w:t>
      </w:r>
      <w:r>
        <w:tab/>
        <w:t>Regional price preference policies for local governments</w:t>
      </w:r>
      <w:bookmarkEnd w:id="89"/>
      <w:bookmarkEnd w:id="90"/>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91" w:name="_Toc379205595"/>
      <w:bookmarkStart w:id="92" w:name="_Toc421011486"/>
      <w:r>
        <w:rPr>
          <w:rStyle w:val="CharSectno"/>
        </w:rPr>
        <w:t>24F</w:t>
      </w:r>
      <w:r>
        <w:t>.</w:t>
      </w:r>
      <w:r>
        <w:tab/>
        <w:t>Adoption and notice of regional price preference policy</w:t>
      </w:r>
      <w:bookmarkEnd w:id="91"/>
      <w:bookmarkEnd w:id="92"/>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93" w:name="_Toc379205596"/>
      <w:bookmarkStart w:id="94" w:name="_Toc421011487"/>
      <w:r>
        <w:rPr>
          <w:rStyle w:val="CharSectno"/>
        </w:rPr>
        <w:t>24G</w:t>
      </w:r>
      <w:r>
        <w:t>.</w:t>
      </w:r>
      <w:r>
        <w:tab/>
        <w:t>Adopted regional price preference policy, effect of</w:t>
      </w:r>
      <w:bookmarkEnd w:id="93"/>
      <w:bookmarkEnd w:id="94"/>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Ednotepart"/>
      </w:pPr>
      <w:r>
        <w:t>[Part 4B (r. 24H-24I) deleted in Gazette 27 Sep 2011 p. 3846.]</w:t>
      </w:r>
    </w:p>
    <w:p>
      <w:pPr>
        <w:pStyle w:val="Heading2"/>
      </w:pPr>
      <w:bookmarkStart w:id="95" w:name="_Toc379205597"/>
      <w:bookmarkStart w:id="96" w:name="_Toc421011424"/>
      <w:bookmarkStart w:id="97" w:name="_Toc421011488"/>
      <w:r>
        <w:rPr>
          <w:rStyle w:val="CharPartNo"/>
        </w:rPr>
        <w:t>Part 5</w:t>
      </w:r>
      <w:r>
        <w:rPr>
          <w:rStyle w:val="CharDivNo"/>
        </w:rPr>
        <w:t> </w:t>
      </w:r>
      <w:r>
        <w:t>—</w:t>
      </w:r>
      <w:r>
        <w:rPr>
          <w:rStyle w:val="CharDivText"/>
        </w:rPr>
        <w:t> </w:t>
      </w:r>
      <w:r>
        <w:rPr>
          <w:rStyle w:val="CharPartText"/>
        </w:rPr>
        <w:t>Owner onus and infringement notices</w:t>
      </w:r>
      <w:bookmarkEnd w:id="95"/>
      <w:bookmarkEnd w:id="96"/>
      <w:bookmarkEnd w:id="97"/>
    </w:p>
    <w:p>
      <w:pPr>
        <w:pStyle w:val="Heading5"/>
        <w:ind w:right="376"/>
        <w:rPr>
          <w:snapToGrid w:val="0"/>
        </w:rPr>
      </w:pPr>
      <w:bookmarkStart w:id="98" w:name="_Toc379205598"/>
      <w:bookmarkStart w:id="99" w:name="_Toc421011489"/>
      <w:r>
        <w:rPr>
          <w:rStyle w:val="CharSectno"/>
        </w:rPr>
        <w:t>25</w:t>
      </w:r>
      <w:r>
        <w:rPr>
          <w:snapToGrid w:val="0"/>
        </w:rPr>
        <w:t>.</w:t>
      </w:r>
      <w:r>
        <w:rPr>
          <w:snapToGrid w:val="0"/>
        </w:rPr>
        <w:tab/>
        <w:t>Notice to put onus on vehicle owner, form of (Act s. 9.13)</w:t>
      </w:r>
      <w:bookmarkEnd w:id="98"/>
      <w:bookmarkEnd w:id="99"/>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00" w:name="_Toc379205599"/>
      <w:bookmarkStart w:id="101" w:name="_Toc421011490"/>
      <w:r>
        <w:rPr>
          <w:rStyle w:val="CharSectno"/>
        </w:rPr>
        <w:t>26</w:t>
      </w:r>
      <w:r>
        <w:rPr>
          <w:snapToGrid w:val="0"/>
        </w:rPr>
        <w:t>.</w:t>
      </w:r>
      <w:r>
        <w:rPr>
          <w:snapToGrid w:val="0"/>
        </w:rPr>
        <w:tab/>
        <w:t>Infringement notice, form of (Act s. 9.16)</w:t>
      </w:r>
      <w:bookmarkEnd w:id="100"/>
      <w:bookmarkEnd w:id="101"/>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02" w:name="_Toc379205600"/>
      <w:bookmarkStart w:id="103" w:name="_Toc421011491"/>
      <w:r>
        <w:rPr>
          <w:rStyle w:val="CharSectno"/>
        </w:rPr>
        <w:t>27</w:t>
      </w:r>
      <w:r>
        <w:rPr>
          <w:snapToGrid w:val="0"/>
        </w:rPr>
        <w:t>.</w:t>
      </w:r>
      <w:r>
        <w:rPr>
          <w:snapToGrid w:val="0"/>
        </w:rPr>
        <w:tab/>
        <w:t>Withdrawal of infringement notice, form of (Act s. 9.20)</w:t>
      </w:r>
      <w:bookmarkEnd w:id="102"/>
      <w:bookmarkEnd w:id="103"/>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04" w:name="_Toc379205601"/>
      <w:bookmarkStart w:id="105" w:name="_Toc421011428"/>
      <w:bookmarkStart w:id="106" w:name="_Toc421011492"/>
      <w:r>
        <w:rPr>
          <w:rStyle w:val="CharPartNo"/>
        </w:rPr>
        <w:t>Part 6</w:t>
      </w:r>
      <w:r>
        <w:rPr>
          <w:rStyle w:val="CharDivNo"/>
        </w:rPr>
        <w:t> </w:t>
      </w:r>
      <w:r>
        <w:t>—</w:t>
      </w:r>
      <w:r>
        <w:rPr>
          <w:rStyle w:val="CharDivText"/>
        </w:rPr>
        <w:t> </w:t>
      </w:r>
      <w:r>
        <w:rPr>
          <w:rStyle w:val="CharPartText"/>
        </w:rPr>
        <w:t>Miscellaneous</w:t>
      </w:r>
      <w:bookmarkEnd w:id="104"/>
      <w:bookmarkEnd w:id="105"/>
      <w:bookmarkEnd w:id="106"/>
    </w:p>
    <w:p>
      <w:pPr>
        <w:pStyle w:val="Heading5"/>
        <w:ind w:right="856"/>
        <w:rPr>
          <w:snapToGrid w:val="0"/>
        </w:rPr>
      </w:pPr>
      <w:bookmarkStart w:id="107" w:name="_Toc379205602"/>
      <w:bookmarkStart w:id="108" w:name="_Toc421011493"/>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07"/>
      <w:bookmarkEnd w:id="108"/>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in Gazette 29 Apr 1997 p. 2145; 25 Feb 2000 p. 974.]</w:t>
      </w:r>
    </w:p>
    <w:p>
      <w:pPr>
        <w:pStyle w:val="Heading5"/>
      </w:pPr>
      <w:bookmarkStart w:id="109" w:name="_Toc379205603"/>
      <w:bookmarkStart w:id="110" w:name="_Toc421011494"/>
      <w:r>
        <w:rPr>
          <w:rStyle w:val="CharSectno"/>
        </w:rPr>
        <w:t>29A</w:t>
      </w:r>
      <w:r>
        <w:t>.</w:t>
      </w:r>
      <w:r>
        <w:tab/>
        <w:t xml:space="preserve">Abandoned vehicle wrecks, value etc. prescribed for </w:t>
      </w:r>
      <w:r>
        <w:rPr>
          <w:snapToGrid w:val="0"/>
        </w:rPr>
        <w:t>(Act </w:t>
      </w:r>
      <w:r>
        <w:t>s. 3.40A(5)(c))</w:t>
      </w:r>
      <w:bookmarkEnd w:id="109"/>
      <w:bookmarkEnd w:id="110"/>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the prescribed value is “$200”; and</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 amended in Gazette 27 Sep 2011 p. 3846.]</w:t>
      </w:r>
    </w:p>
    <w:p>
      <w:pPr>
        <w:pStyle w:val="Heading5"/>
      </w:pPr>
      <w:bookmarkStart w:id="111" w:name="_Toc379205604"/>
      <w:bookmarkStart w:id="112" w:name="_Toc421011495"/>
      <w:r>
        <w:rPr>
          <w:rStyle w:val="CharSectno"/>
        </w:rPr>
        <w:t>29B</w:t>
      </w:r>
      <w:r>
        <w:t>.</w:t>
      </w:r>
      <w:r>
        <w:tab/>
        <w:t>Prescribed non</w:t>
      </w:r>
      <w:r>
        <w:noBreakHyphen/>
        <w:t xml:space="preserve">perishable goods </w:t>
      </w:r>
      <w:r>
        <w:rPr>
          <w:snapToGrid w:val="0"/>
        </w:rPr>
        <w:t>(Act </w:t>
      </w:r>
      <w:r>
        <w:t>s. 3.47(2b)(ca))</w:t>
      </w:r>
      <w:bookmarkEnd w:id="111"/>
      <w:bookmarkEnd w:id="112"/>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rPr>
          <w:snapToGrid w:val="0"/>
        </w:rPr>
      </w:pPr>
      <w:bookmarkStart w:id="113" w:name="_Toc379205605"/>
      <w:bookmarkStart w:id="114" w:name="_Toc421011496"/>
      <w:r>
        <w:rPr>
          <w:rStyle w:val="CharSectno"/>
        </w:rPr>
        <w:t>30</w:t>
      </w:r>
      <w:r>
        <w:rPr>
          <w:snapToGrid w:val="0"/>
        </w:rPr>
        <w:t>.</w:t>
      </w:r>
      <w:r>
        <w:rPr>
          <w:snapToGrid w:val="0"/>
        </w:rPr>
        <w:tab/>
        <w:t>Dispositions of property excluded from Act s. 3.58</w:t>
      </w:r>
      <w:bookmarkEnd w:id="113"/>
      <w:bookmarkEnd w:id="114"/>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 27 Sep 2011 p. 3846.]</w:t>
      </w:r>
    </w:p>
    <w:p>
      <w:pPr>
        <w:pStyle w:val="Heading5"/>
        <w:rPr>
          <w:snapToGrid w:val="0"/>
        </w:rPr>
      </w:pPr>
      <w:bookmarkStart w:id="115" w:name="_Toc379205606"/>
      <w:bookmarkStart w:id="116" w:name="_Toc421011497"/>
      <w:r>
        <w:rPr>
          <w:rStyle w:val="CharSectno"/>
        </w:rPr>
        <w:t>31</w:t>
      </w:r>
      <w:r>
        <w:rPr>
          <w:snapToGrid w:val="0"/>
        </w:rPr>
        <w:t>.</w:t>
      </w:r>
      <w:r>
        <w:rPr>
          <w:snapToGrid w:val="0"/>
        </w:rPr>
        <w:tab/>
        <w:t>Anti</w:t>
      </w:r>
      <w:r>
        <w:rPr>
          <w:snapToGrid w:val="0"/>
        </w:rPr>
        <w:noBreakHyphen/>
        <w:t>avoidance provision for Act s. 3.58</w:t>
      </w:r>
      <w:bookmarkEnd w:id="115"/>
      <w:bookmarkEnd w:id="116"/>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17" w:name="_Toc379205607"/>
      <w:bookmarkStart w:id="118" w:name="_Toc421011498"/>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117"/>
      <w:bookmarkEnd w:id="118"/>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119" w:name="_Toc379205608"/>
      <w:bookmarkStart w:id="120" w:name="_Toc421011499"/>
      <w:r>
        <w:rPr>
          <w:rStyle w:val="CharSectno"/>
        </w:rPr>
        <w:t>32A</w:t>
      </w:r>
      <w:r>
        <w:t>.</w:t>
      </w:r>
      <w:r>
        <w:tab/>
        <w:t xml:space="preserve">Excluded authorisations </w:t>
      </w:r>
      <w:r>
        <w:rPr>
          <w:snapToGrid w:val="0"/>
        </w:rPr>
        <w:t>(Act </w:t>
      </w:r>
      <w:r>
        <w:t>s. 9.2)</w:t>
      </w:r>
      <w:bookmarkEnd w:id="119"/>
      <w:bookmarkEnd w:id="120"/>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 amended in Gazette 27 Sep 2011 p. 3846-7.]</w:t>
      </w:r>
    </w:p>
    <w:p>
      <w:pPr>
        <w:pStyle w:val="Heading5"/>
        <w:rPr>
          <w:snapToGrid w:val="0"/>
        </w:rPr>
      </w:pPr>
      <w:bookmarkStart w:id="121" w:name="_Toc379205609"/>
      <w:bookmarkStart w:id="122" w:name="_Toc421011500"/>
      <w:r>
        <w:rPr>
          <w:rStyle w:val="CharSectno"/>
        </w:rPr>
        <w:t>33</w:t>
      </w:r>
      <w:r>
        <w:rPr>
          <w:snapToGrid w:val="0"/>
        </w:rPr>
        <w:t>.</w:t>
      </w:r>
      <w:r>
        <w:rPr>
          <w:snapToGrid w:val="0"/>
        </w:rPr>
        <w:tab/>
        <w:t>Objections to decisions, form of etc. prescribed (Act s. 9.5)</w:t>
      </w:r>
      <w:bookmarkEnd w:id="121"/>
      <w:bookmarkEnd w:id="122"/>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123" w:name="_Toc379205610"/>
      <w:bookmarkStart w:id="124" w:name="_Toc421011501"/>
      <w:r>
        <w:rPr>
          <w:rStyle w:val="CharSectno"/>
        </w:rPr>
        <w:t>34</w:t>
      </w:r>
      <w:r>
        <w:t>.</w:t>
      </w:r>
      <w:r>
        <w:tab/>
        <w:t>Common seal, unauthorised use of</w:t>
      </w:r>
      <w:bookmarkEnd w:id="123"/>
      <w:bookmarkEnd w:id="124"/>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in Gazette 27 Sep 2011 p. 3846.]</w:t>
      </w:r>
    </w:p>
    <w:p>
      <w:pPr>
        <w:pStyle w:val="Heading5"/>
        <w:rPr>
          <w:snapToGrid w:val="0"/>
        </w:rPr>
      </w:pPr>
      <w:bookmarkStart w:id="125" w:name="_Toc379205611"/>
      <w:bookmarkStart w:id="126" w:name="_Toc421011502"/>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25"/>
      <w:bookmarkEnd w:id="126"/>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127" w:name="_Toc379205612"/>
      <w:bookmarkStart w:id="128" w:name="_Toc421011503"/>
      <w:r>
        <w:rPr>
          <w:rStyle w:val="CharSectno"/>
        </w:rPr>
        <w:t>35A</w:t>
      </w:r>
      <w:r>
        <w:t>.</w:t>
      </w:r>
      <w:r>
        <w:tab/>
        <w:t xml:space="preserve">Delegable functions of Minister </w:t>
      </w:r>
      <w:r>
        <w:rPr>
          <w:snapToGrid w:val="0"/>
        </w:rPr>
        <w:t>(Act </w:t>
      </w:r>
      <w:r>
        <w:t>s. 9.66)</w:t>
      </w:r>
      <w:bookmarkEnd w:id="127"/>
      <w:bookmarkEnd w:id="128"/>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in Gazette 28 Jun 2002 p. 3082; amended in Gazette 27 Sep 2011 p. 3846.]</w:t>
      </w:r>
    </w:p>
    <w:p>
      <w:pPr>
        <w:pStyle w:val="Heading5"/>
        <w:rPr>
          <w:snapToGrid w:val="0"/>
        </w:rPr>
      </w:pPr>
      <w:bookmarkStart w:id="129" w:name="_Toc379205613"/>
      <w:bookmarkStart w:id="130" w:name="_Toc421011504"/>
      <w:r>
        <w:rPr>
          <w:rStyle w:val="CharSectno"/>
        </w:rPr>
        <w:t>36</w:t>
      </w:r>
      <w:r>
        <w:rPr>
          <w:snapToGrid w:val="0"/>
        </w:rPr>
        <w:t>.</w:t>
      </w:r>
      <w:r>
        <w:rPr>
          <w:snapToGrid w:val="0"/>
        </w:rPr>
        <w:tab/>
        <w:t>Warrant to enter, form of (Act s. 3.33(1) and 8.8(1))</w:t>
      </w:r>
      <w:bookmarkEnd w:id="129"/>
      <w:bookmarkEnd w:id="130"/>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131" w:name="_Toc379205614"/>
      <w:bookmarkStart w:id="132" w:name="_Toc421011441"/>
      <w:bookmarkStart w:id="133" w:name="_Toc421011505"/>
      <w:r>
        <w:rPr>
          <w:rStyle w:val="CharPartNo"/>
        </w:rPr>
        <w:t>Part 7</w:t>
      </w:r>
      <w:r>
        <w:rPr>
          <w:rStyle w:val="CharDivNo"/>
        </w:rPr>
        <w:t> </w:t>
      </w:r>
      <w:r>
        <w:t>—</w:t>
      </w:r>
      <w:r>
        <w:rPr>
          <w:rStyle w:val="CharDivText"/>
        </w:rPr>
        <w:t> </w:t>
      </w:r>
      <w:r>
        <w:rPr>
          <w:rStyle w:val="CharPartText"/>
        </w:rPr>
        <w:t>Other transitional provisions</w:t>
      </w:r>
      <w:bookmarkEnd w:id="131"/>
      <w:bookmarkEnd w:id="132"/>
      <w:bookmarkEnd w:id="133"/>
    </w:p>
    <w:p>
      <w:pPr>
        <w:pStyle w:val="Ednotesection"/>
        <w:ind w:left="890" w:hanging="890"/>
      </w:pPr>
      <w:r>
        <w:t>[</w:t>
      </w:r>
      <w:r>
        <w:rPr>
          <w:b/>
          <w:bCs/>
        </w:rPr>
        <w:t>37.</w:t>
      </w:r>
      <w:r>
        <w:tab/>
      </w:r>
      <w:r>
        <w:rPr>
          <w:snapToGrid/>
        </w:rPr>
        <w:t>Omitted under the Reprints Act 1984 s. 7(4)(e).]</w:t>
      </w:r>
    </w:p>
    <w:p>
      <w:pPr>
        <w:pStyle w:val="Heading5"/>
        <w:rPr>
          <w:snapToGrid w:val="0"/>
        </w:rPr>
      </w:pPr>
      <w:bookmarkStart w:id="134" w:name="_Toc379205615"/>
      <w:bookmarkStart w:id="135" w:name="_Toc421011506"/>
      <w:r>
        <w:rPr>
          <w:rStyle w:val="CharSectno"/>
        </w:rPr>
        <w:t>38</w:t>
      </w:r>
      <w:r>
        <w:t>.</w:t>
      </w:r>
      <w:r>
        <w:rPr>
          <w:snapToGrid w:val="0"/>
        </w:rPr>
        <w:tab/>
        <w:t>Adopting former model by</w:t>
      </w:r>
      <w:r>
        <w:rPr>
          <w:snapToGrid w:val="0"/>
        </w:rPr>
        <w:noBreakHyphen/>
        <w:t>laws as local laws (Act s. 3.8(2) and (3))</w:t>
      </w:r>
      <w:bookmarkEnd w:id="134"/>
      <w:bookmarkEnd w:id="135"/>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6" w:name="_Toc379205616"/>
      <w:bookmarkStart w:id="137" w:name="_Toc421011443"/>
      <w:bookmarkStart w:id="138" w:name="_Toc421011507"/>
      <w:r>
        <w:rPr>
          <w:rStyle w:val="CharSchNo"/>
        </w:rPr>
        <w:t>Schedule 1</w:t>
      </w:r>
      <w:r>
        <w:t> — </w:t>
      </w:r>
      <w:r>
        <w:rPr>
          <w:rStyle w:val="CharSchText"/>
        </w:rPr>
        <w:t>Forms</w:t>
      </w:r>
      <w:bookmarkEnd w:id="136"/>
      <w:bookmarkEnd w:id="137"/>
      <w:bookmarkEnd w:id="138"/>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type w:val="continuous"/>
          <w:pgSz w:w="11907" w:h="16840" w:code="9"/>
          <w:pgMar w:top="2381" w:right="2410" w:bottom="2977" w:left="2410" w:header="720" w:footer="3380" w:gutter="0"/>
          <w:cols w:space="720"/>
          <w:noEndnote/>
          <w:docGrid w:linePitch="326"/>
        </w:sectPr>
      </w:pPr>
    </w:p>
    <w:p>
      <w:pPr>
        <w:pStyle w:val="nHeading2"/>
      </w:pPr>
      <w:bookmarkStart w:id="140" w:name="_Toc379205617"/>
      <w:bookmarkStart w:id="141" w:name="_Toc421011444"/>
      <w:bookmarkStart w:id="142" w:name="_Toc421011508"/>
      <w:r>
        <w:t>Notes</w:t>
      </w:r>
      <w:bookmarkEnd w:id="140"/>
      <w:bookmarkEnd w:id="141"/>
      <w:bookmarkEnd w:id="142"/>
    </w:p>
    <w:p>
      <w:pPr>
        <w:pStyle w:val="nSubsection"/>
        <w:rPr>
          <w:snapToGrid w:val="0"/>
        </w:rPr>
      </w:pPr>
      <w:r>
        <w:rPr>
          <w:snapToGrid w:val="0"/>
          <w:vertAlign w:val="superscript"/>
        </w:rPr>
        <w:t>1</w:t>
      </w:r>
      <w:r>
        <w:rPr>
          <w:snapToGrid w:val="0"/>
        </w:rPr>
        <w:tab/>
        <w:t xml:space="preserve">This reprint is a compilation as at 16 March 2012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 w:name="_Toc379205618"/>
      <w:bookmarkStart w:id="144" w:name="_Toc421011509"/>
      <w:r>
        <w:rPr>
          <w:snapToGrid w:val="0"/>
        </w:rPr>
        <w:t>Compilation table</w:t>
      </w:r>
      <w:bookmarkEnd w:id="143"/>
      <w:bookmarkEnd w:id="1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rPr>
          <w:cantSplit/>
        </w:trPr>
        <w:tc>
          <w:tcPr>
            <w:tcW w:w="3119" w:type="dxa"/>
          </w:tcPr>
          <w:p>
            <w:pPr>
              <w:pStyle w:val="nTable"/>
              <w:spacing w:after="40"/>
              <w:ind w:right="113"/>
            </w:pPr>
            <w:r>
              <w:rPr>
                <w:i/>
              </w:rPr>
              <w:t>Local Government (Functions and General) Amendment Regulations 2001</w:t>
            </w:r>
            <w:r>
              <w:rPr>
                <w:vertAlign w:val="superscript"/>
              </w:rPr>
              <w:t xml:space="preserve"> 3</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7088" w:type="dxa"/>
            <w:gridSpan w:val="3"/>
            <w:tcBorders>
              <w:bottom w:val="single" w:sz="8" w:space="0" w:color="auto"/>
            </w:tcBorders>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bl>
    <w:p>
      <w:pPr>
        <w:pStyle w:val="nSubsection"/>
        <w:spacing w:before="160"/>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is a transitional provision that is of no further effect.</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46" w:name="_Toc421011510"/>
      <w:r>
        <w:rPr>
          <w:sz w:val="28"/>
        </w:rPr>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former draft model by</w:t>
      </w:r>
      <w:r>
        <w:noBreakHyphen/>
        <w:t>law</w:t>
      </w:r>
      <w:r>
        <w:tab/>
        <w:t>38(4)</w:t>
      </w:r>
    </w:p>
    <w:p>
      <w:pPr>
        <w:pStyle w:val="DefinedTerms"/>
      </w:pPr>
      <w:r>
        <w:t>former section</w:t>
      </w:r>
      <w:r>
        <w:tab/>
        <w:t>6(4)</w:t>
      </w:r>
    </w:p>
    <w:p>
      <w:pPr>
        <w:pStyle w:val="DefinedTerms"/>
      </w:pPr>
      <w:r>
        <w:t>joint venture</w:t>
      </w:r>
      <w:r>
        <w:tab/>
        <w:t>10(2)</w:t>
      </w:r>
    </w:p>
    <w:p>
      <w:pPr>
        <w:pStyle w:val="DefinedTerms"/>
      </w:pPr>
      <w:r>
        <w:t>joint venturer</w:t>
      </w:r>
      <w:r>
        <w:tab/>
        <w:t>10(2)</w:t>
      </w:r>
    </w:p>
    <w:p>
      <w:pPr>
        <w:pStyle w:val="DefinedTerms"/>
      </w:pPr>
      <w:r>
        <w:t>land that will lose its access</w:t>
      </w:r>
      <w:r>
        <w:tab/>
        <w:t>4(3)</w:t>
      </w:r>
    </w:p>
    <w:p>
      <w:pPr>
        <w:pStyle w:val="DefinedTerms"/>
      </w:pPr>
      <w:r>
        <w:t>major regional centre</w:t>
      </w:r>
      <w:r>
        <w:tab/>
        <w:t>7(1)</w:t>
      </w:r>
    </w:p>
    <w:p>
      <w:pPr>
        <w:pStyle w:val="DefinedTerms"/>
      </w:pPr>
      <w:r>
        <w:t>minor variation</w:t>
      </w:r>
      <w:r>
        <w:tab/>
        <w:t>20(3)</w:t>
      </w:r>
    </w:p>
    <w:p>
      <w:pPr>
        <w:pStyle w:val="DefinedTerms"/>
      </w:pPr>
      <w:r>
        <w:t>public place</w:t>
      </w:r>
      <w:r>
        <w:tab/>
        <w:t>29(2)</w:t>
      </w:r>
    </w:p>
    <w:p>
      <w:pPr>
        <w:pStyle w:val="DefinedTerms"/>
      </w:pPr>
      <w:r>
        <w:t>regional price preference</w:t>
      </w:r>
      <w:r>
        <w:tab/>
        <w:t>24B(1)</w:t>
      </w:r>
    </w:p>
    <w:p>
      <w:pPr>
        <w:pStyle w:val="DefinedTerms"/>
      </w:pPr>
      <w:r>
        <w:t>regional tenderer</w:t>
      </w:r>
      <w:r>
        <w:tab/>
        <w:t>24B(1)</w:t>
      </w:r>
    </w:p>
    <w:p>
      <w:pPr>
        <w:pStyle w:val="DefinedTerms"/>
      </w:pPr>
      <w:r>
        <w:t>transferee</w:t>
      </w:r>
      <w:r>
        <w:tab/>
        <w:t>30(2)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Mar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8" w:name="Coversheet"/>
    <w:bookmarkEnd w:id="1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102"/>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1207162102" w:val="RemoveTrackChanges"/>
    <w:docVar w:name="WAFER_20151207162102_GUID" w:val="0b1ab1ef-f427-446a-a67a-83c35142d5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10297</Words>
  <Characters>55710</Characters>
  <Application>Microsoft Office Word</Application>
  <DocSecurity>0</DocSecurity>
  <Lines>1466</Lines>
  <Paragraphs>904</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65103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1996 - 03-a0-04</dc:title>
  <dc:subject/>
  <dc:creator/>
  <cp:keywords/>
  <dc:description/>
  <cp:lastModifiedBy>svcMRProcess</cp:lastModifiedBy>
  <cp:revision>4</cp:revision>
  <cp:lastPrinted>2012-04-02T07:14:00Z</cp:lastPrinted>
  <dcterms:created xsi:type="dcterms:W3CDTF">2018-09-12T17:11:00Z</dcterms:created>
  <dcterms:modified xsi:type="dcterms:W3CDTF">2018-09-12T17:11:00Z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20120316</vt:lpwstr>
  </property>
  <property fmtid="{D5CDD505-2E9C-101B-9397-08002B2CF9AE}" pid="4" name="DocumentType">
    <vt:lpwstr>Reg</vt:lpwstr>
  </property>
  <property fmtid="{D5CDD505-2E9C-101B-9397-08002B2CF9AE}" pid="5" name="OwlsUID">
    <vt:i4>4578</vt:i4>
  </property>
  <property fmtid="{D5CDD505-2E9C-101B-9397-08002B2CF9AE}" pid="6" name="ReprintNo">
    <vt:lpwstr>3</vt:lpwstr>
  </property>
  <property fmtid="{D5CDD505-2E9C-101B-9397-08002B2CF9AE}" pid="7" name="ReprintedAsAt">
    <vt:filetime>2012-03-15T16:00:00Z</vt:filetime>
  </property>
  <property fmtid="{D5CDD505-2E9C-101B-9397-08002B2CF9AE}" pid="8" name="AsAtDate">
    <vt:lpwstr>16 Mar 2012</vt:lpwstr>
  </property>
  <property fmtid="{D5CDD505-2E9C-101B-9397-08002B2CF9AE}" pid="9" name="Suffix">
    <vt:lpwstr>03-a0-04</vt:lpwstr>
  </property>
</Properties>
</file>