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Parliamentary Superannuation Act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Parliamentary Superannuation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_Toc424216212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_Toc424216213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_Toc424216214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_Toc424216215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Parliamentary Superannuation Board</w:t>
      </w:r>
    </w:p>
    <w:p>
      <w:pPr>
        <w:pStyle w:val="TOC8"/>
        <w:rPr>
          <w:rFonts w:asciiTheme="minorHAnsi" w:eastAsiaTheme="minorEastAsia" w:hAnsiTheme="minorHAnsi" w:cstheme="minorBidi"/>
          <w:szCs w:val="22"/>
        </w:rPr>
      </w:pPr>
      <w:r>
        <w:t>6</w:t>
      </w:r>
      <w:r>
        <w:rPr>
          <w:snapToGrid w:val="0"/>
        </w:rPr>
        <w:t>.</w:t>
      </w:r>
      <w:r>
        <w:rPr>
          <w:snapToGrid w:val="0"/>
        </w:rPr>
        <w:tab/>
        <w:t>Board, establishment and membership of etc.</w:t>
      </w:r>
      <w:r>
        <w:tab/>
      </w:r>
      <w:r>
        <w:fldChar w:fldCharType="begin"/>
      </w:r>
      <w:r>
        <w:instrText xml:space="preserve"> PAGEREF _Toc424216217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of Board</w:t>
      </w:r>
      <w:r>
        <w:tab/>
      </w:r>
      <w:r>
        <w:fldChar w:fldCharType="begin"/>
      </w:r>
      <w:r>
        <w:instrText xml:space="preserve"> PAGEREF _Toc424216218 \h </w:instrText>
      </w:r>
      <w:r>
        <w:fldChar w:fldCharType="separate"/>
      </w:r>
      <w:r>
        <w:t>7</w:t>
      </w:r>
      <w:r>
        <w:fldChar w:fldCharType="end"/>
      </w:r>
    </w:p>
    <w:p>
      <w:pPr>
        <w:pStyle w:val="TOC8"/>
        <w:rPr>
          <w:rFonts w:asciiTheme="minorHAnsi" w:eastAsiaTheme="minorEastAsia" w:hAnsiTheme="minorHAnsi" w:cstheme="minorBidi"/>
          <w:szCs w:val="22"/>
        </w:rPr>
      </w:pPr>
      <w:r>
        <w:t>8.</w:t>
      </w:r>
      <w:r>
        <w:tab/>
        <w:t>Administrative assistance for Board</w:t>
      </w:r>
      <w:r>
        <w:tab/>
      </w:r>
      <w:r>
        <w:fldChar w:fldCharType="begin"/>
      </w:r>
      <w:r>
        <w:instrText xml:space="preserve"> PAGEREF _Toc424216219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IIA — Scheme participants</w:t>
      </w:r>
    </w:p>
    <w:p>
      <w:pPr>
        <w:pStyle w:val="TOC8"/>
        <w:rPr>
          <w:rFonts w:asciiTheme="minorHAnsi" w:eastAsiaTheme="minorEastAsia" w:hAnsiTheme="minorHAnsi" w:cstheme="minorBidi"/>
          <w:szCs w:val="22"/>
        </w:rPr>
      </w:pPr>
      <w:r>
        <w:t>9.</w:t>
      </w:r>
      <w:r>
        <w:tab/>
        <w:t>Scheme closed to members elected after closing day</w:t>
      </w:r>
      <w:r>
        <w:tab/>
      </w:r>
      <w:r>
        <w:fldChar w:fldCharType="begin"/>
      </w:r>
      <w:r>
        <w:instrText xml:space="preserve"> PAGEREF _Toc424216221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Contributions</w:t>
      </w:r>
    </w:p>
    <w:p>
      <w:pPr>
        <w:pStyle w:val="TOC8"/>
        <w:rPr>
          <w:rFonts w:asciiTheme="minorHAnsi" w:eastAsiaTheme="minorEastAsia" w:hAnsiTheme="minorHAnsi" w:cstheme="minorBidi"/>
          <w:szCs w:val="22"/>
        </w:rPr>
      </w:pPr>
      <w:r>
        <w:t>11.</w:t>
      </w:r>
      <w:r>
        <w:tab/>
        <w:t>Contributions in respect of members</w:t>
      </w:r>
      <w:r>
        <w:tab/>
      </w:r>
      <w:r>
        <w:fldChar w:fldCharType="begin"/>
      </w:r>
      <w:r>
        <w:instrText xml:space="preserve"> PAGEREF _Toc424216223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IV — Pensions and other benefits</w:t>
      </w:r>
    </w:p>
    <w:p>
      <w:pPr>
        <w:pStyle w:val="TOC8"/>
        <w:rPr>
          <w:rFonts w:asciiTheme="minorHAnsi" w:eastAsiaTheme="minorEastAsia" w:hAnsiTheme="minorHAnsi" w:cstheme="minorBidi"/>
          <w:szCs w:val="22"/>
        </w:rPr>
      </w:pPr>
      <w:r>
        <w:t>13</w:t>
      </w:r>
      <w:r>
        <w:rPr>
          <w:snapToGrid w:val="0"/>
        </w:rPr>
        <w:t>.</w:t>
      </w:r>
      <w:r>
        <w:rPr>
          <w:snapToGrid w:val="0"/>
        </w:rPr>
        <w:tab/>
        <w:t>Terms used</w:t>
      </w:r>
      <w:r>
        <w:tab/>
      </w:r>
      <w:r>
        <w:fldChar w:fldCharType="begin"/>
      </w:r>
      <w:r>
        <w:instrText xml:space="preserve"> PAGEREF _Toc424216225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Benefits payable when member ceases to be member</w:t>
      </w:r>
      <w:r>
        <w:tab/>
      </w:r>
      <w:r>
        <w:fldChar w:fldCharType="begin"/>
      </w:r>
      <w:r>
        <w:instrText xml:space="preserve"> PAGEREF _Toc424216226 \h </w:instrText>
      </w:r>
      <w:r>
        <w:fldChar w:fldCharType="separate"/>
      </w:r>
      <w:r>
        <w:t>12</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Increases to pensions according to Index</w:t>
      </w:r>
      <w:r>
        <w:tab/>
      </w:r>
      <w:r>
        <w:fldChar w:fldCharType="begin"/>
      </w:r>
      <w:r>
        <w:instrText xml:space="preserve"> PAGEREF _Toc424216227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Commutation of certain pensions</w:t>
      </w:r>
      <w:r>
        <w:tab/>
      </w:r>
      <w:r>
        <w:fldChar w:fldCharType="begin"/>
      </w:r>
      <w:r>
        <w:instrText xml:space="preserve"> PAGEREF _Toc424216228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Reduction of pension in certain cases</w:t>
      </w:r>
      <w:r>
        <w:tab/>
      </w:r>
      <w:r>
        <w:fldChar w:fldCharType="begin"/>
      </w:r>
      <w:r>
        <w:instrText xml:space="preserve"> PAGEREF _Toc424216229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 xml:space="preserve">Pensions payable to certain </w:t>
      </w:r>
      <w:r>
        <w:t>spouses or de facto partners</w:t>
      </w:r>
      <w:r>
        <w:tab/>
      </w:r>
      <w:r>
        <w:fldChar w:fldCharType="begin"/>
      </w:r>
      <w:r>
        <w:instrText xml:space="preserve"> PAGEREF _Toc424216230 \h </w:instrText>
      </w:r>
      <w:r>
        <w:fldChar w:fldCharType="separate"/>
      </w:r>
      <w:r>
        <w:t>20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 xml:space="preserve">Rate of pension for some </w:t>
      </w:r>
      <w:r>
        <w:t>spouses and de facto partners</w:t>
      </w:r>
      <w:r>
        <w:rPr>
          <w:snapToGrid w:val="0"/>
        </w:rPr>
        <w:t xml:space="preserve"> increased in Jan 1977</w:t>
      </w:r>
      <w:r>
        <w:tab/>
      </w:r>
      <w:r>
        <w:fldChar w:fldCharType="begin"/>
      </w:r>
      <w:r>
        <w:instrText xml:space="preserve"> PAGEREF _Toc424216231 \h </w:instrText>
      </w:r>
      <w:r>
        <w:fldChar w:fldCharType="separate"/>
      </w:r>
      <w:r>
        <w:t>21</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Pensions for some widows increased in Jan 1981</w:t>
      </w:r>
      <w:r>
        <w:tab/>
      </w:r>
      <w:r>
        <w:fldChar w:fldCharType="begin"/>
      </w:r>
      <w:r>
        <w:instrText xml:space="preserve"> PAGEREF _Toc424216232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Entitlement of spouse or de facto partner to pension on death of member</w:t>
      </w:r>
      <w:r>
        <w:tab/>
      </w:r>
      <w:r>
        <w:fldChar w:fldCharType="begin"/>
      </w:r>
      <w:r>
        <w:instrText xml:space="preserve"> PAGEREF _Toc424216233 \h </w:instrText>
      </w:r>
      <w:r>
        <w:fldChar w:fldCharType="separate"/>
      </w:r>
      <w:r>
        <w:t>22</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Commutation of certain spouses’ or de facto partners’ pensions</w:t>
      </w:r>
      <w:r>
        <w:tab/>
      </w:r>
      <w:r>
        <w:fldChar w:fldCharType="begin"/>
      </w:r>
      <w:r>
        <w:instrText xml:space="preserve"> PAGEREF _Toc424216234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Repayments to scheme of amounts previously paid under s. 14(3) to contributor</w:t>
      </w:r>
      <w:r>
        <w:tab/>
      </w:r>
      <w:r>
        <w:fldChar w:fldCharType="begin"/>
      </w:r>
      <w:r>
        <w:instrText xml:space="preserve"> PAGEREF _Toc424216235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Pension terminates if recipient again becomes member</w:t>
      </w:r>
      <w:r>
        <w:tab/>
      </w:r>
      <w:r>
        <w:fldChar w:fldCharType="begin"/>
      </w:r>
      <w:r>
        <w:instrText xml:space="preserve"> PAGEREF _Toc424216236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Reduction of pensions in certain cases</w:t>
      </w:r>
      <w:r>
        <w:tab/>
      </w:r>
      <w:r>
        <w:fldChar w:fldCharType="begin"/>
      </w:r>
      <w:r>
        <w:instrText xml:space="preserve"> PAGEREF _Toc424216237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Childrens’ allowances payable on death of member</w:t>
      </w:r>
      <w:r>
        <w:tab/>
      </w:r>
      <w:r>
        <w:fldChar w:fldCharType="begin"/>
      </w:r>
      <w:r>
        <w:instrText xml:space="preserve"> PAGEREF _Toc424216238 \h </w:instrText>
      </w:r>
      <w:r>
        <w:fldChar w:fldCharType="separate"/>
      </w:r>
      <w:r>
        <w:t>28</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Spouse or de facto partner and children not entitled to more than one pension</w:t>
      </w:r>
      <w:r>
        <w:tab/>
      </w:r>
      <w:r>
        <w:fldChar w:fldCharType="begin"/>
      </w:r>
      <w:r>
        <w:instrText xml:space="preserve"> PAGEREF _Toc424216239 \h </w:instrText>
      </w:r>
      <w:r>
        <w:fldChar w:fldCharType="separate"/>
      </w:r>
      <w:r>
        <w:t>29</w:t>
      </w:r>
      <w:r>
        <w:fldChar w:fldCharType="end"/>
      </w:r>
    </w:p>
    <w:p>
      <w:pPr>
        <w:pStyle w:val="TOC8"/>
        <w:rPr>
          <w:rFonts w:asciiTheme="minorHAnsi" w:eastAsiaTheme="minorEastAsia" w:hAnsiTheme="minorHAnsi" w:cstheme="minorBidi"/>
          <w:szCs w:val="22"/>
        </w:rPr>
      </w:pPr>
      <w:r>
        <w:t>24.</w:t>
      </w:r>
      <w:r>
        <w:tab/>
        <w:t>Minimum benefits payable to members</w:t>
      </w:r>
      <w:r>
        <w:tab/>
      </w:r>
      <w:r>
        <w:fldChar w:fldCharType="begin"/>
      </w:r>
      <w:r>
        <w:instrText xml:space="preserve"> PAGEREF _Toc424216240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25</w:t>
      </w:r>
      <w:r>
        <w:rPr>
          <w:snapToGrid w:val="0"/>
        </w:rPr>
        <w:t>.</w:t>
      </w:r>
      <w:r>
        <w:rPr>
          <w:snapToGrid w:val="0"/>
        </w:rPr>
        <w:tab/>
        <w:t>Pensions payable fortnightly etc.</w:t>
      </w:r>
      <w:r>
        <w:tab/>
      </w:r>
      <w:r>
        <w:fldChar w:fldCharType="begin"/>
      </w:r>
      <w:r>
        <w:instrText xml:space="preserve"> PAGEREF _Toc424216242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Payments to be made from Consolidated Account</w:t>
      </w:r>
      <w:r>
        <w:tab/>
      </w:r>
      <w:r>
        <w:fldChar w:fldCharType="begin"/>
      </w:r>
      <w:r>
        <w:instrText xml:space="preserve"> PAGEREF _Toc424216243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 by actuary on liabilities of Consolidated Account</w:t>
      </w:r>
      <w:r>
        <w:tab/>
      </w:r>
      <w:r>
        <w:fldChar w:fldCharType="begin"/>
      </w:r>
      <w:r>
        <w:instrText xml:space="preserve"> PAGEREF _Toc424216244 \h </w:instrText>
      </w:r>
      <w:r>
        <w:fldChar w:fldCharType="separate"/>
      </w:r>
      <w:r>
        <w:t>31</w:t>
      </w:r>
      <w:r>
        <w:fldChar w:fldCharType="end"/>
      </w:r>
    </w:p>
    <w:p>
      <w:pPr>
        <w:pStyle w:val="TOC8"/>
        <w:rPr>
          <w:rFonts w:asciiTheme="minorHAnsi" w:eastAsiaTheme="minorEastAsia" w:hAnsiTheme="minorHAnsi" w:cstheme="minorBidi"/>
          <w:szCs w:val="22"/>
        </w:rPr>
      </w:pPr>
      <w:r>
        <w:t>28.</w:t>
      </w:r>
      <w:r>
        <w:tab/>
        <w:t>Tribunal may change scheme</w:t>
      </w:r>
      <w:r>
        <w:tab/>
      </w:r>
      <w:r>
        <w:fldChar w:fldCharType="begin"/>
      </w:r>
      <w:r>
        <w:instrText xml:space="preserve"> PAGEREF _Toc424216245 \h </w:instrText>
      </w:r>
      <w:r>
        <w:fldChar w:fldCharType="separate"/>
      </w:r>
      <w:r>
        <w:t>32</w:t>
      </w:r>
      <w:r>
        <w:fldChar w:fldCharType="end"/>
      </w:r>
    </w:p>
    <w:p>
      <w:pPr>
        <w:pStyle w:val="TOC8"/>
        <w:rPr>
          <w:rFonts w:asciiTheme="minorHAnsi" w:eastAsiaTheme="minorEastAsia" w:hAnsiTheme="minorHAnsi" w:cstheme="minorBidi"/>
          <w:szCs w:val="22"/>
        </w:rPr>
      </w:pPr>
      <w:r>
        <w:t>29.</w:t>
      </w:r>
      <w:r>
        <w:tab/>
        <w:t>State contributions for MPs who are not participants in scheme</w:t>
      </w:r>
      <w:r>
        <w:tab/>
      </w:r>
      <w:r>
        <w:fldChar w:fldCharType="begin"/>
      </w:r>
      <w:r>
        <w:instrText xml:space="preserve"> PAGEREF _Toc424216246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Pensions etc. not assignable etc.</w:t>
      </w:r>
      <w:r>
        <w:tab/>
      </w:r>
      <w:r>
        <w:fldChar w:fldCharType="begin"/>
      </w:r>
      <w:r>
        <w:instrText xml:space="preserve"> PAGEREF _Toc424216247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_Toc424216248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 Title of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_Toc424216251 \h </w:instrText>
      </w:r>
      <w:r>
        <w:fldChar w:fldCharType="separate"/>
      </w:r>
      <w:r>
        <w:t>38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200"/>
      </w:pPr>
      <w:r>
        <w:t>Parliamentary Superannuation Act 1970</w:t>
      </w:r>
    </w:p>
    <w:p>
      <w:pPr>
        <w:pStyle w:val="LongTitle"/>
      </w:pPr>
      <w:r>
        <w:t>An Act relating to superannuation for members of Parliament and for related purposes.</w:t>
      </w:r>
    </w:p>
    <w:p>
      <w:pPr>
        <w:pStyle w:val="Footnotelongtitle"/>
      </w:pPr>
      <w:r>
        <w:tab/>
        <w:t>[Long title inserted: No. 37 of 2000 s. 4.]</w:t>
      </w:r>
    </w:p>
    <w:p>
      <w:pPr>
        <w:pStyle w:val="Heading2"/>
      </w:pPr>
      <w:bookmarkStart w:id="3" w:name="_Toc378170759"/>
      <w:bookmarkStart w:id="4" w:name="_Toc424216211"/>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8170760"/>
      <w:bookmarkStart w:id="6" w:name="_Toc424216212"/>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[Section 1 amended: No. 54 of 1980 s. 1.]</w:t>
      </w:r>
    </w:p>
    <w:p>
      <w:pPr>
        <w:pStyle w:val="Heading5"/>
        <w:rPr>
          <w:snapToGrid w:val="0"/>
        </w:rPr>
      </w:pPr>
      <w:bookmarkStart w:id="7" w:name="_Toc378170761"/>
      <w:bookmarkStart w:id="8" w:name="_Toc42421621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Deleted: No. 58 of 1986 s. 3.]</w:t>
      </w:r>
    </w:p>
    <w:p>
      <w:pPr>
        <w:pStyle w:val="Heading5"/>
        <w:rPr>
          <w:snapToGrid w:val="0"/>
        </w:rPr>
      </w:pPr>
      <w:bookmarkStart w:id="9" w:name="_Toc378170762"/>
      <w:bookmarkStart w:id="10" w:name="_Toc424216214"/>
      <w:r>
        <w:rPr>
          <w:rStyle w:val="CharSectno"/>
        </w:rPr>
        <w:t>4</w:t>
      </w:r>
      <w:r>
        <w:rPr>
          <w:snapToGrid w:val="0"/>
        </w:rPr>
        <w:t>.</w:t>
      </w:r>
      <w:r>
        <w:rPr>
          <w:snapToGrid w:val="0"/>
        </w:rPr>
        <w:tab/>
        <w:t>Repeal</w:t>
      </w:r>
      <w:bookmarkEnd w:id="9"/>
      <w:bookmarkEnd w:id="10"/>
    </w:p>
    <w:p>
      <w:pPr>
        <w:pStyle w:val="Subsection"/>
        <w:rPr>
          <w:snapToGrid w:val="0"/>
        </w:rPr>
      </w:pPr>
      <w:r>
        <w:rPr>
          <w:snapToGrid w:val="0"/>
        </w:rPr>
        <w:tab/>
      </w:r>
      <w:r>
        <w:rPr>
          <w:snapToGrid w:val="0"/>
        </w:rPr>
        <w:tab/>
        <w:t>The Acts set out in the Schedule are repealed.</w:t>
      </w:r>
    </w:p>
    <w:p>
      <w:pPr>
        <w:pStyle w:val="Heading5"/>
        <w:rPr>
          <w:snapToGrid w:val="0"/>
        </w:rPr>
      </w:pPr>
      <w:bookmarkStart w:id="11" w:name="_Toc378170763"/>
      <w:bookmarkStart w:id="12" w:name="_Toc424216215"/>
      <w:r>
        <w:rPr>
          <w:rStyle w:val="CharSectno"/>
        </w:rPr>
        <w:t>5</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basic salary</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tab/>
      </w:r>
      <w:r>
        <w:rPr>
          <w:rStyle w:val="CharDefText"/>
        </w:rPr>
        <w:t>benefit certificate</w:t>
      </w:r>
      <w:r>
        <w:t xml:space="preserve"> has the meaning given in the SG(A) Act section 10;</w:t>
      </w:r>
    </w:p>
    <w:p>
      <w:pPr>
        <w:pStyle w:val="Defstart"/>
      </w:pPr>
      <w:r>
        <w:rPr>
          <w:b/>
        </w:rPr>
        <w:tab/>
      </w:r>
      <w:r>
        <w:rPr>
          <w:rStyle w:val="CharDefText"/>
        </w:rPr>
        <w:t>Board</w:t>
      </w:r>
      <w:r>
        <w:t xml:space="preserve"> means the Parliamentary Superannuation Board established by section 6(1);</w:t>
      </w:r>
    </w:p>
    <w:p>
      <w:pPr>
        <w:pStyle w:val="Defstart"/>
      </w:pPr>
      <w:r>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pPr>
      <w:r>
        <w:tab/>
      </w:r>
      <w:r>
        <w:rPr>
          <w:rStyle w:val="CharDefText"/>
        </w:rPr>
        <w:t>complying superannuation fund</w:t>
      </w:r>
      <w:r>
        <w:t xml:space="preserve"> has the meaning given in the SG(A) Act section 7;</w:t>
      </w:r>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tab/>
      </w:r>
      <w:r>
        <w:rPr>
          <w:rStyle w:val="CharDefText"/>
        </w:rPr>
        <w:t>individual superannuation guarantee shortfall</w:t>
      </w:r>
      <w:r>
        <w:t xml:space="preserve"> has the meaning given in the SG(A) Act section 19;</w:t>
      </w:r>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pPr>
      <w:r>
        <w:rPr>
          <w:b/>
        </w:rPr>
        <w:tab/>
      </w:r>
      <w:r>
        <w:rPr>
          <w:rStyle w:val="CharDefText"/>
        </w:rPr>
        <w:t>repealed Act</w:t>
      </w:r>
      <w:r>
        <w:t xml:space="preserve"> means the </w:t>
      </w:r>
      <w:r>
        <w:rPr>
          <w:i/>
        </w:rPr>
        <w:t>Parliamentary Superannuation Act 1948</w:t>
      </w:r>
      <w:r>
        <w:rPr>
          <w:i/>
        </w:rPr>
        <w:softHyphen/>
      </w:r>
      <w:r>
        <w:t>;</w:t>
      </w:r>
    </w:p>
    <w:p>
      <w:pPr>
        <w:pStyle w:val="Defstart"/>
      </w:pPr>
      <w:r>
        <w:rPr>
          <w:b/>
        </w:rPr>
        <w:tab/>
      </w:r>
      <w:r>
        <w:rPr>
          <w:rStyle w:val="CharDefText"/>
        </w:rPr>
        <w:t>salary</w:t>
      </w:r>
      <w:r>
        <w:t>, in relation to a member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member’s basic salary together with any salary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member’s basic salary together with any additional remuneration paid pursuant to a determination made under that Act which is designated in the determination to be salary payable to the member as a Minister of the Crown, 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pPr>
      <w:r>
        <w:tab/>
      </w:r>
      <w:r>
        <w:rPr>
          <w:rStyle w:val="CharDefText"/>
        </w:rPr>
        <w:t>SG(A) Act</w:t>
      </w:r>
      <w:r>
        <w:t xml:space="preserve"> means the </w:t>
      </w:r>
      <w:r>
        <w:rPr>
          <w:i/>
          <w:iCs/>
        </w:rPr>
        <w:t>Superannuation Guarantee (Administration) Act 1992</w:t>
      </w:r>
      <w:r>
        <w:t xml:space="preserve"> (Commonwealth);</w:t>
      </w:r>
    </w:p>
    <w:p>
      <w:pPr>
        <w:pStyle w:val="Defstart"/>
        <w:keepNext/>
      </w:pPr>
      <w:r>
        <w:tab/>
      </w:r>
      <w:r>
        <w:rPr>
          <w:rStyle w:val="CharDefText"/>
        </w:rPr>
        <w:t>spouse or de facto partner</w:t>
      </w:r>
      <w:r>
        <w:t>, in relation to a member or former member, means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tab/>
      </w:r>
      <w:r>
        <w:rPr>
          <w:rStyle w:val="CharDefText"/>
        </w:rPr>
        <w:t>Tribunal</w:t>
      </w:r>
      <w:r>
        <w:t xml:space="preserve"> means the Salaries and Allowances Tribunal established by section 5 of the </w:t>
      </w:r>
      <w:r>
        <w:rPr>
          <w:i/>
        </w:rPr>
        <w:t>Salaries and Allowances Act 1975</w:t>
      </w:r>
      <w:r>
        <w:t>.</w:t>
      </w:r>
    </w:p>
    <w:p>
      <w:pPr>
        <w:pStyle w:val="Subsection"/>
        <w:rPr>
          <w:snapToGrid w:val="0"/>
        </w:rPr>
      </w:pPr>
      <w:r>
        <w:rPr>
          <w:snapToGrid w:val="0"/>
        </w:rPr>
        <w:tab/>
        <w:t>(2)</w:t>
      </w:r>
      <w:r>
        <w:rPr>
          <w:snapToGrid w:val="0"/>
        </w:rPr>
        <w:tab/>
        <w:t>For the purposes of this Act a member shall be deemed not to have ceased to be a member by reason only of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[Section 5 amended: No. 94 of 1975 s. 3; No. 54 of 1980 s. 3; No. 58 of 1986 s. 4; No. 31 of 1989 s. 4; No. 37 of 2000 s. 5; No. 3 of 2002 s. 90; No. 34 of 2011 s. 4 and 15.]</w:t>
      </w:r>
    </w:p>
    <w:p>
      <w:pPr>
        <w:pStyle w:val="Heading2"/>
      </w:pPr>
      <w:bookmarkStart w:id="13" w:name="_Toc378170764"/>
      <w:bookmarkStart w:id="14" w:name="_Toc424216216"/>
      <w:r>
        <w:rPr>
          <w:rStyle w:val="CharPartNo"/>
        </w:rPr>
        <w:t>Part II</w:t>
      </w:r>
      <w:r>
        <w:t xml:space="preserve"> — </w:t>
      </w:r>
      <w:r>
        <w:rPr>
          <w:rStyle w:val="CharPartText"/>
        </w:rPr>
        <w:t>The Parliamentary Superannuation Board</w:t>
      </w:r>
      <w:bookmarkEnd w:id="13"/>
      <w:bookmarkEnd w:id="14"/>
    </w:p>
    <w:p>
      <w:pPr>
        <w:pStyle w:val="Footnoteheading"/>
        <w:tabs>
          <w:tab w:val="left" w:pos="851"/>
        </w:tabs>
        <w:rPr>
          <w:snapToGrid w:val="0"/>
        </w:rPr>
      </w:pPr>
      <w:r>
        <w:rPr>
          <w:snapToGrid w:val="0"/>
        </w:rPr>
        <w:tab/>
        <w:t>[Heading inserted: No. 31 of 1989 s. 5.]</w:t>
      </w:r>
    </w:p>
    <w:p>
      <w:pPr>
        <w:pStyle w:val="Heading5"/>
        <w:spacing w:before="240"/>
        <w:rPr>
          <w:snapToGrid w:val="0"/>
        </w:rPr>
      </w:pPr>
      <w:bookmarkStart w:id="15" w:name="_Toc378170765"/>
      <w:bookmarkStart w:id="16" w:name="_Toc424216217"/>
      <w:r>
        <w:rPr>
          <w:rStyle w:val="CharSectno"/>
        </w:rPr>
        <w:t>6</w:t>
      </w:r>
      <w:r>
        <w:rPr>
          <w:snapToGrid w:val="0"/>
        </w:rPr>
        <w:t>.</w:t>
      </w:r>
      <w:r>
        <w:rPr>
          <w:snapToGrid w:val="0"/>
        </w:rPr>
        <w:tab/>
        <w:t>Board, establishment and membership of etc.</w:t>
      </w:r>
      <w:bookmarkEnd w:id="15"/>
      <w:bookmarkEnd w:id="16"/>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w:t>
      </w:r>
    </w:p>
    <w:p>
      <w:pPr>
        <w:pStyle w:val="Indenta"/>
        <w:rPr>
          <w:snapToGrid w:val="0"/>
        </w:rPr>
      </w:pPr>
      <w:r>
        <w:rPr>
          <w:snapToGrid w:val="0"/>
        </w:rPr>
        <w:tab/>
        <w:t>(a)</w:t>
      </w:r>
      <w:r>
        <w:rPr>
          <w:snapToGrid w:val="0"/>
        </w:rPr>
        <w:tab/>
        <w:t>the Minister, who is the chairperson;</w:t>
      </w:r>
    </w:p>
    <w:p>
      <w:pPr>
        <w:pStyle w:val="Indenta"/>
      </w:pPr>
      <w:r>
        <w:tab/>
        <w:t>(b)</w:t>
      </w:r>
      <w:r>
        <w:tab/>
        <w:t>5 other Board members, of whom —</w:t>
      </w:r>
    </w:p>
    <w:p>
      <w:pPr>
        <w:pStyle w:val="Indenti"/>
      </w:pPr>
      <w:r>
        <w:tab/>
        <w:t>(i)</w:t>
      </w:r>
      <w:r>
        <w:tab/>
        <w:t>2 are to be appointed by the Legislative Council from members of the Council; and</w:t>
      </w:r>
    </w:p>
    <w:p>
      <w:pPr>
        <w:pStyle w:val="Indenti"/>
      </w:pPr>
      <w:r>
        <w:tab/>
        <w:t>(ii)</w:t>
      </w:r>
      <w:r>
        <w:tab/>
        <w:t>2 are to be appointed by the Legislative Assembly from members of the Assembly; and</w:t>
      </w:r>
    </w:p>
    <w:p>
      <w:pPr>
        <w:pStyle w:val="Indenti"/>
      </w:pPr>
      <w:r>
        <w:tab/>
        <w:t>(iii)</w:t>
      </w:r>
      <w:r>
        <w:tab/>
        <w:t>one is to be appointed by the Minister from former members to whom the scheme applies.</w:t>
      </w:r>
    </w:p>
    <w:p>
      <w:pPr>
        <w:pStyle w:val="Subsection"/>
        <w:rPr>
          <w:snapToGrid w:val="0"/>
        </w:rPr>
      </w:pPr>
      <w:r>
        <w:rPr>
          <w:snapToGrid w:val="0"/>
        </w:rPr>
        <w:tab/>
        <w:t>(4)</w:t>
      </w:r>
      <w:r>
        <w:rPr>
          <w:snapToGrid w:val="0"/>
        </w:rPr>
        <w:tab/>
        <w:t xml:space="preserve">Appointments under </w:t>
      </w:r>
      <w:r>
        <w:t>subsection (3)(b)(i) and (ii)</w:t>
      </w:r>
      <w:r>
        <w:rPr>
          <w:snapToGrid w:val="0"/>
        </w:rPr>
        <w:t xml:space="preserve"> by a House are to be made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pPr>
      <w:r>
        <w:tab/>
        <w:t>(5A)</w:t>
      </w:r>
      <w:r>
        <w:tab/>
        <w:t>The Minister is to make an appointment under subsection (3)(b)(iii) whenever required to fill a vacancy.</w:t>
      </w:r>
    </w:p>
    <w:p>
      <w:pPr>
        <w:pStyle w:val="Subsection"/>
        <w:rPr>
          <w:snapToGrid w:val="0"/>
        </w:rPr>
      </w:pPr>
      <w:r>
        <w:rPr>
          <w:snapToGrid w:val="0"/>
        </w:rPr>
        <w:tab/>
        <w:t>(5)</w:t>
      </w:r>
      <w:r>
        <w:rPr>
          <w:snapToGrid w:val="0"/>
        </w:rPr>
        <w:tab/>
        <w:t xml:space="preserve">The Minister may nominate a member of either House to act as chairperson </w:t>
      </w:r>
      <w:r>
        <w:t>on behalf of the Minister</w:t>
      </w:r>
      <w:r>
        <w:rPr>
          <w:snapToGrid w:val="0"/>
        </w:rPr>
        <w:t xml:space="preserve">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 xml:space="preserve">A Board </w:t>
      </w:r>
      <w:r>
        <w:t>member appointed under subsection (3)(b)(i) or (ii) —</w:t>
      </w:r>
    </w:p>
    <w:p>
      <w:pPr>
        <w:pStyle w:val="Indenta"/>
        <w:rPr>
          <w:snapToGrid w:val="0"/>
        </w:rPr>
      </w:pPr>
      <w:r>
        <w:rPr>
          <w:snapToGrid w:val="0"/>
        </w:rPr>
        <w:tab/>
        <w:t>(a)</w:t>
      </w:r>
      <w:r>
        <w:rPr>
          <w:snapToGrid w:val="0"/>
        </w:rPr>
        <w:tab/>
        <w:t>may be removed by the House by which the member was appointed; and</w:t>
      </w:r>
    </w:p>
    <w:p>
      <w:pPr>
        <w:pStyle w:val="Indenta"/>
        <w:rPr>
          <w:snapToGrid w:val="0"/>
        </w:rPr>
      </w:pPr>
      <w:r>
        <w:rPr>
          <w:snapToGrid w:val="0"/>
        </w:rPr>
        <w:tab/>
        <w:t>(b)</w:t>
      </w:r>
      <w:r>
        <w:rPr>
          <w:snapToGrid w:val="0"/>
        </w:rPr>
        <w:tab/>
        <w:t>may resign by notice in writing to the presiding officer of that House; and</w:t>
      </w:r>
    </w:p>
    <w:p>
      <w:pPr>
        <w:pStyle w:val="Indenta"/>
        <w:rPr>
          <w:snapToGrid w:val="0"/>
        </w:rPr>
      </w:pPr>
      <w:r>
        <w:rPr>
          <w:snapToGrid w:val="0"/>
        </w:rPr>
        <w:tab/>
        <w:t>(c)</w:t>
      </w:r>
      <w:r>
        <w:rPr>
          <w:snapToGrid w:val="0"/>
        </w:rPr>
        <w:tab/>
        <w:t>ceases to hold office upon ceasing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Subsection"/>
      </w:pPr>
      <w:r>
        <w:tab/>
        <w:t>(7)</w:t>
      </w:r>
      <w:r>
        <w:tab/>
        <w:t>A Board member appointed under subsection (3)(b)(iii) —</w:t>
      </w:r>
    </w:p>
    <w:p>
      <w:pPr>
        <w:pStyle w:val="Indenta"/>
      </w:pPr>
      <w:r>
        <w:tab/>
        <w:t>(a)</w:t>
      </w:r>
      <w:r>
        <w:tab/>
        <w:t>may be removed by the Minister; and</w:t>
      </w:r>
    </w:p>
    <w:p>
      <w:pPr>
        <w:pStyle w:val="Indenta"/>
      </w:pPr>
      <w:r>
        <w:tab/>
        <w:t>(b)</w:t>
      </w:r>
      <w:r>
        <w:tab/>
        <w:t>may resign by notice in writing to the Minister; and</w:t>
      </w:r>
    </w:p>
    <w:p>
      <w:pPr>
        <w:pStyle w:val="Indenta"/>
      </w:pPr>
      <w:r>
        <w:tab/>
        <w:t>(c)</w:t>
      </w:r>
      <w:r>
        <w:tab/>
        <w:t>ceases to hold office on the day fixed for the taking of the poll next following a dissolution or expiry of the Legislative Assembly.</w:t>
      </w:r>
    </w:p>
    <w:p>
      <w:pPr>
        <w:pStyle w:val="Footnotesection"/>
      </w:pPr>
      <w:r>
        <w:tab/>
        <w:t>[Section 6 inserted: No. 31 of 1989 s. 5; amended: No. 28 of 2006 s. 430; No. 34 of 2011 s. 5 and 15.]</w:t>
      </w:r>
    </w:p>
    <w:p>
      <w:pPr>
        <w:pStyle w:val="Heading5"/>
        <w:rPr>
          <w:snapToGrid w:val="0"/>
        </w:rPr>
      </w:pPr>
      <w:bookmarkStart w:id="17" w:name="_Toc378170766"/>
      <w:bookmarkStart w:id="18" w:name="_Toc424216218"/>
      <w:r>
        <w:rPr>
          <w:rStyle w:val="CharSectno"/>
        </w:rPr>
        <w:t>7</w:t>
      </w:r>
      <w:r>
        <w:rPr>
          <w:snapToGrid w:val="0"/>
        </w:rPr>
        <w:t>.</w:t>
      </w:r>
      <w:r>
        <w:rPr>
          <w:snapToGrid w:val="0"/>
        </w:rPr>
        <w:tab/>
        <w:t>Meetings of Board</w:t>
      </w:r>
      <w:bookmarkEnd w:id="17"/>
      <w:bookmarkEnd w:id="18"/>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4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[Section 7 inserted: No. 31 of 1989 s. 5; amended: No. 34 of 2011 s. 6.]</w:t>
      </w:r>
    </w:p>
    <w:p>
      <w:pPr>
        <w:pStyle w:val="Heading5"/>
      </w:pPr>
      <w:bookmarkStart w:id="19" w:name="_Toc378170767"/>
      <w:bookmarkStart w:id="20" w:name="_Toc424216219"/>
      <w:r>
        <w:rPr>
          <w:rStyle w:val="CharSectno"/>
        </w:rPr>
        <w:t>8</w:t>
      </w:r>
      <w:r>
        <w:t>.</w:t>
      </w:r>
      <w:r>
        <w:tab/>
        <w:t>Administrative assistance for Board</w:t>
      </w:r>
      <w:bookmarkEnd w:id="19"/>
      <w:bookmarkEnd w:id="20"/>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No. 37 of 2000 s. 6.]</w:t>
      </w:r>
    </w:p>
    <w:p>
      <w:pPr>
        <w:pStyle w:val="Heading2"/>
      </w:pPr>
      <w:bookmarkStart w:id="21" w:name="_Toc378170768"/>
      <w:bookmarkStart w:id="22" w:name="_Toc424216220"/>
      <w:r>
        <w:rPr>
          <w:rStyle w:val="CharPartNo"/>
        </w:rPr>
        <w:t>Part IIA</w:t>
      </w:r>
      <w:r>
        <w:t> — </w:t>
      </w:r>
      <w:r>
        <w:rPr>
          <w:rStyle w:val="CharPartText"/>
        </w:rPr>
        <w:t>Scheme participants</w:t>
      </w:r>
      <w:bookmarkEnd w:id="21"/>
      <w:bookmarkEnd w:id="22"/>
    </w:p>
    <w:p>
      <w:pPr>
        <w:pStyle w:val="Footnoteheading"/>
        <w:tabs>
          <w:tab w:val="left" w:pos="851"/>
        </w:tabs>
      </w:pPr>
      <w:r>
        <w:tab/>
        <w:t>[Heading inserted: No. 37 of 2000 s. 7.]</w:t>
      </w:r>
    </w:p>
    <w:p>
      <w:pPr>
        <w:pStyle w:val="Heading5"/>
      </w:pPr>
      <w:bookmarkStart w:id="23" w:name="_Toc378170769"/>
      <w:bookmarkStart w:id="24" w:name="_Toc424216221"/>
      <w:r>
        <w:rPr>
          <w:rStyle w:val="CharSectno"/>
        </w:rPr>
        <w:t>9</w:t>
      </w:r>
      <w:r>
        <w:t>.</w:t>
      </w:r>
      <w:r>
        <w:tab/>
        <w:t>Scheme closed to members elected after closing day</w:t>
      </w:r>
      <w:bookmarkEnd w:id="23"/>
      <w:bookmarkEnd w:id="24"/>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No. 37 of 2000 s. 7.]</w:t>
      </w:r>
    </w:p>
    <w:p>
      <w:pPr>
        <w:pStyle w:val="Ednotesection"/>
      </w:pPr>
      <w:r>
        <w:t>[</w:t>
      </w:r>
      <w:r>
        <w:rPr>
          <w:b/>
        </w:rPr>
        <w:t>10.</w:t>
      </w:r>
      <w:r>
        <w:tab/>
        <w:t>Deleted: No. 34 of 2011 s. 7]</w:t>
      </w:r>
    </w:p>
    <w:p>
      <w:pPr>
        <w:pStyle w:val="Heading2"/>
      </w:pPr>
      <w:bookmarkStart w:id="25" w:name="_Toc378170770"/>
      <w:bookmarkStart w:id="26" w:name="_Toc424216222"/>
      <w:r>
        <w:rPr>
          <w:rStyle w:val="CharPartNo"/>
        </w:rPr>
        <w:t>Part III</w:t>
      </w:r>
      <w:r>
        <w:t> — </w:t>
      </w:r>
      <w:r>
        <w:rPr>
          <w:rStyle w:val="CharPartText"/>
        </w:rPr>
        <w:t>Contributions</w:t>
      </w:r>
      <w:bookmarkEnd w:id="25"/>
      <w:bookmarkEnd w:id="26"/>
    </w:p>
    <w:p>
      <w:pPr>
        <w:pStyle w:val="Footnoteheading"/>
        <w:tabs>
          <w:tab w:val="left" w:pos="851"/>
        </w:tabs>
      </w:pPr>
      <w:r>
        <w:tab/>
        <w:t>[Heading inserted: No. 37 of 2000 s. 8(1).]</w:t>
      </w:r>
    </w:p>
    <w:p>
      <w:pPr>
        <w:pStyle w:val="Heading5"/>
      </w:pPr>
      <w:bookmarkStart w:id="27" w:name="_Toc378170771"/>
      <w:bookmarkStart w:id="28" w:name="_Toc424216223"/>
      <w:r>
        <w:rPr>
          <w:rStyle w:val="CharSectno"/>
        </w:rPr>
        <w:t>11</w:t>
      </w:r>
      <w:r>
        <w:t>.</w:t>
      </w:r>
      <w:r>
        <w:tab/>
        <w:t>Contributions in respect of members</w:t>
      </w:r>
      <w:bookmarkEnd w:id="27"/>
      <w:bookmarkEnd w:id="28"/>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No. 37 of 2000 s. 8(1) </w:t>
      </w:r>
      <w:r>
        <w:rPr>
          <w:vertAlign w:val="superscript"/>
        </w:rPr>
        <w:t>3</w:t>
      </w:r>
      <w:r>
        <w:t>; amended: No. 77 of 2006 s. 4.]</w:t>
      </w:r>
    </w:p>
    <w:p>
      <w:pPr>
        <w:pStyle w:val="Ednotesection"/>
      </w:pPr>
      <w:r>
        <w:t>[</w:t>
      </w:r>
      <w:r>
        <w:rPr>
          <w:b/>
        </w:rPr>
        <w:t>12.</w:t>
      </w:r>
      <w:r>
        <w:tab/>
        <w:t>Deleted: No. 31 of 1989 s. 8.]</w:t>
      </w:r>
    </w:p>
    <w:p>
      <w:pPr>
        <w:pStyle w:val="Heading2"/>
      </w:pPr>
      <w:bookmarkStart w:id="29" w:name="_Toc378170772"/>
      <w:bookmarkStart w:id="30" w:name="_Toc424216224"/>
      <w:r>
        <w:rPr>
          <w:rStyle w:val="CharPartNo"/>
        </w:rPr>
        <w:t>Part IV</w:t>
      </w:r>
      <w:r>
        <w:rPr>
          <w:rStyle w:val="CharDivNo"/>
        </w:rPr>
        <w:t> </w:t>
      </w:r>
      <w:r>
        <w:t>—</w:t>
      </w:r>
      <w:r>
        <w:rPr>
          <w:rStyle w:val="CharDivText"/>
        </w:rPr>
        <w:t> </w:t>
      </w:r>
      <w:r>
        <w:rPr>
          <w:rStyle w:val="CharPartText"/>
        </w:rPr>
        <w:t>Pensions and other benefits</w:t>
      </w:r>
      <w:bookmarkEnd w:id="29"/>
      <w:bookmarkEnd w:id="30"/>
    </w:p>
    <w:p>
      <w:pPr>
        <w:pStyle w:val="Heading5"/>
        <w:spacing w:before="180"/>
        <w:rPr>
          <w:snapToGrid w:val="0"/>
        </w:rPr>
      </w:pPr>
      <w:bookmarkStart w:id="31" w:name="_Toc378170773"/>
      <w:bookmarkStart w:id="32" w:name="_Toc424216225"/>
      <w:r>
        <w:rPr>
          <w:rStyle w:val="CharSectno"/>
        </w:rPr>
        <w:t>13</w:t>
      </w:r>
      <w:r>
        <w:rPr>
          <w:snapToGrid w:val="0"/>
        </w:rPr>
        <w:t>.</w:t>
      </w:r>
      <w:r>
        <w:rPr>
          <w:snapToGrid w:val="0"/>
        </w:rPr>
        <w:tab/>
        <w:t>Terms used</w:t>
      </w:r>
      <w:bookmarkEnd w:id="31"/>
      <w:bookmarkEnd w:id="32"/>
    </w:p>
    <w:p>
      <w:pPr>
        <w:pStyle w:val="Subsection"/>
        <w:keepNext/>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ceasing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w:t>
      </w:r>
    </w:p>
    <w:p>
      <w:pPr>
        <w:pStyle w:val="Indenti"/>
        <w:rPr>
          <w:snapToGrid w:val="0"/>
        </w:rPr>
      </w:pPr>
      <w:r>
        <w:rPr>
          <w:snapToGrid w:val="0"/>
        </w:rPr>
        <w:tab/>
        <w:t>(i)</w:t>
      </w:r>
      <w:r>
        <w:rPr>
          <w:snapToGrid w:val="0"/>
        </w:rPr>
        <w:tab/>
        <w:t>under the repealed Act; or</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 xml:space="preserve">and includes, where a person has made contributions in respect of 2 or more separated periods of service as a member, every period for which </w:t>
      </w:r>
      <w:r>
        <w:t>the person so contributed</w:t>
      </w:r>
      <w:r>
        <w:rPr>
          <w:snapToGrid w:val="0"/>
        </w:rPr>
        <w:t>, irrespective of any pension, refund of contributions with interest or other benefit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[Section 13 amended: No. 94 of 1975 s. 5; No. 54 of 1980 s. 5; No. 58 of 1986 s. 6; No. 31 of 1989 s. 9; No. 6 of 1993 s. 11; No. 77 of 2006 s. 4; No. 34 of 2011 s. 15.]</w:t>
      </w:r>
    </w:p>
    <w:p>
      <w:pPr>
        <w:pStyle w:val="Heading5"/>
        <w:rPr>
          <w:snapToGrid w:val="0"/>
        </w:rPr>
      </w:pPr>
      <w:bookmarkStart w:id="33" w:name="_Toc378170774"/>
      <w:bookmarkStart w:id="34" w:name="_Toc424216226"/>
      <w:r>
        <w:rPr>
          <w:rStyle w:val="CharSectno"/>
        </w:rPr>
        <w:t>14</w:t>
      </w:r>
      <w:r>
        <w:rPr>
          <w:snapToGrid w:val="0"/>
        </w:rPr>
        <w:t>.</w:t>
      </w:r>
      <w:r>
        <w:rPr>
          <w:snapToGrid w:val="0"/>
        </w:rPr>
        <w:tab/>
        <w:t>Benefits payable when member ceases to be member</w:t>
      </w:r>
      <w:bookmarkEnd w:id="33"/>
      <w:bookmarkEnd w:id="34"/>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w:t>
      </w:r>
    </w:p>
    <w:p>
      <w:pPr>
        <w:pStyle w:val="Indenti"/>
        <w:rPr>
          <w:snapToGrid w:val="0"/>
        </w:rPr>
      </w:pPr>
      <w:r>
        <w:rPr>
          <w:snapToGrid w:val="0"/>
        </w:rPr>
        <w:tab/>
        <w:t>(i)</w:t>
      </w:r>
      <w:r>
        <w:rPr>
          <w:snapToGrid w:val="0"/>
        </w:rPr>
        <w:tab/>
        <w:t xml:space="preserve">has attained the age of 55 years </w:t>
      </w:r>
      <w:r>
        <w:t>upon so ceasing</w:t>
      </w:r>
      <w:r>
        <w:rPr>
          <w:snapToGrid w:val="0"/>
        </w:rPr>
        <w:t xml:space="preserve"> to be a member; or</w:t>
      </w:r>
    </w:p>
    <w:p>
      <w:pPr>
        <w:pStyle w:val="Indenti"/>
        <w:rPr>
          <w:snapToGrid w:val="0"/>
        </w:rPr>
      </w:pPr>
      <w:r>
        <w:rPr>
          <w:snapToGrid w:val="0"/>
        </w:rPr>
        <w:tab/>
        <w:t>(ia)</w:t>
      </w:r>
      <w:r>
        <w:rPr>
          <w:snapToGrid w:val="0"/>
        </w:rPr>
        <w:tab/>
        <w:t>has so contributed for the duration of not less than 3 complete Parliaments; or</w:t>
      </w:r>
    </w:p>
    <w:p>
      <w:pPr>
        <w:pStyle w:val="Indenti"/>
        <w:rPr>
          <w:snapToGrid w:val="0"/>
        </w:rPr>
      </w:pPr>
      <w:r>
        <w:rPr>
          <w:snapToGrid w:val="0"/>
        </w:rPr>
        <w:tab/>
        <w:t>(ii)</w:t>
      </w:r>
      <w:r>
        <w:rPr>
          <w:snapToGrid w:val="0"/>
        </w:rPr>
        <w:tab/>
        <w:t>so ceases to be a member upon being defeated at an election; or</w:t>
      </w:r>
    </w:p>
    <w:p>
      <w:pPr>
        <w:pStyle w:val="Indenti"/>
        <w:rPr>
          <w:snapToGrid w:val="0"/>
        </w:rPr>
      </w:pPr>
      <w:r>
        <w:rPr>
          <w:snapToGrid w:val="0"/>
        </w:rPr>
        <w:tab/>
        <w:t>(iii)</w:t>
      </w:r>
      <w:r>
        <w:rPr>
          <w:snapToGrid w:val="0"/>
        </w:rPr>
        <w:tab/>
        <w:t>so ceases to be a member on the ground of ill health and satisfies the Board that ceasing to be a member on that ground is warranted; or</w:t>
      </w:r>
    </w:p>
    <w:p>
      <w:pPr>
        <w:pStyle w:val="Indenti"/>
        <w:rPr>
          <w:snapToGrid w:val="0"/>
        </w:rPr>
      </w:pPr>
      <w:r>
        <w:rPr>
          <w:snapToGrid w:val="0"/>
        </w:rPr>
        <w:tab/>
        <w:t>(iv)</w:t>
      </w:r>
      <w:r>
        <w:rPr>
          <w:snapToGrid w:val="0"/>
        </w:rPr>
        <w:tab/>
        <w:t>so ceases to be a member upon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the member satisfies the Board that —</w:t>
      </w:r>
    </w:p>
    <w:p>
      <w:pPr>
        <w:pStyle w:val="Indenta"/>
        <w:rPr>
          <w:snapToGrid w:val="0"/>
        </w:rPr>
      </w:pPr>
      <w:r>
        <w:rPr>
          <w:snapToGrid w:val="0"/>
        </w:rPr>
        <w:tab/>
        <w:t>(a)</w:t>
      </w:r>
      <w:r>
        <w:rPr>
          <w:snapToGrid w:val="0"/>
        </w:rPr>
        <w:tab/>
        <w:t>the member could be reasonably expected to so decline if unable to obtain the endorsement of a political party; and</w:t>
      </w:r>
    </w:p>
    <w:p>
      <w:pPr>
        <w:pStyle w:val="Indenta"/>
        <w:rPr>
          <w:snapToGrid w:val="0"/>
        </w:rPr>
      </w:pPr>
      <w:r>
        <w:rPr>
          <w:snapToGrid w:val="0"/>
        </w:rPr>
        <w:tab/>
        <w:t>(b)</w:t>
      </w:r>
      <w:r>
        <w:rPr>
          <w:snapToGrid w:val="0"/>
        </w:rPr>
        <w:tab/>
        <w:t>the member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the member’s inability to obtain such endorsement does not result from circumstances substantially within the member’s control.</w:t>
      </w:r>
    </w:p>
    <w:p>
      <w:pPr>
        <w:pStyle w:val="Subsection"/>
        <w:rPr>
          <w:snapToGrid w:val="0"/>
        </w:rPr>
      </w:pPr>
      <w:r>
        <w:rPr>
          <w:snapToGrid w:val="0"/>
        </w:rPr>
        <w:tab/>
        <w:t>(1a)</w:t>
      </w:r>
      <w:r>
        <w:rPr>
          <w:snapToGrid w:val="0"/>
        </w:rPr>
        <w:tab/>
        <w:t>For the purposes of this Act, where —</w:t>
      </w:r>
    </w:p>
    <w:p>
      <w:pPr>
        <w:pStyle w:val="Indenta"/>
        <w:rPr>
          <w:snapToGrid w:val="0"/>
        </w:rPr>
      </w:pPr>
      <w:r>
        <w:rPr>
          <w:snapToGrid w:val="0"/>
        </w:rPr>
        <w:tab/>
        <w:t>(a)</w:t>
      </w:r>
      <w:r>
        <w:rPr>
          <w:snapToGrid w:val="0"/>
        </w:rPr>
        <w:tab/>
        <w:t>a Member of the Legislative Council resigns in order to seek election to the Legislative Assembly —</w:t>
      </w:r>
    </w:p>
    <w:p>
      <w:pPr>
        <w:pStyle w:val="Indenti"/>
        <w:rPr>
          <w:snapToGrid w:val="0"/>
        </w:rPr>
      </w:pPr>
      <w:r>
        <w:rPr>
          <w:snapToGrid w:val="0"/>
        </w:rPr>
        <w:tab/>
        <w:t>(i)</w:t>
      </w:r>
      <w:r>
        <w:rPr>
          <w:snapToGrid w:val="0"/>
        </w:rPr>
        <w:tab/>
      </w:r>
      <w:r>
        <w:t>the member shall, whether or not elected</w:t>
      </w:r>
      <w:r>
        <w:rPr>
          <w:snapToGrid w:val="0"/>
        </w:rPr>
        <w:t xml:space="preserve"> to the Legislative Assembly, be deemed to have continued to be a Member of the Legislative Council during the period between the day on which the resignation took effect and the day on which the election for the Legislative Assembly took place if, within 3 months of that lastmentioned day the member pays to the scheme a sum equal to the contributions which </w:t>
      </w:r>
      <w:r>
        <w:t>would have been required had the member continued</w:t>
      </w:r>
      <w:r>
        <w:rPr>
          <w:snapToGrid w:val="0"/>
        </w:rPr>
        <w:t xml:space="preserve"> to be a Member of the Legislative Council during that period, and </w:t>
      </w:r>
      <w:r>
        <w:t>the member, if defeated at the election for the Legislative Assembly, shall be entitled to the same pension, if any, to which the member would have been entitled on ceasing</w:t>
      </w:r>
      <w:r>
        <w:rPr>
          <w:snapToGrid w:val="0"/>
        </w:rPr>
        <w:t xml:space="preserve"> to be a Member of the Legislative Council on the day on which the election for the Legislative Assembly was conducted by reason of being defeated at an election conducted on that day; and</w:t>
      </w:r>
    </w:p>
    <w:p>
      <w:pPr>
        <w:pStyle w:val="Indenti"/>
        <w:rPr>
          <w:snapToGrid w:val="0"/>
        </w:rPr>
      </w:pPr>
      <w:r>
        <w:rPr>
          <w:snapToGrid w:val="0"/>
        </w:rPr>
        <w:tab/>
        <w:t>(ii)</w:t>
      </w:r>
      <w:r>
        <w:rPr>
          <w:snapToGrid w:val="0"/>
        </w:rPr>
        <w:tab/>
        <w:t xml:space="preserve">if the member dies prior to the day on which the election for the Legislative Assembly takes place, the member shall be deemed to have continued to be a Member of the Legislative Council until death, but for the purposes of calculating the rate at which pension, if any, is payable as from the date of death to </w:t>
      </w:r>
      <w:r>
        <w:t>the member’s spouse or de facto partner</w:t>
      </w:r>
      <w:r>
        <w:rPr>
          <w:snapToGrid w:val="0"/>
        </w:rPr>
        <w:t>, the member shall be deemed to have died on the day on which the resignation took effect;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w:t>
      </w:r>
    </w:p>
    <w:p>
      <w:pPr>
        <w:pStyle w:val="Indenti"/>
        <w:rPr>
          <w:snapToGrid w:val="0"/>
        </w:rPr>
      </w:pPr>
      <w:r>
        <w:rPr>
          <w:snapToGrid w:val="0"/>
        </w:rPr>
        <w:tab/>
        <w:t>(i)</w:t>
      </w:r>
      <w:r>
        <w:rPr>
          <w:snapToGrid w:val="0"/>
        </w:rPr>
        <w:tab/>
      </w:r>
      <w:r>
        <w:t>the member shall, if elected</w:t>
      </w:r>
      <w:r>
        <w:rPr>
          <w:snapToGrid w:val="0"/>
        </w:rPr>
        <w:t xml:space="preserve"> to the Legislative Council, be deemed to have continued to be a Member of the Legislative Assembly during the period commencing on </w:t>
      </w:r>
      <w:r>
        <w:t>the day of ceasing</w:t>
      </w:r>
      <w:r>
        <w:rPr>
          <w:snapToGrid w:val="0"/>
        </w:rPr>
        <w:t xml:space="preserve"> to be a Member of the Legislative Assembly and ending on the day of the declaration of the poll on which, by reason of being so elected, the member becomes a Member of the Legislative Council if, within 3 months of that lastmentioned day, the member pays to the scheme a sum equal to the contributions which </w:t>
      </w:r>
      <w:r>
        <w:t>would have been required had the member continued</w:t>
      </w:r>
      <w:r>
        <w:rPr>
          <w:snapToGrid w:val="0"/>
        </w:rPr>
        <w:t xml:space="preserve"> to be a Member of the Legislative Assembly during that period; and</w:t>
      </w:r>
    </w:p>
    <w:p>
      <w:pPr>
        <w:pStyle w:val="Ednotesubpara"/>
        <w:rPr>
          <w:iCs/>
          <w:snapToGrid w:val="0"/>
        </w:rPr>
      </w:pPr>
      <w:r>
        <w:rPr>
          <w:snapToGrid w:val="0"/>
        </w:rPr>
        <w:tab/>
      </w:r>
      <w:r>
        <w:rPr>
          <w:iCs/>
          <w:snapToGrid w:val="0"/>
        </w:rPr>
        <w:t>[(ii)</w:t>
      </w:r>
      <w:r>
        <w:rPr>
          <w:iCs/>
          <w:snapToGrid w:val="0"/>
        </w:rPr>
        <w:tab/>
        <w:t>deleted]</w:t>
      </w:r>
    </w:p>
    <w:p>
      <w:pPr>
        <w:pStyle w:val="Indenti"/>
        <w:rPr>
          <w:snapToGrid w:val="0"/>
        </w:rPr>
      </w:pPr>
      <w:r>
        <w:rPr>
          <w:snapToGrid w:val="0"/>
        </w:rPr>
        <w:tab/>
        <w:t>(iii)</w:t>
      </w:r>
      <w:r>
        <w:rPr>
          <w:snapToGrid w:val="0"/>
        </w:rPr>
        <w:tab/>
      </w:r>
      <w:r>
        <w:t>the member shall, if defeated</w:t>
      </w:r>
      <w:r>
        <w:rPr>
          <w:snapToGrid w:val="0"/>
        </w:rPr>
        <w:t xml:space="preserve"> at the election for the Legislative Council, be entitled to the same pension, if any, to which </w:t>
      </w:r>
      <w:r>
        <w:t>the member would have been entitled, if defeated</w:t>
      </w:r>
      <w:r>
        <w:rPr>
          <w:snapToGrid w:val="0"/>
        </w:rPr>
        <w:t xml:space="preserve"> at an election for the Legislative Assembly conducted on the same day as that on which the election for the Legislative Council took place, irrespective of whether such an election for the Legislative Assembly was actually conducted on that day; and</w:t>
      </w:r>
    </w:p>
    <w:p>
      <w:pPr>
        <w:pStyle w:val="Indenti"/>
        <w:rPr>
          <w:snapToGrid w:val="0"/>
        </w:rPr>
      </w:pPr>
      <w:r>
        <w:rPr>
          <w:snapToGrid w:val="0"/>
        </w:rPr>
        <w:tab/>
        <w:t>(iv)</w:t>
      </w:r>
      <w:r>
        <w:rPr>
          <w:snapToGrid w:val="0"/>
        </w:rPr>
        <w:tab/>
      </w:r>
      <w:r>
        <w:t>the member shall, in the event of dying</w:t>
      </w:r>
      <w:r>
        <w:rPr>
          <w:snapToGrid w:val="0"/>
        </w:rPr>
        <w:t xml:space="preserve"> before the election for the Legislative Council takes place, be deemed to have continued to be a Member of the Legislative Assembly until death, but for the purposes of calculating the rate at which pension, if any, is payable as from the date of death to </w:t>
      </w:r>
      <w:r>
        <w:t>the member’s spouse or de facto partner</w:t>
      </w:r>
      <w:r>
        <w:rPr>
          <w:snapToGrid w:val="0"/>
        </w:rPr>
        <w:t xml:space="preserve">, </w:t>
      </w:r>
      <w:r>
        <w:t>the member shall be deemed</w:t>
      </w:r>
      <w:r>
        <w:rPr>
          <w:snapToGrid w:val="0"/>
        </w:rPr>
        <w:t xml:space="preserve"> to have died on </w:t>
      </w:r>
      <w:r>
        <w:t>the day of ceasing</w:t>
      </w:r>
      <w:r>
        <w:rPr>
          <w:snapToGrid w:val="0"/>
        </w:rPr>
        <w:t xml:space="preserve"> to be a Member of the Legislative Assembly.</w:t>
      </w:r>
    </w:p>
    <w:p>
      <w:pPr>
        <w:pStyle w:val="Subsection"/>
        <w:keepNext/>
        <w:rPr>
          <w:snapToGrid w:val="0"/>
        </w:rPr>
      </w:pPr>
      <w:r>
        <w:rPr>
          <w:snapToGrid w:val="0"/>
        </w:rPr>
        <w:tab/>
        <w:t>(2)</w:t>
      </w:r>
      <w:r>
        <w:rPr>
          <w:snapToGrid w:val="0"/>
        </w:rPr>
        <w:tab/>
        <w:t>Subject to this Act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 xml:space="preserve">Where a person who ceases to be a member is not, under the provisions of subsection (1), entitled to be paid a pension the person shall be paid an amount equal to twice the sum of the </w:t>
      </w:r>
      <w:r>
        <w:t>person’s contributions</w:t>
      </w:r>
      <w:r>
        <w:rPr>
          <w:snapToGrid w:val="0"/>
        </w:rPr>
        <w:t xml:space="preserve"> to the scheme under this Act or the repealed Act together with interest thereon at the rate</w:t>
      </w:r>
      <w:r>
        <w:t xml:space="preserve"> of 10% per annum or at such other rate as may be</w:t>
      </w:r>
      <w:r>
        <w:rPr>
          <w:snapToGrid w:val="0"/>
        </w:rPr>
        <w:t xml:space="preserve"> determined by the Tribunal, less any amount previously refunded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that person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object w:dxaOrig="1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31.5pt" o:ole="" fillcolor="window">
            <v:imagedata r:id="rId21" o:title=""/>
          </v:shape>
          <o:OLEObject Type="Embed" ProgID="Equation.3" ShapeID="_x0000_i1025" DrawAspect="Content" ObjectID="_1643532209" r:id="rId22"/>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basic pension of the person; and</w:t>
      </w:r>
    </w:p>
    <w:p>
      <w:pPr>
        <w:pStyle w:val="Indenta"/>
        <w:rPr>
          <w:snapToGrid w:val="0"/>
        </w:rPr>
      </w:pPr>
      <w:r>
        <w:rPr>
          <w:snapToGrid w:val="0"/>
        </w:rPr>
        <w:tab/>
        <w:t>B</w:t>
      </w:r>
      <w:r>
        <w:rPr>
          <w:snapToGrid w:val="0"/>
        </w:rPr>
        <w:tab/>
        <w:t>is the total salary paid to that person while that person was making contributions to the scheme; and</w:t>
      </w:r>
    </w:p>
    <w:p>
      <w:pPr>
        <w:pStyle w:val="Indenta"/>
        <w:rPr>
          <w:noProof/>
        </w:rPr>
      </w:pPr>
      <w:r>
        <w:rPr>
          <w:snapToGrid w:val="0"/>
        </w:rPr>
        <w:tab/>
        <w:t>C</w:t>
      </w:r>
      <w:r>
        <w:rPr>
          <w:snapToGrid w:val="0"/>
        </w:rPr>
        <w:tab/>
        <w:t>is the total basic salary paid to that person while that person was making contributions to the scheme.</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object w:dxaOrig="1960" w:dyaOrig="620">
          <v:shape id="_x0000_i1026" type="#_x0000_t75" style="width:97.5pt;height:30.75pt" o:ole="" fillcolor="window">
            <v:imagedata r:id="rId23" o:title=""/>
          </v:shape>
          <o:OLEObject Type="Embed" ProgID="Equation.3" ShapeID="_x0000_i1026" DrawAspect="Content" ObjectID="_1643532210" r:id="rId24"/>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basic pension of the person; and</w:t>
      </w:r>
    </w:p>
    <w:p>
      <w:pPr>
        <w:pStyle w:val="Indenta"/>
        <w:rPr>
          <w:snapToGrid w:val="0"/>
        </w:rPr>
      </w:pPr>
      <w:r>
        <w:rPr>
          <w:snapToGrid w:val="0"/>
        </w:rPr>
        <w:tab/>
        <w:t>B</w:t>
      </w:r>
      <w:r>
        <w:rPr>
          <w:snapToGrid w:val="0"/>
        </w:rPr>
        <w:tab/>
        <w:t>is the total salary paid to that person while that person was making contributions to the scheme; and</w:t>
      </w:r>
    </w:p>
    <w:p>
      <w:pPr>
        <w:pStyle w:val="Indenta"/>
        <w:rPr>
          <w:snapToGrid w:val="0"/>
        </w:rPr>
      </w:pPr>
      <w:r>
        <w:rPr>
          <w:snapToGrid w:val="0"/>
        </w:rPr>
        <w:tab/>
        <w:t>C</w:t>
      </w:r>
      <w:r>
        <w:rPr>
          <w:snapToGrid w:val="0"/>
        </w:rPr>
        <w:tab/>
        <w:t>is the total basic salary paid to that person while that person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an annual pension entitlement which has been converted to a lump sum payment under section 16(2).</w:t>
      </w:r>
    </w:p>
    <w:p>
      <w:pPr>
        <w:pStyle w:val="Footnotesection"/>
        <w:ind w:left="890" w:hanging="890"/>
      </w:pPr>
      <w:r>
        <w:tab/>
        <w:t>[Section 14 amended: No. 94 of 1975 s. 6; No. 54 of 1980 s. 6; No. 58 of 1986 s. 7; No. 6 of 1988 s. 5; No. 31 of 1989 s. 10 and 15; No. 37 of 2000 s. 9; No. 3 of 2002 s. 91(1); No. 34 of 2011 s. 8 and 15.]</w:t>
      </w:r>
    </w:p>
    <w:p>
      <w:pPr>
        <w:pStyle w:val="Ednotesection"/>
      </w:pPr>
      <w:r>
        <w:t>[</w:t>
      </w:r>
      <w:r>
        <w:rPr>
          <w:b/>
        </w:rPr>
        <w:t xml:space="preserve">15, 15A. </w:t>
      </w:r>
      <w:r>
        <w:t>Deleted: No. 37 of 2000 s. 10.]</w:t>
      </w:r>
    </w:p>
    <w:p>
      <w:pPr>
        <w:pStyle w:val="Heading5"/>
        <w:rPr>
          <w:snapToGrid w:val="0"/>
        </w:rPr>
      </w:pPr>
      <w:bookmarkStart w:id="35" w:name="_Toc378170775"/>
      <w:bookmarkStart w:id="36" w:name="_Toc424216227"/>
      <w:r>
        <w:rPr>
          <w:rStyle w:val="CharSectno"/>
        </w:rPr>
        <w:t>15B</w:t>
      </w:r>
      <w:r>
        <w:rPr>
          <w:snapToGrid w:val="0"/>
        </w:rPr>
        <w:t>.</w:t>
      </w:r>
      <w:r>
        <w:rPr>
          <w:snapToGrid w:val="0"/>
        </w:rPr>
        <w:tab/>
        <w:t>Increases to pensions according to Index</w:t>
      </w:r>
      <w:bookmarkEnd w:id="35"/>
      <w:bookmarkEnd w:id="36"/>
    </w:p>
    <w:p>
      <w:pPr>
        <w:pStyle w:val="Ednotesubsection"/>
      </w:pPr>
      <w:r>
        <w:tab/>
        <w:t>[(1)</w:t>
      </w:r>
      <w:r>
        <w:tab/>
        <w:t>deleted]</w:t>
      </w:r>
    </w:p>
    <w:p>
      <w:pPr>
        <w:pStyle w:val="Subsection"/>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[Section 15B inserted: No. 94 of 1975 s. 9; amended: No. 58 of 1986 s. 8; No. 37 of 2000 s. 11; No. 3 of 2002 s. 91(2).]</w:t>
      </w:r>
    </w:p>
    <w:p>
      <w:pPr>
        <w:pStyle w:val="Heading5"/>
        <w:rPr>
          <w:snapToGrid w:val="0"/>
        </w:rPr>
      </w:pPr>
      <w:bookmarkStart w:id="37" w:name="_Toc378170776"/>
      <w:bookmarkStart w:id="38" w:name="_Toc424216228"/>
      <w:r>
        <w:rPr>
          <w:rStyle w:val="CharSectno"/>
        </w:rPr>
        <w:t>16</w:t>
      </w:r>
      <w:r>
        <w:rPr>
          <w:snapToGrid w:val="0"/>
        </w:rPr>
        <w:t>.</w:t>
      </w:r>
      <w:r>
        <w:rPr>
          <w:snapToGrid w:val="0"/>
        </w:rPr>
        <w:tab/>
        <w:t>Commutation of certain pensions</w:t>
      </w:r>
      <w:bookmarkEnd w:id="37"/>
      <w:bookmarkEnd w:id="38"/>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so ceasing to be a member</w:t>
      </w:r>
      <w:r>
        <w:t xml:space="preserve"> or such longer period as the Tribunal determines</w:t>
      </w:r>
      <w:r>
        <w:rPr>
          <w:snapToGrid w:val="0"/>
        </w:rPr>
        <w:t xml:space="preserve">, to convert to a lump sum payment, determined in accordance with subsection (2), </w:t>
      </w:r>
      <w:r>
        <w:t>the person’s annual</w:t>
      </w:r>
      <w:r>
        <w:rPr>
          <w:snapToGrid w:val="0"/>
        </w:rPr>
        <w:t xml:space="preserve"> pension entitlement or a portion thereof.</w:t>
      </w:r>
    </w:p>
    <w:p>
      <w:pPr>
        <w:pStyle w:val="Subsection"/>
        <w:keepNext/>
        <w:rPr>
          <w:snapToGrid w:val="0"/>
        </w:rPr>
      </w:pPr>
      <w:r>
        <w:rPr>
          <w:snapToGrid w:val="0"/>
        </w:rPr>
        <w:tab/>
        <w:t>(2)</w:t>
      </w:r>
      <w:r>
        <w:rPr>
          <w:snapToGrid w:val="0"/>
        </w:rPr>
        <w:tab/>
        <w:t>A lump sum payment under subsection (1) shall be —</w:t>
      </w:r>
    </w:p>
    <w:p>
      <w:pPr>
        <w:pStyle w:val="Indenta"/>
        <w:rPr>
          <w:snapToGrid w:val="0"/>
        </w:rPr>
      </w:pPr>
      <w:r>
        <w:rPr>
          <w:snapToGrid w:val="0"/>
        </w:rPr>
        <w:tab/>
        <w:t>(a)</w:t>
      </w:r>
      <w:r>
        <w:rPr>
          <w:snapToGrid w:val="0"/>
        </w:rPr>
        <w:tab/>
        <w:t xml:space="preserve">in the case of a person who has not attained the specified age </w:t>
      </w:r>
      <w:r>
        <w:t>on ceasing</w:t>
      </w:r>
      <w:r>
        <w:rPr>
          <w:snapToGrid w:val="0"/>
        </w:rPr>
        <w:t xml:space="preserve"> to be a member or who attained the specified age less than a year </w:t>
      </w:r>
      <w:r>
        <w:t>before ceasing</w:t>
      </w:r>
      <w:r>
        <w:rPr>
          <w:snapToGrid w:val="0"/>
        </w:rPr>
        <w:t xml:space="preserve">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 and</w:t>
      </w:r>
    </w:p>
    <w:p>
      <w:pPr>
        <w:pStyle w:val="Indenta"/>
        <w:rPr>
          <w:snapToGrid w:val="0"/>
        </w:rPr>
      </w:pPr>
      <w:r>
        <w:rPr>
          <w:snapToGrid w:val="0"/>
        </w:rPr>
        <w:tab/>
        <w:t>(b)</w:t>
      </w:r>
      <w:r>
        <w:rPr>
          <w:snapToGrid w:val="0"/>
        </w:rPr>
        <w:tab/>
        <w:t xml:space="preserve">in the case of a person who attained the specified age at least a year </w:t>
      </w:r>
      <w:r>
        <w:t>before ceasing</w:t>
      </w:r>
      <w:r>
        <w:rPr>
          <w:snapToGrid w:val="0"/>
        </w:rPr>
        <w:t xml:space="preserve">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t>
      </w:r>
      <w:r>
        <w:t>on ceasing</w:t>
      </w:r>
      <w:r>
        <w:rPr>
          <w:snapToGrid w:val="0"/>
        </w:rPr>
        <w:t xml:space="preserve">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t xml:space="preserve">the </w:t>
      </w:r>
      <w:r>
        <w:rPr>
          <w:rStyle w:val="CharDefText"/>
        </w:rPr>
        <w:t>specified age</w:t>
      </w:r>
      <w:r>
        <w:rPr>
          <w:snapToGrid w:val="0"/>
        </w:rPr>
        <w:t xml:space="preserve"> for the purposes of subsection (2) is 65 years.</w:t>
      </w:r>
    </w:p>
    <w:p>
      <w:pPr>
        <w:pStyle w:val="Subsection"/>
        <w:rPr>
          <w:snapToGrid w:val="0"/>
        </w:rPr>
      </w:pPr>
      <w:r>
        <w:rPr>
          <w:snapToGrid w:val="0"/>
        </w:rPr>
        <w:tab/>
        <w:t>(3)</w:t>
      </w:r>
      <w:r>
        <w:rPr>
          <w:snapToGrid w:val="0"/>
        </w:rPr>
        <w:tab/>
        <w:t xml:space="preserve">Where a former member ceased to be a member on the grounds of ill health and had contributed to the scheme for less than 12 years </w:t>
      </w:r>
      <w:r>
        <w:t>on so ceasing</w:t>
      </w:r>
      <w:r>
        <w:rPr>
          <w:snapToGrid w:val="0"/>
        </w:rPr>
        <w:t xml:space="preserve"> to be a member, </w:t>
      </w:r>
      <w:r>
        <w:t>the former member</w:t>
      </w:r>
      <w:r>
        <w:rPr>
          <w:snapToGrid w:val="0"/>
        </w:rPr>
        <w:t xml:space="preserve"> is not entitled to make an election under subsection (1) unless —</w:t>
      </w:r>
    </w:p>
    <w:p>
      <w:pPr>
        <w:pStyle w:val="Indenta"/>
        <w:rPr>
          <w:snapToGrid w:val="0"/>
        </w:rPr>
      </w:pPr>
      <w:r>
        <w:rPr>
          <w:snapToGrid w:val="0"/>
        </w:rPr>
        <w:tab/>
        <w:t>(a)</w:t>
      </w:r>
      <w:r>
        <w:rPr>
          <w:snapToGrid w:val="0"/>
        </w:rPr>
        <w:tab/>
      </w:r>
      <w:r>
        <w:t>the former member</w:t>
      </w:r>
      <w:r>
        <w:rPr>
          <w:snapToGrid w:val="0"/>
        </w:rPr>
        <w:t xml:space="preserve"> had attained the age of 55 years; or</w:t>
      </w:r>
    </w:p>
    <w:p>
      <w:pPr>
        <w:pStyle w:val="Indenta"/>
        <w:rPr>
          <w:snapToGrid w:val="0"/>
        </w:rPr>
      </w:pPr>
      <w:r>
        <w:rPr>
          <w:snapToGrid w:val="0"/>
        </w:rPr>
        <w:tab/>
        <w:t>(b)</w:t>
      </w:r>
      <w:r>
        <w:rPr>
          <w:snapToGrid w:val="0"/>
        </w:rPr>
        <w:tab/>
      </w:r>
      <w:r>
        <w:t>the former member</w:t>
      </w:r>
      <w:r>
        <w:rPr>
          <w:snapToGrid w:val="0"/>
        </w:rPr>
        <w:t xml:space="preserve"> had contributed to the scheme for the duration of not less than 3 complete Parliaments,</w:t>
      </w:r>
    </w:p>
    <w:p>
      <w:pPr>
        <w:pStyle w:val="Subsection"/>
        <w:rPr>
          <w:snapToGrid w:val="0"/>
        </w:rPr>
      </w:pPr>
      <w:r>
        <w:rPr>
          <w:snapToGrid w:val="0"/>
        </w:rPr>
        <w:tab/>
      </w:r>
      <w:r>
        <w:rPr>
          <w:snapToGrid w:val="0"/>
        </w:rPr>
        <w:tab/>
        <w:t>on so ceasing to be a member.</w:t>
      </w:r>
    </w:p>
    <w:p>
      <w:pPr>
        <w:pStyle w:val="Subsection"/>
        <w:rPr>
          <w:snapToGrid w:val="0"/>
        </w:rPr>
      </w:pPr>
      <w:r>
        <w:rPr>
          <w:snapToGrid w:val="0"/>
        </w:rPr>
        <w:tab/>
        <w:t>(4)</w:t>
      </w:r>
      <w:r>
        <w:rPr>
          <w:snapToGrid w:val="0"/>
        </w:rPr>
        <w:tab/>
        <w:t xml:space="preserve">Where section 17 applies to a former member, the whole or the appropriate portion, as the case may be, of </w:t>
      </w:r>
      <w:r>
        <w:t>the former member’s</w:t>
      </w:r>
      <w:r>
        <w:rPr>
          <w:snapToGrid w:val="0"/>
        </w:rPr>
        <w:t xml:space="preserve"> annual pension entitlement for the purposes of this section shall be reduced by the amount that the annual pension entitlement is reduced pursuant to that section.</w:t>
      </w:r>
    </w:p>
    <w:p>
      <w:pPr>
        <w:pStyle w:val="Footnotesection"/>
      </w:pPr>
      <w:r>
        <w:tab/>
        <w:t>[Section 16 inserted: No. 54 of 1980 s. 7; amended: No. 58 of 1986 s. 9; No. 103 of 1987 s. 4; No. 6 of 1988 s. 6; No. 31 of 1989 s. 15; No. 37 of 2000 s. 12; No. 34 of 2011 s. 9 and 15.]</w:t>
      </w:r>
    </w:p>
    <w:p>
      <w:pPr>
        <w:pStyle w:val="Heading5"/>
        <w:rPr>
          <w:snapToGrid w:val="0"/>
        </w:rPr>
      </w:pPr>
      <w:bookmarkStart w:id="39" w:name="_Toc378170777"/>
      <w:bookmarkStart w:id="40" w:name="_Toc424216229"/>
      <w:r>
        <w:rPr>
          <w:rStyle w:val="CharSectno"/>
        </w:rPr>
        <w:t>17</w:t>
      </w:r>
      <w:r>
        <w:rPr>
          <w:snapToGrid w:val="0"/>
        </w:rPr>
        <w:t>.</w:t>
      </w:r>
      <w:r>
        <w:rPr>
          <w:snapToGrid w:val="0"/>
        </w:rPr>
        <w:tab/>
        <w:t>Reduction of pension in certain cases</w:t>
      </w:r>
      <w:bookmarkEnd w:id="39"/>
      <w:bookmarkEnd w:id="40"/>
    </w:p>
    <w:p>
      <w:pPr>
        <w:pStyle w:val="Subsection"/>
        <w:rPr>
          <w:snapToGrid w:val="0"/>
        </w:rPr>
      </w:pPr>
      <w:r>
        <w:rPr>
          <w:snapToGrid w:val="0"/>
        </w:rPr>
        <w:tab/>
        <w:t>(1)</w:t>
      </w:r>
      <w:r>
        <w:rPr>
          <w:snapToGrid w:val="0"/>
        </w:rPr>
        <w:tab/>
        <w:t xml:space="preserve">Where a person who, on ceasing to be a member, converted all or portion of an annual pension entitlement to a lump sum payment under section 16, again becomes a member on a subsequent date, the amount, if any, by which the benefits received by that person under this Part before </w:t>
      </w:r>
      <w:r>
        <w:t>again becoming</w:t>
      </w:r>
      <w:r>
        <w:rPr>
          <w:snapToGrid w:val="0"/>
        </w:rPr>
        <w:t xml:space="preserve"> a member exceed the amount of the benefits that person would have received under this Part </w:t>
      </w:r>
      <w:r>
        <w:t>but for so converting</w:t>
      </w:r>
      <w:r>
        <w:rPr>
          <w:snapToGrid w:val="0"/>
        </w:rPr>
        <w:t xml:space="preserve"> all or portion of the pension entitlement shall be calculated.</w:t>
      </w:r>
    </w:p>
    <w:p>
      <w:pPr>
        <w:pStyle w:val="Subsection"/>
        <w:rPr>
          <w:snapToGrid w:val="0"/>
        </w:rPr>
      </w:pPr>
      <w:r>
        <w:rPr>
          <w:snapToGrid w:val="0"/>
        </w:rPr>
        <w:tab/>
        <w:t>(2)</w:t>
      </w:r>
      <w:r>
        <w:rPr>
          <w:snapToGrid w:val="0"/>
        </w:rPr>
        <w:tab/>
        <w:t xml:space="preserve">Notwithstanding anything in this Part, where a person to whom subsection (1) applies again becomes entitled to a pension under section 14, </w:t>
      </w:r>
      <w:r>
        <w:t xml:space="preserve">the annual amount of the pension </w:t>
      </w:r>
      <w:r>
        <w:rPr>
          <w:snapToGrid w:val="0"/>
        </w:rPr>
        <w:t>shall be reduced by 10% of the amount calculated under subsection (1).</w:t>
      </w:r>
    </w:p>
    <w:p>
      <w:pPr>
        <w:pStyle w:val="Footnotesection"/>
      </w:pPr>
      <w:r>
        <w:tab/>
        <w:t>[Section 17 inserted: No. 54 of 1980 s. 8; amended: No. 34 of 2011 s. 15.]</w:t>
      </w:r>
    </w:p>
    <w:p>
      <w:pPr>
        <w:pStyle w:val="Heading5"/>
        <w:rPr>
          <w:snapToGrid w:val="0"/>
        </w:rPr>
      </w:pPr>
      <w:bookmarkStart w:id="41" w:name="_Toc378170778"/>
      <w:bookmarkStart w:id="42" w:name="_Toc424216230"/>
      <w:r>
        <w:rPr>
          <w:rStyle w:val="CharSectno"/>
        </w:rPr>
        <w:t>18</w:t>
      </w:r>
      <w:r>
        <w:rPr>
          <w:snapToGrid w:val="0"/>
        </w:rPr>
        <w:t>.</w:t>
      </w:r>
      <w:r>
        <w:rPr>
          <w:snapToGrid w:val="0"/>
        </w:rPr>
        <w:tab/>
        <w:t xml:space="preserve">Pensions payable to certain </w:t>
      </w:r>
      <w:r>
        <w:t>spouses or de facto partners</w:t>
      </w:r>
      <w:bookmarkEnd w:id="41"/>
      <w:bookmarkEnd w:id="42"/>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w:t>
      </w:r>
      <w:r>
        <w:t>the spouse is entitled until death</w:t>
      </w:r>
      <w:r>
        <w:rPr>
          <w:snapToGrid w:val="0"/>
        </w:rPr>
        <w:t xml:space="preserve">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w:t>
      </w:r>
      <w:r>
        <w:t>the spouse or de facto partner</w:t>
      </w:r>
      <w:r>
        <w:rPr>
          <w:snapToGrid w:val="0"/>
        </w:rPr>
        <w:t xml:space="preserve"> would have been entitled under the repealed Act, </w:t>
      </w:r>
      <w:r>
        <w:t>the spouse or de facto partner</w:t>
      </w:r>
      <w:r>
        <w:rPr>
          <w:snapToGrid w:val="0"/>
        </w:rPr>
        <w:t xml:space="preserv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[Section 18 amended: No. 94 of 1975 s. 10; No. 3 of 2002 s. 91(1), (2) and 92; No. 34 of 2011 s. 15.]</w:t>
      </w:r>
    </w:p>
    <w:p>
      <w:pPr>
        <w:pStyle w:val="Heading5"/>
        <w:keepNext w:val="0"/>
        <w:keepLines w:val="0"/>
        <w:spacing w:before="260"/>
        <w:rPr>
          <w:snapToGrid w:val="0"/>
        </w:rPr>
      </w:pPr>
      <w:bookmarkStart w:id="43" w:name="_Toc378170779"/>
      <w:bookmarkStart w:id="44" w:name="_Toc424216231"/>
      <w:r>
        <w:rPr>
          <w:rStyle w:val="CharSectno"/>
        </w:rPr>
        <w:t>18A</w:t>
      </w:r>
      <w:r>
        <w:rPr>
          <w:snapToGrid w:val="0"/>
        </w:rPr>
        <w:t>.</w:t>
      </w:r>
      <w:r>
        <w:rPr>
          <w:snapToGrid w:val="0"/>
        </w:rPr>
        <w:tab/>
        <w:t xml:space="preserve">Rate of pension for some </w:t>
      </w:r>
      <w:r>
        <w:t>spouses and de facto partners</w:t>
      </w:r>
      <w:r>
        <w:rPr>
          <w:snapToGrid w:val="0"/>
        </w:rPr>
        <w:t xml:space="preserve"> increased in Jan 1977</w:t>
      </w:r>
      <w:bookmarkEnd w:id="43"/>
      <w:bookmarkEnd w:id="44"/>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the pension shall, on and from that pension pay day, be increased to the secondmentioned rate.</w:t>
      </w:r>
    </w:p>
    <w:p>
      <w:pPr>
        <w:pStyle w:val="Footnotesection"/>
      </w:pPr>
      <w:r>
        <w:tab/>
        <w:t>[Section 18A inserted: No. 115 of 1976 s. 3; amended: No. 31 of 1989 s. 15; No. 3 of 2002 s. 91(1) and 93; No. 34 of 2011 s. 15.]</w:t>
      </w:r>
    </w:p>
    <w:p>
      <w:pPr>
        <w:pStyle w:val="Heading5"/>
        <w:spacing w:before="260"/>
        <w:rPr>
          <w:snapToGrid w:val="0"/>
        </w:rPr>
      </w:pPr>
      <w:bookmarkStart w:id="45" w:name="_Toc378170780"/>
      <w:bookmarkStart w:id="46" w:name="_Toc424216232"/>
      <w:r>
        <w:rPr>
          <w:rStyle w:val="CharSectno"/>
        </w:rPr>
        <w:t>18B</w:t>
      </w:r>
      <w:r>
        <w:rPr>
          <w:snapToGrid w:val="0"/>
        </w:rPr>
        <w:t>.</w:t>
      </w:r>
      <w:r>
        <w:rPr>
          <w:snapToGrid w:val="0"/>
        </w:rPr>
        <w:tab/>
        <w:t>Pensions for some widows increased in Jan 1981</w:t>
      </w:r>
      <w:bookmarkEnd w:id="45"/>
      <w:bookmarkEnd w:id="46"/>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the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the pension shall be increased accordingly.</w:t>
      </w:r>
    </w:p>
    <w:p>
      <w:pPr>
        <w:pStyle w:val="Footnotesection"/>
      </w:pPr>
      <w:r>
        <w:tab/>
        <w:t>[Section 18B inserted: No. 54 of 1980 s. 9; amended: No. 34 of 2011 s. 15.]</w:t>
      </w:r>
    </w:p>
    <w:p>
      <w:pPr>
        <w:pStyle w:val="Heading5"/>
        <w:spacing w:before="260"/>
        <w:rPr>
          <w:snapToGrid w:val="0"/>
        </w:rPr>
      </w:pPr>
      <w:bookmarkStart w:id="47" w:name="_Toc378170781"/>
      <w:bookmarkStart w:id="48" w:name="_Toc424216233"/>
      <w:r>
        <w:rPr>
          <w:rStyle w:val="CharSectno"/>
        </w:rPr>
        <w:t>19</w:t>
      </w:r>
      <w:r>
        <w:rPr>
          <w:snapToGrid w:val="0"/>
        </w:rPr>
        <w:t>.</w:t>
      </w:r>
      <w:r>
        <w:rPr>
          <w:snapToGrid w:val="0"/>
        </w:rPr>
        <w:tab/>
        <w:t>Entitlement of spouse or de facto partner to pension on death of member</w:t>
      </w:r>
      <w:bookmarkEnd w:id="47"/>
      <w:bookmarkEnd w:id="48"/>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death an annual pension at the rate of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the former member had not died and the former member’s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w:t>
      </w:r>
      <w:r>
        <w:t>the former member had not died but retired</w:t>
      </w:r>
      <w:r>
        <w:rPr>
          <w:snapToGrid w:val="0"/>
        </w:rPr>
        <w:t xml:space="preserve"> on the day of death after contributing to the scheme for a period of 16 years as an ordinary member and </w:t>
      </w:r>
      <w:r>
        <w:t>the former member’s pension</w:t>
      </w:r>
      <w:r>
        <w:rPr>
          <w:snapToGrid w:val="0"/>
        </w:rPr>
        <w:t xml:space="preserve">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w:t>
      </w:r>
    </w:p>
    <w:p>
      <w:pPr>
        <w:pStyle w:val="Indenta"/>
        <w:rPr>
          <w:snapToGrid w:val="0"/>
        </w:rPr>
      </w:pPr>
      <w:r>
        <w:rPr>
          <w:snapToGrid w:val="0"/>
        </w:rPr>
        <w:tab/>
        <w:t>(a)</w:t>
      </w:r>
      <w:r>
        <w:rPr>
          <w:snapToGrid w:val="0"/>
        </w:rPr>
        <w:tab/>
        <w:t xml:space="preserve">converted all of an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an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the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death, an annual pension at the rate of two</w:t>
      </w:r>
      <w:r>
        <w:rPr>
          <w:snapToGrid w:val="0"/>
        </w:rPr>
        <w:noBreakHyphen/>
        <w:t>thirds of the pension that would from time to time be payable under this Act </w:t>
      </w:r>
      <w:r>
        <w:t>if the member</w:t>
      </w:r>
      <w:r>
        <w:rPr>
          <w:snapToGrid w:val="0"/>
        </w:rPr>
        <w:t xml:space="preserve"> had not died but had ceased to be a member on the date of </w:t>
      </w:r>
      <w:r>
        <w:t>the member’s death</w:t>
      </w:r>
      <w:r>
        <w:rPr>
          <w:snapToGrid w:val="0"/>
        </w:rPr>
        <w:t xml:space="preserve">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death an annual pension at the rate of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w:t>
      </w:r>
      <w:r>
        <w:t>the member had</w:t>
      </w:r>
      <w:r>
        <w:rPr>
          <w:snapToGrid w:val="0"/>
        </w:rPr>
        <w:t xml:space="preserve"> not died but had retired on </w:t>
      </w:r>
      <w:r>
        <w:t>the date of death</w:t>
      </w:r>
      <w:r>
        <w:rPr>
          <w:snapToGrid w:val="0"/>
        </w:rPr>
        <w:t xml:space="preserve">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w:t>
      </w:r>
      <w:r>
        <w:t>the member had</w:t>
      </w:r>
      <w:r>
        <w:rPr>
          <w:snapToGrid w:val="0"/>
        </w:rPr>
        <w:t xml:space="preserve"> not died but had retired on </w:t>
      </w:r>
      <w:r>
        <w:t>the date of death</w:t>
      </w:r>
      <w:r>
        <w:rPr>
          <w:snapToGrid w:val="0"/>
        </w:rPr>
        <w:t xml:space="preserve">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pPr>
      <w:r>
        <w:tab/>
        <w:t>(4)</w:t>
      </w:r>
      <w:r>
        <w:tab/>
        <w:t>A pension is not payable under this section to a spouse or de facto partner referred to in subsection (1) or (1a) if the marriage to the former member took place after the former member finally ceased to be a member except in the following cases —</w:t>
      </w:r>
    </w:p>
    <w:p>
      <w:pPr>
        <w:pStyle w:val="Indenta"/>
      </w:pPr>
      <w:r>
        <w:tab/>
        <w:t>(a)</w:t>
      </w:r>
      <w:r>
        <w:tab/>
        <w:t xml:space="preserve">if the former member died before the coming into operation of the </w:t>
      </w:r>
      <w:r>
        <w:rPr>
          <w:i/>
          <w:snapToGrid w:val="0"/>
        </w:rPr>
        <w:t xml:space="preserve">Parliamentary Superannuation Amendment Act 2011 </w:t>
      </w:r>
      <w:r>
        <w:rPr>
          <w:iCs/>
          <w:snapToGrid w:val="0"/>
        </w:rPr>
        <w:t>section 10</w:t>
      </w:r>
      <w:r>
        <w:rPr>
          <w:iCs/>
          <w:snapToGrid w:val="0"/>
          <w:vertAlign w:val="superscript"/>
        </w:rPr>
        <w:t> 1</w:t>
      </w:r>
      <w:r>
        <w:rPr>
          <w:iCs/>
          <w:snapToGrid w:val="0"/>
        </w:rPr>
        <w:t xml:space="preserve"> </w:t>
      </w:r>
      <w:r>
        <w:t>a pension is payable —</w:t>
      </w:r>
    </w:p>
    <w:p>
      <w:pPr>
        <w:pStyle w:val="Indenti"/>
      </w:pPr>
      <w:r>
        <w:tab/>
        <w:t>(i)</w:t>
      </w:r>
      <w:r>
        <w:tab/>
        <w:t>if the spouse or de facto partner is aged 55 years or more at the date of the former member’s death, as from that date; or</w:t>
      </w:r>
    </w:p>
    <w:p>
      <w:pPr>
        <w:pStyle w:val="Indenti"/>
      </w:pPr>
      <w:r>
        <w:tab/>
        <w:t>(ii)</w:t>
      </w:r>
      <w:r>
        <w:tab/>
        <w:t>if the spouse or de facto partner is aged less than 55 years at the date of the former member’s death, as from the date of attaining that age;</w:t>
      </w:r>
    </w:p>
    <w:p>
      <w:pPr>
        <w:pStyle w:val="Indenta"/>
      </w:pPr>
      <w:r>
        <w:tab/>
        <w:t>(b)</w:t>
      </w:r>
      <w:r>
        <w:tab/>
        <w:t xml:space="preserve">if the former member dies on or after the coming into operation of the </w:t>
      </w:r>
      <w:r>
        <w:rPr>
          <w:i/>
          <w:snapToGrid w:val="0"/>
        </w:rPr>
        <w:t>Parliamentary Superannuation Amendment Act 2011</w:t>
      </w:r>
      <w:r>
        <w:t xml:space="preserve"> </w:t>
      </w:r>
      <w:r>
        <w:rPr>
          <w:iCs/>
          <w:snapToGrid w:val="0"/>
        </w:rPr>
        <w:t>section 10</w:t>
      </w:r>
      <w:r>
        <w:rPr>
          <w:iCs/>
          <w:snapToGrid w:val="0"/>
          <w:vertAlign w:val="superscript"/>
        </w:rPr>
        <w:t> 1</w:t>
      </w:r>
      <w:r>
        <w:rPr>
          <w:iCs/>
          <w:snapToGrid w:val="0"/>
        </w:rPr>
        <w:t xml:space="preserve"> </w:t>
      </w:r>
      <w:r>
        <w:t>a pension is payable if —</w:t>
      </w:r>
    </w:p>
    <w:p>
      <w:pPr>
        <w:pStyle w:val="Indenti"/>
      </w:pPr>
      <w:r>
        <w:tab/>
        <w:t>(i)</w:t>
      </w:r>
      <w:r>
        <w:tab/>
        <w:t>the marriage took place not less than 5 years before the date of the former member’s death; or</w:t>
      </w:r>
    </w:p>
    <w:p>
      <w:pPr>
        <w:pStyle w:val="Indenti"/>
      </w:pPr>
      <w:r>
        <w:tab/>
        <w:t>(ii)</w:t>
      </w:r>
      <w:r>
        <w:tab/>
        <w:t>at the date of the former member’s death there is at least one child of the former member and the spouse or de facto partner who is wholly or substantially dependent on them; or</w:t>
      </w:r>
    </w:p>
    <w:p>
      <w:pPr>
        <w:pStyle w:val="Indenti"/>
      </w:pPr>
      <w:r>
        <w:tab/>
        <w:t>(iii)</w:t>
      </w:r>
      <w:r>
        <w:tab/>
        <w:t>the Board is satisfied that —</w:t>
      </w:r>
    </w:p>
    <w:p>
      <w:pPr>
        <w:pStyle w:val="IndentI0"/>
      </w:pPr>
      <w:r>
        <w:tab/>
        <w:t>(I)</w:t>
      </w:r>
      <w:r>
        <w:tab/>
        <w:t>the marriage was of a bona fide nature; and</w:t>
      </w:r>
    </w:p>
    <w:p>
      <w:pPr>
        <w:pStyle w:val="IndentI0"/>
      </w:pPr>
      <w:r>
        <w:tab/>
        <w:t>(II)</w:t>
      </w:r>
      <w:r>
        <w:tab/>
        <w:t>the special circumstances of the case warrant the payment of a pension to the spouse or de facto partner;</w:t>
      </w:r>
    </w:p>
    <w:p>
      <w:pPr>
        <w:pStyle w:val="Indenta"/>
      </w:pPr>
      <w:r>
        <w:tab/>
        <w:t>(c)</w:t>
      </w:r>
      <w:r>
        <w:tab/>
        <w:t xml:space="preserve">if the former member dies on or after the coming into operation of the </w:t>
      </w:r>
      <w:r>
        <w:rPr>
          <w:i/>
          <w:snapToGrid w:val="0"/>
        </w:rPr>
        <w:t>Parliamentary Superannuation Amendment Act 2011</w:t>
      </w:r>
      <w:r>
        <w:t xml:space="preserve"> </w:t>
      </w:r>
      <w:r>
        <w:rPr>
          <w:iCs/>
          <w:snapToGrid w:val="0"/>
        </w:rPr>
        <w:t>section 10</w:t>
      </w:r>
      <w:r>
        <w:rPr>
          <w:iCs/>
          <w:snapToGrid w:val="0"/>
          <w:vertAlign w:val="superscript"/>
        </w:rPr>
        <w:t> 1</w:t>
      </w:r>
      <w:r>
        <w:rPr>
          <w:iCs/>
          <w:snapToGrid w:val="0"/>
        </w:rPr>
        <w:t xml:space="preserve"> </w:t>
      </w:r>
      <w:r>
        <w:t>and the marriage to the former member took place before the coming into operation of that Act and no pension is payable under paragraph (b) a pension is payable —</w:t>
      </w:r>
    </w:p>
    <w:p>
      <w:pPr>
        <w:pStyle w:val="Indenti"/>
      </w:pPr>
      <w:r>
        <w:tab/>
        <w:t>(i)</w:t>
      </w:r>
      <w:r>
        <w:tab/>
        <w:t>if the spouse or de facto partner is aged 55 years or more at the date of the former member’s death, as from that date; or</w:t>
      </w:r>
    </w:p>
    <w:p>
      <w:pPr>
        <w:pStyle w:val="Indenti"/>
      </w:pPr>
      <w:r>
        <w:tab/>
        <w:t>(ii)</w:t>
      </w:r>
      <w:r>
        <w:tab/>
        <w:t>if the spouse or de facto partner is aged less than 55 years at the date of the former member’s death, as from the date of attaining that age.</w:t>
      </w:r>
    </w:p>
    <w:p>
      <w:pPr>
        <w:pStyle w:val="Ednotesubsection"/>
      </w:pPr>
      <w:r>
        <w:tab/>
        <w:t>[(5)</w:t>
      </w:r>
      <w:r>
        <w:tab/>
        <w:t>deleted]</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[Section 19 amended: No. 94 of 1975 s. 11; No. 115 of 1976 s. 4; No. 54 of 1980 s. 10; No. 58 of 1986 s. 10; No. 31 of 1989 s. 11 and 15; No. 3 of 2002 s. 91(1) and 94; No. 34 of 2011 s. 10 and 15.]</w:t>
      </w:r>
    </w:p>
    <w:p>
      <w:pPr>
        <w:pStyle w:val="Ednotesection"/>
      </w:pPr>
      <w:r>
        <w:t>[</w:t>
      </w:r>
      <w:r>
        <w:rPr>
          <w:b/>
        </w:rPr>
        <w:t>19A.</w:t>
      </w:r>
      <w:r>
        <w:tab/>
        <w:t>Deleted: No. 3 of 2002 s. 95.]</w:t>
      </w:r>
    </w:p>
    <w:p>
      <w:pPr>
        <w:pStyle w:val="Heading5"/>
        <w:rPr>
          <w:snapToGrid w:val="0"/>
        </w:rPr>
      </w:pPr>
      <w:bookmarkStart w:id="49" w:name="_Toc378170782"/>
      <w:bookmarkStart w:id="50" w:name="_Toc424216234"/>
      <w:r>
        <w:rPr>
          <w:rStyle w:val="CharSectno"/>
        </w:rPr>
        <w:t>19B</w:t>
      </w:r>
      <w:r>
        <w:rPr>
          <w:snapToGrid w:val="0"/>
        </w:rPr>
        <w:t>.</w:t>
      </w:r>
      <w:r>
        <w:rPr>
          <w:snapToGrid w:val="0"/>
        </w:rPr>
        <w:tab/>
        <w:t>Commutation of certain spouses’ or de facto partners’ pensions</w:t>
      </w:r>
      <w:bookmarkEnd w:id="49"/>
      <w:bookmarkEnd w:id="50"/>
    </w:p>
    <w:p>
      <w:pPr>
        <w:pStyle w:val="Subsection"/>
        <w:rPr>
          <w:snapToGrid w:val="0"/>
        </w:rPr>
      </w:pPr>
      <w:r>
        <w:rPr>
          <w:snapToGrid w:val="0"/>
        </w:rPr>
        <w:tab/>
        <w:t>(1)</w:t>
      </w:r>
      <w:r>
        <w:rPr>
          <w:snapToGrid w:val="0"/>
        </w:rPr>
        <w:tab/>
      </w:r>
      <w:r>
        <w:t xml:space="preserve">Where a member dies before the coming into operation of the </w:t>
      </w:r>
      <w:r>
        <w:rPr>
          <w:i/>
          <w:snapToGrid w:val="0"/>
        </w:rPr>
        <w:t>Parliamentary Superannuation Amendment Act 2011</w:t>
      </w:r>
      <w:r>
        <w:rPr>
          <w:iCs/>
          <w:snapToGrid w:val="0"/>
        </w:rPr>
        <w:t xml:space="preserve"> section 11</w:t>
      </w:r>
      <w:r>
        <w:rPr>
          <w:iCs/>
          <w:snapToGrid w:val="0"/>
          <w:vertAlign w:val="superscript"/>
        </w:rPr>
        <w:t> 1</w:t>
      </w:r>
      <w:r>
        <w:rPr>
          <w:iCs/>
          <w:snapToGrid w:val="0"/>
        </w:rPr>
        <w:t xml:space="preserve">, a spouse or de facto partner of the member </w:t>
      </w:r>
      <w:r>
        <w:rPr>
          <w:snapToGrid w:val="0"/>
        </w:rPr>
        <w:t>who becomes entitled to be paid an annual pension pursuant to section 19(2) or (3), may elect, by notice in writing served on the Board within 6 months of so becoming entitled, to convert to a lump sum payment determined in accordance with subsection (2) not more than 50% of the annual pension entitlement.</w:t>
      </w:r>
    </w:p>
    <w:p>
      <w:pPr>
        <w:pStyle w:val="Subsection"/>
      </w:pPr>
      <w:r>
        <w:tab/>
        <w:t>(2A)</w:t>
      </w:r>
      <w:r>
        <w:tab/>
        <w:t xml:space="preserve">Where a member or former member dies on or after the coming into operation of the </w:t>
      </w:r>
      <w:r>
        <w:rPr>
          <w:i/>
          <w:snapToGrid w:val="0"/>
        </w:rPr>
        <w:t xml:space="preserve">Parliamentary Superannuation Amendment Act 2011 </w:t>
      </w:r>
      <w:r>
        <w:rPr>
          <w:iCs/>
          <w:snapToGrid w:val="0"/>
        </w:rPr>
        <w:t>section 11</w:t>
      </w:r>
      <w:r>
        <w:rPr>
          <w:iCs/>
          <w:snapToGrid w:val="0"/>
          <w:vertAlign w:val="superscript"/>
        </w:rPr>
        <w:t> 1</w:t>
      </w:r>
      <w:r>
        <w:t>, a spouse or de facto partner of the member or former member who becomes entitled to be paid an annual pension pursuant to section 19 may elect, by notice in writing served on the Board within 6 months of so becoming entitled, to convert to a lump sum payment determined in accordance with subsection (2) all or part of the annual pension entitlement.</w:t>
      </w:r>
    </w:p>
    <w:p>
      <w:pPr>
        <w:pStyle w:val="Subsection"/>
        <w:rPr>
          <w:snapToGrid w:val="0"/>
        </w:rPr>
      </w:pPr>
      <w:r>
        <w:rPr>
          <w:snapToGrid w:val="0"/>
        </w:rPr>
        <w:tab/>
        <w:t>(2)</w:t>
      </w:r>
      <w:r>
        <w:rPr>
          <w:snapToGrid w:val="0"/>
        </w:rPr>
        <w:tab/>
        <w:t xml:space="preserve">A lump sum payment under subsection (1) </w:t>
      </w:r>
      <w:r>
        <w:t xml:space="preserve">or (2A) </w:t>
      </w:r>
      <w:r>
        <w:rPr>
          <w:snapToGrid w:val="0"/>
        </w:rPr>
        <w:t>shall be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t>
      </w:r>
      <w:r>
        <w:t>on becoming</w:t>
      </w:r>
      <w:r>
        <w:rPr>
          <w:snapToGrid w:val="0"/>
        </w:rPr>
        <w:t xml:space="preserve"> entitled to be paid an annual pension or who attained the specified age less than a year </w:t>
      </w:r>
      <w:r>
        <w:t>before becoming</w:t>
      </w:r>
      <w:r>
        <w:rPr>
          <w:snapToGrid w:val="0"/>
        </w:rPr>
        <w:t xml:space="preserve"> so entitled — the amount of the annual pension entitlement of the </w:t>
      </w:r>
      <w:r>
        <w:t>spouse or de facto partner</w:t>
      </w:r>
      <w:r>
        <w:rPr>
          <w:snapToGrid w:val="0"/>
        </w:rPr>
        <w:t xml:space="preserve"> converted under subsection (1)</w:t>
      </w:r>
      <w:r>
        <w:t xml:space="preserve"> or (2A)</w:t>
      </w:r>
      <w:r>
        <w:rPr>
          <w:snapToGrid w:val="0"/>
        </w:rPr>
        <w:t xml:space="preserve">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w:t>
      </w:r>
      <w:r>
        <w:t>before becoming</w:t>
      </w:r>
      <w:r>
        <w:rPr>
          <w:snapToGrid w:val="0"/>
        </w:rPr>
        <w:t xml:space="preserve"> entitled to be paid an annual pension — the amount of the annual pension entitlement of the </w:t>
      </w:r>
      <w:r>
        <w:t>spouse or de facto partner</w:t>
      </w:r>
      <w:r>
        <w:rPr>
          <w:snapToGrid w:val="0"/>
        </w:rPr>
        <w:t xml:space="preserve"> converted under subsection (1)</w:t>
      </w:r>
      <w:r>
        <w:t xml:space="preserve"> or (2A)</w:t>
      </w:r>
      <w:r>
        <w:rPr>
          <w:snapToGrid w:val="0"/>
        </w:rPr>
        <w:t xml:space="preserve"> multiplied by a factor calculated by deducting from 10 half the number by which the age, in complete years, attained by the </w:t>
      </w:r>
      <w:r>
        <w:t>spouse or de facto partner</w:t>
      </w:r>
      <w:r>
        <w:rPr>
          <w:snapToGrid w:val="0"/>
        </w:rPr>
        <w:t xml:space="preserve"> </w:t>
      </w:r>
      <w:r>
        <w:t>on becoming</w:t>
      </w:r>
      <w:r>
        <w:rPr>
          <w:snapToGrid w:val="0"/>
        </w:rPr>
        <w:t xml:space="preserve"> entitled to be paid an annual pension exceeds the specified age.</w:t>
      </w:r>
    </w:p>
    <w:p>
      <w:pPr>
        <w:pStyle w:val="Subsection"/>
        <w:keepNext/>
        <w:rPr>
          <w:snapToGrid w:val="0"/>
        </w:rPr>
      </w:pPr>
      <w:r>
        <w:rPr>
          <w:snapToGrid w:val="0"/>
        </w:rPr>
        <w:tab/>
        <w:t>(3)</w:t>
      </w:r>
      <w:r>
        <w:rPr>
          <w:snapToGrid w:val="0"/>
        </w:rPr>
        <w:tab/>
        <w:t xml:space="preserve">In subsection (2), </w:t>
      </w:r>
      <w:r>
        <w:t xml:space="preserve">the </w:t>
      </w:r>
      <w:r>
        <w:rPr>
          <w:rStyle w:val="CharDefText"/>
        </w:rPr>
        <w:t>specified age</w:t>
      </w:r>
      <w:r>
        <w:rPr>
          <w:snapToGrid w:val="0"/>
        </w:rPr>
        <w:t xml:space="preserve"> is the age that is the specified age for the purposes of section 16(2).</w:t>
      </w:r>
    </w:p>
    <w:p>
      <w:pPr>
        <w:pStyle w:val="Footnotesection"/>
      </w:pPr>
      <w:r>
        <w:tab/>
        <w:t>[Section 19B inserted: No. 54 of 1980 s. 11; amended: No. 58 of 1986 s. 11; No. 31 of 1989 s. 15; No. 3 of 2002 s. 91(1); No. 34 of 2011 s. 11 and 15.]</w:t>
      </w:r>
    </w:p>
    <w:p>
      <w:pPr>
        <w:pStyle w:val="Heading5"/>
        <w:spacing w:before="240"/>
        <w:rPr>
          <w:snapToGrid w:val="0"/>
        </w:rPr>
      </w:pPr>
      <w:bookmarkStart w:id="51" w:name="_Toc378170783"/>
      <w:bookmarkStart w:id="52" w:name="_Toc424216235"/>
      <w:r>
        <w:rPr>
          <w:rStyle w:val="CharSectno"/>
        </w:rPr>
        <w:t>20</w:t>
      </w:r>
      <w:r>
        <w:rPr>
          <w:snapToGrid w:val="0"/>
        </w:rPr>
        <w:t>.</w:t>
      </w:r>
      <w:r>
        <w:rPr>
          <w:snapToGrid w:val="0"/>
        </w:rPr>
        <w:tab/>
        <w:t>Repayments to scheme of amounts previously paid under s. 14(3) to contributor</w:t>
      </w:r>
      <w:bookmarkEnd w:id="51"/>
      <w:bookmarkEnd w:id="52"/>
    </w:p>
    <w:p>
      <w:pPr>
        <w:pStyle w:val="Subsection"/>
        <w:rPr>
          <w:snapToGrid w:val="0"/>
        </w:rPr>
      </w:pPr>
      <w:r>
        <w:rPr>
          <w:snapToGrid w:val="0"/>
        </w:rPr>
        <w:tab/>
        <w:t>(1)</w:t>
      </w:r>
      <w:r>
        <w:rPr>
          <w:snapToGrid w:val="0"/>
        </w:rPr>
        <w:tab/>
        <w:t xml:space="preserve">Where a payment has been made to a person under section 14(3), or any corresponding provision of the repealed Act, and that person again becomes a member on a subsequent date, </w:t>
      </w:r>
      <w:r>
        <w:t>the person may</w:t>
      </w:r>
      <w:r>
        <w:rPr>
          <w:snapToGrid w:val="0"/>
        </w:rPr>
        <w:t xml:space="preserve"> —</w:t>
      </w:r>
    </w:p>
    <w:p>
      <w:pPr>
        <w:pStyle w:val="Indenta"/>
        <w:rPr>
          <w:snapToGrid w:val="0"/>
        </w:rPr>
      </w:pPr>
      <w:r>
        <w:rPr>
          <w:snapToGrid w:val="0"/>
        </w:rPr>
        <w:tab/>
        <w:t>(a)</w:t>
      </w:r>
      <w:r>
        <w:rPr>
          <w:snapToGrid w:val="0"/>
        </w:rPr>
        <w:tab/>
        <w:t xml:space="preserve">within 3 months of again so becoming a member, pay into the scheme a sum equal to the payment </w:t>
      </w:r>
      <w:r>
        <w:t>made under section 14(3)</w:t>
      </w:r>
      <w:r>
        <w:rPr>
          <w:snapToGrid w:val="0"/>
        </w:rPr>
        <w:t>; or</w:t>
      </w:r>
    </w:p>
    <w:p>
      <w:pPr>
        <w:pStyle w:val="Indenta"/>
        <w:rPr>
          <w:snapToGrid w:val="0"/>
        </w:rPr>
      </w:pPr>
      <w:r>
        <w:rPr>
          <w:snapToGrid w:val="0"/>
        </w:rPr>
        <w:tab/>
        <w:t>(b)</w:t>
      </w:r>
      <w:r>
        <w:rPr>
          <w:snapToGrid w:val="0"/>
        </w:rPr>
        <w:tab/>
        <w:t xml:space="preserve">after the expiration of the period referred to in paragraph (a), but while </w:t>
      </w:r>
      <w:r>
        <w:t>the person continues</w:t>
      </w:r>
      <w:r>
        <w:rPr>
          <w:snapToGrid w:val="0"/>
        </w:rPr>
        <w:t xml:space="preserve"> to be a member, pay into the scheme a sum equal to the total of the payment </w:t>
      </w:r>
      <w:r>
        <w:t xml:space="preserve">made under section 14(3) </w:t>
      </w:r>
      <w:r>
        <w:rPr>
          <w:snapToGrid w:val="0"/>
        </w:rPr>
        <w:t>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[Section 20 inserted: No. 54 of 1980 s. 12; amended: No. 31 of 1989 s. 15; No. 37 of 2000 s. 13; No. 34 of 2011 s. 15.]</w:t>
      </w:r>
    </w:p>
    <w:p>
      <w:pPr>
        <w:pStyle w:val="Heading5"/>
        <w:keepLines w:val="0"/>
        <w:spacing w:before="180"/>
        <w:rPr>
          <w:snapToGrid w:val="0"/>
        </w:rPr>
      </w:pPr>
      <w:bookmarkStart w:id="53" w:name="_Toc378170784"/>
      <w:bookmarkStart w:id="54" w:name="_Toc424216236"/>
      <w:r>
        <w:rPr>
          <w:rStyle w:val="CharSectno"/>
        </w:rPr>
        <w:t>21</w:t>
      </w:r>
      <w:r>
        <w:rPr>
          <w:snapToGrid w:val="0"/>
        </w:rPr>
        <w:t>.</w:t>
      </w:r>
      <w:r>
        <w:rPr>
          <w:snapToGrid w:val="0"/>
        </w:rPr>
        <w:tab/>
        <w:t>Pension terminates if recipient again becomes member</w:t>
      </w:r>
      <w:bookmarkEnd w:id="53"/>
      <w:bookmarkEnd w:id="54"/>
    </w:p>
    <w:p>
      <w:pPr>
        <w:pStyle w:val="Subsection"/>
        <w:spacing w:before="80"/>
        <w:rPr>
          <w:snapToGrid w:val="0"/>
        </w:rPr>
      </w:pPr>
      <w:r>
        <w:rPr>
          <w:snapToGrid w:val="0"/>
        </w:rPr>
        <w:tab/>
      </w:r>
      <w:r>
        <w:rPr>
          <w:snapToGrid w:val="0"/>
        </w:rPr>
        <w:tab/>
        <w:t>If a former member who is receiving or is entitled to receive a pension under this Part again becomes a member, the right to that pension shall cease.</w:t>
      </w:r>
    </w:p>
    <w:p>
      <w:pPr>
        <w:pStyle w:val="Footnotesection"/>
      </w:pPr>
      <w:r>
        <w:tab/>
        <w:t>[Section 21 amended: No. 34 of 2011 s. 15.]</w:t>
      </w:r>
    </w:p>
    <w:p>
      <w:pPr>
        <w:pStyle w:val="Heading5"/>
        <w:spacing w:before="180"/>
        <w:rPr>
          <w:snapToGrid w:val="0"/>
        </w:rPr>
      </w:pPr>
      <w:bookmarkStart w:id="55" w:name="_Toc378170785"/>
      <w:bookmarkStart w:id="56" w:name="_Toc424216237"/>
      <w:r>
        <w:rPr>
          <w:rStyle w:val="CharSectno"/>
        </w:rPr>
        <w:t>22</w:t>
      </w:r>
      <w:r>
        <w:rPr>
          <w:snapToGrid w:val="0"/>
        </w:rPr>
        <w:t>.</w:t>
      </w:r>
      <w:r>
        <w:rPr>
          <w:snapToGrid w:val="0"/>
        </w:rPr>
        <w:tab/>
        <w:t>Reduction of pensions in certain cases</w:t>
      </w:r>
      <w:bookmarkEnd w:id="55"/>
      <w:bookmarkEnd w:id="56"/>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spacing w:before="120"/>
        <w:rPr>
          <w:snapToGrid w:val="0"/>
        </w:rPr>
      </w:pPr>
      <w:r>
        <w:rPr>
          <w:snapToGrid w:val="0"/>
        </w:rPr>
        <w:tab/>
      </w:r>
      <w:r>
        <w:rPr>
          <w:snapToGrid w:val="0"/>
        </w:rPr>
        <w:tab/>
        <w:t>the pension payable to the former member from time to time under this Part shall be reduced by the amount, if any, by which the remuneration received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Footnotesection"/>
      </w:pPr>
      <w:r>
        <w:tab/>
        <w:t>[Section 22 amended: No. 34 of 2011 s. 15.]</w:t>
      </w:r>
    </w:p>
    <w:p>
      <w:pPr>
        <w:pStyle w:val="Heading5"/>
        <w:rPr>
          <w:snapToGrid w:val="0"/>
        </w:rPr>
      </w:pPr>
      <w:bookmarkStart w:id="57" w:name="_Toc378170786"/>
      <w:bookmarkStart w:id="58" w:name="_Toc424216238"/>
      <w:r>
        <w:rPr>
          <w:rStyle w:val="CharSectno"/>
        </w:rPr>
        <w:t>23</w:t>
      </w:r>
      <w:r>
        <w:rPr>
          <w:snapToGrid w:val="0"/>
        </w:rPr>
        <w:t>.</w:t>
      </w:r>
      <w:r>
        <w:rPr>
          <w:snapToGrid w:val="0"/>
        </w:rPr>
        <w:tab/>
        <w:t>Childrens’ allowances payable on death of member</w:t>
      </w:r>
      <w:bookmarkEnd w:id="57"/>
      <w:bookmarkEnd w:id="58"/>
    </w:p>
    <w:p>
      <w:pPr>
        <w:pStyle w:val="Subsection"/>
        <w:rPr>
          <w:snapToGrid w:val="0"/>
        </w:rPr>
      </w:pPr>
      <w:r>
        <w:rPr>
          <w:snapToGrid w:val="0"/>
        </w:rPr>
        <w:tab/>
        <w:t>(1)</w:t>
      </w:r>
      <w:r>
        <w:rPr>
          <w:snapToGrid w:val="0"/>
        </w:rPr>
        <w:tab/>
        <w:t>Subject to this section, on the death of a member or on the death of a former member who at the time of death was in receipt of pension under this Act, there is payable to any child of the member or former member for so long as the child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5%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10%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an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[Section 23 amended: No. 94 of 1975 s. 12; No. 58 of 1986 s. 12; No. 37 of 2000 s. 14; No. 3 of 2002 s. 91(1); No. 34 of 2011 s. 12 and 15.]</w:t>
      </w:r>
    </w:p>
    <w:p>
      <w:pPr>
        <w:pStyle w:val="Heading5"/>
        <w:rPr>
          <w:snapToGrid w:val="0"/>
        </w:rPr>
      </w:pPr>
      <w:bookmarkStart w:id="59" w:name="_Toc378170787"/>
      <w:bookmarkStart w:id="60" w:name="_Toc424216239"/>
      <w:r>
        <w:rPr>
          <w:rStyle w:val="CharSectno"/>
        </w:rPr>
        <w:t>23A</w:t>
      </w:r>
      <w:r>
        <w:rPr>
          <w:snapToGrid w:val="0"/>
        </w:rPr>
        <w:t>.</w:t>
      </w:r>
      <w:r>
        <w:rPr>
          <w:snapToGrid w:val="0"/>
        </w:rPr>
        <w:tab/>
        <w:t>Spouse or de facto partner and children not entitled to more than one pension</w:t>
      </w:r>
      <w:bookmarkEnd w:id="59"/>
      <w:bookmarkEnd w:id="60"/>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[Section 23A inserted: No. 94 of 1975 s. 13; amended: No. 3 of 2002 s. 91(1) and 96.]</w:t>
      </w:r>
    </w:p>
    <w:p>
      <w:pPr>
        <w:pStyle w:val="Heading5"/>
      </w:pPr>
      <w:bookmarkStart w:id="61" w:name="_Toc378170788"/>
      <w:bookmarkStart w:id="62" w:name="_Toc424216240"/>
      <w:r>
        <w:rPr>
          <w:rStyle w:val="CharSectno"/>
        </w:rPr>
        <w:t>24</w:t>
      </w:r>
      <w:r>
        <w:t>.</w:t>
      </w:r>
      <w:r>
        <w:tab/>
        <w:t>Minimum benefits payable to members</w:t>
      </w:r>
      <w:bookmarkEnd w:id="61"/>
      <w:bookmarkEnd w:id="62"/>
    </w:p>
    <w:p>
      <w:pPr>
        <w:pStyle w:val="Subsection"/>
      </w:pPr>
      <w:r>
        <w:tab/>
        <w:t>(1)</w:t>
      </w:r>
      <w:r>
        <w:tab/>
        <w:t>Subject to subsection (2), the Board is to pay a minimum benefit to or in respect of each member of —</w:t>
      </w:r>
    </w:p>
    <w:p>
      <w:pPr>
        <w:pStyle w:val="Indenta"/>
      </w:pPr>
      <w:r>
        <w:tab/>
        <w:t>(a)</w:t>
      </w:r>
      <w:r>
        <w:tab/>
        <w:t>the amount of the member’s contributions with interest at the rate of 10% per annum; plus</w:t>
      </w:r>
    </w:p>
    <w:p>
      <w:pPr>
        <w:pStyle w:val="Indenta"/>
      </w:pPr>
      <w:r>
        <w:tab/>
        <w:t>(b)</w:t>
      </w:r>
      <w:r>
        <w:tab/>
        <w:t>any further amount which, in the opinion of an actuary who prepares a benefit certificate in relation to the member, the scheme must provide if the individual superannuation guarantee shortfall for the member is to be nil.</w:t>
      </w:r>
    </w:p>
    <w:p>
      <w:pPr>
        <w:pStyle w:val="Subsection"/>
      </w:pPr>
      <w:r>
        <w:tab/>
        <w:t>(2)</w:t>
      </w:r>
      <w:r>
        <w:tab/>
        <w:t>The Tribunal may from time to time inquire into and determine an alternative basis for calculating the amount of the minimum benefits payable under the scheme having regard to the SG(A) Act, and the Board is to pay minimum benefits in accordance with any determination.</w:t>
      </w:r>
    </w:p>
    <w:p>
      <w:pPr>
        <w:pStyle w:val="Footnotesection"/>
      </w:pPr>
      <w:r>
        <w:tab/>
        <w:t>[Section 24 inserted: No. 34 of 2011 s. 13.]</w:t>
      </w:r>
    </w:p>
    <w:p>
      <w:pPr>
        <w:pStyle w:val="Heading2"/>
      </w:pPr>
      <w:bookmarkStart w:id="63" w:name="_Toc378170789"/>
      <w:bookmarkStart w:id="64" w:name="_Toc424216241"/>
      <w:r>
        <w:rPr>
          <w:rStyle w:val="CharPartNo"/>
        </w:rPr>
        <w:t>Part V</w:t>
      </w:r>
      <w:r>
        <w:rPr>
          <w:rStyle w:val="CharDivNo"/>
        </w:rPr>
        <w:t> </w:t>
      </w:r>
      <w:r>
        <w:t>—</w:t>
      </w:r>
      <w:r>
        <w:rPr>
          <w:rStyle w:val="CharDivText"/>
        </w:rPr>
        <w:t> </w:t>
      </w:r>
      <w:r>
        <w:rPr>
          <w:rStyle w:val="CharPartText"/>
        </w:rPr>
        <w:t>Miscellaneous</w:t>
      </w:r>
      <w:bookmarkEnd w:id="63"/>
      <w:bookmarkEnd w:id="64"/>
    </w:p>
    <w:p>
      <w:pPr>
        <w:pStyle w:val="Heading5"/>
        <w:rPr>
          <w:snapToGrid w:val="0"/>
        </w:rPr>
      </w:pPr>
      <w:bookmarkStart w:id="65" w:name="_Toc378170790"/>
      <w:bookmarkStart w:id="66" w:name="_Toc424216242"/>
      <w:r>
        <w:rPr>
          <w:rStyle w:val="CharSectno"/>
        </w:rPr>
        <w:t>25</w:t>
      </w:r>
      <w:r>
        <w:rPr>
          <w:snapToGrid w:val="0"/>
        </w:rPr>
        <w:t>.</w:t>
      </w:r>
      <w:r>
        <w:rPr>
          <w:snapToGrid w:val="0"/>
        </w:rPr>
        <w:tab/>
        <w:t>Pensions payable fortnightly etc.</w:t>
      </w:r>
      <w:bookmarkEnd w:id="65"/>
      <w:bookmarkEnd w:id="66"/>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67" w:name="_Toc378170791"/>
      <w:bookmarkStart w:id="68" w:name="_Toc424216243"/>
      <w:r>
        <w:rPr>
          <w:rStyle w:val="CharSectno"/>
        </w:rPr>
        <w:t>26</w:t>
      </w:r>
      <w:r>
        <w:rPr>
          <w:snapToGrid w:val="0"/>
        </w:rPr>
        <w:t>.</w:t>
      </w:r>
      <w:r>
        <w:rPr>
          <w:snapToGrid w:val="0"/>
        </w:rPr>
        <w:tab/>
        <w:t>Payments to be made from Consolidated Account</w:t>
      </w:r>
      <w:bookmarkEnd w:id="67"/>
      <w:bookmarkEnd w:id="68"/>
    </w:p>
    <w:p>
      <w:pPr>
        <w:pStyle w:val="Subsection"/>
        <w:keepNext/>
        <w:rPr>
          <w:snapToGrid w:val="0"/>
        </w:rPr>
      </w:pPr>
      <w:r>
        <w:rPr>
          <w:snapToGrid w:val="0"/>
        </w:rPr>
        <w:tab/>
      </w:r>
      <w:r>
        <w:rPr>
          <w:snapToGrid w:val="0"/>
        </w:rPr>
        <w:tab/>
        <w:t>There shall be charged to the Consolidated Account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[Section 26 inserted: No. 31 of 1989 s. 13; amended: No. 6 of 1993 s. 11; No. 49 of 1996 s. 64; No. 77 of 2006 s. 4.]</w:t>
      </w:r>
    </w:p>
    <w:p>
      <w:pPr>
        <w:pStyle w:val="Heading5"/>
        <w:rPr>
          <w:snapToGrid w:val="0"/>
        </w:rPr>
      </w:pPr>
      <w:bookmarkStart w:id="69" w:name="_Toc378170792"/>
      <w:bookmarkStart w:id="70" w:name="_Toc424216244"/>
      <w:r>
        <w:rPr>
          <w:rStyle w:val="CharSectno"/>
        </w:rPr>
        <w:t>27</w:t>
      </w:r>
      <w:r>
        <w:rPr>
          <w:snapToGrid w:val="0"/>
        </w:rPr>
        <w:t>.</w:t>
      </w:r>
      <w:r>
        <w:rPr>
          <w:snapToGrid w:val="0"/>
        </w:rPr>
        <w:tab/>
        <w:t>Report by actuary on liabilities of Consolidated Account</w:t>
      </w:r>
      <w:bookmarkEnd w:id="69"/>
      <w:bookmarkEnd w:id="70"/>
    </w:p>
    <w:p>
      <w:pPr>
        <w:pStyle w:val="Subsection"/>
        <w:keepNext/>
        <w:rPr>
          <w:snapToGrid w:val="0"/>
        </w:rPr>
      </w:pPr>
      <w:r>
        <w:rPr>
          <w:snapToGrid w:val="0"/>
        </w:rPr>
        <w:tab/>
        <w:t>(1)</w:t>
      </w:r>
      <w:r>
        <w:rPr>
          <w:snapToGrid w:val="0"/>
        </w:rPr>
        <w:tab/>
        <w:t>An actuary shall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w:t>
      </w:r>
    </w:p>
    <w:p>
      <w:pPr>
        <w:pStyle w:val="Indenta"/>
        <w:rPr>
          <w:snapToGrid w:val="0"/>
        </w:rPr>
      </w:pPr>
      <w:r>
        <w:rPr>
          <w:snapToGrid w:val="0"/>
        </w:rPr>
        <w:tab/>
        <w:t>(a)</w:t>
      </w:r>
      <w:r>
        <w:rPr>
          <w:snapToGrid w:val="0"/>
        </w:rPr>
        <w:tab/>
        <w:t>a Fellow</w:t>
      </w:r>
      <w:r>
        <w:t xml:space="preserve"> or accredited member</w:t>
      </w:r>
      <w:r>
        <w:rPr>
          <w:snapToGrid w:val="0"/>
        </w:rPr>
        <w:t xml:space="preserve">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Actuaries</w:t>
        </w:r>
      </w:smartTag>
      <w:r>
        <w:rPr>
          <w:snapToGrid w:val="0"/>
        </w:rPr>
        <w:t xml:space="preserve"> of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[Section 27 inserted: No. 31 of 1989 s. 13; amended: No. 6 of 1993 s. 11; No. 37 of 2000 s. 16; No. 77 of 2006 s. 4.]</w:t>
      </w:r>
    </w:p>
    <w:p>
      <w:pPr>
        <w:pStyle w:val="Heading5"/>
      </w:pPr>
      <w:bookmarkStart w:id="71" w:name="_Toc378170793"/>
      <w:bookmarkStart w:id="72" w:name="_Toc424216245"/>
      <w:r>
        <w:rPr>
          <w:rStyle w:val="CharSectno"/>
        </w:rPr>
        <w:t>28</w:t>
      </w:r>
      <w:r>
        <w:t>.</w:t>
      </w:r>
      <w:r>
        <w:tab/>
        <w:t>Tribunal may change scheme</w:t>
      </w:r>
      <w:bookmarkEnd w:id="71"/>
      <w:bookmarkEnd w:id="72"/>
    </w:p>
    <w:p>
      <w:pPr>
        <w:pStyle w:val="Subsection"/>
      </w:pPr>
      <w:r>
        <w:tab/>
        <w:t>(1)</w:t>
      </w:r>
      <w:r>
        <w:tab/>
        <w:t>In this section —</w:t>
      </w:r>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Without limiting subsection (2), the Tribunal may inquire into and determine any of the following matters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in the case of the death of persons entitled to benefits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A determination under subsection (2) —</w:t>
      </w:r>
    </w:p>
    <w:p>
      <w:pPr>
        <w:pStyle w:val="Indenta"/>
      </w:pPr>
      <w:r>
        <w:tab/>
        <w:t>(a)</w:t>
      </w:r>
      <w:r>
        <w:tab/>
        <w:t>shall not have the effect of changing the scheme from being one under which former members are entitled to be paid a pension that is calculated as set out in section 14; and</w:t>
      </w:r>
    </w:p>
    <w:p>
      <w:pPr>
        <w:pStyle w:val="Indenta"/>
      </w:pPr>
      <w:r>
        <w:tab/>
        <w:t>(b)</w:t>
      </w:r>
      <w:r>
        <w:tab/>
        <w:t>shall not have the effect of reducing the amount of any benefits that —</w:t>
      </w:r>
    </w:p>
    <w:p>
      <w:pPr>
        <w:pStyle w:val="Indenti"/>
      </w:pPr>
      <w:r>
        <w:tab/>
        <w:t>(i)</w:t>
      </w:r>
      <w:r>
        <w:tab/>
        <w:t>had accrued or become payable to a person before the determination; or</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r>
      <w:r>
        <w:tab/>
        <w:t>and</w:t>
      </w:r>
    </w:p>
    <w:p>
      <w:pPr>
        <w:pStyle w:val="Indenta"/>
      </w:pPr>
      <w:r>
        <w:tab/>
        <w:t>(c)</w:t>
      </w:r>
      <w:r>
        <w:tab/>
        <w:t>shall not have the effect of changing the circumstances under which a member may qualify for a pension under section 14(1)(b); and</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Subsection (4) does not prevent the making of a determination that reduces or provides for the reduction of any benefits to which a member or former member is or will become entitled if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 No. 37 of 2000 s. 17; amended: No. 18 of 2006 s. 4.]</w:t>
      </w:r>
    </w:p>
    <w:p>
      <w:pPr>
        <w:pStyle w:val="Heading5"/>
      </w:pPr>
      <w:bookmarkStart w:id="73" w:name="_Toc378170794"/>
      <w:bookmarkStart w:id="74" w:name="_Toc424216246"/>
      <w:r>
        <w:rPr>
          <w:rStyle w:val="CharSectno"/>
        </w:rPr>
        <w:t>29</w:t>
      </w:r>
      <w:r>
        <w:t>.</w:t>
      </w:r>
      <w:r>
        <w:tab/>
        <w:t>State contributions for MPs who are not participants in scheme</w:t>
      </w:r>
      <w:bookmarkEnd w:id="73"/>
      <w:bookmarkEnd w:id="74"/>
    </w:p>
    <w:p>
      <w:pPr>
        <w:pStyle w:val="Subsection"/>
      </w:pPr>
      <w:r>
        <w:tab/>
        <w:t>(1)</w:t>
      </w:r>
      <w:r>
        <w:tab/>
        <w:t>In this section —</w:t>
      </w:r>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during the period beginning on 10 October 2000 and ending on 30 June 2001 elected to cease participating in the scheme.</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participant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 and</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No. 37 of 2000 s. 18; amended: No. 77 of 2006 s. 4; No. 34 of 2011 s. 14.]</w:t>
      </w:r>
    </w:p>
    <w:p>
      <w:pPr>
        <w:pStyle w:val="Heading5"/>
        <w:rPr>
          <w:snapToGrid w:val="0"/>
        </w:rPr>
      </w:pPr>
      <w:bookmarkStart w:id="75" w:name="_Toc378170795"/>
      <w:bookmarkStart w:id="76" w:name="_Toc424216247"/>
      <w:r>
        <w:rPr>
          <w:rStyle w:val="CharSectno"/>
        </w:rPr>
        <w:t>30</w:t>
      </w:r>
      <w:r>
        <w:rPr>
          <w:snapToGrid w:val="0"/>
        </w:rPr>
        <w:t>.</w:t>
      </w:r>
      <w:r>
        <w:rPr>
          <w:snapToGrid w:val="0"/>
        </w:rPr>
        <w:tab/>
        <w:t>Pensions etc. not assignable etc.</w:t>
      </w:r>
      <w:bookmarkEnd w:id="75"/>
      <w:bookmarkEnd w:id="76"/>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w:t>
      </w:r>
      <w:r>
        <w:t xml:space="preserve"> the spouse or de facto partner of the member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w:t>
      </w:r>
      <w:r>
        <w:t>or the spouse or de facto partner or children of the member or former member</w:t>
      </w:r>
      <w:r>
        <w:rPr>
          <w:snapToGrid w:val="0"/>
        </w:rPr>
        <w:t>, and the pensions, benefits and payments payable under this Act shall be personal to the member or former member as the case may be and to the spouse</w:t>
      </w:r>
      <w:r>
        <w:t xml:space="preserve"> or de facto partner</w:t>
      </w:r>
      <w:r>
        <w:rPr>
          <w:snapToGrid w:val="0"/>
        </w:rPr>
        <w:t xml:space="preserve"> and children and shall not inure for the benefit of their respective estates.</w:t>
      </w:r>
    </w:p>
    <w:p>
      <w:pPr>
        <w:pStyle w:val="Footnotesection"/>
      </w:pPr>
      <w:r>
        <w:tab/>
        <w:t>[Section 30 amended: No. 31 of 1989 s. 14; No. 3 of 2002 s. 91(1); No. 34 of 2011 s. 15.]</w:t>
      </w:r>
    </w:p>
    <w:p>
      <w:pPr>
        <w:pStyle w:val="Heading5"/>
        <w:rPr>
          <w:snapToGrid w:val="0"/>
        </w:rPr>
      </w:pPr>
      <w:bookmarkStart w:id="77" w:name="_Toc378170796"/>
      <w:bookmarkStart w:id="78" w:name="_Toc424216248"/>
      <w:r>
        <w:rPr>
          <w:rStyle w:val="CharSectno"/>
        </w:rPr>
        <w:t>31</w:t>
      </w:r>
      <w:r>
        <w:rPr>
          <w:snapToGrid w:val="0"/>
        </w:rPr>
        <w:t>.</w:t>
      </w:r>
      <w:r>
        <w:rPr>
          <w:snapToGrid w:val="0"/>
        </w:rPr>
        <w:tab/>
        <w:t>Regulations</w:t>
      </w:r>
      <w:bookmarkEnd w:id="77"/>
      <w:bookmarkEnd w:id="78"/>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79" w:name="_Toc378170797"/>
      <w:bookmarkStart w:id="80" w:name="_Toc424216249"/>
      <w:r>
        <w:rPr>
          <w:rStyle w:val="CharSchNo"/>
        </w:rPr>
        <w:t>Schedule</w:t>
      </w:r>
      <w:r>
        <w:t> — </w:t>
      </w:r>
      <w:r>
        <w:rPr>
          <w:rStyle w:val="CharSchText"/>
        </w:rPr>
        <w:t>Title of Act</w:t>
      </w:r>
      <w:bookmarkEnd w:id="79"/>
      <w:bookmarkEnd w:id="80"/>
    </w:p>
    <w:p>
      <w:pPr>
        <w:pStyle w:val="yShoulderClause"/>
      </w:pPr>
      <w:r>
        <w:t>[s. 4]</w:t>
      </w:r>
    </w:p>
    <w:p>
      <w:pPr>
        <w:pStyle w:val="yFootnoteheading"/>
        <w:rPr>
          <w:i w:val="0"/>
          <w:iCs/>
          <w:snapToGrid w:val="0"/>
          <w:u w:val="words"/>
        </w:rPr>
      </w:pPr>
      <w:r>
        <w:tab/>
        <w:t>[Heading amended: No. 19 of 2010 s. 4.]</w:t>
      </w:r>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Pr>
        <w:pStyle w:val="CentredBaseLine"/>
        <w:jc w:val="center"/>
      </w:pPr>
      <w:r>
        <w:rPr>
          <w:noProof/>
        </w:rPr>
        <w:drawing>
          <wp:inline distT="0" distB="0" distL="0" distR="0">
            <wp:extent cx="935355" cy="168910"/>
            <wp:effectExtent l="0" t="0" r="0" b="254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82" w:name="_Toc378170798"/>
      <w:bookmarkStart w:id="83" w:name="_Toc424216250"/>
      <w:r>
        <w:t>Notes</w:t>
      </w:r>
      <w:bookmarkEnd w:id="82"/>
      <w:bookmarkEnd w:id="83"/>
    </w:p>
    <w:p>
      <w:pPr>
        <w:pStyle w:val="nSubsection"/>
        <w:rPr>
          <w:snapToGrid w:val="0"/>
        </w:rPr>
      </w:pPr>
      <w:r>
        <w:rPr>
          <w:snapToGrid w:val="0"/>
          <w:vertAlign w:val="superscript"/>
        </w:rPr>
        <w:t>1</w:t>
      </w:r>
      <w:r>
        <w:rPr>
          <w:snapToGrid w:val="0"/>
        </w:rPr>
        <w:tab/>
        <w:t xml:space="preserve">This reprint is a compilation as at 23 March 2012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 w:name="_Toc378170799"/>
      <w:bookmarkStart w:id="85" w:name="_Toc424216251"/>
      <w:r>
        <w:rPr>
          <w:snapToGrid w:val="0"/>
        </w:rPr>
        <w:t>Compilation table</w:t>
      </w:r>
      <w:bookmarkEnd w:id="84"/>
      <w:bookmarkEnd w:id="8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Parliamentary Superannuation Act 1970</w:t>
            </w:r>
          </w:p>
        </w:tc>
        <w:tc>
          <w:tcPr>
            <w:tcW w:w="1134" w:type="dxa"/>
          </w:tcPr>
          <w:p>
            <w:pPr>
              <w:pStyle w:val="nTable"/>
              <w:spacing w:after="40"/>
            </w:pPr>
            <w:r>
              <w:t>36 of 1970</w:t>
            </w:r>
          </w:p>
        </w:tc>
        <w:tc>
          <w:tcPr>
            <w:tcW w:w="1135" w:type="dxa"/>
          </w:tcPr>
          <w:p>
            <w:pPr>
              <w:pStyle w:val="nTable"/>
              <w:spacing w:after="40"/>
            </w:pPr>
            <w:r>
              <w:t>27 May 1970</w:t>
            </w:r>
          </w:p>
        </w:tc>
        <w:tc>
          <w:tcPr>
            <w:tcW w:w="2551" w:type="dxa"/>
          </w:tcPr>
          <w:p>
            <w:pPr>
              <w:pStyle w:val="nTable"/>
              <w:spacing w:after="40"/>
            </w:pPr>
            <w:r>
              <w:t>Pt. IV: 1 Jan 1970 (see s. 2(2));</w:t>
            </w:r>
            <w:r>
              <w:br/>
              <w:t>Act other than Pt. IV: 27 May 1970 (see s. 2(1))</w:t>
            </w:r>
          </w:p>
        </w:tc>
      </w:tr>
      <w:tr>
        <w:tc>
          <w:tcPr>
            <w:tcW w:w="2268" w:type="dxa"/>
          </w:tcPr>
          <w:p>
            <w:pPr>
              <w:pStyle w:val="nTable"/>
              <w:spacing w:after="40"/>
            </w:pPr>
            <w:r>
              <w:rPr>
                <w:i/>
              </w:rPr>
              <w:t>Parliamentary Superannuation Act Amendment Act 1971</w:t>
            </w:r>
          </w:p>
        </w:tc>
        <w:tc>
          <w:tcPr>
            <w:tcW w:w="1134" w:type="dxa"/>
          </w:tcPr>
          <w:p>
            <w:pPr>
              <w:pStyle w:val="nTable"/>
              <w:spacing w:after="40"/>
            </w:pPr>
            <w:r>
              <w:t>22 of 1971</w:t>
            </w:r>
          </w:p>
        </w:tc>
        <w:tc>
          <w:tcPr>
            <w:tcW w:w="1135" w:type="dxa"/>
          </w:tcPr>
          <w:p>
            <w:pPr>
              <w:pStyle w:val="nTable"/>
              <w:spacing w:after="40"/>
            </w:pPr>
            <w:r>
              <w:t>1 Dec 1971</w:t>
            </w:r>
          </w:p>
        </w:tc>
        <w:tc>
          <w:tcPr>
            <w:tcW w:w="2551" w:type="dxa"/>
          </w:tcPr>
          <w:p>
            <w:pPr>
              <w:pStyle w:val="nTable"/>
              <w:spacing w:after="40"/>
            </w:pPr>
            <w:r>
              <w:t>30 Dec 1970 (see s. 2)</w:t>
            </w:r>
          </w:p>
        </w:tc>
      </w:tr>
      <w:tr>
        <w:tc>
          <w:tcPr>
            <w:tcW w:w="2268" w:type="dxa"/>
          </w:tcPr>
          <w:p>
            <w:pPr>
              <w:pStyle w:val="nTable"/>
              <w:spacing w:after="40"/>
            </w:pPr>
            <w:r>
              <w:rPr>
                <w:i/>
              </w:rPr>
              <w:t>Parliamentary Superannuation Act Amendment Act 1975</w:t>
            </w:r>
          </w:p>
        </w:tc>
        <w:tc>
          <w:tcPr>
            <w:tcW w:w="1134" w:type="dxa"/>
          </w:tcPr>
          <w:p>
            <w:pPr>
              <w:pStyle w:val="nTable"/>
              <w:spacing w:after="40"/>
            </w:pPr>
            <w:r>
              <w:t>94 of 1975</w:t>
            </w:r>
          </w:p>
        </w:tc>
        <w:tc>
          <w:tcPr>
            <w:tcW w:w="1135" w:type="dxa"/>
          </w:tcPr>
          <w:p>
            <w:pPr>
              <w:pStyle w:val="nTable"/>
              <w:spacing w:after="40"/>
            </w:pPr>
            <w:r>
              <w:t>20 Nov 1975</w:t>
            </w:r>
          </w:p>
        </w:tc>
        <w:tc>
          <w:tcPr>
            <w:tcW w:w="2551" w:type="dxa"/>
          </w:tcPr>
          <w:p>
            <w:pPr>
              <w:pStyle w:val="nTable"/>
              <w:spacing w:after="40"/>
            </w:pPr>
            <w:r>
              <w:t xml:space="preserve">Act other than s. 4 and 5: 20 Nov 1975 (see s. 2(1)); </w:t>
            </w:r>
            <w:r>
              <w:br/>
              <w:t xml:space="preserve">s. 4 and 5: 1 Jan 1976 (see s. 2(2)) </w:t>
            </w:r>
          </w:p>
        </w:tc>
      </w:tr>
      <w:tr>
        <w:tc>
          <w:tcPr>
            <w:tcW w:w="2268" w:type="dxa"/>
          </w:tcPr>
          <w:p>
            <w:pPr>
              <w:pStyle w:val="nTable"/>
              <w:spacing w:after="40"/>
            </w:pPr>
            <w:r>
              <w:rPr>
                <w:i/>
              </w:rPr>
              <w:t>Parliamentary Superannuation Act Amendment Act 1976</w:t>
            </w:r>
          </w:p>
        </w:tc>
        <w:tc>
          <w:tcPr>
            <w:tcW w:w="1134" w:type="dxa"/>
          </w:tcPr>
          <w:p>
            <w:pPr>
              <w:pStyle w:val="nTable"/>
              <w:spacing w:after="40"/>
            </w:pPr>
            <w:r>
              <w:t>115 of 1976</w:t>
            </w:r>
          </w:p>
        </w:tc>
        <w:tc>
          <w:tcPr>
            <w:tcW w:w="1135" w:type="dxa"/>
          </w:tcPr>
          <w:p>
            <w:pPr>
              <w:pStyle w:val="nTable"/>
              <w:spacing w:after="40"/>
            </w:pPr>
            <w:r>
              <w:t>1 Dec 1976</w:t>
            </w:r>
          </w:p>
        </w:tc>
        <w:tc>
          <w:tcPr>
            <w:tcW w:w="2551" w:type="dxa"/>
          </w:tcPr>
          <w:p>
            <w:pPr>
              <w:pStyle w:val="nTable"/>
              <w:spacing w:after="40"/>
            </w:pPr>
            <w:r>
              <w:t>1 Jan 1977 (see s. 2)</w:t>
            </w:r>
          </w:p>
        </w:tc>
      </w:tr>
      <w:tr>
        <w:tc>
          <w:tcPr>
            <w:tcW w:w="2268" w:type="dxa"/>
          </w:tcPr>
          <w:p>
            <w:pPr>
              <w:pStyle w:val="nTable"/>
              <w:spacing w:after="40"/>
            </w:pPr>
            <w:r>
              <w:rPr>
                <w:i/>
              </w:rPr>
              <w:t>Parliamentary Superannuation Amendment Act 1980</w:t>
            </w:r>
          </w:p>
        </w:tc>
        <w:tc>
          <w:tcPr>
            <w:tcW w:w="1134" w:type="dxa"/>
          </w:tcPr>
          <w:p>
            <w:pPr>
              <w:pStyle w:val="nTable"/>
              <w:spacing w:after="40"/>
            </w:pPr>
            <w:r>
              <w:t>54 of 1980</w:t>
            </w:r>
          </w:p>
        </w:tc>
        <w:tc>
          <w:tcPr>
            <w:tcW w:w="1135" w:type="dxa"/>
          </w:tcPr>
          <w:p>
            <w:pPr>
              <w:pStyle w:val="nTable"/>
              <w:spacing w:after="40"/>
            </w:pPr>
            <w:r>
              <w:t>19 Nov 1980</w:t>
            </w:r>
          </w:p>
        </w:tc>
        <w:tc>
          <w:tcPr>
            <w:tcW w:w="2551" w:type="dxa"/>
          </w:tcPr>
          <w:p>
            <w:pPr>
              <w:pStyle w:val="nTable"/>
              <w:spacing w:after="40"/>
            </w:pPr>
            <w:r>
              <w:t xml:space="preserve">s. 6: 22 Feb 1980 (see s. 2(2)); </w:t>
            </w:r>
            <w:r>
              <w:br/>
              <w:t>Act other than s. 6: 19 Nov 1980 (see s. 2(1))</w:t>
            </w:r>
          </w:p>
        </w:tc>
      </w:tr>
      <w:tr>
        <w:trPr>
          <w:cantSplit/>
        </w:trPr>
        <w:tc>
          <w:tcPr>
            <w:tcW w:w="7088" w:type="dxa"/>
            <w:gridSpan w:val="4"/>
          </w:tcPr>
          <w:p>
            <w:pPr>
              <w:pStyle w:val="nTable"/>
              <w:spacing w:after="40"/>
            </w:pPr>
            <w:r>
              <w:rPr>
                <w:b/>
              </w:rPr>
              <w:t xml:space="preserve">Reprint of the </w:t>
            </w:r>
            <w:r>
              <w:rPr>
                <w:b/>
                <w:i/>
              </w:rPr>
              <w:t>Parliamentary Superannuation Act 1970</w:t>
            </w:r>
            <w:r>
              <w:rPr>
                <w:b/>
              </w:rPr>
              <w:t xml:space="preserve"> approved 15 Jan 1981 </w:t>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rPr>
                <w:vertAlign w:val="superscript"/>
              </w:rPr>
            </w:pPr>
            <w:r>
              <w:rPr>
                <w:i/>
              </w:rPr>
              <w:t xml:space="preserve">Acts Amendment (Parliamentary Superannuation) Act 1986 </w:t>
            </w:r>
            <w:r>
              <w:t>Pt. I </w:t>
            </w:r>
            <w:r>
              <w:rPr>
                <w:vertAlign w:val="superscript"/>
              </w:rPr>
              <w:t>5, 6, 7, 8</w:t>
            </w:r>
          </w:p>
        </w:tc>
        <w:tc>
          <w:tcPr>
            <w:tcW w:w="1134" w:type="dxa"/>
          </w:tcPr>
          <w:p>
            <w:pPr>
              <w:pStyle w:val="nTable"/>
              <w:spacing w:after="40"/>
            </w:pPr>
            <w:r>
              <w:t>58 of 1986</w:t>
            </w:r>
          </w:p>
        </w:tc>
        <w:tc>
          <w:tcPr>
            <w:tcW w:w="1135" w:type="dxa"/>
          </w:tcPr>
          <w:p>
            <w:pPr>
              <w:pStyle w:val="nTable"/>
              <w:spacing w:after="40"/>
            </w:pPr>
            <w:r>
              <w:t>26 Nov 1986</w:t>
            </w:r>
          </w:p>
        </w:tc>
        <w:tc>
          <w:tcPr>
            <w:tcW w:w="2551" w:type="dxa"/>
          </w:tcPr>
          <w:p>
            <w:pPr>
              <w:pStyle w:val="nTable"/>
              <w:spacing w:after="40"/>
            </w:pPr>
            <w:r>
              <w:t>24 Dec 1986</w:t>
            </w:r>
          </w:p>
        </w:tc>
      </w:tr>
      <w:tr>
        <w:tc>
          <w:tcPr>
            <w:tcW w:w="2268" w:type="dxa"/>
          </w:tcPr>
          <w:p>
            <w:pPr>
              <w:pStyle w:val="nTable"/>
              <w:spacing w:after="40"/>
              <w:rPr>
                <w:vertAlign w:val="superscript"/>
              </w:rPr>
            </w:pPr>
            <w:r>
              <w:rPr>
                <w:i/>
              </w:rPr>
              <w:t>Acts Amendment (Parliamentary Superannuation) Act 1987</w:t>
            </w:r>
            <w:r>
              <w:t xml:space="preserve"> Pt. I</w:t>
            </w:r>
          </w:p>
        </w:tc>
        <w:tc>
          <w:tcPr>
            <w:tcW w:w="1134" w:type="dxa"/>
          </w:tcPr>
          <w:p>
            <w:pPr>
              <w:pStyle w:val="nTable"/>
              <w:spacing w:after="40"/>
            </w:pPr>
            <w:r>
              <w:t>103 of 1987</w:t>
            </w:r>
          </w:p>
        </w:tc>
        <w:tc>
          <w:tcPr>
            <w:tcW w:w="1135" w:type="dxa"/>
          </w:tcPr>
          <w:p>
            <w:pPr>
              <w:pStyle w:val="nTable"/>
              <w:spacing w:after="40"/>
            </w:pPr>
            <w:r>
              <w:t>16 Dec 1987</w:t>
            </w:r>
          </w:p>
        </w:tc>
        <w:tc>
          <w:tcPr>
            <w:tcW w:w="2551" w:type="dxa"/>
          </w:tcPr>
          <w:p>
            <w:pPr>
              <w:pStyle w:val="nTable"/>
              <w:spacing w:after="40"/>
            </w:pPr>
            <w:r>
              <w:t>16 Dec 1987 (see s. 2)</w:t>
            </w:r>
          </w:p>
        </w:tc>
      </w:tr>
      <w:tr>
        <w:tc>
          <w:tcPr>
            <w:tcW w:w="2268" w:type="dxa"/>
          </w:tcPr>
          <w:p>
            <w:pPr>
              <w:pStyle w:val="nTable"/>
              <w:keepNext/>
              <w:keepLines/>
              <w:spacing w:after="40"/>
              <w:rPr>
                <w:vertAlign w:val="superscript"/>
              </w:rPr>
            </w:pPr>
            <w:r>
              <w:rPr>
                <w:i/>
              </w:rPr>
              <w:t>Acts Amendment (Parliamentary Superannuation) and Transitional Arrangements Act 1988</w:t>
            </w:r>
            <w:r>
              <w:t xml:space="preserve"> Pt. 3 </w:t>
            </w:r>
            <w:r>
              <w:rPr>
                <w:vertAlign w:val="superscript"/>
              </w:rPr>
              <w:t>9</w:t>
            </w:r>
          </w:p>
        </w:tc>
        <w:tc>
          <w:tcPr>
            <w:tcW w:w="1134" w:type="dxa"/>
          </w:tcPr>
          <w:p>
            <w:pPr>
              <w:pStyle w:val="nTable"/>
              <w:keepNext/>
              <w:keepLines/>
              <w:spacing w:after="40"/>
            </w:pPr>
            <w:r>
              <w:t>6 of 1988</w:t>
            </w:r>
            <w:r>
              <w:br/>
              <w:t>(as amended by No. 31 of 1989 s. 17)</w:t>
            </w:r>
          </w:p>
        </w:tc>
        <w:tc>
          <w:tcPr>
            <w:tcW w:w="1135" w:type="dxa"/>
          </w:tcPr>
          <w:p>
            <w:pPr>
              <w:pStyle w:val="nTable"/>
              <w:keepNext/>
              <w:keepLines/>
              <w:spacing w:after="40"/>
            </w:pPr>
            <w:r>
              <w:t>30 Jun 1988</w:t>
            </w:r>
          </w:p>
        </w:tc>
        <w:tc>
          <w:tcPr>
            <w:tcW w:w="2551" w:type="dxa"/>
          </w:tcPr>
          <w:p>
            <w:pPr>
              <w:pStyle w:val="nTable"/>
              <w:keepNext/>
              <w:keepLines/>
              <w:spacing w:after="40"/>
            </w:pPr>
            <w:r>
              <w:t>Act other than s. 5, 6(b) and Pt. 4: 30 Jun 1988 (see s. 2(1));</w:t>
            </w:r>
            <w:r>
              <w:br/>
              <w:t xml:space="preserve">s. 5, 6(b) and Pt. 4: 22 May 1989 (see s. 2(2)) </w:t>
            </w:r>
          </w:p>
        </w:tc>
      </w:tr>
      <w:tr>
        <w:tc>
          <w:tcPr>
            <w:tcW w:w="2268" w:type="dxa"/>
          </w:tcPr>
          <w:p>
            <w:pPr>
              <w:pStyle w:val="nTable"/>
              <w:spacing w:after="40"/>
            </w:pPr>
            <w:r>
              <w:rPr>
                <w:i/>
              </w:rPr>
              <w:t xml:space="preserve">Acts Amendment (Parliamentary Superannuation) Act 1989 </w:t>
            </w:r>
            <w:r>
              <w:t>Pt. 2 </w:t>
            </w:r>
            <w:r>
              <w:rPr>
                <w:vertAlign w:val="superscript"/>
              </w:rPr>
              <w:t>10, 11</w:t>
            </w:r>
            <w:r>
              <w:t xml:space="preserve"> </w:t>
            </w:r>
          </w:p>
        </w:tc>
        <w:tc>
          <w:tcPr>
            <w:tcW w:w="1134" w:type="dxa"/>
          </w:tcPr>
          <w:p>
            <w:pPr>
              <w:pStyle w:val="nTable"/>
              <w:keepNext/>
              <w:keepLines/>
              <w:spacing w:after="40"/>
            </w:pPr>
            <w:r>
              <w:t>31 of 1989</w:t>
            </w:r>
          </w:p>
        </w:tc>
        <w:tc>
          <w:tcPr>
            <w:tcW w:w="1135" w:type="dxa"/>
          </w:tcPr>
          <w:p>
            <w:pPr>
              <w:pStyle w:val="nTable"/>
              <w:keepNext/>
              <w:keepLines/>
              <w:spacing w:after="40"/>
            </w:pPr>
            <w:r>
              <w:t>15 Dec 1989</w:t>
            </w:r>
          </w:p>
        </w:tc>
        <w:tc>
          <w:tcPr>
            <w:tcW w:w="2551" w:type="dxa"/>
          </w:tcPr>
          <w:p>
            <w:pPr>
              <w:pStyle w:val="nTable"/>
              <w:keepNext/>
              <w:keepLines/>
              <w:spacing w:after="40"/>
            </w:pPr>
            <w:r>
              <w:t>15 Dec 1989 (see s. 2)</w:t>
            </w:r>
          </w:p>
        </w:tc>
      </w:tr>
      <w:tr>
        <w:trPr>
          <w:cantSplit/>
        </w:trPr>
        <w:tc>
          <w:tcPr>
            <w:tcW w:w="7088" w:type="dxa"/>
            <w:gridSpan w:val="4"/>
          </w:tcPr>
          <w:p>
            <w:pPr>
              <w:pStyle w:val="nTable"/>
              <w:spacing w:after="40"/>
            </w:pPr>
            <w:r>
              <w:rPr>
                <w:b/>
              </w:rPr>
              <w:t xml:space="preserve">Reprint of the </w:t>
            </w:r>
            <w:r>
              <w:rPr>
                <w:b/>
                <w:i/>
              </w:rPr>
              <w:t>Parliamentary Superannuation Act 1970</w:t>
            </w:r>
            <w:r>
              <w:rPr>
                <w:b/>
              </w:rPr>
              <w:t xml:space="preserve"> as at 25 Sep 1991 </w:t>
            </w:r>
            <w:r>
              <w:t>(includes amendments listed above)</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5" w:type="dxa"/>
          </w:tcPr>
          <w:p>
            <w:pPr>
              <w:pStyle w:val="nTable"/>
              <w:spacing w:after="40"/>
            </w:pPr>
            <w:r>
              <w:t>27 Aug 1993</w:t>
            </w:r>
          </w:p>
        </w:tc>
        <w:tc>
          <w:tcPr>
            <w:tcW w:w="2551" w:type="dxa"/>
          </w:tcPr>
          <w:p>
            <w:pPr>
              <w:pStyle w:val="nTable"/>
              <w:spacing w:after="40"/>
            </w:pPr>
            <w:r>
              <w:t>1 Jul 1993 (see s. 2(1))</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vertAlign w:val="superscript"/>
              </w:rPr>
            </w:pPr>
            <w:r>
              <w:rPr>
                <w:i/>
              </w:rPr>
              <w:t xml:space="preserve">Parliamentary Superannuation Legislation Amendment Act 2000 </w:t>
            </w:r>
            <w:r>
              <w:t>Pt. 2</w:t>
            </w:r>
            <w:r>
              <w:rPr>
                <w:i/>
              </w:rPr>
              <w:t> </w:t>
            </w:r>
            <w:r>
              <w:rPr>
                <w:vertAlign w:val="superscript"/>
              </w:rPr>
              <w:t>3</w:t>
            </w:r>
          </w:p>
        </w:tc>
        <w:tc>
          <w:tcPr>
            <w:tcW w:w="1134" w:type="dxa"/>
          </w:tcPr>
          <w:p>
            <w:pPr>
              <w:pStyle w:val="nTable"/>
              <w:spacing w:after="40"/>
            </w:pPr>
            <w:r>
              <w:t>37 of 2000</w:t>
            </w:r>
          </w:p>
        </w:tc>
        <w:tc>
          <w:tcPr>
            <w:tcW w:w="1135" w:type="dxa"/>
          </w:tcPr>
          <w:p>
            <w:pPr>
              <w:pStyle w:val="nTable"/>
              <w:spacing w:after="40"/>
            </w:pPr>
            <w:r>
              <w:t>10 Oct 2000</w:t>
            </w:r>
          </w:p>
        </w:tc>
        <w:tc>
          <w:tcPr>
            <w:tcW w:w="2551" w:type="dxa"/>
          </w:tcPr>
          <w:p>
            <w:pPr>
              <w:pStyle w:val="nTable"/>
              <w:spacing w:after="40"/>
            </w:pPr>
            <w:r>
              <w:t>10 Oct 2000 (see s. 2)</w:t>
            </w:r>
          </w:p>
        </w:tc>
      </w:tr>
      <w:tr>
        <w:tc>
          <w:tcPr>
            <w:tcW w:w="2268" w:type="dxa"/>
          </w:tcPr>
          <w:p>
            <w:pPr>
              <w:pStyle w:val="nTable"/>
              <w:spacing w:after="40"/>
              <w:rPr>
                <w:i/>
              </w:rPr>
            </w:pPr>
            <w:r>
              <w:rPr>
                <w:i/>
              </w:rPr>
              <w:t xml:space="preserve">Acts Amendment (Lesbian and Gay Law Reform) Act 2002 </w:t>
            </w:r>
            <w:r>
              <w:t>Pt. 17</w:t>
            </w:r>
          </w:p>
        </w:tc>
        <w:tc>
          <w:tcPr>
            <w:tcW w:w="1134" w:type="dxa"/>
          </w:tcPr>
          <w:p>
            <w:pPr>
              <w:pStyle w:val="nTable"/>
              <w:spacing w:after="40"/>
            </w:pPr>
            <w:r>
              <w:t>3 of 2002</w:t>
            </w:r>
          </w:p>
        </w:tc>
        <w:tc>
          <w:tcPr>
            <w:tcW w:w="1135"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7088" w:type="dxa"/>
            <w:gridSpan w:val="4"/>
          </w:tcPr>
          <w:p>
            <w:pPr>
              <w:pStyle w:val="nTable"/>
              <w:spacing w:after="40"/>
            </w:pPr>
            <w:r>
              <w:rPr>
                <w:b/>
              </w:rPr>
              <w:t xml:space="preserve">Reprint 3:  The </w:t>
            </w:r>
            <w:r>
              <w:rPr>
                <w:b/>
                <w:i/>
              </w:rPr>
              <w:t>Parliamentary Superannuation Act 1970</w:t>
            </w:r>
            <w:r>
              <w:rPr>
                <w:b/>
              </w:rPr>
              <w:t xml:space="preserve"> as at 4 Apr 2003 </w:t>
            </w:r>
            <w:r>
              <w:t>(includes amendments listed above)</w:t>
            </w:r>
          </w:p>
        </w:tc>
      </w:tr>
      <w:tr>
        <w:tc>
          <w:tcPr>
            <w:tcW w:w="2268" w:type="dxa"/>
          </w:tcPr>
          <w:p>
            <w:pPr>
              <w:pStyle w:val="nTable"/>
              <w:spacing w:after="40"/>
              <w:rPr>
                <w:vertAlign w:val="superscript"/>
              </w:rPr>
            </w:pPr>
            <w:r>
              <w:rPr>
                <w:i/>
              </w:rPr>
              <w:t>Superannuation Legislation Amendment and Validation Act 2006</w:t>
            </w:r>
            <w:r>
              <w:t xml:space="preserve"> Pt. 2 </w:t>
            </w:r>
          </w:p>
        </w:tc>
        <w:tc>
          <w:tcPr>
            <w:tcW w:w="1134" w:type="dxa"/>
          </w:tcPr>
          <w:p>
            <w:pPr>
              <w:pStyle w:val="nTable"/>
              <w:spacing w:after="40"/>
            </w:pPr>
            <w:r>
              <w:t>18 of 2006</w:t>
            </w:r>
          </w:p>
        </w:tc>
        <w:tc>
          <w:tcPr>
            <w:tcW w:w="1135" w:type="dxa"/>
          </w:tcPr>
          <w:p>
            <w:pPr>
              <w:pStyle w:val="nTable"/>
              <w:spacing w:after="40"/>
            </w:pPr>
            <w:r>
              <w:t>31 May 2006</w:t>
            </w:r>
          </w:p>
        </w:tc>
        <w:tc>
          <w:tcPr>
            <w:tcW w:w="2551" w:type="dxa"/>
          </w:tcPr>
          <w:p>
            <w:pPr>
              <w:pStyle w:val="nTable"/>
              <w:spacing w:after="40"/>
            </w:pPr>
            <w:r>
              <w:t>31 May 2006 (see s. 2)</w:t>
            </w:r>
          </w:p>
        </w:tc>
      </w:tr>
      <w:tr>
        <w:tc>
          <w:tcPr>
            <w:tcW w:w="2268" w:type="dxa"/>
          </w:tcPr>
          <w:p>
            <w:pPr>
              <w:pStyle w:val="nTable"/>
              <w:spacing w:after="40"/>
              <w:rPr>
                <w:i/>
              </w:rPr>
            </w:pPr>
            <w:r>
              <w:rPr>
                <w:i/>
                <w:snapToGrid w:val="0"/>
              </w:rPr>
              <w:t xml:space="preserve">Machinery of Government (Miscellaneous Amendments) Act 2006 </w:t>
            </w:r>
            <w:r>
              <w:rPr>
                <w:snapToGrid w:val="0"/>
              </w:rPr>
              <w:t>Pt. 17 Div. 7</w:t>
            </w:r>
          </w:p>
        </w:tc>
        <w:tc>
          <w:tcPr>
            <w:tcW w:w="1134" w:type="dxa"/>
          </w:tcPr>
          <w:p>
            <w:pPr>
              <w:pStyle w:val="nTable"/>
              <w:spacing w:after="40"/>
            </w:pPr>
            <w:r>
              <w:rPr>
                <w:snapToGrid w:val="0"/>
              </w:rP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Parliamentary Superannuation Act 1970</w:t>
            </w:r>
            <w:r>
              <w:rPr>
                <w:b/>
              </w:rPr>
              <w:t xml:space="preserve"> as at 4 Jul 2008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Parliamentary Superannuation Amendment Act 2011</w:t>
            </w:r>
          </w:p>
        </w:tc>
        <w:tc>
          <w:tcPr>
            <w:tcW w:w="1134" w:type="dxa"/>
            <w:shd w:val="clear" w:color="auto" w:fill="auto"/>
          </w:tcPr>
          <w:p>
            <w:pPr>
              <w:pStyle w:val="nTable"/>
              <w:spacing w:after="40"/>
              <w:rPr>
                <w:snapToGrid w:val="0"/>
              </w:rPr>
            </w:pPr>
            <w:r>
              <w:rPr>
                <w:snapToGrid w:val="0"/>
              </w:rPr>
              <w:t xml:space="preserve">34 of 2011 </w:t>
            </w:r>
          </w:p>
        </w:tc>
        <w:tc>
          <w:tcPr>
            <w:tcW w:w="1135" w:type="dxa"/>
            <w:shd w:val="clear" w:color="auto" w:fill="auto"/>
          </w:tcPr>
          <w:p>
            <w:pPr>
              <w:pStyle w:val="nTable"/>
              <w:spacing w:after="40"/>
              <w:rPr>
                <w:snapToGrid w:val="0"/>
              </w:rPr>
            </w:pPr>
            <w:r>
              <w:rPr>
                <w:snapToGrid w:val="0"/>
              </w:rPr>
              <w:t>12 Sep 2011</w:t>
            </w:r>
          </w:p>
        </w:tc>
        <w:tc>
          <w:tcPr>
            <w:tcW w:w="2551" w:type="dxa"/>
            <w:shd w:val="clear" w:color="auto" w:fill="auto"/>
          </w:tcPr>
          <w:p>
            <w:pPr>
              <w:pStyle w:val="nTable"/>
              <w:spacing w:after="40"/>
              <w:rPr>
                <w:snapToGrid w:val="0"/>
              </w:rPr>
            </w:pPr>
            <w:r>
              <w:rPr>
                <w:snapToGrid w:val="0"/>
                <w:spacing w:val="-2"/>
              </w:rPr>
              <w:t>s. 1 and 2: 12 Sep 2011 (see s. 2(a));</w:t>
            </w:r>
            <w:r>
              <w:rPr>
                <w:snapToGrid w:val="0"/>
                <w:spacing w:val="-2"/>
              </w:rPr>
              <w:br/>
              <w:t xml:space="preserve">Act other than s. 1 and 2: 2 Nov 2011 (see s. 2(b) and </w:t>
            </w:r>
            <w:r>
              <w:rPr>
                <w:i/>
                <w:snapToGrid w:val="0"/>
                <w:spacing w:val="-2"/>
              </w:rPr>
              <w:t>Gazette</w:t>
            </w:r>
            <w:r>
              <w:rPr>
                <w:snapToGrid w:val="0"/>
                <w:spacing w:val="-2"/>
              </w:rPr>
              <w:t xml:space="preserve"> 1 Nov 2011 p. 4593)</w:t>
            </w:r>
          </w:p>
        </w:tc>
      </w:tr>
      <w:tr>
        <w:trPr>
          <w:cantSplit/>
        </w:trPr>
        <w:tc>
          <w:tcPr>
            <w:tcW w:w="7088" w:type="dxa"/>
            <w:gridSpan w:val="4"/>
            <w:tcBorders>
              <w:bottom w:val="single" w:sz="8" w:space="0" w:color="auto"/>
            </w:tcBorders>
            <w:shd w:val="clear" w:color="auto" w:fill="auto"/>
          </w:tcPr>
          <w:p>
            <w:pPr>
              <w:pStyle w:val="nTable"/>
              <w:spacing w:after="40"/>
              <w:rPr>
                <w:snapToGrid w:val="0"/>
                <w:spacing w:val="-2"/>
              </w:rPr>
            </w:pPr>
            <w:r>
              <w:rPr>
                <w:b/>
              </w:rPr>
              <w:t xml:space="preserve">Reprint 5:  The </w:t>
            </w:r>
            <w:r>
              <w:rPr>
                <w:b/>
                <w:i/>
              </w:rPr>
              <w:t>Parliamentary Superannuation Act 1970</w:t>
            </w:r>
            <w:r>
              <w:rPr>
                <w:b/>
              </w:rPr>
              <w:t xml:space="preserve"> as at 23 Mar 2012 </w:t>
            </w:r>
            <w:r>
              <w:t>(includes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BlankOpen"/>
        <w:rPr>
          <w:snapToGrid w:val="0"/>
        </w:rPr>
      </w:pP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BlankClose"/>
      </w:pP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BlankOpen"/>
        <w:rPr>
          <w:snapToGrid w:val="0"/>
        </w:rPr>
      </w:pP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BlankClose"/>
        <w:rPr>
          <w:snapToGrid w:val="0"/>
        </w:rPr>
      </w:pPr>
    </w:p>
    <w:p>
      <w:pPr>
        <w:pStyle w:val="nSubsection"/>
        <w:keepNext/>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BlankOpen"/>
        <w:rPr>
          <w:snapToGrid w:val="0"/>
        </w:rPr>
      </w:pP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BlankOpen"/>
        <w:rPr>
          <w:snapToGrid w:val="0"/>
        </w:rPr>
      </w:pP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No. 31 of 1989 s. 17(a).]</w:t>
      </w:r>
    </w:p>
    <w:p>
      <w:pPr>
        <w:pStyle w:val="nzHeading5"/>
        <w:spacing w:before="16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No. 31 of 1989 s. 17(b).]</w:t>
      </w:r>
    </w:p>
    <w:p>
      <w:pPr>
        <w:pStyle w:val="nzHeading5"/>
        <w:spacing w:before="16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BlankClose"/>
        <w:rPr>
          <w:snapToGrid w:val="0"/>
        </w:rPr>
      </w:pPr>
    </w:p>
    <w:p>
      <w:pPr>
        <w:pStyle w:val="nSubsection"/>
      </w:pPr>
      <w:r>
        <w:rPr>
          <w:vertAlign w:val="superscript"/>
        </w:rPr>
        <w:t>11</w:t>
      </w:r>
      <w:r>
        <w:tab/>
        <w:t xml:space="preserve">The </w:t>
      </w:r>
      <w:r>
        <w:rPr>
          <w:i/>
        </w:rPr>
        <w:t>Acts Amendment (Parliamentary Superannuation) Act 1989</w:t>
      </w:r>
      <w:r>
        <w:t xml:space="preserve"> s. 16 reads as follows:</w:t>
      </w:r>
    </w:p>
    <w:p>
      <w:pPr>
        <w:pStyle w:val="BlankOpen"/>
        <w:rPr>
          <w:snapToGrid w:val="0"/>
        </w:rPr>
      </w:pP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BlankClose"/>
        <w:rPr>
          <w:snapToGrid w:val="0"/>
        </w:rPr>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actuary</w:t>
      </w:r>
      <w:r>
        <w:tab/>
        <w:t>27(2)</w:t>
      </w:r>
    </w:p>
    <w:p>
      <w:pPr>
        <w:pStyle w:val="DefinedTerms"/>
      </w:pPr>
      <w:r>
        <w:t>basic pension</w:t>
      </w:r>
      <w:r>
        <w:tab/>
        <w:t>13(1)</w:t>
      </w:r>
    </w:p>
    <w:p>
      <w:pPr>
        <w:pStyle w:val="DefinedTerms"/>
      </w:pPr>
      <w:r>
        <w:t>basic salary</w:t>
      </w:r>
      <w:r>
        <w:tab/>
        <w:t>5(1)</w:t>
      </w:r>
    </w:p>
    <w:p>
      <w:pPr>
        <w:pStyle w:val="DefinedTerms"/>
      </w:pPr>
      <w:r>
        <w:t>benefit certificate</w:t>
      </w:r>
      <w:r>
        <w:tab/>
        <w:t>5(1)</w:t>
      </w:r>
    </w:p>
    <w:p>
      <w:pPr>
        <w:pStyle w:val="DefinedTerms"/>
      </w:pPr>
      <w:r>
        <w:t>benefits</w:t>
      </w:r>
      <w:r>
        <w:tab/>
        <w:t>28(1)</w:t>
      </w:r>
    </w:p>
    <w:p>
      <w:pPr>
        <w:pStyle w:val="DefinedTerms"/>
      </w:pPr>
      <w:r>
        <w:t>Board</w:t>
      </w:r>
      <w:r>
        <w:tab/>
        <w:t>5(1)</w:t>
      </w:r>
    </w:p>
    <w:p>
      <w:pPr>
        <w:pStyle w:val="DefinedTerms"/>
      </w:pPr>
      <w:r>
        <w:t>closing day</w:t>
      </w:r>
      <w:r>
        <w:tab/>
        <w:t>5(1)</w:t>
      </w:r>
    </w:p>
    <w:p>
      <w:pPr>
        <w:pStyle w:val="DefinedTerms"/>
      </w:pPr>
      <w:r>
        <w:t>complying superannuation fund</w:t>
      </w:r>
      <w:r>
        <w:tab/>
        <w:t>5(1)</w:t>
      </w:r>
    </w:p>
    <w:p>
      <w:pPr>
        <w:pStyle w:val="DefinedTerms"/>
      </w:pPr>
      <w:r>
        <w:t>election</w:t>
      </w:r>
      <w:r>
        <w:tab/>
        <w:t>5(1)</w:t>
      </w:r>
    </w:p>
    <w:p>
      <w:pPr>
        <w:pStyle w:val="DefinedTerms"/>
      </w:pPr>
      <w:r>
        <w:t>flag lifting agreement</w:t>
      </w:r>
      <w:r>
        <w:tab/>
        <w:t>28(6)</w:t>
      </w:r>
    </w:p>
    <w:p>
      <w:pPr>
        <w:pStyle w:val="DefinedTerms"/>
      </w:pPr>
      <w:r>
        <w:t>Index</w:t>
      </w:r>
      <w:r>
        <w:tab/>
        <w:t>5(1)</w:t>
      </w:r>
    </w:p>
    <w:p>
      <w:pPr>
        <w:pStyle w:val="DefinedTerms"/>
      </w:pPr>
      <w:r>
        <w:t>individual superannuation guarantee shortfall</w:t>
      </w:r>
      <w:r>
        <w:tab/>
        <w:t>5(1)</w:t>
      </w:r>
    </w:p>
    <w:p>
      <w:pPr>
        <w:pStyle w:val="DefinedTerms"/>
      </w:pPr>
      <w:r>
        <w:t>member</w:t>
      </w:r>
      <w:r>
        <w:tab/>
        <w:t>5(1)</w:t>
      </w:r>
    </w:p>
    <w:p>
      <w:pPr>
        <w:pStyle w:val="DefinedTerms"/>
      </w:pPr>
      <w:r>
        <w:t>non</w:t>
      </w:r>
      <w:r>
        <w:noBreakHyphen/>
        <w:t>participant</w:t>
      </w:r>
      <w:r>
        <w:tab/>
        <w:t>29(1)</w:t>
      </w:r>
    </w:p>
    <w:p>
      <w:pPr>
        <w:pStyle w:val="DefinedTerms"/>
      </w:pPr>
      <w:r>
        <w:t>pay day</w:t>
      </w:r>
      <w:r>
        <w:tab/>
        <w:t>5(1)</w:t>
      </w:r>
    </w:p>
    <w:p>
      <w:pPr>
        <w:pStyle w:val="DefinedTerms"/>
      </w:pPr>
      <w:r>
        <w:t>repealed Act</w:t>
      </w:r>
      <w:r>
        <w:tab/>
        <w:t>5(1)</w:t>
      </w:r>
    </w:p>
    <w:p>
      <w:pPr>
        <w:pStyle w:val="DefinedTerms"/>
      </w:pPr>
      <w:r>
        <w:t>salary</w:t>
      </w:r>
      <w:r>
        <w:tab/>
        <w:t>5(1)</w:t>
      </w:r>
    </w:p>
    <w:p>
      <w:pPr>
        <w:pStyle w:val="DefinedTerms"/>
      </w:pPr>
      <w:r>
        <w:t>scheme</w:t>
      </w:r>
      <w:r>
        <w:tab/>
        <w:t>5(1)</w:t>
      </w:r>
    </w:p>
    <w:p>
      <w:pPr>
        <w:pStyle w:val="DefinedTerms"/>
      </w:pPr>
      <w:r>
        <w:t>SG(A) Act</w:t>
      </w:r>
      <w:r>
        <w:tab/>
        <w:t>5(1)</w:t>
      </w:r>
    </w:p>
    <w:p>
      <w:pPr>
        <w:pStyle w:val="DefinedTerms"/>
      </w:pPr>
      <w:r>
        <w:t>specified</w:t>
      </w:r>
      <w:r>
        <w:tab/>
        <w:t>13(1)</w:t>
      </w:r>
    </w:p>
    <w:p>
      <w:pPr>
        <w:pStyle w:val="DefinedTerms"/>
      </w:pPr>
      <w:r>
        <w:t>specified age</w:t>
      </w:r>
      <w:r>
        <w:tab/>
        <w:t>16(2a), 19B(3)</w:t>
      </w:r>
    </w:p>
    <w:p>
      <w:pPr>
        <w:pStyle w:val="DefinedTerms"/>
      </w:pPr>
      <w:r>
        <w:t>splitting order</w:t>
      </w:r>
      <w:r>
        <w:tab/>
        <w:t>28(6)</w:t>
      </w:r>
    </w:p>
    <w:p>
      <w:pPr>
        <w:pStyle w:val="DefinedTerms"/>
      </w:pPr>
      <w:r>
        <w:t>spouse or de facto partner</w:t>
      </w:r>
      <w:r>
        <w:tab/>
        <w:t>5(1)</w:t>
      </w:r>
    </w:p>
    <w:p>
      <w:pPr>
        <w:pStyle w:val="DefinedTerms"/>
      </w:pPr>
      <w:r>
        <w:t>superannuation agreement</w:t>
      </w:r>
      <w:r>
        <w:tab/>
        <w:t>28(6)</w:t>
      </w:r>
    </w:p>
    <w:p>
      <w:pPr>
        <w:pStyle w:val="DefinedTerms"/>
      </w:pPr>
      <w:r>
        <w:t>Tribunal</w:t>
      </w:r>
      <w:r>
        <w:tab/>
        <w:t>5(1)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sz w:val="16"/>
          <w:szCs w:val="16"/>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Superannuation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Superannuation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Superannuation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Parliamentary Superannuation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937"/>
    <w:docVar w:name="WAFER_20140122152924" w:val="RemoveTocBookmarks,RemoveUnusedBookmarks,RemoveLanguageTags,UsedStyles,ResetPageSize,UpdateArrangement"/>
    <w:docVar w:name="WAFER_20140122152924_GUID" w:val="91523cc4-2924-4f83-807b-3ea58c18a96e"/>
    <w:docVar w:name="WAFER_20140122160531" w:val="RemoveTocBookmarks,RunningHeaders"/>
    <w:docVar w:name="WAFER_20140122160531_GUID" w:val="345d2774-4d52-48d5-b049-105e54af6c92"/>
    <w:docVar w:name="WAFER_20150709142906" w:val="ResetPageSize,UpdateArrangement,UpdateNTable"/>
    <w:docVar w:name="WAFER_20150709142906_GUID" w:val="3827faeb-1424-47f4-bb91-44aae57afecb"/>
    <w:docVar w:name="WAFER_20151109111937" w:val="UpdateStyles,UsedStyles"/>
    <w:docVar w:name="WAFER_20151109111937_GUID" w:val="f3411b83-4386-4dc6-9f19-31e51ff633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11714</Words>
  <Characters>54238</Characters>
  <Application>Microsoft Office Word</Application>
  <DocSecurity>0</DocSecurity>
  <Lines>1506</Lines>
  <Paragraphs>716</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65236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1970 - 05-a0-06</dc:title>
  <dc:subject/>
  <dc:creator/>
  <cp:keywords/>
  <dc:description/>
  <cp:lastModifiedBy>svcMRProcess</cp:lastModifiedBy>
  <cp:revision>4</cp:revision>
  <cp:lastPrinted>2012-04-02T04:40:00Z</cp:lastPrinted>
  <dcterms:created xsi:type="dcterms:W3CDTF">2020-02-18T03:57:00Z</dcterms:created>
  <dcterms:modified xsi:type="dcterms:W3CDTF">2020-02-18T03:57:00Z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20120323</vt:lpwstr>
  </property>
  <property fmtid="{D5CDD505-2E9C-101B-9397-08002B2CF9AE}" pid="4" name="DocumentType">
    <vt:lpwstr>Act</vt:lpwstr>
  </property>
  <property fmtid="{D5CDD505-2E9C-101B-9397-08002B2CF9AE}" pid="5" name="OwlsUID">
    <vt:i4>575</vt:i4>
  </property>
  <property fmtid="{D5CDD505-2E9C-101B-9397-08002B2CF9AE}" pid="6" name="ReprintNo">
    <vt:lpwstr>5</vt:lpwstr>
  </property>
  <property fmtid="{D5CDD505-2E9C-101B-9397-08002B2CF9AE}" pid="7" name="ReprintedAsAt">
    <vt:filetime>2012-03-22T16:00:00Z</vt:filetime>
  </property>
  <property fmtid="{D5CDD505-2E9C-101B-9397-08002B2CF9AE}" pid="8" name="AsAtDate">
    <vt:lpwstr>23 Mar 2012</vt:lpwstr>
  </property>
  <property fmtid="{D5CDD505-2E9C-101B-9397-08002B2CF9AE}" pid="9" name="Suffix">
    <vt:lpwstr>05-a0-06</vt:lpwstr>
  </property>
</Properties>
</file>