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and Bank Holidays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and Bank Holidays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_Toc424292106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_Toc424292107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Construction of this Act to be subject to awards, orders, or agreements, made under </w:t>
      </w:r>
      <w:r>
        <w:rPr>
          <w:i/>
          <w:snapToGrid w:val="0"/>
        </w:rPr>
        <w:t>Industrial Relations Act 1979</w:t>
      </w:r>
      <w:r>
        <w:tab/>
      </w:r>
      <w:r>
        <w:fldChar w:fldCharType="begin"/>
      </w:r>
      <w:r>
        <w:instrText xml:space="preserve"> PAGEREF _Toc424292108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Days fixed as public and bank holidays</w:t>
      </w:r>
      <w:r>
        <w:tab/>
      </w:r>
      <w:r>
        <w:fldChar w:fldCharType="begin"/>
      </w:r>
      <w:r>
        <w:instrText xml:space="preserve"> PAGEREF _Toc424292109 \h </w:instrText>
      </w:r>
      <w:r>
        <w:fldChar w:fldCharType="separate"/>
      </w:r>
      <w:r>
        <w:t>1</w:t>
      </w:r>
      <w:r>
        <w:fldChar w:fldCharType="end"/>
      </w:r>
    </w:p>
    <w:p>
      <w:pPr>
        <w:pStyle w:val="TOC8"/>
        <w:rPr>
          <w:rFonts w:asciiTheme="minorHAnsi" w:eastAsiaTheme="minorEastAsia" w:hAnsiTheme="minorHAnsi" w:cstheme="minorBidi"/>
          <w:szCs w:val="22"/>
        </w:rPr>
      </w:pPr>
      <w:r>
        <w:t>6.</w:t>
      </w:r>
      <w:r>
        <w:tab/>
        <w:t>Saturdays to be bank holidays</w:t>
      </w:r>
      <w:r>
        <w:tab/>
      </w:r>
      <w:r>
        <w:fldChar w:fldCharType="begin"/>
      </w:r>
      <w:r>
        <w:instrText xml:space="preserve"> PAGEREF _Toc424292110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Special public or bank holidays and half</w:t>
      </w:r>
      <w:r>
        <w:rPr>
          <w:snapToGrid w:val="0"/>
        </w:rPr>
        <w:noBreakHyphen/>
        <w:t>holidays</w:t>
      </w:r>
      <w:r>
        <w:tab/>
      </w:r>
      <w:r>
        <w:fldChar w:fldCharType="begin"/>
      </w:r>
      <w:r>
        <w:instrText xml:space="preserve"> PAGEREF _Toc424292111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Governor to alter day appointed for a public holiday or bank holiday</w:t>
      </w:r>
      <w:r>
        <w:tab/>
      </w:r>
      <w:r>
        <w:fldChar w:fldCharType="begin"/>
      </w:r>
      <w:r>
        <w:instrText xml:space="preserve"> PAGEREF _Toc424292112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Effect of proclamation under sections 7 and 8 on awards, orders, or agreements under </w:t>
      </w:r>
      <w:r>
        <w:rPr>
          <w:i/>
          <w:snapToGrid w:val="0"/>
        </w:rPr>
        <w:t>Industrial Relations Act 1979</w:t>
      </w:r>
      <w:r>
        <w:tab/>
      </w:r>
      <w:r>
        <w:fldChar w:fldCharType="begin"/>
      </w:r>
      <w:r>
        <w:instrText xml:space="preserve"> PAGEREF _Toc424292113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Banks to be closed on bank holidays</w:t>
      </w:r>
      <w:r>
        <w:tab/>
      </w:r>
      <w:r>
        <w:fldChar w:fldCharType="begin"/>
      </w:r>
      <w:r>
        <w:instrText xml:space="preserve"> PAGEREF _Toc424292114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Public and bank holidays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_Toc424292117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Public and Bank Holidays Act 1972 </w:t>
      </w:r>
    </w:p>
    <w:p>
      <w:pPr>
        <w:pStyle w:val="LongTitle"/>
        <w:spacing w:after="240"/>
        <w:rPr>
          <w:snapToGrid w:val="0"/>
        </w:rPr>
      </w:pPr>
      <w:r>
        <w:rPr>
          <w:snapToGrid w:val="0"/>
        </w:rPr>
        <w:t xml:space="preserve">An Act to rationalise public and bank holidays and for purposes incidental thereto. </w:t>
      </w:r>
    </w:p>
    <w:p>
      <w:pPr>
        <w:pStyle w:val="Heading5"/>
        <w:rPr>
          <w:snapToGrid w:val="0"/>
        </w:rPr>
      </w:pPr>
      <w:bookmarkStart w:id="3" w:name="_Toc378331431"/>
      <w:bookmarkStart w:id="4" w:name="_Toc42429210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pPr>
        <w:pStyle w:val="Heading5"/>
        <w:rPr>
          <w:snapToGrid w:val="0"/>
        </w:rPr>
      </w:pPr>
      <w:bookmarkStart w:id="5" w:name="_Toc378331432"/>
      <w:bookmarkStart w:id="6" w:name="_Toc42429210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pPr>
        <w:pStyle w:val="Heading5"/>
        <w:rPr>
          <w:snapToGrid w:val="0"/>
        </w:rPr>
      </w:pPr>
      <w:bookmarkStart w:id="7" w:name="_Toc378331433"/>
      <w:bookmarkStart w:id="8" w:name="_Toc424292108"/>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7"/>
      <w:bookmarkEnd w:id="8"/>
      <w:r>
        <w:rPr>
          <w:snapToGrid w:val="0"/>
        </w:rPr>
        <w:t xml:space="preserve"> </w:t>
      </w:r>
    </w:p>
    <w:p>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pPr>
        <w:pStyle w:val="Footnotesection"/>
        <w:ind w:left="890" w:hanging="890"/>
      </w:pPr>
      <w:r>
        <w:tab/>
        <w:t>[Section 3 amended: No. 71 of 1987 s. 4; No. 13 of 1993 s. 103; No. 20 of 2002 s. 24; amended: Gazette 15 Aug 2003 p. 3690.]</w:t>
      </w:r>
    </w:p>
    <w:p>
      <w:pPr>
        <w:pStyle w:val="Ednotesection"/>
        <w:keepNext/>
        <w:rPr>
          <w:i w:val="0"/>
        </w:rPr>
      </w:pPr>
      <w:r>
        <w:t>[</w:t>
      </w:r>
      <w:r>
        <w:rPr>
          <w:b/>
        </w:rPr>
        <w:t>4.</w:t>
      </w:r>
      <w:r>
        <w:tab/>
        <w:t>Omitted under the Reprints Act 1984 s. 7(4)(f).]</w:t>
      </w:r>
    </w:p>
    <w:p>
      <w:pPr>
        <w:pStyle w:val="Heading5"/>
        <w:rPr>
          <w:snapToGrid w:val="0"/>
        </w:rPr>
      </w:pPr>
      <w:bookmarkStart w:id="9" w:name="_Toc378331434"/>
      <w:bookmarkStart w:id="10" w:name="_Toc424292109"/>
      <w:r>
        <w:rPr>
          <w:rStyle w:val="CharSectno"/>
        </w:rPr>
        <w:t>5</w:t>
      </w:r>
      <w:r>
        <w:rPr>
          <w:snapToGrid w:val="0"/>
        </w:rPr>
        <w:t>.</w:t>
      </w:r>
      <w:r>
        <w:rPr>
          <w:snapToGrid w:val="0"/>
        </w:rPr>
        <w:tab/>
        <w:t>Days fixed as public and bank holidays</w:t>
      </w:r>
      <w:bookmarkEnd w:id="9"/>
      <w:bookmarkEnd w:id="10"/>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 xml:space="preserve">[Section 5 amended: No. 53 of 1983 s. 2.] </w:t>
      </w:r>
    </w:p>
    <w:p>
      <w:pPr>
        <w:pStyle w:val="Heading5"/>
      </w:pPr>
      <w:bookmarkStart w:id="11" w:name="_Toc378331435"/>
      <w:bookmarkStart w:id="12" w:name="_Toc424292110"/>
      <w:r>
        <w:rPr>
          <w:rStyle w:val="CharSectno"/>
        </w:rPr>
        <w:t>6</w:t>
      </w:r>
      <w:r>
        <w:t>.</w:t>
      </w:r>
      <w:r>
        <w:tab/>
        <w:t>Saturdays to be bank holidays</w:t>
      </w:r>
      <w:bookmarkEnd w:id="11"/>
      <w:bookmarkEnd w:id="12"/>
    </w:p>
    <w:p>
      <w:pPr>
        <w:pStyle w:val="Subsection"/>
      </w:pPr>
      <w:r>
        <w:tab/>
      </w:r>
      <w:r>
        <w:tab/>
        <w:t>Saturday shall be a bank holiday throughout the State.</w:t>
      </w:r>
    </w:p>
    <w:p>
      <w:pPr>
        <w:pStyle w:val="Footnotesection"/>
      </w:pPr>
      <w:r>
        <w:tab/>
        <w:t>[Section 6 inserted: No. 32 of 2004 s. 4.]</w:t>
      </w:r>
    </w:p>
    <w:p>
      <w:pPr>
        <w:pStyle w:val="Heading5"/>
        <w:rPr>
          <w:snapToGrid w:val="0"/>
        </w:rPr>
      </w:pPr>
      <w:bookmarkStart w:id="13" w:name="_Toc378331436"/>
      <w:bookmarkStart w:id="14" w:name="_Toc424292111"/>
      <w:r>
        <w:rPr>
          <w:rStyle w:val="CharSectno"/>
        </w:rPr>
        <w:t>7</w:t>
      </w:r>
      <w:r>
        <w:rPr>
          <w:snapToGrid w:val="0"/>
        </w:rPr>
        <w:t>.</w:t>
      </w:r>
      <w:r>
        <w:rPr>
          <w:snapToGrid w:val="0"/>
        </w:rPr>
        <w:tab/>
        <w:t>Special public or bank holidays and half</w:t>
      </w:r>
      <w:r>
        <w:rPr>
          <w:snapToGrid w:val="0"/>
        </w:rPr>
        <w:noBreakHyphen/>
        <w:t>holidays</w:t>
      </w:r>
      <w:bookmarkEnd w:id="13"/>
      <w:bookmarkEnd w:id="14"/>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15" w:name="_Toc378331437"/>
      <w:bookmarkStart w:id="16" w:name="_Toc424292112"/>
      <w:r>
        <w:rPr>
          <w:rStyle w:val="CharSectno"/>
        </w:rPr>
        <w:t>8</w:t>
      </w:r>
      <w:r>
        <w:rPr>
          <w:snapToGrid w:val="0"/>
        </w:rPr>
        <w:t>.</w:t>
      </w:r>
      <w:r>
        <w:rPr>
          <w:snapToGrid w:val="0"/>
        </w:rPr>
        <w:tab/>
        <w:t>Power of Governor to alter day appointed for a public holiday or bank holiday</w:t>
      </w:r>
      <w:bookmarkEnd w:id="15"/>
      <w:bookmarkEnd w:id="16"/>
      <w:r>
        <w:rPr>
          <w:snapToGrid w:val="0"/>
        </w:rPr>
        <w:t xml:space="preserve"> </w:t>
      </w:r>
    </w:p>
    <w:p>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Footnotesection"/>
        <w:ind w:left="890" w:hanging="890"/>
      </w:pPr>
      <w:r>
        <w:tab/>
        <w:t xml:space="preserve">[Section 8 amended: No. 6 of 1976 s. 2; No. 53 of 1983 s. 3; No. 71 of 1987 s. 5; No. 74 of 2003 s. 96.] </w:t>
      </w:r>
    </w:p>
    <w:p>
      <w:pPr>
        <w:pStyle w:val="Heading5"/>
        <w:rPr>
          <w:snapToGrid w:val="0"/>
        </w:rPr>
      </w:pPr>
      <w:bookmarkStart w:id="17" w:name="_Toc378331438"/>
      <w:bookmarkStart w:id="18" w:name="_Toc424292113"/>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17"/>
      <w:bookmarkEnd w:id="18"/>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 xml:space="preserve">[Section 9 amended: No. 71 of 1987 s. 6.] </w:t>
      </w:r>
    </w:p>
    <w:p>
      <w:pPr>
        <w:pStyle w:val="Heading5"/>
        <w:rPr>
          <w:snapToGrid w:val="0"/>
        </w:rPr>
      </w:pPr>
      <w:bookmarkStart w:id="19" w:name="_Toc378331439"/>
      <w:bookmarkStart w:id="20" w:name="_Toc424292114"/>
      <w:r>
        <w:rPr>
          <w:rStyle w:val="CharSectno"/>
        </w:rPr>
        <w:t>10</w:t>
      </w:r>
      <w:r>
        <w:rPr>
          <w:snapToGrid w:val="0"/>
        </w:rPr>
        <w:t>.</w:t>
      </w:r>
      <w:r>
        <w:rPr>
          <w:snapToGrid w:val="0"/>
        </w:rPr>
        <w:tab/>
        <w:t>Banks to be closed on bank holidays</w:t>
      </w:r>
      <w:bookmarkEnd w:id="19"/>
      <w:bookmarkEnd w:id="20"/>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tab/>
        <w:t>(b)</w:t>
      </w:r>
      <w:r>
        <w:tab/>
        <w:t>is not a bank holiday or public holiday under any other section.</w:t>
      </w:r>
    </w:p>
    <w:p>
      <w:pPr>
        <w:pStyle w:val="Footnotesection"/>
        <w:keepNext/>
      </w:pPr>
      <w:r>
        <w:tab/>
        <w:t>[Section 10 amended: No. 32 of 2004 s. 5.]</w:t>
      </w:r>
    </w:p>
    <w:p>
      <w:pPr>
        <w:pStyle w:val="yEdnoteschedule"/>
      </w:pPr>
      <w:r>
        <w:t>[First Schedule 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1" w:name="_Toc378331440"/>
      <w:bookmarkStart w:id="22" w:name="_Toc424292115"/>
      <w:r>
        <w:rPr>
          <w:rStyle w:val="CharSchNo"/>
        </w:rPr>
        <w:t>Second Schedule</w:t>
      </w:r>
      <w:r>
        <w:t> — </w:t>
      </w:r>
      <w:r>
        <w:rPr>
          <w:rStyle w:val="CharSchText"/>
        </w:rPr>
        <w:t>Public and bank holidays</w:t>
      </w:r>
      <w:bookmarkEnd w:id="21"/>
      <w:bookmarkEnd w:id="22"/>
    </w:p>
    <w:p>
      <w:pPr>
        <w:pStyle w:val="yShoulderClause"/>
        <w:rPr>
          <w:snapToGrid w:val="0"/>
        </w:rPr>
      </w:pPr>
      <w:r>
        <w:rPr>
          <w:snapToGrid w:val="0"/>
        </w:rPr>
        <w:t>[s. 5]</w:t>
      </w:r>
    </w:p>
    <w:p>
      <w:pPr>
        <w:pStyle w:val="yFootnoteheading"/>
      </w:pPr>
      <w:r>
        <w:tab/>
        <w:t>[Heading amended: No. 19 of 2010 s. 4.]</w:t>
      </w:r>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t>Labour Day (Monday on or first Monday following the 1st March).</w:t>
      </w:r>
    </w:p>
    <w:p>
      <w:pPr>
        <w:pStyle w:val="yNumberedItem"/>
      </w:pPr>
      <w:r>
        <w:tab/>
        <w:t>Good Friday.</w:t>
      </w:r>
    </w:p>
    <w:p>
      <w:pPr>
        <w:pStyle w:val="yNumberedItem"/>
      </w:pPr>
      <w:r>
        <w:tab/>
        <w:t>Easter Monday.</w:t>
      </w:r>
    </w:p>
    <w:p>
      <w:pPr>
        <w:pStyle w:val="yNumberedItem"/>
      </w:pPr>
      <w:r>
        <w:tab/>
        <w:t>Anzac Day (25th April).</w:t>
      </w:r>
    </w:p>
    <w:p>
      <w:pPr>
        <w:pStyle w:val="yNumberedItem"/>
      </w:pPr>
      <w:r>
        <w:tab/>
      </w:r>
      <w:r>
        <w:rPr>
          <w:szCs w:val="22"/>
        </w:rPr>
        <w:t>Western Australia Day</w:t>
      </w:r>
      <w:r>
        <w:t xml:space="preserve"> (Monday on or first Monday following the 1</w:t>
      </w:r>
      <w:r>
        <w:rPr>
          <w:vertAlign w:val="superscript"/>
        </w:rPr>
        <w:t>st</w:t>
      </w:r>
      <w:r>
        <w:t> June).</w:t>
      </w:r>
    </w:p>
    <w:p>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 No. 6 of 1976 s. 3; No. 53 of 1983 s. 4; No. 20 of 1992 s. 4; No. 8 of 2009 s. 103; No. 3 of 2012 s. 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 w:name="_Toc378331441"/>
      <w:bookmarkStart w:id="25" w:name="_Toc424292116"/>
      <w:r>
        <w:t>Notes</w:t>
      </w:r>
      <w:bookmarkEnd w:id="24"/>
      <w:bookmarkEnd w:id="25"/>
    </w:p>
    <w:p>
      <w:pPr>
        <w:pStyle w:val="nSubsection"/>
        <w:rPr>
          <w:snapToGrid w:val="0"/>
        </w:rPr>
      </w:pPr>
      <w:r>
        <w:rPr>
          <w:snapToGrid w:val="0"/>
          <w:vertAlign w:val="superscript"/>
        </w:rPr>
        <w:t>1</w:t>
      </w:r>
      <w:r>
        <w:rPr>
          <w:snapToGrid w:val="0"/>
        </w:rPr>
        <w:tab/>
        <w:t xml:space="preserve">This is a compilation of the </w:t>
      </w:r>
      <w:r>
        <w:rPr>
          <w:i/>
          <w:iCs/>
          <w:snapToGrid w:val="0"/>
        </w:rPr>
        <w:t>Public and Bank Holidays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78331442"/>
      <w:bookmarkStart w:id="27" w:name="_Toc424292117"/>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3"/>
        <w:gridCol w:w="2245"/>
        <w:gridCol w:w="1139"/>
        <w:gridCol w:w="1136"/>
        <w:gridCol w:w="52"/>
        <w:gridCol w:w="2503"/>
        <w:gridCol w:w="47"/>
      </w:tblGrid>
      <w:tr>
        <w:trPr>
          <w:gridAfter w:val="1"/>
          <w:wAfter w:w="46" w:type="dxa"/>
          <w:cantSplit/>
          <w:tblHeader/>
        </w:trPr>
        <w:tc>
          <w:tcPr>
            <w:tcW w:w="2274" w:type="dxa"/>
            <w:gridSpan w:val="2"/>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ind w:left="57"/>
              <w:rPr>
                <w:b/>
              </w:rPr>
            </w:pPr>
            <w:r>
              <w:rPr>
                <w:b/>
              </w:rPr>
              <w:t>Number and year</w:t>
            </w:r>
          </w:p>
        </w:tc>
        <w:tc>
          <w:tcPr>
            <w:tcW w:w="1187" w:type="dxa"/>
            <w:gridSpan w:val="2"/>
            <w:tcBorders>
              <w:top w:val="single" w:sz="8" w:space="0" w:color="auto"/>
              <w:bottom w:val="single" w:sz="8" w:space="0" w:color="auto"/>
            </w:tcBorders>
          </w:tcPr>
          <w:p>
            <w:pPr>
              <w:pStyle w:val="nTable"/>
              <w:spacing w:after="40"/>
              <w:ind w:left="57"/>
              <w:rPr>
                <w:b/>
              </w:rPr>
            </w:pPr>
            <w:r>
              <w:rPr>
                <w:b/>
              </w:rPr>
              <w:t>Assent</w:t>
            </w:r>
          </w:p>
        </w:tc>
        <w:tc>
          <w:tcPr>
            <w:tcW w:w="2503" w:type="dxa"/>
            <w:tcBorders>
              <w:top w:val="single" w:sz="8" w:space="0" w:color="auto"/>
              <w:bottom w:val="single" w:sz="8" w:space="0" w:color="auto"/>
            </w:tcBorders>
          </w:tcPr>
          <w:p>
            <w:pPr>
              <w:pStyle w:val="nTable"/>
              <w:spacing w:after="40"/>
              <w:ind w:left="57"/>
              <w:rPr>
                <w:b/>
              </w:rPr>
            </w:pPr>
            <w:r>
              <w:rPr>
                <w:b/>
              </w:rPr>
              <w:t>Commencement</w:t>
            </w:r>
          </w:p>
        </w:tc>
      </w:tr>
      <w:tr>
        <w:trPr>
          <w:gridAfter w:val="1"/>
          <w:wAfter w:w="46" w:type="dxa"/>
          <w:cantSplit/>
        </w:trPr>
        <w:tc>
          <w:tcPr>
            <w:tcW w:w="2274" w:type="dxa"/>
            <w:gridSpan w:val="2"/>
            <w:tcBorders>
              <w:top w:val="single" w:sz="8" w:space="0" w:color="auto"/>
            </w:tcBorders>
          </w:tcPr>
          <w:p>
            <w:pPr>
              <w:pStyle w:val="nTable"/>
              <w:spacing w:after="40"/>
              <w:ind w:right="113"/>
            </w:pPr>
            <w:r>
              <w:rPr>
                <w:i/>
              </w:rPr>
              <w:t>Public and Bank Holidays Act 1972</w:t>
            </w:r>
          </w:p>
        </w:tc>
        <w:tc>
          <w:tcPr>
            <w:tcW w:w="1139" w:type="dxa"/>
            <w:tcBorders>
              <w:top w:val="single" w:sz="8" w:space="0" w:color="auto"/>
            </w:tcBorders>
          </w:tcPr>
          <w:p>
            <w:pPr>
              <w:pStyle w:val="nTable"/>
              <w:spacing w:after="40"/>
              <w:ind w:left="57"/>
            </w:pPr>
            <w:r>
              <w:t>63 of 1972</w:t>
            </w:r>
          </w:p>
        </w:tc>
        <w:tc>
          <w:tcPr>
            <w:tcW w:w="1187" w:type="dxa"/>
            <w:gridSpan w:val="2"/>
            <w:tcBorders>
              <w:top w:val="single" w:sz="8" w:space="0" w:color="auto"/>
            </w:tcBorders>
          </w:tcPr>
          <w:p>
            <w:pPr>
              <w:pStyle w:val="nTable"/>
              <w:spacing w:after="40"/>
              <w:ind w:left="57"/>
            </w:pPr>
            <w:r>
              <w:t>31 Oct 1972</w:t>
            </w:r>
          </w:p>
        </w:tc>
        <w:tc>
          <w:tcPr>
            <w:tcW w:w="2503" w:type="dxa"/>
            <w:tcBorders>
              <w:top w:val="single" w:sz="8" w:space="0" w:color="auto"/>
            </w:tcBorders>
          </w:tcPr>
          <w:p>
            <w:pPr>
              <w:pStyle w:val="nTable"/>
              <w:spacing w:after="40"/>
              <w:ind w:left="57"/>
            </w:pPr>
            <w:r>
              <w:t xml:space="preserve">22 Jun 1973 (see s. 2 and </w:t>
            </w:r>
            <w:r>
              <w:rPr>
                <w:i/>
              </w:rPr>
              <w:t>Gazette</w:t>
            </w:r>
            <w:r>
              <w:t xml:space="preserve"> 22 Jun 1973 p. 2367)</w:t>
            </w:r>
          </w:p>
        </w:tc>
      </w:tr>
      <w:tr>
        <w:trPr>
          <w:gridAfter w:val="1"/>
          <w:wAfter w:w="46" w:type="dxa"/>
          <w:cantSplit/>
        </w:trPr>
        <w:tc>
          <w:tcPr>
            <w:tcW w:w="2274" w:type="dxa"/>
            <w:gridSpan w:val="2"/>
          </w:tcPr>
          <w:p>
            <w:pPr>
              <w:pStyle w:val="nTable"/>
              <w:spacing w:after="40"/>
              <w:ind w:right="113"/>
            </w:pPr>
            <w:r>
              <w:rPr>
                <w:i/>
              </w:rPr>
              <w:t>Public and Bank Holidays Act Amendment Act 1976</w:t>
            </w:r>
          </w:p>
        </w:tc>
        <w:tc>
          <w:tcPr>
            <w:tcW w:w="1139" w:type="dxa"/>
          </w:tcPr>
          <w:p>
            <w:pPr>
              <w:pStyle w:val="nTable"/>
              <w:spacing w:after="40"/>
              <w:ind w:left="57"/>
            </w:pPr>
            <w:r>
              <w:t>6 of 1976</w:t>
            </w:r>
          </w:p>
        </w:tc>
        <w:tc>
          <w:tcPr>
            <w:tcW w:w="1187" w:type="dxa"/>
            <w:gridSpan w:val="2"/>
          </w:tcPr>
          <w:p>
            <w:pPr>
              <w:pStyle w:val="nTable"/>
              <w:spacing w:after="40"/>
              <w:ind w:left="57"/>
            </w:pPr>
            <w:r>
              <w:t>25 May 1976</w:t>
            </w:r>
          </w:p>
        </w:tc>
        <w:tc>
          <w:tcPr>
            <w:tcW w:w="2503" w:type="dxa"/>
          </w:tcPr>
          <w:p>
            <w:pPr>
              <w:pStyle w:val="nTable"/>
              <w:spacing w:after="40"/>
              <w:ind w:left="57"/>
            </w:pPr>
            <w:r>
              <w:t>25 May 1976</w:t>
            </w:r>
          </w:p>
        </w:tc>
      </w:tr>
      <w:tr>
        <w:trPr>
          <w:gridAfter w:val="1"/>
          <w:wAfter w:w="46" w:type="dxa"/>
          <w:cantSplit/>
        </w:trPr>
        <w:tc>
          <w:tcPr>
            <w:tcW w:w="2274" w:type="dxa"/>
            <w:gridSpan w:val="2"/>
          </w:tcPr>
          <w:p>
            <w:pPr>
              <w:pStyle w:val="nTable"/>
              <w:spacing w:after="40"/>
              <w:ind w:right="113"/>
            </w:pPr>
            <w:r>
              <w:rPr>
                <w:i/>
              </w:rPr>
              <w:t>Public and Bank Holidays Amendment Act 1983</w:t>
            </w:r>
          </w:p>
        </w:tc>
        <w:tc>
          <w:tcPr>
            <w:tcW w:w="1139" w:type="dxa"/>
          </w:tcPr>
          <w:p>
            <w:pPr>
              <w:pStyle w:val="nTable"/>
              <w:spacing w:after="40"/>
              <w:ind w:left="57"/>
            </w:pPr>
            <w:r>
              <w:t>53 of 1983</w:t>
            </w:r>
          </w:p>
        </w:tc>
        <w:tc>
          <w:tcPr>
            <w:tcW w:w="1187" w:type="dxa"/>
            <w:gridSpan w:val="2"/>
          </w:tcPr>
          <w:p>
            <w:pPr>
              <w:pStyle w:val="nTable"/>
              <w:spacing w:after="40"/>
              <w:ind w:left="57"/>
            </w:pPr>
            <w:r>
              <w:t>13 Dec 1983</w:t>
            </w:r>
          </w:p>
        </w:tc>
        <w:tc>
          <w:tcPr>
            <w:tcW w:w="2503" w:type="dxa"/>
          </w:tcPr>
          <w:p>
            <w:pPr>
              <w:pStyle w:val="nTable"/>
              <w:spacing w:after="40"/>
              <w:ind w:left="57"/>
            </w:pPr>
            <w:r>
              <w:t>13 Dec 1983</w:t>
            </w:r>
          </w:p>
        </w:tc>
      </w:tr>
      <w:tr>
        <w:trPr>
          <w:gridAfter w:val="1"/>
          <w:wAfter w:w="46" w:type="dxa"/>
          <w:cantSplit/>
        </w:trPr>
        <w:tc>
          <w:tcPr>
            <w:tcW w:w="2274" w:type="dxa"/>
            <w:gridSpan w:val="2"/>
          </w:tcPr>
          <w:p>
            <w:pPr>
              <w:pStyle w:val="nTable"/>
              <w:spacing w:after="40"/>
              <w:ind w:right="113"/>
            </w:pPr>
            <w:r>
              <w:rPr>
                <w:i/>
              </w:rPr>
              <w:t>Public and Bank Holidays Amendment Act 1987</w:t>
            </w:r>
          </w:p>
        </w:tc>
        <w:tc>
          <w:tcPr>
            <w:tcW w:w="1139" w:type="dxa"/>
          </w:tcPr>
          <w:p>
            <w:pPr>
              <w:pStyle w:val="nTable"/>
              <w:spacing w:after="40"/>
              <w:ind w:left="57"/>
            </w:pPr>
            <w:r>
              <w:t>71 of 1987</w:t>
            </w:r>
          </w:p>
        </w:tc>
        <w:tc>
          <w:tcPr>
            <w:tcW w:w="1187" w:type="dxa"/>
            <w:gridSpan w:val="2"/>
          </w:tcPr>
          <w:p>
            <w:pPr>
              <w:pStyle w:val="nTable"/>
              <w:spacing w:after="40"/>
              <w:ind w:left="57"/>
            </w:pPr>
            <w:r>
              <w:t>22 Nov 1987</w:t>
            </w:r>
          </w:p>
        </w:tc>
        <w:tc>
          <w:tcPr>
            <w:tcW w:w="2503" w:type="dxa"/>
          </w:tcPr>
          <w:p>
            <w:pPr>
              <w:pStyle w:val="nTable"/>
              <w:spacing w:after="40"/>
              <w:ind w:left="57"/>
            </w:pPr>
            <w:r>
              <w:t>22 Nov 1987 (see s. 2)</w:t>
            </w:r>
          </w:p>
        </w:tc>
      </w:tr>
      <w:tr>
        <w:trPr>
          <w:gridAfter w:val="1"/>
          <w:wAfter w:w="46" w:type="dxa"/>
          <w:cantSplit/>
        </w:trPr>
        <w:tc>
          <w:tcPr>
            <w:tcW w:w="2274" w:type="dxa"/>
            <w:gridSpan w:val="2"/>
          </w:tcPr>
          <w:p>
            <w:pPr>
              <w:pStyle w:val="nTable"/>
              <w:spacing w:after="40"/>
              <w:ind w:right="113"/>
            </w:pPr>
            <w:r>
              <w:rPr>
                <w:i/>
              </w:rPr>
              <w:t>Public and Bank Holidays Amendment Act 1992</w:t>
            </w:r>
          </w:p>
        </w:tc>
        <w:tc>
          <w:tcPr>
            <w:tcW w:w="1139" w:type="dxa"/>
          </w:tcPr>
          <w:p>
            <w:pPr>
              <w:pStyle w:val="nTable"/>
              <w:spacing w:after="40"/>
              <w:ind w:left="57"/>
            </w:pPr>
            <w:r>
              <w:t>20 of 1992</w:t>
            </w:r>
          </w:p>
        </w:tc>
        <w:tc>
          <w:tcPr>
            <w:tcW w:w="1187" w:type="dxa"/>
            <w:gridSpan w:val="2"/>
          </w:tcPr>
          <w:p>
            <w:pPr>
              <w:pStyle w:val="nTable"/>
              <w:spacing w:after="40"/>
              <w:ind w:left="57"/>
            </w:pPr>
            <w:r>
              <w:t>17 Jun 1992</w:t>
            </w:r>
          </w:p>
        </w:tc>
        <w:tc>
          <w:tcPr>
            <w:tcW w:w="2503" w:type="dxa"/>
          </w:tcPr>
          <w:p>
            <w:pPr>
              <w:pStyle w:val="nTable"/>
              <w:spacing w:after="40"/>
              <w:ind w:left="57"/>
            </w:pPr>
            <w:r>
              <w:t>1 Jan 1994 (see s. 2)</w:t>
            </w:r>
          </w:p>
        </w:tc>
      </w:tr>
      <w:tr>
        <w:trPr>
          <w:gridAfter w:val="1"/>
          <w:wAfter w:w="46" w:type="dxa"/>
          <w:cantSplit/>
        </w:trPr>
        <w:tc>
          <w:tcPr>
            <w:tcW w:w="2274" w:type="dxa"/>
            <w:gridSpan w:val="2"/>
          </w:tcPr>
          <w:p>
            <w:pPr>
              <w:pStyle w:val="nTable"/>
              <w:spacing w:after="40"/>
              <w:ind w:right="113"/>
            </w:pPr>
            <w:r>
              <w:rPr>
                <w:i/>
              </w:rPr>
              <w:t xml:space="preserve">Workplace Agreements Act 1993 </w:t>
            </w:r>
            <w:r>
              <w:t>s. 103</w:t>
            </w:r>
          </w:p>
        </w:tc>
        <w:tc>
          <w:tcPr>
            <w:tcW w:w="1139" w:type="dxa"/>
          </w:tcPr>
          <w:p>
            <w:pPr>
              <w:pStyle w:val="nTable"/>
              <w:spacing w:after="40"/>
              <w:ind w:left="57"/>
            </w:pPr>
            <w:r>
              <w:t>13 of 1993</w:t>
            </w:r>
          </w:p>
        </w:tc>
        <w:tc>
          <w:tcPr>
            <w:tcW w:w="1187" w:type="dxa"/>
            <w:gridSpan w:val="2"/>
          </w:tcPr>
          <w:p>
            <w:pPr>
              <w:pStyle w:val="nTable"/>
              <w:spacing w:after="40"/>
              <w:ind w:left="57"/>
            </w:pPr>
            <w:r>
              <w:t>23 Nov 1993</w:t>
            </w:r>
          </w:p>
        </w:tc>
        <w:tc>
          <w:tcPr>
            <w:tcW w:w="2503" w:type="dxa"/>
          </w:tcPr>
          <w:p>
            <w:pPr>
              <w:pStyle w:val="nTable"/>
              <w:spacing w:after="40"/>
              <w:ind w:left="57"/>
            </w:pPr>
            <w:r>
              <w:t xml:space="preserve">1 Dec 1993 (see s. 2 and </w:t>
            </w:r>
            <w:r>
              <w:rPr>
                <w:i/>
              </w:rPr>
              <w:t>Gazette</w:t>
            </w:r>
            <w:r>
              <w:t xml:space="preserve"> 30 Nov 1993 p. 6439)</w:t>
            </w:r>
          </w:p>
        </w:tc>
      </w:tr>
      <w:tr>
        <w:trPr>
          <w:gridAfter w:val="1"/>
          <w:wAfter w:w="46" w:type="dxa"/>
          <w:cantSplit/>
        </w:trPr>
        <w:tc>
          <w:tcPr>
            <w:tcW w:w="7103" w:type="dxa"/>
            <w:gridSpan w:val="6"/>
          </w:tcPr>
          <w:p>
            <w:pPr>
              <w:pStyle w:val="nTable"/>
              <w:spacing w:after="40"/>
              <w:ind w:left="57"/>
            </w:pPr>
            <w:r>
              <w:rPr>
                <w:b/>
              </w:rPr>
              <w:t xml:space="preserve">Reprint of the </w:t>
            </w:r>
            <w:r>
              <w:rPr>
                <w:b/>
                <w:i/>
              </w:rPr>
              <w:t>Public and Bank Holidays Act 1972</w:t>
            </w:r>
            <w:r>
              <w:rPr>
                <w:b/>
              </w:rPr>
              <w:t xml:space="preserve"> as at 4 Jan 2002 </w:t>
            </w:r>
            <w:r>
              <w:t>(includes amendments listed above)</w:t>
            </w:r>
          </w:p>
        </w:tc>
      </w:tr>
      <w:tr>
        <w:trPr>
          <w:gridAfter w:val="1"/>
          <w:wAfter w:w="46" w:type="dxa"/>
          <w:cantSplit/>
        </w:trPr>
        <w:tc>
          <w:tcPr>
            <w:tcW w:w="2274" w:type="dxa"/>
            <w:gridSpan w:val="2"/>
          </w:tcPr>
          <w:p>
            <w:pPr>
              <w:pStyle w:val="nTable"/>
              <w:spacing w:after="40"/>
              <w:ind w:right="113"/>
            </w:pPr>
            <w:r>
              <w:rPr>
                <w:i/>
              </w:rPr>
              <w:t>Labour Relations Reform Act 2002</w:t>
            </w:r>
            <w:r>
              <w:t xml:space="preserve"> s. 24</w:t>
            </w:r>
          </w:p>
        </w:tc>
        <w:tc>
          <w:tcPr>
            <w:tcW w:w="1139" w:type="dxa"/>
          </w:tcPr>
          <w:p>
            <w:pPr>
              <w:pStyle w:val="nTable"/>
              <w:spacing w:after="40"/>
              <w:ind w:left="57"/>
            </w:pPr>
            <w:r>
              <w:t>20 of 2002</w:t>
            </w:r>
          </w:p>
        </w:tc>
        <w:tc>
          <w:tcPr>
            <w:tcW w:w="1187" w:type="dxa"/>
            <w:gridSpan w:val="2"/>
          </w:tcPr>
          <w:p>
            <w:pPr>
              <w:pStyle w:val="nTable"/>
              <w:spacing w:after="40"/>
              <w:ind w:left="57"/>
            </w:pPr>
            <w:r>
              <w:t>8 Jul 2002</w:t>
            </w:r>
          </w:p>
        </w:tc>
        <w:tc>
          <w:tcPr>
            <w:tcW w:w="2503" w:type="dxa"/>
          </w:tcPr>
          <w:p>
            <w:pPr>
              <w:pStyle w:val="nTable"/>
              <w:spacing w:after="40"/>
              <w:ind w:left="57"/>
              <w:rPr>
                <w:caps/>
              </w:rPr>
            </w:pPr>
            <w:r>
              <w:t xml:space="preserve">15 Sep 2002 (see s. 2(1) and </w:t>
            </w:r>
            <w:r>
              <w:rPr>
                <w:i/>
              </w:rPr>
              <w:t>Gazette</w:t>
            </w:r>
            <w:r>
              <w:t xml:space="preserve"> 6 Sep 2002 p. 4487)</w:t>
            </w:r>
          </w:p>
        </w:tc>
      </w:tr>
      <w:tr>
        <w:trPr>
          <w:gridBefore w:val="1"/>
          <w:wBefore w:w="33" w:type="dxa"/>
          <w:cantSplit/>
        </w:trPr>
        <w:tc>
          <w:tcPr>
            <w:tcW w:w="4572" w:type="dxa"/>
            <w:gridSpan w:val="4"/>
          </w:tcPr>
          <w:p>
            <w:pPr>
              <w:pStyle w:val="nTable"/>
              <w:spacing w:after="40"/>
            </w:pPr>
            <w:r>
              <w:rPr>
                <w:i/>
                <w:spacing w:val="-2"/>
              </w:rPr>
              <w:t>Labour Relations Reform (Consequential Amendments) Regulations 2003</w:t>
            </w:r>
            <w:r>
              <w:rPr>
                <w:spacing w:val="-2"/>
              </w:rPr>
              <w:t xml:space="preserve"> r. 13 published in </w:t>
            </w:r>
            <w:r>
              <w:rPr>
                <w:i/>
                <w:spacing w:val="-2"/>
              </w:rPr>
              <w:t>Gazette</w:t>
            </w:r>
            <w:r>
              <w:rPr>
                <w:spacing w:val="-2"/>
              </w:rPr>
              <w:t xml:space="preserve"> </w:t>
            </w:r>
            <w:r>
              <w:t>15 Aug 2003 p. 3685</w:t>
            </w:r>
            <w:r>
              <w:noBreakHyphen/>
              <w:t>92</w:t>
            </w:r>
          </w:p>
        </w:tc>
        <w:tc>
          <w:tcPr>
            <w:tcW w:w="2549" w:type="dxa"/>
            <w:gridSpan w:val="2"/>
          </w:tcPr>
          <w:p>
            <w:pPr>
              <w:pStyle w:val="nTable"/>
              <w:spacing w:after="40"/>
            </w:pPr>
            <w:r>
              <w:rPr>
                <w:spacing w:val="-2"/>
              </w:rPr>
              <w:t>15 Sep 2003 (see r. 2)</w:t>
            </w:r>
          </w:p>
        </w:tc>
      </w:tr>
      <w:tr>
        <w:trPr>
          <w:gridAfter w:val="1"/>
          <w:wAfter w:w="46" w:type="dxa"/>
          <w:cantSplit/>
        </w:trPr>
        <w:tc>
          <w:tcPr>
            <w:tcW w:w="2274" w:type="dxa"/>
            <w:gridSpan w:val="2"/>
          </w:tcPr>
          <w:p>
            <w:pPr>
              <w:pStyle w:val="nTable"/>
              <w:spacing w:after="40"/>
              <w:ind w:right="113"/>
            </w:pPr>
            <w:r>
              <w:rPr>
                <w:i/>
              </w:rPr>
              <w:t>Statutes (Repeals and Minor Amendments) Act 2003</w:t>
            </w:r>
            <w:r>
              <w:t xml:space="preserve"> s. 96</w:t>
            </w:r>
          </w:p>
        </w:tc>
        <w:tc>
          <w:tcPr>
            <w:tcW w:w="1139" w:type="dxa"/>
          </w:tcPr>
          <w:p>
            <w:pPr>
              <w:pStyle w:val="nTable"/>
              <w:spacing w:after="40"/>
              <w:ind w:left="57"/>
            </w:pPr>
            <w:r>
              <w:t>74 of 2003</w:t>
            </w:r>
          </w:p>
        </w:tc>
        <w:tc>
          <w:tcPr>
            <w:tcW w:w="1187" w:type="dxa"/>
            <w:gridSpan w:val="2"/>
          </w:tcPr>
          <w:p>
            <w:pPr>
              <w:pStyle w:val="nTable"/>
              <w:spacing w:after="40"/>
              <w:ind w:left="57"/>
            </w:pPr>
            <w:r>
              <w:t>15 Dec 2003</w:t>
            </w:r>
          </w:p>
        </w:tc>
        <w:tc>
          <w:tcPr>
            <w:tcW w:w="2503" w:type="dxa"/>
          </w:tcPr>
          <w:p>
            <w:pPr>
              <w:pStyle w:val="nTable"/>
              <w:spacing w:after="40"/>
              <w:ind w:left="57"/>
              <w:rPr>
                <w:caps/>
              </w:rPr>
            </w:pPr>
            <w:r>
              <w:rPr>
                <w:spacing w:val="-2"/>
              </w:rPr>
              <w:t>15 Dec 2003 (see s. 2)</w:t>
            </w:r>
          </w:p>
        </w:tc>
      </w:tr>
      <w:tr>
        <w:trPr>
          <w:gridAfter w:val="1"/>
          <w:wAfter w:w="46" w:type="dxa"/>
          <w:cantSplit/>
        </w:trPr>
        <w:tc>
          <w:tcPr>
            <w:tcW w:w="2274" w:type="dxa"/>
            <w:gridSpan w:val="2"/>
          </w:tcPr>
          <w:p>
            <w:pPr>
              <w:pStyle w:val="nTable"/>
              <w:spacing w:after="40"/>
              <w:ind w:right="113"/>
              <w:rPr>
                <w:i/>
              </w:rPr>
            </w:pPr>
            <w:r>
              <w:rPr>
                <w:i/>
              </w:rPr>
              <w:t>Public and Bank Holidays Amendment Act 2004</w:t>
            </w:r>
          </w:p>
        </w:tc>
        <w:tc>
          <w:tcPr>
            <w:tcW w:w="1139" w:type="dxa"/>
          </w:tcPr>
          <w:p>
            <w:pPr>
              <w:pStyle w:val="nTable"/>
              <w:spacing w:after="40"/>
              <w:ind w:left="57"/>
            </w:pPr>
            <w:r>
              <w:t>32 of 2004</w:t>
            </w:r>
          </w:p>
        </w:tc>
        <w:tc>
          <w:tcPr>
            <w:tcW w:w="1187" w:type="dxa"/>
            <w:gridSpan w:val="2"/>
          </w:tcPr>
          <w:p>
            <w:pPr>
              <w:pStyle w:val="nTable"/>
              <w:spacing w:after="40"/>
              <w:ind w:left="57"/>
            </w:pPr>
            <w:r>
              <w:t>14 Oct 2004</w:t>
            </w:r>
          </w:p>
        </w:tc>
        <w:tc>
          <w:tcPr>
            <w:tcW w:w="2503" w:type="dxa"/>
          </w:tcPr>
          <w:p>
            <w:pPr>
              <w:pStyle w:val="nTable"/>
              <w:spacing w:after="40"/>
              <w:ind w:left="57"/>
              <w:rPr>
                <w:spacing w:val="-2"/>
              </w:rPr>
            </w:pPr>
            <w:r>
              <w:rPr>
                <w:spacing w:val="-2"/>
              </w:rPr>
              <w:t>14 Oct 2004 (see s. 2)</w:t>
            </w:r>
          </w:p>
        </w:tc>
      </w:tr>
      <w:tr>
        <w:trPr>
          <w:gridAfter w:val="1"/>
          <w:wAfter w:w="46" w:type="dxa"/>
          <w:cantSplit/>
        </w:trPr>
        <w:tc>
          <w:tcPr>
            <w:tcW w:w="7103" w:type="dxa"/>
            <w:gridSpan w:val="6"/>
          </w:tcPr>
          <w:p>
            <w:pPr>
              <w:pStyle w:val="nTable"/>
              <w:spacing w:after="40"/>
              <w:ind w:left="-28"/>
              <w:rPr>
                <w:spacing w:val="-2"/>
              </w:rPr>
            </w:pPr>
            <w:r>
              <w:rPr>
                <w:b/>
              </w:rPr>
              <w:t xml:space="preserve">Reprint 2:  The </w:t>
            </w:r>
            <w:r>
              <w:rPr>
                <w:b/>
                <w:i/>
              </w:rPr>
              <w:t>Public and Bank Holidays Act 1972</w:t>
            </w:r>
            <w:r>
              <w:rPr>
                <w:b/>
              </w:rPr>
              <w:t xml:space="preserve"> as at 18 Apr 2008 </w:t>
            </w:r>
            <w:r>
              <w:t>(includes amendments listed above)</w:t>
            </w:r>
          </w:p>
        </w:tc>
      </w:tr>
      <w:tr>
        <w:trPr>
          <w:gridAfter w:val="1"/>
          <w:wAfter w:w="46" w:type="dxa"/>
          <w:cantSplit/>
        </w:trPr>
        <w:tc>
          <w:tcPr>
            <w:tcW w:w="2274" w:type="dxa"/>
            <w:gridSpan w:val="2"/>
          </w:tcPr>
          <w:p>
            <w:pPr>
              <w:pStyle w:val="nTable"/>
              <w:spacing w:after="40"/>
              <w:ind w:right="113"/>
              <w:rPr>
                <w:iCs/>
              </w:rPr>
            </w:pPr>
            <w:r>
              <w:rPr>
                <w:i/>
              </w:rPr>
              <w:t>Statutes (Repeals and Miscellaneous Amendments) Act 2009</w:t>
            </w:r>
            <w:r>
              <w:rPr>
                <w:iCs/>
              </w:rPr>
              <w:t xml:space="preserve"> s. 103</w:t>
            </w:r>
          </w:p>
        </w:tc>
        <w:tc>
          <w:tcPr>
            <w:tcW w:w="1139" w:type="dxa"/>
          </w:tcPr>
          <w:p>
            <w:pPr>
              <w:pStyle w:val="nTable"/>
              <w:spacing w:after="40"/>
            </w:pPr>
            <w:r>
              <w:t xml:space="preserve">8 of 2009 </w:t>
            </w:r>
          </w:p>
        </w:tc>
        <w:tc>
          <w:tcPr>
            <w:tcW w:w="1136" w:type="dxa"/>
          </w:tcPr>
          <w:p>
            <w:pPr>
              <w:pStyle w:val="nTable"/>
              <w:spacing w:after="40"/>
            </w:pPr>
            <w:r>
              <w:t>21 May 2009</w:t>
            </w:r>
          </w:p>
        </w:tc>
        <w:tc>
          <w:tcPr>
            <w:tcW w:w="2554" w:type="dxa"/>
            <w:gridSpan w:val="2"/>
          </w:tcPr>
          <w:p>
            <w:pPr>
              <w:pStyle w:val="nTable"/>
              <w:spacing w:after="40"/>
            </w:pPr>
            <w:r>
              <w:t>22 May 2009 (see s. 2(b))</w:t>
            </w:r>
          </w:p>
        </w:tc>
      </w:tr>
      <w:tr>
        <w:trPr>
          <w:gridAfter w:val="1"/>
          <w:wAfter w:w="47" w:type="dxa"/>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7" w:type="dxa"/>
          <w:cantSplit/>
        </w:trPr>
        <w:tc>
          <w:tcPr>
            <w:tcW w:w="2278" w:type="dxa"/>
            <w:gridSpan w:val="2"/>
            <w:tcBorders>
              <w:bottom w:val="single" w:sz="4" w:space="0" w:color="auto"/>
            </w:tcBorders>
          </w:tcPr>
          <w:p>
            <w:pPr>
              <w:pStyle w:val="nTable"/>
              <w:spacing w:after="40"/>
              <w:ind w:right="113"/>
              <w:rPr>
                <w:snapToGrid w:val="0"/>
              </w:rPr>
            </w:pPr>
            <w:smartTag w:uri="urn:schemas-microsoft-com:office:smarttags" w:element="State">
              <w:smartTag w:uri="urn:schemas-microsoft-com:office:smarttags" w:element="place">
                <w:r>
                  <w:rPr>
                    <w:i/>
                    <w:snapToGrid w:val="0"/>
                    <w:szCs w:val="19"/>
                  </w:rPr>
                  <w:t>Western Australia</w:t>
                </w:r>
              </w:smartTag>
            </w:smartTag>
            <w:r>
              <w:rPr>
                <w:i/>
                <w:snapToGrid w:val="0"/>
              </w:rPr>
              <w:t xml:space="preserve"> Day (Renaming) Act 2012</w:t>
            </w:r>
            <w:r>
              <w:rPr>
                <w:snapToGrid w:val="0"/>
              </w:rPr>
              <w:t xml:space="preserve"> Pt. 2 Div. 1</w:t>
            </w:r>
          </w:p>
        </w:tc>
        <w:tc>
          <w:tcPr>
            <w:tcW w:w="1139" w:type="dxa"/>
            <w:tcBorders>
              <w:bottom w:val="single" w:sz="4" w:space="0" w:color="auto"/>
            </w:tcBorders>
          </w:tcPr>
          <w:p>
            <w:pPr>
              <w:pStyle w:val="nTable"/>
              <w:spacing w:after="40"/>
              <w:rPr>
                <w:snapToGrid w:val="0"/>
              </w:rPr>
            </w:pPr>
            <w:r>
              <w:rPr>
                <w:snapToGrid w:val="0"/>
              </w:rPr>
              <w:t>3 of 2012</w:t>
            </w:r>
          </w:p>
        </w:tc>
        <w:tc>
          <w:tcPr>
            <w:tcW w:w="1136" w:type="dxa"/>
            <w:tcBorders>
              <w:bottom w:val="single" w:sz="4" w:space="0" w:color="auto"/>
            </w:tcBorders>
          </w:tcPr>
          <w:p>
            <w:pPr>
              <w:pStyle w:val="nTable"/>
              <w:spacing w:after="40"/>
              <w:rPr>
                <w:snapToGrid w:val="0"/>
              </w:rPr>
            </w:pPr>
            <w:r>
              <w:rPr>
                <w:snapToGrid w:val="0"/>
              </w:rPr>
              <w:t>10 Apr 2012</w:t>
            </w:r>
          </w:p>
        </w:tc>
        <w:tc>
          <w:tcPr>
            <w:tcW w:w="2554" w:type="dxa"/>
            <w:gridSpan w:val="2"/>
            <w:tcBorders>
              <w:bottom w:val="single" w:sz="4" w:space="0" w:color="auto"/>
            </w:tcBorders>
          </w:tcPr>
          <w:p>
            <w:pPr>
              <w:pStyle w:val="nTable"/>
              <w:spacing w:after="40"/>
              <w:rPr>
                <w:snapToGrid w:val="0"/>
              </w:rPr>
            </w:pPr>
            <w:r>
              <w:rPr>
                <w:snapToGrid w:val="0"/>
              </w:rPr>
              <w:t>11 Apr 2012 (see s. 2(b))</w:t>
            </w:r>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33445F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42"/>
    <w:docVar w:name="WAFER_20140124121134" w:val="RemoveTocBookmarks,RemoveUnusedBookmarks,RemoveLanguageTags,UsedStyles,ResetPageSize,UpdateArrangement"/>
    <w:docVar w:name="WAFER_20140124121134_GUID" w:val="68a3a76a-bc4b-4a82-9608-196913ce1537"/>
    <w:docVar w:name="WAFER_20140124124618" w:val="RemoveTocBookmarks,RunningHeaders"/>
    <w:docVar w:name="WAFER_20140124124618_GUID" w:val="45a4c212-e955-430c-98a6-f6c505ec8af7"/>
    <w:docVar w:name="WAFER_20150710113818" w:val="ResetPageSize,UpdateArrangement,UpdateNTable"/>
    <w:docVar w:name="WAFER_20150710113818_GUID" w:val="06e18f9c-a751-4b01-92d5-a61021dec11c"/>
    <w:docVar w:name="WAFER_20151109113042" w:val="UpdateStyles,UsedStyles"/>
    <w:docVar w:name="WAFER_20151109113042_GUID" w:val="4ebf7650-cf21-4733-8429-9bb098772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1573</Words>
  <Characters>7032</Characters>
  <Application>Microsoft Office Word</Application>
  <DocSecurity>0</DocSecurity>
  <Lines>251</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1972 - 02-e0-06</dc:title>
  <dc:subject/>
  <dc:creator/>
  <cp:keywords/>
  <dc:description/>
  <cp:lastModifiedBy>svcMRProcess</cp:lastModifiedBy>
  <cp:revision>4</cp:revision>
  <cp:lastPrinted>2008-04-29T02:43:00Z</cp:lastPrinted>
  <dcterms:created xsi:type="dcterms:W3CDTF">2019-01-23T03:48:00Z</dcterms:created>
  <dcterms:modified xsi:type="dcterms:W3CDTF">2019-01-23T03:48:00Z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20120411</vt:lpwstr>
  </property>
  <property fmtid="{D5CDD505-2E9C-101B-9397-08002B2CF9AE}" pid="4" name="DocumentType">
    <vt:lpwstr>Act</vt:lpwstr>
  </property>
  <property fmtid="{D5CDD505-2E9C-101B-9397-08002B2CF9AE}" pid="5" name="OwlsUID">
    <vt:i4>639</vt:i4>
  </property>
  <property fmtid="{D5CDD505-2E9C-101B-9397-08002B2CF9AE}" pid="6" name="ReprintNo">
    <vt:lpwstr>2</vt:lpwstr>
  </property>
  <property fmtid="{D5CDD505-2E9C-101B-9397-08002B2CF9AE}" pid="7" name="AsAtDate">
    <vt:lpwstr>11 Apr 2012</vt:lpwstr>
  </property>
  <property fmtid="{D5CDD505-2E9C-101B-9397-08002B2CF9AE}" pid="8" name="Suffix">
    <vt:lpwstr>02-e0-06</vt:lpwstr>
  </property>
</Properties>
</file>