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School Curriculum and Standards Authority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27 April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School Curriculum and Standards Authority Act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_Toc323713162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_Toc323713163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_Toc323713164 \h </w:instrText>
      </w:r>
      <w:r>
        <w:fldChar w:fldCharType="separate"/>
      </w:r>
      <w:r>
        <w:t>2</w:t>
      </w:r>
      <w:r>
        <w:fldChar w:fldCharType="end"/>
      </w:r>
    </w:p>
    <w:p>
      <w:pPr>
        <w:pStyle w:val="TOC8"/>
        <w:rPr>
          <w:sz w:val="24"/>
          <w:szCs w:val="24"/>
          <w:lang w:val="en-US"/>
        </w:rPr>
      </w:pPr>
      <w:r>
        <w:t>4.</w:t>
      </w:r>
      <w:r>
        <w:tab/>
        <w:t>Objects of Act</w:t>
      </w:r>
      <w:r>
        <w:tab/>
      </w:r>
      <w:r>
        <w:fldChar w:fldCharType="begin"/>
      </w:r>
      <w:r>
        <w:instrText xml:space="preserve"> PAGEREF _Toc323713165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The School Curriculum and Standards Authority and committees</w:t>
      </w:r>
    </w:p>
    <w:p>
      <w:pPr>
        <w:pStyle w:val="TOC4"/>
        <w:tabs>
          <w:tab w:val="right" w:leader="dot" w:pos="7086"/>
        </w:tabs>
        <w:rPr>
          <w:b w:val="0"/>
          <w:sz w:val="24"/>
          <w:szCs w:val="24"/>
          <w:lang w:val="en-US"/>
        </w:rPr>
      </w:pPr>
      <w:r>
        <w:t>Division 1 — School Curriculum and Standards Authority</w:t>
      </w:r>
    </w:p>
    <w:p>
      <w:pPr>
        <w:pStyle w:val="TOC8"/>
        <w:rPr>
          <w:sz w:val="24"/>
          <w:szCs w:val="24"/>
          <w:lang w:val="en-US"/>
        </w:rPr>
      </w:pPr>
      <w:r>
        <w:t>5.</w:t>
      </w:r>
      <w:r>
        <w:tab/>
        <w:t>Authority established; status etc. of Authority</w:t>
      </w:r>
      <w:r>
        <w:tab/>
      </w:r>
      <w:r>
        <w:fldChar w:fldCharType="begin"/>
      </w:r>
      <w:r>
        <w:instrText xml:space="preserve"> PAGEREF _Toc323713168 \h </w:instrText>
      </w:r>
      <w:r>
        <w:fldChar w:fldCharType="separate"/>
      </w:r>
      <w:r>
        <w:t>6</w:t>
      </w:r>
      <w:r>
        <w:fldChar w:fldCharType="end"/>
      </w:r>
    </w:p>
    <w:p>
      <w:pPr>
        <w:pStyle w:val="TOC8"/>
        <w:rPr>
          <w:sz w:val="24"/>
          <w:szCs w:val="24"/>
          <w:lang w:val="en-US"/>
        </w:rPr>
      </w:pPr>
      <w:r>
        <w:t>6.</w:t>
      </w:r>
      <w:r>
        <w:tab/>
        <w:t>Board of Authority</w:t>
      </w:r>
      <w:r>
        <w:tab/>
      </w:r>
      <w:r>
        <w:fldChar w:fldCharType="begin"/>
      </w:r>
      <w:r>
        <w:instrText xml:space="preserve"> PAGEREF _Toc323713169 \h </w:instrText>
      </w:r>
      <w:r>
        <w:fldChar w:fldCharType="separate"/>
      </w:r>
      <w:r>
        <w:t>6</w:t>
      </w:r>
      <w:r>
        <w:fldChar w:fldCharType="end"/>
      </w:r>
    </w:p>
    <w:p>
      <w:pPr>
        <w:pStyle w:val="TOC8"/>
        <w:rPr>
          <w:sz w:val="24"/>
          <w:szCs w:val="24"/>
          <w:lang w:val="en-US"/>
        </w:rPr>
      </w:pPr>
      <w:r>
        <w:t>7A.</w:t>
      </w:r>
      <w:r>
        <w:tab/>
        <w:t>Board, members of</w:t>
      </w:r>
      <w:r>
        <w:tab/>
      </w:r>
      <w:r>
        <w:fldChar w:fldCharType="begin"/>
      </w:r>
      <w:r>
        <w:instrText xml:space="preserve"> PAGEREF _Toc323713170 \h </w:instrText>
      </w:r>
      <w:r>
        <w:fldChar w:fldCharType="separate"/>
      </w:r>
      <w:r>
        <w:t>6</w:t>
      </w:r>
      <w:r>
        <w:fldChar w:fldCharType="end"/>
      </w:r>
    </w:p>
    <w:p>
      <w:pPr>
        <w:pStyle w:val="TOC4"/>
        <w:tabs>
          <w:tab w:val="right" w:leader="dot" w:pos="7086"/>
        </w:tabs>
        <w:rPr>
          <w:b w:val="0"/>
          <w:sz w:val="24"/>
          <w:szCs w:val="24"/>
          <w:lang w:val="en-US"/>
        </w:rPr>
      </w:pPr>
      <w:r>
        <w:t>Division 2 — Committees</w:t>
      </w:r>
    </w:p>
    <w:p>
      <w:pPr>
        <w:pStyle w:val="TOC8"/>
        <w:rPr>
          <w:sz w:val="24"/>
          <w:szCs w:val="24"/>
          <w:lang w:val="en-US"/>
        </w:rPr>
      </w:pPr>
      <w:r>
        <w:t>7B.</w:t>
      </w:r>
      <w:r>
        <w:tab/>
        <w:t>Standards Committee established; members of</w:t>
      </w:r>
      <w:r>
        <w:tab/>
      </w:r>
      <w:r>
        <w:fldChar w:fldCharType="begin"/>
      </w:r>
      <w:r>
        <w:instrText xml:space="preserve"> PAGEREF _Toc323713172 \h </w:instrText>
      </w:r>
      <w:r>
        <w:fldChar w:fldCharType="separate"/>
      </w:r>
      <w:r>
        <w:t>7</w:t>
      </w:r>
      <w:r>
        <w:fldChar w:fldCharType="end"/>
      </w:r>
    </w:p>
    <w:p>
      <w:pPr>
        <w:pStyle w:val="TOC8"/>
        <w:rPr>
          <w:sz w:val="24"/>
          <w:szCs w:val="24"/>
          <w:lang w:val="en-US"/>
        </w:rPr>
      </w:pPr>
      <w:r>
        <w:t>7C.</w:t>
      </w:r>
      <w:r>
        <w:tab/>
        <w:t>Standards Committee, functions of</w:t>
      </w:r>
      <w:r>
        <w:tab/>
      </w:r>
      <w:r>
        <w:fldChar w:fldCharType="begin"/>
      </w:r>
      <w:r>
        <w:instrText xml:space="preserve"> PAGEREF _Toc323713173 \h </w:instrText>
      </w:r>
      <w:r>
        <w:fldChar w:fldCharType="separate"/>
      </w:r>
      <w:r>
        <w:t>7</w:t>
      </w:r>
      <w:r>
        <w:fldChar w:fldCharType="end"/>
      </w:r>
    </w:p>
    <w:p>
      <w:pPr>
        <w:pStyle w:val="TOC8"/>
        <w:rPr>
          <w:sz w:val="24"/>
          <w:szCs w:val="24"/>
          <w:lang w:val="en-US"/>
        </w:rPr>
      </w:pPr>
      <w:r>
        <w:t>7D.</w:t>
      </w:r>
      <w:r>
        <w:tab/>
        <w:t>Curriculum and Assessment Committee established; members of</w:t>
      </w:r>
      <w:r>
        <w:tab/>
      </w:r>
      <w:r>
        <w:fldChar w:fldCharType="begin"/>
      </w:r>
      <w:r>
        <w:instrText xml:space="preserve"> PAGEREF _Toc323713174 \h </w:instrText>
      </w:r>
      <w:r>
        <w:fldChar w:fldCharType="separate"/>
      </w:r>
      <w:r>
        <w:t>8</w:t>
      </w:r>
      <w:r>
        <w:fldChar w:fldCharType="end"/>
      </w:r>
    </w:p>
    <w:p>
      <w:pPr>
        <w:pStyle w:val="TOC8"/>
        <w:rPr>
          <w:sz w:val="24"/>
          <w:szCs w:val="24"/>
          <w:lang w:val="en-US"/>
        </w:rPr>
      </w:pPr>
      <w:r>
        <w:t>7E.</w:t>
      </w:r>
      <w:r>
        <w:tab/>
        <w:t>Curriculum and Assessment Committee, functions of</w:t>
      </w:r>
      <w:r>
        <w:tab/>
      </w:r>
      <w:r>
        <w:fldChar w:fldCharType="begin"/>
      </w:r>
      <w:r>
        <w:instrText xml:space="preserve"> PAGEREF _Toc323713175 \h </w:instrText>
      </w:r>
      <w:r>
        <w:fldChar w:fldCharType="separate"/>
      </w:r>
      <w:r>
        <w:t>9</w:t>
      </w:r>
      <w:r>
        <w:fldChar w:fldCharType="end"/>
      </w:r>
    </w:p>
    <w:p>
      <w:pPr>
        <w:pStyle w:val="TOC8"/>
        <w:rPr>
          <w:sz w:val="24"/>
          <w:szCs w:val="24"/>
          <w:lang w:val="en-US"/>
        </w:rPr>
      </w:pPr>
      <w:r>
        <w:t>7F.</w:t>
      </w:r>
      <w:r>
        <w:tab/>
        <w:t>Other committees</w:t>
      </w:r>
      <w:r>
        <w:tab/>
      </w:r>
      <w:r>
        <w:fldChar w:fldCharType="begin"/>
      </w:r>
      <w:r>
        <w:instrText xml:space="preserve"> PAGEREF _Toc323713176 \h </w:instrText>
      </w:r>
      <w:r>
        <w:fldChar w:fldCharType="separate"/>
      </w:r>
      <w:r>
        <w:t>9</w:t>
      </w:r>
      <w:r>
        <w:fldChar w:fldCharType="end"/>
      </w:r>
    </w:p>
    <w:p>
      <w:pPr>
        <w:pStyle w:val="TOC8"/>
        <w:rPr>
          <w:sz w:val="24"/>
          <w:szCs w:val="24"/>
          <w:lang w:val="en-US"/>
        </w:rPr>
      </w:pPr>
      <w:r>
        <w:t>7G.</w:t>
      </w:r>
      <w:r>
        <w:tab/>
        <w:t>Support services for committees</w:t>
      </w:r>
      <w:r>
        <w:tab/>
      </w:r>
      <w:r>
        <w:fldChar w:fldCharType="begin"/>
      </w:r>
      <w:r>
        <w:instrText xml:space="preserve"> PAGEREF _Toc323713177 \h </w:instrText>
      </w:r>
      <w:r>
        <w:fldChar w:fldCharType="separate"/>
      </w:r>
      <w:r>
        <w:t>10</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7</w:t>
      </w:r>
      <w:r>
        <w:rPr>
          <w:snapToGrid w:val="0"/>
        </w:rPr>
        <w:t>.</w:t>
      </w:r>
      <w:r>
        <w:rPr>
          <w:snapToGrid w:val="0"/>
        </w:rPr>
        <w:tab/>
        <w:t>Provisions about Board (Sch. 1)</w:t>
      </w:r>
      <w:r>
        <w:tab/>
      </w:r>
      <w:r>
        <w:fldChar w:fldCharType="begin"/>
      </w:r>
      <w:r>
        <w:instrText xml:space="preserve"> PAGEREF _Toc323713179 \h </w:instrText>
      </w:r>
      <w:r>
        <w:fldChar w:fldCharType="separate"/>
      </w:r>
      <w:r>
        <w:t>10</w:t>
      </w:r>
      <w:r>
        <w:fldChar w:fldCharType="end"/>
      </w:r>
    </w:p>
    <w:p>
      <w:pPr>
        <w:pStyle w:val="TOC8"/>
        <w:rPr>
          <w:sz w:val="24"/>
          <w:szCs w:val="24"/>
          <w:lang w:val="en-US"/>
        </w:rPr>
      </w:pPr>
      <w:r>
        <w:t>8A.</w:t>
      </w:r>
      <w:r>
        <w:tab/>
        <w:t>CEO or representative may attend meetings of Board and committees</w:t>
      </w:r>
      <w:r>
        <w:tab/>
      </w:r>
      <w:r>
        <w:fldChar w:fldCharType="begin"/>
      </w:r>
      <w:r>
        <w:instrText xml:space="preserve"> PAGEREF _Toc323713180 \h </w:instrText>
      </w:r>
      <w:r>
        <w:fldChar w:fldCharType="separate"/>
      </w:r>
      <w:r>
        <w:t>10</w:t>
      </w:r>
      <w:r>
        <w:fldChar w:fldCharType="end"/>
      </w:r>
    </w:p>
    <w:p>
      <w:pPr>
        <w:pStyle w:val="TOC8"/>
        <w:rPr>
          <w:sz w:val="24"/>
          <w:szCs w:val="24"/>
          <w:lang w:val="en-US"/>
        </w:rPr>
      </w:pPr>
      <w:r>
        <w:t>8</w:t>
      </w:r>
      <w:r>
        <w:rPr>
          <w:snapToGrid w:val="0"/>
        </w:rPr>
        <w:t>.</w:t>
      </w:r>
      <w:r>
        <w:rPr>
          <w:snapToGrid w:val="0"/>
        </w:rPr>
        <w:tab/>
        <w:t>Members of Board and committees, remuneration of</w:t>
      </w:r>
      <w:r>
        <w:tab/>
      </w:r>
      <w:r>
        <w:fldChar w:fldCharType="begin"/>
      </w:r>
      <w:r>
        <w:instrText xml:space="preserve"> PAGEREF _Toc323713181 \h </w:instrText>
      </w:r>
      <w:r>
        <w:fldChar w:fldCharType="separate"/>
      </w:r>
      <w:r>
        <w:t>11</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9.</w:t>
      </w:r>
      <w:r>
        <w:tab/>
        <w:t>Functions of Authority</w:t>
      </w:r>
      <w:r>
        <w:tab/>
      </w:r>
      <w:r>
        <w:fldChar w:fldCharType="begin"/>
      </w:r>
      <w:r>
        <w:instrText xml:space="preserve"> PAGEREF _Toc323713183 \h </w:instrText>
      </w:r>
      <w:r>
        <w:fldChar w:fldCharType="separate"/>
      </w:r>
      <w:r>
        <w:t>12</w:t>
      </w:r>
      <w:r>
        <w:fldChar w:fldCharType="end"/>
      </w:r>
    </w:p>
    <w:p>
      <w:pPr>
        <w:pStyle w:val="TOC8"/>
        <w:rPr>
          <w:sz w:val="24"/>
          <w:szCs w:val="24"/>
          <w:lang w:val="en-US"/>
        </w:rPr>
      </w:pPr>
      <w:r>
        <w:t>10.</w:t>
      </w:r>
      <w:r>
        <w:tab/>
        <w:t>Advisory function of Authority</w:t>
      </w:r>
      <w:r>
        <w:tab/>
      </w:r>
      <w:r>
        <w:fldChar w:fldCharType="begin"/>
      </w:r>
      <w:r>
        <w:instrText xml:space="preserve"> PAGEREF _Toc323713184 \h </w:instrText>
      </w:r>
      <w:r>
        <w:fldChar w:fldCharType="separate"/>
      </w:r>
      <w:r>
        <w:t>15</w:t>
      </w:r>
      <w:r>
        <w:fldChar w:fldCharType="end"/>
      </w:r>
    </w:p>
    <w:p>
      <w:pPr>
        <w:pStyle w:val="TOC8"/>
        <w:rPr>
          <w:sz w:val="24"/>
          <w:szCs w:val="24"/>
          <w:lang w:val="en-US"/>
        </w:rPr>
      </w:pPr>
      <w:r>
        <w:t>11.</w:t>
      </w:r>
      <w:r>
        <w:tab/>
        <w:t>Draft reports on standards of student achievement, preparation of etc.</w:t>
      </w:r>
      <w:r>
        <w:tab/>
      </w:r>
      <w:r>
        <w:fldChar w:fldCharType="begin"/>
      </w:r>
      <w:r>
        <w:instrText xml:space="preserve"> PAGEREF _Toc323713185 \h </w:instrText>
      </w:r>
      <w:r>
        <w:fldChar w:fldCharType="separate"/>
      </w:r>
      <w:r>
        <w:t>15</w:t>
      </w:r>
      <w:r>
        <w:fldChar w:fldCharType="end"/>
      </w:r>
    </w:p>
    <w:p>
      <w:pPr>
        <w:pStyle w:val="TOC8"/>
        <w:rPr>
          <w:sz w:val="24"/>
          <w:szCs w:val="24"/>
          <w:lang w:val="en-US"/>
        </w:rPr>
      </w:pPr>
      <w:r>
        <w:t>12.</w:t>
      </w:r>
      <w:r>
        <w:tab/>
        <w:t>Draft reports under s. 11(2), dealing with</w:t>
      </w:r>
      <w:r>
        <w:tab/>
      </w:r>
      <w:r>
        <w:fldChar w:fldCharType="begin"/>
      </w:r>
      <w:r>
        <w:instrText xml:space="preserve"> PAGEREF _Toc323713186 \h </w:instrText>
      </w:r>
      <w:r>
        <w:fldChar w:fldCharType="separate"/>
      </w:r>
      <w:r>
        <w:t>16</w:t>
      </w:r>
      <w:r>
        <w:fldChar w:fldCharType="end"/>
      </w:r>
    </w:p>
    <w:p>
      <w:pPr>
        <w:pStyle w:val="TOC8"/>
        <w:rPr>
          <w:sz w:val="24"/>
          <w:szCs w:val="24"/>
          <w:lang w:val="en-US"/>
        </w:rPr>
      </w:pPr>
      <w:r>
        <w:t>14</w:t>
      </w:r>
      <w:r>
        <w:rPr>
          <w:snapToGrid w:val="0"/>
        </w:rPr>
        <w:t>.</w:t>
      </w:r>
      <w:r>
        <w:rPr>
          <w:snapToGrid w:val="0"/>
        </w:rPr>
        <w:tab/>
        <w:t>Records of assessment and register of courses, Authority to keep etc.</w:t>
      </w:r>
      <w:r>
        <w:tab/>
      </w:r>
      <w:r>
        <w:fldChar w:fldCharType="begin"/>
      </w:r>
      <w:r>
        <w:instrText xml:space="preserve"> PAGEREF _Toc323713187 \h </w:instrText>
      </w:r>
      <w:r>
        <w:fldChar w:fldCharType="separate"/>
      </w:r>
      <w:r>
        <w:t>17</w:t>
      </w:r>
      <w:r>
        <w:fldChar w:fldCharType="end"/>
      </w:r>
    </w:p>
    <w:p>
      <w:pPr>
        <w:pStyle w:val="TOC8"/>
        <w:rPr>
          <w:sz w:val="24"/>
          <w:szCs w:val="24"/>
          <w:lang w:val="en-US"/>
        </w:rPr>
      </w:pPr>
      <w:r>
        <w:t>15</w:t>
      </w:r>
      <w:r>
        <w:rPr>
          <w:snapToGrid w:val="0"/>
        </w:rPr>
        <w:t>.</w:t>
      </w:r>
      <w:r>
        <w:rPr>
          <w:snapToGrid w:val="0"/>
        </w:rPr>
        <w:tab/>
        <w:t>Powers of Authority</w:t>
      </w:r>
      <w:r>
        <w:tab/>
      </w:r>
      <w:r>
        <w:fldChar w:fldCharType="begin"/>
      </w:r>
      <w:r>
        <w:instrText xml:space="preserve"> PAGEREF _Toc323713188 \h </w:instrText>
      </w:r>
      <w:r>
        <w:fldChar w:fldCharType="separate"/>
      </w:r>
      <w:r>
        <w:t>18</w:t>
      </w:r>
      <w:r>
        <w:fldChar w:fldCharType="end"/>
      </w:r>
    </w:p>
    <w:p>
      <w:pPr>
        <w:pStyle w:val="TOC8"/>
        <w:rPr>
          <w:sz w:val="24"/>
          <w:szCs w:val="24"/>
          <w:lang w:val="en-US"/>
        </w:rPr>
      </w:pPr>
      <w:r>
        <w:t>16</w:t>
      </w:r>
      <w:r>
        <w:rPr>
          <w:snapToGrid w:val="0"/>
        </w:rPr>
        <w:t>.</w:t>
      </w:r>
      <w:r>
        <w:rPr>
          <w:snapToGrid w:val="0"/>
        </w:rPr>
        <w:tab/>
        <w:t>Functions of Authority, matters affecting performance of</w:t>
      </w:r>
      <w:r>
        <w:tab/>
      </w:r>
      <w:r>
        <w:fldChar w:fldCharType="begin"/>
      </w:r>
      <w:r>
        <w:instrText xml:space="preserve"> PAGEREF _Toc323713189 \h </w:instrText>
      </w:r>
      <w:r>
        <w:fldChar w:fldCharType="separate"/>
      </w:r>
      <w:r>
        <w:t>19</w:t>
      </w:r>
      <w:r>
        <w:fldChar w:fldCharType="end"/>
      </w:r>
    </w:p>
    <w:p>
      <w:pPr>
        <w:pStyle w:val="TOC8"/>
        <w:rPr>
          <w:sz w:val="24"/>
          <w:szCs w:val="24"/>
          <w:lang w:val="en-US"/>
        </w:rPr>
      </w:pPr>
      <w:r>
        <w:t>17</w:t>
      </w:r>
      <w:r>
        <w:rPr>
          <w:snapToGrid w:val="0"/>
        </w:rPr>
        <w:t>.</w:t>
      </w:r>
      <w:r>
        <w:rPr>
          <w:snapToGrid w:val="0"/>
        </w:rPr>
        <w:tab/>
        <w:t>Delegation by Authority</w:t>
      </w:r>
      <w:r>
        <w:tab/>
      </w:r>
      <w:r>
        <w:fldChar w:fldCharType="begin"/>
      </w:r>
      <w:r>
        <w:instrText xml:space="preserve"> PAGEREF _Toc323713190 \h </w:instrText>
      </w:r>
      <w:r>
        <w:fldChar w:fldCharType="separate"/>
      </w:r>
      <w:r>
        <w:t>20</w:t>
      </w:r>
      <w:r>
        <w:fldChar w:fldCharType="end"/>
      </w:r>
    </w:p>
    <w:p>
      <w:pPr>
        <w:pStyle w:val="TOC8"/>
        <w:rPr>
          <w:sz w:val="24"/>
          <w:szCs w:val="24"/>
          <w:lang w:val="en-US"/>
        </w:rPr>
      </w:pPr>
      <w:r>
        <w:t>18</w:t>
      </w:r>
      <w:r>
        <w:rPr>
          <w:snapToGrid w:val="0"/>
        </w:rPr>
        <w:t>.</w:t>
      </w:r>
      <w:r>
        <w:rPr>
          <w:snapToGrid w:val="0"/>
        </w:rPr>
        <w:tab/>
        <w:t>Minister may give directions to Authority</w:t>
      </w:r>
      <w:r>
        <w:tab/>
      </w:r>
      <w:r>
        <w:fldChar w:fldCharType="begin"/>
      </w:r>
      <w:r>
        <w:instrText xml:space="preserve"> PAGEREF _Toc323713191 \h </w:instrText>
      </w:r>
      <w:r>
        <w:fldChar w:fldCharType="separate"/>
      </w:r>
      <w:r>
        <w:t>20</w:t>
      </w:r>
      <w:r>
        <w:fldChar w:fldCharType="end"/>
      </w:r>
    </w:p>
    <w:p>
      <w:pPr>
        <w:pStyle w:val="TOC8"/>
        <w:rPr>
          <w:sz w:val="24"/>
          <w:szCs w:val="24"/>
          <w:lang w:val="en-US"/>
        </w:rPr>
      </w:pPr>
      <w:r>
        <w:t>19</w:t>
      </w:r>
      <w:r>
        <w:rPr>
          <w:snapToGrid w:val="0"/>
        </w:rPr>
        <w:t>.</w:t>
      </w:r>
      <w:r>
        <w:rPr>
          <w:snapToGrid w:val="0"/>
        </w:rPr>
        <w:tab/>
        <w:t>Minister to have access to information</w:t>
      </w:r>
      <w:r>
        <w:tab/>
      </w:r>
      <w:r>
        <w:fldChar w:fldCharType="begin"/>
      </w:r>
      <w:r>
        <w:instrText xml:space="preserve"> PAGEREF _Toc323713192 \h </w:instrText>
      </w:r>
      <w:r>
        <w:fldChar w:fldCharType="separate"/>
      </w:r>
      <w:r>
        <w:t>21</w:t>
      </w:r>
      <w:r>
        <w:fldChar w:fldCharType="end"/>
      </w:r>
    </w:p>
    <w:p>
      <w:pPr>
        <w:pStyle w:val="TOC2"/>
        <w:tabs>
          <w:tab w:val="right" w:leader="dot" w:pos="7086"/>
        </w:tabs>
        <w:rPr>
          <w:b w:val="0"/>
          <w:sz w:val="24"/>
          <w:szCs w:val="24"/>
          <w:lang w:val="en-US"/>
        </w:rPr>
      </w:pPr>
      <w:r>
        <w:t>Part 3A</w:t>
      </w:r>
      <w:r>
        <w:rPr>
          <w:b w:val="0"/>
        </w:rPr>
        <w:t> </w:t>
      </w:r>
      <w:r>
        <w:t>—</w:t>
      </w:r>
      <w:r>
        <w:rPr>
          <w:b w:val="0"/>
        </w:rPr>
        <w:t> </w:t>
      </w:r>
      <w:r>
        <w:t>Student records</w:t>
      </w:r>
    </w:p>
    <w:p>
      <w:pPr>
        <w:pStyle w:val="TOC8"/>
        <w:rPr>
          <w:sz w:val="24"/>
          <w:szCs w:val="24"/>
          <w:lang w:val="en-US"/>
        </w:rPr>
      </w:pPr>
      <w:r>
        <w:t>19A.</w:t>
      </w:r>
      <w:r>
        <w:tab/>
        <w:t>Terms used</w:t>
      </w:r>
      <w:r>
        <w:tab/>
      </w:r>
      <w:r>
        <w:fldChar w:fldCharType="begin"/>
      </w:r>
      <w:r>
        <w:instrText xml:space="preserve"> PAGEREF _Toc323713194 \h </w:instrText>
      </w:r>
      <w:r>
        <w:fldChar w:fldCharType="separate"/>
      </w:r>
      <w:r>
        <w:t>23</w:t>
      </w:r>
      <w:r>
        <w:fldChar w:fldCharType="end"/>
      </w:r>
    </w:p>
    <w:p>
      <w:pPr>
        <w:pStyle w:val="TOC8"/>
        <w:rPr>
          <w:sz w:val="24"/>
          <w:szCs w:val="24"/>
          <w:lang w:val="en-US"/>
        </w:rPr>
      </w:pPr>
      <w:r>
        <w:t>19B.</w:t>
      </w:r>
      <w:r>
        <w:tab/>
        <w:t>Application of this Part to overseas students</w:t>
      </w:r>
      <w:r>
        <w:tab/>
      </w:r>
      <w:r>
        <w:fldChar w:fldCharType="begin"/>
      </w:r>
      <w:r>
        <w:instrText xml:space="preserve"> PAGEREF _Toc323713195 \h </w:instrText>
      </w:r>
      <w:r>
        <w:fldChar w:fldCharType="separate"/>
      </w:r>
      <w:r>
        <w:t>25</w:t>
      </w:r>
      <w:r>
        <w:fldChar w:fldCharType="end"/>
      </w:r>
    </w:p>
    <w:p>
      <w:pPr>
        <w:pStyle w:val="TOC8"/>
        <w:rPr>
          <w:sz w:val="24"/>
          <w:szCs w:val="24"/>
          <w:lang w:val="en-US"/>
        </w:rPr>
      </w:pPr>
      <w:r>
        <w:t>19C.</w:t>
      </w:r>
      <w:r>
        <w:tab/>
        <w:t>When student record to be opened</w:t>
      </w:r>
      <w:r>
        <w:tab/>
      </w:r>
      <w:r>
        <w:fldChar w:fldCharType="begin"/>
      </w:r>
      <w:r>
        <w:instrText xml:space="preserve"> PAGEREF _Toc323713196 \h </w:instrText>
      </w:r>
      <w:r>
        <w:fldChar w:fldCharType="separate"/>
      </w:r>
      <w:r>
        <w:t>25</w:t>
      </w:r>
      <w:r>
        <w:fldChar w:fldCharType="end"/>
      </w:r>
    </w:p>
    <w:p>
      <w:pPr>
        <w:pStyle w:val="TOC8"/>
        <w:rPr>
          <w:sz w:val="24"/>
          <w:szCs w:val="24"/>
          <w:lang w:val="en-US"/>
        </w:rPr>
      </w:pPr>
      <w:r>
        <w:t>19D.</w:t>
      </w:r>
      <w:r>
        <w:tab/>
        <w:t>Provider may be directed to open student record</w:t>
      </w:r>
      <w:r>
        <w:tab/>
      </w:r>
      <w:r>
        <w:fldChar w:fldCharType="begin"/>
      </w:r>
      <w:r>
        <w:instrText xml:space="preserve"> PAGEREF _Toc323713197 \h </w:instrText>
      </w:r>
      <w:r>
        <w:fldChar w:fldCharType="separate"/>
      </w:r>
      <w:r>
        <w:t>26</w:t>
      </w:r>
      <w:r>
        <w:fldChar w:fldCharType="end"/>
      </w:r>
    </w:p>
    <w:p>
      <w:pPr>
        <w:pStyle w:val="TOC8"/>
        <w:rPr>
          <w:sz w:val="24"/>
          <w:szCs w:val="24"/>
          <w:lang w:val="en-US"/>
        </w:rPr>
      </w:pPr>
      <w:r>
        <w:t>19E.</w:t>
      </w:r>
      <w:r>
        <w:tab/>
        <w:t>How student record is opened</w:t>
      </w:r>
      <w:r>
        <w:tab/>
      </w:r>
      <w:r>
        <w:fldChar w:fldCharType="begin"/>
      </w:r>
      <w:r>
        <w:instrText xml:space="preserve"> PAGEREF _Toc323713198 \h </w:instrText>
      </w:r>
      <w:r>
        <w:fldChar w:fldCharType="separate"/>
      </w:r>
      <w:r>
        <w:t>27</w:t>
      </w:r>
      <w:r>
        <w:fldChar w:fldCharType="end"/>
      </w:r>
    </w:p>
    <w:p>
      <w:pPr>
        <w:pStyle w:val="TOC8"/>
        <w:rPr>
          <w:sz w:val="24"/>
          <w:szCs w:val="24"/>
          <w:lang w:val="en-US"/>
        </w:rPr>
      </w:pPr>
      <w:r>
        <w:t>19F.</w:t>
      </w:r>
      <w:r>
        <w:tab/>
        <w:t>Change of student’s provider, employer etc., provider to inform Authority of</w:t>
      </w:r>
      <w:r>
        <w:tab/>
      </w:r>
      <w:r>
        <w:fldChar w:fldCharType="begin"/>
      </w:r>
      <w:r>
        <w:instrText xml:space="preserve"> PAGEREF _Toc323713199 \h </w:instrText>
      </w:r>
      <w:r>
        <w:fldChar w:fldCharType="separate"/>
      </w:r>
      <w:r>
        <w:t>27</w:t>
      </w:r>
      <w:r>
        <w:fldChar w:fldCharType="end"/>
      </w:r>
    </w:p>
    <w:p>
      <w:pPr>
        <w:pStyle w:val="TOC8"/>
        <w:rPr>
          <w:sz w:val="24"/>
          <w:szCs w:val="24"/>
          <w:lang w:val="en-US"/>
        </w:rPr>
      </w:pPr>
      <w:r>
        <w:t>19G.</w:t>
      </w:r>
      <w:r>
        <w:tab/>
        <w:t>Student’s results etc., provider to inform Authority of</w:t>
      </w:r>
      <w:r>
        <w:tab/>
      </w:r>
      <w:r>
        <w:fldChar w:fldCharType="begin"/>
      </w:r>
      <w:r>
        <w:instrText xml:space="preserve"> PAGEREF _Toc323713200 \h </w:instrText>
      </w:r>
      <w:r>
        <w:fldChar w:fldCharType="separate"/>
      </w:r>
      <w:r>
        <w:t>28</w:t>
      </w:r>
      <w:r>
        <w:fldChar w:fldCharType="end"/>
      </w:r>
    </w:p>
    <w:p>
      <w:pPr>
        <w:pStyle w:val="TOC8"/>
        <w:rPr>
          <w:sz w:val="24"/>
          <w:szCs w:val="24"/>
          <w:lang w:val="en-US"/>
        </w:rPr>
      </w:pPr>
      <w:r>
        <w:t>19H.</w:t>
      </w:r>
      <w:r>
        <w:tab/>
        <w:t>Informing Authority, general provisions about</w:t>
      </w:r>
      <w:r>
        <w:tab/>
      </w:r>
      <w:r>
        <w:fldChar w:fldCharType="begin"/>
      </w:r>
      <w:r>
        <w:instrText xml:space="preserve"> PAGEREF _Toc323713201 \h </w:instrText>
      </w:r>
      <w:r>
        <w:fldChar w:fldCharType="separate"/>
      </w:r>
      <w:r>
        <w:t>29</w:t>
      </w:r>
      <w:r>
        <w:fldChar w:fldCharType="end"/>
      </w:r>
    </w:p>
    <w:p>
      <w:pPr>
        <w:pStyle w:val="TOC8"/>
        <w:rPr>
          <w:sz w:val="24"/>
          <w:szCs w:val="24"/>
          <w:lang w:val="en-US"/>
        </w:rPr>
      </w:pPr>
      <w:r>
        <w:t>19I.</w:t>
      </w:r>
      <w:r>
        <w:tab/>
        <w:t>Database of student records etc., Authority to maintain; use of database</w:t>
      </w:r>
      <w:r>
        <w:tab/>
      </w:r>
      <w:r>
        <w:fldChar w:fldCharType="begin"/>
      </w:r>
      <w:r>
        <w:instrText xml:space="preserve"> PAGEREF _Toc323713202 \h </w:instrText>
      </w:r>
      <w:r>
        <w:fldChar w:fldCharType="separate"/>
      </w:r>
      <w:r>
        <w:t>29</w:t>
      </w:r>
      <w:r>
        <w:fldChar w:fldCharType="end"/>
      </w:r>
    </w:p>
    <w:p>
      <w:pPr>
        <w:pStyle w:val="TOC8"/>
        <w:rPr>
          <w:sz w:val="24"/>
          <w:szCs w:val="24"/>
          <w:lang w:val="en-US"/>
        </w:rPr>
      </w:pPr>
      <w:r>
        <w:t>19J.</w:t>
      </w:r>
      <w:r>
        <w:tab/>
      </w:r>
      <w:r>
        <w:rPr>
          <w:bCs/>
        </w:rPr>
        <w:t>Student etc. entitled to student record</w:t>
      </w:r>
      <w:r>
        <w:tab/>
      </w:r>
      <w:r>
        <w:fldChar w:fldCharType="begin"/>
      </w:r>
      <w:r>
        <w:instrText xml:space="preserve"> PAGEREF _Toc323713203 \h </w:instrText>
      </w:r>
      <w:r>
        <w:fldChar w:fldCharType="separate"/>
      </w:r>
      <w:r>
        <w:t>30</w:t>
      </w:r>
      <w:r>
        <w:fldChar w:fldCharType="end"/>
      </w:r>
    </w:p>
    <w:p>
      <w:pPr>
        <w:pStyle w:val="TOC8"/>
        <w:rPr>
          <w:sz w:val="24"/>
          <w:szCs w:val="24"/>
          <w:lang w:val="en-US"/>
        </w:rPr>
      </w:pPr>
      <w:r>
        <w:t>19K.</w:t>
      </w:r>
      <w:r>
        <w:tab/>
        <w:t>Authority may disclose information to provider for checking purposes</w:t>
      </w:r>
      <w:r>
        <w:tab/>
      </w:r>
      <w:r>
        <w:fldChar w:fldCharType="begin"/>
      </w:r>
      <w:r>
        <w:instrText xml:space="preserve"> PAGEREF _Toc323713204 \h </w:instrText>
      </w:r>
      <w:r>
        <w:fldChar w:fldCharType="separate"/>
      </w:r>
      <w:r>
        <w:t>31</w:t>
      </w:r>
      <w:r>
        <w:fldChar w:fldCharType="end"/>
      </w:r>
    </w:p>
    <w:p>
      <w:pPr>
        <w:pStyle w:val="TOC8"/>
        <w:rPr>
          <w:sz w:val="24"/>
          <w:szCs w:val="24"/>
          <w:lang w:val="en-US"/>
        </w:rPr>
      </w:pPr>
      <w:r>
        <w:t>19L.</w:t>
      </w:r>
      <w:r>
        <w:tab/>
        <w:t>Authority, on request, to give Minister information in aggregated form</w:t>
      </w:r>
      <w:r>
        <w:tab/>
      </w:r>
      <w:r>
        <w:fldChar w:fldCharType="begin"/>
      </w:r>
      <w:r>
        <w:instrText xml:space="preserve"> PAGEREF _Toc323713205 \h </w:instrText>
      </w:r>
      <w:r>
        <w:fldChar w:fldCharType="separate"/>
      </w:r>
      <w:r>
        <w:t>31</w:t>
      </w:r>
      <w:r>
        <w:fldChar w:fldCharType="end"/>
      </w:r>
    </w:p>
    <w:p>
      <w:pPr>
        <w:pStyle w:val="TOC8"/>
        <w:rPr>
          <w:sz w:val="24"/>
          <w:szCs w:val="24"/>
          <w:lang w:val="en-US"/>
        </w:rPr>
      </w:pPr>
      <w:r>
        <w:t>19M.</w:t>
      </w:r>
      <w:r>
        <w:tab/>
        <w:t>Authority, on request, to give Minister information to assist in enforcing School Education Act</w:t>
      </w:r>
      <w:r>
        <w:tab/>
      </w:r>
      <w:r>
        <w:fldChar w:fldCharType="begin"/>
      </w:r>
      <w:r>
        <w:instrText xml:space="preserve"> PAGEREF _Toc323713206 \h </w:instrText>
      </w:r>
      <w:r>
        <w:fldChar w:fldCharType="separate"/>
      </w:r>
      <w:r>
        <w:t>31</w:t>
      </w:r>
      <w:r>
        <w:fldChar w:fldCharType="end"/>
      </w:r>
    </w:p>
    <w:p>
      <w:pPr>
        <w:pStyle w:val="TOC8"/>
        <w:rPr>
          <w:sz w:val="24"/>
          <w:szCs w:val="24"/>
          <w:lang w:val="en-US"/>
        </w:rPr>
      </w:pPr>
      <w:r>
        <w:t>19N.</w:t>
      </w:r>
      <w:r>
        <w:tab/>
        <w:t>Disclosure by Minister of information given under s. 19M</w:t>
      </w:r>
      <w:r>
        <w:tab/>
      </w:r>
      <w:r>
        <w:fldChar w:fldCharType="begin"/>
      </w:r>
      <w:r>
        <w:instrText xml:space="preserve"> PAGEREF _Toc323713207 \h </w:instrText>
      </w:r>
      <w:r>
        <w:fldChar w:fldCharType="separate"/>
      </w:r>
      <w:r>
        <w:t>33</w:t>
      </w:r>
      <w:r>
        <w:fldChar w:fldCharType="end"/>
      </w:r>
    </w:p>
    <w:p>
      <w:pPr>
        <w:pStyle w:val="TOC8"/>
        <w:rPr>
          <w:sz w:val="24"/>
          <w:szCs w:val="24"/>
          <w:lang w:val="en-US"/>
        </w:rPr>
      </w:pPr>
      <w:r>
        <w:t>19O.</w:t>
      </w:r>
      <w:r>
        <w:tab/>
        <w:t>Delegation by Minister etc. of s. 19L, 19M and 19N functions</w:t>
      </w:r>
      <w:r>
        <w:tab/>
      </w:r>
      <w:r>
        <w:fldChar w:fldCharType="begin"/>
      </w:r>
      <w:r>
        <w:instrText xml:space="preserve"> PAGEREF _Toc323713208 \h </w:instrText>
      </w:r>
      <w:r>
        <w:fldChar w:fldCharType="separate"/>
      </w:r>
      <w:r>
        <w:t>33</w:t>
      </w:r>
      <w:r>
        <w:fldChar w:fldCharType="end"/>
      </w:r>
    </w:p>
    <w:p>
      <w:pPr>
        <w:pStyle w:val="TOC8"/>
        <w:rPr>
          <w:sz w:val="24"/>
          <w:szCs w:val="24"/>
          <w:lang w:val="en-US"/>
        </w:rPr>
      </w:pPr>
      <w:r>
        <w:t>19P.</w:t>
      </w:r>
      <w:r>
        <w:tab/>
        <w:t>Authority to give certain entities certain information in aggregated form</w:t>
      </w:r>
      <w:r>
        <w:tab/>
      </w:r>
      <w:r>
        <w:fldChar w:fldCharType="begin"/>
      </w:r>
      <w:r>
        <w:instrText xml:space="preserve"> PAGEREF _Toc323713209 \h </w:instrText>
      </w:r>
      <w:r>
        <w:fldChar w:fldCharType="separate"/>
      </w:r>
      <w:r>
        <w:t>34</w:t>
      </w:r>
      <w:r>
        <w:fldChar w:fldCharType="end"/>
      </w:r>
    </w:p>
    <w:p>
      <w:pPr>
        <w:pStyle w:val="TOC2"/>
        <w:tabs>
          <w:tab w:val="right" w:leader="dot" w:pos="7086"/>
        </w:tabs>
        <w:rPr>
          <w:b w:val="0"/>
          <w:sz w:val="24"/>
          <w:szCs w:val="24"/>
          <w:lang w:val="en-US"/>
        </w:rPr>
      </w:pPr>
      <w:r>
        <w:t>Part 4 — Staff</w:t>
      </w:r>
    </w:p>
    <w:p>
      <w:pPr>
        <w:pStyle w:val="TOC8"/>
        <w:rPr>
          <w:sz w:val="24"/>
          <w:szCs w:val="24"/>
          <w:lang w:val="en-US"/>
        </w:rPr>
      </w:pPr>
      <w:r>
        <w:t>20</w:t>
      </w:r>
      <w:r>
        <w:rPr>
          <w:snapToGrid w:val="0"/>
        </w:rPr>
        <w:t>.</w:t>
      </w:r>
      <w:r>
        <w:rPr>
          <w:snapToGrid w:val="0"/>
        </w:rPr>
        <w:tab/>
        <w:t>Chief executive officer</w:t>
      </w:r>
      <w:r>
        <w:tab/>
      </w:r>
      <w:r>
        <w:fldChar w:fldCharType="begin"/>
      </w:r>
      <w:r>
        <w:instrText xml:space="preserve"> PAGEREF _Toc323713211 \h </w:instrText>
      </w:r>
      <w:r>
        <w:fldChar w:fldCharType="separate"/>
      </w:r>
      <w:r>
        <w:t>35</w:t>
      </w:r>
      <w:r>
        <w:fldChar w:fldCharType="end"/>
      </w:r>
    </w:p>
    <w:p>
      <w:pPr>
        <w:pStyle w:val="TOC8"/>
        <w:rPr>
          <w:sz w:val="24"/>
          <w:szCs w:val="24"/>
          <w:lang w:val="en-US"/>
        </w:rPr>
      </w:pPr>
      <w:r>
        <w:t>21</w:t>
      </w:r>
      <w:r>
        <w:rPr>
          <w:snapToGrid w:val="0"/>
        </w:rPr>
        <w:t>.</w:t>
      </w:r>
      <w:r>
        <w:rPr>
          <w:snapToGrid w:val="0"/>
        </w:rPr>
        <w:tab/>
        <w:t>Other staff</w:t>
      </w:r>
      <w:r>
        <w:tab/>
      </w:r>
      <w:r>
        <w:fldChar w:fldCharType="begin"/>
      </w:r>
      <w:r>
        <w:instrText xml:space="preserve"> PAGEREF _Toc323713212 \h </w:instrText>
      </w:r>
      <w:r>
        <w:fldChar w:fldCharType="separate"/>
      </w:r>
      <w:r>
        <w:t>35</w:t>
      </w:r>
      <w:r>
        <w:fldChar w:fldCharType="end"/>
      </w:r>
    </w:p>
    <w:p>
      <w:pPr>
        <w:pStyle w:val="TOC8"/>
        <w:rPr>
          <w:sz w:val="24"/>
          <w:szCs w:val="24"/>
          <w:lang w:val="en-US"/>
        </w:rPr>
      </w:pPr>
      <w:r>
        <w:t>22</w:t>
      </w:r>
      <w:r>
        <w:rPr>
          <w:snapToGrid w:val="0"/>
        </w:rPr>
        <w:t>.</w:t>
      </w:r>
      <w:r>
        <w:rPr>
          <w:snapToGrid w:val="0"/>
        </w:rPr>
        <w:tab/>
        <w:t>Use of other government staff etc.</w:t>
      </w:r>
      <w:r>
        <w:tab/>
      </w:r>
      <w:r>
        <w:fldChar w:fldCharType="begin"/>
      </w:r>
      <w:r>
        <w:instrText xml:space="preserve"> PAGEREF _Toc323713213 \h </w:instrText>
      </w:r>
      <w:r>
        <w:fldChar w:fldCharType="separate"/>
      </w:r>
      <w:r>
        <w:t>36</w:t>
      </w:r>
      <w:r>
        <w:fldChar w:fldCharType="end"/>
      </w:r>
    </w:p>
    <w:p>
      <w:pPr>
        <w:pStyle w:val="TOC2"/>
        <w:tabs>
          <w:tab w:val="right" w:leader="dot" w:pos="7086"/>
        </w:tabs>
        <w:rPr>
          <w:b w:val="0"/>
          <w:sz w:val="24"/>
          <w:szCs w:val="24"/>
          <w:lang w:val="en-US"/>
        </w:rPr>
      </w:pPr>
      <w:r>
        <w:t>Part 5 — Financial provisions</w:t>
      </w:r>
    </w:p>
    <w:p>
      <w:pPr>
        <w:pStyle w:val="TOC8"/>
        <w:rPr>
          <w:sz w:val="24"/>
          <w:szCs w:val="24"/>
          <w:lang w:val="en-US"/>
        </w:rPr>
      </w:pPr>
      <w:r>
        <w:t>23</w:t>
      </w:r>
      <w:r>
        <w:rPr>
          <w:snapToGrid w:val="0"/>
        </w:rPr>
        <w:t>.</w:t>
      </w:r>
      <w:r>
        <w:rPr>
          <w:snapToGrid w:val="0"/>
        </w:rPr>
        <w:tab/>
      </w:r>
      <w:r>
        <w:t>Funds of Authority</w:t>
      </w:r>
      <w:r>
        <w:tab/>
      </w:r>
      <w:r>
        <w:fldChar w:fldCharType="begin"/>
      </w:r>
      <w:r>
        <w:instrText xml:space="preserve"> PAGEREF _Toc323713215 \h </w:instrText>
      </w:r>
      <w:r>
        <w:fldChar w:fldCharType="separate"/>
      </w:r>
      <w:r>
        <w:t>37</w:t>
      </w:r>
      <w:r>
        <w:fldChar w:fldCharType="end"/>
      </w:r>
    </w:p>
    <w:p>
      <w:pPr>
        <w:pStyle w:val="TOC8"/>
        <w:rPr>
          <w:sz w:val="24"/>
          <w:szCs w:val="24"/>
          <w:lang w:val="en-US"/>
        </w:rPr>
      </w:pPr>
      <w:r>
        <w:t>24</w:t>
      </w:r>
      <w:r>
        <w:rPr>
          <w:snapToGrid w:val="0"/>
        </w:rPr>
        <w:t>.</w:t>
      </w:r>
      <w:r>
        <w:rPr>
          <w:snapToGrid w:val="0"/>
        </w:rPr>
        <w:tab/>
      </w:r>
      <w:r>
        <w:rPr>
          <w:bCs/>
        </w:rPr>
        <w:t>School Curriculum and Standards Authority Account</w:t>
      </w:r>
      <w:r>
        <w:tab/>
      </w:r>
      <w:r>
        <w:fldChar w:fldCharType="begin"/>
      </w:r>
      <w:r>
        <w:instrText xml:space="preserve"> PAGEREF _Toc323713216 \h </w:instrText>
      </w:r>
      <w:r>
        <w:fldChar w:fldCharType="separate"/>
      </w:r>
      <w:r>
        <w:t>37</w:t>
      </w:r>
      <w:r>
        <w:fldChar w:fldCharType="end"/>
      </w:r>
    </w:p>
    <w:p>
      <w:pPr>
        <w:pStyle w:val="TOC8"/>
        <w:rPr>
          <w:sz w:val="24"/>
          <w:szCs w:val="24"/>
          <w:lang w:val="en-US"/>
        </w:rPr>
      </w:pPr>
      <w:r>
        <w:t>26</w:t>
      </w:r>
      <w:r>
        <w:rPr>
          <w:snapToGrid w:val="0"/>
        </w:rPr>
        <w:t>.</w:t>
      </w:r>
      <w:r>
        <w:rPr>
          <w:snapToGrid w:val="0"/>
        </w:rPr>
        <w:tab/>
      </w:r>
      <w:r>
        <w:rPr>
          <w:bCs/>
        </w:rPr>
        <w:t>Borrowing by Authority</w:t>
      </w:r>
      <w:r>
        <w:tab/>
      </w:r>
      <w:r>
        <w:fldChar w:fldCharType="begin"/>
      </w:r>
      <w:r>
        <w:instrText xml:space="preserve"> PAGEREF _Toc323713217 \h </w:instrText>
      </w:r>
      <w:r>
        <w:fldChar w:fldCharType="separate"/>
      </w:r>
      <w:r>
        <w:t>38</w:t>
      </w:r>
      <w:r>
        <w:fldChar w:fldCharType="end"/>
      </w:r>
    </w:p>
    <w:p>
      <w:pPr>
        <w:pStyle w:val="TOC8"/>
        <w:rPr>
          <w:sz w:val="24"/>
          <w:szCs w:val="24"/>
          <w:lang w:val="en-US"/>
        </w:rPr>
      </w:pPr>
      <w: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r>
        <w:tab/>
      </w:r>
      <w:r>
        <w:fldChar w:fldCharType="begin"/>
      </w:r>
      <w:r>
        <w:instrText xml:space="preserve"> PAGEREF _Toc323713218 \h </w:instrText>
      </w:r>
      <w:r>
        <w:fldChar w:fldCharType="separate"/>
      </w:r>
      <w:r>
        <w:t>38</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30</w:t>
      </w:r>
      <w:r>
        <w:rPr>
          <w:snapToGrid w:val="0"/>
        </w:rPr>
        <w:t>.</w:t>
      </w:r>
      <w:r>
        <w:rPr>
          <w:snapToGrid w:val="0"/>
        </w:rPr>
        <w:tab/>
        <w:t>Protection from personal liability</w:t>
      </w:r>
      <w:r>
        <w:tab/>
      </w:r>
      <w:r>
        <w:fldChar w:fldCharType="begin"/>
      </w:r>
      <w:r>
        <w:instrText xml:space="preserve"> PAGEREF _Toc323713220 \h </w:instrText>
      </w:r>
      <w:r>
        <w:fldChar w:fldCharType="separate"/>
      </w:r>
      <w:r>
        <w:t>39</w:t>
      </w:r>
      <w:r>
        <w:fldChar w:fldCharType="end"/>
      </w:r>
    </w:p>
    <w:p>
      <w:pPr>
        <w:pStyle w:val="TOC8"/>
        <w:rPr>
          <w:sz w:val="24"/>
          <w:szCs w:val="24"/>
          <w:lang w:val="en-US"/>
        </w:rPr>
      </w:pPr>
      <w:r>
        <w:t>31</w:t>
      </w:r>
      <w:r>
        <w:rPr>
          <w:snapToGrid w:val="0"/>
        </w:rPr>
        <w:t>.</w:t>
      </w:r>
      <w:r>
        <w:rPr>
          <w:snapToGrid w:val="0"/>
        </w:rPr>
        <w:tab/>
      </w:r>
      <w:r>
        <w:t>Execution of documents by Authority</w:t>
      </w:r>
      <w:r>
        <w:tab/>
      </w:r>
      <w:r>
        <w:fldChar w:fldCharType="begin"/>
      </w:r>
      <w:r>
        <w:instrText xml:space="preserve"> PAGEREF _Toc323713221 \h </w:instrText>
      </w:r>
      <w:r>
        <w:fldChar w:fldCharType="separate"/>
      </w:r>
      <w:r>
        <w:t>39</w:t>
      </w:r>
      <w:r>
        <w:fldChar w:fldCharType="end"/>
      </w:r>
    </w:p>
    <w:p>
      <w:pPr>
        <w:pStyle w:val="TOC8"/>
        <w:rPr>
          <w:sz w:val="24"/>
          <w:szCs w:val="24"/>
          <w:lang w:val="en-US"/>
        </w:rPr>
      </w:pPr>
      <w:r>
        <w:t>32</w:t>
      </w:r>
      <w:r>
        <w:rPr>
          <w:snapToGrid w:val="0"/>
        </w:rPr>
        <w:t>.</w:t>
      </w:r>
      <w:r>
        <w:rPr>
          <w:snapToGrid w:val="0"/>
        </w:rPr>
        <w:tab/>
        <w:t>Information obtained by Board etc., disclosure and use etc. of restricted</w:t>
      </w:r>
      <w:r>
        <w:tab/>
      </w:r>
      <w:r>
        <w:fldChar w:fldCharType="begin"/>
      </w:r>
      <w:r>
        <w:instrText xml:space="preserve"> PAGEREF _Toc323713222 \h </w:instrText>
      </w:r>
      <w:r>
        <w:fldChar w:fldCharType="separate"/>
      </w:r>
      <w:r>
        <w:t>40</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_Toc323713223 \h </w:instrText>
      </w:r>
      <w:r>
        <w:fldChar w:fldCharType="separate"/>
      </w:r>
      <w:r>
        <w:t>41</w:t>
      </w:r>
      <w:r>
        <w:fldChar w:fldCharType="end"/>
      </w:r>
    </w:p>
    <w:p>
      <w:pPr>
        <w:pStyle w:val="TOC8"/>
        <w:rPr>
          <w:sz w:val="24"/>
          <w:szCs w:val="24"/>
          <w:lang w:val="en-US"/>
        </w:rPr>
      </w:pPr>
      <w:r>
        <w:t>36</w:t>
      </w:r>
      <w:r>
        <w:rPr>
          <w:snapToGrid w:val="0"/>
        </w:rPr>
        <w:t>.</w:t>
      </w:r>
      <w:r>
        <w:rPr>
          <w:snapToGrid w:val="0"/>
        </w:rPr>
        <w:tab/>
        <w:t>Review of Act</w:t>
      </w:r>
      <w:r>
        <w:tab/>
      </w:r>
      <w:r>
        <w:fldChar w:fldCharType="begin"/>
      </w:r>
      <w:r>
        <w:instrText xml:space="preserve"> PAGEREF _Toc323713224 \h </w:instrText>
      </w:r>
      <w:r>
        <w:fldChar w:fldCharType="separate"/>
      </w:r>
      <w:r>
        <w:t>43</w:t>
      </w:r>
      <w:r>
        <w:fldChar w:fldCharType="end"/>
      </w:r>
    </w:p>
    <w:p>
      <w:pPr>
        <w:pStyle w:val="TOC2"/>
        <w:tabs>
          <w:tab w:val="right" w:leader="dot" w:pos="7086"/>
        </w:tabs>
        <w:rPr>
          <w:b w:val="0"/>
          <w:sz w:val="24"/>
          <w:szCs w:val="24"/>
          <w:lang w:val="en-US"/>
        </w:rPr>
      </w:pPr>
      <w:r>
        <w:t>Part 7 — Transitional provisions</w:t>
      </w:r>
    </w:p>
    <w:p>
      <w:pPr>
        <w:pStyle w:val="TOC8"/>
        <w:rPr>
          <w:sz w:val="24"/>
          <w:szCs w:val="24"/>
          <w:lang w:val="en-US"/>
        </w:rPr>
      </w:pPr>
      <w:r>
        <w:t>37.</w:t>
      </w:r>
      <w:r>
        <w:tab/>
        <w:t>Terms used</w:t>
      </w:r>
      <w:r>
        <w:tab/>
      </w:r>
      <w:r>
        <w:fldChar w:fldCharType="begin"/>
      </w:r>
      <w:r>
        <w:instrText xml:space="preserve"> PAGEREF _Toc323713226 \h </w:instrText>
      </w:r>
      <w:r>
        <w:fldChar w:fldCharType="separate"/>
      </w:r>
      <w:r>
        <w:t>45</w:t>
      </w:r>
      <w:r>
        <w:fldChar w:fldCharType="end"/>
      </w:r>
    </w:p>
    <w:p>
      <w:pPr>
        <w:pStyle w:val="TOC8"/>
        <w:rPr>
          <w:sz w:val="24"/>
          <w:szCs w:val="24"/>
          <w:lang w:val="en-US"/>
        </w:rPr>
      </w:pPr>
      <w:r>
        <w:t>38.</w:t>
      </w:r>
      <w:r>
        <w:tab/>
        <w:t>Curriculum Council abolished on 1 Mar 2012</w:t>
      </w:r>
      <w:r>
        <w:tab/>
      </w:r>
      <w:r>
        <w:fldChar w:fldCharType="begin"/>
      </w:r>
      <w:r>
        <w:instrText xml:space="preserve"> PAGEREF _Toc323713227 \h </w:instrText>
      </w:r>
      <w:r>
        <w:fldChar w:fldCharType="separate"/>
      </w:r>
      <w:r>
        <w:t>45</w:t>
      </w:r>
      <w:r>
        <w:fldChar w:fldCharType="end"/>
      </w:r>
    </w:p>
    <w:p>
      <w:pPr>
        <w:pStyle w:val="TOC8"/>
        <w:rPr>
          <w:sz w:val="24"/>
          <w:szCs w:val="24"/>
          <w:lang w:val="en-US"/>
        </w:rPr>
      </w:pPr>
      <w:r>
        <w:t>39.</w:t>
      </w:r>
      <w:r>
        <w:tab/>
        <w:t>Devolution of Council’s assets, liabilities etc.</w:t>
      </w:r>
      <w:r>
        <w:tab/>
      </w:r>
      <w:r>
        <w:fldChar w:fldCharType="begin"/>
      </w:r>
      <w:r>
        <w:instrText xml:space="preserve"> PAGEREF _Toc323713228 \h </w:instrText>
      </w:r>
      <w:r>
        <w:fldChar w:fldCharType="separate"/>
      </w:r>
      <w:r>
        <w:t>46</w:t>
      </w:r>
      <w:r>
        <w:fldChar w:fldCharType="end"/>
      </w:r>
    </w:p>
    <w:p>
      <w:pPr>
        <w:pStyle w:val="TOC8"/>
        <w:rPr>
          <w:sz w:val="24"/>
          <w:szCs w:val="24"/>
          <w:lang w:val="en-US"/>
        </w:rPr>
      </w:pPr>
      <w:r>
        <w:t>40.</w:t>
      </w:r>
      <w:r>
        <w:tab/>
        <w:t>Chief executive officer of Council continues in office</w:t>
      </w:r>
      <w:r>
        <w:tab/>
      </w:r>
      <w:r>
        <w:fldChar w:fldCharType="begin"/>
      </w:r>
      <w:r>
        <w:instrText xml:space="preserve"> PAGEREF _Toc323713229 \h </w:instrText>
      </w:r>
      <w:r>
        <w:fldChar w:fldCharType="separate"/>
      </w:r>
      <w:r>
        <w:t>46</w:t>
      </w:r>
      <w:r>
        <w:fldChar w:fldCharType="end"/>
      </w:r>
    </w:p>
    <w:p>
      <w:pPr>
        <w:pStyle w:val="TOC8"/>
        <w:rPr>
          <w:sz w:val="24"/>
          <w:szCs w:val="24"/>
          <w:lang w:val="en-US"/>
        </w:rPr>
      </w:pPr>
      <w:r>
        <w:t>41.</w:t>
      </w:r>
      <w:r>
        <w:tab/>
        <w:t>Transfer of members of staff to Authority</w:t>
      </w:r>
      <w:r>
        <w:tab/>
      </w:r>
      <w:r>
        <w:fldChar w:fldCharType="begin"/>
      </w:r>
      <w:r>
        <w:instrText xml:space="preserve"> PAGEREF _Toc323713230 \h </w:instrText>
      </w:r>
      <w:r>
        <w:fldChar w:fldCharType="separate"/>
      </w:r>
      <w:r>
        <w:t>46</w:t>
      </w:r>
      <w:r>
        <w:fldChar w:fldCharType="end"/>
      </w:r>
    </w:p>
    <w:p>
      <w:pPr>
        <w:pStyle w:val="TOC8"/>
        <w:rPr>
          <w:sz w:val="24"/>
          <w:szCs w:val="24"/>
          <w:lang w:val="en-US"/>
        </w:rPr>
      </w:pPr>
      <w:r>
        <w:t>42.</w:t>
      </w:r>
      <w:r>
        <w:tab/>
        <w:t>Employees’ rights preserved</w:t>
      </w:r>
      <w:r>
        <w:tab/>
      </w:r>
      <w:r>
        <w:fldChar w:fldCharType="begin"/>
      </w:r>
      <w:r>
        <w:instrText xml:space="preserve"> PAGEREF _Toc323713231 \h </w:instrText>
      </w:r>
      <w:r>
        <w:fldChar w:fldCharType="separate"/>
      </w:r>
      <w:r>
        <w:t>47</w:t>
      </w:r>
      <w:r>
        <w:fldChar w:fldCharType="end"/>
      </w:r>
    </w:p>
    <w:p>
      <w:pPr>
        <w:pStyle w:val="TOC8"/>
        <w:rPr>
          <w:sz w:val="24"/>
          <w:szCs w:val="24"/>
          <w:lang w:val="en-US"/>
        </w:rPr>
      </w:pPr>
      <w:r>
        <w:t>43.</w:t>
      </w:r>
      <w:r>
        <w:tab/>
        <w:t>Curriculum Council Account</w:t>
      </w:r>
      <w:r>
        <w:tab/>
      </w:r>
      <w:r>
        <w:fldChar w:fldCharType="begin"/>
      </w:r>
      <w:r>
        <w:instrText xml:space="preserve"> PAGEREF _Toc323713232 \h </w:instrText>
      </w:r>
      <w:r>
        <w:fldChar w:fldCharType="separate"/>
      </w:r>
      <w:r>
        <w:t>47</w:t>
      </w:r>
      <w:r>
        <w:fldChar w:fldCharType="end"/>
      </w:r>
    </w:p>
    <w:p>
      <w:pPr>
        <w:pStyle w:val="TOC8"/>
        <w:rPr>
          <w:sz w:val="24"/>
          <w:szCs w:val="24"/>
          <w:lang w:val="en-US"/>
        </w:rPr>
      </w:pPr>
      <w:r>
        <w:t>44.</w:t>
      </w:r>
      <w:r>
        <w:tab/>
        <w:t>Completion of things commenced</w:t>
      </w:r>
      <w:r>
        <w:tab/>
      </w:r>
      <w:r>
        <w:fldChar w:fldCharType="begin"/>
      </w:r>
      <w:r>
        <w:instrText xml:space="preserve"> PAGEREF _Toc323713233 \h </w:instrText>
      </w:r>
      <w:r>
        <w:fldChar w:fldCharType="separate"/>
      </w:r>
      <w:r>
        <w:t>48</w:t>
      </w:r>
      <w:r>
        <w:fldChar w:fldCharType="end"/>
      </w:r>
    </w:p>
    <w:p>
      <w:pPr>
        <w:pStyle w:val="TOC8"/>
        <w:rPr>
          <w:sz w:val="24"/>
          <w:szCs w:val="24"/>
          <w:lang w:val="en-US"/>
        </w:rPr>
      </w:pPr>
      <w:r>
        <w:t>45.</w:t>
      </w:r>
      <w:r>
        <w:tab/>
        <w:t>Continuing effect of things done</w:t>
      </w:r>
      <w:r>
        <w:tab/>
      </w:r>
      <w:r>
        <w:fldChar w:fldCharType="begin"/>
      </w:r>
      <w:r>
        <w:instrText xml:space="preserve"> PAGEREF _Toc323713234 \h </w:instrText>
      </w:r>
      <w:r>
        <w:fldChar w:fldCharType="separate"/>
      </w:r>
      <w:r>
        <w:t>48</w:t>
      </w:r>
      <w:r>
        <w:fldChar w:fldCharType="end"/>
      </w:r>
    </w:p>
    <w:p>
      <w:pPr>
        <w:pStyle w:val="TOC8"/>
        <w:rPr>
          <w:sz w:val="24"/>
          <w:szCs w:val="24"/>
          <w:lang w:val="en-US"/>
        </w:rPr>
      </w:pPr>
      <w:r>
        <w:t>46.</w:t>
      </w:r>
      <w:r>
        <w:tab/>
        <w:t>Exemption from State taxes</w:t>
      </w:r>
      <w:r>
        <w:tab/>
      </w:r>
      <w:r>
        <w:fldChar w:fldCharType="begin"/>
      </w:r>
      <w:r>
        <w:instrText xml:space="preserve"> PAGEREF _Toc323713235 \h </w:instrText>
      </w:r>
      <w:r>
        <w:fldChar w:fldCharType="separate"/>
      </w:r>
      <w:r>
        <w:t>48</w:t>
      </w:r>
      <w:r>
        <w:fldChar w:fldCharType="end"/>
      </w:r>
    </w:p>
    <w:p>
      <w:pPr>
        <w:pStyle w:val="TOC8"/>
        <w:rPr>
          <w:sz w:val="24"/>
          <w:szCs w:val="24"/>
          <w:lang w:val="en-US"/>
        </w:rPr>
      </w:pPr>
      <w:r>
        <w:t>47.</w:t>
      </w:r>
      <w:r>
        <w:tab/>
        <w:t>Agreements and instruments generally</w:t>
      </w:r>
      <w:r>
        <w:tab/>
      </w:r>
      <w:r>
        <w:fldChar w:fldCharType="begin"/>
      </w:r>
      <w:r>
        <w:instrText xml:space="preserve"> PAGEREF _Toc323713236 \h </w:instrText>
      </w:r>
      <w:r>
        <w:fldChar w:fldCharType="separate"/>
      </w:r>
      <w:r>
        <w:t>49</w:t>
      </w:r>
      <w:r>
        <w:fldChar w:fldCharType="end"/>
      </w:r>
    </w:p>
    <w:p>
      <w:pPr>
        <w:pStyle w:val="TOC8"/>
        <w:rPr>
          <w:sz w:val="24"/>
          <w:szCs w:val="24"/>
          <w:lang w:val="en-US"/>
        </w:rPr>
      </w:pPr>
      <w:r>
        <w:t>48.</w:t>
      </w:r>
      <w:r>
        <w:tab/>
        <w:t>Immunity continues</w:t>
      </w:r>
      <w:r>
        <w:tab/>
      </w:r>
      <w:r>
        <w:fldChar w:fldCharType="begin"/>
      </w:r>
      <w:r>
        <w:instrText xml:space="preserve"> PAGEREF _Toc323713237 \h </w:instrText>
      </w:r>
      <w:r>
        <w:fldChar w:fldCharType="separate"/>
      </w:r>
      <w:r>
        <w:t>49</w:t>
      </w:r>
      <w:r>
        <w:fldChar w:fldCharType="end"/>
      </w:r>
    </w:p>
    <w:p>
      <w:pPr>
        <w:pStyle w:val="TOC8"/>
        <w:rPr>
          <w:sz w:val="24"/>
          <w:szCs w:val="24"/>
          <w:lang w:val="en-US"/>
        </w:rPr>
      </w:pPr>
      <w:r>
        <w:t>49.</w:t>
      </w:r>
      <w:r>
        <w:tab/>
        <w:t>Duty of confidentiality continues to apply to members of the Council</w:t>
      </w:r>
      <w:r>
        <w:tab/>
      </w:r>
      <w:r>
        <w:fldChar w:fldCharType="begin"/>
      </w:r>
      <w:r>
        <w:instrText xml:space="preserve"> PAGEREF _Toc323713238 \h </w:instrText>
      </w:r>
      <w:r>
        <w:fldChar w:fldCharType="separate"/>
      </w:r>
      <w:r>
        <w:t>49</w:t>
      </w:r>
      <w:r>
        <w:fldChar w:fldCharType="end"/>
      </w:r>
    </w:p>
    <w:p>
      <w:pPr>
        <w:pStyle w:val="TOC8"/>
        <w:rPr>
          <w:sz w:val="24"/>
          <w:szCs w:val="24"/>
          <w:lang w:val="en-US"/>
        </w:rPr>
      </w:pPr>
      <w:r>
        <w:t>50.</w:t>
      </w:r>
      <w:r>
        <w:tab/>
        <w:t>Registration of documents</w:t>
      </w:r>
      <w:r>
        <w:tab/>
      </w:r>
      <w:r>
        <w:fldChar w:fldCharType="begin"/>
      </w:r>
      <w:r>
        <w:instrText xml:space="preserve"> PAGEREF _Toc323713239 \h </w:instrText>
      </w:r>
      <w:r>
        <w:fldChar w:fldCharType="separate"/>
      </w:r>
      <w:r>
        <w:t>50</w:t>
      </w:r>
      <w:r>
        <w:fldChar w:fldCharType="end"/>
      </w:r>
    </w:p>
    <w:p>
      <w:pPr>
        <w:pStyle w:val="TOC8"/>
        <w:rPr>
          <w:sz w:val="24"/>
          <w:szCs w:val="24"/>
          <w:lang w:val="en-US"/>
        </w:rPr>
      </w:pPr>
      <w:r>
        <w:t>51.</w:t>
      </w:r>
      <w:r>
        <w:tab/>
        <w:t>Transitional regulations</w:t>
      </w:r>
      <w:r>
        <w:tab/>
      </w:r>
      <w:r>
        <w:fldChar w:fldCharType="begin"/>
      </w:r>
      <w:r>
        <w:instrText xml:space="preserve"> PAGEREF _Toc323713240 \h </w:instrText>
      </w:r>
      <w:r>
        <w:fldChar w:fldCharType="separate"/>
      </w:r>
      <w:r>
        <w:t>50</w:t>
      </w:r>
      <w:r>
        <w:fldChar w:fldCharType="end"/>
      </w:r>
    </w:p>
    <w:p>
      <w:pPr>
        <w:pStyle w:val="TOC8"/>
        <w:rPr>
          <w:sz w:val="24"/>
          <w:szCs w:val="24"/>
          <w:lang w:val="en-US"/>
        </w:rPr>
      </w:pPr>
      <w:r>
        <w:t>52.</w:t>
      </w:r>
      <w:r>
        <w:tab/>
        <w:t>Saving</w:t>
      </w:r>
      <w:r>
        <w:tab/>
      </w:r>
      <w:r>
        <w:fldChar w:fldCharType="begin"/>
      </w:r>
      <w:r>
        <w:instrText xml:space="preserve"> PAGEREF _Toc323713241 \h </w:instrText>
      </w:r>
      <w:r>
        <w:fldChar w:fldCharType="separate"/>
      </w:r>
      <w:r>
        <w:t>51</w:t>
      </w:r>
      <w:r>
        <w:fldChar w:fldCharType="end"/>
      </w:r>
    </w:p>
    <w:p>
      <w:pPr>
        <w:pStyle w:val="TOC2"/>
        <w:tabs>
          <w:tab w:val="right" w:leader="dot" w:pos="7086"/>
        </w:tabs>
        <w:rPr>
          <w:b w:val="0"/>
          <w:sz w:val="24"/>
          <w:szCs w:val="24"/>
          <w:lang w:val="en-US"/>
        </w:rPr>
      </w:pPr>
      <w:r>
        <w:t>Schedule 1 — Provisions as to Board</w:t>
      </w:r>
    </w:p>
    <w:p>
      <w:pPr>
        <w:pStyle w:val="TOC4"/>
        <w:tabs>
          <w:tab w:val="right" w:leader="dot" w:pos="7086"/>
        </w:tabs>
        <w:rPr>
          <w:b w:val="0"/>
          <w:sz w:val="24"/>
          <w:szCs w:val="24"/>
          <w:lang w:val="en-US"/>
        </w:rPr>
      </w:pPr>
      <w:r>
        <w:t>Division 1 — Provisions as to constitution and proceedings of the Board</w:t>
      </w:r>
    </w:p>
    <w:p>
      <w:pPr>
        <w:pStyle w:val="TOC8"/>
        <w:rPr>
          <w:sz w:val="24"/>
          <w:szCs w:val="24"/>
          <w:lang w:val="en-US"/>
        </w:rPr>
      </w:pPr>
      <w:r>
        <w:t>1.</w:t>
      </w:r>
      <w:r>
        <w:tab/>
        <w:t>Term of office of members</w:t>
      </w:r>
      <w:r>
        <w:tab/>
      </w:r>
      <w:r>
        <w:fldChar w:fldCharType="begin"/>
      </w:r>
      <w:r>
        <w:instrText xml:space="preserve"> PAGEREF _Toc323713244 \h </w:instrText>
      </w:r>
      <w:r>
        <w:fldChar w:fldCharType="separate"/>
      </w:r>
      <w:r>
        <w:t>52</w:t>
      </w:r>
      <w:r>
        <w:fldChar w:fldCharType="end"/>
      </w:r>
    </w:p>
    <w:p>
      <w:pPr>
        <w:pStyle w:val="TOC8"/>
        <w:rPr>
          <w:sz w:val="24"/>
          <w:szCs w:val="24"/>
          <w:lang w:val="en-US"/>
        </w:rPr>
      </w:pPr>
      <w:r>
        <w:t>2.</w:t>
      </w:r>
      <w:r>
        <w:tab/>
        <w:t>Resignation, removal etc. of members</w:t>
      </w:r>
      <w:r>
        <w:tab/>
      </w:r>
      <w:r>
        <w:fldChar w:fldCharType="begin"/>
      </w:r>
      <w:r>
        <w:instrText xml:space="preserve"> PAGEREF _Toc323713245 \h </w:instrText>
      </w:r>
      <w:r>
        <w:fldChar w:fldCharType="separate"/>
      </w:r>
      <w:r>
        <w:t>52</w:t>
      </w:r>
      <w:r>
        <w:fldChar w:fldCharType="end"/>
      </w:r>
    </w:p>
    <w:p>
      <w:pPr>
        <w:pStyle w:val="TOC8"/>
        <w:rPr>
          <w:sz w:val="24"/>
          <w:szCs w:val="24"/>
          <w:lang w:val="en-US"/>
        </w:rPr>
      </w:pPr>
      <w:r>
        <w:t>3.</w:t>
      </w:r>
      <w:r>
        <w:tab/>
        <w:t>Leave of absence for members</w:t>
      </w:r>
      <w:r>
        <w:tab/>
      </w:r>
      <w:r>
        <w:fldChar w:fldCharType="begin"/>
      </w:r>
      <w:r>
        <w:instrText xml:space="preserve"> PAGEREF _Toc323713246 \h </w:instrText>
      </w:r>
      <w:r>
        <w:fldChar w:fldCharType="separate"/>
      </w:r>
      <w:r>
        <w:t>53</w:t>
      </w:r>
      <w:r>
        <w:fldChar w:fldCharType="end"/>
      </w:r>
    </w:p>
    <w:p>
      <w:pPr>
        <w:pStyle w:val="TOC8"/>
        <w:rPr>
          <w:sz w:val="24"/>
          <w:szCs w:val="24"/>
          <w:lang w:val="en-US"/>
        </w:rPr>
      </w:pPr>
      <w:r>
        <w:t>4.</w:t>
      </w:r>
      <w:r>
        <w:tab/>
        <w:t>Appointed member unable to act</w:t>
      </w:r>
      <w:r>
        <w:tab/>
      </w:r>
      <w:r>
        <w:fldChar w:fldCharType="begin"/>
      </w:r>
      <w:r>
        <w:instrText xml:space="preserve"> PAGEREF _Toc323713247 \h </w:instrText>
      </w:r>
      <w:r>
        <w:fldChar w:fldCharType="separate"/>
      </w:r>
      <w:r>
        <w:t>53</w:t>
      </w:r>
      <w:r>
        <w:fldChar w:fldCharType="end"/>
      </w:r>
    </w:p>
    <w:p>
      <w:pPr>
        <w:pStyle w:val="TOC8"/>
        <w:rPr>
          <w:sz w:val="24"/>
          <w:szCs w:val="24"/>
          <w:lang w:val="en-US"/>
        </w:rPr>
      </w:pPr>
      <w:r>
        <w:t>6.</w:t>
      </w:r>
      <w:r>
        <w:tab/>
        <w:t>Saving</w:t>
      </w:r>
      <w:r>
        <w:tab/>
      </w:r>
      <w:r>
        <w:fldChar w:fldCharType="begin"/>
      </w:r>
      <w:r>
        <w:instrText xml:space="preserve"> PAGEREF _Toc323713248 \h </w:instrText>
      </w:r>
      <w:r>
        <w:fldChar w:fldCharType="separate"/>
      </w:r>
      <w:r>
        <w:t>53</w:t>
      </w:r>
      <w:r>
        <w:fldChar w:fldCharType="end"/>
      </w:r>
    </w:p>
    <w:p>
      <w:pPr>
        <w:pStyle w:val="TOC8"/>
        <w:rPr>
          <w:sz w:val="24"/>
          <w:szCs w:val="24"/>
          <w:lang w:val="en-US"/>
        </w:rPr>
      </w:pPr>
      <w:r>
        <w:t>7.</w:t>
      </w:r>
      <w:r>
        <w:tab/>
        <w:t>Meetings, convening</w:t>
      </w:r>
      <w:r>
        <w:tab/>
      </w:r>
      <w:r>
        <w:fldChar w:fldCharType="begin"/>
      </w:r>
      <w:r>
        <w:instrText xml:space="preserve"> PAGEREF _Toc323713249 \h </w:instrText>
      </w:r>
      <w:r>
        <w:fldChar w:fldCharType="separate"/>
      </w:r>
      <w:r>
        <w:t>53</w:t>
      </w:r>
      <w:r>
        <w:fldChar w:fldCharType="end"/>
      </w:r>
    </w:p>
    <w:p>
      <w:pPr>
        <w:pStyle w:val="TOC8"/>
        <w:rPr>
          <w:sz w:val="24"/>
          <w:szCs w:val="24"/>
          <w:lang w:val="en-US"/>
        </w:rPr>
      </w:pPr>
      <w:r>
        <w:t>8.</w:t>
      </w:r>
      <w:r>
        <w:tab/>
        <w:t>Presiding officer</w:t>
      </w:r>
      <w:r>
        <w:tab/>
      </w:r>
      <w:r>
        <w:fldChar w:fldCharType="begin"/>
      </w:r>
      <w:r>
        <w:instrText xml:space="preserve"> PAGEREF _Toc323713250 \h </w:instrText>
      </w:r>
      <w:r>
        <w:fldChar w:fldCharType="separate"/>
      </w:r>
      <w:r>
        <w:t>54</w:t>
      </w:r>
      <w:r>
        <w:fldChar w:fldCharType="end"/>
      </w:r>
    </w:p>
    <w:p>
      <w:pPr>
        <w:pStyle w:val="TOC8"/>
        <w:rPr>
          <w:sz w:val="24"/>
          <w:szCs w:val="24"/>
          <w:lang w:val="en-US"/>
        </w:rPr>
      </w:pPr>
      <w:r>
        <w:t>9.</w:t>
      </w:r>
      <w:r>
        <w:tab/>
        <w:t>Quorum</w:t>
      </w:r>
      <w:r>
        <w:tab/>
      </w:r>
      <w:r>
        <w:fldChar w:fldCharType="begin"/>
      </w:r>
      <w:r>
        <w:instrText xml:space="preserve"> PAGEREF _Toc323713251 \h </w:instrText>
      </w:r>
      <w:r>
        <w:fldChar w:fldCharType="separate"/>
      </w:r>
      <w:r>
        <w:t>54</w:t>
      </w:r>
      <w:r>
        <w:fldChar w:fldCharType="end"/>
      </w:r>
    </w:p>
    <w:p>
      <w:pPr>
        <w:pStyle w:val="TOC8"/>
        <w:rPr>
          <w:sz w:val="24"/>
          <w:szCs w:val="24"/>
          <w:lang w:val="en-US"/>
        </w:rPr>
      </w:pPr>
      <w:r>
        <w:t>10.</w:t>
      </w:r>
      <w:r>
        <w:tab/>
        <w:t>Voting</w:t>
      </w:r>
      <w:r>
        <w:tab/>
      </w:r>
      <w:r>
        <w:fldChar w:fldCharType="begin"/>
      </w:r>
      <w:r>
        <w:instrText xml:space="preserve"> PAGEREF _Toc323713252 \h </w:instrText>
      </w:r>
      <w:r>
        <w:fldChar w:fldCharType="separate"/>
      </w:r>
      <w:r>
        <w:t>54</w:t>
      </w:r>
      <w:r>
        <w:fldChar w:fldCharType="end"/>
      </w:r>
    </w:p>
    <w:p>
      <w:pPr>
        <w:pStyle w:val="TOC8"/>
        <w:rPr>
          <w:sz w:val="24"/>
          <w:szCs w:val="24"/>
          <w:lang w:val="en-US"/>
        </w:rPr>
      </w:pPr>
      <w:r>
        <w:t>11.</w:t>
      </w:r>
      <w:r>
        <w:tab/>
        <w:t>Minutes</w:t>
      </w:r>
      <w:r>
        <w:tab/>
      </w:r>
      <w:r>
        <w:fldChar w:fldCharType="begin"/>
      </w:r>
      <w:r>
        <w:instrText xml:space="preserve"> PAGEREF _Toc323713253 \h </w:instrText>
      </w:r>
      <w:r>
        <w:fldChar w:fldCharType="separate"/>
      </w:r>
      <w:r>
        <w:t>54</w:t>
      </w:r>
      <w:r>
        <w:fldChar w:fldCharType="end"/>
      </w:r>
    </w:p>
    <w:p>
      <w:pPr>
        <w:pStyle w:val="TOC8"/>
        <w:rPr>
          <w:sz w:val="24"/>
          <w:szCs w:val="24"/>
          <w:lang w:val="en-US"/>
        </w:rPr>
      </w:pPr>
      <w:r>
        <w:t>12.</w:t>
      </w:r>
      <w:r>
        <w:tab/>
        <w:t>Resolution without meeting</w:t>
      </w:r>
      <w:r>
        <w:tab/>
      </w:r>
      <w:r>
        <w:fldChar w:fldCharType="begin"/>
      </w:r>
      <w:r>
        <w:instrText xml:space="preserve"> PAGEREF _Toc323713254 \h </w:instrText>
      </w:r>
      <w:r>
        <w:fldChar w:fldCharType="separate"/>
      </w:r>
      <w:r>
        <w:t>55</w:t>
      </w:r>
      <w:r>
        <w:fldChar w:fldCharType="end"/>
      </w:r>
    </w:p>
    <w:p>
      <w:pPr>
        <w:pStyle w:val="TOC8"/>
        <w:rPr>
          <w:sz w:val="24"/>
          <w:szCs w:val="24"/>
          <w:lang w:val="en-US"/>
        </w:rPr>
      </w:pPr>
      <w:r>
        <w:t>13.</w:t>
      </w:r>
      <w:r>
        <w:tab/>
        <w:t>Telephone or video meetings</w:t>
      </w:r>
      <w:r>
        <w:tab/>
      </w:r>
      <w:r>
        <w:fldChar w:fldCharType="begin"/>
      </w:r>
      <w:r>
        <w:instrText xml:space="preserve"> PAGEREF _Toc323713255 \h </w:instrText>
      </w:r>
      <w:r>
        <w:fldChar w:fldCharType="separate"/>
      </w:r>
      <w:r>
        <w:t>55</w:t>
      </w:r>
      <w:r>
        <w:fldChar w:fldCharType="end"/>
      </w:r>
    </w:p>
    <w:p>
      <w:pPr>
        <w:pStyle w:val="TOC8"/>
        <w:rPr>
          <w:sz w:val="24"/>
          <w:szCs w:val="24"/>
          <w:lang w:val="en-US"/>
        </w:rPr>
      </w:pPr>
      <w:r>
        <w:t>15.</w:t>
      </w:r>
      <w:r>
        <w:tab/>
        <w:t>Board to determine own procedures</w:t>
      </w:r>
      <w:r>
        <w:tab/>
      </w:r>
      <w:r>
        <w:fldChar w:fldCharType="begin"/>
      </w:r>
      <w:r>
        <w:instrText xml:space="preserve"> PAGEREF _Toc323713256 \h </w:instrText>
      </w:r>
      <w:r>
        <w:fldChar w:fldCharType="separate"/>
      </w:r>
      <w:r>
        <w:t>55</w:t>
      </w:r>
      <w:r>
        <w:fldChar w:fldCharType="end"/>
      </w:r>
    </w:p>
    <w:p>
      <w:pPr>
        <w:pStyle w:val="TOC4"/>
        <w:tabs>
          <w:tab w:val="right" w:leader="dot" w:pos="7086"/>
        </w:tabs>
        <w:rPr>
          <w:b w:val="0"/>
          <w:sz w:val="24"/>
          <w:szCs w:val="24"/>
          <w:lang w:val="en-US"/>
        </w:rPr>
      </w:pPr>
      <w:r>
        <w:t>Division 2 — Disclosure of interests, etc.</w:t>
      </w:r>
    </w:p>
    <w:p>
      <w:pPr>
        <w:pStyle w:val="TOC8"/>
        <w:rPr>
          <w:sz w:val="24"/>
          <w:szCs w:val="24"/>
          <w:lang w:val="en-US"/>
        </w:rPr>
      </w:pPr>
      <w:r>
        <w:t>16.</w:t>
      </w:r>
      <w:r>
        <w:tab/>
        <w:t>Material personal interests to be disclosed</w:t>
      </w:r>
      <w:r>
        <w:tab/>
      </w:r>
      <w:r>
        <w:fldChar w:fldCharType="begin"/>
      </w:r>
      <w:r>
        <w:instrText xml:space="preserve"> PAGEREF _Toc323713258 \h </w:instrText>
      </w:r>
      <w:r>
        <w:fldChar w:fldCharType="separate"/>
      </w:r>
      <w:r>
        <w:t>55</w:t>
      </w:r>
      <w:r>
        <w:fldChar w:fldCharType="end"/>
      </w:r>
    </w:p>
    <w:p>
      <w:pPr>
        <w:pStyle w:val="TOC8"/>
        <w:rPr>
          <w:sz w:val="24"/>
          <w:szCs w:val="24"/>
          <w:lang w:val="en-US"/>
        </w:rPr>
      </w:pPr>
      <w:r>
        <w:t>17.</w:t>
      </w:r>
      <w:r>
        <w:tab/>
        <w:t>Member with material personal interest not to vote etc.</w:t>
      </w:r>
      <w:r>
        <w:tab/>
      </w:r>
      <w:r>
        <w:fldChar w:fldCharType="begin"/>
      </w:r>
      <w:r>
        <w:instrText xml:space="preserve"> PAGEREF _Toc323713259 \h </w:instrText>
      </w:r>
      <w:r>
        <w:fldChar w:fldCharType="separate"/>
      </w:r>
      <w:r>
        <w:t>56</w:t>
      </w:r>
      <w:r>
        <w:fldChar w:fldCharType="end"/>
      </w:r>
    </w:p>
    <w:p>
      <w:pPr>
        <w:pStyle w:val="TOC8"/>
        <w:rPr>
          <w:sz w:val="24"/>
          <w:szCs w:val="24"/>
          <w:lang w:val="en-US"/>
        </w:rPr>
      </w:pPr>
      <w:r>
        <w:t>18.</w:t>
      </w:r>
      <w:r>
        <w:tab/>
        <w:t>Board may disapply cl. 17</w:t>
      </w:r>
      <w:r>
        <w:tab/>
      </w:r>
      <w:r>
        <w:fldChar w:fldCharType="begin"/>
      </w:r>
      <w:r>
        <w:instrText xml:space="preserve"> PAGEREF _Toc323713260 \h </w:instrText>
      </w:r>
      <w:r>
        <w:fldChar w:fldCharType="separate"/>
      </w:r>
      <w:r>
        <w:t>56</w:t>
      </w:r>
      <w:r>
        <w:fldChar w:fldCharType="end"/>
      </w:r>
    </w:p>
    <w:p>
      <w:pPr>
        <w:pStyle w:val="TOC8"/>
        <w:rPr>
          <w:sz w:val="24"/>
          <w:szCs w:val="24"/>
          <w:lang w:val="en-US"/>
        </w:rPr>
      </w:pPr>
      <w:r>
        <w:t>19.</w:t>
      </w:r>
      <w:r>
        <w:tab/>
        <w:t>Quorum where cl. 17 applies</w:t>
      </w:r>
      <w:r>
        <w:tab/>
      </w:r>
      <w:r>
        <w:fldChar w:fldCharType="begin"/>
      </w:r>
      <w:r>
        <w:instrText xml:space="preserve"> PAGEREF _Toc323713261 \h </w:instrText>
      </w:r>
      <w:r>
        <w:fldChar w:fldCharType="separate"/>
      </w:r>
      <w:r>
        <w:t>56</w:t>
      </w:r>
      <w:r>
        <w:fldChar w:fldCharType="end"/>
      </w:r>
    </w:p>
    <w:p>
      <w:pPr>
        <w:pStyle w:val="TOC8"/>
        <w:rPr>
          <w:sz w:val="24"/>
          <w:szCs w:val="24"/>
          <w:lang w:val="en-US"/>
        </w:rPr>
      </w:pPr>
      <w:r>
        <w:t>20.</w:t>
      </w:r>
      <w:r>
        <w:tab/>
        <w:t>Minister may declare cl. 17 and 19 inapplicable</w:t>
      </w:r>
      <w:r>
        <w:tab/>
      </w:r>
      <w:r>
        <w:fldChar w:fldCharType="begin"/>
      </w:r>
      <w:r>
        <w:instrText xml:space="preserve"> PAGEREF _Toc323713262 \h </w:instrText>
      </w:r>
      <w:r>
        <w:fldChar w:fldCharType="separate"/>
      </w:r>
      <w:r>
        <w:t>57</w:t>
      </w:r>
      <w:r>
        <w:fldChar w:fldCharType="end"/>
      </w:r>
    </w:p>
    <w:p>
      <w:pPr>
        <w:pStyle w:val="TOC2"/>
        <w:keepLines/>
        <w:tabs>
          <w:tab w:val="right" w:leader="dot" w:pos="7086"/>
        </w:tabs>
        <w:rPr>
          <w:b w:val="0"/>
          <w:sz w:val="24"/>
          <w:szCs w:val="24"/>
          <w:lang w:val="en-US"/>
        </w:rPr>
      </w:pPr>
      <w:r>
        <w:t>Notes</w:t>
      </w:r>
    </w:p>
    <w:p>
      <w:pPr>
        <w:pStyle w:val="TOC8"/>
        <w:keepNext/>
        <w:keepLines/>
        <w:rPr>
          <w:sz w:val="24"/>
          <w:szCs w:val="24"/>
          <w:lang w:val="en-US"/>
        </w:rPr>
      </w:pPr>
      <w:r>
        <w:rPr>
          <w:snapToGrid w:val="0"/>
        </w:rPr>
        <w:tab/>
        <w:t>Compilation table</w:t>
      </w:r>
      <w:r>
        <w:tab/>
      </w:r>
      <w:r>
        <w:fldChar w:fldCharType="begin"/>
      </w:r>
      <w:r>
        <w:instrText xml:space="preserve"> PAGEREF _Toc323713264 \h </w:instrText>
      </w:r>
      <w:r>
        <w:fldChar w:fldCharType="separate"/>
      </w:r>
      <w:r>
        <w:t>58</w:t>
      </w:r>
      <w:r>
        <w:fldChar w:fldCharType="end"/>
      </w:r>
    </w:p>
    <w:p>
      <w:pPr>
        <w:pStyle w:val="TOC2"/>
        <w:tabs>
          <w:tab w:val="right" w:leader="dot" w:pos="7086"/>
        </w:tabs>
        <w:rPr>
          <w:b w:val="0"/>
          <w:sz w:val="24"/>
          <w:szCs w:val="24"/>
          <w:lang w:val="en-US"/>
        </w:rPr>
      </w:pPr>
      <w:r>
        <w:t>Defined Terms</w:t>
      </w:r>
    </w:p>
    <w:p>
      <w:pPr>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27</w:t>
            </w:r>
            <w:r>
              <w:rPr>
                <w:b/>
                <w:snapToGrid w:val="0"/>
                <w:sz w:val="22"/>
              </w:rPr>
              <w:t xml:space="preserve"> April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80" w:after="1000"/>
      </w:pPr>
      <w:r>
        <w:t>School Curriculum and Standards Authority Act 1997</w:t>
      </w:r>
    </w:p>
    <w:p>
      <w:pPr>
        <w:pStyle w:val="LongTitle"/>
        <w:rPr>
          <w:snapToGrid w:val="0"/>
        </w:rPr>
      </w:pPr>
      <w:r>
        <w:rPr>
          <w:snapToGrid w:val="0"/>
        </w:rPr>
        <w:t>An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pPr>
        <w:pStyle w:val="Footnotelongtitle"/>
      </w:pPr>
      <w:r>
        <w:tab/>
        <w:t>[Long title inserted by No. 37 of 2011 s. 4.]</w:t>
      </w:r>
    </w:p>
    <w:p>
      <w:pPr>
        <w:pStyle w:val="Heading2"/>
      </w:pPr>
      <w:bookmarkStart w:id="1" w:name="_Toc72573512"/>
      <w:bookmarkStart w:id="2" w:name="_Toc120341371"/>
      <w:bookmarkStart w:id="3" w:name="_Toc120355744"/>
      <w:bookmarkStart w:id="4" w:name="_Toc123645471"/>
      <w:bookmarkStart w:id="5" w:name="_Toc123645572"/>
      <w:bookmarkStart w:id="6" w:name="_Toc124139441"/>
      <w:bookmarkStart w:id="7" w:name="_Toc157845820"/>
      <w:bookmarkStart w:id="8" w:name="_Toc161720527"/>
      <w:bookmarkStart w:id="9" w:name="_Toc161722979"/>
      <w:bookmarkStart w:id="10" w:name="_Toc163956947"/>
      <w:bookmarkStart w:id="11" w:name="_Toc163964937"/>
      <w:bookmarkStart w:id="12" w:name="_Toc165698379"/>
      <w:bookmarkStart w:id="13" w:name="_Toc232394755"/>
      <w:bookmarkStart w:id="14" w:name="_Toc268269087"/>
      <w:bookmarkStart w:id="15" w:name="_Toc272057658"/>
      <w:bookmarkStart w:id="16" w:name="_Toc274207103"/>
      <w:bookmarkStart w:id="17" w:name="_Toc278975238"/>
      <w:bookmarkStart w:id="18" w:name="_Toc303861423"/>
      <w:bookmarkStart w:id="19" w:name="_Toc303867302"/>
      <w:bookmarkStart w:id="20" w:name="_Toc318121357"/>
      <w:bookmarkStart w:id="21" w:name="_Toc318121607"/>
      <w:bookmarkStart w:id="22" w:name="_Toc318122435"/>
      <w:bookmarkStart w:id="23" w:name="_Toc318181611"/>
      <w:bookmarkStart w:id="24" w:name="_Toc318181716"/>
      <w:bookmarkStart w:id="25" w:name="_Toc318201571"/>
      <w:bookmarkStart w:id="26" w:name="_Toc320283204"/>
      <w:bookmarkStart w:id="27" w:name="_Toc320516354"/>
      <w:bookmarkStart w:id="28" w:name="_Toc321898527"/>
      <w:bookmarkStart w:id="29" w:name="_Toc323638276"/>
      <w:bookmarkStart w:id="30" w:name="_Toc323640236"/>
      <w:bookmarkStart w:id="31" w:name="_Toc32371316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520109132"/>
      <w:bookmarkStart w:id="33" w:name="_Toc17002417"/>
      <w:bookmarkStart w:id="34" w:name="_Toc123645472"/>
      <w:bookmarkStart w:id="35" w:name="_Toc323713162"/>
      <w:r>
        <w:rPr>
          <w:rStyle w:val="CharSectno"/>
        </w:rPr>
        <w:t>1</w:t>
      </w:r>
      <w:r>
        <w:rPr>
          <w:snapToGrid w:val="0"/>
        </w:rPr>
        <w:t>.</w:t>
      </w:r>
      <w:r>
        <w:rPr>
          <w:snapToGrid w:val="0"/>
        </w:rPr>
        <w:tab/>
        <w:t>Short title</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vertAlign w:val="superscript"/>
        </w:rPr>
        <w:t> 1</w:t>
      </w:r>
      <w:r>
        <w:rPr>
          <w:snapToGrid w:val="0"/>
        </w:rPr>
        <w:t>.</w:t>
      </w:r>
    </w:p>
    <w:p>
      <w:pPr>
        <w:pStyle w:val="Footnotesection"/>
      </w:pPr>
      <w:bookmarkStart w:id="36" w:name="_Toc520109133"/>
      <w:bookmarkStart w:id="37" w:name="_Toc17002418"/>
      <w:bookmarkStart w:id="38" w:name="_Toc123645473"/>
      <w:r>
        <w:tab/>
        <w:t>[Section 1 amended by No. 37 of 2011 s. 5.]</w:t>
      </w:r>
    </w:p>
    <w:p>
      <w:pPr>
        <w:pStyle w:val="Heading5"/>
        <w:rPr>
          <w:snapToGrid w:val="0"/>
        </w:rPr>
      </w:pPr>
      <w:bookmarkStart w:id="39" w:name="_Toc323713163"/>
      <w:r>
        <w:rPr>
          <w:rStyle w:val="CharSectno"/>
        </w:rPr>
        <w:t>2</w:t>
      </w:r>
      <w:r>
        <w:rPr>
          <w:snapToGrid w:val="0"/>
        </w:rPr>
        <w:t>.</w:t>
      </w:r>
      <w:r>
        <w:rPr>
          <w:snapToGrid w:val="0"/>
        </w:rPr>
        <w:tab/>
        <w:t>Commencement</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0" w:name="_Toc520109134"/>
      <w:bookmarkStart w:id="41" w:name="_Toc17002419"/>
      <w:bookmarkStart w:id="42" w:name="_Toc123645474"/>
      <w:bookmarkStart w:id="43" w:name="_Toc323713164"/>
      <w:r>
        <w:rPr>
          <w:rStyle w:val="CharSectno"/>
        </w:rPr>
        <w:t>3</w:t>
      </w:r>
      <w:r>
        <w:rPr>
          <w:snapToGrid w:val="0"/>
        </w:rPr>
        <w:t>.</w:t>
      </w:r>
      <w:r>
        <w:rPr>
          <w:snapToGrid w:val="0"/>
        </w:rPr>
        <w:tab/>
      </w:r>
      <w:bookmarkEnd w:id="40"/>
      <w:bookmarkEnd w:id="41"/>
      <w:bookmarkEnd w:id="42"/>
      <w:r>
        <w:rPr>
          <w:snapToGrid w:val="0"/>
        </w:rPr>
        <w:t>Terms used</w:t>
      </w:r>
      <w:bookmarkEnd w:id="43"/>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advisory committee</w:t>
      </w:r>
      <w:r>
        <w:t xml:space="preserve"> means the Curriculum and Assessment Committee or the Standards Committee;</w:t>
      </w:r>
    </w:p>
    <w:p>
      <w:pPr>
        <w:pStyle w:val="Defstart"/>
      </w:pPr>
      <w:r>
        <w:rPr>
          <w:b/>
        </w:rPr>
        <w:tab/>
      </w:r>
      <w:r>
        <w:rPr>
          <w:rStyle w:val="CharDefText"/>
        </w:rPr>
        <w:t>assessment</w:t>
      </w:r>
      <w:r>
        <w:t xml:space="preserve"> includes examination;</w:t>
      </w:r>
    </w:p>
    <w:p>
      <w:pPr>
        <w:pStyle w:val="Defstart"/>
      </w:pPr>
      <w:r>
        <w:rPr>
          <w:b/>
        </w:rPr>
        <w:tab/>
      </w:r>
      <w:r>
        <w:rPr>
          <w:rStyle w:val="CharDefText"/>
        </w:rPr>
        <w:t>Authority</w:t>
      </w:r>
      <w:r>
        <w:t xml:space="preserve"> means the School Curriculum and Standards Authority established by section 5;</w:t>
      </w:r>
    </w:p>
    <w:p>
      <w:pPr>
        <w:pStyle w:val="Defstart"/>
      </w:pPr>
      <w:r>
        <w:rPr>
          <w:b/>
        </w:rPr>
        <w:tab/>
      </w:r>
      <w:r>
        <w:rPr>
          <w:rStyle w:val="CharDefText"/>
        </w:rPr>
        <w:t>Board</w:t>
      </w:r>
      <w:r>
        <w:t xml:space="preserve"> means the governing body of the Authority referred to in section 6;</w:t>
      </w:r>
    </w:p>
    <w:p>
      <w:pPr>
        <w:pStyle w:val="Defstart"/>
      </w:pPr>
      <w:r>
        <w:rPr>
          <w:b/>
        </w:rPr>
        <w:tab/>
      </w:r>
      <w:r>
        <w:rPr>
          <w:rStyle w:val="CharDefText"/>
        </w:rPr>
        <w:t>chairperson</w:t>
      </w:r>
      <w:r>
        <w:t xml:space="preserve"> means the chairperson of the Board;</w:t>
      </w:r>
    </w:p>
    <w:p>
      <w:pPr>
        <w:pStyle w:val="Defstart"/>
      </w:pPr>
      <w:r>
        <w:rPr>
          <w:b/>
        </w:rPr>
        <w:tab/>
      </w:r>
      <w:r>
        <w:rPr>
          <w:rStyle w:val="CharDefText"/>
        </w:rPr>
        <w:t>chief executive officer</w:t>
      </w:r>
      <w:r>
        <w:t xml:space="preserve"> means the person appointed as such for the purposes of section 20;</w:t>
      </w:r>
    </w:p>
    <w:p>
      <w:pPr>
        <w:pStyle w:val="Defstart"/>
      </w:pPr>
      <w:r>
        <w:rPr>
          <w:b/>
        </w:rPr>
        <w:tab/>
      </w:r>
      <w:r>
        <w:rPr>
          <w:rStyle w:val="CharDefText"/>
        </w:rPr>
        <w:t>committee</w:t>
      </w:r>
      <w:r>
        <w:t xml:space="preserve"> means an advisory committee or a committee appointed under section 7F;</w:t>
      </w:r>
    </w:p>
    <w:p>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pPr>
        <w:pStyle w:val="Defstart"/>
      </w:pPr>
      <w:r>
        <w:rPr>
          <w:b/>
        </w:rPr>
        <w:tab/>
      </w:r>
      <w:r>
        <w:rPr>
          <w:rStyle w:val="CharDefText"/>
        </w:rPr>
        <w:t>compulsory education period</w:t>
      </w:r>
      <w:r>
        <w:t xml:space="preserve"> means the compulsory education period under </w:t>
      </w:r>
      <w:r>
        <w:rPr>
          <w:bCs/>
        </w:rPr>
        <w:t xml:space="preserve">the </w:t>
      </w:r>
      <w:r>
        <w:t>School Education Act</w:t>
      </w:r>
      <w:r>
        <w:rPr>
          <w:bCs/>
          <w:i/>
          <w:iCs/>
        </w:rPr>
        <w:t xml:space="preserve"> </w:t>
      </w:r>
      <w:r>
        <w:t xml:space="preserve">determined on the basis of a model under which — </w:t>
      </w:r>
    </w:p>
    <w:p>
      <w:pPr>
        <w:pStyle w:val="Defpara"/>
      </w:pPr>
      <w:r>
        <w:tab/>
        <w:t>(a)</w:t>
      </w:r>
      <w:r>
        <w:tab/>
        <w:t xml:space="preserve">enrolment at a school occurs as soon as is required by section 9 of </w:t>
      </w:r>
      <w:r>
        <w:rPr>
          <w:bCs/>
        </w:rPr>
        <w:t>that Act</w:t>
      </w:r>
      <w:r>
        <w:t>; and</w:t>
      </w:r>
    </w:p>
    <w:p>
      <w:pPr>
        <w:pStyle w:val="Defpara"/>
      </w:pPr>
      <w:r>
        <w:tab/>
        <w:t>(b)</w:t>
      </w:r>
      <w:r>
        <w:tab/>
        <w:t>schooling progresses normally through each year until the end of the compulsory education period under that Act;</w:t>
      </w:r>
    </w:p>
    <w:p>
      <w:pPr>
        <w:pStyle w:val="Defstart"/>
      </w:pPr>
      <w:r>
        <w:rPr>
          <w:b/>
        </w:rPr>
        <w:tab/>
      </w:r>
      <w:r>
        <w:rPr>
          <w:rStyle w:val="CharDefText"/>
        </w:rPr>
        <w:t>course</w:t>
      </w:r>
      <w:r>
        <w:t xml:space="preserve"> means a course of study, subject or syllabus;</w:t>
      </w:r>
    </w:p>
    <w:p>
      <w:pPr>
        <w:pStyle w:val="Defstart"/>
      </w:pPr>
      <w:r>
        <w:rPr>
          <w:b/>
        </w:rPr>
        <w:tab/>
      </w:r>
      <w:r>
        <w:rPr>
          <w:rStyle w:val="CharDefText"/>
        </w:rPr>
        <w:t>Curriculum and Assessment Committee</w:t>
      </w:r>
      <w:r>
        <w:t xml:space="preserve"> means the committee established under section 7D;</w:t>
      </w:r>
    </w:p>
    <w:p>
      <w:pPr>
        <w:pStyle w:val="Defstart"/>
      </w:pPr>
      <w:r>
        <w:rPr>
          <w:b/>
        </w:rPr>
        <w:tab/>
      </w:r>
      <w:r>
        <w:rPr>
          <w:rStyle w:val="CharDefText"/>
        </w:rPr>
        <w:t>Education Department</w:t>
      </w:r>
      <w:r>
        <w:t xml:space="preserve"> means the department referred to in section 228 of the School Education Act;</w:t>
      </w:r>
    </w:p>
    <w:p>
      <w:pPr>
        <w:pStyle w:val="Defstart"/>
      </w:pPr>
      <w:r>
        <w:rPr>
          <w:b/>
        </w:rPr>
        <w:tab/>
      </w:r>
      <w:r>
        <w:rPr>
          <w:rStyle w:val="CharDefText"/>
        </w:rPr>
        <w:t>education provider</w:t>
      </w:r>
      <w:r>
        <w:t xml:space="preserve"> means — </w:t>
      </w:r>
    </w:p>
    <w:p>
      <w:pPr>
        <w:pStyle w:val="Defpara"/>
      </w:pPr>
      <w:r>
        <w:tab/>
        <w:t>(a)</w:t>
      </w:r>
      <w:r>
        <w:tab/>
        <w:t>a governing body; and</w:t>
      </w:r>
    </w:p>
    <w:p>
      <w:pPr>
        <w:pStyle w:val="Defpara"/>
      </w:pPr>
      <w:r>
        <w:tab/>
        <w:t>(b)</w:t>
      </w:r>
      <w:r>
        <w:tab/>
        <w:t>in relation to a student, a parent of the student who is registered under the School Education Act</w:t>
      </w:r>
      <w:r>
        <w:rPr>
          <w:i/>
        </w:rPr>
        <w:t xml:space="preserve"> </w:t>
      </w:r>
      <w:r>
        <w:t>as the student’s home educator;</w:t>
      </w:r>
    </w:p>
    <w:p>
      <w:pPr>
        <w:pStyle w:val="Defstart"/>
        <w:keepNext/>
      </w:pPr>
      <w:r>
        <w:rPr>
          <w:b/>
        </w:rPr>
        <w:tab/>
      </w:r>
      <w:r>
        <w:rPr>
          <w:rStyle w:val="CharDefText"/>
        </w:rPr>
        <w:t>governing body</w:t>
      </w:r>
      <w:r>
        <w:t xml:space="preserve"> means — </w:t>
      </w:r>
    </w:p>
    <w:p>
      <w:pPr>
        <w:pStyle w:val="Defpara"/>
      </w:pPr>
      <w:r>
        <w:tab/>
        <w:t>(a)</w:t>
      </w:r>
      <w:r>
        <w:tab/>
        <w:t>in relation to a government school as defined in the School Education Act, the chief executive officer of the Education Department; and</w:t>
      </w:r>
    </w:p>
    <w:p>
      <w:pPr>
        <w:pStyle w:val="Defpara"/>
      </w:pPr>
      <w:r>
        <w:tab/>
        <w:t>(b)</w:t>
      </w:r>
      <w:r>
        <w:tab/>
        <w:t>in relation to any other school that is not part of a school system, the person or body of persons that has the ownership, management or control of the school; and</w:t>
      </w:r>
    </w:p>
    <w:p>
      <w:pPr>
        <w:pStyle w:val="Defpara"/>
      </w:pPr>
      <w:r>
        <w:tab/>
        <w:t>(c)</w:t>
      </w:r>
      <w:r>
        <w:tab/>
        <w:t>in relation to a school system, the person or body of persons that exercises supervisory control over the schools in the system;</w:t>
      </w:r>
    </w:p>
    <w:p>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pPr>
        <w:pStyle w:val="Defstart"/>
      </w:pPr>
      <w:r>
        <w:rPr>
          <w:b/>
        </w:rPr>
        <w:tab/>
      </w:r>
      <w:r>
        <w:rPr>
          <w:rStyle w:val="CharDefText"/>
        </w:rPr>
        <w:t>member</w:t>
      </w:r>
      <w:r>
        <w:t xml:space="preserve"> means a member of the Board and includes a person acting under Schedule 1 clause 4;</w:t>
      </w:r>
    </w:p>
    <w:p>
      <w:pPr>
        <w:pStyle w:val="Defstart"/>
      </w:pPr>
      <w:r>
        <w:rPr>
          <w:b/>
        </w:rPr>
        <w:tab/>
      </w:r>
      <w:r>
        <w:rPr>
          <w:rStyle w:val="CharDefText"/>
        </w:rPr>
        <w:t>member of staff</w:t>
      </w:r>
      <w:r>
        <w:t xml:space="preserve"> means — </w:t>
      </w:r>
    </w:p>
    <w:p>
      <w:pPr>
        <w:pStyle w:val="Defpara"/>
      </w:pPr>
      <w:r>
        <w:tab/>
        <w:t>(a)</w:t>
      </w:r>
      <w:r>
        <w:tab/>
        <w:t>an officer referred to in section 21(1); and</w:t>
      </w:r>
    </w:p>
    <w:p>
      <w:pPr>
        <w:pStyle w:val="Defpara"/>
      </w:pPr>
      <w:r>
        <w:tab/>
        <w:t>(b)</w:t>
      </w:r>
      <w:r>
        <w:tab/>
        <w:t>a person referred to in section 21(2); and</w:t>
      </w:r>
    </w:p>
    <w:p>
      <w:pPr>
        <w:pStyle w:val="Defpara"/>
      </w:pPr>
      <w:r>
        <w:tab/>
        <w:t>(c)</w:t>
      </w:r>
      <w:r>
        <w:tab/>
        <w:t xml:space="preserve">a person engaged or appointed by the Authority under section 100 of the </w:t>
      </w:r>
      <w:r>
        <w:rPr>
          <w:i/>
        </w:rPr>
        <w:t>Public Sector Management Act 1994</w:t>
      </w:r>
      <w:r>
        <w:t xml:space="preserve">; and </w:t>
      </w:r>
    </w:p>
    <w:p>
      <w:pPr>
        <w:pStyle w:val="Defpara"/>
      </w:pPr>
      <w:r>
        <w:tab/>
        <w:t>(d)</w:t>
      </w:r>
      <w:r>
        <w:tab/>
        <w:t>a person whose services are used under section 21(6) or 22;</w:t>
      </w:r>
    </w:p>
    <w:p>
      <w:pPr>
        <w:pStyle w:val="Defstart"/>
      </w:pPr>
      <w:r>
        <w:rPr>
          <w:b/>
        </w:rPr>
        <w:tab/>
      </w:r>
      <w:r>
        <w:rPr>
          <w:rStyle w:val="CharDefText"/>
        </w:rPr>
        <w:t>school</w:t>
      </w:r>
      <w:r>
        <w:t xml:space="preserve"> means a school as defined in the School Education Act</w:t>
      </w:r>
      <w:r>
        <w:rPr>
          <w:i/>
        </w:rPr>
        <w:t xml:space="preserve"> </w:t>
      </w:r>
      <w:r>
        <w:t>or a community kindergarten;</w:t>
      </w:r>
    </w:p>
    <w:p>
      <w:pPr>
        <w:pStyle w:val="Defstart"/>
      </w:pPr>
      <w:r>
        <w:rPr>
          <w:b/>
        </w:rPr>
        <w:tab/>
      </w:r>
      <w:r>
        <w:rPr>
          <w:rStyle w:val="CharDefText"/>
        </w:rPr>
        <w:t>School Education Act</w:t>
      </w:r>
      <w:r>
        <w:t xml:space="preserve"> means the </w:t>
      </w:r>
      <w:r>
        <w:rPr>
          <w:i/>
          <w:iCs/>
        </w:rPr>
        <w:t>School Education Act</w:t>
      </w:r>
      <w:r>
        <w:t> </w:t>
      </w:r>
      <w:r>
        <w:rPr>
          <w:i/>
          <w:iCs/>
        </w:rPr>
        <w:t>1999</w:t>
      </w:r>
      <w:r>
        <w:t>;</w:t>
      </w:r>
    </w:p>
    <w:p>
      <w:pPr>
        <w:pStyle w:val="Defstart"/>
      </w:pPr>
      <w:r>
        <w:rPr>
          <w:b/>
        </w:rPr>
        <w:tab/>
      </w:r>
      <w:r>
        <w:rPr>
          <w:rStyle w:val="CharDefText"/>
        </w:rPr>
        <w:t>school system</w:t>
      </w:r>
      <w:r>
        <w:t xml:space="preserve"> means a school system that is declared to be a recognised school system under the School Education Act section 169;</w:t>
      </w:r>
    </w:p>
    <w:p>
      <w:pPr>
        <w:pStyle w:val="Defstart"/>
      </w:pPr>
      <w:r>
        <w:rPr>
          <w:b/>
        </w:rPr>
        <w:tab/>
      </w:r>
      <w:r>
        <w:rPr>
          <w:rStyle w:val="CharDefText"/>
        </w:rPr>
        <w:t>school years</w:t>
      </w:r>
      <w:r>
        <w:t xml:space="preserve"> includes the pre</w:t>
      </w:r>
      <w:r>
        <w:noBreakHyphen/>
        <w:t>compulsory education period as defined in the School Education Act section 5;</w:t>
      </w:r>
    </w:p>
    <w:p>
      <w:pPr>
        <w:pStyle w:val="Defstart"/>
      </w:pPr>
      <w:r>
        <w:rPr>
          <w:b/>
        </w:rPr>
        <w:tab/>
      </w:r>
      <w:r>
        <w:rPr>
          <w:rStyle w:val="CharDefText"/>
        </w:rPr>
        <w:t>Standards Committee</w:t>
      </w:r>
      <w:r>
        <w:t xml:space="preserve"> means the committee established under section 7B;</w:t>
      </w:r>
    </w:p>
    <w:p>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pPr>
        <w:pStyle w:val="Defstart"/>
      </w:pPr>
      <w:r>
        <w:rPr>
          <w:b/>
        </w:rPr>
        <w:tab/>
      </w:r>
      <w:r>
        <w:rPr>
          <w:rStyle w:val="CharDefText"/>
        </w:rPr>
        <w:t>student</w:t>
      </w:r>
      <w:r>
        <w:t xml:space="preserve"> means a student enrolled in a school or receiving home education;</w:t>
      </w:r>
    </w:p>
    <w:p>
      <w:pPr>
        <w:pStyle w:val="Defstart"/>
      </w:pPr>
      <w:r>
        <w:rPr>
          <w:b/>
        </w:rPr>
        <w:tab/>
      </w:r>
      <w:r>
        <w:rPr>
          <w:rStyle w:val="CharDefText"/>
        </w:rPr>
        <w:t>vocational education and training</w:t>
      </w:r>
      <w:r>
        <w:t xml:space="preserve"> has the same meaning as in the </w:t>
      </w:r>
      <w:r>
        <w:rPr>
          <w:i/>
        </w:rPr>
        <w:t>Vocational Education and Training Act 1996</w:t>
      </w:r>
      <w:r>
        <w:t>.</w:t>
      </w:r>
    </w:p>
    <w:p>
      <w:pPr>
        <w:pStyle w:val="Footnotesection"/>
      </w:pPr>
      <w:r>
        <w:tab/>
        <w:t>[Section 3 amended by No. 36 of 1999 s. 247; No. 22 of 2005 s. 43; No. 37 of 2011 s. 6 and 53(1).]</w:t>
      </w:r>
    </w:p>
    <w:p>
      <w:pPr>
        <w:pStyle w:val="Heading5"/>
      </w:pPr>
      <w:bookmarkStart w:id="44" w:name="_Toc318099289"/>
      <w:bookmarkStart w:id="45" w:name="_Toc318099392"/>
      <w:bookmarkStart w:id="46" w:name="_Toc323713165"/>
      <w:bookmarkStart w:id="47" w:name="_Toc520109135"/>
      <w:bookmarkStart w:id="48" w:name="_Toc17002420"/>
      <w:bookmarkStart w:id="49" w:name="_Toc123645475"/>
      <w:r>
        <w:rPr>
          <w:rStyle w:val="CharSectno"/>
        </w:rPr>
        <w:t>4</w:t>
      </w:r>
      <w:r>
        <w:t>.</w:t>
      </w:r>
      <w:r>
        <w:tab/>
        <w:t>Objects</w:t>
      </w:r>
      <w:bookmarkEnd w:id="44"/>
      <w:bookmarkEnd w:id="45"/>
      <w:r>
        <w:t xml:space="preserve"> of Act</w:t>
      </w:r>
      <w:bookmarkEnd w:id="46"/>
    </w:p>
    <w:p>
      <w:pPr>
        <w:pStyle w:val="Subsection"/>
      </w:pPr>
      <w:r>
        <w:tab/>
      </w:r>
      <w:r>
        <w:tab/>
        <w:t xml:space="preserve">The main objects of this Act are — </w:t>
      </w:r>
    </w:p>
    <w:p>
      <w:pPr>
        <w:pStyle w:val="Indenta"/>
      </w:pPr>
      <w:r>
        <w:tab/>
        <w:t>(a)</w:t>
      </w:r>
      <w:r>
        <w:tab/>
        <w:t>to establish the School Curriculum and Standards Authority; and</w:t>
      </w:r>
    </w:p>
    <w:p>
      <w:pPr>
        <w:pStyle w:val="Indenta"/>
      </w:pPr>
      <w:r>
        <w:tab/>
        <w:t>(b)</w:t>
      </w:r>
      <w:r>
        <w:tab/>
        <w:t>to provide for standards of student achievement and for the assessment and certification of student achievement according to those standards; and</w:t>
      </w:r>
    </w:p>
    <w:p>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pPr>
        <w:pStyle w:val="Indenta"/>
      </w:pPr>
      <w:r>
        <w:tab/>
        <w:t>(d)</w:t>
      </w:r>
      <w:r>
        <w:tab/>
        <w:t>to provide for the development and accreditation of courses for schooling; and</w:t>
      </w:r>
    </w:p>
    <w:p>
      <w:pPr>
        <w:pStyle w:val="Indenta"/>
      </w:pPr>
      <w:r>
        <w:tab/>
        <w:t>(e)</w:t>
      </w:r>
      <w:r>
        <w:tab/>
        <w:t xml:space="preserve">to provide for the maintenance of a database of information relating to — </w:t>
      </w:r>
    </w:p>
    <w:p>
      <w:pPr>
        <w:pStyle w:val="Indenti"/>
      </w:pPr>
      <w:r>
        <w:tab/>
        <w:t>(i)</w:t>
      </w:r>
      <w:r>
        <w:tab/>
        <w:t>the participation by students during their school years in education, training or employment as provided for by the School Education Act; and</w:t>
      </w:r>
    </w:p>
    <w:p>
      <w:pPr>
        <w:pStyle w:val="Indenti"/>
      </w:pPr>
      <w:r>
        <w:tab/>
        <w:t>(ii)</w:t>
      </w:r>
      <w:r>
        <w:tab/>
        <w:t>the achievements of students during those years; and</w:t>
      </w:r>
    </w:p>
    <w:p>
      <w:pPr>
        <w:pStyle w:val="Indenti"/>
      </w:pPr>
      <w:r>
        <w:tab/>
        <w:t>(iii)</w:t>
      </w:r>
      <w:r>
        <w:tab/>
        <w:t>records of assessment in respect of students.</w:t>
      </w:r>
    </w:p>
    <w:p>
      <w:pPr>
        <w:pStyle w:val="Footnotesection"/>
      </w:pPr>
      <w:r>
        <w:tab/>
        <w:t>[Section 4 inserted by No. 37 of 2011 s. 7.]</w:t>
      </w:r>
    </w:p>
    <w:p>
      <w:pPr>
        <w:pStyle w:val="Heading2"/>
      </w:pPr>
      <w:bookmarkStart w:id="50" w:name="_Toc318099188"/>
      <w:bookmarkStart w:id="51" w:name="_Toc318099291"/>
      <w:bookmarkStart w:id="52" w:name="_Toc318099394"/>
      <w:bookmarkStart w:id="53" w:name="_Toc318121362"/>
      <w:bookmarkStart w:id="54" w:name="_Toc318121612"/>
      <w:bookmarkStart w:id="55" w:name="_Toc318122440"/>
      <w:bookmarkStart w:id="56" w:name="_Toc318181616"/>
      <w:bookmarkStart w:id="57" w:name="_Toc318181721"/>
      <w:bookmarkStart w:id="58" w:name="_Toc318201576"/>
      <w:bookmarkStart w:id="59" w:name="_Toc320283209"/>
      <w:bookmarkStart w:id="60" w:name="_Toc320516359"/>
      <w:bookmarkStart w:id="61" w:name="_Toc321898532"/>
      <w:bookmarkStart w:id="62" w:name="_Toc323638281"/>
      <w:bookmarkStart w:id="63" w:name="_Toc323640241"/>
      <w:bookmarkStart w:id="64" w:name="_Toc323713166"/>
      <w:bookmarkStart w:id="65" w:name="_Toc72573517"/>
      <w:bookmarkStart w:id="66" w:name="_Toc120341376"/>
      <w:bookmarkStart w:id="67" w:name="_Toc120355749"/>
      <w:bookmarkStart w:id="68" w:name="_Toc123645476"/>
      <w:bookmarkStart w:id="69" w:name="_Toc123645577"/>
      <w:bookmarkStart w:id="70" w:name="_Toc124139446"/>
      <w:bookmarkStart w:id="71" w:name="_Toc157845825"/>
      <w:bookmarkStart w:id="72" w:name="_Toc161720532"/>
      <w:bookmarkStart w:id="73" w:name="_Toc161722984"/>
      <w:bookmarkStart w:id="74" w:name="_Toc163956952"/>
      <w:bookmarkStart w:id="75" w:name="_Toc163964942"/>
      <w:bookmarkStart w:id="76" w:name="_Toc165698384"/>
      <w:bookmarkStart w:id="77" w:name="_Toc232394760"/>
      <w:bookmarkStart w:id="78" w:name="_Toc268269092"/>
      <w:bookmarkStart w:id="79" w:name="_Toc272057663"/>
      <w:bookmarkStart w:id="80" w:name="_Toc274207108"/>
      <w:bookmarkStart w:id="81" w:name="_Toc278975243"/>
      <w:bookmarkStart w:id="82" w:name="_Toc303861428"/>
      <w:bookmarkStart w:id="83" w:name="_Toc303867307"/>
      <w:bookmarkEnd w:id="47"/>
      <w:bookmarkEnd w:id="48"/>
      <w:bookmarkEnd w:id="49"/>
      <w:r>
        <w:rPr>
          <w:rStyle w:val="CharPartNo"/>
        </w:rPr>
        <w:t>Part 2</w:t>
      </w:r>
      <w:r>
        <w:rPr>
          <w:b w:val="0"/>
        </w:rPr>
        <w:t> </w:t>
      </w:r>
      <w:r>
        <w:t>—</w:t>
      </w:r>
      <w:r>
        <w:rPr>
          <w:b w:val="0"/>
        </w:rPr>
        <w:t> </w:t>
      </w:r>
      <w:r>
        <w:rPr>
          <w:rStyle w:val="CharPartText"/>
        </w:rPr>
        <w:t>The School Curriculum and Standards Authority and committees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spacing w:before="100"/>
      </w:pPr>
      <w:bookmarkStart w:id="84" w:name="_Toc318099189"/>
      <w:bookmarkStart w:id="85" w:name="_Toc318099292"/>
      <w:bookmarkStart w:id="86" w:name="_Toc318099395"/>
      <w:r>
        <w:tab/>
        <w:t>[Heading inserted by No. 37 of 2011 s. 8.]</w:t>
      </w:r>
    </w:p>
    <w:p>
      <w:pPr>
        <w:pStyle w:val="Heading3"/>
      </w:pPr>
      <w:bookmarkStart w:id="87" w:name="_Toc318121363"/>
      <w:bookmarkStart w:id="88" w:name="_Toc318121613"/>
      <w:bookmarkStart w:id="89" w:name="_Toc318122441"/>
      <w:bookmarkStart w:id="90" w:name="_Toc318181617"/>
      <w:bookmarkStart w:id="91" w:name="_Toc318181722"/>
      <w:bookmarkStart w:id="92" w:name="_Toc318201577"/>
      <w:bookmarkStart w:id="93" w:name="_Toc320283210"/>
      <w:bookmarkStart w:id="94" w:name="_Toc320516360"/>
      <w:bookmarkStart w:id="95" w:name="_Toc321898533"/>
      <w:bookmarkStart w:id="96" w:name="_Toc323638282"/>
      <w:bookmarkStart w:id="97" w:name="_Toc323640242"/>
      <w:bookmarkStart w:id="98" w:name="_Toc323713167"/>
      <w:r>
        <w:rPr>
          <w:rStyle w:val="CharDivNo"/>
        </w:rPr>
        <w:t>Division 1</w:t>
      </w:r>
      <w:r>
        <w:t> — </w:t>
      </w:r>
      <w:r>
        <w:rPr>
          <w:rStyle w:val="CharDivText"/>
        </w:rPr>
        <w:t>School Curriculum and Standards Authority</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Footnoteheading"/>
        <w:spacing w:before="100"/>
      </w:pPr>
      <w:r>
        <w:tab/>
        <w:t>[Heading inserted by No. 37 of 2011 s. 8.]</w:t>
      </w:r>
    </w:p>
    <w:p>
      <w:pPr>
        <w:pStyle w:val="Heading5"/>
      </w:pPr>
      <w:bookmarkStart w:id="99" w:name="_Toc318099294"/>
      <w:bookmarkStart w:id="100" w:name="_Toc318099397"/>
      <w:bookmarkStart w:id="101" w:name="_Toc323713168"/>
      <w:bookmarkStart w:id="102" w:name="_Toc520109136"/>
      <w:bookmarkStart w:id="103" w:name="_Toc17002421"/>
      <w:bookmarkStart w:id="104" w:name="_Toc123645477"/>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Sectno"/>
        </w:rPr>
        <w:t>5</w:t>
      </w:r>
      <w:r>
        <w:t>.</w:t>
      </w:r>
      <w:r>
        <w:tab/>
        <w:t>Authority established</w:t>
      </w:r>
      <w:bookmarkEnd w:id="99"/>
      <w:bookmarkEnd w:id="100"/>
      <w:r>
        <w:t>; status etc. of Authority</w:t>
      </w:r>
      <w:bookmarkEnd w:id="101"/>
    </w:p>
    <w:p>
      <w:pPr>
        <w:pStyle w:val="Subsection"/>
      </w:pPr>
      <w:r>
        <w:tab/>
        <w:t>(1)</w:t>
      </w:r>
      <w:r>
        <w:tab/>
        <w:t>A body called the School Curriculum and Standards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is an agent of the State and has the status, immunities and privileges of the State.</w:t>
      </w:r>
    </w:p>
    <w:p>
      <w:pPr>
        <w:pStyle w:val="Footnotesection"/>
        <w:spacing w:before="100"/>
        <w:ind w:left="890" w:hanging="890"/>
      </w:pPr>
      <w:bookmarkStart w:id="105" w:name="_Toc318099295"/>
      <w:bookmarkStart w:id="106" w:name="_Toc318099398"/>
      <w:r>
        <w:tab/>
        <w:t>[Section 5 inserted by No. 37 of 2011 s. 9.]</w:t>
      </w:r>
    </w:p>
    <w:p>
      <w:pPr>
        <w:pStyle w:val="Heading5"/>
      </w:pPr>
      <w:bookmarkStart w:id="107" w:name="_Toc323713169"/>
      <w:r>
        <w:rPr>
          <w:rStyle w:val="CharSectno"/>
        </w:rPr>
        <w:t>6</w:t>
      </w:r>
      <w:r>
        <w:t>.</w:t>
      </w:r>
      <w:r>
        <w:tab/>
        <w:t>Board</w:t>
      </w:r>
      <w:bookmarkEnd w:id="105"/>
      <w:bookmarkEnd w:id="106"/>
      <w:r>
        <w:t xml:space="preserve"> of Authority</w:t>
      </w:r>
      <w:bookmarkEnd w:id="107"/>
    </w:p>
    <w:p>
      <w:pPr>
        <w:pStyle w:val="Subsection"/>
      </w:pPr>
      <w:r>
        <w:tab/>
        <w:t>(1)</w:t>
      </w:r>
      <w:r>
        <w:tab/>
        <w:t xml:space="preserve">The Authority is to have a governing body (the </w:t>
      </w:r>
      <w:r>
        <w:rPr>
          <w:rStyle w:val="CharDefText"/>
        </w:rPr>
        <w:t>Board</w:t>
      </w:r>
      <w:r>
        <w:t>).</w:t>
      </w:r>
    </w:p>
    <w:p>
      <w:pPr>
        <w:pStyle w:val="Subsection"/>
      </w:pPr>
      <w:r>
        <w:tab/>
        <w:t>(2)</w:t>
      </w:r>
      <w:r>
        <w:tab/>
        <w:t>The Board, in the name of the Authority, is to perform the functions of the Authority under this Act or any other written law.</w:t>
      </w:r>
    </w:p>
    <w:p>
      <w:pPr>
        <w:pStyle w:val="Footnotesection"/>
        <w:spacing w:before="100"/>
        <w:ind w:left="890" w:hanging="890"/>
      </w:pPr>
      <w:bookmarkStart w:id="108" w:name="_Toc318099296"/>
      <w:bookmarkStart w:id="109" w:name="_Toc318099399"/>
      <w:r>
        <w:tab/>
        <w:t>[Section 6 inserted by No. 37 of 2011 s. 9.]</w:t>
      </w:r>
    </w:p>
    <w:p>
      <w:pPr>
        <w:pStyle w:val="Heading5"/>
      </w:pPr>
      <w:bookmarkStart w:id="110" w:name="_Toc323713170"/>
      <w:r>
        <w:rPr>
          <w:rStyle w:val="CharSectno"/>
        </w:rPr>
        <w:t>7A</w:t>
      </w:r>
      <w:r>
        <w:t>.</w:t>
      </w:r>
      <w:r>
        <w:tab/>
        <w:t>Board, members of</w:t>
      </w:r>
      <w:bookmarkEnd w:id="108"/>
      <w:bookmarkEnd w:id="109"/>
      <w:bookmarkEnd w:id="110"/>
    </w:p>
    <w:p>
      <w:pPr>
        <w:pStyle w:val="Subsection"/>
      </w:pPr>
      <w:r>
        <w:tab/>
        <w:t>(1)</w:t>
      </w:r>
      <w:r>
        <w:tab/>
        <w:t>The Minister is to appoint 7 people to be the members of the Board.</w:t>
      </w:r>
    </w:p>
    <w:p>
      <w:pPr>
        <w:pStyle w:val="Subsection"/>
      </w:pPr>
      <w:r>
        <w:tab/>
        <w:t>(2)</w:t>
      </w:r>
      <w:r>
        <w:tab/>
        <w:t>A person who is the chief executive officer or a member of staff is not eligible to be appointed as a member of the Board.</w:t>
      </w:r>
    </w:p>
    <w:p>
      <w:pPr>
        <w:pStyle w:val="Subsection"/>
      </w:pPr>
      <w:r>
        <w:tab/>
        <w:t>(3)</w:t>
      </w:r>
      <w:r>
        <w:tab/>
        <w:t>The Minister is to designate one of the members to be the chairperson.</w:t>
      </w:r>
    </w:p>
    <w:p>
      <w:pPr>
        <w:pStyle w:val="Subsection"/>
      </w:pPr>
      <w:r>
        <w:tab/>
        <w:t>(4)</w:t>
      </w:r>
      <w:r>
        <w:tab/>
        <w:t>The Minister is to ensure that the members of the Board have, between them, the knowledge, experience and expertise needed to enable the Authority’s functions under this Act to be performed effectively.</w:t>
      </w:r>
    </w:p>
    <w:p>
      <w:pPr>
        <w:pStyle w:val="Footnotesection"/>
      </w:pPr>
      <w:bookmarkStart w:id="111" w:name="_Toc318099194"/>
      <w:bookmarkStart w:id="112" w:name="_Toc318099297"/>
      <w:bookmarkStart w:id="113" w:name="_Toc318099400"/>
      <w:r>
        <w:tab/>
        <w:t>[Section 7A inserted by No. 37 of 2011 s. 9.]</w:t>
      </w:r>
    </w:p>
    <w:p>
      <w:pPr>
        <w:pStyle w:val="Heading3"/>
      </w:pPr>
      <w:bookmarkStart w:id="114" w:name="_Toc318121367"/>
      <w:bookmarkStart w:id="115" w:name="_Toc318121617"/>
      <w:bookmarkStart w:id="116" w:name="_Toc318122445"/>
      <w:bookmarkStart w:id="117" w:name="_Toc318181621"/>
      <w:bookmarkStart w:id="118" w:name="_Toc318181726"/>
      <w:bookmarkStart w:id="119" w:name="_Toc318201581"/>
      <w:bookmarkStart w:id="120" w:name="_Toc320283214"/>
      <w:bookmarkStart w:id="121" w:name="_Toc320516364"/>
      <w:bookmarkStart w:id="122" w:name="_Toc321898537"/>
      <w:bookmarkStart w:id="123" w:name="_Toc323638286"/>
      <w:bookmarkStart w:id="124" w:name="_Toc323640246"/>
      <w:bookmarkStart w:id="125" w:name="_Toc323713171"/>
      <w:r>
        <w:rPr>
          <w:rStyle w:val="CharDivNo"/>
        </w:rPr>
        <w:t>Division 2</w:t>
      </w:r>
      <w:r>
        <w:t> — </w:t>
      </w:r>
      <w:r>
        <w:rPr>
          <w:rStyle w:val="CharDivText"/>
        </w:rPr>
        <w:t>Committees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bookmarkStart w:id="126" w:name="_Toc318099298"/>
      <w:bookmarkStart w:id="127" w:name="_Toc318099401"/>
      <w:r>
        <w:tab/>
        <w:t>[Heading inserted by No. 37 of 2011 s. 9.]</w:t>
      </w:r>
    </w:p>
    <w:p>
      <w:pPr>
        <w:pStyle w:val="Heading5"/>
      </w:pPr>
      <w:bookmarkStart w:id="128" w:name="_Toc323713172"/>
      <w:r>
        <w:rPr>
          <w:rStyle w:val="CharSectno"/>
        </w:rPr>
        <w:t>7B</w:t>
      </w:r>
      <w:r>
        <w:t>.</w:t>
      </w:r>
      <w:r>
        <w:tab/>
        <w:t>Standards Committee</w:t>
      </w:r>
      <w:bookmarkEnd w:id="126"/>
      <w:bookmarkEnd w:id="127"/>
      <w:r>
        <w:t xml:space="preserve"> established; members of</w:t>
      </w:r>
      <w:bookmarkEnd w:id="128"/>
    </w:p>
    <w:p>
      <w:pPr>
        <w:pStyle w:val="Subsection"/>
      </w:pPr>
      <w:r>
        <w:tab/>
        <w:t>(1)</w:t>
      </w:r>
      <w:r>
        <w:tab/>
        <w:t>A committee called the Standards Committee is established.</w:t>
      </w:r>
    </w:p>
    <w:p>
      <w:pPr>
        <w:pStyle w:val="Subsection"/>
      </w:pPr>
      <w:r>
        <w:tab/>
        <w:t>(2)</w:t>
      </w:r>
      <w:r>
        <w:tab/>
        <w:t xml:space="preserve">The Standards Committee is to consist of — </w:t>
      </w:r>
    </w:p>
    <w:p>
      <w:pPr>
        <w:pStyle w:val="Indenta"/>
      </w:pPr>
      <w:r>
        <w:tab/>
        <w:t>(a)</w:t>
      </w:r>
      <w:r>
        <w:tab/>
        <w:t>one person who is a member of, and appointed by, the Board; and</w:t>
      </w:r>
    </w:p>
    <w:p>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pPr>
        <w:pStyle w:val="Subsection"/>
      </w:pPr>
      <w:r>
        <w:tab/>
        <w:t>(3)</w:t>
      </w:r>
      <w:r>
        <w:tab/>
        <w:t>A person who is the chief executive officer or a member of staff is not eligible to be a member of the Standards Committee.</w:t>
      </w:r>
    </w:p>
    <w:p>
      <w:pPr>
        <w:pStyle w:val="Subsection"/>
      </w:pPr>
      <w:r>
        <w:tab/>
        <w:t>(4)</w:t>
      </w:r>
      <w:r>
        <w:tab/>
        <w:t>The person appointed in accordance with subsection (2)(a) is the chairperson of the Standards Committee.</w:t>
      </w:r>
    </w:p>
    <w:p>
      <w:pPr>
        <w:pStyle w:val="Subsection"/>
      </w:pPr>
      <w:r>
        <w:tab/>
        <w:t>(5)</w:t>
      </w:r>
      <w:r>
        <w:tab/>
        <w:t>A member of the Standards Committee holds office for the term determined by the Board and is eligible for reappointment.</w:t>
      </w:r>
    </w:p>
    <w:p>
      <w:pPr>
        <w:pStyle w:val="Footnotesection"/>
      </w:pPr>
      <w:bookmarkStart w:id="129" w:name="_Toc318099299"/>
      <w:bookmarkStart w:id="130" w:name="_Toc318099402"/>
      <w:r>
        <w:tab/>
        <w:t>[Section 7B inserted by No. 37 of 2011 s. 9.]</w:t>
      </w:r>
    </w:p>
    <w:p>
      <w:pPr>
        <w:pStyle w:val="Heading5"/>
      </w:pPr>
      <w:bookmarkStart w:id="131" w:name="_Toc323713173"/>
      <w:r>
        <w:rPr>
          <w:rStyle w:val="CharSectno"/>
        </w:rPr>
        <w:t>7C</w:t>
      </w:r>
      <w:r>
        <w:t>.</w:t>
      </w:r>
      <w:r>
        <w:tab/>
        <w:t>Standards Committee</w:t>
      </w:r>
      <w:bookmarkEnd w:id="129"/>
      <w:bookmarkEnd w:id="130"/>
      <w:r>
        <w:t>, functions of</w:t>
      </w:r>
      <w:bookmarkEnd w:id="131"/>
    </w:p>
    <w:p>
      <w:pPr>
        <w:pStyle w:val="Subsection"/>
      </w:pPr>
      <w:r>
        <w:tab/>
        <w:t>(1)</w:t>
      </w:r>
      <w:r>
        <w:tab/>
        <w:t xml:space="preserve">The function of the Standards Committee is to provide advice to the Board in relation to — </w:t>
      </w:r>
    </w:p>
    <w:p>
      <w:pPr>
        <w:pStyle w:val="Indenta"/>
      </w:pPr>
      <w:r>
        <w:tab/>
        <w:t>(a)</w:t>
      </w:r>
      <w:r>
        <w:tab/>
        <w:t>the functions of the Authority referred to in section 9(1)(j) to (o); and</w:t>
      </w:r>
    </w:p>
    <w:p>
      <w:pPr>
        <w:pStyle w:val="Indenta"/>
      </w:pPr>
      <w:r>
        <w:tab/>
        <w:t>(b)</w:t>
      </w:r>
      <w:r>
        <w:tab/>
        <w:t>any other matter on which the Board requests the Standards Committee to provide advice.</w:t>
      </w:r>
    </w:p>
    <w:p>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pPr>
        <w:pStyle w:val="Footnotesection"/>
      </w:pPr>
      <w:bookmarkStart w:id="132" w:name="_Toc318099300"/>
      <w:bookmarkStart w:id="133" w:name="_Toc318099403"/>
      <w:r>
        <w:tab/>
        <w:t>[Section 7C inserted by No. 37 of 2011 s. 9.]</w:t>
      </w:r>
    </w:p>
    <w:p>
      <w:pPr>
        <w:pStyle w:val="Heading5"/>
      </w:pPr>
      <w:bookmarkStart w:id="134" w:name="_Toc323713174"/>
      <w:r>
        <w:rPr>
          <w:rStyle w:val="CharSectno"/>
        </w:rPr>
        <w:t>7D</w:t>
      </w:r>
      <w:r>
        <w:t>.</w:t>
      </w:r>
      <w:r>
        <w:tab/>
        <w:t>Curriculum and Assessment Committee</w:t>
      </w:r>
      <w:bookmarkEnd w:id="132"/>
      <w:bookmarkEnd w:id="133"/>
      <w:r>
        <w:t xml:space="preserve"> established; members of</w:t>
      </w:r>
      <w:bookmarkEnd w:id="134"/>
    </w:p>
    <w:p>
      <w:pPr>
        <w:pStyle w:val="Subsection"/>
        <w:spacing w:before="120"/>
      </w:pPr>
      <w:r>
        <w:tab/>
        <w:t>(1)</w:t>
      </w:r>
      <w:r>
        <w:tab/>
        <w:t>A committee called the Curriculum and Assessment Committee is established.</w:t>
      </w:r>
    </w:p>
    <w:p>
      <w:pPr>
        <w:pStyle w:val="Subsection"/>
        <w:spacing w:before="120"/>
      </w:pPr>
      <w:r>
        <w:tab/>
        <w:t>(2)</w:t>
      </w:r>
      <w:r>
        <w:tab/>
        <w:t xml:space="preserve">The Curriculum and Assessment Committee is to consist of — </w:t>
      </w:r>
    </w:p>
    <w:p>
      <w:pPr>
        <w:pStyle w:val="Indenta"/>
      </w:pPr>
      <w:r>
        <w:tab/>
        <w:t>(a)</w:t>
      </w:r>
      <w:r>
        <w:tab/>
        <w:t>one person who is a member of, and appointed by, the Board; and</w:t>
      </w:r>
    </w:p>
    <w:p>
      <w:pPr>
        <w:pStyle w:val="Indenta"/>
      </w:pPr>
      <w:r>
        <w:tab/>
        <w:t>(b)</w:t>
      </w:r>
      <w:r>
        <w:tab/>
        <w:t xml:space="preserve">12 people appointed by the Board, with the approval of the Minister, who have between them, in the opinion of the Board, qualifications, experience and expertise in — </w:t>
      </w:r>
    </w:p>
    <w:p>
      <w:pPr>
        <w:pStyle w:val="Indenti"/>
      </w:pPr>
      <w:r>
        <w:tab/>
        <w:t>(i)</w:t>
      </w:r>
      <w:r>
        <w:tab/>
        <w:t>the development and implementation of courses in government schools or non</w:t>
      </w:r>
      <w:r>
        <w:noBreakHyphen/>
        <w:t>government schools, as defined in the School Education Act; and</w:t>
      </w:r>
    </w:p>
    <w:p>
      <w:pPr>
        <w:pStyle w:val="Indenti"/>
      </w:pPr>
      <w:r>
        <w:tab/>
        <w:t>(ii)</w:t>
      </w:r>
      <w:r>
        <w:tab/>
        <w:t>the options for employment or further study available to students leaving secondary school.</w:t>
      </w:r>
    </w:p>
    <w:p>
      <w:pPr>
        <w:pStyle w:val="Subsection"/>
        <w:spacing w:before="120"/>
      </w:pPr>
      <w:r>
        <w:tab/>
        <w:t>(3)</w:t>
      </w:r>
      <w:r>
        <w:tab/>
        <w:t>A person who is the chief executive officer or a member of staff is not eligible to be a member of the Curriculum and Assessment Committee.</w:t>
      </w:r>
    </w:p>
    <w:p>
      <w:pPr>
        <w:pStyle w:val="Subsection"/>
        <w:spacing w:before="120"/>
      </w:pPr>
      <w:r>
        <w:tab/>
        <w:t>(4)</w:t>
      </w:r>
      <w:r>
        <w:tab/>
        <w:t xml:space="preserve">The person appointed in accordance with subsection (2)(a) is the chairperson of the Curriculum and Assessment Committee. </w:t>
      </w:r>
    </w:p>
    <w:p>
      <w:pPr>
        <w:pStyle w:val="Subsection"/>
        <w:spacing w:before="120"/>
      </w:pPr>
      <w:r>
        <w:tab/>
        <w:t>(5)</w:t>
      </w:r>
      <w:r>
        <w:tab/>
        <w:t>A member of the Curriculum and Assessment Committee holds office for the term determined by the Board and is eligible for reappointment.</w:t>
      </w:r>
    </w:p>
    <w:p>
      <w:pPr>
        <w:pStyle w:val="Footnotesection"/>
      </w:pPr>
      <w:bookmarkStart w:id="135" w:name="_Toc318099301"/>
      <w:bookmarkStart w:id="136" w:name="_Toc318099404"/>
      <w:r>
        <w:tab/>
        <w:t>[Section 7D inserted by No. 37 of 2011 s. 9.]</w:t>
      </w:r>
    </w:p>
    <w:p>
      <w:pPr>
        <w:pStyle w:val="Heading5"/>
      </w:pPr>
      <w:bookmarkStart w:id="137" w:name="_Toc323713175"/>
      <w:r>
        <w:rPr>
          <w:rStyle w:val="CharSectno"/>
        </w:rPr>
        <w:t>7E</w:t>
      </w:r>
      <w:r>
        <w:t>.</w:t>
      </w:r>
      <w:r>
        <w:tab/>
        <w:t>Curriculum and Assessment Committee</w:t>
      </w:r>
      <w:bookmarkEnd w:id="135"/>
      <w:bookmarkEnd w:id="136"/>
      <w:r>
        <w:t>, functions of</w:t>
      </w:r>
      <w:bookmarkEnd w:id="137"/>
    </w:p>
    <w:p>
      <w:pPr>
        <w:pStyle w:val="Subsection"/>
      </w:pPr>
      <w:r>
        <w:tab/>
        <w:t>(1)</w:t>
      </w:r>
      <w:r>
        <w:tab/>
        <w:t xml:space="preserve">The function of the Curriculum and Assessment Committee is to provide advice to the Board in relation to — </w:t>
      </w:r>
    </w:p>
    <w:p>
      <w:pPr>
        <w:pStyle w:val="Indenta"/>
      </w:pPr>
      <w:r>
        <w:tab/>
        <w:t>(a)</w:t>
      </w:r>
      <w:r>
        <w:tab/>
        <w:t>the functions of the Authority referred to in section 9(1)(a) to (d) and (f) to (i); and</w:t>
      </w:r>
    </w:p>
    <w:p>
      <w:pPr>
        <w:pStyle w:val="Indenta"/>
      </w:pPr>
      <w:r>
        <w:tab/>
        <w:t>(b)</w:t>
      </w:r>
      <w:r>
        <w:tab/>
        <w:t>any other matter on which the Board requests the Curriculum and Assessment Committee to provide advice.</w:t>
      </w:r>
    </w:p>
    <w:p>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pPr>
        <w:pStyle w:val="Footnotesection"/>
      </w:pPr>
      <w:bookmarkStart w:id="138" w:name="_Toc318099302"/>
      <w:bookmarkStart w:id="139" w:name="_Toc318099405"/>
      <w:r>
        <w:tab/>
        <w:t>[Section 7E inserted by No. 37 of 2011 s. 9.]</w:t>
      </w:r>
    </w:p>
    <w:p>
      <w:pPr>
        <w:pStyle w:val="Heading5"/>
      </w:pPr>
      <w:bookmarkStart w:id="140" w:name="_Toc323713176"/>
      <w:r>
        <w:rPr>
          <w:rStyle w:val="CharSectno"/>
        </w:rPr>
        <w:t>7F</w:t>
      </w:r>
      <w:r>
        <w:t>.</w:t>
      </w:r>
      <w:r>
        <w:tab/>
        <w:t>Other committees</w:t>
      </w:r>
      <w:bookmarkEnd w:id="138"/>
      <w:bookmarkEnd w:id="139"/>
      <w:bookmarkEnd w:id="140"/>
    </w:p>
    <w:p>
      <w:pPr>
        <w:pStyle w:val="Subsection"/>
      </w:pPr>
      <w:r>
        <w:tab/>
        <w:t>(1)</w:t>
      </w:r>
      <w:r>
        <w:tab/>
        <w:t xml:space="preserve">The Board — </w:t>
      </w:r>
    </w:p>
    <w:p>
      <w:pPr>
        <w:pStyle w:val="Indenta"/>
      </w:pPr>
      <w:r>
        <w:tab/>
        <w:t>(a)</w:t>
      </w:r>
      <w:r>
        <w:tab/>
        <w:t>may appoint committees to assist the Board in relation to the performance of the Authority’s functions; and</w:t>
      </w:r>
    </w:p>
    <w:p>
      <w:pPr>
        <w:pStyle w:val="Indenta"/>
      </w:pPr>
      <w:r>
        <w:tab/>
        <w:t>(b)</w:t>
      </w:r>
      <w:r>
        <w:tab/>
        <w:t>may discharge or alter any committee so appointed.</w:t>
      </w:r>
    </w:p>
    <w:p>
      <w:pPr>
        <w:pStyle w:val="Subsection"/>
      </w:pPr>
      <w:r>
        <w:tab/>
        <w:t>(2)</w:t>
      </w:r>
      <w:r>
        <w:tab/>
        <w:t>A committee appointed under this section may consist of or include people who are not members of the Board.</w:t>
      </w:r>
    </w:p>
    <w:p>
      <w:pPr>
        <w:pStyle w:val="Subsection"/>
      </w:pPr>
      <w:r>
        <w:tab/>
        <w:t>(3)</w:t>
      </w:r>
      <w:r>
        <w:tab/>
        <w:t>The chief executive officer is not eligible to be a member of a committee appointed under this section.</w:t>
      </w:r>
    </w:p>
    <w:p>
      <w:pPr>
        <w:pStyle w:val="Subsection"/>
      </w:pPr>
      <w:r>
        <w:tab/>
        <w:t>(4)</w:t>
      </w:r>
      <w:r>
        <w:tab/>
        <w:t>Subject to any direction given to it by the Board, a committee appointed under this section may determine its own procedures.</w:t>
      </w:r>
    </w:p>
    <w:p>
      <w:pPr>
        <w:pStyle w:val="Footnotesection"/>
      </w:pPr>
      <w:bookmarkStart w:id="141" w:name="_Toc318099303"/>
      <w:bookmarkStart w:id="142" w:name="_Toc318099406"/>
      <w:r>
        <w:tab/>
        <w:t>[Section 7F inserted by No. 37 of 2011 s. 9.]</w:t>
      </w:r>
    </w:p>
    <w:p>
      <w:pPr>
        <w:pStyle w:val="Heading5"/>
      </w:pPr>
      <w:bookmarkStart w:id="143" w:name="_Toc323713177"/>
      <w:r>
        <w:rPr>
          <w:rStyle w:val="CharSectno"/>
        </w:rPr>
        <w:t>7G</w:t>
      </w:r>
      <w:r>
        <w:t>.</w:t>
      </w:r>
      <w:r>
        <w:tab/>
        <w:t>Support services for committees</w:t>
      </w:r>
      <w:bookmarkEnd w:id="141"/>
      <w:bookmarkEnd w:id="142"/>
      <w:bookmarkEnd w:id="143"/>
    </w:p>
    <w:p>
      <w:pPr>
        <w:pStyle w:val="Subsection"/>
        <w:keepNext/>
        <w:keepLines/>
      </w:pPr>
      <w:r>
        <w:tab/>
      </w:r>
      <w:r>
        <w:tab/>
        <w:t>The Authority is to provide a committee with any clerical or other support services that the Authority determines are appropriate.</w:t>
      </w:r>
    </w:p>
    <w:p>
      <w:pPr>
        <w:pStyle w:val="Footnotesection"/>
        <w:keepNext/>
      </w:pPr>
      <w:r>
        <w:tab/>
        <w:t>[Section 7G inserted by No. 37 of 2011 s. 9.]</w:t>
      </w:r>
    </w:p>
    <w:p>
      <w:pPr>
        <w:pStyle w:val="Heading3"/>
      </w:pPr>
      <w:bookmarkStart w:id="144" w:name="_Toc318099202"/>
      <w:bookmarkStart w:id="145" w:name="_Toc318099305"/>
      <w:bookmarkStart w:id="146" w:name="_Toc318099408"/>
      <w:bookmarkStart w:id="147" w:name="_Toc318121374"/>
      <w:bookmarkStart w:id="148" w:name="_Toc318121624"/>
      <w:bookmarkStart w:id="149" w:name="_Toc318122452"/>
      <w:bookmarkStart w:id="150" w:name="_Toc318181628"/>
      <w:bookmarkStart w:id="151" w:name="_Toc318181733"/>
      <w:bookmarkStart w:id="152" w:name="_Toc318201588"/>
      <w:bookmarkStart w:id="153" w:name="_Toc320283221"/>
      <w:bookmarkStart w:id="154" w:name="_Toc320516371"/>
      <w:bookmarkStart w:id="155" w:name="_Toc321898544"/>
      <w:bookmarkStart w:id="156" w:name="_Toc323638293"/>
      <w:bookmarkStart w:id="157" w:name="_Toc323640253"/>
      <w:bookmarkStart w:id="158" w:name="_Toc323713178"/>
      <w:bookmarkStart w:id="159" w:name="_Toc520109138"/>
      <w:bookmarkStart w:id="160" w:name="_Toc17002423"/>
      <w:bookmarkStart w:id="161" w:name="_Toc123645479"/>
      <w:bookmarkEnd w:id="102"/>
      <w:bookmarkEnd w:id="103"/>
      <w:bookmarkEnd w:id="104"/>
      <w:r>
        <w:rPr>
          <w:rStyle w:val="CharDivNo"/>
        </w:rPr>
        <w:t>Division 3</w:t>
      </w:r>
      <w:r>
        <w:t> — </w:t>
      </w:r>
      <w:r>
        <w:rPr>
          <w:rStyle w:val="CharDivText"/>
        </w:rPr>
        <w:t>General</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37 of 2011 s. 10.]</w:t>
      </w:r>
    </w:p>
    <w:p>
      <w:pPr>
        <w:pStyle w:val="Heading5"/>
        <w:rPr>
          <w:snapToGrid w:val="0"/>
        </w:rPr>
      </w:pPr>
      <w:bookmarkStart w:id="162" w:name="_Toc323713179"/>
      <w:r>
        <w:rPr>
          <w:rStyle w:val="CharSectno"/>
        </w:rPr>
        <w:t>7</w:t>
      </w:r>
      <w:r>
        <w:rPr>
          <w:snapToGrid w:val="0"/>
        </w:rPr>
        <w:t>.</w:t>
      </w:r>
      <w:r>
        <w:rPr>
          <w:snapToGrid w:val="0"/>
        </w:rPr>
        <w:tab/>
      </w:r>
      <w:bookmarkEnd w:id="159"/>
      <w:bookmarkEnd w:id="160"/>
      <w:bookmarkEnd w:id="161"/>
      <w:r>
        <w:rPr>
          <w:snapToGrid w:val="0"/>
        </w:rPr>
        <w:t>Provisions about Board (Sch. 1)</w:t>
      </w:r>
      <w:bookmarkEnd w:id="162"/>
    </w:p>
    <w:p>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pPr>
        <w:pStyle w:val="Footnotesection"/>
      </w:pPr>
      <w:bookmarkStart w:id="163" w:name="_Toc520109139"/>
      <w:bookmarkStart w:id="164" w:name="_Toc17002424"/>
      <w:bookmarkStart w:id="165" w:name="_Toc123645480"/>
      <w:r>
        <w:tab/>
        <w:t>[Section 7 amended by No. 37 of 2011 s. 11.]</w:t>
      </w:r>
    </w:p>
    <w:p>
      <w:pPr>
        <w:pStyle w:val="Heading5"/>
      </w:pPr>
      <w:bookmarkStart w:id="166" w:name="_Toc318099308"/>
      <w:bookmarkStart w:id="167" w:name="_Toc318099411"/>
      <w:bookmarkStart w:id="168" w:name="_Toc323713180"/>
      <w:r>
        <w:rPr>
          <w:rStyle w:val="CharSectno"/>
        </w:rPr>
        <w:t>8A</w:t>
      </w:r>
      <w:r>
        <w:t>.</w:t>
      </w:r>
      <w:r>
        <w:tab/>
        <w:t>CEO or representative may attend meetings of Board and committees</w:t>
      </w:r>
      <w:bookmarkEnd w:id="166"/>
      <w:bookmarkEnd w:id="167"/>
      <w:bookmarkEnd w:id="168"/>
    </w:p>
    <w:p>
      <w:pPr>
        <w:pStyle w:val="Subsection"/>
      </w:pPr>
      <w:r>
        <w:tab/>
        <w:t>(1)</w:t>
      </w:r>
      <w:r>
        <w:tab/>
        <w:t xml:space="preserve">Unless the Board or committee, as the case requires — </w:t>
      </w:r>
    </w:p>
    <w:p>
      <w:pPr>
        <w:pStyle w:val="Indenta"/>
      </w:pPr>
      <w:r>
        <w:tab/>
        <w:t>(a)</w:t>
      </w:r>
      <w:r>
        <w:tab/>
        <w:t>determines otherwise in respect of a particular meeting; and</w:t>
      </w:r>
    </w:p>
    <w:p>
      <w:pPr>
        <w:pStyle w:val="Indenta"/>
      </w:pPr>
      <w:r>
        <w:tab/>
        <w:t>(b)</w:t>
      </w:r>
      <w:r>
        <w:tab/>
        <w:t>informs the chief executive officer or member of staff of the determination before the meeting is held,</w:t>
      </w:r>
    </w:p>
    <w:p>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pPr>
        <w:pStyle w:val="Footnotesection"/>
      </w:pPr>
      <w:r>
        <w:tab/>
        <w:t>[Section 8A inserted by No. 37 of 2011 s. 12.]</w:t>
      </w:r>
    </w:p>
    <w:p>
      <w:pPr>
        <w:pStyle w:val="Heading5"/>
        <w:rPr>
          <w:snapToGrid w:val="0"/>
        </w:rPr>
      </w:pPr>
      <w:bookmarkStart w:id="169" w:name="_Toc323713181"/>
      <w:r>
        <w:rPr>
          <w:rStyle w:val="CharSectno"/>
        </w:rPr>
        <w:t>8</w:t>
      </w:r>
      <w:r>
        <w:rPr>
          <w:snapToGrid w:val="0"/>
        </w:rPr>
        <w:t>.</w:t>
      </w:r>
      <w:r>
        <w:rPr>
          <w:snapToGrid w:val="0"/>
        </w:rPr>
        <w:tab/>
        <w:t>Members</w:t>
      </w:r>
      <w:bookmarkEnd w:id="163"/>
      <w:bookmarkEnd w:id="164"/>
      <w:bookmarkEnd w:id="165"/>
      <w:r>
        <w:rPr>
          <w:snapToGrid w:val="0"/>
        </w:rPr>
        <w:t xml:space="preserve"> of Board and committees, remuneration of</w:t>
      </w:r>
      <w:bookmarkEnd w:id="169"/>
    </w:p>
    <w:p>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 No. 37 of 2011 s. 13.]</w:t>
      </w:r>
    </w:p>
    <w:p>
      <w:pPr>
        <w:pStyle w:val="Heading2"/>
      </w:pPr>
      <w:bookmarkStart w:id="170" w:name="_Toc72573522"/>
      <w:bookmarkStart w:id="171" w:name="_Toc120341381"/>
      <w:bookmarkStart w:id="172" w:name="_Toc120355754"/>
      <w:bookmarkStart w:id="173" w:name="_Toc123645481"/>
      <w:bookmarkStart w:id="174" w:name="_Toc123645582"/>
      <w:bookmarkStart w:id="175" w:name="_Toc124139451"/>
      <w:bookmarkStart w:id="176" w:name="_Toc157845830"/>
      <w:bookmarkStart w:id="177" w:name="_Toc161720537"/>
      <w:bookmarkStart w:id="178" w:name="_Toc161722989"/>
      <w:bookmarkStart w:id="179" w:name="_Toc163956957"/>
      <w:bookmarkStart w:id="180" w:name="_Toc163964947"/>
      <w:bookmarkStart w:id="181" w:name="_Toc165698389"/>
      <w:bookmarkStart w:id="182" w:name="_Toc232394765"/>
      <w:bookmarkStart w:id="183" w:name="_Toc268269097"/>
      <w:bookmarkStart w:id="184" w:name="_Toc272057668"/>
      <w:bookmarkStart w:id="185" w:name="_Toc274207113"/>
      <w:bookmarkStart w:id="186" w:name="_Toc278975248"/>
      <w:bookmarkStart w:id="187" w:name="_Toc303861433"/>
      <w:bookmarkStart w:id="188" w:name="_Toc303867312"/>
      <w:bookmarkStart w:id="189" w:name="_Toc318121378"/>
      <w:bookmarkStart w:id="190" w:name="_Toc318121628"/>
      <w:bookmarkStart w:id="191" w:name="_Toc318122456"/>
      <w:bookmarkStart w:id="192" w:name="_Toc318181632"/>
      <w:bookmarkStart w:id="193" w:name="_Toc318181737"/>
      <w:bookmarkStart w:id="194" w:name="_Toc318201592"/>
      <w:bookmarkStart w:id="195" w:name="_Toc320283225"/>
      <w:bookmarkStart w:id="196" w:name="_Toc320516375"/>
      <w:bookmarkStart w:id="197" w:name="_Toc321898548"/>
      <w:bookmarkStart w:id="198" w:name="_Toc323638297"/>
      <w:bookmarkStart w:id="199" w:name="_Toc323640257"/>
      <w:bookmarkStart w:id="200" w:name="_Toc323713182"/>
      <w:r>
        <w:rPr>
          <w:rStyle w:val="CharPartNo"/>
        </w:rPr>
        <w:t>Part 3</w:t>
      </w:r>
      <w:r>
        <w:rPr>
          <w:rStyle w:val="CharDivNo"/>
        </w:rPr>
        <w:t> </w:t>
      </w:r>
      <w:r>
        <w:t>—</w:t>
      </w:r>
      <w:r>
        <w:rPr>
          <w:rStyle w:val="CharDivText"/>
        </w:rPr>
        <w:t> </w:t>
      </w:r>
      <w:r>
        <w:rPr>
          <w:rStyle w:val="CharPartText"/>
        </w:rPr>
        <w:t>Functions and powers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pPr>
      <w:bookmarkStart w:id="201" w:name="_Toc318099311"/>
      <w:bookmarkStart w:id="202" w:name="_Toc318099414"/>
      <w:bookmarkStart w:id="203" w:name="_Toc323713183"/>
      <w:bookmarkStart w:id="204" w:name="_Toc520109140"/>
      <w:bookmarkStart w:id="205" w:name="_Toc17002425"/>
      <w:bookmarkStart w:id="206" w:name="_Toc123645482"/>
      <w:r>
        <w:rPr>
          <w:rStyle w:val="CharSectno"/>
        </w:rPr>
        <w:t>9</w:t>
      </w:r>
      <w:r>
        <w:t>.</w:t>
      </w:r>
      <w:r>
        <w:tab/>
        <w:t>Functions of Authority</w:t>
      </w:r>
      <w:bookmarkEnd w:id="201"/>
      <w:bookmarkEnd w:id="202"/>
      <w:bookmarkEnd w:id="203"/>
    </w:p>
    <w:p>
      <w:pPr>
        <w:pStyle w:val="Subsection"/>
      </w:pPr>
      <w:r>
        <w:tab/>
        <w:t>(1)</w:t>
      </w:r>
      <w:r>
        <w:tab/>
        <w:t xml:space="preserve">The functions of the Authority are — </w:t>
      </w:r>
    </w:p>
    <w:p>
      <w:pPr>
        <w:pStyle w:val="Indenta"/>
      </w:pPr>
      <w:r>
        <w:tab/>
        <w:t>(a)</w:t>
      </w:r>
      <w:r>
        <w:tab/>
        <w:t>to establish an outline of curriculum and assessment in schools; and</w:t>
      </w:r>
    </w:p>
    <w:p>
      <w:pPr>
        <w:pStyle w:val="Indenta"/>
      </w:pPr>
      <w:r>
        <w:tab/>
        <w:t>(b)</w:t>
      </w:r>
      <w:r>
        <w:tab/>
        <w:t>to issue guidelines for the development of courses and the assessment of student achievement in those courses; and</w:t>
      </w:r>
    </w:p>
    <w:p>
      <w:pPr>
        <w:pStyle w:val="Indenta"/>
      </w:pPr>
      <w:r>
        <w:tab/>
        <w:t>(c)</w:t>
      </w:r>
      <w:r>
        <w:tab/>
        <w:t>to develop courses, or to cause courses to be developed, in accordance with the guidelines issued under paragraph (b); and</w:t>
      </w:r>
    </w:p>
    <w:p>
      <w:pPr>
        <w:pStyle w:val="Indenta"/>
      </w:pPr>
      <w:r>
        <w:tab/>
        <w:t>(d)</w:t>
      </w:r>
      <w:r>
        <w:tab/>
        <w:t>to evaluate and, where appropriate, accredit courses developed by the Authority or other persons in accordance with the guidelines issued under paragraph (b); and</w:t>
      </w:r>
    </w:p>
    <w:p>
      <w:pPr>
        <w:pStyle w:val="Indenta"/>
      </w:pPr>
      <w:r>
        <w:tab/>
        <w:t>(e)</w:t>
      </w:r>
      <w:r>
        <w:tab/>
        <w:t xml:space="preserve">to recognise either wholly or in part or with modification — </w:t>
      </w:r>
    </w:p>
    <w:p>
      <w:pPr>
        <w:pStyle w:val="Indenti"/>
      </w:pPr>
      <w:r>
        <w:tab/>
        <w:t>(i)</w:t>
      </w:r>
      <w:r>
        <w:tab/>
        <w:t>courses; and</w:t>
      </w:r>
    </w:p>
    <w:p>
      <w:pPr>
        <w:pStyle w:val="Indenti"/>
      </w:pPr>
      <w:r>
        <w:tab/>
        <w:t>(ii)</w:t>
      </w:r>
      <w:r>
        <w:tab/>
        <w:t>the assessment of student achievement; and</w:t>
      </w:r>
    </w:p>
    <w:p>
      <w:pPr>
        <w:pStyle w:val="Indenti"/>
      </w:pPr>
      <w:r>
        <w:tab/>
        <w:t>(iii)</w:t>
      </w:r>
      <w:r>
        <w:tab/>
        <w:t>the standards of student achievement that apply to that assessment,</w:t>
      </w:r>
    </w:p>
    <w:p>
      <w:pPr>
        <w:pStyle w:val="Indenta"/>
      </w:pPr>
      <w:r>
        <w:tab/>
      </w:r>
      <w:r>
        <w:tab/>
        <w:t xml:space="preserve">that are — </w:t>
      </w:r>
    </w:p>
    <w:p>
      <w:pPr>
        <w:pStyle w:val="Indenti"/>
      </w:pPr>
      <w:r>
        <w:tab/>
        <w:t>(iv)</w:t>
      </w:r>
      <w:r>
        <w:tab/>
        <w:t>the subject of agreements or arrangements made between the State and the Commonwealth (whether or not those agreements or arrangements involve another State or a Territory); or</w:t>
      </w:r>
    </w:p>
    <w:p>
      <w:pPr>
        <w:pStyle w:val="Indenti"/>
      </w:pPr>
      <w:r>
        <w:tab/>
        <w:t>(v)</w:t>
      </w:r>
      <w:r>
        <w:tab/>
        <w:t>otherwise considered appropriate by the Authority;</w:t>
      </w:r>
    </w:p>
    <w:p>
      <w:pPr>
        <w:pStyle w:val="Indenta"/>
      </w:pPr>
      <w:r>
        <w:tab/>
      </w:r>
      <w:r>
        <w:tab/>
        <w:t>and</w:t>
      </w:r>
    </w:p>
    <w:p>
      <w:pPr>
        <w:pStyle w:val="Indenta"/>
        <w:keepNext/>
      </w:pPr>
      <w:r>
        <w:tab/>
        <w:t>(f)</w:t>
      </w:r>
      <w:r>
        <w:tab/>
        <w:t xml:space="preserve">to determine courses — </w:t>
      </w:r>
    </w:p>
    <w:p>
      <w:pPr>
        <w:pStyle w:val="Indenti"/>
      </w:pPr>
      <w:r>
        <w:tab/>
        <w:t>(i)</w:t>
      </w:r>
      <w:r>
        <w:tab/>
        <w:t>recognised or accredited by the Authority; or</w:t>
      </w:r>
    </w:p>
    <w:p>
      <w:pPr>
        <w:pStyle w:val="Indenti"/>
      </w:pPr>
      <w:r>
        <w:tab/>
        <w:t>(ii)</w:t>
      </w:r>
      <w:r>
        <w:tab/>
        <w:t>otherwise considered by the Authority to be appropriate for the purposes of this paragraph,</w:t>
      </w:r>
    </w:p>
    <w:p>
      <w:pPr>
        <w:pStyle w:val="Indenta"/>
      </w:pPr>
      <w:r>
        <w:tab/>
      </w:r>
      <w:r>
        <w:tab/>
        <w:t>in which students may be assessed, or caused to be assessed, by the Authority, whether for the purposes of certification or otherwise; and</w:t>
      </w:r>
    </w:p>
    <w:p>
      <w:pPr>
        <w:pStyle w:val="Indenta"/>
      </w:pPr>
      <w:r>
        <w:tab/>
        <w:t>(g)</w:t>
      </w:r>
      <w:r>
        <w:tab/>
        <w:t>to establish the minimum requirements for graduation from secondary school and for the issue of a certificate of student achievement; and</w:t>
      </w:r>
    </w:p>
    <w:p>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pPr>
        <w:pStyle w:val="Indenti"/>
      </w:pPr>
      <w:r>
        <w:tab/>
        <w:t>(i)</w:t>
      </w:r>
      <w:r>
        <w:tab/>
        <w:t>recognised or accredited by the Authority or by bodies other than the Authority; or</w:t>
      </w:r>
    </w:p>
    <w:p>
      <w:pPr>
        <w:pStyle w:val="Indenti"/>
      </w:pPr>
      <w:r>
        <w:tab/>
        <w:t>(ii)</w:t>
      </w:r>
      <w:r>
        <w:tab/>
        <w:t>otherwise considered by the Authority to be appropriate for those purposes;</w:t>
      </w:r>
    </w:p>
    <w:p>
      <w:pPr>
        <w:pStyle w:val="Indenta"/>
      </w:pPr>
      <w:r>
        <w:tab/>
      </w:r>
      <w:r>
        <w:tab/>
        <w:t>and</w:t>
      </w:r>
    </w:p>
    <w:p>
      <w:pPr>
        <w:pStyle w:val="Indenta"/>
      </w:pPr>
      <w:r>
        <w:tab/>
        <w:t>(i)</w:t>
      </w:r>
      <w:r>
        <w:tab/>
        <w:t>to evaluate and if appropriate recognise, for the purposes of certification or otherwise, the achievement of students, whether that achievement is attained in the State or elsewhere; and</w:t>
      </w:r>
    </w:p>
    <w:p>
      <w:pPr>
        <w:pStyle w:val="Indenta"/>
      </w:pPr>
      <w:r>
        <w:tab/>
        <w:t>(j)</w:t>
      </w:r>
      <w:r>
        <w:tab/>
        <w:t>to establish the standards of student achievement and other requirements that apply to the assessment of student achievement made, or caused to be made, by the Authority; and</w:t>
      </w:r>
    </w:p>
    <w:p>
      <w:pPr>
        <w:pStyle w:val="Indenta"/>
      </w:pPr>
      <w:r>
        <w:tab/>
        <w:t>(k)</w:t>
      </w:r>
      <w:r>
        <w:tab/>
        <w:t>to determine the eligibility of students and other people in relation to assessments made, or caused to be made, by the Authority; and</w:t>
      </w:r>
    </w:p>
    <w:p>
      <w:pPr>
        <w:pStyle w:val="Indenta"/>
      </w:pPr>
      <w:r>
        <w:tab/>
        <w:t>(l)</w:t>
      </w:r>
      <w:r>
        <w:tab/>
        <w:t>to assess student achievement, or cause student achievement to be assessed, at the times determined by the Authority; and</w:t>
      </w:r>
    </w:p>
    <w:p>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pPr>
        <w:pStyle w:val="Indenta"/>
      </w:pPr>
      <w:r>
        <w:tab/>
        <w:t>(q)</w:t>
      </w:r>
      <w:r>
        <w:tab/>
        <w:t>to establish, determine the criteria for, and administer exhibitions and awards to be granted in recognition of student achievement.</w:t>
      </w:r>
    </w:p>
    <w:p>
      <w:pPr>
        <w:pStyle w:val="Subsection"/>
      </w:pPr>
      <w:r>
        <w:tab/>
        <w:t>(2)</w:t>
      </w:r>
      <w:r>
        <w:tab/>
        <w:t>The Authority has any other function given to it under this Act or another written law.</w:t>
      </w:r>
    </w:p>
    <w:p>
      <w:pPr>
        <w:pStyle w:val="Subsection"/>
      </w:pPr>
      <w:r>
        <w:tab/>
        <w:t>(3)</w:t>
      </w:r>
      <w:r>
        <w:tab/>
        <w:t xml:space="preserve">The Authority is to ensure that — </w:t>
      </w:r>
    </w:p>
    <w:p>
      <w:pPr>
        <w:pStyle w:val="Indenta"/>
      </w:pPr>
      <w:r>
        <w:tab/>
        <w:t>(a)</w:t>
      </w:r>
      <w:r>
        <w:tab/>
        <w:t>each school receives free of charge a copy of the most recent outline of curriculum and assessment in schools established by the Authority; and</w:t>
      </w:r>
    </w:p>
    <w:p>
      <w:pPr>
        <w:pStyle w:val="Indenta"/>
      </w:pPr>
      <w:r>
        <w:tab/>
        <w:t>(b)</w:t>
      </w:r>
      <w:r>
        <w:tab/>
        <w:t>that outline of curriculum and assessment in schools is made available to the public in any manner the Authority thinks fit.</w:t>
      </w:r>
    </w:p>
    <w:p>
      <w:pPr>
        <w:pStyle w:val="Subsection"/>
      </w:pPr>
      <w:r>
        <w:tab/>
        <w:t>(4)</w:t>
      </w:r>
      <w:r>
        <w:tab/>
        <w:t xml:space="preserve">The Authority is to ensure that decisions of the Authority made in the performance of its functions under subsection (1) are notified to — </w:t>
      </w:r>
    </w:p>
    <w:p>
      <w:pPr>
        <w:pStyle w:val="Indenta"/>
      </w:pPr>
      <w:r>
        <w:tab/>
        <w:t>(a)</w:t>
      </w:r>
      <w:r>
        <w:tab/>
        <w:t>education providers to whom or which the decisions are relevant; and</w:t>
      </w:r>
    </w:p>
    <w:p>
      <w:pPr>
        <w:pStyle w:val="Indenta"/>
      </w:pPr>
      <w:r>
        <w:tab/>
        <w:t>(b)</w:t>
      </w:r>
      <w:r>
        <w:tab/>
        <w:t>any other person or body to whom or which the Authority considers the decisions should be notified.</w:t>
      </w:r>
    </w:p>
    <w:p>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pPr>
        <w:pStyle w:val="Indenta"/>
      </w:pPr>
      <w:r>
        <w:tab/>
        <w:t>(a)</w:t>
      </w:r>
      <w:r>
        <w:tab/>
        <w:t>a decision to which subsection (4) applies; and</w:t>
      </w:r>
    </w:p>
    <w:p>
      <w:pPr>
        <w:pStyle w:val="Indenta"/>
      </w:pPr>
      <w:r>
        <w:tab/>
        <w:t>(b)</w:t>
      </w:r>
      <w:r>
        <w:tab/>
        <w:t>a variation or revocation of a decision of which notice is published under this subsection.</w:t>
      </w:r>
    </w:p>
    <w:p>
      <w:pPr>
        <w:pStyle w:val="Footnotesection"/>
      </w:pPr>
      <w:bookmarkStart w:id="207" w:name="_Toc318099312"/>
      <w:bookmarkStart w:id="208" w:name="_Toc318099415"/>
      <w:r>
        <w:tab/>
        <w:t>[Section 9 inserted by No. 37 of 2011 s. 14.]</w:t>
      </w:r>
    </w:p>
    <w:p>
      <w:pPr>
        <w:pStyle w:val="Heading5"/>
      </w:pPr>
      <w:bookmarkStart w:id="209" w:name="_Toc323713184"/>
      <w:r>
        <w:rPr>
          <w:rStyle w:val="CharSectno"/>
        </w:rPr>
        <w:t>10</w:t>
      </w:r>
      <w:r>
        <w:t>.</w:t>
      </w:r>
      <w:r>
        <w:tab/>
        <w:t>Advisory function</w:t>
      </w:r>
      <w:bookmarkEnd w:id="207"/>
      <w:bookmarkEnd w:id="208"/>
      <w:r>
        <w:t xml:space="preserve"> of Authority</w:t>
      </w:r>
      <w:bookmarkEnd w:id="209"/>
    </w:p>
    <w:p>
      <w:pPr>
        <w:pStyle w:val="Subsection"/>
      </w:pPr>
      <w:r>
        <w:tab/>
      </w:r>
      <w:r>
        <w:tab/>
        <w:t xml:space="preserve">It is a function of the Authority to advise the Minister — </w:t>
      </w:r>
    </w:p>
    <w:p>
      <w:pPr>
        <w:pStyle w:val="Indenta"/>
      </w:pPr>
      <w:r>
        <w:tab/>
        <w:t>(a)</w:t>
      </w:r>
      <w:r>
        <w:tab/>
        <w:t>on matters arising under this Act; and</w:t>
      </w:r>
    </w:p>
    <w:p>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pPr>
        <w:pStyle w:val="Footnotesection"/>
      </w:pPr>
      <w:bookmarkStart w:id="210" w:name="_Toc318099313"/>
      <w:bookmarkStart w:id="211" w:name="_Toc318099416"/>
      <w:r>
        <w:tab/>
        <w:t>[Section 10 inserted by No. 37 of 2011 s. 14.]</w:t>
      </w:r>
    </w:p>
    <w:p>
      <w:pPr>
        <w:pStyle w:val="Heading5"/>
      </w:pPr>
      <w:bookmarkStart w:id="212" w:name="_Toc323713185"/>
      <w:r>
        <w:rPr>
          <w:rStyle w:val="CharSectno"/>
        </w:rPr>
        <w:t>11</w:t>
      </w:r>
      <w:r>
        <w:t>.</w:t>
      </w:r>
      <w:r>
        <w:tab/>
        <w:t>Draft reports on standards of student achievement</w:t>
      </w:r>
      <w:bookmarkEnd w:id="210"/>
      <w:bookmarkEnd w:id="211"/>
      <w:r>
        <w:t>, preparation of etc.</w:t>
      </w:r>
      <w:bookmarkEnd w:id="212"/>
    </w:p>
    <w:p>
      <w:pPr>
        <w:pStyle w:val="Subsection"/>
      </w:pPr>
      <w:r>
        <w:tab/>
        <w:t>(1)</w:t>
      </w:r>
      <w:r>
        <w:tab/>
        <w:t>The Authority may prepare reports on the standards of student achievement attained in schools in the State.</w:t>
      </w:r>
    </w:p>
    <w:p>
      <w:pPr>
        <w:pStyle w:val="Subsection"/>
      </w:pPr>
      <w:r>
        <w:tab/>
        <w:t>(2)</w:t>
      </w:r>
      <w:r>
        <w:tab/>
        <w:t xml:space="preserve">A report under subsection (1) is to be prepared in draft form (a </w:t>
      </w:r>
      <w:r>
        <w:rPr>
          <w:rStyle w:val="CharDefText"/>
        </w:rPr>
        <w:t>draft report</w:t>
      </w:r>
      <w:r>
        <w:t>).</w:t>
      </w:r>
    </w:p>
    <w:p>
      <w:pPr>
        <w:pStyle w:val="Subsection"/>
        <w:keepNext/>
      </w:pPr>
      <w:r>
        <w:tab/>
        <w:t>(3)</w:t>
      </w:r>
      <w:r>
        <w:tab/>
        <w:t xml:space="preserve">The Authority — </w:t>
      </w:r>
    </w:p>
    <w:p>
      <w:pPr>
        <w:pStyle w:val="Indenta"/>
      </w:pPr>
      <w:r>
        <w:tab/>
        <w:t>(a)</w:t>
      </w:r>
      <w:r>
        <w:tab/>
        <w:t>is to give a copy of a draft report to any governing body that the Authority considers likely to want to make submissions to the Authority in relation to the report; and</w:t>
      </w:r>
    </w:p>
    <w:p>
      <w:pPr>
        <w:pStyle w:val="Indenta"/>
      </w:pPr>
      <w:r>
        <w:tab/>
        <w:t>(b)</w:t>
      </w:r>
      <w:r>
        <w:tab/>
        <w:t>is to notify the governing body that it has a specified period (of not less than 28 days) within which it may make written submissions to the Authority in relation to the report.</w:t>
      </w:r>
    </w:p>
    <w:p>
      <w:pPr>
        <w:pStyle w:val="Subsection"/>
      </w:pPr>
      <w:r>
        <w:tab/>
        <w:t>(4)</w:t>
      </w:r>
      <w:r>
        <w:tab/>
        <w:t>The governing body may make written submissions to the Authority in relation to the draft report within the period specified under subsection (3)(b).</w:t>
      </w:r>
    </w:p>
    <w:p>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pPr>
        <w:pStyle w:val="Subsection"/>
      </w:pPr>
      <w:r>
        <w:tab/>
        <w:t>(6)</w:t>
      </w:r>
      <w:r>
        <w:tab/>
        <w:t>A governing body is to comply with a request under subsection (5).</w:t>
      </w:r>
    </w:p>
    <w:p>
      <w:pPr>
        <w:pStyle w:val="Footnotesection"/>
      </w:pPr>
      <w:bookmarkStart w:id="213" w:name="_Toc318099314"/>
      <w:bookmarkStart w:id="214" w:name="_Toc318099417"/>
      <w:r>
        <w:tab/>
        <w:t>[Section 11 inserted by No. 37 of 2011 s. 14.]</w:t>
      </w:r>
    </w:p>
    <w:p>
      <w:pPr>
        <w:pStyle w:val="Heading5"/>
      </w:pPr>
      <w:bookmarkStart w:id="215" w:name="_Toc323713186"/>
      <w:r>
        <w:rPr>
          <w:rStyle w:val="CharSectno"/>
        </w:rPr>
        <w:t>12</w:t>
      </w:r>
      <w:r>
        <w:t>.</w:t>
      </w:r>
      <w:r>
        <w:tab/>
      </w:r>
      <w:bookmarkEnd w:id="213"/>
      <w:bookmarkEnd w:id="214"/>
      <w:r>
        <w:t>Draft reports under s. 11(2), dealing with</w:t>
      </w:r>
      <w:bookmarkEnd w:id="215"/>
    </w:p>
    <w:p>
      <w:pPr>
        <w:pStyle w:val="Subsection"/>
      </w:pPr>
      <w:r>
        <w:tab/>
        <w:t>(1)</w:t>
      </w:r>
      <w:r>
        <w:tab/>
        <w:t xml:space="preserve">In this section — </w:t>
      </w:r>
    </w:p>
    <w:p>
      <w:pPr>
        <w:pStyle w:val="Defstart"/>
      </w:pPr>
      <w:r>
        <w:rPr>
          <w:b/>
        </w:rPr>
        <w:tab/>
      </w:r>
      <w:r>
        <w:rPr>
          <w:rStyle w:val="CharDefText"/>
        </w:rPr>
        <w:t>aggregated form</w:t>
      </w:r>
      <w:r>
        <w:t xml:space="preserve"> has the meaning given in section 19A(1);</w:t>
      </w:r>
    </w:p>
    <w:p>
      <w:pPr>
        <w:pStyle w:val="Defstart"/>
      </w:pPr>
      <w:r>
        <w:rPr>
          <w:b/>
        </w:rPr>
        <w:tab/>
      </w:r>
      <w:r>
        <w:rPr>
          <w:rStyle w:val="CharDefText"/>
        </w:rPr>
        <w:t>draft report</w:t>
      </w:r>
      <w:r>
        <w:t xml:space="preserve"> means a report prepared under section 11(2);</w:t>
      </w:r>
    </w:p>
    <w:p>
      <w:pPr>
        <w:pStyle w:val="Defstart"/>
      </w:pPr>
      <w:r>
        <w:rPr>
          <w:b/>
        </w:rPr>
        <w:tab/>
      </w:r>
      <w:r>
        <w:rPr>
          <w:rStyle w:val="CharDefText"/>
        </w:rPr>
        <w:t>relevant governing body</w:t>
      </w:r>
      <w:r>
        <w:t xml:space="preserve"> means a governing body to which a copy of a draft report is given under section 11(3).</w:t>
      </w:r>
    </w:p>
    <w:p>
      <w:pPr>
        <w:pStyle w:val="Subsection"/>
      </w:pPr>
      <w:r>
        <w:tab/>
        <w:t>(2)</w:t>
      </w:r>
      <w:r>
        <w:tab/>
        <w:t xml:space="preserve">After considering in relation to a draft report — </w:t>
      </w:r>
    </w:p>
    <w:p>
      <w:pPr>
        <w:pStyle w:val="Indenta"/>
      </w:pPr>
      <w:r>
        <w:tab/>
        <w:t>(a)</w:t>
      </w:r>
      <w:r>
        <w:tab/>
        <w:t>any submissions made to the Authority by a governing body under section 11(4); and</w:t>
      </w:r>
    </w:p>
    <w:p>
      <w:pPr>
        <w:pStyle w:val="Indenta"/>
      </w:pPr>
      <w:r>
        <w:tab/>
        <w:t>(b)</w:t>
      </w:r>
      <w:r>
        <w:tab/>
        <w:t>any information provided to the Authority by a governing body under section 11(6); and</w:t>
      </w:r>
    </w:p>
    <w:p>
      <w:pPr>
        <w:pStyle w:val="Indenta"/>
      </w:pPr>
      <w:r>
        <w:tab/>
        <w:t>(c)</w:t>
      </w:r>
      <w:r>
        <w:tab/>
        <w:t>any other information available to the Authority under this Act that the Authority considers relevant,</w:t>
      </w:r>
    </w:p>
    <w:p>
      <w:pPr>
        <w:pStyle w:val="Subsection"/>
      </w:pPr>
      <w:r>
        <w:tab/>
      </w:r>
      <w:r>
        <w:tab/>
        <w:t xml:space="preserve">the Authority — </w:t>
      </w:r>
    </w:p>
    <w:p>
      <w:pPr>
        <w:pStyle w:val="Indenta"/>
      </w:pPr>
      <w:r>
        <w:tab/>
        <w:t>(d)</w:t>
      </w:r>
      <w:r>
        <w:tab/>
        <w:t>may finalise the report, including any modifications it considers appropriate; or</w:t>
      </w:r>
    </w:p>
    <w:p>
      <w:pPr>
        <w:pStyle w:val="Indenta"/>
      </w:pPr>
      <w:r>
        <w:tab/>
        <w:t>(e)</w:t>
      </w:r>
      <w:r>
        <w:tab/>
        <w:t>may decide not to proceed with the report.</w:t>
      </w:r>
    </w:p>
    <w:p>
      <w:pPr>
        <w:pStyle w:val="Subsection"/>
      </w:pPr>
      <w:r>
        <w:tab/>
        <w:t>(3)</w:t>
      </w:r>
      <w:r>
        <w:tab/>
        <w:t xml:space="preserve">If subsection (2)(d) applies, the Authority is to give a copy of the report </w:t>
      </w:r>
      <w:r>
        <w:rPr>
          <w:bCs/>
        </w:rPr>
        <w:t>to the Minister and to any relevant governing body.</w:t>
      </w:r>
    </w:p>
    <w:p>
      <w:pPr>
        <w:pStyle w:val="Subsection"/>
      </w:pPr>
      <w:r>
        <w:tab/>
        <w:t>(4)</w:t>
      </w:r>
      <w:r>
        <w:tab/>
        <w:t>If subsection (2)(e) applies and without limiting section 9(4), the Authority is to notify any relevant governing body of the decision made by the Authority not to proceed with the report.</w:t>
      </w:r>
    </w:p>
    <w:p>
      <w:pPr>
        <w:pStyle w:val="Subsection"/>
      </w:pPr>
      <w:r>
        <w:tab/>
        <w:t>(5)</w:t>
      </w:r>
      <w:r>
        <w:tab/>
        <w:t>Any information in a report finalised by the Authority under this section that relates to students is to be in aggregated form.</w:t>
      </w:r>
    </w:p>
    <w:p>
      <w:pPr>
        <w:pStyle w:val="Footnotesection"/>
      </w:pPr>
      <w:r>
        <w:tab/>
        <w:t>[Section 12 inserted by No. 37 of 2011 s. 14.]</w:t>
      </w:r>
    </w:p>
    <w:p>
      <w:pPr>
        <w:pStyle w:val="Ednotesection"/>
      </w:pPr>
      <w:r>
        <w:t>[</w:t>
      </w:r>
      <w:r>
        <w:rPr>
          <w:b/>
        </w:rPr>
        <w:t>13.</w:t>
      </w:r>
      <w:r>
        <w:tab/>
        <w:t>Deleted by No. 37 of 2011 s. 14.]</w:t>
      </w:r>
    </w:p>
    <w:p>
      <w:pPr>
        <w:pStyle w:val="Heading5"/>
        <w:rPr>
          <w:snapToGrid w:val="0"/>
        </w:rPr>
      </w:pPr>
      <w:bookmarkStart w:id="216" w:name="_Toc520109145"/>
      <w:bookmarkStart w:id="217" w:name="_Toc17002430"/>
      <w:bookmarkStart w:id="218" w:name="_Toc123645487"/>
      <w:bookmarkStart w:id="219" w:name="_Toc323713187"/>
      <w:bookmarkEnd w:id="204"/>
      <w:bookmarkEnd w:id="205"/>
      <w:bookmarkEnd w:id="206"/>
      <w:r>
        <w:rPr>
          <w:rStyle w:val="CharSectno"/>
        </w:rPr>
        <w:t>14</w:t>
      </w:r>
      <w:r>
        <w:rPr>
          <w:snapToGrid w:val="0"/>
        </w:rPr>
        <w:t>.</w:t>
      </w:r>
      <w:r>
        <w:rPr>
          <w:snapToGrid w:val="0"/>
        </w:rPr>
        <w:tab/>
      </w:r>
      <w:bookmarkEnd w:id="216"/>
      <w:bookmarkEnd w:id="217"/>
      <w:bookmarkEnd w:id="218"/>
      <w:r>
        <w:rPr>
          <w:snapToGrid w:val="0"/>
        </w:rPr>
        <w:t>Records of assessment and register of courses, Authority to keep etc.</w:t>
      </w:r>
      <w:bookmarkEnd w:id="219"/>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is to — </w:t>
      </w:r>
    </w:p>
    <w:p>
      <w:pPr>
        <w:pStyle w:val="Indenta"/>
        <w:rPr>
          <w:snapToGrid w:val="0"/>
        </w:rPr>
      </w:pPr>
      <w:r>
        <w:rPr>
          <w:snapToGrid w:val="0"/>
        </w:rPr>
        <w:tab/>
        <w:t>(a)</w:t>
      </w:r>
      <w:r>
        <w:rPr>
          <w:snapToGrid w:val="0"/>
        </w:rPr>
        <w:tab/>
        <w:t>prepare and keep — </w:t>
      </w:r>
    </w:p>
    <w:p>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pPr>
        <w:pStyle w:val="Indenti"/>
        <w:rPr>
          <w:snapToGrid w:val="0"/>
        </w:rPr>
      </w:pPr>
      <w:r>
        <w:rPr>
          <w:snapToGrid w:val="0"/>
        </w:rPr>
        <w:tab/>
        <w:t>(ii)</w:t>
      </w:r>
      <w:r>
        <w:rPr>
          <w:snapToGrid w:val="0"/>
        </w:rPr>
        <w:tab/>
        <w:t>a register of courses which may be entered on a certificate of student achievement;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pPr>
        <w:pStyle w:val="Footnotesection"/>
      </w:pPr>
      <w:bookmarkStart w:id="220" w:name="_Toc520109146"/>
      <w:bookmarkStart w:id="221" w:name="_Toc17002431"/>
      <w:bookmarkStart w:id="222" w:name="_Toc123645488"/>
      <w:r>
        <w:tab/>
        <w:t>[Section 14 amended by No. 37 of 2011 s. 15 and 53(1).]</w:t>
      </w:r>
    </w:p>
    <w:p>
      <w:pPr>
        <w:pStyle w:val="Heading5"/>
        <w:spacing w:before="260"/>
        <w:rPr>
          <w:snapToGrid w:val="0"/>
        </w:rPr>
      </w:pPr>
      <w:bookmarkStart w:id="223" w:name="_Toc323713188"/>
      <w:r>
        <w:rPr>
          <w:rStyle w:val="CharSectno"/>
        </w:rPr>
        <w:t>15</w:t>
      </w:r>
      <w:r>
        <w:rPr>
          <w:snapToGrid w:val="0"/>
        </w:rPr>
        <w:t>.</w:t>
      </w:r>
      <w:r>
        <w:rPr>
          <w:snapToGrid w:val="0"/>
        </w:rPr>
        <w:tab/>
        <w:t>Powers</w:t>
      </w:r>
      <w:bookmarkEnd w:id="220"/>
      <w:bookmarkEnd w:id="221"/>
      <w:bookmarkEnd w:id="222"/>
      <w:r>
        <w:rPr>
          <w:snapToGrid w:val="0"/>
        </w:rPr>
        <w:t xml:space="preserve"> of Authority</w:t>
      </w:r>
      <w:bookmarkEnd w:id="223"/>
    </w:p>
    <w:p>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pPr>
        <w:pStyle w:val="Indenta"/>
        <w:spacing w:before="70"/>
        <w:rPr>
          <w:snapToGrid w:val="0"/>
        </w:rPr>
      </w:pPr>
      <w:r>
        <w:rPr>
          <w:snapToGrid w:val="0"/>
        </w:rPr>
        <w:tab/>
        <w:t>(a)</w:t>
      </w:r>
      <w:r>
        <w:rPr>
          <w:snapToGrid w:val="0"/>
        </w:rPr>
        <w:tab/>
        <w:t xml:space="preserve">conduct and promote relevant research; </w:t>
      </w:r>
      <w:r>
        <w:t>and</w:t>
      </w:r>
    </w:p>
    <w:p>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pPr>
        <w:pStyle w:val="Indenta"/>
        <w:spacing w:before="70"/>
      </w:pPr>
      <w:r>
        <w:tab/>
        <w:t>(da)</w:t>
      </w:r>
      <w:r>
        <w:tab/>
        <w:t xml:space="preserve">with the approval of the Minister, provide funds by way of grants, subsidies or otherwise to governing bodies or other persons or bodies for purposes related to — </w:t>
      </w:r>
    </w:p>
    <w:p>
      <w:pPr>
        <w:pStyle w:val="Indenti"/>
        <w:spacing w:before="70"/>
      </w:pPr>
      <w:r>
        <w:tab/>
        <w:t>(i)</w:t>
      </w:r>
      <w:r>
        <w:tab/>
        <w:t>the development of courses and standards of student achievement; and</w:t>
      </w:r>
    </w:p>
    <w:p>
      <w:pPr>
        <w:pStyle w:val="Indenti"/>
        <w:spacing w:before="70"/>
      </w:pPr>
      <w:r>
        <w:tab/>
        <w:t>(ii)</w:t>
      </w:r>
      <w:r>
        <w:tab/>
        <w:t>the assessment of student achievement;</w:t>
      </w:r>
    </w:p>
    <w:p>
      <w:pPr>
        <w:pStyle w:val="Indenta"/>
        <w:spacing w:before="70"/>
      </w:pPr>
      <w:r>
        <w:tab/>
      </w:r>
      <w:r>
        <w:tab/>
        <w:t>and</w:t>
      </w:r>
    </w:p>
    <w:p>
      <w:pPr>
        <w:pStyle w:val="Indenta"/>
        <w:spacing w:before="70"/>
        <w:rPr>
          <w:snapToGrid w:val="0"/>
        </w:rPr>
      </w:pPr>
      <w:r>
        <w:rPr>
          <w:snapToGrid w:val="0"/>
        </w:rPr>
        <w:tab/>
        <w:t>(d)</w:t>
      </w:r>
      <w:r>
        <w:rPr>
          <w:snapToGrid w:val="0"/>
        </w:rPr>
        <w:tab/>
        <w:t xml:space="preserve">apply for, obtain and hold intellectual property rights and design rights; </w:t>
      </w:r>
      <w:r>
        <w:t>and</w:t>
      </w:r>
    </w:p>
    <w:p>
      <w:pPr>
        <w:pStyle w:val="Indenta"/>
        <w:spacing w:before="70"/>
        <w:rPr>
          <w:snapToGrid w:val="0"/>
        </w:rPr>
      </w:pPr>
      <w:r>
        <w:rPr>
          <w:snapToGrid w:val="0"/>
        </w:rPr>
        <w:tab/>
        <w:t>(e)</w:t>
      </w:r>
      <w:r>
        <w:rPr>
          <w:snapToGrid w:val="0"/>
        </w:rPr>
        <w:tab/>
        <w:t xml:space="preserve">enter into a contract or arrangement with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pPr>
        <w:pStyle w:val="Indenti"/>
        <w:rPr>
          <w:snapToGrid w:val="0"/>
        </w:rPr>
      </w:pPr>
      <w:r>
        <w:rPr>
          <w:snapToGrid w:val="0"/>
        </w:rPr>
        <w:tab/>
        <w:t>(ii)</w:t>
      </w:r>
      <w:r>
        <w:rPr>
          <w:snapToGrid w:val="0"/>
        </w:rPr>
        <w:tab/>
        <w:t>for the commercial exploitation of the rights referred to in paragraph (d), whether by assignment, licensing or otherwise;</w:t>
      </w:r>
    </w:p>
    <w:p>
      <w:pPr>
        <w:pStyle w:val="Indenta"/>
        <w:rPr>
          <w:snapToGrid w:val="0"/>
        </w:rPr>
      </w:pPr>
      <w:r>
        <w:tab/>
      </w:r>
      <w:r>
        <w:tab/>
        <w:t>and</w:t>
      </w:r>
    </w:p>
    <w:p>
      <w:pPr>
        <w:pStyle w:val="Indenta"/>
        <w:rPr>
          <w:snapToGrid w:val="0"/>
        </w:rPr>
      </w:pPr>
      <w:r>
        <w:rPr>
          <w:snapToGrid w:val="0"/>
        </w:rPr>
        <w:tab/>
        <w:t>(f)</w:t>
      </w:r>
      <w:r>
        <w:rPr>
          <w:snapToGrid w:val="0"/>
        </w:rPr>
        <w:tab/>
        <w:t>publish and sell information acquired by it; and</w:t>
      </w:r>
    </w:p>
    <w:p>
      <w:pPr>
        <w:pStyle w:val="Indenta"/>
        <w:rPr>
          <w:snapToGrid w:val="0"/>
        </w:rPr>
      </w:pPr>
      <w:r>
        <w:rPr>
          <w:snapToGrid w:val="0"/>
        </w:rPr>
        <w:tab/>
        <w:t>(g)</w:t>
      </w:r>
      <w:r>
        <w:rPr>
          <w:snapToGrid w:val="0"/>
        </w:rPr>
        <w:tab/>
        <w:t xml:space="preserve">charge for services it provides to any person, including any government, governmental agency or governmental instrumentality, whether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bookmarkStart w:id="224" w:name="_Toc520109147"/>
      <w:bookmarkStart w:id="225" w:name="_Toc17002432"/>
      <w:bookmarkStart w:id="226" w:name="_Toc123645489"/>
      <w:r>
        <w:tab/>
        <w:t>[Section 15 amended by No. 37 of 2011 s. 16 and 53(1).]</w:t>
      </w:r>
    </w:p>
    <w:p>
      <w:pPr>
        <w:pStyle w:val="Heading5"/>
        <w:rPr>
          <w:snapToGrid w:val="0"/>
        </w:rPr>
      </w:pPr>
      <w:bookmarkStart w:id="227" w:name="_Toc323713189"/>
      <w:r>
        <w:rPr>
          <w:rStyle w:val="CharSectno"/>
        </w:rPr>
        <w:t>16</w:t>
      </w:r>
      <w:r>
        <w:rPr>
          <w:snapToGrid w:val="0"/>
        </w:rPr>
        <w:t>.</w:t>
      </w:r>
      <w:r>
        <w:rPr>
          <w:snapToGrid w:val="0"/>
        </w:rPr>
        <w:tab/>
      </w:r>
      <w:bookmarkEnd w:id="224"/>
      <w:bookmarkEnd w:id="225"/>
      <w:bookmarkEnd w:id="226"/>
      <w:r>
        <w:rPr>
          <w:snapToGrid w:val="0"/>
        </w:rPr>
        <w:t>Functions of Authority, matters affecting performance of</w:t>
      </w:r>
      <w:bookmarkEnd w:id="227"/>
    </w:p>
    <w:p>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pPr>
        <w:pStyle w:val="Subsection"/>
        <w:rPr>
          <w:snapToGrid w:val="0"/>
        </w:rPr>
      </w:pPr>
      <w:r>
        <w:rPr>
          <w:snapToGrid w:val="0"/>
        </w:rPr>
        <w:tab/>
        <w:t>(3)</w:t>
      </w:r>
      <w:r>
        <w:rPr>
          <w:snapToGrid w:val="0"/>
        </w:rPr>
        <w:tab/>
      </w:r>
      <w:r>
        <w:t>The Authority</w:t>
      </w:r>
      <w:r>
        <w:rPr>
          <w:snapToGrid w:val="0"/>
        </w:rPr>
        <w:t xml:space="preserve"> is to — </w:t>
      </w:r>
    </w:p>
    <w:p>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pPr>
        <w:pStyle w:val="Footnotesection"/>
        <w:spacing w:before="100"/>
        <w:ind w:left="890" w:hanging="890"/>
      </w:pPr>
      <w:bookmarkStart w:id="228" w:name="_Toc520109148"/>
      <w:bookmarkStart w:id="229" w:name="_Toc17002433"/>
      <w:bookmarkStart w:id="230" w:name="_Toc123645490"/>
      <w:r>
        <w:tab/>
        <w:t>[Section 16 amended by No. 37 of 2011 s. 17 and 53(1).]</w:t>
      </w:r>
    </w:p>
    <w:p>
      <w:pPr>
        <w:pStyle w:val="Heading5"/>
        <w:spacing w:before="200"/>
        <w:rPr>
          <w:snapToGrid w:val="0"/>
        </w:rPr>
      </w:pPr>
      <w:bookmarkStart w:id="231" w:name="_Toc323713190"/>
      <w:r>
        <w:rPr>
          <w:rStyle w:val="CharSectno"/>
        </w:rPr>
        <w:t>17</w:t>
      </w:r>
      <w:r>
        <w:rPr>
          <w:snapToGrid w:val="0"/>
        </w:rPr>
        <w:t>.</w:t>
      </w:r>
      <w:r>
        <w:rPr>
          <w:snapToGrid w:val="0"/>
        </w:rPr>
        <w:tab/>
        <w:t>Delegation</w:t>
      </w:r>
      <w:bookmarkEnd w:id="228"/>
      <w:bookmarkEnd w:id="229"/>
      <w:bookmarkEnd w:id="230"/>
      <w:r>
        <w:rPr>
          <w:snapToGrid w:val="0"/>
        </w:rPr>
        <w:t xml:space="preserve"> by Authority</w:t>
      </w:r>
      <w:bookmarkEnd w:id="231"/>
    </w:p>
    <w:p>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pPr>
        <w:pStyle w:val="Indenta"/>
        <w:spacing w:before="60"/>
        <w:rPr>
          <w:snapToGrid w:val="0"/>
        </w:rPr>
      </w:pPr>
      <w:r>
        <w:rPr>
          <w:snapToGrid w:val="0"/>
        </w:rPr>
        <w:tab/>
        <w:t>(a)</w:t>
      </w:r>
      <w:r>
        <w:rPr>
          <w:snapToGrid w:val="0"/>
        </w:rPr>
        <w:tab/>
        <w:t xml:space="preserve">a member or </w:t>
      </w:r>
      <w:r>
        <w:t>members; or</w:t>
      </w:r>
    </w:p>
    <w:p>
      <w:pPr>
        <w:pStyle w:val="Indenta"/>
        <w:spacing w:before="60"/>
      </w:pPr>
      <w:r>
        <w:tab/>
        <w:t>(ba)</w:t>
      </w:r>
      <w:r>
        <w:tab/>
        <w:t>the chief executive officer; or</w:t>
      </w:r>
    </w:p>
    <w:p>
      <w:pPr>
        <w:pStyle w:val="Indenta"/>
        <w:spacing w:before="60"/>
        <w:rPr>
          <w:snapToGrid w:val="0"/>
        </w:rPr>
      </w:pPr>
      <w:r>
        <w:rPr>
          <w:snapToGrid w:val="0"/>
        </w:rPr>
        <w:tab/>
        <w:t>(b)</w:t>
      </w:r>
      <w:r>
        <w:rPr>
          <w:snapToGrid w:val="0"/>
        </w:rPr>
        <w:tab/>
        <w:t>a member or members of staff;</w:t>
      </w:r>
      <w:r>
        <w:t xml:space="preserve"> or</w:t>
      </w:r>
    </w:p>
    <w:p>
      <w:pPr>
        <w:pStyle w:val="Indenta"/>
        <w:spacing w:before="60"/>
        <w:rPr>
          <w:snapToGrid w:val="0"/>
        </w:rPr>
      </w:pPr>
      <w:r>
        <w:rPr>
          <w:snapToGrid w:val="0"/>
        </w:rPr>
        <w:tab/>
        <w:t>(c)</w:t>
      </w:r>
      <w:r>
        <w:rPr>
          <w:snapToGrid w:val="0"/>
        </w:rPr>
        <w:tab/>
        <w:t xml:space="preserve">a committee; or </w:t>
      </w:r>
    </w:p>
    <w:p>
      <w:pPr>
        <w:pStyle w:val="Indenta"/>
        <w:spacing w:before="60"/>
        <w:rPr>
          <w:snapToGrid w:val="0"/>
        </w:rPr>
      </w:pPr>
      <w:r>
        <w:rPr>
          <w:snapToGrid w:val="0"/>
        </w:rPr>
        <w:tab/>
        <w:t>(d)</w:t>
      </w:r>
      <w:r>
        <w:rPr>
          <w:snapToGrid w:val="0"/>
        </w:rPr>
        <w:tab/>
        <w:t>any other person.</w:t>
      </w:r>
    </w:p>
    <w:p>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pPr>
        <w:pStyle w:val="Footnotesection"/>
        <w:spacing w:before="100"/>
        <w:ind w:left="890" w:hanging="890"/>
      </w:pPr>
      <w:bookmarkStart w:id="232" w:name="_Toc520109149"/>
      <w:bookmarkStart w:id="233" w:name="_Toc17002434"/>
      <w:bookmarkStart w:id="234" w:name="_Toc123645491"/>
      <w:r>
        <w:tab/>
        <w:t>[Section 17 amended by No. 37 of 2011 s. 18 and 53(1).]</w:t>
      </w:r>
    </w:p>
    <w:p>
      <w:pPr>
        <w:pStyle w:val="Heading5"/>
        <w:spacing w:before="200"/>
        <w:rPr>
          <w:snapToGrid w:val="0"/>
        </w:rPr>
      </w:pPr>
      <w:bookmarkStart w:id="235" w:name="_Toc323713191"/>
      <w:r>
        <w:rPr>
          <w:rStyle w:val="CharSectno"/>
        </w:rPr>
        <w:t>18</w:t>
      </w:r>
      <w:r>
        <w:rPr>
          <w:snapToGrid w:val="0"/>
        </w:rPr>
        <w:t>.</w:t>
      </w:r>
      <w:r>
        <w:rPr>
          <w:snapToGrid w:val="0"/>
        </w:rPr>
        <w:tab/>
        <w:t>Minister may give directions</w:t>
      </w:r>
      <w:bookmarkEnd w:id="232"/>
      <w:bookmarkEnd w:id="233"/>
      <w:bookmarkEnd w:id="234"/>
      <w:r>
        <w:rPr>
          <w:snapToGrid w:val="0"/>
        </w:rPr>
        <w:t xml:space="preserve"> to Authority</w:t>
      </w:r>
      <w:bookmarkEnd w:id="235"/>
    </w:p>
    <w:p>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pPr>
        <w:pStyle w:val="Subsection"/>
        <w:spacing w:before="120"/>
      </w:pPr>
      <w:r>
        <w:tab/>
        <w:t>(2)</w:t>
      </w:r>
      <w:r>
        <w:tab/>
        <w:t xml:space="preserve">The text of a direction given under subsection (1) is to be — </w:t>
      </w:r>
    </w:p>
    <w:p>
      <w:pPr>
        <w:pStyle w:val="Indenta"/>
        <w:spacing w:before="60"/>
      </w:pPr>
      <w:r>
        <w:tab/>
        <w:t>(a)</w:t>
      </w:r>
      <w:r>
        <w:tab/>
        <w:t>tabled in each House of Parliament not later than 14 sitting days of that House after the day on which the direction was given; and</w:t>
      </w:r>
    </w:p>
    <w:p>
      <w:pPr>
        <w:pStyle w:val="Indenta"/>
      </w:pPr>
      <w:r>
        <w:tab/>
        <w:t>(b)</w:t>
      </w:r>
      <w:r>
        <w:tab/>
        <w:t xml:space="preserve">included in the annual report submitted by the accountable authority of the Authority under the </w:t>
      </w:r>
      <w:r>
        <w:rPr>
          <w:i/>
        </w:rPr>
        <w:t>Financial Management Act 2006</w:t>
      </w:r>
      <w:r>
        <w:t xml:space="preserve"> Part 5.</w:t>
      </w:r>
    </w:p>
    <w:p>
      <w:pPr>
        <w:pStyle w:val="Footnotesection"/>
        <w:spacing w:before="100"/>
        <w:ind w:left="890" w:hanging="890"/>
      </w:pPr>
      <w:r>
        <w:tab/>
        <w:t>[Section 18 amended by No. 77 of 2006 Sch. 1 cl. 41(1); No. 37 of 2011 s. 19 and 53(1).]</w:t>
      </w:r>
    </w:p>
    <w:p>
      <w:pPr>
        <w:pStyle w:val="Heading5"/>
        <w:rPr>
          <w:snapToGrid w:val="0"/>
        </w:rPr>
      </w:pPr>
      <w:bookmarkStart w:id="236" w:name="_Toc520109150"/>
      <w:bookmarkStart w:id="237" w:name="_Toc17002435"/>
      <w:bookmarkStart w:id="238" w:name="_Toc123645492"/>
      <w:bookmarkStart w:id="239" w:name="_Toc323713192"/>
      <w:r>
        <w:rPr>
          <w:rStyle w:val="CharSectno"/>
        </w:rPr>
        <w:t>19</w:t>
      </w:r>
      <w:r>
        <w:rPr>
          <w:snapToGrid w:val="0"/>
        </w:rPr>
        <w:t>.</w:t>
      </w:r>
      <w:r>
        <w:rPr>
          <w:snapToGrid w:val="0"/>
        </w:rPr>
        <w:tab/>
        <w:t>Minister to have access to information</w:t>
      </w:r>
      <w:bookmarkEnd w:id="236"/>
      <w:bookmarkEnd w:id="237"/>
      <w:bookmarkEnd w:id="238"/>
      <w:bookmarkEnd w:id="239"/>
      <w:r>
        <w:rPr>
          <w:snapToGrid w:val="0"/>
        </w:rPr>
        <w:t xml:space="preserve"> </w:t>
      </w:r>
    </w:p>
    <w:p>
      <w:pPr>
        <w:pStyle w:val="Subsection"/>
        <w:spacing w:before="120"/>
        <w:rPr>
          <w:snapToGrid w:val="0"/>
        </w:rPr>
      </w:pPr>
      <w:r>
        <w:rPr>
          <w:snapToGrid w:val="0"/>
        </w:rPr>
        <w:tab/>
        <w:t>(1)</w:t>
      </w:r>
      <w:r>
        <w:rPr>
          <w:snapToGrid w:val="0"/>
        </w:rPr>
        <w:tab/>
      </w:r>
      <w:r>
        <w:t>The</w:t>
      </w:r>
      <w:r>
        <w:rPr>
          <w:snapToGrid w:val="0"/>
        </w:rPr>
        <w:t xml:space="preserve"> Minister is entitled — </w:t>
      </w:r>
    </w:p>
    <w:p>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pPr>
        <w:pStyle w:val="Subsection"/>
        <w:spacing w:before="120"/>
        <w:rPr>
          <w:snapToGrid w:val="0"/>
        </w:rPr>
      </w:pPr>
      <w:r>
        <w:rPr>
          <w:snapToGrid w:val="0"/>
        </w:rPr>
        <w:tab/>
        <w:t>(4)</w:t>
      </w:r>
      <w:r>
        <w:rPr>
          <w:snapToGrid w:val="0"/>
        </w:rPr>
        <w:tab/>
        <w:t xml:space="preserve">In </w:t>
      </w:r>
      <w:r>
        <w:t>this</w:t>
      </w:r>
      <w:r>
        <w:rPr>
          <w:snapToGrid w:val="0"/>
        </w:rPr>
        <w:t xml:space="preserve">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pPr>
        <w:pStyle w:val="Footnotesection"/>
        <w:spacing w:before="100"/>
        <w:ind w:left="890" w:hanging="890"/>
      </w:pPr>
      <w:r>
        <w:tab/>
        <w:t>[Section 19 amended by No. 22 of 2005 s. 46; No. 37 of 2011 s. 53(1).]</w:t>
      </w:r>
    </w:p>
    <w:p>
      <w:pPr>
        <w:pStyle w:val="Heading2"/>
      </w:pPr>
      <w:bookmarkStart w:id="240" w:name="_Toc123645493"/>
      <w:bookmarkStart w:id="241" w:name="_Toc123645594"/>
      <w:bookmarkStart w:id="242" w:name="_Toc124139463"/>
      <w:bookmarkStart w:id="243" w:name="_Toc157845842"/>
      <w:bookmarkStart w:id="244" w:name="_Toc161720549"/>
      <w:bookmarkStart w:id="245" w:name="_Toc161723001"/>
      <w:bookmarkStart w:id="246" w:name="_Toc163956969"/>
      <w:bookmarkStart w:id="247" w:name="_Toc163964959"/>
      <w:bookmarkStart w:id="248" w:name="_Toc165698401"/>
      <w:bookmarkStart w:id="249" w:name="_Toc232394777"/>
      <w:bookmarkStart w:id="250" w:name="_Toc268269109"/>
      <w:bookmarkStart w:id="251" w:name="_Toc272057680"/>
      <w:bookmarkStart w:id="252" w:name="_Toc274207125"/>
      <w:bookmarkStart w:id="253" w:name="_Toc278975260"/>
      <w:bookmarkStart w:id="254" w:name="_Toc303861445"/>
      <w:bookmarkStart w:id="255" w:name="_Toc303867324"/>
      <w:bookmarkStart w:id="256" w:name="_Toc318121389"/>
      <w:bookmarkStart w:id="257" w:name="_Toc318121639"/>
      <w:bookmarkStart w:id="258" w:name="_Toc318122467"/>
      <w:bookmarkStart w:id="259" w:name="_Toc318181643"/>
      <w:bookmarkStart w:id="260" w:name="_Toc318181748"/>
      <w:bookmarkStart w:id="261" w:name="_Toc318201603"/>
      <w:bookmarkStart w:id="262" w:name="_Toc320283236"/>
      <w:bookmarkStart w:id="263" w:name="_Toc320516386"/>
      <w:bookmarkStart w:id="264" w:name="_Toc321898559"/>
      <w:bookmarkStart w:id="265" w:name="_Toc323638308"/>
      <w:bookmarkStart w:id="266" w:name="_Toc323640268"/>
      <w:bookmarkStart w:id="267" w:name="_Toc323713193"/>
      <w:bookmarkStart w:id="268" w:name="_Toc72573534"/>
      <w:bookmarkStart w:id="269" w:name="_Toc120341393"/>
      <w:bookmarkStart w:id="270" w:name="_Toc120355766"/>
      <w:r>
        <w:rPr>
          <w:rStyle w:val="CharPartNo"/>
        </w:rPr>
        <w:t>Part 3A</w:t>
      </w:r>
      <w:r>
        <w:rPr>
          <w:b w:val="0"/>
        </w:rPr>
        <w:t> </w:t>
      </w:r>
      <w:r>
        <w:t>—</w:t>
      </w:r>
      <w:r>
        <w:rPr>
          <w:b w:val="0"/>
        </w:rPr>
        <w:t> </w:t>
      </w:r>
      <w:r>
        <w:rPr>
          <w:rStyle w:val="CharPartText"/>
        </w:rPr>
        <w:t>Student records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Footnoteheading"/>
        <w:spacing w:before="100"/>
      </w:pPr>
      <w:r>
        <w:tab/>
        <w:t>[Heading inserted by No. 22 of 2005 s. 47.]</w:t>
      </w:r>
    </w:p>
    <w:p>
      <w:pPr>
        <w:pStyle w:val="Heading5"/>
      </w:pPr>
      <w:bookmarkStart w:id="271" w:name="_Toc123645494"/>
      <w:bookmarkStart w:id="272" w:name="_Toc323713194"/>
      <w:r>
        <w:rPr>
          <w:rStyle w:val="CharSectno"/>
        </w:rPr>
        <w:t>19A</w:t>
      </w:r>
      <w:r>
        <w:t>.</w:t>
      </w:r>
      <w:r>
        <w:tab/>
        <w:t>Terms used</w:t>
      </w:r>
      <w:bookmarkEnd w:id="271"/>
      <w:bookmarkEnd w:id="272"/>
    </w:p>
    <w:p>
      <w:pPr>
        <w:pStyle w:val="Subsection"/>
      </w:pPr>
      <w:r>
        <w:tab/>
        <w:t>(1)</w:t>
      </w:r>
      <w:r>
        <w:tab/>
        <w:t xml:space="preserve">In this Part, unless the contrary intention appears — </w:t>
      </w:r>
    </w:p>
    <w:p>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pPr>
        <w:pStyle w:val="Defstart"/>
      </w:pPr>
      <w:r>
        <w:rPr>
          <w:b/>
        </w:rPr>
        <w:tab/>
      </w:r>
      <w:r>
        <w:rPr>
          <w:rStyle w:val="CharDefText"/>
        </w:rPr>
        <w:t>exempt child</w:t>
      </w:r>
      <w:r>
        <w:t xml:space="preserve"> means a child </w:t>
      </w:r>
      <w:r>
        <w:rPr>
          <w:bCs/>
        </w:rPr>
        <w:t xml:space="preserve">who is exempted under section 11 </w:t>
      </w:r>
      <w:r>
        <w:t>of the School Education Act;</w:t>
      </w:r>
    </w:p>
    <w:p>
      <w:pPr>
        <w:pStyle w:val="Defstart"/>
      </w:pPr>
      <w:r>
        <w:rPr>
          <w:b/>
        </w:rPr>
        <w:tab/>
      </w:r>
      <w:r>
        <w:rPr>
          <w:rStyle w:val="CharDefText"/>
        </w:rPr>
        <w:t>Minister</w:t>
      </w:r>
      <w:r>
        <w:t xml:space="preserve"> means the Minister responsible for the administration of the School Education Act;</w:t>
      </w:r>
    </w:p>
    <w:p>
      <w:pPr>
        <w:pStyle w:val="Defstart"/>
      </w:pPr>
      <w:r>
        <w:rPr>
          <w:b/>
        </w:rPr>
        <w:tab/>
      </w:r>
      <w:r>
        <w:rPr>
          <w:rStyle w:val="CharDefText"/>
        </w:rPr>
        <w:t>provider</w:t>
      </w:r>
      <w:r>
        <w:t xml:space="preserve"> has the meaning given to that term in subsection (2);</w:t>
      </w:r>
    </w:p>
    <w:p>
      <w:pPr>
        <w:pStyle w:val="Defstart"/>
      </w:pPr>
      <w:r>
        <w:rPr>
          <w:b/>
        </w:rPr>
        <w:tab/>
      </w:r>
      <w:r>
        <w:rPr>
          <w:rStyle w:val="CharDefText"/>
        </w:rPr>
        <w:t>student</w:t>
      </w:r>
      <w:r>
        <w:t xml:space="preserve"> includes — </w:t>
      </w:r>
    </w:p>
    <w:p>
      <w:pPr>
        <w:pStyle w:val="Defpara"/>
        <w:spacing w:before="70"/>
      </w:pPr>
      <w:r>
        <w:tab/>
        <w:t>(a)</w:t>
      </w:r>
      <w:r>
        <w:tab/>
        <w:t>a child in the 11</w:t>
      </w:r>
      <w:r>
        <w:rPr>
          <w:vertAlign w:val="superscript"/>
        </w:rPr>
        <w:t>th</w:t>
      </w:r>
      <w:r>
        <w:t xml:space="preserve"> or 12</w:t>
      </w:r>
      <w:r>
        <w:rPr>
          <w:vertAlign w:val="superscript"/>
        </w:rPr>
        <w:t>th</w:t>
      </w:r>
      <w:r>
        <w:t xml:space="preserve"> year of the compulsory education period who is not enrolled at a school or receiving home education</w:t>
      </w:r>
      <w:r>
        <w:rPr>
          <w:bCs/>
        </w:rPr>
        <w:t>; and</w:t>
      </w:r>
    </w:p>
    <w:p>
      <w:pPr>
        <w:pStyle w:val="Defpara"/>
        <w:spacing w:before="70"/>
      </w:pPr>
      <w:r>
        <w:tab/>
        <w:t>(b)</w:t>
      </w:r>
      <w:r>
        <w:tab/>
        <w:t>an exempt child;</w:t>
      </w:r>
    </w:p>
    <w:p>
      <w:pPr>
        <w:pStyle w:val="Defstart"/>
      </w:pPr>
      <w:r>
        <w:tab/>
      </w:r>
      <w:r>
        <w:rPr>
          <w:rStyle w:val="CharDefText"/>
        </w:rPr>
        <w:t>student record</w:t>
      </w:r>
      <w:r>
        <w:t xml:space="preserve">, in relation to a student, means a record of — </w:t>
      </w:r>
    </w:p>
    <w:p>
      <w:pPr>
        <w:pStyle w:val="Defpara"/>
        <w:spacing w:before="70"/>
      </w:pPr>
      <w:r>
        <w:tab/>
        <w:t>(a)</w:t>
      </w:r>
      <w:r>
        <w:tab/>
        <w:t>any educational programme in which the student is or has been enrolled, or that is being or has been provided to the student by a home educator; and</w:t>
      </w:r>
    </w:p>
    <w:p>
      <w:pPr>
        <w:pStyle w:val="Defpara"/>
        <w:spacing w:before="70"/>
      </w:pPr>
      <w:r>
        <w:tab/>
        <w:t>(b)</w:t>
      </w:r>
      <w:r>
        <w:tab/>
        <w:t>any option under section 11B of the School Education Act notified under this Part to the Authority by a provider in respect of the student; and</w:t>
      </w:r>
    </w:p>
    <w:p>
      <w:pPr>
        <w:pStyle w:val="Defpara"/>
        <w:spacing w:before="70"/>
      </w:pPr>
      <w:r>
        <w:tab/>
        <w:t>(c)</w:t>
      </w:r>
      <w:r>
        <w:tab/>
        <w:t xml:space="preserve">any achievement or other result on the part of the student in relation to — </w:t>
      </w:r>
    </w:p>
    <w:p>
      <w:pPr>
        <w:pStyle w:val="Defsubpara"/>
        <w:spacing w:before="70"/>
      </w:pPr>
      <w:r>
        <w:tab/>
        <w:t>(i)</w:t>
      </w:r>
      <w:r>
        <w:tab/>
        <w:t>an educational programme referred to in paragraph (a); or</w:t>
      </w:r>
    </w:p>
    <w:p>
      <w:pPr>
        <w:pStyle w:val="Defsubpara"/>
      </w:pPr>
      <w:r>
        <w:tab/>
        <w:t>(ii)</w:t>
      </w:r>
      <w:r>
        <w:tab/>
        <w:t>a course, programme, activity or employment that comes within paragraph (b);</w:t>
      </w:r>
    </w:p>
    <w:p>
      <w:pPr>
        <w:pStyle w:val="Defpara"/>
      </w:pPr>
      <w:r>
        <w:tab/>
      </w:r>
      <w:r>
        <w:tab/>
        <w:t>and</w:t>
      </w:r>
    </w:p>
    <w:p>
      <w:pPr>
        <w:pStyle w:val="Defpara"/>
      </w:pPr>
      <w:r>
        <w:tab/>
        <w:t>(d)</w:t>
      </w:r>
      <w:r>
        <w:tab/>
        <w:t>any information in respect of the student required to be given to the Authority under this Part.</w:t>
      </w:r>
    </w:p>
    <w:p>
      <w:pPr>
        <w:pStyle w:val="Subsection"/>
      </w:pPr>
      <w:r>
        <w:tab/>
        <w:t>(2)</w:t>
      </w:r>
      <w:r>
        <w:tab/>
        <w:t>In this Part —</w:t>
      </w:r>
    </w:p>
    <w:p>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trPr>
          <w:cantSplit/>
        </w:trPr>
        <w:tc>
          <w:tcPr>
            <w:tcW w:w="709" w:type="dxa"/>
          </w:tcPr>
          <w:p>
            <w:pPr>
              <w:pStyle w:val="TableNAm"/>
              <w:spacing w:before="0"/>
            </w:pPr>
            <w:r>
              <w:t>1A.</w:t>
            </w:r>
          </w:p>
        </w:tc>
        <w:tc>
          <w:tcPr>
            <w:tcW w:w="2772" w:type="dxa"/>
          </w:tcPr>
          <w:p>
            <w:pPr>
              <w:pStyle w:val="TableNAm"/>
              <w:spacing w:before="0"/>
            </w:pPr>
            <w:r>
              <w:t>A student enrolled at a community kindergarten.</w:t>
            </w:r>
          </w:p>
        </w:tc>
        <w:tc>
          <w:tcPr>
            <w:tcW w:w="2438" w:type="dxa"/>
          </w:tcPr>
          <w:p>
            <w:pPr>
              <w:pStyle w:val="TableNAm"/>
              <w:spacing w:before="0"/>
            </w:pPr>
            <w:r>
              <w:t>The governing body.</w:t>
            </w:r>
          </w:p>
        </w:tc>
      </w:tr>
      <w:tr>
        <w:trPr>
          <w:cantSplit/>
        </w:trPr>
        <w:tc>
          <w:tcPr>
            <w:tcW w:w="709" w:type="dxa"/>
          </w:tcPr>
          <w:p>
            <w:pPr>
              <w:pStyle w:val="TableNAm"/>
              <w:spacing w:before="0"/>
            </w:pPr>
            <w:r>
              <w:t>1.</w:t>
            </w:r>
          </w:p>
        </w:tc>
        <w:tc>
          <w:tcPr>
            <w:tcW w:w="2772" w:type="dxa"/>
          </w:tcPr>
          <w:p>
            <w:pPr>
              <w:pStyle w:val="TableNAm"/>
              <w:spacing w:before="0"/>
            </w:pPr>
            <w:r>
              <w:t>A student enrolled in an educational programme at a school (other than a community kindergarten).</w:t>
            </w:r>
          </w:p>
        </w:tc>
        <w:tc>
          <w:tcPr>
            <w:tcW w:w="2438" w:type="dxa"/>
          </w:tcPr>
          <w:p>
            <w:pPr>
              <w:pStyle w:val="TableNAm"/>
              <w:spacing w:before="0"/>
            </w:pPr>
            <w:r>
              <w:t>The principal of the school.</w:t>
            </w:r>
          </w:p>
        </w:tc>
      </w:tr>
      <w:tr>
        <w:trPr>
          <w:cantSplit/>
        </w:trPr>
        <w:tc>
          <w:tcPr>
            <w:tcW w:w="709" w:type="dxa"/>
          </w:tcPr>
          <w:p>
            <w:pPr>
              <w:pStyle w:val="TableNAm"/>
              <w:spacing w:before="0"/>
            </w:pPr>
            <w:r>
              <w:t>2.</w:t>
            </w:r>
          </w:p>
        </w:tc>
        <w:tc>
          <w:tcPr>
            <w:tcW w:w="2772" w:type="dxa"/>
          </w:tcPr>
          <w:p>
            <w:pPr>
              <w:pStyle w:val="TableNAm"/>
              <w:spacing w:before="0"/>
            </w:pPr>
            <w:r>
              <w:t>A student undertaking a course at a university.</w:t>
            </w:r>
          </w:p>
        </w:tc>
        <w:tc>
          <w:tcPr>
            <w:tcW w:w="2438" w:type="dxa"/>
          </w:tcPr>
          <w:p>
            <w:pPr>
              <w:pStyle w:val="TableNAm"/>
              <w:spacing w:before="0"/>
            </w:pPr>
            <w:r>
              <w:t>The university.</w:t>
            </w:r>
          </w:p>
        </w:tc>
      </w:tr>
      <w:tr>
        <w:trPr>
          <w:cantSplit/>
        </w:trPr>
        <w:tc>
          <w:tcPr>
            <w:tcW w:w="709" w:type="dxa"/>
          </w:tcPr>
          <w:p>
            <w:pPr>
              <w:pStyle w:val="TableNAm"/>
              <w:spacing w:before="0"/>
            </w:pPr>
            <w:r>
              <w:t>3.</w:t>
            </w:r>
          </w:p>
        </w:tc>
        <w:tc>
          <w:tcPr>
            <w:tcW w:w="2772" w:type="dxa"/>
          </w:tcPr>
          <w:p>
            <w:pPr>
              <w:pStyle w:val="TableNAm"/>
              <w:spacing w:before="0"/>
            </w:pPr>
            <w:r>
              <w:t xml:space="preserve">A student undertaking a higher education course registered under section 23 of the </w:t>
            </w:r>
            <w:r>
              <w:rPr>
                <w:i/>
                <w:iCs/>
              </w:rPr>
              <w:t>Higher Education Act 2004</w:t>
            </w:r>
            <w:r>
              <w:t>.</w:t>
            </w:r>
          </w:p>
        </w:tc>
        <w:tc>
          <w:tcPr>
            <w:tcW w:w="2438" w:type="dxa"/>
          </w:tcPr>
          <w:p>
            <w:pPr>
              <w:pStyle w:val="TableNAm"/>
              <w:spacing w:before="0"/>
            </w:pPr>
            <w:r>
              <w:t xml:space="preserve">The education institution that provides the course. </w:t>
            </w:r>
          </w:p>
        </w:tc>
      </w:tr>
      <w:tr>
        <w:trPr>
          <w:cantSplit/>
        </w:trPr>
        <w:tc>
          <w:tcPr>
            <w:tcW w:w="709" w:type="dxa"/>
          </w:tcPr>
          <w:p>
            <w:pPr>
              <w:pStyle w:val="TableNAm"/>
              <w:spacing w:before="0"/>
            </w:pPr>
            <w:r>
              <w:t>4.</w:t>
            </w:r>
          </w:p>
        </w:tc>
        <w:tc>
          <w:tcPr>
            <w:tcW w:w="2772" w:type="dxa"/>
          </w:tcPr>
          <w:p>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pPr>
              <w:pStyle w:val="TableNAm"/>
              <w:spacing w:before="0"/>
            </w:pPr>
            <w:r>
              <w:t>The registered training provider (within the meaning given to that term by that Act section 5(1)), or a person referred to in section 58A(2) of that Act, who provides the course.</w:t>
            </w:r>
          </w:p>
        </w:tc>
      </w:tr>
      <w:tr>
        <w:trPr>
          <w:cantSplit/>
        </w:trPr>
        <w:tc>
          <w:tcPr>
            <w:tcW w:w="709" w:type="dxa"/>
          </w:tcPr>
          <w:p>
            <w:pPr>
              <w:pStyle w:val="TableNAm"/>
              <w:spacing w:before="0"/>
            </w:pPr>
            <w:r>
              <w:t>5.</w:t>
            </w:r>
          </w:p>
        </w:tc>
        <w:tc>
          <w:tcPr>
            <w:tcW w:w="2772" w:type="dxa"/>
          </w:tcPr>
          <w:p>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pPr>
              <w:pStyle w:val="TableNAm"/>
              <w:spacing w:before="0"/>
            </w:pPr>
            <w:r>
              <w:t>The employer.</w:t>
            </w:r>
          </w:p>
        </w:tc>
      </w:tr>
      <w:tr>
        <w:trPr>
          <w:cantSplit/>
        </w:trPr>
        <w:tc>
          <w:tcPr>
            <w:tcW w:w="709" w:type="dxa"/>
          </w:tcPr>
          <w:p>
            <w:pPr>
              <w:pStyle w:val="TableNAm"/>
              <w:spacing w:before="0"/>
            </w:pPr>
            <w:r>
              <w:t>6.</w:t>
            </w:r>
          </w:p>
        </w:tc>
        <w:tc>
          <w:tcPr>
            <w:tcW w:w="2772" w:type="dxa"/>
          </w:tcPr>
          <w:p>
            <w:pPr>
              <w:pStyle w:val="TableNAm"/>
              <w:spacing w:before="0"/>
            </w:pPr>
            <w:r>
              <w:t>A student undertaking a course, programme or activity prescribed by order made under section 11B(2) of the School Education Act.</w:t>
            </w:r>
          </w:p>
        </w:tc>
        <w:tc>
          <w:tcPr>
            <w:tcW w:w="2438" w:type="dxa"/>
          </w:tcPr>
          <w:p>
            <w:pPr>
              <w:pStyle w:val="TableNAm"/>
              <w:spacing w:before="0"/>
            </w:pPr>
            <w:r>
              <w:t>The provider specified in the order in respect of the course, programme or activity.</w:t>
            </w:r>
          </w:p>
        </w:tc>
      </w:tr>
    </w:tbl>
    <w:p>
      <w:pPr>
        <w:pStyle w:val="Footnotesection"/>
      </w:pPr>
      <w:r>
        <w:tab/>
        <w:t>[Section 19A inserted by No. 22 of 2005 s. 47; amended by No. 44 of 2008 s. 52(2); No. 37 of 2011 s. 20 and 53(1).]</w:t>
      </w:r>
    </w:p>
    <w:p>
      <w:pPr>
        <w:pStyle w:val="Heading5"/>
      </w:pPr>
      <w:bookmarkStart w:id="273" w:name="_Toc123645495"/>
      <w:bookmarkStart w:id="274" w:name="_Toc323713195"/>
      <w:r>
        <w:rPr>
          <w:rStyle w:val="CharSectno"/>
        </w:rPr>
        <w:t>19B</w:t>
      </w:r>
      <w:r>
        <w:t>.</w:t>
      </w:r>
      <w:r>
        <w:tab/>
        <w:t>Application of this Part to overseas students</w:t>
      </w:r>
      <w:bookmarkEnd w:id="273"/>
      <w:bookmarkEnd w:id="274"/>
    </w:p>
    <w:p>
      <w:pPr>
        <w:pStyle w:val="Subsection"/>
      </w:pPr>
      <w:r>
        <w:tab/>
        <w:t>(1)</w:t>
      </w:r>
      <w:r>
        <w:tab/>
        <w:t xml:space="preserve">In this section — </w:t>
      </w:r>
    </w:p>
    <w:p>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pPr>
        <w:pStyle w:val="Subsection"/>
      </w:pPr>
      <w:r>
        <w:tab/>
        <w:t>(2)</w:t>
      </w:r>
      <w:r>
        <w:tab/>
        <w:t>Sections 19C and 19D do not apply to an overseas student unless the student consents to a record being opened for the student.</w:t>
      </w:r>
    </w:p>
    <w:p>
      <w:pPr>
        <w:pStyle w:val="Footnotesection"/>
      </w:pPr>
      <w:r>
        <w:tab/>
        <w:t>[Section 19B inserted by No. 22 of 2005 s. 47.]</w:t>
      </w:r>
    </w:p>
    <w:p>
      <w:pPr>
        <w:pStyle w:val="Heading5"/>
      </w:pPr>
      <w:bookmarkStart w:id="275" w:name="_Toc123645496"/>
      <w:bookmarkStart w:id="276" w:name="_Toc323713196"/>
      <w:r>
        <w:rPr>
          <w:rStyle w:val="CharSectno"/>
        </w:rPr>
        <w:t>19C</w:t>
      </w:r>
      <w:r>
        <w:t>.</w:t>
      </w:r>
      <w:r>
        <w:tab/>
        <w:t>When student record to be opened</w:t>
      </w:r>
      <w:bookmarkEnd w:id="275"/>
      <w:bookmarkEnd w:id="276"/>
    </w:p>
    <w:p>
      <w:pPr>
        <w:pStyle w:val="Subsection"/>
      </w:pPr>
      <w:r>
        <w:tab/>
        <w:t>(1)</w:t>
      </w:r>
      <w:r>
        <w:tab/>
        <w:t xml:space="preserve">In this section — </w:t>
      </w:r>
    </w:p>
    <w:p>
      <w:pPr>
        <w:pStyle w:val="Defstart"/>
      </w:pPr>
      <w:r>
        <w:tab/>
      </w:r>
      <w:r>
        <w:rPr>
          <w:rStyle w:val="CharDefText"/>
        </w:rPr>
        <w:t>first year of the relevant education period</w:t>
      </w:r>
      <w:r>
        <w:t xml:space="preserve"> means — </w:t>
      </w:r>
    </w:p>
    <w:p>
      <w:pPr>
        <w:pStyle w:val="Defpara"/>
      </w:pPr>
      <w:r>
        <w:tab/>
        <w:t>(a)</w:t>
      </w:r>
      <w:r>
        <w:tab/>
        <w:t>for a student enrolled in a school during the pre</w:t>
      </w:r>
      <w:r>
        <w:noBreakHyphen/>
        <w:t>compulsory education period — the first year of that enrolment; or</w:t>
      </w:r>
    </w:p>
    <w:p>
      <w:pPr>
        <w:pStyle w:val="Defpara"/>
      </w:pPr>
      <w:r>
        <w:tab/>
        <w:t>(b)</w:t>
      </w:r>
      <w:r>
        <w:tab/>
        <w:t>otherwise, the first year of the compulsory education period.</w:t>
      </w:r>
    </w:p>
    <w:p>
      <w:pPr>
        <w:pStyle w:val="Subsection"/>
      </w:pPr>
      <w:r>
        <w:tab/>
        <w:t>(2)</w:t>
      </w:r>
      <w:r>
        <w:tab/>
        <w:t xml:space="preserve">A student record must be opened for every student who is in the first year of the relevant education period — </w:t>
      </w:r>
    </w:p>
    <w:p>
      <w:pPr>
        <w:pStyle w:val="Indenta"/>
      </w:pPr>
      <w:r>
        <w:tab/>
        <w:t>(a)</w:t>
      </w:r>
      <w:r>
        <w:tab/>
        <w:t>by the principal of the school at which the student is enrolled at the beginning of the school year; or</w:t>
      </w:r>
    </w:p>
    <w:p>
      <w:pPr>
        <w:pStyle w:val="Indenta"/>
      </w:pPr>
      <w:r>
        <w:tab/>
        <w:t>(ba)</w:t>
      </w:r>
      <w:r>
        <w:tab/>
        <w:t>in the case of a student who at that time is enrolled in a community kindergarten — by the governing body of the community kindergarten; or</w:t>
      </w:r>
    </w:p>
    <w:p>
      <w:pPr>
        <w:pStyle w:val="Indenta"/>
      </w:pPr>
      <w:r>
        <w:tab/>
        <w:t>(b)</w:t>
      </w:r>
      <w:r>
        <w:tab/>
        <w:t xml:space="preserve">in the case of a student who at that time — </w:t>
      </w:r>
    </w:p>
    <w:p>
      <w:pPr>
        <w:pStyle w:val="Indenti"/>
      </w:pPr>
      <w:r>
        <w:tab/>
        <w:t>(i)</w:t>
      </w:r>
      <w:r>
        <w:tab/>
        <w:t xml:space="preserve">is receiving home education; or </w:t>
      </w:r>
    </w:p>
    <w:p>
      <w:pPr>
        <w:pStyle w:val="Indenti"/>
      </w:pPr>
      <w:r>
        <w:tab/>
        <w:t>(ii)</w:t>
      </w:r>
      <w:r>
        <w:tab/>
        <w:t>is an exempt child,</w:t>
      </w:r>
    </w:p>
    <w:p>
      <w:pPr>
        <w:pStyle w:val="Indenta"/>
      </w:pPr>
      <w:r>
        <w:tab/>
      </w:r>
      <w:r>
        <w:tab/>
        <w:t>by the chief executive officer referred to in section 229 of the School Education Act.</w:t>
      </w:r>
    </w:p>
    <w:p>
      <w:pPr>
        <w:pStyle w:val="Subsection"/>
      </w:pPr>
      <w:r>
        <w:tab/>
        <w:t>(3)</w:t>
      </w:r>
      <w:r>
        <w:tab/>
        <w:t xml:space="preserve">The regulations may provide for the opening of a student record for students for whom — </w:t>
      </w:r>
    </w:p>
    <w:p>
      <w:pPr>
        <w:pStyle w:val="Indenta"/>
      </w:pPr>
      <w:r>
        <w:tab/>
        <w:t>(a)</w:t>
      </w:r>
      <w:r>
        <w:tab/>
        <w:t xml:space="preserve">on the commencement of the </w:t>
      </w:r>
      <w:r>
        <w:rPr>
          <w:i/>
          <w:snapToGrid w:val="0"/>
        </w:rPr>
        <w:t>Curriculum Council Amendment Act 2011</w:t>
      </w:r>
      <w:r>
        <w:t xml:space="preserve"> section 21, a student record has not been opened; and</w:t>
      </w:r>
    </w:p>
    <w:p>
      <w:pPr>
        <w:pStyle w:val="Indenta"/>
      </w:pPr>
      <w:r>
        <w:tab/>
        <w:t>(b)</w:t>
      </w:r>
      <w:r>
        <w:tab/>
        <w:t>a student record would not otherwise be required to be opened under this section.</w:t>
      </w:r>
    </w:p>
    <w:p>
      <w:pPr>
        <w:pStyle w:val="Footnotesection"/>
      </w:pPr>
      <w:r>
        <w:tab/>
        <w:t>[Section 19C inserted by No. 22 of 2005 s. 47; amended by No. 37 of 2011 s. 21.]</w:t>
      </w:r>
    </w:p>
    <w:p>
      <w:pPr>
        <w:pStyle w:val="Heading5"/>
      </w:pPr>
      <w:bookmarkStart w:id="277" w:name="_Toc123645497"/>
      <w:bookmarkStart w:id="278" w:name="_Toc323713197"/>
      <w:r>
        <w:rPr>
          <w:rStyle w:val="CharSectno"/>
        </w:rPr>
        <w:t>19D</w:t>
      </w:r>
      <w:r>
        <w:t>.</w:t>
      </w:r>
      <w:r>
        <w:tab/>
        <w:t>Provider may be directed to open student record</w:t>
      </w:r>
      <w:bookmarkEnd w:id="277"/>
      <w:bookmarkEnd w:id="278"/>
    </w:p>
    <w:p>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pPr>
        <w:pStyle w:val="Penstart"/>
      </w:pPr>
      <w:r>
        <w:tab/>
        <w:t>Penalty: $1 500.</w:t>
      </w:r>
    </w:p>
    <w:p>
      <w:pPr>
        <w:pStyle w:val="Footnotesection"/>
      </w:pPr>
      <w:r>
        <w:tab/>
        <w:t>[Section 19D inserted by No. 22 of 2005 s. 47; amended by No. 37 of 2011 s. 53(1).]</w:t>
      </w:r>
    </w:p>
    <w:p>
      <w:pPr>
        <w:pStyle w:val="Heading5"/>
        <w:spacing w:before="180"/>
      </w:pPr>
      <w:bookmarkStart w:id="279" w:name="_Toc123645498"/>
      <w:bookmarkStart w:id="280" w:name="_Toc323713198"/>
      <w:r>
        <w:rPr>
          <w:rStyle w:val="CharSectno"/>
        </w:rPr>
        <w:t>19E</w:t>
      </w:r>
      <w:r>
        <w:t>.</w:t>
      </w:r>
      <w:r>
        <w:tab/>
        <w:t>How student record is opened</w:t>
      </w:r>
      <w:bookmarkEnd w:id="279"/>
      <w:bookmarkEnd w:id="280"/>
    </w:p>
    <w:p>
      <w:pPr>
        <w:pStyle w:val="Subsection"/>
        <w:spacing w:before="120"/>
      </w:pPr>
      <w:r>
        <w:tab/>
      </w:r>
      <w:r>
        <w:tab/>
        <w:t xml:space="preserve">A student record is opened by the giving of the following information to the Authority, in accordance with section 19H, in respect of a student — </w:t>
      </w:r>
    </w:p>
    <w:p>
      <w:pPr>
        <w:pStyle w:val="Indenta"/>
      </w:pPr>
      <w:r>
        <w:tab/>
        <w:t>(a)</w:t>
      </w:r>
      <w:r>
        <w:tab/>
        <w:t xml:space="preserve">the student’s — </w:t>
      </w:r>
    </w:p>
    <w:p>
      <w:pPr>
        <w:pStyle w:val="Indenti"/>
      </w:pPr>
      <w:r>
        <w:tab/>
        <w:t>(i)</w:t>
      </w:r>
      <w:r>
        <w:tab/>
        <w:t>name, including any previous name; and</w:t>
      </w:r>
    </w:p>
    <w:p>
      <w:pPr>
        <w:pStyle w:val="Indenti"/>
      </w:pPr>
      <w:r>
        <w:tab/>
        <w:t>(ii)</w:t>
      </w:r>
      <w:r>
        <w:tab/>
        <w:t>address; and</w:t>
      </w:r>
    </w:p>
    <w:p>
      <w:pPr>
        <w:pStyle w:val="Indenti"/>
      </w:pPr>
      <w:r>
        <w:tab/>
        <w:t>(iii)</w:t>
      </w:r>
      <w:r>
        <w:tab/>
        <w:t>date of birth;</w:t>
      </w:r>
    </w:p>
    <w:p>
      <w:pPr>
        <w:pStyle w:val="Indenta"/>
      </w:pPr>
      <w:r>
        <w:tab/>
      </w:r>
      <w:r>
        <w:tab/>
        <w:t>and</w:t>
      </w:r>
    </w:p>
    <w:p>
      <w:pPr>
        <w:pStyle w:val="Indenta"/>
      </w:pPr>
      <w:r>
        <w:tab/>
        <w:t>(b)</w:t>
      </w:r>
      <w:r>
        <w:tab/>
        <w:t xml:space="preserve">particulars of — </w:t>
      </w:r>
    </w:p>
    <w:p>
      <w:pPr>
        <w:pStyle w:val="Indenti"/>
      </w:pPr>
      <w:r>
        <w:tab/>
        <w:t>(i)</w:t>
      </w:r>
      <w:r>
        <w:tab/>
        <w:t>any educational programme in which the student is enrolled or that is being provided to the student; or</w:t>
      </w:r>
    </w:p>
    <w:p>
      <w:pPr>
        <w:pStyle w:val="Indenti"/>
      </w:pPr>
      <w:r>
        <w:tab/>
        <w:t>(ii)</w:t>
      </w:r>
      <w:r>
        <w:tab/>
        <w:t>any option under section 11B of the School Education Act for which participation arrangements have been made in respect of the student,</w:t>
      </w:r>
    </w:p>
    <w:p>
      <w:pPr>
        <w:pStyle w:val="Indenta"/>
      </w:pPr>
      <w:r>
        <w:tab/>
      </w:r>
      <w:r>
        <w:tab/>
        <w:t xml:space="preserve">at the time when the record is opened, or in the case of an exempt child, particulars of the exemption; and </w:t>
      </w:r>
    </w:p>
    <w:p>
      <w:pPr>
        <w:pStyle w:val="Indenta"/>
      </w:pPr>
      <w:r>
        <w:tab/>
        <w:t>(c)</w:t>
      </w:r>
      <w:r>
        <w:tab/>
        <w:t>any other prescribed information.</w:t>
      </w:r>
    </w:p>
    <w:p>
      <w:pPr>
        <w:pStyle w:val="Footnotesection"/>
      </w:pPr>
      <w:r>
        <w:tab/>
        <w:t>[Section 19E inserted by No. 22 of 2005 s. 47; amended by No. 37 of 2011 s. 53(1).]</w:t>
      </w:r>
    </w:p>
    <w:p>
      <w:pPr>
        <w:pStyle w:val="Heading5"/>
        <w:spacing w:before="200"/>
      </w:pPr>
      <w:bookmarkStart w:id="281" w:name="_Toc123645499"/>
      <w:bookmarkStart w:id="282" w:name="_Toc323713199"/>
      <w:r>
        <w:rPr>
          <w:rStyle w:val="CharSectno"/>
        </w:rPr>
        <w:t>19F</w:t>
      </w:r>
      <w:r>
        <w:t>.</w:t>
      </w:r>
      <w:r>
        <w:tab/>
      </w:r>
      <w:bookmarkEnd w:id="281"/>
      <w:r>
        <w:t>Change of student’s provider, employer etc., provider to inform Authority of</w:t>
      </w:r>
      <w:bookmarkEnd w:id="282"/>
    </w:p>
    <w:p>
      <w:pPr>
        <w:pStyle w:val="Subsection"/>
      </w:pPr>
      <w:r>
        <w:tab/>
        <w:t>(1)</w:t>
      </w:r>
      <w:r>
        <w:tab/>
        <w:t>In this section —</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tab/>
      </w:r>
      <w:r>
        <w:rPr>
          <w:rStyle w:val="CharDefText"/>
        </w:rPr>
        <w:t>employed</w:t>
      </w:r>
      <w:r>
        <w:t xml:space="preserve"> includes employed as an apprentice.</w:t>
      </w:r>
    </w:p>
    <w:p>
      <w:pPr>
        <w:pStyle w:val="Subsection"/>
        <w:keepNext/>
      </w:pPr>
      <w:r>
        <w:tab/>
        <w:t>(2)</w:t>
      </w:r>
      <w:r>
        <w:tab/>
        <w:t xml:space="preserve">Where — </w:t>
      </w:r>
    </w:p>
    <w:p>
      <w:pPr>
        <w:pStyle w:val="Indenta"/>
      </w:pPr>
      <w:r>
        <w:tab/>
        <w:t>(a)</w:t>
      </w:r>
      <w:r>
        <w:tab/>
        <w:t>a student record has been opened by the principal of a school; and</w:t>
      </w:r>
    </w:p>
    <w:p>
      <w:pPr>
        <w:pStyle w:val="Indenta"/>
      </w:pPr>
      <w:r>
        <w:tab/>
        <w:t>(b)</w:t>
      </w:r>
      <w:r>
        <w:tab/>
        <w:t>the student concerned is enrolled with, or becomes employed by, another provider,</w:t>
      </w:r>
    </w:p>
    <w:p>
      <w:pPr>
        <w:pStyle w:val="Subsection"/>
      </w:pPr>
      <w:r>
        <w:tab/>
      </w:r>
      <w:r>
        <w:tab/>
        <w:t>the provider mentioned in paragraph (b) is to inform the Authority, in accordance with section 19H, of the enrolment or employment.</w:t>
      </w:r>
    </w:p>
    <w:p>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pPr>
        <w:pStyle w:val="Subsection"/>
      </w:pPr>
      <w:r>
        <w:tab/>
        <w:t>(5)</w:t>
      </w:r>
      <w:r>
        <w:tab/>
        <w:t>Where a student ceases to be enrolled with, or employed by, a provider, the provider is to inform the Authority, in accordance with section 19H, of the cessation and when it occurred.</w:t>
      </w:r>
    </w:p>
    <w:p>
      <w:pPr>
        <w:pStyle w:val="Penstart"/>
      </w:pPr>
      <w:r>
        <w:tab/>
        <w:t>Penalty applicable to subsections (2), (3), (4) and (5): $1 500.</w:t>
      </w:r>
    </w:p>
    <w:p>
      <w:pPr>
        <w:pStyle w:val="Footnotesection"/>
      </w:pPr>
      <w:r>
        <w:tab/>
        <w:t>[Section 19F inserted by No. 22 of 2005 s. 47; amended by No. 44 of 2008 s. 52(3); No. 37 of 2011 s. 53(1).]</w:t>
      </w:r>
    </w:p>
    <w:p>
      <w:pPr>
        <w:pStyle w:val="Heading5"/>
      </w:pPr>
      <w:bookmarkStart w:id="283" w:name="_Toc123645500"/>
      <w:bookmarkStart w:id="284" w:name="_Toc323713200"/>
      <w:r>
        <w:rPr>
          <w:rStyle w:val="CharSectno"/>
        </w:rPr>
        <w:t>19G</w:t>
      </w:r>
      <w:r>
        <w:t>.</w:t>
      </w:r>
      <w:r>
        <w:tab/>
      </w:r>
      <w:bookmarkEnd w:id="283"/>
      <w:r>
        <w:t>Student’s results etc., provider to inform Authority of</w:t>
      </w:r>
      <w:bookmarkEnd w:id="284"/>
    </w:p>
    <w:p>
      <w:pPr>
        <w:pStyle w:val="Subsection"/>
      </w:pPr>
      <w:r>
        <w:tab/>
      </w:r>
      <w:r>
        <w:tab/>
        <w:t>A provider must, in accordance with section 19H, give to the Authority such information as may be prescribed in respect of results achieved, or not achieved, by a student for whom a student record has been opened.</w:t>
      </w:r>
    </w:p>
    <w:p>
      <w:pPr>
        <w:pStyle w:val="Penstart"/>
      </w:pPr>
      <w:r>
        <w:tab/>
        <w:t>Penalty: $1 500.</w:t>
      </w:r>
    </w:p>
    <w:p>
      <w:pPr>
        <w:pStyle w:val="Footnotesection"/>
      </w:pPr>
      <w:r>
        <w:tab/>
        <w:t>[Section 19G inserted by No. 22 of 2005 s. 47; amended by No. 37 of 2011 s. 53(1).]</w:t>
      </w:r>
    </w:p>
    <w:p>
      <w:pPr>
        <w:pStyle w:val="Heading5"/>
      </w:pPr>
      <w:bookmarkStart w:id="285" w:name="_Toc123645501"/>
      <w:bookmarkStart w:id="286" w:name="_Toc323713201"/>
      <w:r>
        <w:rPr>
          <w:rStyle w:val="CharSectno"/>
        </w:rPr>
        <w:t>19H</w:t>
      </w:r>
      <w:r>
        <w:t>.</w:t>
      </w:r>
      <w:r>
        <w:tab/>
      </w:r>
      <w:bookmarkEnd w:id="285"/>
      <w:r>
        <w:t>Informing Authority, general provisions about</w:t>
      </w:r>
      <w:bookmarkEnd w:id="286"/>
    </w:p>
    <w:p>
      <w:pPr>
        <w:pStyle w:val="Subsection"/>
      </w:pPr>
      <w:r>
        <w:tab/>
        <w:t>(1)</w:t>
      </w:r>
      <w:r>
        <w:tab/>
        <w:t xml:space="preserve">Information is to be given to the Authority under this Part — </w:t>
      </w:r>
    </w:p>
    <w:p>
      <w:pPr>
        <w:pStyle w:val="Indenta"/>
      </w:pPr>
      <w:r>
        <w:tab/>
        <w:t>(a)</w:t>
      </w:r>
      <w:r>
        <w:tab/>
        <w:t>in a form of notice; or</w:t>
      </w:r>
    </w:p>
    <w:p>
      <w:pPr>
        <w:pStyle w:val="Indenta"/>
      </w:pPr>
      <w:r>
        <w:tab/>
        <w:t>(b)</w:t>
      </w:r>
      <w:r>
        <w:tab/>
        <w:t>by an electronic means of communication,</w:t>
      </w:r>
    </w:p>
    <w:p>
      <w:pPr>
        <w:pStyle w:val="Subsection"/>
        <w:spacing w:before="120"/>
      </w:pPr>
      <w:r>
        <w:tab/>
      </w:r>
      <w:r>
        <w:tab/>
        <w:t>as approved by the Authority for the purposes of the provision under which the information is given.</w:t>
      </w:r>
    </w:p>
    <w:p>
      <w:pPr>
        <w:pStyle w:val="Subsection"/>
        <w:spacing w:before="140"/>
      </w:pPr>
      <w:r>
        <w:tab/>
        <w:t>(2)</w:t>
      </w:r>
      <w:r>
        <w:tab/>
        <w:t>Such information is also to be given in accordance with any provision made by the regulations, including provision as to the time or times at which the information is to be given.</w:t>
      </w:r>
    </w:p>
    <w:p>
      <w:pPr>
        <w:pStyle w:val="Subsection"/>
        <w:spacing w:before="140"/>
      </w:pPr>
      <w:r>
        <w:tab/>
        <w:t>(3)</w:t>
      </w:r>
      <w:r>
        <w:tab/>
        <w:t>Without limiting its powers under section 19I(3) or 19K, the Authority is not required to satisfy itself as to the validity or correctness of information given to it under this Part.</w:t>
      </w:r>
    </w:p>
    <w:p>
      <w:pPr>
        <w:pStyle w:val="Footnotesection"/>
        <w:spacing w:before="100"/>
        <w:ind w:left="890" w:hanging="890"/>
      </w:pPr>
      <w:r>
        <w:tab/>
        <w:t>[Section 19H inserted by No. 22 of 2005 s. 47; amended by No. 37 of 2011 s. 53(1).]</w:t>
      </w:r>
    </w:p>
    <w:p>
      <w:pPr>
        <w:pStyle w:val="Heading5"/>
      </w:pPr>
      <w:bookmarkStart w:id="287" w:name="_Toc123645502"/>
      <w:bookmarkStart w:id="288" w:name="_Toc323713202"/>
      <w:r>
        <w:rPr>
          <w:rStyle w:val="CharSectno"/>
        </w:rPr>
        <w:t>19I</w:t>
      </w:r>
      <w:r>
        <w:t>.</w:t>
      </w:r>
      <w:r>
        <w:tab/>
      </w:r>
      <w:bookmarkEnd w:id="287"/>
      <w:r>
        <w:t>Database of student records etc., Authority to maintain; use of database</w:t>
      </w:r>
      <w:bookmarkEnd w:id="288"/>
    </w:p>
    <w:p>
      <w:pPr>
        <w:pStyle w:val="Subsection"/>
        <w:spacing w:before="140"/>
      </w:pPr>
      <w:r>
        <w:tab/>
        <w:t>(1)</w:t>
      </w:r>
      <w:r>
        <w:tab/>
        <w:t xml:space="preserve">It is a function of the Authority to maintain a database containing — </w:t>
      </w:r>
    </w:p>
    <w:p>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pPr>
        <w:pStyle w:val="Indenta"/>
        <w:spacing w:before="60"/>
      </w:pPr>
      <w:r>
        <w:tab/>
        <w:t>(b)</w:t>
      </w:r>
      <w:r>
        <w:tab/>
        <w:t xml:space="preserve">the information relating to student records given to it under this Part; and </w:t>
      </w:r>
    </w:p>
    <w:p>
      <w:pPr>
        <w:pStyle w:val="Indenta"/>
        <w:spacing w:before="60"/>
      </w:pPr>
      <w:r>
        <w:tab/>
        <w:t>(c)</w:t>
      </w:r>
      <w:r>
        <w:tab/>
        <w:t>other information relating to student records received by or otherwise available to the Authority.</w:t>
      </w:r>
    </w:p>
    <w:p>
      <w:pPr>
        <w:pStyle w:val="Subsection"/>
        <w:spacing w:before="140"/>
      </w:pPr>
      <w:r>
        <w:tab/>
        <w:t>(2A)</w:t>
      </w:r>
      <w:r>
        <w:tab/>
        <w:t xml:space="preserve">In subsection (1) — </w:t>
      </w:r>
    </w:p>
    <w:p>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r>
        <w:rPr>
          <w:vertAlign w:val="superscript"/>
        </w:rPr>
        <w:t> 1</w:t>
      </w:r>
      <w:r>
        <w:t>.</w:t>
      </w:r>
    </w:p>
    <w:p>
      <w:pPr>
        <w:pStyle w:val="Subsection"/>
        <w:spacing w:before="140"/>
      </w:pPr>
      <w:r>
        <w:tab/>
        <w:t>(2)</w:t>
      </w:r>
      <w:r>
        <w:tab/>
        <w:t>The database is to be maintained in such manner and form as the Authority thinks fit.</w:t>
      </w:r>
    </w:p>
    <w:p>
      <w:pPr>
        <w:pStyle w:val="Subsection"/>
        <w:spacing w:before="140"/>
      </w:pPr>
      <w:r>
        <w:tab/>
        <w:t>(3)</w:t>
      </w:r>
      <w:r>
        <w:tab/>
        <w:t>The Authority may at any time change information in the database to correct any error or omission.</w:t>
      </w:r>
    </w:p>
    <w:p>
      <w:pPr>
        <w:pStyle w:val="Subsection"/>
      </w:pPr>
      <w:r>
        <w:tab/>
        <w:t>(4)</w:t>
      </w:r>
      <w:r>
        <w:tab/>
        <w:t>The Authority may use the database for the purpose of keeping the records of assessment and the register of courses referred to in section 14(1)(a).</w:t>
      </w:r>
    </w:p>
    <w:p>
      <w:pPr>
        <w:pStyle w:val="Subsection"/>
      </w:pPr>
      <w:r>
        <w:tab/>
        <w:t>(5)</w:t>
      </w:r>
      <w:r>
        <w:tab/>
        <w:t>The Authority may use information in the database for the purpose of performing the functions mentioned in sections 11(1), 12(2) and 14(1)(c) and (2).</w:t>
      </w:r>
    </w:p>
    <w:p>
      <w:pPr>
        <w:pStyle w:val="Footnotesection"/>
      </w:pPr>
      <w:r>
        <w:tab/>
        <w:t>[Section 19I inserted by No. 22 of 2005 s. 47; amended by No. 37 of 2011 s. 22 and 53(1).]</w:t>
      </w:r>
    </w:p>
    <w:p>
      <w:pPr>
        <w:pStyle w:val="Heading5"/>
      </w:pPr>
      <w:bookmarkStart w:id="289" w:name="_Toc123645503"/>
      <w:bookmarkStart w:id="290" w:name="_Toc323713203"/>
      <w:r>
        <w:rPr>
          <w:rStyle w:val="CharSectno"/>
        </w:rPr>
        <w:t>19J</w:t>
      </w:r>
      <w:r>
        <w:t>.</w:t>
      </w:r>
      <w:r>
        <w:tab/>
      </w:r>
      <w:bookmarkEnd w:id="289"/>
      <w:r>
        <w:rPr>
          <w:bCs/>
        </w:rPr>
        <w:t>Student etc. entitled to student record</w:t>
      </w:r>
      <w:bookmarkEnd w:id="290"/>
    </w:p>
    <w:p>
      <w:pPr>
        <w:pStyle w:val="Subsection"/>
      </w:pPr>
      <w:r>
        <w:tab/>
        <w:t>(1A)</w:t>
      </w:r>
      <w:r>
        <w:tab/>
        <w:t xml:space="preserve">In this section — </w:t>
      </w:r>
    </w:p>
    <w:p>
      <w:pPr>
        <w:pStyle w:val="Defstart"/>
      </w:pPr>
      <w:r>
        <w:rPr>
          <w:b/>
        </w:rPr>
        <w:tab/>
      </w:r>
      <w:r>
        <w:rPr>
          <w:rStyle w:val="CharDefText"/>
        </w:rPr>
        <w:t>parent</w:t>
      </w:r>
      <w:r>
        <w:t>, of a student, means a person who at law has responsibility for the day to day care, welfare and development of the student;</w:t>
      </w:r>
    </w:p>
    <w:p>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pPr>
        <w:pStyle w:val="Subsection"/>
      </w:pPr>
      <w:r>
        <w:tab/>
        <w:t>(1)</w:t>
      </w:r>
      <w:r>
        <w:tab/>
        <w:t>The Authority is to provide to a person who makes a request under subsection (2) and pays the prescribed fee, if any, a copy of the student record kept by the Authority in respect of a student.</w:t>
      </w:r>
    </w:p>
    <w:p>
      <w:pPr>
        <w:pStyle w:val="Subsection"/>
      </w:pPr>
      <w:r>
        <w:tab/>
        <w:t>(2)</w:t>
      </w:r>
      <w:r>
        <w:tab/>
        <w:t>A request may be made for a copy of a student record only by the student concerned, a parent of the student or a person who is authorised in writing by the student to obtain such a copy.</w:t>
      </w:r>
    </w:p>
    <w:p>
      <w:pPr>
        <w:pStyle w:val="Footnotesection"/>
      </w:pPr>
      <w:r>
        <w:tab/>
        <w:t>[Section 19J inserted by No. 22 of 2005 s. 47; amended by No. 37 of 2011 s. 23 and 53(1).]</w:t>
      </w:r>
    </w:p>
    <w:p>
      <w:pPr>
        <w:pStyle w:val="Heading5"/>
      </w:pPr>
      <w:bookmarkStart w:id="291" w:name="_Toc123645504"/>
      <w:bookmarkStart w:id="292" w:name="_Toc323713204"/>
      <w:r>
        <w:rPr>
          <w:rStyle w:val="CharSectno"/>
        </w:rPr>
        <w:t>19K</w:t>
      </w:r>
      <w:r>
        <w:t>.</w:t>
      </w:r>
      <w:r>
        <w:tab/>
        <w:t>Authority may disclose information to provider for checking purposes</w:t>
      </w:r>
      <w:bookmarkEnd w:id="291"/>
      <w:bookmarkEnd w:id="292"/>
    </w:p>
    <w:p>
      <w:pPr>
        <w:pStyle w:val="Subsection"/>
      </w:pPr>
      <w:r>
        <w:tab/>
      </w:r>
      <w:r>
        <w:tab/>
        <w:t>The Authority may disclose to a provider information given to it under this Part in respect of a student for the purpose of ensuring that the information is accurate.</w:t>
      </w:r>
    </w:p>
    <w:p>
      <w:pPr>
        <w:pStyle w:val="Footnotesection"/>
      </w:pPr>
      <w:r>
        <w:tab/>
        <w:t>[Section 19K inserted by No. 22 of 2005 s. 47; amended by No. 37 of 2011 s. 53(1).]</w:t>
      </w:r>
    </w:p>
    <w:p>
      <w:pPr>
        <w:pStyle w:val="Heading5"/>
      </w:pPr>
      <w:bookmarkStart w:id="293" w:name="_Toc123645505"/>
      <w:bookmarkStart w:id="294" w:name="_Toc323713205"/>
      <w:r>
        <w:rPr>
          <w:rStyle w:val="CharSectno"/>
        </w:rPr>
        <w:t>19L</w:t>
      </w:r>
      <w:r>
        <w:t>.</w:t>
      </w:r>
      <w:r>
        <w:tab/>
      </w:r>
      <w:bookmarkEnd w:id="293"/>
      <w:r>
        <w:t>Authority, on request, to give Minister information in aggregated form</w:t>
      </w:r>
      <w:bookmarkEnd w:id="294"/>
    </w:p>
    <w:p>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pPr>
        <w:pStyle w:val="Footnotesection"/>
      </w:pPr>
      <w:r>
        <w:tab/>
        <w:t>[Section 19L inserted by No. 22 of 2005 s. 47; amended by No. 37 of 2011 s. 53(1).]</w:t>
      </w:r>
    </w:p>
    <w:p>
      <w:pPr>
        <w:pStyle w:val="Heading5"/>
      </w:pPr>
      <w:bookmarkStart w:id="295" w:name="_Toc123645506"/>
      <w:bookmarkStart w:id="296" w:name="_Toc323713206"/>
      <w:r>
        <w:rPr>
          <w:rStyle w:val="CharSectno"/>
        </w:rPr>
        <w:t>19M</w:t>
      </w:r>
      <w:r>
        <w:t>.</w:t>
      </w:r>
      <w:r>
        <w:tab/>
      </w:r>
      <w:bookmarkEnd w:id="295"/>
      <w:r>
        <w:t>Authority, on request, to give Minister information to assist in enforcing School Education Act</w:t>
      </w:r>
      <w:bookmarkEnd w:id="296"/>
    </w:p>
    <w:p>
      <w:pPr>
        <w:pStyle w:val="Subsection"/>
      </w:pPr>
      <w:r>
        <w:tab/>
        <w:t>(1)</w:t>
      </w:r>
      <w:r>
        <w:tab/>
        <w:t xml:space="preserve">In subsection (2) — </w:t>
      </w:r>
    </w:p>
    <w:p>
      <w:pPr>
        <w:pStyle w:val="Defstart"/>
      </w:pPr>
      <w:r>
        <w:rPr>
          <w:b/>
        </w:rPr>
        <w:tab/>
      </w:r>
      <w:r>
        <w:rPr>
          <w:rStyle w:val="CharDefText"/>
        </w:rPr>
        <w:t>allowed information</w:t>
      </w:r>
      <w:r>
        <w:rPr>
          <w:bCs/>
        </w:rPr>
        <w:t>, in relation to a child,</w:t>
      </w:r>
      <w:r>
        <w:t xml:space="preserve"> means — </w:t>
      </w:r>
    </w:p>
    <w:p>
      <w:pPr>
        <w:pStyle w:val="Defpara"/>
      </w:pPr>
      <w:r>
        <w:tab/>
        <w:t>(a)</w:t>
      </w:r>
      <w:r>
        <w:tab/>
        <w:t xml:space="preserve">the child’s — </w:t>
      </w:r>
    </w:p>
    <w:p>
      <w:pPr>
        <w:pStyle w:val="Defsubpara"/>
      </w:pPr>
      <w:r>
        <w:tab/>
        <w:t>(i)</w:t>
      </w:r>
      <w:r>
        <w:tab/>
        <w:t>name, including any previous name; and</w:t>
      </w:r>
    </w:p>
    <w:p>
      <w:pPr>
        <w:pStyle w:val="Defsubpara"/>
      </w:pPr>
      <w:r>
        <w:tab/>
        <w:t>(ii)</w:t>
      </w:r>
      <w:r>
        <w:tab/>
        <w:t xml:space="preserve">address; and </w:t>
      </w:r>
    </w:p>
    <w:p>
      <w:pPr>
        <w:pStyle w:val="Defsubpara"/>
      </w:pPr>
      <w:r>
        <w:tab/>
        <w:t>(iii)</w:t>
      </w:r>
      <w:r>
        <w:tab/>
        <w:t>date of birth;</w:t>
      </w:r>
    </w:p>
    <w:p>
      <w:pPr>
        <w:pStyle w:val="Defpara"/>
      </w:pPr>
      <w:r>
        <w:tab/>
      </w:r>
      <w:r>
        <w:tab/>
        <w:t>and</w:t>
      </w:r>
    </w:p>
    <w:p>
      <w:pPr>
        <w:pStyle w:val="Defpara"/>
      </w:pPr>
      <w:r>
        <w:tab/>
        <w:t>(b)</w:t>
      </w:r>
      <w:r>
        <w:tab/>
        <w:t xml:space="preserve">the details shown in the child’s student record of — </w:t>
      </w:r>
    </w:p>
    <w:p>
      <w:pPr>
        <w:pStyle w:val="Defsubpara"/>
      </w:pPr>
      <w:r>
        <w:tab/>
        <w:t>(i)</w:t>
      </w:r>
      <w:r>
        <w:tab/>
        <w:t>the educational programme in or for which the child was most recently enrolled or receiving home education; or</w:t>
      </w:r>
    </w:p>
    <w:p>
      <w:pPr>
        <w:pStyle w:val="Defsubpara"/>
      </w:pPr>
      <w:r>
        <w:tab/>
        <w:t>(ii)</w:t>
      </w:r>
      <w:r>
        <w:tab/>
        <w:t>the option, or combination of options, under section 11B of the School Education Act, in which the child was most recently a participant.</w:t>
      </w:r>
    </w:p>
    <w:p>
      <w:pPr>
        <w:pStyle w:val="Subsection"/>
      </w:pPr>
      <w:r>
        <w:tab/>
        <w:t>(2)</w:t>
      </w:r>
      <w:r>
        <w:tab/>
        <w:t>The Minister may, for a purpose referred to in subsection (5), in writing request the Authority to provide the Minister with the allowed information in respect of children to whom this section applies.</w:t>
      </w:r>
    </w:p>
    <w:p>
      <w:pPr>
        <w:pStyle w:val="Subsection"/>
      </w:pPr>
      <w:r>
        <w:tab/>
        <w:t>(3)</w:t>
      </w:r>
      <w:r>
        <w:tab/>
        <w:t>The Authority is to comply with a request made under subsection (2).</w:t>
      </w:r>
    </w:p>
    <w:p>
      <w:pPr>
        <w:pStyle w:val="Subsection"/>
      </w:pPr>
      <w:r>
        <w:tab/>
        <w:t>(4)</w:t>
      </w:r>
      <w:r>
        <w:tab/>
        <w:t xml:space="preserve">This section applies to a child if the student record for the child shows that he or she is or appears to be a child who — </w:t>
      </w:r>
    </w:p>
    <w:p>
      <w:pPr>
        <w:pStyle w:val="Indenta"/>
        <w:spacing w:before="60"/>
      </w:pPr>
      <w:r>
        <w:tab/>
        <w:t>(a)</w:t>
      </w:r>
      <w:r>
        <w:tab/>
        <w:t>is required by section 9 of the School Education Act to be enrolled in an educational programme or receiving home education, but is not so enrolled or receiving such education; or</w:t>
      </w:r>
    </w:p>
    <w:p>
      <w:pPr>
        <w:pStyle w:val="Indenta"/>
        <w:spacing w:before="60"/>
      </w:pPr>
      <w:r>
        <w:tab/>
        <w:t>(b)</w:t>
      </w:r>
      <w:r>
        <w:tab/>
        <w:t>is required by section 11I of that Act to be participating in an option or a combination of options under section 11B of that Act, but is not so participating.</w:t>
      </w:r>
    </w:p>
    <w:p>
      <w:pPr>
        <w:pStyle w:val="Subsection"/>
        <w:spacing w:before="130"/>
      </w:pPr>
      <w:r>
        <w:tab/>
        <w:t>(5)</w:t>
      </w:r>
      <w:r>
        <w:tab/>
        <w:t xml:space="preserve">A request may only be made by the Minister under subsection (2) — </w:t>
      </w:r>
    </w:p>
    <w:p>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pPr>
        <w:pStyle w:val="Indenta"/>
        <w:spacing w:before="60"/>
      </w:pPr>
      <w:r>
        <w:tab/>
        <w:t>(b)</w:t>
      </w:r>
      <w:r>
        <w:tab/>
        <w:t xml:space="preserve">in respect of children referred to in subsection (4)(b), for the purpose of — </w:t>
      </w:r>
    </w:p>
    <w:p>
      <w:pPr>
        <w:pStyle w:val="Indenti"/>
        <w:spacing w:before="60"/>
      </w:pPr>
      <w:r>
        <w:tab/>
        <w:t>(i)</w:t>
      </w:r>
      <w:r>
        <w:tab/>
        <w:t>identifying those children in the 11</w:t>
      </w:r>
      <w:r>
        <w:rPr>
          <w:vertAlign w:val="superscript"/>
        </w:rPr>
        <w:t>th</w:t>
      </w:r>
      <w:r>
        <w:t xml:space="preserve"> or 12</w:t>
      </w:r>
      <w:r>
        <w:rPr>
          <w:vertAlign w:val="superscript"/>
        </w:rPr>
        <w:t>th</w:t>
      </w:r>
      <w:r>
        <w:t xml:space="preserve"> year of the compulsory education period who are not engaged full</w:t>
      </w:r>
      <w:r>
        <w:noBreakHyphen/>
        <w:t>time in education, training or employment as provided by the School Education Act; and</w:t>
      </w:r>
    </w:p>
    <w:p>
      <w:pPr>
        <w:pStyle w:val="Indenti"/>
        <w:spacing w:before="60"/>
      </w:pPr>
      <w:r>
        <w:tab/>
        <w:t>(ii)</w:t>
      </w:r>
      <w:r>
        <w:tab/>
        <w:t>giving such children information about school education and the options that are available under that Act; and</w:t>
      </w:r>
    </w:p>
    <w:p>
      <w:pPr>
        <w:pStyle w:val="Indenti"/>
        <w:spacing w:before="60"/>
      </w:pPr>
      <w:r>
        <w:tab/>
        <w:t>(iii)</w:t>
      </w:r>
      <w:r>
        <w:tab/>
        <w:t>encouraging and helping parents in relation to the matters referred to in subparagraphs (i) and (ii).</w:t>
      </w:r>
    </w:p>
    <w:p>
      <w:pPr>
        <w:pStyle w:val="Footnotesection"/>
        <w:spacing w:before="100"/>
        <w:ind w:left="890" w:hanging="890"/>
      </w:pPr>
      <w:r>
        <w:tab/>
        <w:t>[Section 19M inserted by No. 22 of 2005 s. 47; amended by No. 37 of 2011 s. 53(1).]</w:t>
      </w:r>
    </w:p>
    <w:p>
      <w:pPr>
        <w:pStyle w:val="Heading5"/>
        <w:spacing w:before="200"/>
      </w:pPr>
      <w:bookmarkStart w:id="297" w:name="_Toc123645507"/>
      <w:bookmarkStart w:id="298" w:name="_Toc323713207"/>
      <w:r>
        <w:rPr>
          <w:rStyle w:val="CharSectno"/>
        </w:rPr>
        <w:t>19N</w:t>
      </w:r>
      <w:r>
        <w:t>.</w:t>
      </w:r>
      <w:r>
        <w:tab/>
      </w:r>
      <w:bookmarkEnd w:id="297"/>
      <w:r>
        <w:t>Disclosure by Minister of information given under s. 19M</w:t>
      </w:r>
      <w:bookmarkEnd w:id="298"/>
    </w:p>
    <w:p>
      <w:pPr>
        <w:pStyle w:val="Subsection"/>
        <w:spacing w:before="130"/>
      </w:pPr>
      <w:r>
        <w:tab/>
        <w:t>(1)</w:t>
      </w:r>
      <w:r>
        <w:tab/>
        <w:t>This section applies to information provided to the Minister under section 19M in respect of a child to whom that section applies.</w:t>
      </w:r>
    </w:p>
    <w:p>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pPr>
        <w:pStyle w:val="Subsection"/>
      </w:pPr>
      <w:r>
        <w:tab/>
        <w:t>(3)</w:t>
      </w:r>
      <w:r>
        <w:tab/>
        <w:t>Such a disclosure may only be made by the Minister for a purpose referred to in section 19M(5).</w:t>
      </w:r>
    </w:p>
    <w:p>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pPr>
        <w:pStyle w:val="Penstart"/>
      </w:pPr>
      <w:r>
        <w:tab/>
        <w:t>Penalty: $10 000 and imprisonment for 12 months.</w:t>
      </w:r>
    </w:p>
    <w:p>
      <w:pPr>
        <w:pStyle w:val="Footnotesection"/>
      </w:pPr>
      <w:r>
        <w:tab/>
        <w:t>[Section 19N inserted by No. 22 of 2005 s. 47.]</w:t>
      </w:r>
    </w:p>
    <w:p>
      <w:pPr>
        <w:pStyle w:val="Heading5"/>
      </w:pPr>
      <w:bookmarkStart w:id="299" w:name="_Toc123645508"/>
      <w:bookmarkStart w:id="300" w:name="_Toc323713208"/>
      <w:r>
        <w:rPr>
          <w:rStyle w:val="CharSectno"/>
        </w:rPr>
        <w:t>19O</w:t>
      </w:r>
      <w:r>
        <w:t>.</w:t>
      </w:r>
      <w:r>
        <w:tab/>
      </w:r>
      <w:bookmarkEnd w:id="299"/>
      <w:r>
        <w:t>Delegation by Minister etc. of s. 19L, 19M and 19N functions</w:t>
      </w:r>
      <w:bookmarkEnd w:id="300"/>
    </w:p>
    <w:p>
      <w:pPr>
        <w:pStyle w:val="Subsection"/>
      </w:pPr>
      <w:r>
        <w:tab/>
      </w:r>
      <w:r>
        <w:tab/>
        <w:t>Sections 224 and 225 of the School Education Act apply in respect of the functions of the Minister under sections 19L, 19M and 19N in the same way as they apply to the functions of the Minister under that Act.</w:t>
      </w:r>
    </w:p>
    <w:p>
      <w:pPr>
        <w:pStyle w:val="Footnotesection"/>
      </w:pPr>
      <w:r>
        <w:tab/>
        <w:t>[Section 19O inserted by No. 22 of 2005 s. 47.]</w:t>
      </w:r>
    </w:p>
    <w:p>
      <w:pPr>
        <w:pStyle w:val="Heading5"/>
      </w:pPr>
      <w:bookmarkStart w:id="301" w:name="_Toc123645509"/>
      <w:bookmarkStart w:id="302" w:name="_Toc323713209"/>
      <w:r>
        <w:rPr>
          <w:rStyle w:val="CharSectno"/>
        </w:rPr>
        <w:t>19P</w:t>
      </w:r>
      <w:r>
        <w:t>.</w:t>
      </w:r>
      <w:r>
        <w:tab/>
      </w:r>
      <w:bookmarkEnd w:id="301"/>
      <w:r>
        <w:t>Authority to give certain entities certain information in aggregated form</w:t>
      </w:r>
      <w:bookmarkEnd w:id="302"/>
    </w:p>
    <w:p>
      <w:pPr>
        <w:pStyle w:val="Subsection"/>
        <w:keepNext/>
      </w:pPr>
      <w:r>
        <w:tab/>
        <w:t>(1)</w:t>
      </w:r>
      <w:r>
        <w:tab/>
        <w:t xml:space="preserve">The Authority is to provide each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pPr>
      <w:r>
        <w:tab/>
      </w:r>
      <w:r>
        <w:tab/>
        <w:t>with the information prescribed in respect of that body being information that comprises, includes or is derived from information given under this Part.</w:t>
      </w:r>
    </w:p>
    <w:p>
      <w:pPr>
        <w:pStyle w:val="Subsection"/>
      </w:pPr>
      <w:r>
        <w:tab/>
        <w:t>(2)</w:t>
      </w:r>
      <w:r>
        <w:tab/>
        <w:t>The information is to be in aggregated form and given at the prescribed times.</w:t>
      </w:r>
    </w:p>
    <w:p>
      <w:pPr>
        <w:pStyle w:val="Footnotesection"/>
      </w:pPr>
      <w:r>
        <w:tab/>
        <w:t>[Section 19P inserted by No. 22 of 2005 s. 47; amended by No. 37 of 2011 s. 53(1).]</w:t>
      </w:r>
    </w:p>
    <w:p>
      <w:pPr>
        <w:pStyle w:val="Heading2"/>
      </w:pPr>
      <w:bookmarkStart w:id="303" w:name="_Toc123645510"/>
      <w:bookmarkStart w:id="304" w:name="_Toc123645611"/>
      <w:bookmarkStart w:id="305" w:name="_Toc124139480"/>
      <w:bookmarkStart w:id="306" w:name="_Toc157845859"/>
      <w:bookmarkStart w:id="307" w:name="_Toc161720566"/>
      <w:bookmarkStart w:id="308" w:name="_Toc161723018"/>
      <w:bookmarkStart w:id="309" w:name="_Toc163956986"/>
      <w:bookmarkStart w:id="310" w:name="_Toc163964976"/>
      <w:bookmarkStart w:id="311" w:name="_Toc165698418"/>
      <w:bookmarkStart w:id="312" w:name="_Toc232394794"/>
      <w:bookmarkStart w:id="313" w:name="_Toc268269126"/>
      <w:bookmarkStart w:id="314" w:name="_Toc272057697"/>
      <w:bookmarkStart w:id="315" w:name="_Toc274207142"/>
      <w:bookmarkStart w:id="316" w:name="_Toc278975277"/>
      <w:bookmarkStart w:id="317" w:name="_Toc303861462"/>
      <w:bookmarkStart w:id="318" w:name="_Toc303867341"/>
      <w:bookmarkStart w:id="319" w:name="_Toc318121406"/>
      <w:bookmarkStart w:id="320" w:name="_Toc318121656"/>
      <w:bookmarkStart w:id="321" w:name="_Toc318122484"/>
      <w:bookmarkStart w:id="322" w:name="_Toc318181660"/>
      <w:bookmarkStart w:id="323" w:name="_Toc318181765"/>
      <w:bookmarkStart w:id="324" w:name="_Toc318201620"/>
      <w:bookmarkStart w:id="325" w:name="_Toc320283253"/>
      <w:bookmarkStart w:id="326" w:name="_Toc320516403"/>
      <w:bookmarkStart w:id="327" w:name="_Toc321898576"/>
      <w:bookmarkStart w:id="328" w:name="_Toc323638325"/>
      <w:bookmarkStart w:id="329" w:name="_Toc323640285"/>
      <w:bookmarkStart w:id="330" w:name="_Toc323713210"/>
      <w:r>
        <w:rPr>
          <w:rStyle w:val="CharPartNo"/>
        </w:rPr>
        <w:t>Part 4</w:t>
      </w:r>
      <w:r>
        <w:rPr>
          <w:rStyle w:val="CharDivNo"/>
        </w:rPr>
        <w:t> </w:t>
      </w:r>
      <w:r>
        <w:t>—</w:t>
      </w:r>
      <w:r>
        <w:rPr>
          <w:rStyle w:val="CharDivText"/>
        </w:rPr>
        <w:t> </w:t>
      </w:r>
      <w:r>
        <w:rPr>
          <w:rStyle w:val="CharPartText"/>
        </w:rPr>
        <w:t>Staff</w:t>
      </w:r>
      <w:bookmarkEnd w:id="268"/>
      <w:bookmarkEnd w:id="269"/>
      <w:bookmarkEnd w:id="270"/>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r>
        <w:rPr>
          <w:rStyle w:val="CharPartText"/>
        </w:rPr>
        <w:t xml:space="preserve"> </w:t>
      </w:r>
    </w:p>
    <w:p>
      <w:pPr>
        <w:pStyle w:val="Heading5"/>
        <w:rPr>
          <w:snapToGrid w:val="0"/>
        </w:rPr>
      </w:pPr>
      <w:bookmarkStart w:id="331" w:name="_Toc520109151"/>
      <w:bookmarkStart w:id="332" w:name="_Toc17002436"/>
      <w:bookmarkStart w:id="333" w:name="_Toc123645511"/>
      <w:bookmarkStart w:id="334" w:name="_Toc323713211"/>
      <w:r>
        <w:rPr>
          <w:rStyle w:val="CharSectno"/>
        </w:rPr>
        <w:t>20</w:t>
      </w:r>
      <w:r>
        <w:rPr>
          <w:snapToGrid w:val="0"/>
        </w:rPr>
        <w:t>.</w:t>
      </w:r>
      <w:r>
        <w:rPr>
          <w:snapToGrid w:val="0"/>
        </w:rPr>
        <w:tab/>
        <w:t>Chief executive officer</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pPr>
        <w:pStyle w:val="Footnotesection"/>
      </w:pPr>
      <w:bookmarkStart w:id="335" w:name="_Toc520109152"/>
      <w:bookmarkStart w:id="336" w:name="_Toc17002437"/>
      <w:bookmarkStart w:id="337" w:name="_Toc123645512"/>
      <w:r>
        <w:tab/>
        <w:t>[Section 20 amended by No. 37 of 2011 s. 24 and 53(1).]</w:t>
      </w:r>
    </w:p>
    <w:p>
      <w:pPr>
        <w:pStyle w:val="Heading5"/>
        <w:rPr>
          <w:snapToGrid w:val="0"/>
        </w:rPr>
      </w:pPr>
      <w:bookmarkStart w:id="338" w:name="_Toc323713212"/>
      <w:r>
        <w:rPr>
          <w:rStyle w:val="CharSectno"/>
        </w:rPr>
        <w:t>21</w:t>
      </w:r>
      <w:r>
        <w:rPr>
          <w:snapToGrid w:val="0"/>
        </w:rPr>
        <w:t>.</w:t>
      </w:r>
      <w:r>
        <w:rPr>
          <w:snapToGrid w:val="0"/>
        </w:rPr>
        <w:tab/>
        <w:t>Other staff</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pPr>
        <w:pStyle w:val="Footnotesection"/>
      </w:pPr>
      <w:r>
        <w:tab/>
        <w:t>[Section 21 amended by No. 20 of 2002 s. 27; No. 37 of 2011 s. 53(1); amended in Gazette 15 Aug 2003 p. 3692.]</w:t>
      </w:r>
    </w:p>
    <w:p>
      <w:pPr>
        <w:pStyle w:val="Heading5"/>
        <w:rPr>
          <w:snapToGrid w:val="0"/>
        </w:rPr>
      </w:pPr>
      <w:bookmarkStart w:id="339" w:name="_Toc520109153"/>
      <w:bookmarkStart w:id="340" w:name="_Toc17002438"/>
      <w:bookmarkStart w:id="341" w:name="_Toc123645513"/>
      <w:bookmarkStart w:id="342" w:name="_Toc323713213"/>
      <w:r>
        <w:rPr>
          <w:rStyle w:val="CharSectno"/>
        </w:rPr>
        <w:t>22</w:t>
      </w:r>
      <w:r>
        <w:rPr>
          <w:snapToGrid w:val="0"/>
        </w:rPr>
        <w:t>.</w:t>
      </w:r>
      <w:r>
        <w:rPr>
          <w:snapToGrid w:val="0"/>
        </w:rPr>
        <w:tab/>
        <w:t>Use of other government staff etc.</w:t>
      </w:r>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pPr>
        <w:pStyle w:val="Footnotesection"/>
      </w:pPr>
      <w:bookmarkStart w:id="343" w:name="_Toc72573538"/>
      <w:bookmarkStart w:id="344" w:name="_Toc120341397"/>
      <w:bookmarkStart w:id="345" w:name="_Toc120355770"/>
      <w:bookmarkStart w:id="346" w:name="_Toc123645514"/>
      <w:bookmarkStart w:id="347" w:name="_Toc123645615"/>
      <w:bookmarkStart w:id="348" w:name="_Toc124139484"/>
      <w:bookmarkStart w:id="349" w:name="_Toc157845863"/>
      <w:bookmarkStart w:id="350" w:name="_Toc161720570"/>
      <w:bookmarkStart w:id="351" w:name="_Toc161723022"/>
      <w:bookmarkStart w:id="352" w:name="_Toc163956990"/>
      <w:bookmarkStart w:id="353" w:name="_Toc163964980"/>
      <w:bookmarkStart w:id="354" w:name="_Toc165698422"/>
      <w:bookmarkStart w:id="355" w:name="_Toc232394798"/>
      <w:bookmarkStart w:id="356" w:name="_Toc268269130"/>
      <w:bookmarkStart w:id="357" w:name="_Toc272057701"/>
      <w:bookmarkStart w:id="358" w:name="_Toc274207146"/>
      <w:bookmarkStart w:id="359" w:name="_Toc278975281"/>
      <w:bookmarkStart w:id="360" w:name="_Toc303861466"/>
      <w:bookmarkStart w:id="361" w:name="_Toc303867345"/>
      <w:r>
        <w:tab/>
        <w:t>[Section 22 amended by No. 37 of 2011 s. 25 and 53(1).]</w:t>
      </w:r>
    </w:p>
    <w:p>
      <w:pPr>
        <w:pStyle w:val="Heading2"/>
      </w:pPr>
      <w:bookmarkStart w:id="362" w:name="_Toc318121410"/>
      <w:bookmarkStart w:id="363" w:name="_Toc318121660"/>
      <w:bookmarkStart w:id="364" w:name="_Toc318122488"/>
      <w:bookmarkStart w:id="365" w:name="_Toc318181664"/>
      <w:bookmarkStart w:id="366" w:name="_Toc318181769"/>
      <w:bookmarkStart w:id="367" w:name="_Toc318201624"/>
      <w:bookmarkStart w:id="368" w:name="_Toc320283257"/>
      <w:bookmarkStart w:id="369" w:name="_Toc320516407"/>
      <w:bookmarkStart w:id="370" w:name="_Toc321898580"/>
      <w:bookmarkStart w:id="371" w:name="_Toc323638329"/>
      <w:bookmarkStart w:id="372" w:name="_Toc323640289"/>
      <w:bookmarkStart w:id="373" w:name="_Toc323713214"/>
      <w:r>
        <w:rPr>
          <w:rStyle w:val="CharPartNo"/>
        </w:rPr>
        <w:t>Part 5</w:t>
      </w:r>
      <w:r>
        <w:rPr>
          <w:rStyle w:val="CharDivNo"/>
        </w:rPr>
        <w:t> </w:t>
      </w:r>
      <w:r>
        <w:t>—</w:t>
      </w:r>
      <w:r>
        <w:rPr>
          <w:rStyle w:val="CharDivText"/>
        </w:rPr>
        <w:t> </w:t>
      </w:r>
      <w:r>
        <w:rPr>
          <w:rStyle w:val="CharPartText"/>
        </w:rPr>
        <w:t>Financial provisions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520109154"/>
      <w:bookmarkStart w:id="375" w:name="_Toc17002439"/>
      <w:bookmarkStart w:id="376" w:name="_Toc123645515"/>
      <w:bookmarkStart w:id="377" w:name="_Toc323713215"/>
      <w:r>
        <w:rPr>
          <w:rStyle w:val="CharSectno"/>
        </w:rPr>
        <w:t>23</w:t>
      </w:r>
      <w:r>
        <w:rPr>
          <w:snapToGrid w:val="0"/>
        </w:rPr>
        <w:t>.</w:t>
      </w:r>
      <w:r>
        <w:rPr>
          <w:snapToGrid w:val="0"/>
        </w:rPr>
        <w:tab/>
      </w:r>
      <w:r>
        <w:t>Funds of Authority</w:t>
      </w:r>
      <w:bookmarkEnd w:id="374"/>
      <w:bookmarkEnd w:id="375"/>
      <w:bookmarkEnd w:id="376"/>
      <w:bookmarkEnd w:id="377"/>
    </w:p>
    <w:p>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pPr>
        <w:pStyle w:val="Indenta"/>
        <w:rPr>
          <w:snapToGrid w:val="0"/>
        </w:rPr>
      </w:pPr>
      <w:r>
        <w:rPr>
          <w:snapToGrid w:val="0"/>
        </w:rPr>
        <w:tab/>
        <w:t>(a)</w:t>
      </w:r>
      <w:r>
        <w:rPr>
          <w:snapToGrid w:val="0"/>
        </w:rPr>
        <w:tab/>
        <w:t xml:space="preserve">moneys from time to time appropriated by Parliament; </w:t>
      </w:r>
      <w:r>
        <w:t>and</w:t>
      </w:r>
    </w:p>
    <w:p>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pPr>
        <w:pStyle w:val="Footnotesection"/>
      </w:pPr>
      <w:bookmarkStart w:id="378" w:name="_Toc520109155"/>
      <w:bookmarkStart w:id="379" w:name="_Toc17002440"/>
      <w:bookmarkStart w:id="380" w:name="_Toc123645516"/>
      <w:r>
        <w:tab/>
        <w:t>[Section 23 amended by No. 37 of 2011 s. 26 and 53(1).]</w:t>
      </w:r>
    </w:p>
    <w:p>
      <w:pPr>
        <w:pStyle w:val="Heading5"/>
        <w:rPr>
          <w:snapToGrid w:val="0"/>
        </w:rPr>
      </w:pPr>
      <w:bookmarkStart w:id="381" w:name="_Toc323713216"/>
      <w:r>
        <w:rPr>
          <w:rStyle w:val="CharSectno"/>
        </w:rPr>
        <w:t>24</w:t>
      </w:r>
      <w:r>
        <w:rPr>
          <w:snapToGrid w:val="0"/>
        </w:rPr>
        <w:t>.</w:t>
      </w:r>
      <w:r>
        <w:rPr>
          <w:snapToGrid w:val="0"/>
        </w:rPr>
        <w:tab/>
      </w:r>
      <w:r>
        <w:rPr>
          <w:bCs/>
        </w:rPr>
        <w:t>School Curriculum and Standards Authority Account</w:t>
      </w:r>
      <w:bookmarkEnd w:id="378"/>
      <w:bookmarkEnd w:id="379"/>
      <w:bookmarkEnd w:id="380"/>
      <w:bookmarkEnd w:id="381"/>
    </w:p>
    <w:p>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pPr>
        <w:pStyle w:val="Subsection"/>
        <w:rPr>
          <w:snapToGrid w:val="0"/>
        </w:rPr>
      </w:pPr>
      <w:r>
        <w:rPr>
          <w:snapToGrid w:val="0"/>
        </w:rPr>
        <w:tab/>
        <w:t>(2)</w:t>
      </w:r>
      <w:r>
        <w:rPr>
          <w:snapToGrid w:val="0"/>
        </w:rPr>
        <w:tab/>
        <w:t>The Account referred to in subsection (1) is to be charged with — </w:t>
      </w:r>
    </w:p>
    <w:p>
      <w:pPr>
        <w:pStyle w:val="Indenta"/>
        <w:rPr>
          <w:snapToGrid w:val="0"/>
        </w:rPr>
      </w:pPr>
      <w:r>
        <w:rPr>
          <w:snapToGrid w:val="0"/>
        </w:rPr>
        <w:tab/>
        <w:t>(a)</w:t>
      </w:r>
      <w:r>
        <w:rPr>
          <w:snapToGrid w:val="0"/>
        </w:rPr>
        <w:tab/>
        <w:t>the remuneration and allowances payable under section 8; and</w:t>
      </w:r>
    </w:p>
    <w:p>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pPr>
        <w:pStyle w:val="Footnotesection"/>
      </w:pPr>
      <w:r>
        <w:tab/>
        <w:t>[Section 24 amended by No. 77 of 2006 Sch. 1 cl. 41(2); No. 37 of 2011 s. 27 and 53(1).]</w:t>
      </w:r>
    </w:p>
    <w:p>
      <w:pPr>
        <w:pStyle w:val="Ednotesection"/>
      </w:pPr>
      <w:bookmarkStart w:id="382" w:name="_Toc520109156"/>
      <w:bookmarkStart w:id="383" w:name="_Toc17002441"/>
      <w:bookmarkStart w:id="384" w:name="_Toc123645517"/>
      <w:r>
        <w:t>[</w:t>
      </w:r>
      <w:r>
        <w:rPr>
          <w:b/>
        </w:rPr>
        <w:t>25.</w:t>
      </w:r>
      <w:r>
        <w:tab/>
        <w:t>Deleted by No. 37 of 2011 s. 28.]</w:t>
      </w:r>
    </w:p>
    <w:p>
      <w:pPr>
        <w:pStyle w:val="Heading5"/>
        <w:rPr>
          <w:snapToGrid w:val="0"/>
        </w:rPr>
      </w:pPr>
      <w:bookmarkStart w:id="385" w:name="_Toc520109157"/>
      <w:bookmarkStart w:id="386" w:name="_Toc17002442"/>
      <w:bookmarkStart w:id="387" w:name="_Toc123645518"/>
      <w:bookmarkStart w:id="388" w:name="_Toc323713217"/>
      <w:bookmarkEnd w:id="382"/>
      <w:bookmarkEnd w:id="383"/>
      <w:bookmarkEnd w:id="384"/>
      <w:r>
        <w:rPr>
          <w:rStyle w:val="CharSectno"/>
        </w:rPr>
        <w:t>26</w:t>
      </w:r>
      <w:r>
        <w:rPr>
          <w:snapToGrid w:val="0"/>
        </w:rPr>
        <w:t>.</w:t>
      </w:r>
      <w:r>
        <w:rPr>
          <w:snapToGrid w:val="0"/>
        </w:rPr>
        <w:tab/>
      </w:r>
      <w:r>
        <w:rPr>
          <w:bCs/>
        </w:rPr>
        <w:t>Borrowing</w:t>
      </w:r>
      <w:bookmarkEnd w:id="385"/>
      <w:bookmarkEnd w:id="386"/>
      <w:bookmarkEnd w:id="387"/>
      <w:r>
        <w:rPr>
          <w:bCs/>
        </w:rPr>
        <w:t xml:space="preserve"> by Authority</w:t>
      </w:r>
      <w:bookmarkEnd w:id="388"/>
    </w:p>
    <w:p>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Footnotesection"/>
      </w:pPr>
      <w:bookmarkStart w:id="389" w:name="_Toc520109158"/>
      <w:bookmarkStart w:id="390" w:name="_Toc17002443"/>
      <w:bookmarkStart w:id="391" w:name="_Toc123645519"/>
      <w:r>
        <w:tab/>
        <w:t>[Section 26 amended by No. 37 of 2011 s. 29 and 53(1).]</w:t>
      </w:r>
    </w:p>
    <w:p>
      <w:pPr>
        <w:pStyle w:val="Ednotesection"/>
      </w:pPr>
      <w:r>
        <w:t>[</w:t>
      </w:r>
      <w:r>
        <w:rPr>
          <w:b/>
        </w:rPr>
        <w:t>27, 28.</w:t>
      </w:r>
      <w:r>
        <w:tab/>
        <w:t>Deleted by No. 37 of 2011 s. 30.]</w:t>
      </w:r>
    </w:p>
    <w:p>
      <w:pPr>
        <w:pStyle w:val="Heading5"/>
        <w:rPr>
          <w:snapToGrid w:val="0"/>
        </w:rPr>
      </w:pPr>
      <w:bookmarkStart w:id="392" w:name="_Toc520109160"/>
      <w:bookmarkStart w:id="393" w:name="_Toc17002445"/>
      <w:bookmarkStart w:id="394" w:name="_Toc123645521"/>
      <w:bookmarkStart w:id="395" w:name="_Toc323713218"/>
      <w:bookmarkEnd w:id="389"/>
      <w:bookmarkEnd w:id="390"/>
      <w:bookmarkEnd w:id="391"/>
      <w:r>
        <w:rPr>
          <w:rStyle w:val="CharSectno"/>
        </w:rPr>
        <w:t>29</w:t>
      </w:r>
      <w:r>
        <w:rPr>
          <w:snapToGrid w:val="0"/>
        </w:rPr>
        <w:t>.</w:t>
      </w:r>
      <w:r>
        <w:rPr>
          <w:snapToGrid w:val="0"/>
        </w:rPr>
        <w:tab/>
      </w:r>
      <w:bookmarkEnd w:id="392"/>
      <w:bookmarkEnd w:id="393"/>
      <w:bookmarkEnd w:id="394"/>
      <w:r>
        <w:rPr>
          <w:i/>
          <w:iCs/>
        </w:rPr>
        <w:t>Financial Management Act 2006</w:t>
      </w:r>
      <w:r>
        <w:t xml:space="preserve"> and </w:t>
      </w:r>
      <w:r>
        <w:rPr>
          <w:i/>
          <w:iCs/>
        </w:rPr>
        <w:t>Auditor General Act 2006</w:t>
      </w:r>
      <w:r>
        <w:rPr>
          <w:iCs/>
        </w:rPr>
        <w:t xml:space="preserve">, </w:t>
      </w:r>
      <w:r>
        <w:rPr>
          <w:snapToGrid w:val="0"/>
        </w:rPr>
        <w:t>application of</w:t>
      </w:r>
      <w:bookmarkEnd w:id="39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29 amended by No. 77 of 2006 Sch. 1 cl. 41(3); No. 37 of 2011 s. 53(1).]</w:t>
      </w:r>
    </w:p>
    <w:p>
      <w:pPr>
        <w:pStyle w:val="Heading2"/>
      </w:pPr>
      <w:bookmarkStart w:id="396" w:name="_Toc72573546"/>
      <w:bookmarkStart w:id="397" w:name="_Toc120341405"/>
      <w:bookmarkStart w:id="398" w:name="_Toc120355778"/>
      <w:bookmarkStart w:id="399" w:name="_Toc123645522"/>
      <w:bookmarkStart w:id="400" w:name="_Toc123645623"/>
      <w:bookmarkStart w:id="401" w:name="_Toc124139492"/>
      <w:bookmarkStart w:id="402" w:name="_Toc157845871"/>
      <w:bookmarkStart w:id="403" w:name="_Toc161720578"/>
      <w:bookmarkStart w:id="404" w:name="_Toc161723030"/>
      <w:bookmarkStart w:id="405" w:name="_Toc163956998"/>
      <w:bookmarkStart w:id="406" w:name="_Toc163964988"/>
      <w:bookmarkStart w:id="407" w:name="_Toc165698430"/>
      <w:bookmarkStart w:id="408" w:name="_Toc232394806"/>
      <w:bookmarkStart w:id="409" w:name="_Toc268269138"/>
      <w:bookmarkStart w:id="410" w:name="_Toc272057709"/>
      <w:bookmarkStart w:id="411" w:name="_Toc274207154"/>
      <w:bookmarkStart w:id="412" w:name="_Toc278975289"/>
      <w:bookmarkStart w:id="413" w:name="_Toc303861474"/>
      <w:bookmarkStart w:id="414" w:name="_Toc303867353"/>
      <w:bookmarkStart w:id="415" w:name="_Toc318121415"/>
      <w:bookmarkStart w:id="416" w:name="_Toc318121665"/>
      <w:bookmarkStart w:id="417" w:name="_Toc318122493"/>
      <w:bookmarkStart w:id="418" w:name="_Toc318181669"/>
      <w:bookmarkStart w:id="419" w:name="_Toc318181774"/>
      <w:bookmarkStart w:id="420" w:name="_Toc318201629"/>
      <w:bookmarkStart w:id="421" w:name="_Toc320283262"/>
      <w:bookmarkStart w:id="422" w:name="_Toc320516412"/>
      <w:bookmarkStart w:id="423" w:name="_Toc321898585"/>
      <w:bookmarkStart w:id="424" w:name="_Toc323638334"/>
      <w:bookmarkStart w:id="425" w:name="_Toc323640294"/>
      <w:bookmarkStart w:id="426" w:name="_Toc323713219"/>
      <w:r>
        <w:rPr>
          <w:rStyle w:val="CharPartNo"/>
        </w:rPr>
        <w:t>Part 6</w:t>
      </w:r>
      <w:r>
        <w:rPr>
          <w:rStyle w:val="CharDivNo"/>
        </w:rPr>
        <w:t> </w:t>
      </w:r>
      <w:r>
        <w:t>—</w:t>
      </w:r>
      <w:r>
        <w:rPr>
          <w:rStyle w:val="CharDivText"/>
        </w:rPr>
        <w:t> </w:t>
      </w:r>
      <w:r>
        <w:rPr>
          <w:rStyle w:val="CharPartText"/>
        </w:rPr>
        <w:t>Miscellaneous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r>
        <w:rPr>
          <w:rStyle w:val="CharPartText"/>
        </w:rPr>
        <w:t xml:space="preserve"> </w:t>
      </w:r>
    </w:p>
    <w:p>
      <w:pPr>
        <w:pStyle w:val="Heading5"/>
        <w:rPr>
          <w:snapToGrid w:val="0"/>
        </w:rPr>
      </w:pPr>
      <w:bookmarkStart w:id="427" w:name="_Toc520109161"/>
      <w:bookmarkStart w:id="428" w:name="_Toc17002446"/>
      <w:bookmarkStart w:id="429" w:name="_Toc123645523"/>
      <w:bookmarkStart w:id="430" w:name="_Toc323713220"/>
      <w:r>
        <w:rPr>
          <w:rStyle w:val="CharSectno"/>
        </w:rPr>
        <w:t>30</w:t>
      </w:r>
      <w:r>
        <w:rPr>
          <w:snapToGrid w:val="0"/>
        </w:rPr>
        <w:t>.</w:t>
      </w:r>
      <w:r>
        <w:rPr>
          <w:snapToGrid w:val="0"/>
        </w:rPr>
        <w:tab/>
        <w:t>Protection from personal liability</w:t>
      </w:r>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bookmarkStart w:id="431" w:name="_Toc520109162"/>
      <w:bookmarkStart w:id="432" w:name="_Toc17002447"/>
      <w:bookmarkStart w:id="433" w:name="_Toc123645524"/>
      <w:r>
        <w:tab/>
        <w:t>[Section 30 amended by No. 37 of 2011 s. 31 and 53(1).]</w:t>
      </w:r>
    </w:p>
    <w:p>
      <w:pPr>
        <w:pStyle w:val="Heading5"/>
        <w:rPr>
          <w:snapToGrid w:val="0"/>
        </w:rPr>
      </w:pPr>
      <w:bookmarkStart w:id="434" w:name="_Toc323713221"/>
      <w:r>
        <w:rPr>
          <w:rStyle w:val="CharSectno"/>
        </w:rPr>
        <w:t>31</w:t>
      </w:r>
      <w:r>
        <w:rPr>
          <w:snapToGrid w:val="0"/>
        </w:rPr>
        <w:t>.</w:t>
      </w:r>
      <w:r>
        <w:rPr>
          <w:snapToGrid w:val="0"/>
        </w:rPr>
        <w:tab/>
      </w:r>
      <w:r>
        <w:t>Execution of documents by Authority</w:t>
      </w:r>
      <w:bookmarkEnd w:id="431"/>
      <w:bookmarkEnd w:id="432"/>
      <w:bookmarkEnd w:id="433"/>
      <w:bookmarkEnd w:id="434"/>
    </w:p>
    <w:p>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pPr>
        <w:pStyle w:val="Footnotesection"/>
      </w:pPr>
      <w:bookmarkStart w:id="435" w:name="_Toc520109163"/>
      <w:bookmarkStart w:id="436" w:name="_Toc17002448"/>
      <w:bookmarkStart w:id="437" w:name="_Toc123645525"/>
      <w:r>
        <w:tab/>
        <w:t>[Section 31 amended by No. 37 of 2011 s. 32 and 53(1).]</w:t>
      </w:r>
    </w:p>
    <w:p>
      <w:pPr>
        <w:pStyle w:val="Heading5"/>
        <w:rPr>
          <w:snapToGrid w:val="0"/>
        </w:rPr>
      </w:pPr>
      <w:bookmarkStart w:id="438" w:name="_Toc323713222"/>
      <w:r>
        <w:rPr>
          <w:rStyle w:val="CharSectno"/>
        </w:rPr>
        <w:t>32</w:t>
      </w:r>
      <w:r>
        <w:rPr>
          <w:snapToGrid w:val="0"/>
        </w:rPr>
        <w:t>.</w:t>
      </w:r>
      <w:r>
        <w:rPr>
          <w:snapToGrid w:val="0"/>
        </w:rPr>
        <w:tab/>
      </w:r>
      <w:bookmarkEnd w:id="435"/>
      <w:bookmarkEnd w:id="436"/>
      <w:bookmarkEnd w:id="437"/>
      <w:r>
        <w:rPr>
          <w:snapToGrid w:val="0"/>
        </w:rPr>
        <w:t>Information obtained by Board etc., disclosure and use etc. of restricted</w:t>
      </w:r>
      <w:bookmarkEnd w:id="438"/>
    </w:p>
    <w:p>
      <w:pPr>
        <w:pStyle w:val="Subsection"/>
        <w:rPr>
          <w:snapToGrid w:val="0"/>
        </w:rPr>
      </w:pPr>
      <w:r>
        <w:rPr>
          <w:snapToGrid w:val="0"/>
        </w:rPr>
        <w:tab/>
        <w:t>(1)</w:t>
      </w:r>
      <w:r>
        <w:rPr>
          <w:snapToGrid w:val="0"/>
        </w:rPr>
        <w:tab/>
        <w:t>A person to whom this subsection applies 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another law; or</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Subsection"/>
        <w:rPr>
          <w:snapToGrid w:val="0"/>
        </w:rPr>
      </w:pPr>
      <w:r>
        <w:rPr>
          <w:snapToGrid w:val="0"/>
        </w:rPr>
        <w:tab/>
        <w:t>(2)</w:t>
      </w:r>
      <w:r>
        <w:rPr>
          <w:snapToGrid w:val="0"/>
        </w:rPr>
        <w:tab/>
        <w:t>Subsection (1) applies to any person who is or has been — </w:t>
      </w:r>
    </w:p>
    <w:p>
      <w:pPr>
        <w:pStyle w:val="Indenta"/>
        <w:rPr>
          <w:snapToGrid w:val="0"/>
        </w:rPr>
      </w:pPr>
      <w:r>
        <w:rPr>
          <w:snapToGrid w:val="0"/>
        </w:rPr>
        <w:tab/>
        <w:t>(a)</w:t>
      </w:r>
      <w:r>
        <w:rPr>
          <w:snapToGrid w:val="0"/>
        </w:rPr>
        <w:tab/>
        <w:t xml:space="preserve">a member of the </w:t>
      </w:r>
      <w:r>
        <w:t>Board; or</w:t>
      </w:r>
    </w:p>
    <w:p>
      <w:pPr>
        <w:pStyle w:val="Indenta"/>
        <w:rPr>
          <w:snapToGrid w:val="0"/>
        </w:rPr>
      </w:pPr>
      <w:r>
        <w:rPr>
          <w:snapToGrid w:val="0"/>
        </w:rPr>
        <w:tab/>
        <w:t>(b)</w:t>
      </w:r>
      <w:r>
        <w:rPr>
          <w:snapToGrid w:val="0"/>
        </w:rPr>
        <w:tab/>
        <w:t>a member of a committee; or</w:t>
      </w:r>
    </w:p>
    <w:p>
      <w:pPr>
        <w:pStyle w:val="Indenta"/>
      </w:pPr>
      <w:r>
        <w:tab/>
        <w:t>(ca)</w:t>
      </w:r>
      <w:r>
        <w:tab/>
        <w:t>the chief executive officer; or</w:t>
      </w:r>
    </w:p>
    <w:p>
      <w:pPr>
        <w:pStyle w:val="Indenta"/>
        <w:rPr>
          <w:snapToGrid w:val="0"/>
        </w:rPr>
      </w:pPr>
      <w:r>
        <w:rPr>
          <w:snapToGrid w:val="0"/>
        </w:rPr>
        <w:tab/>
        <w:t>(c)</w:t>
      </w:r>
      <w:r>
        <w:rPr>
          <w:snapToGrid w:val="0"/>
        </w:rPr>
        <w:tab/>
        <w:t>a member of staff.</w:t>
      </w:r>
    </w:p>
    <w:p>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pPr>
        <w:pStyle w:val="Subsection"/>
      </w:pPr>
      <w:r>
        <w:tab/>
        <w:t>(3)</w:t>
      </w:r>
      <w:r>
        <w:tab/>
        <w:t xml:space="preserve">In relation to information given under Part 3A to the Minister responsible for the administration of the School Education Act, subsection (1) also applies to — </w:t>
      </w:r>
    </w:p>
    <w:p>
      <w:pPr>
        <w:pStyle w:val="Indenta"/>
      </w:pPr>
      <w:r>
        <w:tab/>
        <w:t>(a)</w:t>
      </w:r>
      <w:r>
        <w:tab/>
        <w:t>the chief executive officer under section 229 of that Act; and</w:t>
      </w:r>
    </w:p>
    <w:p>
      <w:pPr>
        <w:pStyle w:val="Indenta"/>
        <w:keepNext/>
        <w:keepLines/>
      </w:pPr>
      <w:r>
        <w:tab/>
        <w:t>(b)</w:t>
      </w:r>
      <w:r>
        <w:tab/>
        <w:t>the persons referred to in section 235(1) of that Act.</w:t>
      </w:r>
    </w:p>
    <w:p>
      <w:pPr>
        <w:pStyle w:val="Footnotesection"/>
      </w:pPr>
      <w:r>
        <w:tab/>
        <w:t>[Section 32 amended by No. 22 of 2005 s. 48; No. 37 of 2011 s. 33.]</w:t>
      </w:r>
    </w:p>
    <w:p>
      <w:pPr>
        <w:pStyle w:val="Heading5"/>
        <w:rPr>
          <w:snapToGrid w:val="0"/>
        </w:rPr>
      </w:pPr>
      <w:bookmarkStart w:id="439" w:name="_Toc520109164"/>
      <w:bookmarkStart w:id="440" w:name="_Toc17002449"/>
      <w:bookmarkStart w:id="441" w:name="_Toc123645526"/>
      <w:bookmarkStart w:id="442" w:name="_Toc323713223"/>
      <w:r>
        <w:rPr>
          <w:rStyle w:val="CharSectno"/>
        </w:rPr>
        <w:t>33</w:t>
      </w:r>
      <w:r>
        <w:rPr>
          <w:snapToGrid w:val="0"/>
        </w:rPr>
        <w:t>.</w:t>
      </w:r>
      <w:r>
        <w:rPr>
          <w:snapToGrid w:val="0"/>
        </w:rPr>
        <w:tab/>
        <w:t>Regulations</w:t>
      </w:r>
      <w:bookmarkEnd w:id="439"/>
      <w:bookmarkEnd w:id="440"/>
      <w:bookmarkEnd w:id="441"/>
      <w:bookmarkEnd w:id="4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pPr>
        <w:pStyle w:val="Subsection"/>
        <w:rPr>
          <w:snapToGrid w:val="0"/>
        </w:rPr>
      </w:pPr>
      <w:r>
        <w:rPr>
          <w:snapToGrid w:val="0"/>
        </w:rPr>
        <w:tab/>
        <w:t>(2)</w:t>
      </w:r>
      <w:r>
        <w:rPr>
          <w:snapToGrid w:val="0"/>
        </w:rPr>
        <w:tab/>
        <w:t>Without limiting the operation of subsection (1), the Governor may make regulations providing for — </w:t>
      </w:r>
    </w:p>
    <w:p>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pPr>
        <w:pStyle w:val="Indenti"/>
        <w:rPr>
          <w:snapToGrid w:val="0"/>
        </w:rPr>
      </w:pPr>
      <w:r>
        <w:rPr>
          <w:snapToGrid w:val="0"/>
        </w:rPr>
        <w:tab/>
        <w:t>(i)</w:t>
      </w:r>
      <w:r>
        <w:rPr>
          <w:snapToGrid w:val="0"/>
        </w:rPr>
        <w:tab/>
        <w:t>the assessment of courses for purposes of certification; and</w:t>
      </w:r>
    </w:p>
    <w:p>
      <w:pPr>
        <w:pStyle w:val="Indenti"/>
        <w:rPr>
          <w:snapToGrid w:val="0"/>
        </w:rPr>
      </w:pPr>
      <w:r>
        <w:rPr>
          <w:snapToGrid w:val="0"/>
        </w:rPr>
        <w:tab/>
        <w:t>(ii)</w:t>
      </w:r>
      <w:r>
        <w:rPr>
          <w:snapToGrid w:val="0"/>
        </w:rPr>
        <w:tab/>
        <w:t xml:space="preserve">an application to the </w:t>
      </w:r>
      <w:r>
        <w:t>Authority</w:t>
      </w:r>
      <w:r>
        <w:rPr>
          <w:snapToGrid w:val="0"/>
        </w:rPr>
        <w:t>; and</w:t>
      </w:r>
    </w:p>
    <w:p>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pPr>
        <w:pStyle w:val="Indenti"/>
        <w:rPr>
          <w:snapToGrid w:val="0"/>
        </w:rPr>
      </w:pPr>
      <w:r>
        <w:rPr>
          <w:snapToGrid w:val="0"/>
        </w:rPr>
        <w:tab/>
        <w:t>(iv)</w:t>
      </w:r>
      <w:r>
        <w:rPr>
          <w:snapToGrid w:val="0"/>
        </w:rPr>
        <w:tab/>
        <w:t xml:space="preserve">the supply of services by the </w:t>
      </w:r>
      <w:r>
        <w:t>Authority</w:t>
      </w:r>
      <w:r>
        <w:rPr>
          <w:snapToGrid w:val="0"/>
        </w:rPr>
        <w:t>;</w:t>
      </w:r>
    </w:p>
    <w:p>
      <w:pPr>
        <w:pStyle w:val="Indenta"/>
        <w:rPr>
          <w:snapToGrid w:val="0"/>
        </w:rPr>
      </w:pPr>
      <w:r>
        <w:rPr>
          <w:snapToGrid w:val="0"/>
        </w:rPr>
        <w:tab/>
      </w:r>
      <w:r>
        <w:rPr>
          <w:snapToGrid w:val="0"/>
        </w:rPr>
        <w:tab/>
        <w:t>and</w:t>
      </w:r>
    </w:p>
    <w:p>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pPr>
        <w:pStyle w:val="Indenti"/>
      </w:pPr>
      <w:r>
        <w:tab/>
        <w:t>(i)</w:t>
      </w:r>
      <w:r>
        <w:tab/>
        <w:t>enrolment for external assessments; and</w:t>
      </w:r>
    </w:p>
    <w:p>
      <w:pPr>
        <w:pStyle w:val="Indenti"/>
      </w:pPr>
      <w:r>
        <w:tab/>
        <w:t>(ii)</w:t>
      </w:r>
      <w:r>
        <w:tab/>
        <w:t>the designation of examination centres; and</w:t>
      </w:r>
    </w:p>
    <w:p>
      <w:pPr>
        <w:pStyle w:val="Indenti"/>
      </w:pPr>
      <w:r>
        <w:tab/>
        <w:t>(iii)</w:t>
      </w:r>
      <w:r>
        <w:tab/>
        <w:t>the appointment of supervisors of external assessments; and</w:t>
      </w:r>
    </w:p>
    <w:p>
      <w:pPr>
        <w:pStyle w:val="Indenti"/>
      </w:pPr>
      <w:r>
        <w:tab/>
        <w:t>(iv)</w:t>
      </w:r>
      <w:r>
        <w:tab/>
        <w:t>requirements for people undertaking or proposing to undertake external assessments (</w:t>
      </w:r>
      <w:r>
        <w:rPr>
          <w:rStyle w:val="CharDefText"/>
        </w:rPr>
        <w:t>candidates</w:t>
      </w:r>
      <w:r>
        <w:t>) to produce identification documents; and</w:t>
      </w:r>
    </w:p>
    <w:p>
      <w:pPr>
        <w:pStyle w:val="Indenti"/>
      </w:pPr>
      <w:r>
        <w:tab/>
        <w:t>(v)</w:t>
      </w:r>
      <w:r>
        <w:tab/>
        <w:t>restrictions relating to materials that candidates may bring into examination centres and the exclusion from examination centres of candidates who do not comply with those restrictions; and</w:t>
      </w:r>
    </w:p>
    <w:p>
      <w:pPr>
        <w:pStyle w:val="Indenti"/>
      </w:pPr>
      <w:r>
        <w:tab/>
        <w:t>(vi)</w:t>
      </w:r>
      <w:r>
        <w:tab/>
        <w:t>the inspection by supervisors of materials brought into examination centres by candidates; and</w:t>
      </w:r>
    </w:p>
    <w:p>
      <w:pPr>
        <w:pStyle w:val="Indenti"/>
      </w:pPr>
      <w:r>
        <w:tab/>
        <w:t>(vii)</w:t>
      </w:r>
      <w:r>
        <w:tab/>
        <w:t>restrictions relating to the consumption of food and drinks by candidates during external assessments; and</w:t>
      </w:r>
    </w:p>
    <w:p>
      <w:pPr>
        <w:pStyle w:val="Indenti"/>
      </w:pPr>
      <w:r>
        <w:tab/>
        <w:t>(viii)</w:t>
      </w:r>
      <w:r>
        <w:tab/>
        <w:t>special arrangements for candidates with disabilities or suffering illness, injury or other impairment; and</w:t>
      </w:r>
    </w:p>
    <w:p>
      <w:pPr>
        <w:pStyle w:val="Indenti"/>
      </w:pPr>
      <w:r>
        <w:tab/>
        <w:t>(ix)</w:t>
      </w:r>
      <w:r>
        <w:tab/>
        <w:t>requirements for candidates suffering illness, injury or other impairment to provide to the Authority a medical certificate, statutory declaration or other evidence of that illness, injury or impairment; and</w:t>
      </w:r>
    </w:p>
    <w:p>
      <w:pPr>
        <w:pStyle w:val="Indenti"/>
      </w:pPr>
      <w:r>
        <w:tab/>
        <w:t>(x)</w:t>
      </w:r>
      <w:r>
        <w:tab/>
        <w:t>requirements relating to the conduct of candidates during external assessments; and</w:t>
      </w:r>
    </w:p>
    <w:p>
      <w:pPr>
        <w:pStyle w:val="Indenti"/>
      </w:pPr>
      <w:r>
        <w:tab/>
        <w:t>(xi)</w:t>
      </w:r>
      <w:r>
        <w:tab/>
        <w:t>the disqualification of, or other disciplinary action that the Authority may take in respect of, candidates who engage in fraud, collusion or other misconduct during external assessments; and</w:t>
      </w:r>
    </w:p>
    <w:p>
      <w:pPr>
        <w:pStyle w:val="Indenti"/>
      </w:pPr>
      <w:r>
        <w:tab/>
        <w:t>(xii)</w:t>
      </w:r>
      <w:r>
        <w:tab/>
        <w:t>appeals by candidates who are subject to disqualification or other disciplinary action taken by the Authority; and</w:t>
      </w:r>
    </w:p>
    <w:p>
      <w:pPr>
        <w:pStyle w:val="Indenti"/>
      </w:pPr>
      <w:r>
        <w:tab/>
        <w:t>(xiii)</w:t>
      </w:r>
      <w:r>
        <w:tab/>
        <w:t>protection of examination papers and related materials.</w:t>
      </w:r>
    </w:p>
    <w:p>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pPr>
        <w:pStyle w:val="Subsection"/>
      </w:pPr>
      <w:r>
        <w:tab/>
        <w:t>(4)</w:t>
      </w:r>
      <w:r>
        <w:tab/>
        <w:t xml:space="preserve">Before the Minister recommends the making or amendment of a regulation for the purposes of section 19E(c), 19G, 19H(2) or 19P, the Minister is to consult with, and take into account the views of — </w:t>
      </w:r>
    </w:p>
    <w:p>
      <w:pPr>
        <w:pStyle w:val="Indenta"/>
      </w:pPr>
      <w:r>
        <w:tab/>
        <w:t>(a)</w:t>
      </w:r>
      <w:r>
        <w:tab/>
        <w:t xml:space="preserve">the Director of Catholic Education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Footnotesection"/>
      </w:pPr>
      <w:r>
        <w:tab/>
        <w:t>[Section 33 amended by No. 22 of 2005 s. 49; No. 37 of 2011 s. 34 and 53(1).]</w:t>
      </w:r>
    </w:p>
    <w:p>
      <w:pPr>
        <w:pStyle w:val="Ednotesection"/>
      </w:pPr>
      <w:bookmarkStart w:id="443" w:name="_Toc520109165"/>
      <w:bookmarkStart w:id="444" w:name="_Toc17002450"/>
      <w:bookmarkStart w:id="445" w:name="_Toc123645527"/>
      <w:r>
        <w:t>[</w:t>
      </w:r>
      <w:r>
        <w:rPr>
          <w:b/>
        </w:rPr>
        <w:t>34.</w:t>
      </w:r>
      <w:r>
        <w:tab/>
        <w:t>Deleted by No. 37 of 2011 s. 35.]</w:t>
      </w:r>
    </w:p>
    <w:bookmarkEnd w:id="443"/>
    <w:bookmarkEnd w:id="444"/>
    <w:bookmarkEnd w:id="445"/>
    <w:p>
      <w:pPr>
        <w:pStyle w:val="Ednotesection"/>
      </w:pPr>
      <w:r>
        <w:t>[</w:t>
      </w:r>
      <w:r>
        <w:rPr>
          <w:b/>
        </w:rPr>
        <w:t>35.</w:t>
      </w:r>
      <w:r>
        <w:tab/>
        <w:t>Omitted under the Reprints Act 1984 s. 7(4)(e).]</w:t>
      </w:r>
    </w:p>
    <w:p>
      <w:pPr>
        <w:pStyle w:val="Heading5"/>
        <w:rPr>
          <w:snapToGrid w:val="0"/>
        </w:rPr>
      </w:pPr>
      <w:bookmarkStart w:id="446" w:name="_Toc520109167"/>
      <w:bookmarkStart w:id="447" w:name="_Toc17002452"/>
      <w:bookmarkStart w:id="448" w:name="_Toc123645528"/>
      <w:bookmarkStart w:id="449" w:name="_Toc323713224"/>
      <w:r>
        <w:rPr>
          <w:rStyle w:val="CharSectno"/>
        </w:rPr>
        <w:t>36</w:t>
      </w:r>
      <w:r>
        <w:rPr>
          <w:snapToGrid w:val="0"/>
        </w:rPr>
        <w:t>.</w:t>
      </w:r>
      <w:r>
        <w:rPr>
          <w:snapToGrid w:val="0"/>
        </w:rPr>
        <w:tab/>
        <w:t>Review of Act</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r>
        <w:rPr>
          <w:vertAlign w:val="superscript"/>
        </w:rPr>
        <w:t> 1</w:t>
      </w:r>
      <w:r>
        <w: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the operations of the </w:t>
      </w:r>
      <w:r>
        <w:t>Authority</w:t>
      </w:r>
      <w:r>
        <w:rPr>
          <w:snapToGrid w:val="0"/>
        </w:rPr>
        <w:t>; and</w:t>
      </w:r>
    </w:p>
    <w:p>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36 amended by No. 37 of 2011 s. 36 and 53(1).]</w:t>
      </w:r>
    </w:p>
    <w:p>
      <w:pPr>
        <w:pStyle w:val="Heading2"/>
      </w:pPr>
      <w:bookmarkStart w:id="450" w:name="_Toc318099235"/>
      <w:bookmarkStart w:id="451" w:name="_Toc318099338"/>
      <w:bookmarkStart w:id="452" w:name="_Toc318099441"/>
      <w:bookmarkStart w:id="453" w:name="_Toc318121421"/>
      <w:bookmarkStart w:id="454" w:name="_Toc318121671"/>
      <w:bookmarkStart w:id="455" w:name="_Toc318122499"/>
      <w:bookmarkStart w:id="456" w:name="_Toc318181675"/>
      <w:bookmarkStart w:id="457" w:name="_Toc318181780"/>
      <w:bookmarkStart w:id="458" w:name="_Toc318201635"/>
      <w:bookmarkStart w:id="459" w:name="_Toc320283268"/>
      <w:bookmarkStart w:id="460" w:name="_Toc320516418"/>
      <w:bookmarkStart w:id="461" w:name="_Toc321898591"/>
      <w:bookmarkStart w:id="462" w:name="_Toc323638340"/>
      <w:bookmarkStart w:id="463" w:name="_Toc323640300"/>
      <w:bookmarkStart w:id="464" w:name="_Toc323713225"/>
      <w:r>
        <w:rPr>
          <w:rStyle w:val="CharPartNo"/>
        </w:rPr>
        <w:t>Part 7</w:t>
      </w:r>
      <w:r>
        <w:rPr>
          <w:rStyle w:val="CharDivNo"/>
        </w:rPr>
        <w:t> </w:t>
      </w:r>
      <w:r>
        <w:t>—</w:t>
      </w:r>
      <w:r>
        <w:rPr>
          <w:rStyle w:val="CharDivText"/>
        </w:rPr>
        <w:t> </w:t>
      </w:r>
      <w:r>
        <w:rPr>
          <w:rStyle w:val="CharPartText"/>
        </w:rPr>
        <w:t>Transitional provisions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pPr>
      <w:bookmarkStart w:id="465" w:name="_Toc318099339"/>
      <w:bookmarkStart w:id="466" w:name="_Toc318099442"/>
      <w:r>
        <w:tab/>
        <w:t>[Heading inserted by No. 37 of 2011 s. 37.]</w:t>
      </w:r>
    </w:p>
    <w:p>
      <w:pPr>
        <w:pStyle w:val="Heading5"/>
      </w:pPr>
      <w:bookmarkStart w:id="467" w:name="_Toc323713226"/>
      <w:r>
        <w:rPr>
          <w:rStyle w:val="CharSectno"/>
        </w:rPr>
        <w:t>37</w:t>
      </w:r>
      <w:r>
        <w:t>.</w:t>
      </w:r>
      <w:r>
        <w:tab/>
        <w:t>Terms used</w:t>
      </w:r>
      <w:bookmarkEnd w:id="465"/>
      <w:bookmarkEnd w:id="466"/>
      <w:bookmarkEnd w:id="467"/>
    </w:p>
    <w:p>
      <w:pPr>
        <w:pStyle w:val="Subsection"/>
      </w:pPr>
      <w:r>
        <w:tab/>
      </w:r>
      <w:r>
        <w:tab/>
        <w:t xml:space="preserve">In this Part — </w:t>
      </w:r>
    </w:p>
    <w:p>
      <w:pPr>
        <w:pStyle w:val="Defstart"/>
      </w:pPr>
      <w:r>
        <w:tab/>
      </w:r>
      <w:r>
        <w:rPr>
          <w:rStyle w:val="CharDefText"/>
        </w:rPr>
        <w:t>assets</w:t>
      </w:r>
      <w:r>
        <w:t xml:space="preserve"> — </w:t>
      </w:r>
    </w:p>
    <w:p>
      <w:pPr>
        <w:pStyle w:val="Defpara"/>
      </w:pPr>
      <w:r>
        <w:tab/>
        <w:t>(a)</w:t>
      </w:r>
      <w:r>
        <w:tab/>
        <w:t>means 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r>
        <w:rPr>
          <w:vertAlign w:val="superscript"/>
        </w:rPr>
        <w:t> 1</w:t>
      </w:r>
      <w:r>
        <w:t>;</w:t>
      </w:r>
    </w:p>
    <w:p>
      <w:pPr>
        <w:pStyle w:val="Defstart"/>
      </w:pPr>
      <w:r>
        <w:tab/>
      </w:r>
      <w:r>
        <w:rPr>
          <w:rStyle w:val="CharDefText"/>
        </w:rPr>
        <w:t>Council</w:t>
      </w:r>
      <w:r>
        <w:t xml:space="preserve"> means the Curriculum Council under this Act as in force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Footnotesection"/>
      </w:pPr>
      <w:bookmarkStart w:id="468" w:name="_Toc318099340"/>
      <w:bookmarkStart w:id="469" w:name="_Toc318099443"/>
      <w:r>
        <w:tab/>
        <w:t>[Section 37 inserted by No. 37 of 2011 s. 37.]</w:t>
      </w:r>
    </w:p>
    <w:p>
      <w:pPr>
        <w:pStyle w:val="Heading5"/>
      </w:pPr>
      <w:bookmarkStart w:id="470" w:name="_Toc323713227"/>
      <w:r>
        <w:rPr>
          <w:rStyle w:val="CharSectno"/>
        </w:rPr>
        <w:t>38</w:t>
      </w:r>
      <w:r>
        <w:t>.</w:t>
      </w:r>
      <w:r>
        <w:rPr>
          <w:b w:val="0"/>
        </w:rPr>
        <w:tab/>
      </w:r>
      <w:r>
        <w:t>Curriculum Council abolished</w:t>
      </w:r>
      <w:bookmarkEnd w:id="468"/>
      <w:bookmarkEnd w:id="469"/>
      <w:r>
        <w:t xml:space="preserve"> on 1 Mar 2012</w:t>
      </w:r>
      <w:bookmarkEnd w:id="470"/>
    </w:p>
    <w:p>
      <w:pPr>
        <w:pStyle w:val="Subsection"/>
      </w:pPr>
      <w:r>
        <w:tab/>
      </w:r>
      <w:r>
        <w:tab/>
        <w:t>At the beginning of the commencement day the Council is abolished and its members go out of office.</w:t>
      </w:r>
    </w:p>
    <w:p>
      <w:pPr>
        <w:pStyle w:val="Footnotesection"/>
      </w:pPr>
      <w:bookmarkStart w:id="471" w:name="_Toc318099341"/>
      <w:bookmarkStart w:id="472" w:name="_Toc318099444"/>
      <w:r>
        <w:tab/>
        <w:t>[Section 38 inserted by No. 37 of 2011 s. 37.]</w:t>
      </w:r>
    </w:p>
    <w:p>
      <w:pPr>
        <w:pStyle w:val="Heading5"/>
      </w:pPr>
      <w:bookmarkStart w:id="473" w:name="_Toc323713228"/>
      <w:r>
        <w:rPr>
          <w:rStyle w:val="CharSectno"/>
        </w:rPr>
        <w:t>39</w:t>
      </w:r>
      <w:r>
        <w:t>.</w:t>
      </w:r>
      <w:r>
        <w:rPr>
          <w:b w:val="0"/>
        </w:rPr>
        <w:tab/>
      </w:r>
      <w:r>
        <w:t>Devolution of Council’s assets, liabilities etc.</w:t>
      </w:r>
      <w:bookmarkEnd w:id="471"/>
      <w:bookmarkEnd w:id="472"/>
      <w:bookmarkEnd w:id="473"/>
    </w:p>
    <w:p>
      <w:pPr>
        <w:pStyle w:val="Subsection"/>
      </w:pPr>
      <w:r>
        <w:tab/>
        <w:t>(1)</w:t>
      </w:r>
      <w:r>
        <w:tab/>
        <w:t xml:space="preserve">On the commencement day — </w:t>
      </w:r>
    </w:p>
    <w:p>
      <w:pPr>
        <w:pStyle w:val="Indenta"/>
      </w:pPr>
      <w:r>
        <w:tab/>
        <w:t>(a)</w:t>
      </w:r>
      <w:r>
        <w:tab/>
        <w:t>the assets and rights of the Council that were immediately before that day vested in the Council vest in the Authority by force of this section; and</w:t>
      </w:r>
    </w:p>
    <w:p>
      <w:pPr>
        <w:pStyle w:val="Indenta"/>
      </w:pPr>
      <w:r>
        <w:tab/>
        <w:t>(b)</w:t>
      </w:r>
      <w:r>
        <w:tab/>
        <w:t>the liabilities of the Council immediately before that day become, by force of this section, the liabilities of the Authority.</w:t>
      </w:r>
    </w:p>
    <w:p>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pPr>
        <w:pStyle w:val="Footnotesection"/>
      </w:pPr>
      <w:bookmarkStart w:id="474" w:name="_Toc318099342"/>
      <w:bookmarkStart w:id="475" w:name="_Toc318099445"/>
      <w:r>
        <w:tab/>
        <w:t>[Section 39 inserted by No. 37 of 2011 s. 37.]</w:t>
      </w:r>
    </w:p>
    <w:p>
      <w:pPr>
        <w:pStyle w:val="Heading5"/>
      </w:pPr>
      <w:bookmarkStart w:id="476" w:name="_Toc323713229"/>
      <w:r>
        <w:rPr>
          <w:rStyle w:val="CharSectno"/>
        </w:rPr>
        <w:t>40</w:t>
      </w:r>
      <w:r>
        <w:t>.</w:t>
      </w:r>
      <w:r>
        <w:rPr>
          <w:b w:val="0"/>
        </w:rPr>
        <w:tab/>
      </w:r>
      <w:r>
        <w:t>Chief executive officer of Council continues in office</w:t>
      </w:r>
      <w:bookmarkEnd w:id="474"/>
      <w:bookmarkEnd w:id="475"/>
      <w:bookmarkEnd w:id="476"/>
    </w:p>
    <w:p>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pPr>
        <w:pStyle w:val="Footnotesection"/>
      </w:pPr>
      <w:bookmarkStart w:id="477" w:name="_Toc318099343"/>
      <w:bookmarkStart w:id="478" w:name="_Toc318099446"/>
      <w:r>
        <w:tab/>
        <w:t>[Section 40 inserted by No. 37 of 2011 s. 37.]</w:t>
      </w:r>
    </w:p>
    <w:p>
      <w:pPr>
        <w:pStyle w:val="Heading5"/>
      </w:pPr>
      <w:bookmarkStart w:id="479" w:name="_Toc323713230"/>
      <w:r>
        <w:rPr>
          <w:rStyle w:val="CharSectno"/>
        </w:rPr>
        <w:t>41</w:t>
      </w:r>
      <w:r>
        <w:t>.</w:t>
      </w:r>
      <w:r>
        <w:rPr>
          <w:b w:val="0"/>
        </w:rPr>
        <w:tab/>
      </w:r>
      <w:r>
        <w:t>Transfer of members of staff to Authority</w:t>
      </w:r>
      <w:bookmarkEnd w:id="477"/>
      <w:bookmarkEnd w:id="478"/>
      <w:bookmarkEnd w:id="479"/>
    </w:p>
    <w:p>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pPr>
        <w:pStyle w:val="Subsection"/>
      </w:pPr>
      <w:r>
        <w:tab/>
        <w:t>(4)</w:t>
      </w:r>
      <w:r>
        <w:tab/>
        <w:t>Nothing in this section prevents the exercise by the Authority on and after the commencement day of its powers in relation to the management of the members of staff of the Authority.</w:t>
      </w:r>
    </w:p>
    <w:p>
      <w:pPr>
        <w:pStyle w:val="Footnotesection"/>
      </w:pPr>
      <w:bookmarkStart w:id="480" w:name="_Toc318099344"/>
      <w:bookmarkStart w:id="481" w:name="_Toc318099447"/>
      <w:r>
        <w:tab/>
        <w:t>[Section 41 inserted by No. 37 of 2011 s. 37.]</w:t>
      </w:r>
    </w:p>
    <w:p>
      <w:pPr>
        <w:pStyle w:val="Heading5"/>
      </w:pPr>
      <w:bookmarkStart w:id="482" w:name="_Toc323713231"/>
      <w:r>
        <w:rPr>
          <w:rStyle w:val="CharSectno"/>
        </w:rPr>
        <w:t>42</w:t>
      </w:r>
      <w:r>
        <w:t>.</w:t>
      </w:r>
      <w:r>
        <w:rPr>
          <w:b w:val="0"/>
        </w:rPr>
        <w:tab/>
      </w:r>
      <w:r>
        <w:t>Employees’ rights preserved</w:t>
      </w:r>
      <w:bookmarkEnd w:id="480"/>
      <w:bookmarkEnd w:id="481"/>
      <w:bookmarkEnd w:id="482"/>
    </w:p>
    <w:p>
      <w:pPr>
        <w:pStyle w:val="Subsection"/>
      </w:pPr>
      <w:r>
        <w:tab/>
      </w:r>
      <w:r>
        <w:tab/>
        <w:t xml:space="preserve">Except as otherwise agreed by an employee, the operation of section 41 does not — </w:t>
      </w:r>
    </w:p>
    <w:p>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pPr>
        <w:pStyle w:val="Indenta"/>
      </w:pPr>
      <w:r>
        <w:tab/>
        <w:t>(b)</w:t>
      </w:r>
      <w:r>
        <w:tab/>
        <w:t>affect the employee’s existing or accruing rights in respect of annual leave, long service leave, sick leave or any other leave; or</w:t>
      </w:r>
    </w:p>
    <w:p>
      <w:pPr>
        <w:pStyle w:val="Indenta"/>
      </w:pPr>
      <w:r>
        <w:tab/>
        <w:t>(c)</w:t>
      </w:r>
      <w:r>
        <w:tab/>
        <w:t>affect any rights under a superannuation scheme; or</w:t>
      </w:r>
    </w:p>
    <w:p>
      <w:pPr>
        <w:pStyle w:val="Indenta"/>
      </w:pPr>
      <w:r>
        <w:tab/>
        <w:t>(d)</w:t>
      </w:r>
      <w:r>
        <w:tab/>
        <w:t>interrupt the continuity of the employee’s service.</w:t>
      </w:r>
    </w:p>
    <w:p>
      <w:pPr>
        <w:pStyle w:val="Footnotesection"/>
      </w:pPr>
      <w:bookmarkStart w:id="483" w:name="_Toc318099345"/>
      <w:bookmarkStart w:id="484" w:name="_Toc318099448"/>
      <w:r>
        <w:tab/>
        <w:t>[Section 42 inserted by No. 37 of 2011 s. 37.]</w:t>
      </w:r>
    </w:p>
    <w:p>
      <w:pPr>
        <w:pStyle w:val="Heading5"/>
      </w:pPr>
      <w:bookmarkStart w:id="485" w:name="_Toc323713232"/>
      <w:r>
        <w:rPr>
          <w:rStyle w:val="CharSectno"/>
        </w:rPr>
        <w:t>43</w:t>
      </w:r>
      <w:r>
        <w:t>.</w:t>
      </w:r>
      <w:r>
        <w:rPr>
          <w:b w:val="0"/>
        </w:rPr>
        <w:tab/>
      </w:r>
      <w:r>
        <w:t>Curriculum Council Account</w:t>
      </w:r>
      <w:bookmarkEnd w:id="483"/>
      <w:bookmarkEnd w:id="484"/>
      <w:bookmarkEnd w:id="485"/>
    </w:p>
    <w:p>
      <w:pPr>
        <w:pStyle w:val="Subsection"/>
      </w:pPr>
      <w:r>
        <w:tab/>
      </w:r>
      <w:r>
        <w:tab/>
        <w:t>The Curriculum Council Account established under section 24, as in force before the commencement day, continues to operate under that section as the School Curriculum and Standards Authority Account.</w:t>
      </w:r>
    </w:p>
    <w:p>
      <w:pPr>
        <w:pStyle w:val="Footnotesection"/>
      </w:pPr>
      <w:bookmarkStart w:id="486" w:name="_Toc318099346"/>
      <w:bookmarkStart w:id="487" w:name="_Toc318099449"/>
      <w:r>
        <w:tab/>
        <w:t>[Section 43 inserted by No. 37 of 2011 s. 37.]</w:t>
      </w:r>
    </w:p>
    <w:p>
      <w:pPr>
        <w:pStyle w:val="Heading5"/>
        <w:spacing w:before="280"/>
      </w:pPr>
      <w:bookmarkStart w:id="488" w:name="_Toc323713233"/>
      <w:r>
        <w:rPr>
          <w:rStyle w:val="CharSectno"/>
        </w:rPr>
        <w:t>44</w:t>
      </w:r>
      <w:r>
        <w:t>.</w:t>
      </w:r>
      <w:r>
        <w:rPr>
          <w:b w:val="0"/>
        </w:rPr>
        <w:tab/>
      </w:r>
      <w:r>
        <w:t>Completion of things commenced</w:t>
      </w:r>
      <w:bookmarkEnd w:id="486"/>
      <w:bookmarkEnd w:id="487"/>
      <w:bookmarkEnd w:id="488"/>
    </w:p>
    <w:p>
      <w:pPr>
        <w:pStyle w:val="Subsection"/>
      </w:pPr>
      <w:r>
        <w:tab/>
      </w:r>
      <w:r>
        <w:tab/>
        <w:t>Anything commenced to be done by the Council before the commencement day may be continued by the Authority so far as the doing of that thing is within the functions of the Authority.</w:t>
      </w:r>
    </w:p>
    <w:p>
      <w:pPr>
        <w:pStyle w:val="Footnotesection"/>
      </w:pPr>
      <w:bookmarkStart w:id="489" w:name="_Toc318099347"/>
      <w:bookmarkStart w:id="490" w:name="_Toc318099450"/>
      <w:r>
        <w:tab/>
        <w:t>[Section 44 inserted by No. 37 of 2011 s. 37.]</w:t>
      </w:r>
    </w:p>
    <w:p>
      <w:pPr>
        <w:pStyle w:val="Heading5"/>
        <w:spacing w:before="280"/>
      </w:pPr>
      <w:bookmarkStart w:id="491" w:name="_Toc323713234"/>
      <w:r>
        <w:rPr>
          <w:rStyle w:val="CharSectno"/>
        </w:rPr>
        <w:t>45</w:t>
      </w:r>
      <w:r>
        <w:t>.</w:t>
      </w:r>
      <w:r>
        <w:rPr>
          <w:b w:val="0"/>
        </w:rPr>
        <w:tab/>
      </w:r>
      <w:r>
        <w:t>Continuing effect of things done</w:t>
      </w:r>
      <w:bookmarkEnd w:id="489"/>
      <w:bookmarkEnd w:id="490"/>
      <w:bookmarkEnd w:id="491"/>
    </w:p>
    <w:p>
      <w:pPr>
        <w:pStyle w:val="Subsection"/>
      </w:pPr>
      <w:r>
        <w:tab/>
      </w:r>
      <w:r>
        <w:tab/>
        <w:t xml:space="preserve">Any act, matter or thing done or omitted to be done before the commencement day by, to or in respect of the Council, to the extent that the act, matter or thing — </w:t>
      </w:r>
    </w:p>
    <w:p>
      <w:pPr>
        <w:pStyle w:val="Indenta"/>
      </w:pPr>
      <w:r>
        <w:tab/>
        <w:t>(a)</w:t>
      </w:r>
      <w:r>
        <w:tab/>
        <w:t>has any force or significance; and</w:t>
      </w:r>
    </w:p>
    <w:p>
      <w:pPr>
        <w:pStyle w:val="Indenta"/>
      </w:pPr>
      <w:r>
        <w:tab/>
        <w:t>(b)</w:t>
      </w:r>
      <w:r>
        <w:tab/>
        <w:t>is not governed by another provision of this Part,</w:t>
      </w:r>
    </w:p>
    <w:p>
      <w:pPr>
        <w:pStyle w:val="Subsection"/>
      </w:pPr>
      <w:r>
        <w:tab/>
      </w:r>
      <w:r>
        <w:tab/>
        <w:t>is to be taken to have been done or omitted by, to or in respect of the Authority so far as the act, matter or thing is relevant to the Authority.</w:t>
      </w:r>
    </w:p>
    <w:p>
      <w:pPr>
        <w:pStyle w:val="Footnotesection"/>
      </w:pPr>
      <w:bookmarkStart w:id="492" w:name="_Toc318099348"/>
      <w:bookmarkStart w:id="493" w:name="_Toc318099451"/>
      <w:r>
        <w:tab/>
        <w:t>[Section 45 inserted by No. 37 of 2011 s. 37.]</w:t>
      </w:r>
    </w:p>
    <w:p>
      <w:pPr>
        <w:pStyle w:val="Heading5"/>
        <w:spacing w:before="280"/>
      </w:pPr>
      <w:bookmarkStart w:id="494" w:name="_Toc323713235"/>
      <w:r>
        <w:rPr>
          <w:rStyle w:val="CharSectno"/>
        </w:rPr>
        <w:t>46</w:t>
      </w:r>
      <w:r>
        <w:t>.</w:t>
      </w:r>
      <w:r>
        <w:rPr>
          <w:b w:val="0"/>
        </w:rPr>
        <w:tab/>
      </w:r>
      <w:r>
        <w:t>Exemption from State taxes</w:t>
      </w:r>
      <w:bookmarkEnd w:id="492"/>
      <w:bookmarkEnd w:id="493"/>
      <w:bookmarkEnd w:id="494"/>
    </w:p>
    <w:p>
      <w:pPr>
        <w:pStyle w:val="Subsection"/>
      </w:pPr>
      <w:r>
        <w:tab/>
        <w:t>(1)</w:t>
      </w:r>
      <w:r>
        <w:tab/>
        <w:t xml:space="preserve">In this section — </w:t>
      </w:r>
    </w:p>
    <w:p>
      <w:pPr>
        <w:pStyle w:val="Defstart"/>
      </w:pPr>
      <w:r>
        <w:tab/>
      </w:r>
      <w:r>
        <w:rPr>
          <w:rStyle w:val="CharDefText"/>
        </w:rPr>
        <w:t>State tax</w:t>
      </w:r>
      <w:r>
        <w:t xml:space="preserve"> includes duty under the </w:t>
      </w:r>
      <w:r>
        <w:rPr>
          <w:i/>
          <w:iCs/>
        </w:rPr>
        <w:t>Duties Act 2008</w:t>
      </w:r>
      <w:r>
        <w:t xml:space="preserve"> and any other tax under a written law.</w:t>
      </w:r>
    </w:p>
    <w:p>
      <w:pPr>
        <w:pStyle w:val="Subsection"/>
      </w:pPr>
      <w:r>
        <w:tab/>
        <w:t>(2)</w:t>
      </w:r>
      <w:r>
        <w:tab/>
        <w:t xml:space="preserve">State tax is not payable in relation to — </w:t>
      </w:r>
    </w:p>
    <w:p>
      <w:pPr>
        <w:pStyle w:val="Indenta"/>
      </w:pPr>
      <w:r>
        <w:tab/>
        <w:t>(a)</w:t>
      </w:r>
      <w:r>
        <w:tab/>
        <w:t>anything that occurs by the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Footnotesection"/>
      </w:pPr>
      <w:bookmarkStart w:id="495" w:name="_Toc318099349"/>
      <w:bookmarkStart w:id="496" w:name="_Toc318099452"/>
      <w:r>
        <w:tab/>
        <w:t>[Section 46 inserted by No. 37 of 2011 s. 37.]</w:t>
      </w:r>
    </w:p>
    <w:p>
      <w:pPr>
        <w:pStyle w:val="Heading5"/>
      </w:pPr>
      <w:bookmarkStart w:id="497" w:name="_Toc323713236"/>
      <w:r>
        <w:rPr>
          <w:rStyle w:val="CharSectno"/>
        </w:rPr>
        <w:t>47</w:t>
      </w:r>
      <w:r>
        <w:t>.</w:t>
      </w:r>
      <w:r>
        <w:rPr>
          <w:b w:val="0"/>
        </w:rPr>
        <w:tab/>
      </w:r>
      <w:r>
        <w:t>Agreements and instruments generally</w:t>
      </w:r>
      <w:bookmarkEnd w:id="495"/>
      <w:bookmarkEnd w:id="496"/>
      <w:bookmarkEnd w:id="497"/>
    </w:p>
    <w:p>
      <w:pPr>
        <w:pStyle w:val="Subsection"/>
      </w:pPr>
      <w:r>
        <w:tab/>
      </w:r>
      <w:r>
        <w:tab/>
        <w:t xml:space="preserve">Any agreement or instrument subsisting immediately before the commencement day — </w:t>
      </w:r>
    </w:p>
    <w:p>
      <w:pPr>
        <w:pStyle w:val="Indenta"/>
      </w:pPr>
      <w:r>
        <w:tab/>
        <w:t>(a)</w:t>
      </w:r>
      <w:r>
        <w:tab/>
        <w:t>to which the Council was a party; or</w:t>
      </w:r>
    </w:p>
    <w:p>
      <w:pPr>
        <w:pStyle w:val="Indenta"/>
      </w:pPr>
      <w:r>
        <w:tab/>
        <w:t>(b)</w:t>
      </w:r>
      <w:r>
        <w:tab/>
        <w:t>that contains a reference to the Council,</w:t>
      </w:r>
    </w:p>
    <w:p>
      <w:pPr>
        <w:pStyle w:val="Subsection"/>
      </w:pPr>
      <w:r>
        <w:tab/>
      </w:r>
      <w:r>
        <w:tab/>
        <w:t xml:space="preserve">has effect on and after the commencement day as if — </w:t>
      </w:r>
    </w:p>
    <w:p>
      <w:pPr>
        <w:pStyle w:val="Indenta"/>
      </w:pPr>
      <w:r>
        <w:tab/>
        <w:t>(c)</w:t>
      </w:r>
      <w:r>
        <w:tab/>
        <w:t>the Authority were substituted for the Council as a party to the agreement or instrument; and</w:t>
      </w:r>
    </w:p>
    <w:p>
      <w:pPr>
        <w:pStyle w:val="Indenta"/>
      </w:pPr>
      <w:r>
        <w:tab/>
        <w:t>(d)</w:t>
      </w:r>
      <w:r>
        <w:tab/>
        <w:t>any reference in the agreement or instrument to the Council were (unless the context otherwise requires) amended to be or include a reference to the Authority.</w:t>
      </w:r>
    </w:p>
    <w:p>
      <w:pPr>
        <w:pStyle w:val="Footnotesection"/>
      </w:pPr>
      <w:bookmarkStart w:id="498" w:name="_Toc318099350"/>
      <w:bookmarkStart w:id="499" w:name="_Toc318099453"/>
      <w:r>
        <w:tab/>
        <w:t>[Section 47 inserted by No. 37 of 2011 s. 37.]</w:t>
      </w:r>
    </w:p>
    <w:p>
      <w:pPr>
        <w:pStyle w:val="Heading5"/>
      </w:pPr>
      <w:bookmarkStart w:id="500" w:name="_Toc323713237"/>
      <w:r>
        <w:rPr>
          <w:rStyle w:val="CharSectno"/>
        </w:rPr>
        <w:t>48</w:t>
      </w:r>
      <w:r>
        <w:t>.</w:t>
      </w:r>
      <w:r>
        <w:rPr>
          <w:b w:val="0"/>
        </w:rPr>
        <w:tab/>
      </w:r>
      <w:r>
        <w:t>Immunity continues</w:t>
      </w:r>
      <w:bookmarkEnd w:id="498"/>
      <w:bookmarkEnd w:id="499"/>
      <w:bookmarkEnd w:id="500"/>
    </w:p>
    <w:p>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pPr>
        <w:pStyle w:val="Footnotesection"/>
      </w:pPr>
      <w:bookmarkStart w:id="501" w:name="_Toc318099351"/>
      <w:bookmarkStart w:id="502" w:name="_Toc318099454"/>
      <w:r>
        <w:tab/>
        <w:t>[Section 48 inserted by No. 37 of 2011 s. 37.]</w:t>
      </w:r>
    </w:p>
    <w:p>
      <w:pPr>
        <w:pStyle w:val="Heading5"/>
      </w:pPr>
      <w:bookmarkStart w:id="503" w:name="_Toc323713238"/>
      <w:r>
        <w:rPr>
          <w:rStyle w:val="CharSectno"/>
        </w:rPr>
        <w:t>49</w:t>
      </w:r>
      <w:r>
        <w:t>.</w:t>
      </w:r>
      <w:r>
        <w:rPr>
          <w:b w:val="0"/>
        </w:rPr>
        <w:tab/>
      </w:r>
      <w:r>
        <w:t>Duty of confidentiality continues to apply to members of the Council</w:t>
      </w:r>
      <w:bookmarkEnd w:id="501"/>
      <w:bookmarkEnd w:id="502"/>
      <w:bookmarkEnd w:id="503"/>
    </w:p>
    <w:p>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pPr>
        <w:pStyle w:val="Footnotesection"/>
      </w:pPr>
      <w:bookmarkStart w:id="504" w:name="_Toc318099352"/>
      <w:bookmarkStart w:id="505" w:name="_Toc318099455"/>
      <w:r>
        <w:tab/>
        <w:t>[Section 49 inserted by No. 37 of 2011 s. 37.]</w:t>
      </w:r>
    </w:p>
    <w:p>
      <w:pPr>
        <w:pStyle w:val="Heading5"/>
      </w:pPr>
      <w:bookmarkStart w:id="506" w:name="_Toc323713239"/>
      <w:r>
        <w:rPr>
          <w:rStyle w:val="CharSectno"/>
        </w:rPr>
        <w:t>50</w:t>
      </w:r>
      <w:r>
        <w:t>.</w:t>
      </w:r>
      <w:r>
        <w:rPr>
          <w:b w:val="0"/>
        </w:rPr>
        <w:tab/>
      </w:r>
      <w:r>
        <w:t>Registration of documents</w:t>
      </w:r>
      <w:bookmarkEnd w:id="504"/>
      <w:bookmarkEnd w:id="505"/>
      <w:bookmarkEnd w:id="506"/>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or</w:t>
      </w:r>
    </w:p>
    <w:p>
      <w:pPr>
        <w:pStyle w:val="Defpara"/>
      </w:pPr>
      <w:r>
        <w:tab/>
        <w:t>(b)</w:t>
      </w:r>
      <w:r>
        <w:tab/>
        <w:t xml:space="preserve">the Registrar of Deeds and Transfers under the </w:t>
      </w:r>
      <w:r>
        <w:rPr>
          <w:i/>
        </w:rPr>
        <w:t>Registration of Deeds Act 1856</w:t>
      </w:r>
      <w:r>
        <w:t>; or</w:t>
      </w:r>
    </w:p>
    <w:p>
      <w:pPr>
        <w:pStyle w:val="Defpara"/>
      </w:pPr>
      <w:r>
        <w:tab/>
        <w:t>(c)</w:t>
      </w:r>
      <w:r>
        <w:tab/>
        <w:t xml:space="preserve">the Minister administering the </w:t>
      </w:r>
      <w:r>
        <w:rPr>
          <w:i/>
          <w:iCs/>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provisions of this Part and are empowered to record and register in the appropriate manner the necessary documents and otherwise to give effect to this Part.</w:t>
      </w:r>
    </w:p>
    <w:p>
      <w:pPr>
        <w:pStyle w:val="Footnotesection"/>
      </w:pPr>
      <w:bookmarkStart w:id="507" w:name="_Toc318099353"/>
      <w:bookmarkStart w:id="508" w:name="_Toc318099456"/>
      <w:r>
        <w:tab/>
        <w:t>[Section 50 inserted by No. 37 of 2011 s. 37.]</w:t>
      </w:r>
    </w:p>
    <w:p>
      <w:pPr>
        <w:pStyle w:val="Heading5"/>
      </w:pPr>
      <w:bookmarkStart w:id="509" w:name="_Toc323713240"/>
      <w:r>
        <w:rPr>
          <w:rStyle w:val="CharSectno"/>
        </w:rPr>
        <w:t>51</w:t>
      </w:r>
      <w:r>
        <w:t>.</w:t>
      </w:r>
      <w:r>
        <w:rPr>
          <w:b w:val="0"/>
        </w:rPr>
        <w:tab/>
      </w:r>
      <w:r>
        <w:t>Transitional regulations</w:t>
      </w:r>
      <w:bookmarkEnd w:id="507"/>
      <w:bookmarkEnd w:id="508"/>
      <w:bookmarkEnd w:id="509"/>
    </w:p>
    <w:p>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pPr>
        <w:pStyle w:val="Subsection"/>
      </w:pPr>
      <w:r>
        <w:tab/>
        <w:t>(3)</w:t>
      </w:r>
      <w:r>
        <w:tab/>
        <w:t xml:space="preserve">If the transitional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bookmarkStart w:id="510" w:name="_Toc318099354"/>
      <w:bookmarkStart w:id="511" w:name="_Toc318099457"/>
      <w:r>
        <w:tab/>
        <w:t>[Section 51 inserted by No. 37 of 2011 s. 37.]</w:t>
      </w:r>
    </w:p>
    <w:p>
      <w:pPr>
        <w:pStyle w:val="Heading5"/>
      </w:pPr>
      <w:bookmarkStart w:id="512" w:name="_Toc323713241"/>
      <w:r>
        <w:rPr>
          <w:rStyle w:val="CharSectno"/>
        </w:rPr>
        <w:t>52</w:t>
      </w:r>
      <w:r>
        <w:t>.</w:t>
      </w:r>
      <w:r>
        <w:rPr>
          <w:b w:val="0"/>
        </w:rPr>
        <w:tab/>
      </w:r>
      <w:r>
        <w:t>Saving</w:t>
      </w:r>
      <w:bookmarkEnd w:id="510"/>
      <w:bookmarkEnd w:id="511"/>
      <w:bookmarkEnd w:id="512"/>
    </w:p>
    <w:p>
      <w:pPr>
        <w:pStyle w:val="Subsection"/>
      </w:pPr>
      <w:r>
        <w:tab/>
      </w:r>
      <w:r>
        <w:tab/>
        <w:t xml:space="preserve">The operation of any provision of this Part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Footnotesection"/>
      </w:pPr>
      <w:r>
        <w:tab/>
        <w:t>[Section 52 inserted by No. 37 of 2011 s. 37.]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bookmarkStart w:id="513" w:name="_Toc123645529"/>
      <w:bookmarkStart w:id="514" w:name="_Toc123645630"/>
      <w:bookmarkStart w:id="515" w:name="_Toc124139499"/>
      <w:bookmarkStart w:id="516" w:name="_Toc157845878"/>
      <w:bookmarkStart w:id="517" w:name="_Toc161720585"/>
      <w:bookmarkStart w:id="518" w:name="_Toc161723037"/>
      <w:bookmarkStart w:id="519" w:name="_Toc163957005"/>
      <w:bookmarkStart w:id="520" w:name="_Toc163964995"/>
      <w:bookmarkStart w:id="521" w:name="_Toc165698437"/>
      <w:bookmarkStart w:id="522" w:name="_Toc232394813"/>
      <w:bookmarkStart w:id="523" w:name="_Toc268269145"/>
      <w:bookmarkStart w:id="524" w:name="_Toc272057716"/>
      <w:bookmarkStart w:id="525" w:name="_Toc274207161"/>
      <w:bookmarkStart w:id="526" w:name="_Toc278975296"/>
      <w:bookmarkStart w:id="527" w:name="_Toc303861481"/>
      <w:bookmarkStart w:id="528" w:name="_Toc303867360"/>
      <w:bookmarkStart w:id="529" w:name="_Toc318121438"/>
      <w:bookmarkStart w:id="530" w:name="_Toc318121688"/>
      <w:bookmarkStart w:id="531" w:name="_Toc318122516"/>
      <w:bookmarkStart w:id="532" w:name="_Toc318181692"/>
      <w:bookmarkStart w:id="533" w:name="_Toc318181797"/>
    </w:p>
    <w:p>
      <w:pPr>
        <w:pStyle w:val="yScheduleHeading"/>
      </w:pPr>
      <w:bookmarkStart w:id="534" w:name="_Toc318201652"/>
      <w:bookmarkStart w:id="535" w:name="_Toc320283285"/>
      <w:bookmarkStart w:id="536" w:name="_Toc320516435"/>
      <w:bookmarkStart w:id="537" w:name="_Toc321898608"/>
      <w:bookmarkStart w:id="538" w:name="_Toc323638357"/>
      <w:bookmarkStart w:id="539" w:name="_Toc323640317"/>
      <w:bookmarkStart w:id="540" w:name="_Toc323713242"/>
      <w:r>
        <w:rPr>
          <w:rStyle w:val="CharSchNo"/>
        </w:rPr>
        <w:t>Schedule 1</w:t>
      </w:r>
      <w:bookmarkEnd w:id="513"/>
      <w:bookmarkEnd w:id="514"/>
      <w:bookmarkEnd w:id="515"/>
      <w:bookmarkEnd w:id="516"/>
      <w:bookmarkEnd w:id="517"/>
      <w:bookmarkEnd w:id="518"/>
      <w:bookmarkEnd w:id="519"/>
      <w:bookmarkEnd w:id="520"/>
      <w:bookmarkEnd w:id="521"/>
      <w:bookmarkEnd w:id="522"/>
      <w:r>
        <w:t> — </w:t>
      </w:r>
      <w:r>
        <w:rPr>
          <w:rStyle w:val="CharSchText"/>
        </w:rPr>
        <w:t>Provisions as to Board</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yShoulderClause"/>
        <w:rPr>
          <w:snapToGrid w:val="0"/>
        </w:rPr>
      </w:pPr>
      <w:r>
        <w:rPr>
          <w:snapToGrid w:val="0"/>
        </w:rPr>
        <w:t>[s. 7]</w:t>
      </w:r>
    </w:p>
    <w:p>
      <w:pPr>
        <w:pStyle w:val="yFootnoteheading"/>
      </w:pPr>
      <w:r>
        <w:tab/>
        <w:t>[Heading amended by No. 19 of 2010 s. 4; No. 37 of 2011 s. 38.]</w:t>
      </w:r>
    </w:p>
    <w:p>
      <w:pPr>
        <w:pStyle w:val="yHeading3"/>
      </w:pPr>
      <w:bookmarkStart w:id="541" w:name="_Toc17002454"/>
      <w:bookmarkStart w:id="542" w:name="_Toc123645530"/>
      <w:bookmarkStart w:id="543" w:name="_Toc123645631"/>
      <w:bookmarkStart w:id="544" w:name="_Toc124139500"/>
      <w:bookmarkStart w:id="545" w:name="_Toc157845879"/>
      <w:bookmarkStart w:id="546" w:name="_Toc161720586"/>
      <w:bookmarkStart w:id="547" w:name="_Toc161723038"/>
      <w:bookmarkStart w:id="548" w:name="_Toc163957006"/>
      <w:bookmarkStart w:id="549" w:name="_Toc163964996"/>
      <w:bookmarkStart w:id="550" w:name="_Toc165698438"/>
      <w:bookmarkStart w:id="551" w:name="_Toc232394814"/>
      <w:bookmarkStart w:id="552" w:name="_Toc268269146"/>
      <w:bookmarkStart w:id="553" w:name="_Toc272057717"/>
      <w:bookmarkStart w:id="554" w:name="_Toc274207162"/>
      <w:bookmarkStart w:id="555" w:name="_Toc278975297"/>
      <w:bookmarkStart w:id="556" w:name="_Toc303861482"/>
      <w:bookmarkStart w:id="557" w:name="_Toc303867361"/>
      <w:bookmarkStart w:id="558" w:name="_Toc318121439"/>
      <w:bookmarkStart w:id="559" w:name="_Toc318121689"/>
      <w:bookmarkStart w:id="560" w:name="_Toc318122517"/>
      <w:bookmarkStart w:id="561" w:name="_Toc318181693"/>
      <w:bookmarkStart w:id="562" w:name="_Toc318181798"/>
      <w:bookmarkStart w:id="563" w:name="_Toc318201653"/>
      <w:bookmarkStart w:id="564" w:name="_Toc320283286"/>
      <w:bookmarkStart w:id="565" w:name="_Toc320516436"/>
      <w:bookmarkStart w:id="566" w:name="_Toc321898609"/>
      <w:bookmarkStart w:id="567" w:name="_Toc323638358"/>
      <w:bookmarkStart w:id="568" w:name="_Toc323640318"/>
      <w:bookmarkStart w:id="569" w:name="_Toc323713243"/>
      <w:r>
        <w:rPr>
          <w:rStyle w:val="CharSDivNo"/>
        </w:rPr>
        <w:t>Division 1</w:t>
      </w:r>
      <w:r>
        <w:t> — </w:t>
      </w:r>
      <w:r>
        <w:rPr>
          <w:rStyle w:val="CharSDivText"/>
        </w:rPr>
        <w:t>Provisions as to constitution and proceedings of the Board</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Footnoteheading"/>
      </w:pPr>
      <w:bookmarkStart w:id="570" w:name="_Toc17002455"/>
      <w:bookmarkStart w:id="571" w:name="_Toc123645531"/>
      <w:r>
        <w:tab/>
        <w:t>[Heading amended by No. 37 of 2011 s. 39.]</w:t>
      </w:r>
    </w:p>
    <w:p>
      <w:pPr>
        <w:pStyle w:val="yHeading5"/>
        <w:outlineLvl w:val="9"/>
      </w:pPr>
      <w:bookmarkStart w:id="572" w:name="_Toc323713244"/>
      <w:r>
        <w:rPr>
          <w:rStyle w:val="CharSClsNo"/>
        </w:rPr>
        <w:t>1</w:t>
      </w:r>
      <w:r>
        <w:t>.</w:t>
      </w:r>
      <w:r>
        <w:tab/>
        <w:t>Term of office</w:t>
      </w:r>
      <w:bookmarkEnd w:id="570"/>
      <w:bookmarkEnd w:id="571"/>
      <w:r>
        <w:t xml:space="preserve"> of members</w:t>
      </w:r>
      <w:bookmarkEnd w:id="572"/>
    </w:p>
    <w:p>
      <w:pPr>
        <w:pStyle w:val="ySubsection"/>
      </w:pPr>
      <w:r>
        <w:tab/>
        <w:t>(1)</w:t>
      </w:r>
      <w:r>
        <w:tab/>
        <w:t xml:space="preserve">Subject to clause 2, a member holds office for the term that is specified in the member’s instrument of appointment, and that term is not to exceed — </w:t>
      </w:r>
    </w:p>
    <w:p>
      <w:pPr>
        <w:pStyle w:val="yIndenta"/>
      </w:pPr>
      <w:r>
        <w:tab/>
        <w:t>(a)</w:t>
      </w:r>
      <w:r>
        <w:tab/>
        <w:t>4 years; or</w:t>
      </w:r>
    </w:p>
    <w:p>
      <w:pPr>
        <w:pStyle w:val="yIndenta"/>
      </w:pPr>
      <w:r>
        <w:tab/>
        <w:t>(b)</w:t>
      </w:r>
      <w:r>
        <w:tab/>
        <w:t>in the case of the member who is the chairperson, 5 years.</w:t>
      </w:r>
    </w:p>
    <w:p>
      <w:pPr>
        <w:pStyle w:val="ySubsection"/>
      </w:pPr>
      <w:r>
        <w:tab/>
        <w:t>(2A)</w:t>
      </w:r>
      <w:r>
        <w:tab/>
        <w:t>A person’s eligibility for reappointment or the term for which a person may be reappointed is not affected by an earlier appointment.</w:t>
      </w:r>
    </w:p>
    <w:p>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pPr>
        <w:pStyle w:val="yFootnotesection"/>
      </w:pPr>
      <w:bookmarkStart w:id="573" w:name="_Toc17002456"/>
      <w:bookmarkStart w:id="574" w:name="_Toc123645532"/>
      <w:r>
        <w:tab/>
        <w:t>[Clause 1 amended by No. 37 of 2011 s. 40.]</w:t>
      </w:r>
    </w:p>
    <w:p>
      <w:pPr>
        <w:pStyle w:val="yHeading5"/>
        <w:outlineLvl w:val="9"/>
      </w:pPr>
      <w:bookmarkStart w:id="575" w:name="_Toc323713245"/>
      <w:r>
        <w:rPr>
          <w:rStyle w:val="CharSClsNo"/>
        </w:rPr>
        <w:t>2</w:t>
      </w:r>
      <w:r>
        <w:t>.</w:t>
      </w:r>
      <w:r>
        <w:tab/>
        <w:t>Resignation, removal etc.</w:t>
      </w:r>
      <w:bookmarkEnd w:id="573"/>
      <w:bookmarkEnd w:id="574"/>
      <w:r>
        <w:t xml:space="preserve"> of members</w:t>
      </w:r>
      <w:bookmarkEnd w:id="575"/>
    </w:p>
    <w:p>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pPr>
        <w:pStyle w:val="yIndenta"/>
      </w:pPr>
      <w:r>
        <w:tab/>
        <w:t>(ca)</w:t>
      </w:r>
      <w:r>
        <w:tab/>
        <w:t>has ceased to be eligible to be appointed as a member; or</w:t>
      </w:r>
    </w:p>
    <w:p>
      <w:pPr>
        <w:pStyle w:val="yIndenta"/>
        <w:spacing w:before="70"/>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pPr>
        <w:pStyle w:val="yIndenta"/>
        <w:spacing w:before="70"/>
        <w:rPr>
          <w:snapToGrid w:val="0"/>
        </w:rPr>
      </w:pPr>
      <w:r>
        <w:rPr>
          <w:snapToGrid w:val="0"/>
        </w:rPr>
        <w:tab/>
        <w:t>(a)</w:t>
      </w:r>
      <w:r>
        <w:rPr>
          <w:snapToGrid w:val="0"/>
        </w:rPr>
        <w:tab/>
        <w:t>has neglected his or her duty; or</w:t>
      </w:r>
    </w:p>
    <w:p>
      <w:pPr>
        <w:pStyle w:val="yIndenta"/>
        <w:spacing w:before="70"/>
        <w:rPr>
          <w:snapToGrid w:val="0"/>
        </w:rPr>
      </w:pPr>
      <w:r>
        <w:rPr>
          <w:snapToGrid w:val="0"/>
        </w:rPr>
        <w:tab/>
        <w:t>(b)</w:t>
      </w:r>
      <w:r>
        <w:rPr>
          <w:snapToGrid w:val="0"/>
        </w:rPr>
        <w:tab/>
        <w:t>has misbehaved; or</w:t>
      </w:r>
    </w:p>
    <w:p>
      <w:pPr>
        <w:pStyle w:val="yIndenta"/>
        <w:spacing w:before="70"/>
        <w:rPr>
          <w:snapToGrid w:val="0"/>
        </w:rPr>
      </w:pPr>
      <w:r>
        <w:rPr>
          <w:snapToGrid w:val="0"/>
        </w:rPr>
        <w:tab/>
        <w:t>(c)</w:t>
      </w:r>
      <w:r>
        <w:rPr>
          <w:snapToGrid w:val="0"/>
        </w:rPr>
        <w:tab/>
        <w:t>is incompetent; or</w:t>
      </w:r>
    </w:p>
    <w:p>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pPr>
        <w:pStyle w:val="yFootnotesection"/>
      </w:pPr>
      <w:bookmarkStart w:id="576" w:name="_Toc17002457"/>
      <w:bookmarkStart w:id="577" w:name="_Toc123645533"/>
      <w:r>
        <w:tab/>
        <w:t>[Clause 2 amended by No. 10 of 2001 s. 220; No. 37 of 2011 s. 41.]</w:t>
      </w:r>
    </w:p>
    <w:p>
      <w:pPr>
        <w:pStyle w:val="yHeading5"/>
        <w:outlineLvl w:val="9"/>
      </w:pPr>
      <w:bookmarkStart w:id="578" w:name="_Toc323713246"/>
      <w:r>
        <w:rPr>
          <w:rStyle w:val="CharSClsNo"/>
        </w:rPr>
        <w:t>3</w:t>
      </w:r>
      <w:r>
        <w:t>.</w:t>
      </w:r>
      <w:r>
        <w:tab/>
        <w:t>Leave of absence</w:t>
      </w:r>
      <w:bookmarkEnd w:id="576"/>
      <w:bookmarkEnd w:id="577"/>
      <w:r>
        <w:t xml:space="preserve"> for members</w:t>
      </w:r>
      <w:bookmarkEnd w:id="578"/>
    </w:p>
    <w:p>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pPr>
        <w:pStyle w:val="yFootnotesection"/>
      </w:pPr>
      <w:bookmarkStart w:id="579" w:name="_Toc17002458"/>
      <w:bookmarkStart w:id="580" w:name="_Toc123645534"/>
      <w:r>
        <w:tab/>
        <w:t>[Clause 3 amended by No. 37 of 2011 s. 42.]</w:t>
      </w:r>
    </w:p>
    <w:p>
      <w:pPr>
        <w:pStyle w:val="yHeading5"/>
        <w:outlineLvl w:val="9"/>
      </w:pPr>
      <w:bookmarkStart w:id="581" w:name="_Toc323713247"/>
      <w:r>
        <w:rPr>
          <w:rStyle w:val="CharSClsNo"/>
        </w:rPr>
        <w:t>4</w:t>
      </w:r>
      <w:r>
        <w:t>.</w:t>
      </w:r>
      <w:r>
        <w:tab/>
        <w:t>Appointed member unable to act</w:t>
      </w:r>
      <w:bookmarkEnd w:id="579"/>
      <w:bookmarkEnd w:id="580"/>
      <w:bookmarkEnd w:id="581"/>
      <w:r>
        <w:t xml:space="preserve"> </w:t>
      </w:r>
    </w:p>
    <w:p>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Footnotesection"/>
      </w:pPr>
      <w:bookmarkStart w:id="582" w:name="_Toc17002459"/>
      <w:bookmarkStart w:id="583" w:name="_Toc123645535"/>
      <w:r>
        <w:tab/>
        <w:t>[Clause 4 amended by No. 37 of 2011 s. 43.]</w:t>
      </w:r>
    </w:p>
    <w:p>
      <w:pPr>
        <w:pStyle w:val="yEdnotesection"/>
      </w:pPr>
      <w:r>
        <w:t>[</w:t>
      </w:r>
      <w:r>
        <w:rPr>
          <w:b/>
        </w:rPr>
        <w:t>5.</w:t>
      </w:r>
      <w:r>
        <w:tab/>
        <w:t>Deleted by No. 37 of 2011 s. 44.]</w:t>
      </w:r>
    </w:p>
    <w:p>
      <w:pPr>
        <w:pStyle w:val="yHeading5"/>
        <w:outlineLvl w:val="9"/>
      </w:pPr>
      <w:bookmarkStart w:id="584" w:name="_Toc17002460"/>
      <w:bookmarkStart w:id="585" w:name="_Toc123645536"/>
      <w:bookmarkStart w:id="586" w:name="_Toc323713248"/>
      <w:bookmarkEnd w:id="582"/>
      <w:bookmarkEnd w:id="583"/>
      <w:r>
        <w:rPr>
          <w:rStyle w:val="CharSClsNo"/>
        </w:rPr>
        <w:t>6</w:t>
      </w:r>
      <w:r>
        <w:t>.</w:t>
      </w:r>
      <w:r>
        <w:tab/>
        <w:t>Saving</w:t>
      </w:r>
      <w:bookmarkEnd w:id="584"/>
      <w:bookmarkEnd w:id="585"/>
      <w:bookmarkEnd w:id="586"/>
      <w:r>
        <w:t xml:space="preserve"> </w:t>
      </w:r>
    </w:p>
    <w:p>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pPr>
        <w:pStyle w:val="yFootnotesection"/>
      </w:pPr>
      <w:bookmarkStart w:id="587" w:name="_Toc17002461"/>
      <w:bookmarkStart w:id="588" w:name="_Toc123645537"/>
      <w:r>
        <w:tab/>
        <w:t>[Clause 6 amended by No. 37 of 2011 s. 45.]</w:t>
      </w:r>
    </w:p>
    <w:p>
      <w:pPr>
        <w:pStyle w:val="yHeading5"/>
        <w:outlineLvl w:val="9"/>
      </w:pPr>
      <w:bookmarkStart w:id="589" w:name="_Toc323713249"/>
      <w:r>
        <w:rPr>
          <w:rStyle w:val="CharSClsNo"/>
        </w:rPr>
        <w:t>7</w:t>
      </w:r>
      <w:r>
        <w:t>.</w:t>
      </w:r>
      <w:r>
        <w:tab/>
        <w:t>Meetings</w:t>
      </w:r>
      <w:bookmarkEnd w:id="587"/>
      <w:bookmarkEnd w:id="588"/>
      <w:r>
        <w:t>, convening</w:t>
      </w:r>
      <w:bookmarkEnd w:id="589"/>
    </w:p>
    <w:p>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pPr>
        <w:pStyle w:val="yFootnotesection"/>
      </w:pPr>
      <w:bookmarkStart w:id="590" w:name="_Toc17002462"/>
      <w:bookmarkStart w:id="591" w:name="_Toc123645538"/>
      <w:r>
        <w:tab/>
        <w:t>[Clause 7 amended by No. 37 of 2011 s. 53(2).]</w:t>
      </w:r>
    </w:p>
    <w:p>
      <w:pPr>
        <w:pStyle w:val="yHeading5"/>
        <w:outlineLvl w:val="9"/>
      </w:pPr>
      <w:bookmarkStart w:id="592" w:name="_Toc323713250"/>
      <w:r>
        <w:rPr>
          <w:rStyle w:val="CharSClsNo"/>
        </w:rPr>
        <w:t>8</w:t>
      </w:r>
      <w:r>
        <w:t>.</w:t>
      </w:r>
      <w:r>
        <w:tab/>
        <w:t>Presiding officer</w:t>
      </w:r>
      <w:bookmarkEnd w:id="590"/>
      <w:bookmarkEnd w:id="591"/>
      <w:bookmarkEnd w:id="592"/>
      <w:r>
        <w:t xml:space="preserve"> </w:t>
      </w:r>
    </w:p>
    <w:p>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pPr>
        <w:pStyle w:val="ySubsection"/>
        <w:rPr>
          <w:snapToGrid w:val="0"/>
        </w:rPr>
      </w:pPr>
      <w:r>
        <w:rPr>
          <w:snapToGrid w:val="0"/>
        </w:rPr>
        <w:tab/>
        <w:t>(2)</w:t>
      </w:r>
      <w:r>
        <w:rPr>
          <w:snapToGrid w:val="0"/>
        </w:rPr>
        <w:tab/>
        <w:t>If the chairperson is absent from a meeting the members present are to appoint one of their number to preside.</w:t>
      </w:r>
    </w:p>
    <w:p>
      <w:pPr>
        <w:pStyle w:val="yFootnotesection"/>
      </w:pPr>
      <w:bookmarkStart w:id="593" w:name="_Toc17002463"/>
      <w:bookmarkStart w:id="594" w:name="_Toc123645539"/>
      <w:r>
        <w:tab/>
        <w:t>[Clause 8 amended by No. 37 of 2011 s. 53(2).]</w:t>
      </w:r>
    </w:p>
    <w:p>
      <w:pPr>
        <w:pStyle w:val="yHeading5"/>
        <w:outlineLvl w:val="9"/>
      </w:pPr>
      <w:bookmarkStart w:id="595" w:name="_Toc323713251"/>
      <w:r>
        <w:rPr>
          <w:rStyle w:val="CharSClsNo"/>
        </w:rPr>
        <w:t>9</w:t>
      </w:r>
      <w:r>
        <w:t>.</w:t>
      </w:r>
      <w:r>
        <w:tab/>
        <w:t>Quorum</w:t>
      </w:r>
      <w:bookmarkEnd w:id="593"/>
      <w:bookmarkEnd w:id="594"/>
      <w:bookmarkEnd w:id="595"/>
      <w:r>
        <w:t xml:space="preserve"> </w:t>
      </w:r>
    </w:p>
    <w:p>
      <w:pPr>
        <w:pStyle w:val="ySubsection"/>
        <w:rPr>
          <w:snapToGrid w:val="0"/>
        </w:rPr>
      </w:pPr>
      <w:r>
        <w:rPr>
          <w:snapToGrid w:val="0"/>
        </w:rPr>
        <w:tab/>
      </w:r>
      <w:r>
        <w:rPr>
          <w:snapToGrid w:val="0"/>
        </w:rPr>
        <w:tab/>
        <w:t xml:space="preserve">A quorum for a meeting of the </w:t>
      </w:r>
      <w:r>
        <w:t>Board is 5 members.</w:t>
      </w:r>
    </w:p>
    <w:p>
      <w:pPr>
        <w:pStyle w:val="yFootnotesection"/>
      </w:pPr>
      <w:bookmarkStart w:id="596" w:name="_Toc17002464"/>
      <w:bookmarkStart w:id="597" w:name="_Toc123645540"/>
      <w:r>
        <w:tab/>
        <w:t>[Clause 9 amended by No. 37 of 2011 s. 46.]</w:t>
      </w:r>
    </w:p>
    <w:p>
      <w:pPr>
        <w:pStyle w:val="yHeading5"/>
        <w:outlineLvl w:val="9"/>
      </w:pPr>
      <w:bookmarkStart w:id="598" w:name="_Toc323713252"/>
      <w:r>
        <w:rPr>
          <w:rStyle w:val="CharSClsNo"/>
        </w:rPr>
        <w:t>10</w:t>
      </w:r>
      <w:r>
        <w:t>.</w:t>
      </w:r>
      <w:r>
        <w:tab/>
        <w:t>Voting</w:t>
      </w:r>
      <w:bookmarkEnd w:id="596"/>
      <w:bookmarkEnd w:id="597"/>
      <w:bookmarkEnd w:id="598"/>
      <w:r>
        <w:t xml:space="preserve"> </w:t>
      </w:r>
    </w:p>
    <w:p>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pPr>
        <w:pStyle w:val="yFootnotesection"/>
      </w:pPr>
      <w:bookmarkStart w:id="599" w:name="_Toc17002465"/>
      <w:bookmarkStart w:id="600" w:name="_Toc123645541"/>
      <w:r>
        <w:tab/>
        <w:t>[Clause 10 amended by No. 37 of 2011 s. 47 and 53(2).]</w:t>
      </w:r>
    </w:p>
    <w:p>
      <w:pPr>
        <w:pStyle w:val="yHeading5"/>
        <w:outlineLvl w:val="9"/>
      </w:pPr>
      <w:bookmarkStart w:id="601" w:name="_Toc323713253"/>
      <w:r>
        <w:rPr>
          <w:rStyle w:val="CharSClsNo"/>
        </w:rPr>
        <w:t>11</w:t>
      </w:r>
      <w:r>
        <w:t>.</w:t>
      </w:r>
      <w:r>
        <w:tab/>
        <w:t>Minutes</w:t>
      </w:r>
      <w:bookmarkEnd w:id="599"/>
      <w:bookmarkEnd w:id="600"/>
      <w:bookmarkEnd w:id="601"/>
      <w:r>
        <w:t xml:space="preserve"> </w:t>
      </w:r>
    </w:p>
    <w:p>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pPr>
        <w:pStyle w:val="yFootnotesection"/>
      </w:pPr>
      <w:bookmarkStart w:id="602" w:name="_Toc17002466"/>
      <w:bookmarkStart w:id="603" w:name="_Toc123645542"/>
      <w:r>
        <w:tab/>
        <w:t>[Clause 11 amended by No. 37 of 2011 s. 53(2).]</w:t>
      </w:r>
    </w:p>
    <w:p>
      <w:pPr>
        <w:pStyle w:val="yHeading5"/>
        <w:outlineLvl w:val="9"/>
      </w:pPr>
      <w:bookmarkStart w:id="604" w:name="_Toc323713254"/>
      <w:r>
        <w:rPr>
          <w:rStyle w:val="CharSClsNo"/>
        </w:rPr>
        <w:t>12</w:t>
      </w:r>
      <w:r>
        <w:t>.</w:t>
      </w:r>
      <w:r>
        <w:tab/>
        <w:t>Resolution without meeting</w:t>
      </w:r>
      <w:bookmarkEnd w:id="602"/>
      <w:bookmarkEnd w:id="603"/>
      <w:bookmarkEnd w:id="604"/>
      <w:r>
        <w:t xml:space="preserve"> </w:t>
      </w:r>
    </w:p>
    <w:p>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pPr>
        <w:pStyle w:val="yFootnotesection"/>
      </w:pPr>
      <w:bookmarkStart w:id="605" w:name="_Toc17002467"/>
      <w:bookmarkStart w:id="606" w:name="_Toc123645543"/>
      <w:r>
        <w:tab/>
        <w:t>[Clause 12 amended by No. 37 of 2011 s. 53(2).]</w:t>
      </w:r>
    </w:p>
    <w:p>
      <w:pPr>
        <w:pStyle w:val="yHeading5"/>
        <w:outlineLvl w:val="9"/>
      </w:pPr>
      <w:bookmarkStart w:id="607" w:name="_Toc323713255"/>
      <w:r>
        <w:rPr>
          <w:rStyle w:val="CharSClsNo"/>
        </w:rPr>
        <w:t>13</w:t>
      </w:r>
      <w:r>
        <w:t>.</w:t>
      </w:r>
      <w:r>
        <w:tab/>
        <w:t>Telephone or video meetings</w:t>
      </w:r>
      <w:bookmarkEnd w:id="605"/>
      <w:bookmarkEnd w:id="606"/>
      <w:bookmarkEnd w:id="607"/>
      <w:r>
        <w:t xml:space="preserve"> </w:t>
      </w:r>
    </w:p>
    <w:p>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pPr>
        <w:pStyle w:val="yFootnotesection"/>
      </w:pPr>
      <w:bookmarkStart w:id="608" w:name="_Toc17002468"/>
      <w:bookmarkStart w:id="609" w:name="_Toc123645544"/>
      <w:r>
        <w:tab/>
        <w:t>[Clause 13 amended by No. 37 of 2011 s. 48.]</w:t>
      </w:r>
    </w:p>
    <w:p>
      <w:pPr>
        <w:pStyle w:val="yEdnotesection"/>
      </w:pPr>
      <w:r>
        <w:t>[</w:t>
      </w:r>
      <w:r>
        <w:rPr>
          <w:b/>
        </w:rPr>
        <w:t>14.</w:t>
      </w:r>
      <w:r>
        <w:tab/>
        <w:t>Deleted by No. 37 of 2011 s. 49.]</w:t>
      </w:r>
    </w:p>
    <w:p>
      <w:pPr>
        <w:pStyle w:val="yHeading5"/>
        <w:outlineLvl w:val="9"/>
      </w:pPr>
      <w:bookmarkStart w:id="610" w:name="_Toc17002469"/>
      <w:bookmarkStart w:id="611" w:name="_Toc123645545"/>
      <w:bookmarkStart w:id="612" w:name="_Toc323713256"/>
      <w:bookmarkEnd w:id="608"/>
      <w:bookmarkEnd w:id="609"/>
      <w:r>
        <w:rPr>
          <w:rStyle w:val="CharSClsNo"/>
        </w:rPr>
        <w:t>15</w:t>
      </w:r>
      <w:r>
        <w:t>.</w:t>
      </w:r>
      <w:r>
        <w:tab/>
        <w:t>Board to determine own procedures</w:t>
      </w:r>
      <w:bookmarkEnd w:id="610"/>
      <w:bookmarkEnd w:id="611"/>
      <w:bookmarkEnd w:id="612"/>
      <w:r>
        <w:t xml:space="preserve"> </w:t>
      </w:r>
    </w:p>
    <w:p>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pPr>
        <w:pStyle w:val="yFootnotesection"/>
      </w:pPr>
      <w:bookmarkStart w:id="613" w:name="_Toc17002470"/>
      <w:bookmarkStart w:id="614" w:name="_Toc123645546"/>
      <w:bookmarkStart w:id="615" w:name="_Toc123645647"/>
      <w:bookmarkStart w:id="616" w:name="_Toc124139516"/>
      <w:bookmarkStart w:id="617" w:name="_Toc157845895"/>
      <w:bookmarkStart w:id="618" w:name="_Toc161720602"/>
      <w:bookmarkStart w:id="619" w:name="_Toc161723054"/>
      <w:bookmarkStart w:id="620" w:name="_Toc163957022"/>
      <w:bookmarkStart w:id="621" w:name="_Toc163965012"/>
      <w:bookmarkStart w:id="622" w:name="_Toc165698454"/>
      <w:bookmarkStart w:id="623" w:name="_Toc232394830"/>
      <w:bookmarkStart w:id="624" w:name="_Toc268269162"/>
      <w:bookmarkStart w:id="625" w:name="_Toc272057733"/>
      <w:bookmarkStart w:id="626" w:name="_Toc274207178"/>
      <w:bookmarkStart w:id="627" w:name="_Toc278975313"/>
      <w:bookmarkStart w:id="628" w:name="_Toc303861498"/>
      <w:bookmarkStart w:id="629" w:name="_Toc303867377"/>
      <w:r>
        <w:tab/>
        <w:t>[Clause 15 amended by No. 37 of 2011 s. 53(2).]</w:t>
      </w:r>
    </w:p>
    <w:p>
      <w:pPr>
        <w:pStyle w:val="yHeading3"/>
      </w:pPr>
      <w:bookmarkStart w:id="630" w:name="_Toc318121453"/>
      <w:bookmarkStart w:id="631" w:name="_Toc318121703"/>
      <w:bookmarkStart w:id="632" w:name="_Toc318122531"/>
      <w:bookmarkStart w:id="633" w:name="_Toc318181707"/>
      <w:bookmarkStart w:id="634" w:name="_Toc318181812"/>
      <w:bookmarkStart w:id="635" w:name="_Toc318201667"/>
      <w:bookmarkStart w:id="636" w:name="_Toc320283300"/>
      <w:bookmarkStart w:id="637" w:name="_Toc320516450"/>
      <w:bookmarkStart w:id="638" w:name="_Toc321898623"/>
      <w:bookmarkStart w:id="639" w:name="_Toc323638372"/>
      <w:bookmarkStart w:id="640" w:name="_Toc323640332"/>
      <w:bookmarkStart w:id="641" w:name="_Toc323713257"/>
      <w:r>
        <w:rPr>
          <w:rStyle w:val="CharSDivNo"/>
        </w:rPr>
        <w:t>Division 2</w:t>
      </w:r>
      <w:r>
        <w:t> — </w:t>
      </w:r>
      <w:r>
        <w:rPr>
          <w:rStyle w:val="CharSDivText"/>
        </w:rPr>
        <w:t>Disclosure of interests, etc.</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Heading5"/>
        <w:outlineLvl w:val="9"/>
      </w:pPr>
      <w:bookmarkStart w:id="642" w:name="_Toc17002471"/>
      <w:bookmarkStart w:id="643" w:name="_Toc123645547"/>
      <w:bookmarkStart w:id="644" w:name="_Toc323713258"/>
      <w:r>
        <w:rPr>
          <w:rStyle w:val="CharSClsNo"/>
        </w:rPr>
        <w:t>16</w:t>
      </w:r>
      <w:r>
        <w:t>.</w:t>
      </w:r>
      <w:r>
        <w:tab/>
      </w:r>
      <w:bookmarkEnd w:id="642"/>
      <w:bookmarkEnd w:id="643"/>
      <w:r>
        <w:t>Material personal interests to be disclosed</w:t>
      </w:r>
      <w:bookmarkEnd w:id="644"/>
    </w:p>
    <w:p>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pPr>
        <w:pStyle w:val="yPenstart"/>
      </w:pPr>
      <w:r>
        <w:tab/>
        <w:t xml:space="preserve">Penalty: </w:t>
      </w:r>
      <w:r>
        <w:rPr>
          <w:szCs w:val="22"/>
        </w:rPr>
        <w:t>a fine of $10 000.</w:t>
      </w:r>
    </w:p>
    <w:p>
      <w:pPr>
        <w:pStyle w:val="ySubsection"/>
        <w:rPr>
          <w:snapToGrid w:val="0"/>
        </w:rPr>
      </w:pPr>
      <w:r>
        <w:rPr>
          <w:snapToGrid w:val="0"/>
        </w:rPr>
        <w:tab/>
        <w:t>(2)</w:t>
      </w:r>
      <w:r>
        <w:rPr>
          <w:snapToGrid w:val="0"/>
        </w:rPr>
        <w:tab/>
        <w:t>A disclosure under subclause (1) is to be recorded in the minutes of the meeting.</w:t>
      </w:r>
    </w:p>
    <w:p>
      <w:pPr>
        <w:pStyle w:val="yFootnotesection"/>
      </w:pPr>
      <w:bookmarkStart w:id="645" w:name="_Toc17002472"/>
      <w:r>
        <w:tab/>
        <w:t>[Clause 16 amended by No. 50 of 2003 s. 53(2); No. 37 of 2011 s. 50.]</w:t>
      </w:r>
    </w:p>
    <w:p>
      <w:pPr>
        <w:pStyle w:val="yHeading5"/>
        <w:outlineLvl w:val="9"/>
      </w:pPr>
      <w:bookmarkStart w:id="646" w:name="_Toc123645548"/>
      <w:bookmarkStart w:id="647" w:name="_Toc323713259"/>
      <w:r>
        <w:rPr>
          <w:rStyle w:val="CharSClsNo"/>
        </w:rPr>
        <w:t>17</w:t>
      </w:r>
      <w:r>
        <w:t>.</w:t>
      </w:r>
      <w:r>
        <w:tab/>
      </w:r>
      <w:bookmarkEnd w:id="645"/>
      <w:bookmarkEnd w:id="646"/>
      <w:r>
        <w:t>Member with material personal interest not to vote etc.</w:t>
      </w:r>
      <w:bookmarkEnd w:id="647"/>
    </w:p>
    <w:p>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Footnotesection"/>
      </w:pPr>
      <w:bookmarkStart w:id="648" w:name="_Toc17002473"/>
      <w:bookmarkStart w:id="649" w:name="_Toc123645549"/>
      <w:r>
        <w:tab/>
        <w:t>[Clause 17 amended by No. 37 of 2011 s. 51.]</w:t>
      </w:r>
    </w:p>
    <w:p>
      <w:pPr>
        <w:pStyle w:val="yHeading5"/>
        <w:outlineLvl w:val="9"/>
      </w:pPr>
      <w:bookmarkStart w:id="650" w:name="_Toc323713260"/>
      <w:r>
        <w:rPr>
          <w:rStyle w:val="CharSClsNo"/>
        </w:rPr>
        <w:t>18</w:t>
      </w:r>
      <w:r>
        <w:t>.</w:t>
      </w:r>
      <w:r>
        <w:tab/>
        <w:t>Board may disapply cl. 17</w:t>
      </w:r>
      <w:bookmarkEnd w:id="648"/>
      <w:bookmarkEnd w:id="649"/>
      <w:bookmarkEnd w:id="650"/>
      <w:r>
        <w:t xml:space="preserve"> </w:t>
      </w:r>
    </w:p>
    <w:p>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Footnotesection"/>
      </w:pPr>
      <w:bookmarkStart w:id="651" w:name="_Toc17002474"/>
      <w:bookmarkStart w:id="652" w:name="_Toc123645550"/>
      <w:r>
        <w:tab/>
        <w:t>[Clause 18 amended by No. 37 of 2011 s. 53(2).]</w:t>
      </w:r>
    </w:p>
    <w:p>
      <w:pPr>
        <w:pStyle w:val="yHeading5"/>
        <w:outlineLvl w:val="9"/>
      </w:pPr>
      <w:bookmarkStart w:id="653" w:name="_Toc323713261"/>
      <w:r>
        <w:rPr>
          <w:rStyle w:val="CharSClsNo"/>
        </w:rPr>
        <w:t>19</w:t>
      </w:r>
      <w:r>
        <w:t>.</w:t>
      </w:r>
      <w:r>
        <w:tab/>
        <w:t>Quorum where cl. 17 applies</w:t>
      </w:r>
      <w:bookmarkEnd w:id="651"/>
      <w:bookmarkEnd w:id="652"/>
      <w:bookmarkEnd w:id="653"/>
      <w:r>
        <w:t xml:space="preserve"> </w:t>
      </w:r>
    </w:p>
    <w:p>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pPr>
        <w:pStyle w:val="yFootnotesection"/>
      </w:pPr>
      <w:bookmarkStart w:id="654" w:name="_Toc17002475"/>
      <w:bookmarkStart w:id="655" w:name="_Toc123645551"/>
      <w:r>
        <w:tab/>
        <w:t>[Clause 19 amended by No. 37 of 2011 s. 52 and 53(2).]</w:t>
      </w:r>
    </w:p>
    <w:p>
      <w:pPr>
        <w:pStyle w:val="yHeading5"/>
        <w:outlineLvl w:val="9"/>
      </w:pPr>
      <w:bookmarkStart w:id="656" w:name="_Toc323713262"/>
      <w:r>
        <w:rPr>
          <w:rStyle w:val="CharSClsNo"/>
        </w:rPr>
        <w:t>20</w:t>
      </w:r>
      <w:r>
        <w:t>.</w:t>
      </w:r>
      <w:r>
        <w:tab/>
        <w:t>Minister may declare cl. 17 and 19 inapplicable</w:t>
      </w:r>
      <w:bookmarkEnd w:id="654"/>
      <w:bookmarkEnd w:id="655"/>
      <w:bookmarkEnd w:id="656"/>
      <w:r>
        <w:t xml:space="preserve"> </w:t>
      </w:r>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Ednoteschedule"/>
      </w:pPr>
      <w:bookmarkStart w:id="657" w:name="_Toc17002476"/>
      <w:bookmarkStart w:id="658" w:name="_Toc123645552"/>
      <w:bookmarkStart w:id="659" w:name="_Toc123645653"/>
      <w:bookmarkStart w:id="660" w:name="_Toc124139522"/>
      <w:bookmarkStart w:id="661" w:name="_Toc157845901"/>
      <w:bookmarkStart w:id="662" w:name="_Toc161720608"/>
      <w:bookmarkStart w:id="663" w:name="_Toc161723060"/>
      <w:bookmarkStart w:id="664" w:name="_Toc163957028"/>
      <w:bookmarkStart w:id="665" w:name="_Toc163965018"/>
      <w:bookmarkStart w:id="666" w:name="_Toc165698460"/>
      <w:bookmarkStart w:id="667" w:name="_Toc232394836"/>
      <w:bookmarkStart w:id="668" w:name="_Toc268269168"/>
      <w:bookmarkStart w:id="669" w:name="_Toc272057739"/>
      <w:bookmarkStart w:id="670" w:name="_Toc274207184"/>
      <w:bookmarkStart w:id="671" w:name="_Toc278975319"/>
      <w:bookmarkStart w:id="672" w:name="_Toc303861504"/>
      <w:bookmarkStart w:id="673" w:name="_Toc303867383"/>
      <w:r>
        <w:t>[Schedules 2 and 3 deleted by No. 37 of 2011 s. 54.]</w:t>
      </w:r>
    </w:p>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Pr>
        <w:pStyle w:val="CentredBaseLine"/>
        <w:jc w:val="center"/>
      </w:pPr>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674" w:name="_Toc72573593"/>
      <w:bookmarkStart w:id="675" w:name="_Toc120341452"/>
      <w:bookmarkStart w:id="676" w:name="_Toc120355825"/>
      <w:bookmarkStart w:id="677" w:name="_Toc123645569"/>
      <w:bookmarkStart w:id="678" w:name="_Toc123645670"/>
      <w:bookmarkStart w:id="679" w:name="_Toc124139539"/>
      <w:bookmarkStart w:id="680" w:name="_Toc157845918"/>
      <w:bookmarkStart w:id="681" w:name="_Toc161720625"/>
      <w:bookmarkStart w:id="682" w:name="_Toc161723077"/>
      <w:bookmarkStart w:id="683" w:name="_Toc163957045"/>
      <w:bookmarkStart w:id="684" w:name="_Toc163965035"/>
      <w:bookmarkStart w:id="685" w:name="_Toc165698477"/>
      <w:bookmarkStart w:id="686" w:name="_Toc232394853"/>
      <w:bookmarkStart w:id="687" w:name="_Toc268269185"/>
      <w:bookmarkStart w:id="688" w:name="_Toc272057756"/>
      <w:bookmarkStart w:id="689" w:name="_Toc274207201"/>
      <w:bookmarkStart w:id="690" w:name="_Toc278975336"/>
      <w:bookmarkStart w:id="691" w:name="_Toc303861521"/>
      <w:bookmarkStart w:id="692" w:name="_Toc303867400"/>
      <w:bookmarkStart w:id="693" w:name="_Toc318121459"/>
      <w:bookmarkStart w:id="694" w:name="_Toc318121709"/>
      <w:bookmarkStart w:id="695" w:name="_Toc318122537"/>
      <w:bookmarkStart w:id="696" w:name="_Toc318181713"/>
      <w:bookmarkStart w:id="697" w:name="_Toc318181818"/>
      <w:bookmarkStart w:id="698" w:name="_Toc318201673"/>
      <w:bookmarkStart w:id="699" w:name="_Toc320283306"/>
      <w:bookmarkStart w:id="700" w:name="_Toc320516456"/>
      <w:bookmarkStart w:id="701" w:name="_Toc321898629"/>
      <w:bookmarkStart w:id="702" w:name="_Toc323638378"/>
      <w:bookmarkStart w:id="703" w:name="_Toc323640338"/>
      <w:bookmarkStart w:id="704" w:name="_Toc323713263"/>
      <w:r>
        <w:t>Notes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Subsection"/>
        <w:rPr>
          <w:snapToGrid w:val="0"/>
        </w:rPr>
      </w:pPr>
      <w:r>
        <w:rPr>
          <w:snapToGrid w:val="0"/>
          <w:vertAlign w:val="superscript"/>
        </w:rPr>
        <w:t>1</w:t>
      </w:r>
      <w:r>
        <w:rPr>
          <w:snapToGrid w:val="0"/>
        </w:rPr>
        <w:tab/>
        <w:t xml:space="preserve">This reprint is a compilation as at 27 April 2012 of the </w:t>
      </w:r>
      <w:r>
        <w:rPr>
          <w:i/>
          <w:noProof/>
          <w:snapToGrid w:val="0"/>
        </w:rPr>
        <w:t>School Curriculum and Standards Authority Act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05" w:name="_Toc323713264"/>
      <w:r>
        <w:rPr>
          <w:snapToGrid w:val="0"/>
        </w:rPr>
        <w:t>Compilation table</w:t>
      </w:r>
      <w:bookmarkEnd w:id="7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Curriculum Council Act 1997 </w:t>
            </w:r>
            <w:r>
              <w:rPr>
                <w:sz w:val="19"/>
                <w:vertAlign w:val="superscript"/>
              </w:rPr>
              <w:t>2</w:t>
            </w:r>
          </w:p>
        </w:tc>
        <w:tc>
          <w:tcPr>
            <w:tcW w:w="1134" w:type="dxa"/>
          </w:tcPr>
          <w:p>
            <w:pPr>
              <w:pStyle w:val="nTable"/>
              <w:spacing w:after="40"/>
              <w:rPr>
                <w:sz w:val="19"/>
              </w:rPr>
            </w:pPr>
            <w:r>
              <w:rPr>
                <w:sz w:val="19"/>
              </w:rPr>
              <w:t>17 of 1997</w:t>
            </w:r>
          </w:p>
        </w:tc>
        <w:tc>
          <w:tcPr>
            <w:tcW w:w="1136" w:type="dxa"/>
          </w:tcPr>
          <w:p>
            <w:pPr>
              <w:pStyle w:val="nTable"/>
              <w:spacing w:after="40"/>
              <w:rPr>
                <w:sz w:val="19"/>
              </w:rPr>
            </w:pPr>
            <w:r>
              <w:rPr>
                <w:sz w:val="19"/>
              </w:rPr>
              <w:t>8 Jul 1997</w:t>
            </w:r>
          </w:p>
        </w:tc>
        <w:tc>
          <w:tcPr>
            <w:tcW w:w="2551" w:type="dxa"/>
          </w:tcPr>
          <w:p>
            <w:pPr>
              <w:pStyle w:val="nTable"/>
              <w:spacing w:after="40"/>
              <w:rPr>
                <w:sz w:val="19"/>
              </w:rPr>
            </w:pPr>
            <w:r>
              <w:rPr>
                <w:sz w:val="19"/>
              </w:rPr>
              <w:t>s. 1 and 2: 8 Jul 1997;</w:t>
            </w:r>
            <w:r>
              <w:rPr>
                <w:sz w:val="19"/>
              </w:rPr>
              <w:br/>
              <w:t xml:space="preserve">Act other than s. 1 and 2: 1 Aug 1997 (see s. 2 and </w:t>
            </w:r>
            <w:r>
              <w:rPr>
                <w:i/>
                <w:sz w:val="19"/>
              </w:rPr>
              <w:t>Gazette</w:t>
            </w:r>
            <w:r>
              <w:rPr>
                <w:sz w:val="19"/>
              </w:rPr>
              <w:t xml:space="preserve"> 25 Jul 1997 p. 3907)</w:t>
            </w:r>
          </w:p>
        </w:tc>
      </w:tr>
      <w:t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6" w:type="dxa"/>
          </w:tcPr>
          <w:p>
            <w:pPr>
              <w:pStyle w:val="nTable"/>
              <w:spacing w:after="40"/>
              <w:rPr>
                <w:sz w:val="19"/>
              </w:rPr>
            </w:pPr>
            <w:r>
              <w:rPr>
                <w:sz w:val="19"/>
              </w:rPr>
              <w:t>8 Jul 2002</w:t>
            </w:r>
          </w:p>
        </w:tc>
        <w:tc>
          <w:tcPr>
            <w:tcW w:w="2551"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Curriculum Council Act 1997</w:t>
            </w:r>
            <w:r>
              <w:rPr>
                <w:b/>
                <w:sz w:val="19"/>
              </w:rPr>
              <w:t xml:space="preserve"> as at 11 Apr 2003</w:t>
            </w:r>
            <w:r>
              <w:rPr>
                <w:sz w:val="19"/>
              </w:rPr>
              <w:t xml:space="preserve"> (includes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53</w:t>
            </w:r>
          </w:p>
        </w:tc>
        <w:tc>
          <w:tcPr>
            <w:tcW w:w="1134"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8"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1" w:type="dxa"/>
          </w:tcPr>
          <w:p>
            <w:pPr>
              <w:pStyle w:val="nTable"/>
              <w:spacing w:after="40"/>
              <w:rPr>
                <w:sz w:val="19"/>
              </w:rPr>
            </w:pPr>
            <w:r>
              <w:rPr>
                <w:spacing w:val="-2"/>
                <w:sz w:val="19"/>
              </w:rPr>
              <w:t>15 Sep 2003 (see r. 2)</w:t>
            </w:r>
          </w:p>
        </w:tc>
      </w:tr>
      <w:tr>
        <w:tc>
          <w:tcPr>
            <w:tcW w:w="2268" w:type="dxa"/>
          </w:tcPr>
          <w:p>
            <w:pPr>
              <w:pStyle w:val="nTable"/>
              <w:spacing w:after="40"/>
              <w:rPr>
                <w:i/>
                <w:sz w:val="19"/>
              </w:rPr>
            </w:pPr>
            <w:r>
              <w:rPr>
                <w:i/>
                <w:iCs/>
                <w:snapToGrid w:val="0"/>
                <w:sz w:val="19"/>
                <w:lang w:val="en-US"/>
              </w:rPr>
              <w:t>Acts Amendment (Higher School Leaving Age and Related Provisions) Act 2005</w:t>
            </w:r>
            <w:r>
              <w:rPr>
                <w:snapToGrid w:val="0"/>
                <w:sz w:val="19"/>
                <w:lang w:val="en-US"/>
              </w:rPr>
              <w:t xml:space="preserve"> Pt. 3</w:t>
            </w:r>
          </w:p>
        </w:tc>
        <w:tc>
          <w:tcPr>
            <w:tcW w:w="1134" w:type="dxa"/>
          </w:tcPr>
          <w:p>
            <w:pPr>
              <w:pStyle w:val="nTable"/>
              <w:spacing w:after="40"/>
              <w:rPr>
                <w:sz w:val="19"/>
              </w:rPr>
            </w:pPr>
            <w:r>
              <w:rPr>
                <w:snapToGrid w:val="0"/>
                <w:sz w:val="19"/>
                <w:lang w:val="en-US"/>
              </w:rPr>
              <w:t>22 of 2005</w:t>
            </w:r>
          </w:p>
        </w:tc>
        <w:tc>
          <w:tcPr>
            <w:tcW w:w="1136" w:type="dxa"/>
          </w:tcPr>
          <w:p>
            <w:pPr>
              <w:pStyle w:val="nTable"/>
              <w:spacing w:after="40"/>
              <w:rPr>
                <w:sz w:val="19"/>
              </w:rPr>
            </w:pPr>
            <w:r>
              <w:rPr>
                <w:sz w:val="19"/>
              </w:rPr>
              <w:t>18 Nov 2005</w:t>
            </w:r>
          </w:p>
        </w:tc>
        <w:tc>
          <w:tcPr>
            <w:tcW w:w="2551" w:type="dxa"/>
          </w:tcPr>
          <w:p>
            <w:pPr>
              <w:pStyle w:val="nTable"/>
              <w:spacing w:after="40"/>
              <w:rPr>
                <w:sz w:val="19"/>
              </w:rPr>
            </w:pPr>
            <w:r>
              <w:rPr>
                <w:snapToGrid w:val="0"/>
                <w:sz w:val="19"/>
                <w:lang w:val="en-US"/>
              </w:rPr>
              <w:t>1 Jan 2006 (see s. 2(3))</w:t>
            </w:r>
          </w:p>
        </w:tc>
      </w:tr>
      <w:tr>
        <w:tc>
          <w:tcPr>
            <w:tcW w:w="2268" w:type="dxa"/>
          </w:tcPr>
          <w:p>
            <w:pPr>
              <w:pStyle w:val="nTable"/>
              <w:spacing w:after="40"/>
              <w:rPr>
                <w:i/>
                <w:sz w:val="19"/>
              </w:rPr>
            </w:pPr>
            <w:r>
              <w:rPr>
                <w:i/>
                <w:snapToGrid w:val="0"/>
                <w:sz w:val="19"/>
                <w:lang w:val="en-US"/>
              </w:rPr>
              <w:t xml:space="preserve">Financial Legislation Amendment and Repeal Act 2006 </w:t>
            </w:r>
            <w:r>
              <w:rPr>
                <w:iCs/>
                <w:snapToGrid w:val="0"/>
                <w:sz w:val="19"/>
                <w:lang w:val="en-US"/>
              </w:rPr>
              <w:t>s. 4, 5(1) and Sch. 1 cl. 41</w:t>
            </w:r>
          </w:p>
        </w:tc>
        <w:tc>
          <w:tcPr>
            <w:tcW w:w="1134" w:type="dxa"/>
          </w:tcPr>
          <w:p>
            <w:pPr>
              <w:pStyle w:val="nTable"/>
              <w:spacing w:after="40"/>
              <w:rPr>
                <w:sz w:val="19"/>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z w:val="19"/>
              </w:rPr>
              <w:t xml:space="preserve">Reprint 2: The </w:t>
            </w:r>
            <w:r>
              <w:rPr>
                <w:b/>
                <w:i/>
                <w:sz w:val="19"/>
              </w:rPr>
              <w:t>Curriculum Council Act 1997</w:t>
            </w:r>
            <w:r>
              <w:rPr>
                <w:b/>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Training Legislation Amendment and Repeal Act 2008</w:t>
            </w:r>
            <w:r>
              <w:rPr>
                <w:iCs/>
                <w:sz w:val="19"/>
              </w:rPr>
              <w:t xml:space="preserve"> s. 52</w:t>
            </w:r>
          </w:p>
        </w:tc>
        <w:tc>
          <w:tcPr>
            <w:tcW w:w="1134" w:type="dxa"/>
          </w:tcPr>
          <w:p>
            <w:pPr>
              <w:pStyle w:val="nTable"/>
              <w:spacing w:after="40"/>
              <w:rPr>
                <w:sz w:val="19"/>
              </w:rPr>
            </w:pPr>
            <w:r>
              <w:rPr>
                <w:sz w:val="19"/>
              </w:rPr>
              <w:t>44 of 2008</w:t>
            </w:r>
          </w:p>
        </w:tc>
        <w:tc>
          <w:tcPr>
            <w:tcW w:w="1136"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45</w:t>
            </w:r>
          </w:p>
        </w:tc>
        <w:tc>
          <w:tcPr>
            <w:tcW w:w="1134"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shd w:val="clear" w:color="auto" w:fill="auto"/>
          </w:tcPr>
          <w:p>
            <w:pPr>
              <w:pStyle w:val="nTable"/>
              <w:spacing w:after="40"/>
              <w:ind w:right="113"/>
              <w:rPr>
                <w:i/>
                <w:iCs/>
                <w:snapToGrid w:val="0"/>
                <w:sz w:val="19"/>
                <w:lang w:val="en-US"/>
              </w:rPr>
            </w:pPr>
            <w:r>
              <w:rPr>
                <w:i/>
                <w:snapToGrid w:val="0"/>
                <w:sz w:val="19"/>
                <w:szCs w:val="19"/>
              </w:rPr>
              <w:t>Curriculum Council Amendment Act 2011</w:t>
            </w:r>
            <w:r>
              <w:rPr>
                <w:i/>
                <w:snapToGrid w:val="0"/>
                <w:sz w:val="19"/>
                <w:lang w:val="en-US"/>
              </w:rPr>
              <w:t xml:space="preserve"> </w:t>
            </w:r>
            <w:r>
              <w:rPr>
                <w:snapToGrid w:val="0"/>
                <w:sz w:val="19"/>
                <w:lang w:val="en-US"/>
              </w:rPr>
              <w:t>Pt. 2</w:t>
            </w:r>
          </w:p>
        </w:tc>
        <w:tc>
          <w:tcPr>
            <w:tcW w:w="1134" w:type="dxa"/>
            <w:shd w:val="clear" w:color="auto" w:fill="auto"/>
          </w:tcPr>
          <w:p>
            <w:pPr>
              <w:pStyle w:val="nTable"/>
              <w:spacing w:after="40"/>
              <w:rPr>
                <w:snapToGrid w:val="0"/>
                <w:sz w:val="19"/>
                <w:lang w:val="en-US"/>
              </w:rPr>
            </w:pPr>
            <w:r>
              <w:rPr>
                <w:snapToGrid w:val="0"/>
                <w:sz w:val="19"/>
                <w:lang w:val="en-US"/>
              </w:rPr>
              <w:t>37 of 2011</w:t>
            </w:r>
          </w:p>
        </w:tc>
        <w:tc>
          <w:tcPr>
            <w:tcW w:w="1136" w:type="dxa"/>
            <w:shd w:val="clear" w:color="auto" w:fill="auto"/>
          </w:tcPr>
          <w:p>
            <w:pPr>
              <w:pStyle w:val="nTable"/>
              <w:spacing w:after="40"/>
              <w:rPr>
                <w:snapToGrid w:val="0"/>
                <w:sz w:val="19"/>
                <w:lang w:val="en-US"/>
              </w:rPr>
            </w:pPr>
            <w:r>
              <w:rPr>
                <w:sz w:val="19"/>
              </w:rPr>
              <w:t>13 Sep 2011</w:t>
            </w:r>
          </w:p>
        </w:tc>
        <w:tc>
          <w:tcPr>
            <w:tcW w:w="2551" w:type="dxa"/>
            <w:shd w:val="clear" w:color="auto" w:fill="auto"/>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7089" w:type="dxa"/>
            <w:gridSpan w:val="4"/>
            <w:tcBorders>
              <w:bottom w:val="single" w:sz="8" w:space="0" w:color="auto"/>
            </w:tcBorders>
            <w:shd w:val="clear" w:color="auto" w:fill="auto"/>
          </w:tcPr>
          <w:p>
            <w:pPr>
              <w:pStyle w:val="nTable"/>
              <w:spacing w:after="40"/>
              <w:rPr>
                <w:snapToGrid w:val="0"/>
                <w:sz w:val="19"/>
                <w:lang w:val="en-US"/>
              </w:rPr>
            </w:pPr>
            <w:r>
              <w:rPr>
                <w:b/>
                <w:sz w:val="19"/>
              </w:rPr>
              <w:t xml:space="preserve">Reprint 3: </w:t>
            </w:r>
            <w:r>
              <w:rPr>
                <w:b/>
                <w:sz w:val="19"/>
                <w:szCs w:val="19"/>
              </w:rPr>
              <w:t xml:space="preserve">The </w:t>
            </w:r>
            <w:r>
              <w:rPr>
                <w:b/>
                <w:i/>
                <w:iCs/>
                <w:sz w:val="19"/>
                <w:szCs w:val="19"/>
              </w:rPr>
              <w:t>School Curriculum and Standards Authority Act 1997</w:t>
            </w:r>
            <w:r>
              <w:rPr>
                <w:b/>
                <w:sz w:val="19"/>
                <w:szCs w:val="19"/>
              </w:rPr>
              <w:t xml:space="preserve"> as at 27 Apr 2012</w:t>
            </w:r>
            <w:r>
              <w:rPr>
                <w:sz w:val="19"/>
                <w:szCs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rPr>
          <w:sz w:val="28"/>
        </w:rPr>
      </w:pPr>
      <w:bookmarkStart w:id="706" w:name="_Toc320516458"/>
      <w:bookmarkStart w:id="707" w:name="_Toc321898631"/>
      <w:bookmarkStart w:id="708" w:name="_Toc323638380"/>
      <w:bookmarkStart w:id="709" w:name="_Toc323640340"/>
      <w:bookmarkStart w:id="710" w:name="_Toc323713265"/>
      <w:r>
        <w:rPr>
          <w:sz w:val="28"/>
        </w:rPr>
        <w:t>Defined Terms</w:t>
      </w:r>
      <w:bookmarkEnd w:id="706"/>
      <w:bookmarkEnd w:id="707"/>
      <w:bookmarkEnd w:id="708"/>
      <w:bookmarkEnd w:id="709"/>
      <w:bookmarkEnd w:id="71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1" w:name="DefinedTerms"/>
      <w:bookmarkEnd w:id="711"/>
      <w:r>
        <w:t>advisory committee</w:t>
      </w:r>
      <w:r>
        <w:tab/>
        <w:t>3</w:t>
      </w:r>
    </w:p>
    <w:p>
      <w:pPr>
        <w:pStyle w:val="DefinedTerms"/>
      </w:pPr>
      <w:r>
        <w:t>aggregated form</w:t>
      </w:r>
      <w:r>
        <w:tab/>
        <w:t>12(1), 19A(1)</w:t>
      </w:r>
    </w:p>
    <w:p>
      <w:pPr>
        <w:pStyle w:val="DefinedTerms"/>
      </w:pPr>
      <w:r>
        <w:t>allowed information</w:t>
      </w:r>
      <w:r>
        <w:tab/>
        <w:t>19M(1)</w:t>
      </w:r>
    </w:p>
    <w:p>
      <w:pPr>
        <w:pStyle w:val="DefinedTerms"/>
      </w:pPr>
      <w:r>
        <w:t>apprentice</w:t>
      </w:r>
      <w:r>
        <w:tab/>
        <w:t>19F(1)</w:t>
      </w:r>
    </w:p>
    <w:p>
      <w:pPr>
        <w:pStyle w:val="DefinedTerms"/>
      </w:pPr>
      <w:r>
        <w:t>assessment</w:t>
      </w:r>
      <w:r>
        <w:tab/>
        <w:t>3</w:t>
      </w:r>
    </w:p>
    <w:p>
      <w:pPr>
        <w:pStyle w:val="DefinedTerms"/>
      </w:pPr>
      <w:r>
        <w:t>assets</w:t>
      </w:r>
      <w:r>
        <w:tab/>
        <w:t>37</w:t>
      </w:r>
    </w:p>
    <w:p>
      <w:pPr>
        <w:pStyle w:val="DefinedTerms"/>
      </w:pPr>
      <w:r>
        <w:t>Authority</w:t>
      </w:r>
      <w:r>
        <w:tab/>
        <w:t>3</w:t>
      </w:r>
    </w:p>
    <w:p>
      <w:pPr>
        <w:pStyle w:val="DefinedTerms"/>
      </w:pPr>
      <w:r>
        <w:t>Board</w:t>
      </w:r>
      <w:r>
        <w:tab/>
        <w:t>3, 6(1)</w:t>
      </w:r>
    </w:p>
    <w:p>
      <w:pPr>
        <w:pStyle w:val="DefinedTerms"/>
      </w:pPr>
      <w:r>
        <w:t>candidates</w:t>
      </w:r>
      <w:r>
        <w:tab/>
        <w:t>33(2)(b)(iv)</w:t>
      </w:r>
    </w:p>
    <w:p>
      <w:pPr>
        <w:pStyle w:val="DefinedTerms"/>
      </w:pPr>
      <w:r>
        <w:t>chairperson</w:t>
      </w:r>
      <w:r>
        <w:tab/>
        <w:t>3</w:t>
      </w:r>
    </w:p>
    <w:p>
      <w:pPr>
        <w:pStyle w:val="DefinedTerms"/>
      </w:pPr>
      <w:r>
        <w:t>chief executive officer</w:t>
      </w:r>
      <w:r>
        <w:tab/>
        <w:t>3</w:t>
      </w:r>
    </w:p>
    <w:p>
      <w:pPr>
        <w:pStyle w:val="DefinedTerms"/>
      </w:pPr>
      <w:r>
        <w:t>commencement day</w:t>
      </w:r>
      <w:r>
        <w:tab/>
        <w:t>37</w:t>
      </w:r>
    </w:p>
    <w:p>
      <w:pPr>
        <w:pStyle w:val="DefinedTerms"/>
      </w:pPr>
      <w:r>
        <w:t>committee</w:t>
      </w:r>
      <w:r>
        <w:tab/>
        <w:t>3</w:t>
      </w:r>
    </w:p>
    <w:p>
      <w:pPr>
        <w:pStyle w:val="DefinedTerms"/>
      </w:pPr>
      <w:r>
        <w:t>community kindergarten</w:t>
      </w:r>
      <w:r>
        <w:tab/>
        <w:t>3</w:t>
      </w:r>
    </w:p>
    <w:p>
      <w:pPr>
        <w:pStyle w:val="DefinedTerms"/>
      </w:pPr>
      <w:r>
        <w:t>compulsory education period</w:t>
      </w:r>
      <w:r>
        <w:tab/>
        <w:t>3</w:t>
      </w:r>
    </w:p>
    <w:p>
      <w:pPr>
        <w:pStyle w:val="DefinedTerms"/>
      </w:pPr>
      <w:r>
        <w:t>Council</w:t>
      </w:r>
      <w:r>
        <w:tab/>
        <w:t>37</w:t>
      </w:r>
    </w:p>
    <w:p>
      <w:pPr>
        <w:pStyle w:val="DefinedTerms"/>
      </w:pPr>
      <w:r>
        <w:t>course</w:t>
      </w:r>
      <w:r>
        <w:tab/>
        <w:t>3</w:t>
      </w:r>
    </w:p>
    <w:p>
      <w:pPr>
        <w:pStyle w:val="DefinedTerms"/>
      </w:pPr>
      <w:r>
        <w:t>Curriculum and Assessment Committee</w:t>
      </w:r>
      <w:r>
        <w:tab/>
        <w:t>3</w:t>
      </w:r>
    </w:p>
    <w:p>
      <w:pPr>
        <w:pStyle w:val="DefinedTerms"/>
      </w:pPr>
      <w:r>
        <w:t>document</w:t>
      </w:r>
      <w:r>
        <w:tab/>
        <w:t>19(4)</w:t>
      </w:r>
    </w:p>
    <w:p>
      <w:pPr>
        <w:pStyle w:val="DefinedTerms"/>
      </w:pPr>
      <w:r>
        <w:t>draft report</w:t>
      </w:r>
      <w:r>
        <w:tab/>
        <w:t>11(2), 12(1)</w:t>
      </w:r>
    </w:p>
    <w:p>
      <w:pPr>
        <w:pStyle w:val="DefinedTerms"/>
      </w:pPr>
      <w:r>
        <w:t>Education Department</w:t>
      </w:r>
      <w:r>
        <w:tab/>
        <w:t>3</w:t>
      </w:r>
    </w:p>
    <w:p>
      <w:pPr>
        <w:pStyle w:val="DefinedTerms"/>
      </w:pPr>
      <w:r>
        <w:t>education provider</w:t>
      </w:r>
      <w:r>
        <w:tab/>
        <w:t>3</w:t>
      </w:r>
    </w:p>
    <w:p>
      <w:pPr>
        <w:pStyle w:val="DefinedTerms"/>
      </w:pPr>
      <w:r>
        <w:t>educational programme</w:t>
      </w:r>
      <w:r>
        <w:tab/>
        <w:t>19A(1)</w:t>
      </w:r>
    </w:p>
    <w:p>
      <w:pPr>
        <w:pStyle w:val="DefinedTerms"/>
      </w:pPr>
      <w:r>
        <w:t>employed</w:t>
      </w:r>
      <w:r>
        <w:tab/>
        <w:t>19F(1)</w:t>
      </w:r>
    </w:p>
    <w:p>
      <w:pPr>
        <w:pStyle w:val="DefinedTerms"/>
      </w:pPr>
      <w:r>
        <w:t>exempt child</w:t>
      </w:r>
      <w:r>
        <w:tab/>
        <w:t>19A(1)</w:t>
      </w:r>
    </w:p>
    <w:p>
      <w:pPr>
        <w:pStyle w:val="DefinedTerms"/>
      </w:pPr>
      <w:r>
        <w:t>first year of the relevant education period</w:t>
      </w:r>
      <w:r>
        <w:tab/>
        <w:t>19C(1)</w:t>
      </w:r>
    </w:p>
    <w:p>
      <w:pPr>
        <w:pStyle w:val="DefinedTerms"/>
      </w:pPr>
      <w:r>
        <w:t>former Council</w:t>
      </w:r>
      <w:r>
        <w:tab/>
        <w:t>19I(2A)</w:t>
      </w:r>
    </w:p>
    <w:p>
      <w:pPr>
        <w:pStyle w:val="DefinedTerms"/>
      </w:pPr>
      <w:r>
        <w:t>governing body</w:t>
      </w:r>
      <w:r>
        <w:tab/>
        <w:t>3</w:t>
      </w:r>
    </w:p>
    <w:p>
      <w:pPr>
        <w:pStyle w:val="DefinedTerms"/>
      </w:pPr>
      <w:r>
        <w:t>home education</w:t>
      </w:r>
      <w:r>
        <w:tab/>
        <w:t>3</w:t>
      </w:r>
    </w:p>
    <w:p>
      <w:pPr>
        <w:pStyle w:val="DefinedTerms"/>
      </w:pPr>
      <w:r>
        <w:t>information</w:t>
      </w:r>
      <w:r>
        <w:tab/>
        <w:t>19(4)</w:t>
      </w:r>
    </w:p>
    <w:p>
      <w:pPr>
        <w:pStyle w:val="DefinedTerms"/>
      </w:pPr>
      <w:r>
        <w:t>liability</w:t>
      </w:r>
      <w:r>
        <w:tab/>
        <w:t>37</w:t>
      </w:r>
    </w:p>
    <w:p>
      <w:pPr>
        <w:pStyle w:val="DefinedTerms"/>
      </w:pPr>
      <w:r>
        <w:t>member</w:t>
      </w:r>
      <w:r>
        <w:tab/>
        <w:t>3</w:t>
      </w:r>
    </w:p>
    <w:p>
      <w:pPr>
        <w:pStyle w:val="DefinedTerms"/>
      </w:pPr>
      <w:r>
        <w:t>member of staff</w:t>
      </w:r>
      <w:r>
        <w:tab/>
        <w:t>3</w:t>
      </w:r>
    </w:p>
    <w:p>
      <w:pPr>
        <w:pStyle w:val="DefinedTerms"/>
      </w:pPr>
      <w:r>
        <w:t>Minister</w:t>
      </w:r>
      <w:r>
        <w:tab/>
        <w:t>19A(1)</w:t>
      </w:r>
    </w:p>
    <w:p>
      <w:pPr>
        <w:pStyle w:val="DefinedTerms"/>
      </w:pPr>
      <w:r>
        <w:t>overseas student</w:t>
      </w:r>
      <w:r>
        <w:tab/>
        <w:t>19B(1)</w:t>
      </w:r>
    </w:p>
    <w:p>
      <w:pPr>
        <w:pStyle w:val="DefinedTerms"/>
      </w:pPr>
      <w:r>
        <w:t>parent</w:t>
      </w:r>
      <w:r>
        <w:tab/>
        <w:t>19J(1A)</w:t>
      </w:r>
    </w:p>
    <w:p>
      <w:pPr>
        <w:pStyle w:val="DefinedTerms"/>
      </w:pPr>
      <w:r>
        <w:t>principal</w:t>
      </w:r>
      <w:r>
        <w:tab/>
        <w:t>19A(1)</w:t>
      </w:r>
    </w:p>
    <w:p>
      <w:pPr>
        <w:pStyle w:val="DefinedTerms"/>
      </w:pPr>
      <w:r>
        <w:t>provider</w:t>
      </w:r>
      <w:r>
        <w:tab/>
        <w:t>19A(1) and (2)</w:t>
      </w:r>
    </w:p>
    <w:p>
      <w:pPr>
        <w:pStyle w:val="DefinedTerms"/>
      </w:pPr>
      <w:r>
        <w:t>relevant governing body</w:t>
      </w:r>
      <w:r>
        <w:tab/>
        <w:t>12(1)</w:t>
      </w:r>
    </w:p>
    <w:p>
      <w:pPr>
        <w:pStyle w:val="DefinedTerms"/>
      </w:pPr>
      <w:r>
        <w:t>relevant officials</w:t>
      </w:r>
      <w:r>
        <w:tab/>
        <w:t>50(1)</w:t>
      </w:r>
    </w:p>
    <w:p>
      <w:pPr>
        <w:pStyle w:val="DefinedTerms"/>
      </w:pPr>
      <w:r>
        <w:t>right</w:t>
      </w:r>
      <w:r>
        <w:tab/>
        <w:t>37</w:t>
      </w:r>
    </w:p>
    <w:p>
      <w:pPr>
        <w:pStyle w:val="DefinedTerms"/>
      </w:pPr>
      <w:r>
        <w:t>school</w:t>
      </w:r>
      <w:r>
        <w:tab/>
        <w:t>3, 19A(1)</w:t>
      </w:r>
    </w:p>
    <w:p>
      <w:pPr>
        <w:pStyle w:val="DefinedTerms"/>
      </w:pPr>
      <w:r>
        <w:t>School Education Act</w:t>
      </w:r>
      <w:r>
        <w:tab/>
        <w:t>3</w:t>
      </w:r>
    </w:p>
    <w:p>
      <w:pPr>
        <w:pStyle w:val="DefinedTerms"/>
      </w:pPr>
      <w:r>
        <w:t>school system</w:t>
      </w:r>
      <w:r>
        <w:tab/>
        <w:t>3</w:t>
      </w:r>
    </w:p>
    <w:p>
      <w:pPr>
        <w:pStyle w:val="DefinedTerms"/>
      </w:pPr>
      <w:r>
        <w:t>school years</w:t>
      </w:r>
      <w:r>
        <w:tab/>
        <w:t>3</w:t>
      </w:r>
    </w:p>
    <w:p>
      <w:pPr>
        <w:pStyle w:val="DefinedTerms"/>
      </w:pPr>
      <w:r>
        <w:t>Standards Committee</w:t>
      </w:r>
      <w:r>
        <w:tab/>
        <w:t>3</w:t>
      </w:r>
    </w:p>
    <w:p>
      <w:pPr>
        <w:pStyle w:val="DefinedTerms"/>
      </w:pPr>
      <w:r>
        <w:t>standards of student achievement</w:t>
      </w:r>
      <w:r>
        <w:tab/>
        <w:t>3</w:t>
      </w:r>
    </w:p>
    <w:p>
      <w:pPr>
        <w:pStyle w:val="DefinedTerms"/>
      </w:pPr>
      <w:r>
        <w:t>State tax</w:t>
      </w:r>
      <w:r>
        <w:tab/>
        <w:t>46(1)</w:t>
      </w:r>
    </w:p>
    <w:p>
      <w:pPr>
        <w:pStyle w:val="DefinedTerms"/>
      </w:pPr>
      <w:r>
        <w:t>student</w:t>
      </w:r>
      <w:r>
        <w:tab/>
        <w:t>3, 19A(1)</w:t>
      </w:r>
    </w:p>
    <w:p>
      <w:pPr>
        <w:pStyle w:val="DefinedTerms"/>
      </w:pPr>
      <w:r>
        <w:t>student record</w:t>
      </w:r>
      <w:r>
        <w:tab/>
        <w:t>19A(1), 19J(1A)</w:t>
      </w:r>
    </w:p>
    <w:p>
      <w:pPr>
        <w:pStyle w:val="DefinedTerms"/>
      </w:pPr>
      <w:r>
        <w:t>transitional regulations</w:t>
      </w:r>
      <w:r>
        <w:tab/>
        <w:t>51(1)</w:t>
      </w:r>
    </w:p>
    <w:p>
      <w:pPr>
        <w:pStyle w:val="DefinedTerms"/>
      </w:pPr>
      <w:r>
        <w:t>vocational education and training</w:t>
      </w:r>
      <w:r>
        <w:tab/>
        <w:t>3</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tabs>
              <w:tab w:val="center" w:pos="702"/>
            </w:tabs>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School Curriculum and Standards Authority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as to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Provisions as to 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School Curriculum and Standards Authority Act 1997</w:t>
            </w:r>
          </w:fldSimple>
        </w:p>
      </w:tc>
    </w:tr>
    <w:tr>
      <w:tc>
        <w:tcPr>
          <w:tcW w:w="5715" w:type="dxa"/>
          <w:vAlign w:val="bottom"/>
        </w:tcPr>
        <w:p>
          <w:pPr>
            <w:pStyle w:val="HeaderTextRight"/>
          </w:pPr>
          <w:fldSimple w:instr=" styleref CharSchText ">
            <w:r>
              <w:rPr>
                <w:noProof/>
              </w:rPr>
              <w:t>Provisions as to Board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Provisions as to constitution and proceedings of the Board</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School Curriculum and Standards Authority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School Curriculum and Standards Authority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School Curriculum and Standards Authority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F1862E9"/>
    <w:multiLevelType w:val="hybridMultilevel"/>
    <w:tmpl w:val="8C0C1D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5"/>
  </w:num>
  <w:num w:numId="25">
    <w:abstractNumId w:val="17"/>
  </w:num>
  <w:num w:numId="26">
    <w:abstractNumId w:val="18"/>
  </w:num>
  <w:num w:numId="27">
    <w:abstractNumId w:val="21"/>
  </w:num>
  <w:num w:numId="28">
    <w:abstractNumId w:val="32"/>
  </w:num>
  <w:num w:numId="29">
    <w:abstractNumId w:val="26"/>
  </w:num>
  <w:num w:numId="30">
    <w:abstractNumId w:val="14"/>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a">
    <w:name w:val="*"/>
    <w:rPr>
      <w:lang w:eastAsia="en-US"/>
    </w:rPr>
  </w:style>
  <w:style w:type="character" w:customStyle="1" w:styleId="DeltaViewInsertion">
    <w:name w:val="DeltaView Insertion"/>
    <w:rPr>
      <w:color w:val="0000FF"/>
      <w:spacing w:val="0"/>
      <w:u w:val="double"/>
    </w:rPr>
  </w:style>
  <w:style w:type="paragraph" w:customStyle="1" w:styleId="-PAGE-">
    <w:name w:val="- PAGE -"/>
    <w:rPr>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14328</Words>
  <Characters>69062</Characters>
  <Application>Microsoft Office Word</Application>
  <DocSecurity>0</DocSecurity>
  <Lines>2031</Lines>
  <Paragraphs>1263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1997 - 03-a0-01</dc:title>
  <dc:subject/>
  <dc:creator/>
  <cp:keywords/>
  <dc:description/>
  <cp:lastModifiedBy>svcMRProcess</cp:lastModifiedBy>
  <cp:revision>4</cp:revision>
  <cp:lastPrinted>2012-05-03T00:57:00Z</cp:lastPrinted>
  <dcterms:created xsi:type="dcterms:W3CDTF">2018-08-26T05:15:00Z</dcterms:created>
  <dcterms:modified xsi:type="dcterms:W3CDTF">2018-08-26T05:15:00Z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CommencementDate">
    <vt:lpwstr>20120427</vt:lpwstr>
  </property>
  <property fmtid="{D5CDD505-2E9C-101B-9397-08002B2CF9AE}" pid="4" name="DocumentType">
    <vt:lpwstr>Act</vt:lpwstr>
  </property>
  <property fmtid="{D5CDD505-2E9C-101B-9397-08002B2CF9AE}" pid="5" name="OwlsUID">
    <vt:i4>1813</vt:i4>
  </property>
  <property fmtid="{D5CDD505-2E9C-101B-9397-08002B2CF9AE}" pid="6" name="AsAtDate">
    <vt:lpwstr>27 Apr 2012</vt:lpwstr>
  </property>
  <property fmtid="{D5CDD505-2E9C-101B-9397-08002B2CF9AE}" pid="7" name="Suffix">
    <vt:lpwstr>03-a0-01</vt:lpwstr>
  </property>
  <property fmtid="{D5CDD505-2E9C-101B-9397-08002B2CF9AE}" pid="8" name="ReprintNo">
    <vt:lpwstr>3</vt:lpwstr>
  </property>
  <property fmtid="{D5CDD505-2E9C-101B-9397-08002B2CF9AE}" pid="9" name="ReprintedAsAt">
    <vt:filetime>2012-04-26T16:00:00Z</vt:filetime>
  </property>
</Properties>
</file>