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Prohibited Behaviour Orders Act 2010</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r>
      <w:r>
        <w:rPr>
          <w:snapToGrid w:val="0"/>
        </w:rPr>
        <w:t>Short title</w:t>
      </w:r>
      <w:r>
        <w:tab/>
      </w:r>
      <w:r>
        <w:fldChar w:fldCharType="begin"/>
      </w:r>
      <w:r>
        <w:instrText xml:space="preserve"> PAGEREF _Toc325709069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_Toc325709070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_Toc325709071 \h </w:instrText>
      </w:r>
      <w:r>
        <w:fldChar w:fldCharType="separate"/>
      </w:r>
      <w:r>
        <w:t>2</w:t>
      </w:r>
      <w:r>
        <w:fldChar w:fldCharType="end"/>
      </w:r>
    </w:p>
    <w:p>
      <w:pPr>
        <w:pStyle w:val="TOC8"/>
        <w:rPr>
          <w:sz w:val="24"/>
          <w:szCs w:val="24"/>
          <w:lang w:val="en-US"/>
        </w:rPr>
      </w:pPr>
      <w:r>
        <w:t>4.</w:t>
      </w:r>
      <w:r>
        <w:tab/>
        <w:t>Constrained persons to be natural persons</w:t>
      </w:r>
      <w:r>
        <w:tab/>
      </w:r>
      <w:r>
        <w:fldChar w:fldCharType="begin"/>
      </w:r>
      <w:r>
        <w:instrText xml:space="preserve"> PAGEREF _Toc325709072 \h </w:instrText>
      </w:r>
      <w:r>
        <w:fldChar w:fldCharType="separate"/>
      </w:r>
      <w:r>
        <w:t>4</w:t>
      </w:r>
      <w:r>
        <w:fldChar w:fldCharType="end"/>
      </w:r>
    </w:p>
    <w:p>
      <w:pPr>
        <w:pStyle w:val="TOC2"/>
        <w:tabs>
          <w:tab w:val="right" w:leader="dot" w:pos="7086"/>
        </w:tabs>
        <w:rPr>
          <w:b w:val="0"/>
          <w:sz w:val="24"/>
          <w:szCs w:val="24"/>
          <w:lang w:val="en-US"/>
        </w:rPr>
      </w:pPr>
      <w:r>
        <w:t>Part 2 — Prohibited behaviour orders</w:t>
      </w:r>
    </w:p>
    <w:p>
      <w:pPr>
        <w:pStyle w:val="TOC4"/>
        <w:tabs>
          <w:tab w:val="right" w:leader="dot" w:pos="7086"/>
        </w:tabs>
        <w:rPr>
          <w:b w:val="0"/>
          <w:sz w:val="24"/>
          <w:szCs w:val="24"/>
          <w:lang w:val="en-US"/>
        </w:rPr>
      </w:pPr>
      <w:r>
        <w:t>Division 1 — Making PBOs, general</w:t>
      </w:r>
    </w:p>
    <w:p>
      <w:pPr>
        <w:pStyle w:val="TOC8"/>
        <w:rPr>
          <w:sz w:val="24"/>
          <w:szCs w:val="24"/>
          <w:lang w:val="en-US"/>
        </w:rPr>
      </w:pPr>
      <w:r>
        <w:t>5.</w:t>
      </w:r>
      <w:r>
        <w:tab/>
        <w:t>Application for PBO</w:t>
      </w:r>
      <w:r>
        <w:tab/>
      </w:r>
      <w:r>
        <w:fldChar w:fldCharType="begin"/>
      </w:r>
      <w:r>
        <w:instrText xml:space="preserve"> PAGEREF _Toc325709075 \h </w:instrText>
      </w:r>
      <w:r>
        <w:fldChar w:fldCharType="separate"/>
      </w:r>
      <w:r>
        <w:t>5</w:t>
      </w:r>
      <w:r>
        <w:fldChar w:fldCharType="end"/>
      </w:r>
    </w:p>
    <w:p>
      <w:pPr>
        <w:pStyle w:val="TOC8"/>
        <w:rPr>
          <w:sz w:val="24"/>
          <w:szCs w:val="24"/>
          <w:lang w:val="en-US"/>
        </w:rPr>
      </w:pPr>
      <w:r>
        <w:t>6</w:t>
      </w:r>
      <w:r>
        <w:rPr>
          <w:snapToGrid w:val="0"/>
        </w:rPr>
        <w:t>.</w:t>
      </w:r>
      <w:r>
        <w:rPr>
          <w:snapToGrid w:val="0"/>
        </w:rPr>
        <w:tab/>
        <w:t>Court may make PBO after sentencing</w:t>
      </w:r>
      <w:r>
        <w:tab/>
      </w:r>
      <w:r>
        <w:fldChar w:fldCharType="begin"/>
      </w:r>
      <w:r>
        <w:instrText xml:space="preserve"> PAGEREF _Toc325709076 \h </w:instrText>
      </w:r>
      <w:r>
        <w:fldChar w:fldCharType="separate"/>
      </w:r>
      <w:r>
        <w:t>5</w:t>
      </w:r>
      <w:r>
        <w:fldChar w:fldCharType="end"/>
      </w:r>
    </w:p>
    <w:p>
      <w:pPr>
        <w:pStyle w:val="TOC8"/>
        <w:rPr>
          <w:sz w:val="24"/>
          <w:szCs w:val="24"/>
          <w:lang w:val="en-US"/>
        </w:rPr>
      </w:pPr>
      <w:r>
        <w:t>7.</w:t>
      </w:r>
      <w:r>
        <w:tab/>
        <w:t>Hearing of PBO proceedings</w:t>
      </w:r>
      <w:r>
        <w:tab/>
      </w:r>
      <w:r>
        <w:fldChar w:fldCharType="begin"/>
      </w:r>
      <w:r>
        <w:instrText xml:space="preserve"> PAGEREF _Toc325709077 \h </w:instrText>
      </w:r>
      <w:r>
        <w:fldChar w:fldCharType="separate"/>
      </w:r>
      <w:r>
        <w:t>6</w:t>
      </w:r>
      <w:r>
        <w:fldChar w:fldCharType="end"/>
      </w:r>
    </w:p>
    <w:p>
      <w:pPr>
        <w:pStyle w:val="TOC8"/>
        <w:rPr>
          <w:sz w:val="24"/>
          <w:szCs w:val="24"/>
          <w:lang w:val="en-US"/>
        </w:rPr>
      </w:pPr>
      <w:r>
        <w:t>8</w:t>
      </w:r>
      <w:r>
        <w:rPr>
          <w:snapToGrid w:val="0"/>
        </w:rPr>
        <w:t>.</w:t>
      </w:r>
      <w:r>
        <w:rPr>
          <w:snapToGrid w:val="0"/>
        </w:rPr>
        <w:tab/>
        <w:t>Grounds for PBO</w:t>
      </w:r>
      <w:r>
        <w:tab/>
      </w:r>
      <w:r>
        <w:fldChar w:fldCharType="begin"/>
      </w:r>
      <w:r>
        <w:instrText xml:space="preserve"> PAGEREF _Toc325709078 \h </w:instrText>
      </w:r>
      <w:r>
        <w:fldChar w:fldCharType="separate"/>
      </w:r>
      <w:r>
        <w:t>6</w:t>
      </w:r>
      <w:r>
        <w:fldChar w:fldCharType="end"/>
      </w:r>
    </w:p>
    <w:p>
      <w:pPr>
        <w:pStyle w:val="TOC8"/>
        <w:rPr>
          <w:sz w:val="24"/>
          <w:szCs w:val="24"/>
          <w:lang w:val="en-US"/>
        </w:rPr>
      </w:pPr>
      <w:r>
        <w:t>9</w:t>
      </w:r>
      <w:r>
        <w:rPr>
          <w:snapToGrid w:val="0"/>
        </w:rPr>
        <w:t>.</w:t>
      </w:r>
      <w:r>
        <w:rPr>
          <w:snapToGrid w:val="0"/>
        </w:rPr>
        <w:tab/>
        <w:t>Matters to be considered by court</w:t>
      </w:r>
      <w:r>
        <w:tab/>
      </w:r>
      <w:r>
        <w:fldChar w:fldCharType="begin"/>
      </w:r>
      <w:r>
        <w:instrText xml:space="preserve"> PAGEREF _Toc325709079 \h </w:instrText>
      </w:r>
      <w:r>
        <w:fldChar w:fldCharType="separate"/>
      </w:r>
      <w:r>
        <w:t>7</w:t>
      </w:r>
      <w:r>
        <w:fldChar w:fldCharType="end"/>
      </w:r>
    </w:p>
    <w:p>
      <w:pPr>
        <w:pStyle w:val="TOC8"/>
        <w:rPr>
          <w:sz w:val="24"/>
          <w:szCs w:val="24"/>
          <w:lang w:val="en-US"/>
        </w:rPr>
      </w:pPr>
      <w:r>
        <w:t>10</w:t>
      </w:r>
      <w:r>
        <w:rPr>
          <w:snapToGrid w:val="0"/>
        </w:rPr>
        <w:t>.</w:t>
      </w:r>
      <w:r>
        <w:rPr>
          <w:snapToGrid w:val="0"/>
        </w:rPr>
        <w:tab/>
        <w:t>Constraints imposed by PBO</w:t>
      </w:r>
      <w:r>
        <w:tab/>
      </w:r>
      <w:r>
        <w:fldChar w:fldCharType="begin"/>
      </w:r>
      <w:r>
        <w:instrText xml:space="preserve"> PAGEREF _Toc325709080 \h </w:instrText>
      </w:r>
      <w:r>
        <w:fldChar w:fldCharType="separate"/>
      </w:r>
      <w:r>
        <w:t>8</w:t>
      </w:r>
      <w:r>
        <w:fldChar w:fldCharType="end"/>
      </w:r>
    </w:p>
    <w:p>
      <w:pPr>
        <w:pStyle w:val="TOC8"/>
        <w:rPr>
          <w:sz w:val="24"/>
          <w:szCs w:val="24"/>
          <w:lang w:val="en-US"/>
        </w:rPr>
      </w:pPr>
      <w:r>
        <w:t>11.</w:t>
      </w:r>
      <w:r>
        <w:tab/>
        <w:t>When PBO comes into force</w:t>
      </w:r>
      <w:r>
        <w:tab/>
      </w:r>
      <w:r>
        <w:fldChar w:fldCharType="begin"/>
      </w:r>
      <w:r>
        <w:instrText xml:space="preserve"> PAGEREF _Toc325709081 \h </w:instrText>
      </w:r>
      <w:r>
        <w:fldChar w:fldCharType="separate"/>
      </w:r>
      <w:r>
        <w:t>10</w:t>
      </w:r>
      <w:r>
        <w:fldChar w:fldCharType="end"/>
      </w:r>
    </w:p>
    <w:p>
      <w:pPr>
        <w:pStyle w:val="TOC8"/>
        <w:rPr>
          <w:sz w:val="24"/>
          <w:szCs w:val="24"/>
          <w:lang w:val="en-US"/>
        </w:rPr>
      </w:pPr>
      <w:r>
        <w:t>12</w:t>
      </w:r>
      <w:r>
        <w:rPr>
          <w:snapToGrid w:val="0"/>
        </w:rPr>
        <w:t>.</w:t>
      </w:r>
      <w:r>
        <w:rPr>
          <w:snapToGrid w:val="0"/>
        </w:rPr>
        <w:tab/>
        <w:t>Duration of PBO</w:t>
      </w:r>
      <w:r>
        <w:tab/>
      </w:r>
      <w:r>
        <w:fldChar w:fldCharType="begin"/>
      </w:r>
      <w:r>
        <w:instrText xml:space="preserve"> PAGEREF _Toc325709082 \h </w:instrText>
      </w:r>
      <w:r>
        <w:fldChar w:fldCharType="separate"/>
      </w:r>
      <w:r>
        <w:t>10</w:t>
      </w:r>
      <w:r>
        <w:fldChar w:fldCharType="end"/>
      </w:r>
    </w:p>
    <w:p>
      <w:pPr>
        <w:pStyle w:val="TOC8"/>
        <w:rPr>
          <w:sz w:val="24"/>
          <w:szCs w:val="24"/>
          <w:lang w:val="en-US"/>
        </w:rPr>
      </w:pPr>
      <w:r>
        <w:t>13.</w:t>
      </w:r>
      <w:r>
        <w:tab/>
        <w:t>PBO ceases to have force if conviction set aside or quashed</w:t>
      </w:r>
      <w:r>
        <w:tab/>
      </w:r>
      <w:r>
        <w:fldChar w:fldCharType="begin"/>
      </w:r>
      <w:r>
        <w:instrText xml:space="preserve"> PAGEREF _Toc325709083 \h </w:instrText>
      </w:r>
      <w:r>
        <w:fldChar w:fldCharType="separate"/>
      </w:r>
      <w:r>
        <w:t>11</w:t>
      </w:r>
      <w:r>
        <w:fldChar w:fldCharType="end"/>
      </w:r>
    </w:p>
    <w:p>
      <w:pPr>
        <w:pStyle w:val="TOC8"/>
        <w:rPr>
          <w:sz w:val="24"/>
          <w:szCs w:val="24"/>
          <w:lang w:val="en-US"/>
        </w:rPr>
      </w:pPr>
      <w:r>
        <w:t>14.</w:t>
      </w:r>
      <w:r>
        <w:tab/>
        <w:t>Explanation about PBO to be given</w:t>
      </w:r>
      <w:r>
        <w:tab/>
      </w:r>
      <w:r>
        <w:fldChar w:fldCharType="begin"/>
      </w:r>
      <w:r>
        <w:instrText xml:space="preserve"> PAGEREF _Toc325709084 \h </w:instrText>
      </w:r>
      <w:r>
        <w:fldChar w:fldCharType="separate"/>
      </w:r>
      <w:r>
        <w:t>11</w:t>
      </w:r>
      <w:r>
        <w:fldChar w:fldCharType="end"/>
      </w:r>
    </w:p>
    <w:p>
      <w:pPr>
        <w:pStyle w:val="TOC8"/>
        <w:rPr>
          <w:sz w:val="24"/>
          <w:szCs w:val="24"/>
          <w:lang w:val="en-US"/>
        </w:rPr>
      </w:pPr>
      <w:r>
        <w:t>15</w:t>
      </w:r>
      <w:r>
        <w:rPr>
          <w:snapToGrid w:val="0"/>
        </w:rPr>
        <w:t>.</w:t>
      </w:r>
      <w:r>
        <w:rPr>
          <w:snapToGrid w:val="0"/>
        </w:rPr>
        <w:tab/>
        <w:t>Registrar to give copies of PBOs</w:t>
      </w:r>
      <w:r>
        <w:tab/>
      </w:r>
      <w:r>
        <w:fldChar w:fldCharType="begin"/>
      </w:r>
      <w:r>
        <w:instrText xml:space="preserve"> PAGEREF _Toc325709085 \h </w:instrText>
      </w:r>
      <w:r>
        <w:fldChar w:fldCharType="separate"/>
      </w:r>
      <w:r>
        <w:t>12</w:t>
      </w:r>
      <w:r>
        <w:fldChar w:fldCharType="end"/>
      </w:r>
    </w:p>
    <w:p>
      <w:pPr>
        <w:pStyle w:val="TOC4"/>
        <w:tabs>
          <w:tab w:val="right" w:leader="dot" w:pos="7086"/>
        </w:tabs>
        <w:rPr>
          <w:b w:val="0"/>
          <w:sz w:val="24"/>
          <w:szCs w:val="24"/>
          <w:lang w:val="en-US"/>
        </w:rPr>
      </w:pPr>
      <w:r>
        <w:t>Division 2 — Making PBOs against youths</w:t>
      </w:r>
    </w:p>
    <w:p>
      <w:pPr>
        <w:pStyle w:val="TOC8"/>
        <w:rPr>
          <w:sz w:val="24"/>
          <w:szCs w:val="24"/>
          <w:lang w:val="en-US"/>
        </w:rPr>
      </w:pPr>
      <w:r>
        <w:t>16.</w:t>
      </w:r>
      <w:r>
        <w:tab/>
        <w:t>Term used: youth</w:t>
      </w:r>
      <w:r>
        <w:noBreakHyphen/>
        <w:t>related PBO proceedings</w:t>
      </w:r>
      <w:r>
        <w:tab/>
      </w:r>
      <w:r>
        <w:fldChar w:fldCharType="begin"/>
      </w:r>
      <w:r>
        <w:instrText xml:space="preserve"> PAGEREF _Toc325709087 \h </w:instrText>
      </w:r>
      <w:r>
        <w:fldChar w:fldCharType="separate"/>
      </w:r>
      <w:r>
        <w:t>12</w:t>
      </w:r>
      <w:r>
        <w:fldChar w:fldCharType="end"/>
      </w:r>
    </w:p>
    <w:p>
      <w:pPr>
        <w:pStyle w:val="TOC8"/>
        <w:rPr>
          <w:sz w:val="24"/>
          <w:szCs w:val="24"/>
          <w:lang w:val="en-US"/>
        </w:rPr>
      </w:pPr>
      <w:r>
        <w:t>17.</w:t>
      </w:r>
      <w:r>
        <w:tab/>
        <w:t>No PBO where court refrains from imposing punishment on youth</w:t>
      </w:r>
      <w:r>
        <w:tab/>
      </w:r>
      <w:r>
        <w:fldChar w:fldCharType="begin"/>
      </w:r>
      <w:r>
        <w:instrText xml:space="preserve"> PAGEREF _Toc325709088 \h </w:instrText>
      </w:r>
      <w:r>
        <w:fldChar w:fldCharType="separate"/>
      </w:r>
      <w:r>
        <w:t>12</w:t>
      </w:r>
      <w:r>
        <w:fldChar w:fldCharType="end"/>
      </w:r>
    </w:p>
    <w:p>
      <w:pPr>
        <w:pStyle w:val="TOC8"/>
        <w:rPr>
          <w:sz w:val="24"/>
          <w:szCs w:val="24"/>
          <w:lang w:val="en-US"/>
        </w:rPr>
      </w:pPr>
      <w:r>
        <w:t>18.</w:t>
      </w:r>
      <w:r>
        <w:tab/>
        <w:t>Child welfare laws not affected</w:t>
      </w:r>
      <w:r>
        <w:tab/>
      </w:r>
      <w:r>
        <w:fldChar w:fldCharType="begin"/>
      </w:r>
      <w:r>
        <w:instrText xml:space="preserve"> PAGEREF _Toc325709089 \h </w:instrText>
      </w:r>
      <w:r>
        <w:fldChar w:fldCharType="separate"/>
      </w:r>
      <w:r>
        <w:t>13</w:t>
      </w:r>
      <w:r>
        <w:fldChar w:fldCharType="end"/>
      </w:r>
    </w:p>
    <w:p>
      <w:pPr>
        <w:pStyle w:val="TOC8"/>
        <w:rPr>
          <w:sz w:val="24"/>
          <w:szCs w:val="24"/>
          <w:lang w:val="en-US"/>
        </w:rPr>
      </w:pPr>
      <w:r>
        <w:t>19.</w:t>
      </w:r>
      <w:r>
        <w:tab/>
        <w:t>Court to take into account certain principles and considerations</w:t>
      </w:r>
      <w:r>
        <w:tab/>
      </w:r>
      <w:r>
        <w:fldChar w:fldCharType="begin"/>
      </w:r>
      <w:r>
        <w:instrText xml:space="preserve"> PAGEREF _Toc325709090 \h </w:instrText>
      </w:r>
      <w:r>
        <w:fldChar w:fldCharType="separate"/>
      </w:r>
      <w:r>
        <w:t>14</w:t>
      </w:r>
      <w:r>
        <w:fldChar w:fldCharType="end"/>
      </w:r>
    </w:p>
    <w:p>
      <w:pPr>
        <w:pStyle w:val="TOC8"/>
        <w:rPr>
          <w:sz w:val="24"/>
          <w:szCs w:val="24"/>
          <w:lang w:val="en-US"/>
        </w:rPr>
      </w:pPr>
      <w:r>
        <w:t>20</w:t>
      </w:r>
      <w:r>
        <w:rPr>
          <w:snapToGrid w:val="0"/>
        </w:rPr>
        <w:t>.</w:t>
      </w:r>
      <w:r>
        <w:rPr>
          <w:snapToGrid w:val="0"/>
        </w:rPr>
        <w:tab/>
        <w:t>Responsible adult to attend</w:t>
      </w:r>
      <w:r>
        <w:tab/>
      </w:r>
      <w:r>
        <w:fldChar w:fldCharType="begin"/>
      </w:r>
      <w:r>
        <w:instrText xml:space="preserve"> PAGEREF _Toc325709091 \h </w:instrText>
      </w:r>
      <w:r>
        <w:fldChar w:fldCharType="separate"/>
      </w:r>
      <w:r>
        <w:t>14</w:t>
      </w:r>
      <w:r>
        <w:fldChar w:fldCharType="end"/>
      </w:r>
    </w:p>
    <w:p>
      <w:pPr>
        <w:pStyle w:val="TOC4"/>
        <w:tabs>
          <w:tab w:val="right" w:leader="dot" w:pos="7086"/>
        </w:tabs>
        <w:rPr>
          <w:b w:val="0"/>
          <w:sz w:val="24"/>
          <w:szCs w:val="24"/>
          <w:lang w:val="en-US"/>
        </w:rPr>
      </w:pPr>
      <w:r>
        <w:t>Division 3 — Varying or cancelling PBOs</w:t>
      </w:r>
    </w:p>
    <w:p>
      <w:pPr>
        <w:pStyle w:val="TOC8"/>
        <w:rPr>
          <w:sz w:val="24"/>
          <w:szCs w:val="24"/>
          <w:lang w:val="en-US"/>
        </w:rPr>
      </w:pPr>
      <w:r>
        <w:t>21.</w:t>
      </w:r>
      <w:r>
        <w:tab/>
        <w:t>Application</w:t>
      </w:r>
      <w:r>
        <w:tab/>
      </w:r>
      <w:r>
        <w:fldChar w:fldCharType="begin"/>
      </w:r>
      <w:r>
        <w:instrText xml:space="preserve"> PAGEREF _Toc325709093 \h </w:instrText>
      </w:r>
      <w:r>
        <w:fldChar w:fldCharType="separate"/>
      </w:r>
      <w:r>
        <w:t>14</w:t>
      </w:r>
      <w:r>
        <w:fldChar w:fldCharType="end"/>
      </w:r>
    </w:p>
    <w:p>
      <w:pPr>
        <w:pStyle w:val="TOC8"/>
        <w:rPr>
          <w:sz w:val="24"/>
          <w:szCs w:val="24"/>
          <w:lang w:val="en-US"/>
        </w:rPr>
      </w:pPr>
      <w:r>
        <w:t>22</w:t>
      </w:r>
      <w:r>
        <w:rPr>
          <w:snapToGrid w:val="0"/>
        </w:rPr>
        <w:t>.</w:t>
      </w:r>
      <w:r>
        <w:rPr>
          <w:snapToGrid w:val="0"/>
        </w:rPr>
        <w:tab/>
      </w:r>
      <w:r>
        <w:t xml:space="preserve">Registrar </w:t>
      </w:r>
      <w:r>
        <w:rPr>
          <w:snapToGrid w:val="0"/>
        </w:rPr>
        <w:t>to fix hearing and notify parties</w:t>
      </w:r>
      <w:r>
        <w:tab/>
      </w:r>
      <w:r>
        <w:fldChar w:fldCharType="begin"/>
      </w:r>
      <w:r>
        <w:instrText xml:space="preserve"> PAGEREF _Toc325709094 \h </w:instrText>
      </w:r>
      <w:r>
        <w:fldChar w:fldCharType="separate"/>
      </w:r>
      <w:r>
        <w:t>14</w:t>
      </w:r>
      <w:r>
        <w:fldChar w:fldCharType="end"/>
      </w:r>
    </w:p>
    <w:p>
      <w:pPr>
        <w:pStyle w:val="TOC8"/>
        <w:rPr>
          <w:sz w:val="24"/>
          <w:szCs w:val="24"/>
          <w:lang w:val="en-US"/>
        </w:rPr>
      </w:pPr>
      <w:r>
        <w:t>23.</w:t>
      </w:r>
      <w:r>
        <w:tab/>
        <w:t>Applications to extend period of PBOs</w:t>
      </w:r>
      <w:r>
        <w:tab/>
      </w:r>
      <w:r>
        <w:fldChar w:fldCharType="begin"/>
      </w:r>
      <w:r>
        <w:instrText xml:space="preserve"> PAGEREF _Toc325709095 \h </w:instrText>
      </w:r>
      <w:r>
        <w:fldChar w:fldCharType="separate"/>
      </w:r>
      <w:r>
        <w:t>15</w:t>
      </w:r>
      <w:r>
        <w:fldChar w:fldCharType="end"/>
      </w:r>
    </w:p>
    <w:p>
      <w:pPr>
        <w:pStyle w:val="TOC8"/>
        <w:rPr>
          <w:sz w:val="24"/>
          <w:szCs w:val="24"/>
          <w:lang w:val="en-US"/>
        </w:rPr>
      </w:pPr>
      <w:r>
        <w:t>24</w:t>
      </w:r>
      <w:r>
        <w:rPr>
          <w:snapToGrid w:val="0"/>
        </w:rPr>
        <w:t>.</w:t>
      </w:r>
      <w:r>
        <w:rPr>
          <w:snapToGrid w:val="0"/>
        </w:rPr>
        <w:tab/>
        <w:t>Variation or cancellation</w:t>
      </w:r>
      <w:r>
        <w:tab/>
      </w:r>
      <w:r>
        <w:fldChar w:fldCharType="begin"/>
      </w:r>
      <w:r>
        <w:instrText xml:space="preserve"> PAGEREF _Toc325709096 \h </w:instrText>
      </w:r>
      <w:r>
        <w:fldChar w:fldCharType="separate"/>
      </w:r>
      <w:r>
        <w:t>15</w:t>
      </w:r>
      <w:r>
        <w:fldChar w:fldCharType="end"/>
      </w:r>
    </w:p>
    <w:p>
      <w:pPr>
        <w:pStyle w:val="TOC8"/>
        <w:rPr>
          <w:sz w:val="24"/>
          <w:szCs w:val="24"/>
          <w:lang w:val="en-US"/>
        </w:rPr>
      </w:pPr>
      <w:r>
        <w:t>25.</w:t>
      </w:r>
      <w:r>
        <w:tab/>
        <w:t>Correcting minor errors in PBOs</w:t>
      </w:r>
      <w:r>
        <w:tab/>
      </w:r>
      <w:r>
        <w:fldChar w:fldCharType="begin"/>
      </w:r>
      <w:r>
        <w:instrText xml:space="preserve"> PAGEREF _Toc325709097 \h </w:instrText>
      </w:r>
      <w:r>
        <w:fldChar w:fldCharType="separate"/>
      </w:r>
      <w:r>
        <w:t>16</w:t>
      </w:r>
      <w:r>
        <w:fldChar w:fldCharType="end"/>
      </w:r>
    </w:p>
    <w:p>
      <w:pPr>
        <w:pStyle w:val="TOC4"/>
        <w:tabs>
          <w:tab w:val="right" w:leader="dot" w:pos="7086"/>
        </w:tabs>
        <w:rPr>
          <w:b w:val="0"/>
          <w:sz w:val="24"/>
          <w:szCs w:val="24"/>
          <w:lang w:val="en-US"/>
        </w:rPr>
      </w:pPr>
      <w:r>
        <w:t>Division 4 — PBO proceedings</w:t>
      </w:r>
    </w:p>
    <w:p>
      <w:pPr>
        <w:pStyle w:val="TOC8"/>
        <w:rPr>
          <w:sz w:val="24"/>
          <w:szCs w:val="24"/>
          <w:lang w:val="en-US"/>
        </w:rPr>
      </w:pPr>
      <w:r>
        <w:t>26.</w:t>
      </w:r>
      <w:r>
        <w:tab/>
        <w:t>Evidence in PBO proceedings</w:t>
      </w:r>
      <w:r>
        <w:tab/>
      </w:r>
      <w:r>
        <w:fldChar w:fldCharType="begin"/>
      </w:r>
      <w:r>
        <w:instrText xml:space="preserve"> PAGEREF _Toc325709099 \h </w:instrText>
      </w:r>
      <w:r>
        <w:fldChar w:fldCharType="separate"/>
      </w:r>
      <w:r>
        <w:t>16</w:t>
      </w:r>
      <w:r>
        <w:fldChar w:fldCharType="end"/>
      </w:r>
    </w:p>
    <w:p>
      <w:pPr>
        <w:pStyle w:val="TOC8"/>
        <w:rPr>
          <w:sz w:val="24"/>
          <w:szCs w:val="24"/>
          <w:lang w:val="en-US"/>
        </w:rPr>
      </w:pPr>
      <w:r>
        <w:t>27</w:t>
      </w:r>
      <w:r>
        <w:rPr>
          <w:snapToGrid w:val="0"/>
        </w:rPr>
        <w:t>.</w:t>
      </w:r>
      <w:r>
        <w:rPr>
          <w:snapToGrid w:val="0"/>
        </w:rPr>
        <w:tab/>
        <w:t>PBO proceedings, general provisions about</w:t>
      </w:r>
      <w:r>
        <w:tab/>
      </w:r>
      <w:r>
        <w:fldChar w:fldCharType="begin"/>
      </w:r>
      <w:r>
        <w:instrText xml:space="preserve"> PAGEREF _Toc325709100 \h </w:instrText>
      </w:r>
      <w:r>
        <w:fldChar w:fldCharType="separate"/>
      </w:r>
      <w:r>
        <w:t>18</w:t>
      </w:r>
      <w:r>
        <w:fldChar w:fldCharType="end"/>
      </w:r>
    </w:p>
    <w:p>
      <w:pPr>
        <w:pStyle w:val="TOC8"/>
        <w:rPr>
          <w:sz w:val="24"/>
          <w:szCs w:val="24"/>
          <w:lang w:val="en-US"/>
        </w:rPr>
      </w:pPr>
      <w:r>
        <w:t>28</w:t>
      </w:r>
      <w:r>
        <w:rPr>
          <w:snapToGrid w:val="0"/>
        </w:rPr>
        <w:t>.</w:t>
      </w:r>
      <w:r>
        <w:rPr>
          <w:snapToGrid w:val="0"/>
        </w:rPr>
        <w:tab/>
        <w:t>Practice and procedure</w:t>
      </w:r>
      <w:r>
        <w:tab/>
      </w:r>
      <w:r>
        <w:fldChar w:fldCharType="begin"/>
      </w:r>
      <w:r>
        <w:instrText xml:space="preserve"> PAGEREF _Toc325709101 \h </w:instrText>
      </w:r>
      <w:r>
        <w:fldChar w:fldCharType="separate"/>
      </w:r>
      <w:r>
        <w:t>18</w:t>
      </w:r>
      <w:r>
        <w:fldChar w:fldCharType="end"/>
      </w:r>
    </w:p>
    <w:p>
      <w:pPr>
        <w:pStyle w:val="TOC2"/>
        <w:tabs>
          <w:tab w:val="right" w:leader="dot" w:pos="7086"/>
        </w:tabs>
        <w:rPr>
          <w:b w:val="0"/>
          <w:sz w:val="24"/>
          <w:szCs w:val="24"/>
          <w:lang w:val="en-US"/>
        </w:rPr>
      </w:pPr>
      <w:r>
        <w:t>Part 3 — Firearms constraints in PBOs</w:t>
      </w:r>
    </w:p>
    <w:p>
      <w:pPr>
        <w:pStyle w:val="TOC8"/>
        <w:rPr>
          <w:sz w:val="24"/>
          <w:szCs w:val="24"/>
          <w:lang w:val="en-US"/>
        </w:rPr>
      </w:pPr>
      <w:r>
        <w:t>29</w:t>
      </w:r>
      <w:r>
        <w:rPr>
          <w:snapToGrid w:val="0"/>
        </w:rPr>
        <w:t>.</w:t>
      </w:r>
      <w:r>
        <w:rPr>
          <w:snapToGrid w:val="0"/>
        </w:rPr>
        <w:tab/>
        <w:t>Application of this Part</w:t>
      </w:r>
      <w:r>
        <w:tab/>
      </w:r>
      <w:r>
        <w:fldChar w:fldCharType="begin"/>
      </w:r>
      <w:r>
        <w:instrText xml:space="preserve"> PAGEREF _Toc325709103 \h </w:instrText>
      </w:r>
      <w:r>
        <w:fldChar w:fldCharType="separate"/>
      </w:r>
      <w:r>
        <w:t>19</w:t>
      </w:r>
      <w:r>
        <w:fldChar w:fldCharType="end"/>
      </w:r>
    </w:p>
    <w:p>
      <w:pPr>
        <w:pStyle w:val="TOC8"/>
        <w:rPr>
          <w:sz w:val="24"/>
          <w:szCs w:val="24"/>
          <w:lang w:val="en-US"/>
        </w:rPr>
      </w:pPr>
      <w:r>
        <w:t>30.</w:t>
      </w:r>
      <w:r>
        <w:tab/>
        <w:t>Constrained person to give up possession of firearms and licences</w:t>
      </w:r>
      <w:r>
        <w:tab/>
      </w:r>
      <w:r>
        <w:fldChar w:fldCharType="begin"/>
      </w:r>
      <w:r>
        <w:instrText xml:space="preserve"> PAGEREF _Toc325709104 \h </w:instrText>
      </w:r>
      <w:r>
        <w:fldChar w:fldCharType="separate"/>
      </w:r>
      <w:r>
        <w:t>19</w:t>
      </w:r>
      <w:r>
        <w:fldChar w:fldCharType="end"/>
      </w:r>
    </w:p>
    <w:p>
      <w:pPr>
        <w:pStyle w:val="TOC8"/>
        <w:rPr>
          <w:sz w:val="24"/>
          <w:szCs w:val="24"/>
          <w:lang w:val="en-US"/>
        </w:rPr>
      </w:pPr>
      <w:r>
        <w:t>31.</w:t>
      </w:r>
      <w:r>
        <w:tab/>
        <w:t>Seizure of firearms</w:t>
      </w:r>
      <w:r>
        <w:tab/>
      </w:r>
      <w:r>
        <w:fldChar w:fldCharType="begin"/>
      </w:r>
      <w:r>
        <w:instrText xml:space="preserve"> PAGEREF _Toc325709105 \h </w:instrText>
      </w:r>
      <w:r>
        <w:fldChar w:fldCharType="separate"/>
      </w:r>
      <w:r>
        <w:t>20</w:t>
      </w:r>
      <w:r>
        <w:fldChar w:fldCharType="end"/>
      </w:r>
    </w:p>
    <w:p>
      <w:pPr>
        <w:pStyle w:val="TOC8"/>
        <w:rPr>
          <w:sz w:val="24"/>
          <w:szCs w:val="24"/>
          <w:lang w:val="en-US"/>
        </w:rPr>
      </w:pPr>
      <w:r>
        <w:t>32.</w:t>
      </w:r>
      <w:r>
        <w:tab/>
        <w:t>Notification of co</w:t>
      </w:r>
      <w:r>
        <w:noBreakHyphen/>
        <w:t>licensees and responsible persons</w:t>
      </w:r>
      <w:r>
        <w:tab/>
      </w:r>
      <w:r>
        <w:fldChar w:fldCharType="begin"/>
      </w:r>
      <w:r>
        <w:instrText xml:space="preserve"> PAGEREF _Toc325709106 \h </w:instrText>
      </w:r>
      <w:r>
        <w:fldChar w:fldCharType="separate"/>
      </w:r>
      <w:r>
        <w:t>20</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33</w:t>
      </w:r>
      <w:r>
        <w:rPr>
          <w:snapToGrid w:val="0"/>
        </w:rPr>
        <w:t>.</w:t>
      </w:r>
      <w:r>
        <w:rPr>
          <w:snapToGrid w:val="0"/>
        </w:rPr>
        <w:tab/>
        <w:t>Giving of documents</w:t>
      </w:r>
      <w:r>
        <w:tab/>
      </w:r>
      <w:r>
        <w:fldChar w:fldCharType="begin"/>
      </w:r>
      <w:r>
        <w:instrText xml:space="preserve"> PAGEREF _Toc325709108 \h </w:instrText>
      </w:r>
      <w:r>
        <w:fldChar w:fldCharType="separate"/>
      </w:r>
      <w:r>
        <w:t>23</w:t>
      </w:r>
      <w:r>
        <w:fldChar w:fldCharType="end"/>
      </w:r>
    </w:p>
    <w:p>
      <w:pPr>
        <w:pStyle w:val="TOC8"/>
        <w:rPr>
          <w:sz w:val="24"/>
          <w:szCs w:val="24"/>
          <w:lang w:val="en-US"/>
        </w:rPr>
      </w:pPr>
      <w:r>
        <w:t>34.</w:t>
      </w:r>
      <w:r>
        <w:tab/>
        <w:t>Publication of details of constrained people</w:t>
      </w:r>
      <w:r>
        <w:tab/>
      </w:r>
      <w:r>
        <w:fldChar w:fldCharType="begin"/>
      </w:r>
      <w:r>
        <w:instrText xml:space="preserve"> PAGEREF _Toc325709109 \h </w:instrText>
      </w:r>
      <w:r>
        <w:fldChar w:fldCharType="separate"/>
      </w:r>
      <w:r>
        <w:t>23</w:t>
      </w:r>
      <w:r>
        <w:fldChar w:fldCharType="end"/>
      </w:r>
    </w:p>
    <w:p>
      <w:pPr>
        <w:pStyle w:val="TOC8"/>
        <w:rPr>
          <w:sz w:val="24"/>
          <w:szCs w:val="24"/>
          <w:lang w:val="en-US"/>
        </w:rPr>
      </w:pPr>
      <w:r>
        <w:t>35</w:t>
      </w:r>
      <w:r>
        <w:rPr>
          <w:snapToGrid w:val="0"/>
        </w:rPr>
        <w:t>.</w:t>
      </w:r>
      <w:r>
        <w:rPr>
          <w:snapToGrid w:val="0"/>
        </w:rPr>
        <w:tab/>
        <w:t xml:space="preserve">Breach of </w:t>
      </w:r>
      <w:r>
        <w:t>PBO</w:t>
      </w:r>
      <w:r>
        <w:tab/>
      </w:r>
      <w:r>
        <w:fldChar w:fldCharType="begin"/>
      </w:r>
      <w:r>
        <w:instrText xml:space="preserve"> PAGEREF _Toc325709110 \h </w:instrText>
      </w:r>
      <w:r>
        <w:fldChar w:fldCharType="separate"/>
      </w:r>
      <w:r>
        <w:t>24</w:t>
      </w:r>
      <w:r>
        <w:fldChar w:fldCharType="end"/>
      </w:r>
    </w:p>
    <w:p>
      <w:pPr>
        <w:pStyle w:val="TOC8"/>
        <w:rPr>
          <w:sz w:val="24"/>
          <w:szCs w:val="24"/>
          <w:lang w:val="en-US"/>
        </w:rPr>
      </w:pPr>
      <w:r>
        <w:t>36.</w:t>
      </w:r>
      <w:r>
        <w:tab/>
        <w:t>Defence</w:t>
      </w:r>
      <w:r>
        <w:tab/>
      </w:r>
      <w:r>
        <w:fldChar w:fldCharType="begin"/>
      </w:r>
      <w:r>
        <w:instrText xml:space="preserve"> PAGEREF _Toc325709111 \h </w:instrText>
      </w:r>
      <w:r>
        <w:fldChar w:fldCharType="separate"/>
      </w:r>
      <w:r>
        <w:t>25</w:t>
      </w:r>
      <w:r>
        <w:fldChar w:fldCharType="end"/>
      </w:r>
    </w:p>
    <w:p>
      <w:pPr>
        <w:pStyle w:val="TOC8"/>
        <w:rPr>
          <w:sz w:val="24"/>
          <w:szCs w:val="24"/>
          <w:lang w:val="en-US"/>
        </w:rPr>
      </w:pPr>
      <w:r>
        <w:t>37</w:t>
      </w:r>
      <w:r>
        <w:rPr>
          <w:snapToGrid w:val="0"/>
        </w:rPr>
        <w:t>.</w:t>
      </w:r>
      <w:r>
        <w:rPr>
          <w:snapToGrid w:val="0"/>
        </w:rPr>
        <w:tab/>
        <w:t>Appeals</w:t>
      </w:r>
      <w:r>
        <w:tab/>
      </w:r>
      <w:r>
        <w:fldChar w:fldCharType="begin"/>
      </w:r>
      <w:r>
        <w:instrText xml:space="preserve"> PAGEREF _Toc325709112 \h </w:instrText>
      </w:r>
      <w:r>
        <w:fldChar w:fldCharType="separate"/>
      </w:r>
      <w:r>
        <w:t>26</w:t>
      </w:r>
      <w:r>
        <w:fldChar w:fldCharType="end"/>
      </w:r>
    </w:p>
    <w:p>
      <w:pPr>
        <w:pStyle w:val="TOC8"/>
        <w:rPr>
          <w:sz w:val="24"/>
          <w:szCs w:val="24"/>
          <w:lang w:val="en-US"/>
        </w:rPr>
      </w:pPr>
      <w:r>
        <w:t>38.</w:t>
      </w:r>
      <w:r>
        <w:tab/>
        <w:t>Protection from liability for wrongdoing</w:t>
      </w:r>
      <w:r>
        <w:tab/>
      </w:r>
      <w:r>
        <w:fldChar w:fldCharType="begin"/>
      </w:r>
      <w:r>
        <w:instrText xml:space="preserve"> PAGEREF _Toc325709113 \h </w:instrText>
      </w:r>
      <w:r>
        <w:fldChar w:fldCharType="separate"/>
      </w:r>
      <w:r>
        <w:t>26</w:t>
      </w:r>
      <w:r>
        <w:fldChar w:fldCharType="end"/>
      </w:r>
    </w:p>
    <w:p>
      <w:pPr>
        <w:pStyle w:val="TOC8"/>
        <w:rPr>
          <w:sz w:val="24"/>
          <w:szCs w:val="24"/>
          <w:lang w:val="en-US"/>
        </w:rPr>
      </w:pPr>
      <w:r>
        <w:t>39</w:t>
      </w:r>
      <w:r>
        <w:rPr>
          <w:snapToGrid w:val="0"/>
        </w:rPr>
        <w:t>.</w:t>
      </w:r>
      <w:r>
        <w:rPr>
          <w:snapToGrid w:val="0"/>
        </w:rPr>
        <w:tab/>
        <w:t>Regulations</w:t>
      </w:r>
      <w:r>
        <w:tab/>
      </w:r>
      <w:r>
        <w:fldChar w:fldCharType="begin"/>
      </w:r>
      <w:r>
        <w:instrText xml:space="preserve"> PAGEREF _Toc325709114 \h </w:instrText>
      </w:r>
      <w:r>
        <w:fldChar w:fldCharType="separate"/>
      </w:r>
      <w:r>
        <w:t>27</w:t>
      </w:r>
      <w:r>
        <w:fldChar w:fldCharType="end"/>
      </w:r>
    </w:p>
    <w:p>
      <w:pPr>
        <w:pStyle w:val="TOC8"/>
        <w:rPr>
          <w:sz w:val="24"/>
          <w:szCs w:val="24"/>
          <w:lang w:val="en-US"/>
        </w:rPr>
      </w:pPr>
      <w:r>
        <w:t>40.</w:t>
      </w:r>
      <w:r>
        <w:tab/>
        <w:t>Review of Act</w:t>
      </w:r>
      <w:r>
        <w:tab/>
      </w:r>
      <w:r>
        <w:fldChar w:fldCharType="begin"/>
      </w:r>
      <w:r>
        <w:instrText xml:space="preserve"> PAGEREF _Toc325709115 \h </w:instrText>
      </w:r>
      <w:r>
        <w:fldChar w:fldCharType="separate"/>
      </w:r>
      <w:r>
        <w:t>27</w:t>
      </w:r>
      <w:r>
        <w:fldChar w:fldCharType="end"/>
      </w:r>
    </w:p>
    <w:p>
      <w:pPr>
        <w:pStyle w:val="TOC2"/>
        <w:tabs>
          <w:tab w:val="right" w:leader="dot" w:pos="7086"/>
        </w:tabs>
        <w:rPr>
          <w:b w:val="0"/>
          <w:sz w:val="24"/>
          <w:szCs w:val="24"/>
          <w:lang w:val="en-US"/>
        </w:rPr>
      </w:pPr>
      <w:r>
        <w:t>Part 5 — Amendments to other Acts</w:t>
      </w:r>
    </w:p>
    <w:p>
      <w:pPr>
        <w:pStyle w:val="TOC4"/>
        <w:tabs>
          <w:tab w:val="right" w:leader="dot" w:pos="7086"/>
        </w:tabs>
        <w:rPr>
          <w:b w:val="0"/>
          <w:sz w:val="24"/>
          <w:szCs w:val="24"/>
          <w:lang w:val="en-US"/>
        </w:rPr>
      </w:pPr>
      <w:r>
        <w:t>Division 1 — </w:t>
      </w:r>
      <w:r>
        <w:rPr>
          <w:i/>
          <w:iCs/>
        </w:rPr>
        <w:t>Children’s Court of Western Australia Act 1988</w:t>
      </w:r>
      <w:r>
        <w:t> amended</w:t>
      </w:r>
    </w:p>
    <w:p>
      <w:pPr>
        <w:pStyle w:val="TOC8"/>
        <w:rPr>
          <w:sz w:val="24"/>
          <w:szCs w:val="24"/>
          <w:lang w:val="en-US"/>
        </w:rPr>
      </w:pPr>
      <w:r>
        <w:t>41</w:t>
      </w:r>
      <w:r>
        <w:rPr>
          <w:snapToGrid w:val="0"/>
        </w:rPr>
        <w:t>.</w:t>
      </w:r>
      <w:r>
        <w:rPr>
          <w:snapToGrid w:val="0"/>
        </w:rPr>
        <w:tab/>
        <w:t>Act amended</w:t>
      </w:r>
      <w:r>
        <w:tab/>
      </w:r>
      <w:r>
        <w:fldChar w:fldCharType="begin"/>
      </w:r>
      <w:r>
        <w:instrText xml:space="preserve"> PAGEREF _Toc325709118 \h </w:instrText>
      </w:r>
      <w:r>
        <w:fldChar w:fldCharType="separate"/>
      </w:r>
      <w:r>
        <w:t>28</w:t>
      </w:r>
      <w:r>
        <w:fldChar w:fldCharType="end"/>
      </w:r>
    </w:p>
    <w:p>
      <w:pPr>
        <w:pStyle w:val="TOC8"/>
        <w:rPr>
          <w:sz w:val="24"/>
          <w:szCs w:val="24"/>
          <w:lang w:val="en-US"/>
        </w:rPr>
      </w:pPr>
      <w:r>
        <w:t>42.</w:t>
      </w:r>
      <w:r>
        <w:tab/>
        <w:t>Section 3 amended</w:t>
      </w:r>
      <w:r>
        <w:tab/>
      </w:r>
      <w:r>
        <w:fldChar w:fldCharType="begin"/>
      </w:r>
      <w:r>
        <w:instrText xml:space="preserve"> PAGEREF _Toc325709119 \h </w:instrText>
      </w:r>
      <w:r>
        <w:fldChar w:fldCharType="separate"/>
      </w:r>
      <w:r>
        <w:t>28</w:t>
      </w:r>
      <w:r>
        <w:fldChar w:fldCharType="end"/>
      </w:r>
    </w:p>
    <w:p>
      <w:pPr>
        <w:pStyle w:val="TOC8"/>
        <w:rPr>
          <w:sz w:val="24"/>
          <w:szCs w:val="24"/>
          <w:lang w:val="en-US"/>
        </w:rPr>
      </w:pPr>
      <w:r>
        <w:t>43.</w:t>
      </w:r>
      <w:r>
        <w:tab/>
        <w:t>Section 20 amended</w:t>
      </w:r>
      <w:r>
        <w:tab/>
      </w:r>
      <w:r>
        <w:fldChar w:fldCharType="begin"/>
      </w:r>
      <w:r>
        <w:instrText xml:space="preserve"> PAGEREF _Toc325709120 \h </w:instrText>
      </w:r>
      <w:r>
        <w:fldChar w:fldCharType="separate"/>
      </w:r>
      <w:r>
        <w:t>28</w:t>
      </w:r>
      <w:r>
        <w:fldChar w:fldCharType="end"/>
      </w:r>
    </w:p>
    <w:p>
      <w:pPr>
        <w:pStyle w:val="TOC8"/>
        <w:rPr>
          <w:sz w:val="24"/>
          <w:szCs w:val="24"/>
          <w:lang w:val="en-US"/>
        </w:rPr>
      </w:pPr>
      <w:r>
        <w:t>44.</w:t>
      </w:r>
      <w:r>
        <w:tab/>
        <w:t>Section 35 amended</w:t>
      </w:r>
      <w:r>
        <w:tab/>
      </w:r>
      <w:r>
        <w:fldChar w:fldCharType="begin"/>
      </w:r>
      <w:r>
        <w:instrText xml:space="preserve"> PAGEREF _Toc325709121 \h </w:instrText>
      </w:r>
      <w:r>
        <w:fldChar w:fldCharType="separate"/>
      </w:r>
      <w:r>
        <w:t>29</w:t>
      </w:r>
      <w:r>
        <w:fldChar w:fldCharType="end"/>
      </w:r>
    </w:p>
    <w:p>
      <w:pPr>
        <w:pStyle w:val="TOC8"/>
        <w:rPr>
          <w:sz w:val="24"/>
          <w:szCs w:val="24"/>
          <w:lang w:val="en-US"/>
        </w:rPr>
      </w:pPr>
      <w:r>
        <w:t>45.</w:t>
      </w:r>
      <w:r>
        <w:tab/>
        <w:t>Section 36 amended</w:t>
      </w:r>
      <w:r>
        <w:tab/>
      </w:r>
      <w:r>
        <w:fldChar w:fldCharType="begin"/>
      </w:r>
      <w:r>
        <w:instrText xml:space="preserve"> PAGEREF _Toc325709122 \h </w:instrText>
      </w:r>
      <w:r>
        <w:fldChar w:fldCharType="separate"/>
      </w:r>
      <w:r>
        <w:t>29</w:t>
      </w:r>
      <w:r>
        <w:fldChar w:fldCharType="end"/>
      </w:r>
    </w:p>
    <w:p>
      <w:pPr>
        <w:pStyle w:val="TOC4"/>
        <w:tabs>
          <w:tab w:val="right" w:leader="dot" w:pos="7086"/>
        </w:tabs>
        <w:rPr>
          <w:b w:val="0"/>
          <w:sz w:val="24"/>
          <w:szCs w:val="24"/>
          <w:lang w:val="en-US"/>
        </w:rPr>
      </w:pPr>
      <w:r>
        <w:t>Division 2 — </w:t>
      </w:r>
      <w:r>
        <w:rPr>
          <w:i/>
          <w:iCs/>
        </w:rPr>
        <w:t>Criminal Investigation Act 2006</w:t>
      </w:r>
      <w:r>
        <w:t xml:space="preserve"> amended</w:t>
      </w:r>
    </w:p>
    <w:p>
      <w:pPr>
        <w:pStyle w:val="TOC8"/>
        <w:rPr>
          <w:sz w:val="24"/>
          <w:szCs w:val="24"/>
          <w:lang w:val="en-US"/>
        </w:rPr>
      </w:pPr>
      <w:r>
        <w:t>46</w:t>
      </w:r>
      <w:r>
        <w:rPr>
          <w:snapToGrid w:val="0"/>
        </w:rPr>
        <w:t>.</w:t>
      </w:r>
      <w:r>
        <w:rPr>
          <w:snapToGrid w:val="0"/>
        </w:rPr>
        <w:tab/>
        <w:t>Act amended</w:t>
      </w:r>
      <w:r>
        <w:tab/>
      </w:r>
      <w:r>
        <w:fldChar w:fldCharType="begin"/>
      </w:r>
      <w:r>
        <w:instrText xml:space="preserve"> PAGEREF _Toc325709124 \h </w:instrText>
      </w:r>
      <w:r>
        <w:fldChar w:fldCharType="separate"/>
      </w:r>
      <w:r>
        <w:t>29</w:t>
      </w:r>
      <w:r>
        <w:fldChar w:fldCharType="end"/>
      </w:r>
    </w:p>
    <w:p>
      <w:pPr>
        <w:pStyle w:val="TOC8"/>
        <w:rPr>
          <w:sz w:val="24"/>
          <w:szCs w:val="24"/>
          <w:lang w:val="en-US"/>
        </w:rPr>
      </w:pPr>
      <w:r>
        <w:t>47.</w:t>
      </w:r>
      <w:r>
        <w:tab/>
        <w:t>Section 69A inserted</w:t>
      </w:r>
      <w:r>
        <w:tab/>
      </w:r>
      <w:r>
        <w:fldChar w:fldCharType="begin"/>
      </w:r>
      <w:r>
        <w:instrText xml:space="preserve"> PAGEREF _Toc325709125 \h </w:instrText>
      </w:r>
      <w:r>
        <w:fldChar w:fldCharType="separate"/>
      </w:r>
      <w:r>
        <w:t>29</w:t>
      </w:r>
      <w:r>
        <w:fldChar w:fldCharType="end"/>
      </w:r>
    </w:p>
    <w:p>
      <w:pPr>
        <w:pStyle w:val="TOC9"/>
        <w:rPr>
          <w:rFonts w:ascii="Times New Roman" w:hAnsi="Times New Roman"/>
          <w:noProof/>
          <w:sz w:val="24"/>
          <w:szCs w:val="24"/>
          <w:lang w:val="en-US"/>
        </w:rPr>
      </w:pPr>
      <w:r>
        <w:rPr>
          <w:noProof/>
        </w:rPr>
        <w:t>69A.</w:t>
      </w:r>
      <w:r>
        <w:rPr>
          <w:noProof/>
        </w:rPr>
        <w:tab/>
        <w:t>Searching people for things relevant to prohibited behaviour orders</w:t>
      </w:r>
      <w:r>
        <w:rPr>
          <w:noProof/>
        </w:rPr>
        <w:tab/>
      </w:r>
      <w:r>
        <w:rPr>
          <w:noProof/>
        </w:rPr>
        <w:fldChar w:fldCharType="begin"/>
      </w:r>
      <w:r>
        <w:rPr>
          <w:noProof/>
        </w:rPr>
        <w:instrText xml:space="preserve"> PAGEREF _Toc325709126 \h </w:instrText>
      </w:r>
      <w:r>
        <w:rPr>
          <w:noProof/>
        </w:rPr>
      </w:r>
      <w:r>
        <w:rPr>
          <w:noProof/>
        </w:rPr>
        <w:fldChar w:fldCharType="separate"/>
      </w:r>
      <w:r>
        <w:rPr>
          <w:noProof/>
        </w:rPr>
        <w:t>29</w:t>
      </w:r>
      <w:r>
        <w:rPr>
          <w:noProof/>
        </w:rPr>
        <w:fldChar w:fldCharType="end"/>
      </w:r>
    </w:p>
    <w:p>
      <w:pPr>
        <w:pStyle w:val="TOC4"/>
        <w:tabs>
          <w:tab w:val="right" w:leader="dot" w:pos="7086"/>
        </w:tabs>
        <w:rPr>
          <w:b w:val="0"/>
          <w:sz w:val="24"/>
          <w:szCs w:val="24"/>
          <w:lang w:val="en-US"/>
        </w:rPr>
      </w:pPr>
      <w:r>
        <w:t>Division 3 — </w:t>
      </w:r>
      <w:r>
        <w:rPr>
          <w:i/>
          <w:iCs/>
        </w:rPr>
        <w:t>Criminal Investigation (Identifying People) Act 2002</w:t>
      </w:r>
      <w:r>
        <w:t xml:space="preserve"> amended</w:t>
      </w:r>
    </w:p>
    <w:p>
      <w:pPr>
        <w:pStyle w:val="TOC8"/>
        <w:rPr>
          <w:sz w:val="24"/>
          <w:szCs w:val="24"/>
          <w:lang w:val="en-US"/>
        </w:rPr>
      </w:pPr>
      <w:r>
        <w:t>48.</w:t>
      </w:r>
      <w:r>
        <w:tab/>
        <w:t>Act amended</w:t>
      </w:r>
      <w:r>
        <w:tab/>
      </w:r>
      <w:r>
        <w:fldChar w:fldCharType="begin"/>
      </w:r>
      <w:r>
        <w:instrText xml:space="preserve"> PAGEREF _Toc325709128 \h </w:instrText>
      </w:r>
      <w:r>
        <w:fldChar w:fldCharType="separate"/>
      </w:r>
      <w:r>
        <w:t>30</w:t>
      </w:r>
      <w:r>
        <w:fldChar w:fldCharType="end"/>
      </w:r>
    </w:p>
    <w:p>
      <w:pPr>
        <w:pStyle w:val="TOC8"/>
        <w:rPr>
          <w:sz w:val="24"/>
          <w:szCs w:val="24"/>
          <w:lang w:val="en-US"/>
        </w:rPr>
      </w:pPr>
      <w:r>
        <w:t>49.</w:t>
      </w:r>
      <w:r>
        <w:tab/>
        <w:t>Section 73 amended</w:t>
      </w:r>
      <w:r>
        <w:tab/>
      </w:r>
      <w:r>
        <w:fldChar w:fldCharType="begin"/>
      </w:r>
      <w:r>
        <w:instrText xml:space="preserve"> PAGEREF _Toc325709129 \h </w:instrText>
      </w:r>
      <w:r>
        <w:fldChar w:fldCharType="separate"/>
      </w:r>
      <w:r>
        <w:t>30</w:t>
      </w:r>
      <w:r>
        <w:fldChar w:fldCharType="end"/>
      </w:r>
    </w:p>
    <w:p>
      <w:pPr>
        <w:pStyle w:val="TOC4"/>
        <w:tabs>
          <w:tab w:val="right" w:leader="dot" w:pos="7086"/>
        </w:tabs>
        <w:rPr>
          <w:b w:val="0"/>
          <w:sz w:val="24"/>
          <w:szCs w:val="24"/>
          <w:lang w:val="en-US"/>
        </w:rPr>
      </w:pPr>
      <w:r>
        <w:t>Division 4 — </w:t>
      </w:r>
      <w:r>
        <w:rPr>
          <w:i/>
          <w:iCs/>
        </w:rPr>
        <w:t>Sentencing Act 1995</w:t>
      </w:r>
      <w:r>
        <w:t xml:space="preserve"> amended</w:t>
      </w:r>
    </w:p>
    <w:p>
      <w:pPr>
        <w:pStyle w:val="TOC8"/>
        <w:rPr>
          <w:sz w:val="24"/>
          <w:szCs w:val="24"/>
          <w:lang w:val="en-US"/>
        </w:rPr>
      </w:pPr>
      <w:r>
        <w:t>50</w:t>
      </w:r>
      <w:r>
        <w:rPr>
          <w:snapToGrid w:val="0"/>
        </w:rPr>
        <w:t>.</w:t>
      </w:r>
      <w:r>
        <w:rPr>
          <w:snapToGrid w:val="0"/>
        </w:rPr>
        <w:tab/>
        <w:t>Act amended</w:t>
      </w:r>
      <w:r>
        <w:tab/>
      </w:r>
      <w:r>
        <w:fldChar w:fldCharType="begin"/>
      </w:r>
      <w:r>
        <w:instrText xml:space="preserve"> PAGEREF _Toc325709131 \h </w:instrText>
      </w:r>
      <w:r>
        <w:fldChar w:fldCharType="separate"/>
      </w:r>
      <w:r>
        <w:t>30</w:t>
      </w:r>
      <w:r>
        <w:fldChar w:fldCharType="end"/>
      </w:r>
    </w:p>
    <w:p>
      <w:pPr>
        <w:pStyle w:val="TOC8"/>
        <w:rPr>
          <w:sz w:val="24"/>
          <w:szCs w:val="24"/>
          <w:lang w:val="en-US"/>
        </w:rPr>
      </w:pPr>
      <w:r>
        <w:t>51.</w:t>
      </w:r>
      <w:r>
        <w:tab/>
        <w:t>Section 124B inserted</w:t>
      </w:r>
      <w:r>
        <w:tab/>
      </w:r>
      <w:r>
        <w:fldChar w:fldCharType="begin"/>
      </w:r>
      <w:r>
        <w:instrText xml:space="preserve"> PAGEREF _Toc325709132 \h </w:instrText>
      </w:r>
      <w:r>
        <w:fldChar w:fldCharType="separate"/>
      </w:r>
      <w:r>
        <w:t>31</w:t>
      </w:r>
      <w:r>
        <w:fldChar w:fldCharType="end"/>
      </w:r>
    </w:p>
    <w:p>
      <w:pPr>
        <w:pStyle w:val="TOC9"/>
        <w:rPr>
          <w:rFonts w:ascii="Times New Roman" w:hAnsi="Times New Roman"/>
          <w:noProof/>
          <w:sz w:val="24"/>
          <w:szCs w:val="24"/>
          <w:lang w:val="en-US"/>
        </w:rPr>
      </w:pPr>
      <w:r>
        <w:rPr>
          <w:noProof/>
        </w:rPr>
        <w:t>124B.</w:t>
      </w:r>
      <w:r>
        <w:rPr>
          <w:noProof/>
        </w:rPr>
        <w:tab/>
        <w:t>Prohibited behaviour orders</w:t>
      </w:r>
      <w:r>
        <w:rPr>
          <w:noProof/>
        </w:rPr>
        <w:tab/>
      </w:r>
      <w:r>
        <w:rPr>
          <w:noProof/>
        </w:rPr>
        <w:fldChar w:fldCharType="begin"/>
      </w:r>
      <w:r>
        <w:rPr>
          <w:noProof/>
        </w:rPr>
        <w:instrText xml:space="preserve"> PAGEREF _Toc325709133 \h </w:instrText>
      </w:r>
      <w:r>
        <w:rPr>
          <w:noProof/>
        </w:rPr>
      </w:r>
      <w:r>
        <w:rPr>
          <w:noProof/>
        </w:rPr>
        <w:fldChar w:fldCharType="separate"/>
      </w:r>
      <w:r>
        <w:rPr>
          <w:noProof/>
        </w:rPr>
        <w:t>31</w:t>
      </w:r>
      <w:r>
        <w:rPr>
          <w:noProof/>
        </w:rP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_Toc325709135 \h </w:instrText>
      </w:r>
      <w:r>
        <w:fldChar w:fldCharType="separate"/>
      </w:r>
      <w:r>
        <w:t>32</w:t>
      </w:r>
      <w:r>
        <w:fldChar w:fldCharType="end"/>
      </w:r>
    </w:p>
    <w:p>
      <w:pPr>
        <w:pStyle w:val="TOC8"/>
        <w:rPr>
          <w:sz w:val="24"/>
          <w:szCs w:val="24"/>
          <w:lang w:val="en-US"/>
        </w:rPr>
      </w:pPr>
      <w:r>
        <w:tab/>
        <w:t>Provisions that have not come into operation</w:t>
      </w:r>
      <w:r>
        <w:tab/>
      </w:r>
      <w:r>
        <w:fldChar w:fldCharType="begin"/>
      </w:r>
      <w:r>
        <w:instrText xml:space="preserve"> PAGEREF _Toc325709136 \h </w:instrText>
      </w:r>
      <w:r>
        <w:fldChar w:fldCharType="separate"/>
      </w:r>
      <w:r>
        <w:t>32</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Prohibited Behaviour Orders Act 2010</w:t>
      </w:r>
    </w:p>
    <w:p>
      <w:pPr>
        <w:pStyle w:val="LongTitle"/>
        <w:suppressLineNumbers/>
        <w:rPr>
          <w:snapToGrid w:val="0"/>
        </w:rPr>
      </w:pPr>
      <w:bookmarkStart w:id="1" w:name="BillCited"/>
      <w:bookmarkEnd w:id="1"/>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61945546"/>
      <w:bookmarkStart w:id="3" w:name="_Toc263858193"/>
      <w:bookmarkStart w:id="4" w:name="_Toc263864036"/>
      <w:bookmarkStart w:id="5" w:name="_Toc271882621"/>
      <w:bookmarkStart w:id="6" w:name="_Toc278778098"/>
      <w:bookmarkStart w:id="7" w:name="_Toc279145421"/>
      <w:bookmarkStart w:id="8" w:name="_Toc279656025"/>
      <w:bookmarkStart w:id="9" w:name="_Toc279656634"/>
      <w:bookmarkStart w:id="10" w:name="_Toc279663704"/>
      <w:bookmarkStart w:id="11" w:name="_Toc280003324"/>
      <w:bookmarkStart w:id="12" w:name="_Toc280004383"/>
      <w:bookmarkStart w:id="13" w:name="_Toc280004562"/>
      <w:bookmarkStart w:id="14" w:name="_Toc280084913"/>
      <w:bookmarkStart w:id="15" w:name="_Toc286235863"/>
      <w:bookmarkStart w:id="16" w:name="_Toc325636925"/>
      <w:bookmarkStart w:id="17" w:name="_Toc32570906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279656026"/>
      <w:bookmarkStart w:id="19" w:name="_Toc279656635"/>
      <w:bookmarkStart w:id="20" w:name="_Toc279663705"/>
      <w:bookmarkStart w:id="21" w:name="_Toc325709069"/>
      <w:r>
        <w:rPr>
          <w:rStyle w:val="CharSectno"/>
        </w:rPr>
        <w:t>1</w:t>
      </w:r>
      <w:r>
        <w:t>.</w:t>
      </w:r>
      <w:r>
        <w:tab/>
      </w:r>
      <w:r>
        <w:rPr>
          <w:snapToGrid w:val="0"/>
        </w:rPr>
        <w:t>Short title</w:t>
      </w:r>
      <w:bookmarkEnd w:id="18"/>
      <w:bookmarkEnd w:id="19"/>
      <w:bookmarkEnd w:id="20"/>
      <w:bookmarkEnd w:id="21"/>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22" w:name="_Toc279656027"/>
      <w:bookmarkStart w:id="23" w:name="_Toc279656636"/>
      <w:bookmarkStart w:id="24" w:name="_Toc279663706"/>
      <w:bookmarkStart w:id="25" w:name="_Toc325709070"/>
      <w:r>
        <w:rPr>
          <w:rStyle w:val="CharSectno"/>
        </w:rPr>
        <w:t>2</w:t>
      </w:r>
      <w:r>
        <w:rPr>
          <w:snapToGrid w:val="0"/>
        </w:rPr>
        <w:t>.</w:t>
      </w:r>
      <w:r>
        <w:rPr>
          <w:snapToGrid w:val="0"/>
        </w:rPr>
        <w:tab/>
      </w:r>
      <w:r>
        <w:t>Commencement</w:t>
      </w:r>
      <w:bookmarkEnd w:id="22"/>
      <w:bookmarkEnd w:id="23"/>
      <w:bookmarkEnd w:id="24"/>
      <w:bookmarkEnd w:id="25"/>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6" w:name="_Toc325709071"/>
      <w:r>
        <w:rPr>
          <w:rStyle w:val="CharSectno"/>
        </w:rPr>
        <w:t>3</w:t>
      </w:r>
      <w:r>
        <w:t>.</w:t>
      </w:r>
      <w:r>
        <w:tab/>
        <w:t>Terms used</w:t>
      </w:r>
      <w:bookmarkEnd w:id="26"/>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27" w:name="_Toc325709072"/>
      <w:r>
        <w:rPr>
          <w:rStyle w:val="CharSectno"/>
        </w:rPr>
        <w:t>4</w:t>
      </w:r>
      <w:r>
        <w:t>.</w:t>
      </w:r>
      <w:r>
        <w:tab/>
        <w:t>Constrained persons to be natural persons</w:t>
      </w:r>
      <w:bookmarkEnd w:id="27"/>
    </w:p>
    <w:p>
      <w:pPr>
        <w:pStyle w:val="Subsection"/>
      </w:pPr>
      <w:r>
        <w:tab/>
      </w:r>
      <w:r>
        <w:tab/>
        <w:t>A constrained person must be a natural person.</w:t>
      </w:r>
    </w:p>
    <w:p>
      <w:pPr>
        <w:pStyle w:val="Heading2"/>
      </w:pPr>
      <w:bookmarkStart w:id="28" w:name="_Toc286235868"/>
      <w:bookmarkStart w:id="29" w:name="_Toc325636930"/>
      <w:bookmarkStart w:id="30" w:name="_Toc325709073"/>
      <w:r>
        <w:rPr>
          <w:rStyle w:val="CharPartNo"/>
        </w:rPr>
        <w:t>Part 2</w:t>
      </w:r>
      <w:r>
        <w:t> — </w:t>
      </w:r>
      <w:r>
        <w:rPr>
          <w:rStyle w:val="CharPartText"/>
        </w:rPr>
        <w:t>Prohibited behaviour orders</w:t>
      </w:r>
      <w:bookmarkEnd w:id="28"/>
      <w:bookmarkEnd w:id="29"/>
      <w:bookmarkEnd w:id="30"/>
    </w:p>
    <w:p>
      <w:pPr>
        <w:pStyle w:val="Heading3"/>
      </w:pPr>
      <w:bookmarkStart w:id="31" w:name="_Toc286235869"/>
      <w:bookmarkStart w:id="32" w:name="_Toc325636931"/>
      <w:bookmarkStart w:id="33" w:name="_Toc325709074"/>
      <w:r>
        <w:rPr>
          <w:rStyle w:val="CharDivNo"/>
        </w:rPr>
        <w:t>Division 1</w:t>
      </w:r>
      <w:r>
        <w:t> — </w:t>
      </w:r>
      <w:r>
        <w:rPr>
          <w:rStyle w:val="CharDivText"/>
        </w:rPr>
        <w:t>Making PBOs, general</w:t>
      </w:r>
      <w:bookmarkEnd w:id="31"/>
      <w:bookmarkEnd w:id="32"/>
      <w:bookmarkEnd w:id="33"/>
    </w:p>
    <w:p>
      <w:pPr>
        <w:pStyle w:val="Heading5"/>
      </w:pPr>
      <w:bookmarkStart w:id="34" w:name="_Toc325709075"/>
      <w:r>
        <w:rPr>
          <w:rStyle w:val="CharSectno"/>
        </w:rPr>
        <w:t>5</w:t>
      </w:r>
      <w:r>
        <w:t>.</w:t>
      </w:r>
      <w:r>
        <w:tab/>
        <w:t>Application for PBO</w:t>
      </w:r>
      <w:bookmarkEnd w:id="34"/>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35" w:name="_Toc325709076"/>
      <w:r>
        <w:rPr>
          <w:rStyle w:val="CharSectno"/>
        </w:rPr>
        <w:t>6</w:t>
      </w:r>
      <w:r>
        <w:rPr>
          <w:snapToGrid w:val="0"/>
        </w:rPr>
        <w:t>.</w:t>
      </w:r>
      <w:r>
        <w:rPr>
          <w:snapToGrid w:val="0"/>
        </w:rPr>
        <w:tab/>
        <w:t>Court may make PBO after sentencing</w:t>
      </w:r>
      <w:bookmarkEnd w:id="35"/>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36" w:name="_Toc325709077"/>
      <w:r>
        <w:rPr>
          <w:rStyle w:val="CharSectno"/>
        </w:rPr>
        <w:t>7</w:t>
      </w:r>
      <w:r>
        <w:t>.</w:t>
      </w:r>
      <w:r>
        <w:tab/>
        <w:t>Hearing of PBO proceedings</w:t>
      </w:r>
      <w:bookmarkEnd w:id="36"/>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37" w:name="_Toc325709078"/>
      <w:r>
        <w:rPr>
          <w:rStyle w:val="CharSectno"/>
        </w:rPr>
        <w:t>8</w:t>
      </w:r>
      <w:r>
        <w:rPr>
          <w:snapToGrid w:val="0"/>
        </w:rPr>
        <w:t>.</w:t>
      </w:r>
      <w:r>
        <w:rPr>
          <w:snapToGrid w:val="0"/>
        </w:rPr>
        <w:tab/>
        <w:t>Grounds for PBO</w:t>
      </w:r>
      <w:bookmarkEnd w:id="37"/>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38" w:name="_Toc325709079"/>
      <w:r>
        <w:rPr>
          <w:rStyle w:val="CharSectno"/>
        </w:rPr>
        <w:t>9</w:t>
      </w:r>
      <w:r>
        <w:rPr>
          <w:snapToGrid w:val="0"/>
        </w:rPr>
        <w:t>.</w:t>
      </w:r>
      <w:r>
        <w:rPr>
          <w:snapToGrid w:val="0"/>
        </w:rPr>
        <w:tab/>
        <w:t>Matters to be considered by court</w:t>
      </w:r>
      <w:bookmarkEnd w:id="38"/>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39" w:name="_Toc325709080"/>
      <w:r>
        <w:rPr>
          <w:rStyle w:val="CharSectno"/>
        </w:rPr>
        <w:t>10</w:t>
      </w:r>
      <w:r>
        <w:rPr>
          <w:snapToGrid w:val="0"/>
        </w:rPr>
        <w:t>.</w:t>
      </w:r>
      <w:r>
        <w:rPr>
          <w:snapToGrid w:val="0"/>
        </w:rPr>
        <w:tab/>
        <w:t>Constraints imposed by PBO</w:t>
      </w:r>
      <w:bookmarkEnd w:id="39"/>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limitation or condition imposed by an extraordinary licence granted under the </w:t>
      </w:r>
      <w:r>
        <w:rPr>
          <w:i/>
          <w:iCs/>
        </w:rPr>
        <w:t>Road Traffic Act 1974</w:t>
      </w:r>
      <w:r>
        <w:t xml:space="preserve"> section 76;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Heading5"/>
      </w:pPr>
      <w:bookmarkStart w:id="40" w:name="_Toc325709081"/>
      <w:r>
        <w:rPr>
          <w:rStyle w:val="CharSectno"/>
        </w:rPr>
        <w:t>11</w:t>
      </w:r>
      <w:r>
        <w:t>.</w:t>
      </w:r>
      <w:r>
        <w:tab/>
        <w:t>When PBO comes into force</w:t>
      </w:r>
      <w:bookmarkEnd w:id="40"/>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41" w:name="_Toc325709082"/>
      <w:r>
        <w:rPr>
          <w:rStyle w:val="CharSectno"/>
        </w:rPr>
        <w:t>12</w:t>
      </w:r>
      <w:r>
        <w:rPr>
          <w:snapToGrid w:val="0"/>
        </w:rPr>
        <w:t>.</w:t>
      </w:r>
      <w:r>
        <w:rPr>
          <w:snapToGrid w:val="0"/>
        </w:rPr>
        <w:tab/>
        <w:t>Duration of PBO</w:t>
      </w:r>
      <w:bookmarkEnd w:id="41"/>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42" w:name="_Toc325709083"/>
      <w:r>
        <w:rPr>
          <w:rStyle w:val="CharSectno"/>
        </w:rPr>
        <w:t>13</w:t>
      </w:r>
      <w:r>
        <w:t>.</w:t>
      </w:r>
      <w:r>
        <w:tab/>
        <w:t>PBO ceases to have force if conviction set aside or quashed</w:t>
      </w:r>
      <w:bookmarkEnd w:id="42"/>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43" w:name="_Toc325709084"/>
      <w:r>
        <w:rPr>
          <w:rStyle w:val="CharSectno"/>
        </w:rPr>
        <w:t>14</w:t>
      </w:r>
      <w:r>
        <w:t>.</w:t>
      </w:r>
      <w:r>
        <w:tab/>
        <w:t>Explanation about PBO to be given</w:t>
      </w:r>
      <w:bookmarkEnd w:id="43"/>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44" w:name="_Toc325709085"/>
      <w:r>
        <w:rPr>
          <w:rStyle w:val="CharSectno"/>
        </w:rPr>
        <w:t>15</w:t>
      </w:r>
      <w:r>
        <w:rPr>
          <w:snapToGrid w:val="0"/>
        </w:rPr>
        <w:t>.</w:t>
      </w:r>
      <w:r>
        <w:rPr>
          <w:snapToGrid w:val="0"/>
        </w:rPr>
        <w:tab/>
        <w:t>Registrar to give copies of PBOs</w:t>
      </w:r>
      <w:bookmarkEnd w:id="44"/>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45" w:name="_Toc286235881"/>
      <w:bookmarkStart w:id="46" w:name="_Toc325636943"/>
      <w:bookmarkStart w:id="47" w:name="_Toc325709086"/>
      <w:r>
        <w:rPr>
          <w:rStyle w:val="CharDivNo"/>
        </w:rPr>
        <w:t>Division 2</w:t>
      </w:r>
      <w:r>
        <w:t> — </w:t>
      </w:r>
      <w:r>
        <w:rPr>
          <w:rStyle w:val="CharDivText"/>
        </w:rPr>
        <w:t>Making PBOs against youths</w:t>
      </w:r>
      <w:bookmarkEnd w:id="45"/>
      <w:bookmarkEnd w:id="46"/>
      <w:bookmarkEnd w:id="47"/>
    </w:p>
    <w:p>
      <w:pPr>
        <w:pStyle w:val="Heading5"/>
      </w:pPr>
      <w:bookmarkStart w:id="48" w:name="_Toc325709087"/>
      <w:r>
        <w:rPr>
          <w:rStyle w:val="CharSectno"/>
        </w:rPr>
        <w:t>16</w:t>
      </w:r>
      <w:r>
        <w:t>.</w:t>
      </w:r>
      <w:r>
        <w:tab/>
        <w:t>Term used: youth</w:t>
      </w:r>
      <w:r>
        <w:noBreakHyphen/>
        <w:t>related PBO proceedings</w:t>
      </w:r>
      <w:bookmarkEnd w:id="48"/>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49" w:name="_Toc325709088"/>
      <w:r>
        <w:rPr>
          <w:rStyle w:val="CharSectno"/>
        </w:rPr>
        <w:t>17</w:t>
      </w:r>
      <w:r>
        <w:t>.</w:t>
      </w:r>
      <w:r>
        <w:tab/>
        <w:t>No PBO where court refrains from imposing punishment on youth</w:t>
      </w:r>
      <w:bookmarkEnd w:id="49"/>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50" w:name="_Toc325709089"/>
      <w:r>
        <w:rPr>
          <w:rStyle w:val="CharSectno"/>
        </w:rPr>
        <w:t>18</w:t>
      </w:r>
      <w:r>
        <w:t>.</w:t>
      </w:r>
      <w:r>
        <w:tab/>
        <w:t>Child welfare laws not affected</w:t>
      </w:r>
      <w:bookmarkEnd w:id="50"/>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51" w:name="_Toc325709090"/>
      <w:r>
        <w:rPr>
          <w:rStyle w:val="CharSectno"/>
        </w:rPr>
        <w:t>19</w:t>
      </w:r>
      <w:r>
        <w:t>.</w:t>
      </w:r>
      <w:r>
        <w:tab/>
        <w:t>Court to take into account certain principles and considerations</w:t>
      </w:r>
      <w:bookmarkEnd w:id="51"/>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52" w:name="_Toc325709091"/>
      <w:r>
        <w:rPr>
          <w:rStyle w:val="CharSectno"/>
        </w:rPr>
        <w:t>20</w:t>
      </w:r>
      <w:r>
        <w:rPr>
          <w:snapToGrid w:val="0"/>
        </w:rPr>
        <w:t>.</w:t>
      </w:r>
      <w:r>
        <w:rPr>
          <w:snapToGrid w:val="0"/>
        </w:rPr>
        <w:tab/>
        <w:t>Responsible adult to attend</w:t>
      </w:r>
      <w:bookmarkEnd w:id="52"/>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53" w:name="_Toc286235887"/>
      <w:bookmarkStart w:id="54" w:name="_Toc325636949"/>
      <w:bookmarkStart w:id="55" w:name="_Toc325709092"/>
      <w:r>
        <w:rPr>
          <w:rStyle w:val="CharDivNo"/>
        </w:rPr>
        <w:t>Division 3</w:t>
      </w:r>
      <w:r>
        <w:t> — </w:t>
      </w:r>
      <w:r>
        <w:rPr>
          <w:rStyle w:val="CharDivText"/>
        </w:rPr>
        <w:t>Varying or cancelling PBOs</w:t>
      </w:r>
      <w:bookmarkEnd w:id="53"/>
      <w:bookmarkEnd w:id="54"/>
      <w:bookmarkEnd w:id="55"/>
    </w:p>
    <w:p>
      <w:pPr>
        <w:pStyle w:val="Heading5"/>
      </w:pPr>
      <w:bookmarkStart w:id="56" w:name="_Toc325709093"/>
      <w:r>
        <w:rPr>
          <w:rStyle w:val="CharSectno"/>
        </w:rPr>
        <w:t>21</w:t>
      </w:r>
      <w:r>
        <w:t>.</w:t>
      </w:r>
      <w:r>
        <w:tab/>
        <w:t>Application</w:t>
      </w:r>
      <w:bookmarkEnd w:id="56"/>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57" w:name="_Toc325709094"/>
      <w:r>
        <w:rPr>
          <w:rStyle w:val="CharSectno"/>
        </w:rPr>
        <w:t>22</w:t>
      </w:r>
      <w:r>
        <w:rPr>
          <w:snapToGrid w:val="0"/>
        </w:rPr>
        <w:t>.</w:t>
      </w:r>
      <w:r>
        <w:rPr>
          <w:snapToGrid w:val="0"/>
        </w:rPr>
        <w:tab/>
      </w:r>
      <w:r>
        <w:t xml:space="preserve">Registrar </w:t>
      </w:r>
      <w:r>
        <w:rPr>
          <w:snapToGrid w:val="0"/>
        </w:rPr>
        <w:t>to fix hearing and notify parties</w:t>
      </w:r>
      <w:bookmarkEnd w:id="57"/>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58" w:name="_Toc325709095"/>
      <w:r>
        <w:rPr>
          <w:rStyle w:val="CharSectno"/>
        </w:rPr>
        <w:t>23</w:t>
      </w:r>
      <w:r>
        <w:t>.</w:t>
      </w:r>
      <w:r>
        <w:tab/>
        <w:t>Applications to extend period of PBOs</w:t>
      </w:r>
      <w:bookmarkEnd w:id="58"/>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59" w:name="_Toc325709096"/>
      <w:r>
        <w:rPr>
          <w:rStyle w:val="CharSectno"/>
        </w:rPr>
        <w:t>24</w:t>
      </w:r>
      <w:r>
        <w:rPr>
          <w:snapToGrid w:val="0"/>
        </w:rPr>
        <w:t>.</w:t>
      </w:r>
      <w:r>
        <w:rPr>
          <w:snapToGrid w:val="0"/>
        </w:rPr>
        <w:tab/>
        <w:t>Variation or cancellation</w:t>
      </w:r>
      <w:bookmarkEnd w:id="59"/>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60" w:name="_Toc325709097"/>
      <w:r>
        <w:rPr>
          <w:rStyle w:val="CharSectno"/>
        </w:rPr>
        <w:t>25</w:t>
      </w:r>
      <w:r>
        <w:t>.</w:t>
      </w:r>
      <w:r>
        <w:tab/>
        <w:t>Correcting minor errors in PBOs</w:t>
      </w:r>
      <w:bookmarkEnd w:id="60"/>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61" w:name="_Toc286235893"/>
      <w:bookmarkStart w:id="62" w:name="_Toc325636955"/>
      <w:bookmarkStart w:id="63" w:name="_Toc325709098"/>
      <w:r>
        <w:rPr>
          <w:rStyle w:val="CharDivNo"/>
        </w:rPr>
        <w:t>Division 4</w:t>
      </w:r>
      <w:r>
        <w:t> — </w:t>
      </w:r>
      <w:r>
        <w:rPr>
          <w:rStyle w:val="CharDivText"/>
        </w:rPr>
        <w:t>PBO proceedings</w:t>
      </w:r>
      <w:bookmarkEnd w:id="61"/>
      <w:bookmarkEnd w:id="62"/>
      <w:bookmarkEnd w:id="63"/>
    </w:p>
    <w:p>
      <w:pPr>
        <w:pStyle w:val="Heading5"/>
      </w:pPr>
      <w:bookmarkStart w:id="64" w:name="_Toc325709099"/>
      <w:r>
        <w:rPr>
          <w:rStyle w:val="CharSectno"/>
        </w:rPr>
        <w:t>26</w:t>
      </w:r>
      <w:r>
        <w:t>.</w:t>
      </w:r>
      <w:r>
        <w:tab/>
        <w:t>Evidence in PBO proceedings</w:t>
      </w:r>
      <w:bookmarkEnd w:id="64"/>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65" w:name="_Toc325709100"/>
      <w:r>
        <w:rPr>
          <w:rStyle w:val="CharSectno"/>
        </w:rPr>
        <w:t>27</w:t>
      </w:r>
      <w:r>
        <w:rPr>
          <w:snapToGrid w:val="0"/>
        </w:rPr>
        <w:t>.</w:t>
      </w:r>
      <w:r>
        <w:rPr>
          <w:snapToGrid w:val="0"/>
        </w:rPr>
        <w:tab/>
        <w:t>PBO proceedings, general provisions about</w:t>
      </w:r>
      <w:bookmarkEnd w:id="65"/>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66" w:name="_Toc325709101"/>
      <w:r>
        <w:rPr>
          <w:rStyle w:val="CharSectno"/>
        </w:rPr>
        <w:t>28</w:t>
      </w:r>
      <w:r>
        <w:rPr>
          <w:snapToGrid w:val="0"/>
        </w:rPr>
        <w:t>.</w:t>
      </w:r>
      <w:r>
        <w:rPr>
          <w:snapToGrid w:val="0"/>
        </w:rPr>
        <w:tab/>
        <w:t>Practice and procedure</w:t>
      </w:r>
      <w:bookmarkEnd w:id="66"/>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 xml:space="preserve">in the </w:t>
      </w:r>
      <w:smartTag w:uri="urn:schemas-microsoft-com:office:smarttags" w:element="address">
        <w:smartTag w:uri="urn:schemas-microsoft-com:office:smarttags" w:element="Street">
          <w:r>
            <w:t>Magistrates Court</w:t>
          </w:r>
        </w:smartTag>
      </w:smartTag>
      <w:r>
        <w:t> — the practice and procedure applying in that court under the</w:t>
      </w:r>
      <w:r>
        <w:rPr>
          <w:i/>
        </w:rP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67" w:name="_Toc286235897"/>
      <w:bookmarkStart w:id="68" w:name="_Toc325636959"/>
      <w:bookmarkStart w:id="69" w:name="_Toc325709102"/>
      <w:r>
        <w:rPr>
          <w:rStyle w:val="CharPartNo"/>
        </w:rPr>
        <w:t>Part 3</w:t>
      </w:r>
      <w:r>
        <w:rPr>
          <w:rStyle w:val="CharDivNo"/>
        </w:rPr>
        <w:t> </w:t>
      </w:r>
      <w:r>
        <w:t>—</w:t>
      </w:r>
      <w:r>
        <w:rPr>
          <w:rStyle w:val="CharDivText"/>
        </w:rPr>
        <w:t> </w:t>
      </w:r>
      <w:r>
        <w:rPr>
          <w:rStyle w:val="CharPartText"/>
        </w:rPr>
        <w:t>Firearms constraints in PBOs</w:t>
      </w:r>
      <w:bookmarkEnd w:id="67"/>
      <w:bookmarkEnd w:id="68"/>
      <w:bookmarkEnd w:id="69"/>
    </w:p>
    <w:p>
      <w:pPr>
        <w:pStyle w:val="Heading5"/>
        <w:rPr>
          <w:snapToGrid w:val="0"/>
        </w:rPr>
      </w:pPr>
      <w:bookmarkStart w:id="70" w:name="_Toc325709103"/>
      <w:r>
        <w:rPr>
          <w:rStyle w:val="CharSectno"/>
        </w:rPr>
        <w:t>29</w:t>
      </w:r>
      <w:r>
        <w:rPr>
          <w:snapToGrid w:val="0"/>
        </w:rPr>
        <w:t>.</w:t>
      </w:r>
      <w:r>
        <w:rPr>
          <w:snapToGrid w:val="0"/>
        </w:rPr>
        <w:tab/>
        <w:t>Application of this Part</w:t>
      </w:r>
      <w:bookmarkEnd w:id="70"/>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71" w:name="_Toc325709104"/>
      <w:r>
        <w:rPr>
          <w:rStyle w:val="CharSectno"/>
        </w:rPr>
        <w:t>30</w:t>
      </w:r>
      <w:r>
        <w:t>.</w:t>
      </w:r>
      <w:r>
        <w:tab/>
        <w:t>Constrained person to give up possession of firearms and licences</w:t>
      </w:r>
      <w:bookmarkEnd w:id="71"/>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72" w:name="_Toc325709105"/>
      <w:r>
        <w:rPr>
          <w:rStyle w:val="CharSectno"/>
        </w:rPr>
        <w:t>31</w:t>
      </w:r>
      <w:r>
        <w:t>.</w:t>
      </w:r>
      <w:r>
        <w:tab/>
        <w:t>Seizure of firearms</w:t>
      </w:r>
      <w:bookmarkEnd w:id="72"/>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73" w:name="_Toc325709106"/>
      <w:r>
        <w:rPr>
          <w:rStyle w:val="CharSectno"/>
        </w:rPr>
        <w:t>32</w:t>
      </w:r>
      <w:r>
        <w:t>.</w:t>
      </w:r>
      <w:r>
        <w:tab/>
        <w:t>Notification of co</w:t>
      </w:r>
      <w:r>
        <w:noBreakHyphen/>
        <w:t>licensees and responsible persons</w:t>
      </w:r>
      <w:bookmarkEnd w:id="73"/>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74" w:name="_Toc286235902"/>
      <w:bookmarkStart w:id="75" w:name="_Toc325636964"/>
      <w:bookmarkStart w:id="76" w:name="_Toc325709107"/>
      <w:r>
        <w:rPr>
          <w:rStyle w:val="CharPartNo"/>
        </w:rPr>
        <w:t>Part 4</w:t>
      </w:r>
      <w:r>
        <w:rPr>
          <w:rStyle w:val="CharDivNo"/>
        </w:rPr>
        <w:t> </w:t>
      </w:r>
      <w:r>
        <w:t>—</w:t>
      </w:r>
      <w:r>
        <w:rPr>
          <w:rStyle w:val="CharDivText"/>
        </w:rPr>
        <w:t> </w:t>
      </w:r>
      <w:r>
        <w:rPr>
          <w:rStyle w:val="CharPartText"/>
        </w:rPr>
        <w:t>General</w:t>
      </w:r>
      <w:bookmarkEnd w:id="74"/>
      <w:bookmarkEnd w:id="75"/>
      <w:bookmarkEnd w:id="76"/>
    </w:p>
    <w:p>
      <w:pPr>
        <w:pStyle w:val="Heading5"/>
        <w:rPr>
          <w:snapToGrid w:val="0"/>
        </w:rPr>
      </w:pPr>
      <w:bookmarkStart w:id="77" w:name="_Toc325709108"/>
      <w:r>
        <w:rPr>
          <w:rStyle w:val="CharSectno"/>
        </w:rPr>
        <w:t>33</w:t>
      </w:r>
      <w:r>
        <w:rPr>
          <w:snapToGrid w:val="0"/>
        </w:rPr>
        <w:t>.</w:t>
      </w:r>
      <w:r>
        <w:rPr>
          <w:snapToGrid w:val="0"/>
        </w:rPr>
        <w:tab/>
        <w:t>Giving of documents</w:t>
      </w:r>
      <w:bookmarkEnd w:id="77"/>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78" w:name="_Toc325709109"/>
      <w:r>
        <w:rPr>
          <w:rStyle w:val="CharSectno"/>
        </w:rPr>
        <w:t>34</w:t>
      </w:r>
      <w:r>
        <w:t>.</w:t>
      </w:r>
      <w:r>
        <w:tab/>
        <w:t>Publication of details of constrained people</w:t>
      </w:r>
      <w:bookmarkEnd w:id="78"/>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79" w:name="_Toc325709110"/>
      <w:r>
        <w:rPr>
          <w:rStyle w:val="CharSectno"/>
        </w:rPr>
        <w:t>35</w:t>
      </w:r>
      <w:r>
        <w:rPr>
          <w:snapToGrid w:val="0"/>
        </w:rPr>
        <w:t>.</w:t>
      </w:r>
      <w:r>
        <w:rPr>
          <w:snapToGrid w:val="0"/>
        </w:rPr>
        <w:tab/>
        <w:t xml:space="preserve">Breach of </w:t>
      </w:r>
      <w:r>
        <w:t>PBO</w:t>
      </w:r>
      <w:bookmarkEnd w:id="79"/>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 xml:space="preserve">if the PBO was made by the </w:t>
      </w:r>
      <w:smartTag w:uri="urn:schemas-microsoft-com:office:smarttags" w:element="address">
        <w:smartTag w:uri="urn:schemas-microsoft-com:office:smarttags" w:element="Street">
          <w:r>
            <w:t>Magistrates Court</w:t>
          </w:r>
        </w:smartTag>
      </w:smartTag>
      <w:r>
        <w: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 xml:space="preserve">if the alleged offender is an adult — in the </w:t>
      </w:r>
      <w:smartTag w:uri="urn:schemas-microsoft-com:office:smarttags" w:element="address">
        <w:smartTag w:uri="urn:schemas-microsoft-com:office:smarttags" w:element="Street">
          <w:r>
            <w:t>Magistrates Court</w:t>
          </w:r>
        </w:smartTag>
      </w:smartTag>
      <w:r>
        <w:t>.</w:t>
      </w:r>
    </w:p>
    <w:p>
      <w:pPr>
        <w:pStyle w:val="Heading5"/>
      </w:pPr>
      <w:bookmarkStart w:id="80" w:name="_Toc325709111"/>
      <w:r>
        <w:rPr>
          <w:rStyle w:val="CharSectno"/>
        </w:rPr>
        <w:t>36</w:t>
      </w:r>
      <w:r>
        <w:t>.</w:t>
      </w:r>
      <w:r>
        <w:tab/>
        <w:t>Defence</w:t>
      </w:r>
      <w:bookmarkEnd w:id="80"/>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81" w:name="_Toc325709112"/>
      <w:r>
        <w:rPr>
          <w:rStyle w:val="CharSectno"/>
        </w:rPr>
        <w:t>37</w:t>
      </w:r>
      <w:r>
        <w:rPr>
          <w:snapToGrid w:val="0"/>
        </w:rPr>
        <w:t>.</w:t>
      </w:r>
      <w:r>
        <w:rPr>
          <w:snapToGrid w:val="0"/>
        </w:rPr>
        <w:tab/>
        <w:t>Appeals</w:t>
      </w:r>
      <w:bookmarkEnd w:id="81"/>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w:t>
      </w:r>
      <w:smartTag w:uri="urn:schemas-microsoft-com:office:smarttags" w:element="address">
        <w:smartTag w:uri="urn:schemas-microsoft-com:office:smarttags" w:element="Street">
          <w:r>
            <w:t>Magistrates Court</w:t>
          </w:r>
        </w:smartTag>
      </w:smartTag>
      <w:r>
        <w:t xml:space="preserve">, the appeal is to be made in accordance with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 xml:space="preserve">District Court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82" w:name="_Toc325709113"/>
      <w:r>
        <w:rPr>
          <w:rStyle w:val="CharSectno"/>
        </w:rPr>
        <w:t>38</w:t>
      </w:r>
      <w:r>
        <w:t>.</w:t>
      </w:r>
      <w:r>
        <w:tab/>
        <w:t>Protection from liability for wrongdoing</w:t>
      </w:r>
      <w:bookmarkEnd w:id="8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83" w:name="_Toc325709114"/>
      <w:r>
        <w:rPr>
          <w:rStyle w:val="CharSectno"/>
        </w:rPr>
        <w:t>39</w:t>
      </w:r>
      <w:r>
        <w:rPr>
          <w:snapToGrid w:val="0"/>
        </w:rPr>
        <w:t>.</w:t>
      </w:r>
      <w:r>
        <w:rPr>
          <w:snapToGrid w:val="0"/>
        </w:rPr>
        <w:tab/>
        <w:t>Regulations</w:t>
      </w:r>
      <w:bookmarkEnd w:id="83"/>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84" w:name="_Toc325709115"/>
      <w:r>
        <w:rPr>
          <w:rStyle w:val="CharSectno"/>
        </w:rPr>
        <w:t>40</w:t>
      </w:r>
      <w:r>
        <w:t>.</w:t>
      </w:r>
      <w:r>
        <w:tab/>
        <w:t>Review of Act</w:t>
      </w:r>
      <w:bookmarkEnd w:id="84"/>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85" w:name="_Toc286235911"/>
      <w:bookmarkStart w:id="86" w:name="_Toc325636973"/>
      <w:bookmarkStart w:id="87" w:name="_Toc325709116"/>
      <w:r>
        <w:rPr>
          <w:rStyle w:val="CharPartNo"/>
        </w:rPr>
        <w:t>Part 5</w:t>
      </w:r>
      <w:r>
        <w:t> — </w:t>
      </w:r>
      <w:r>
        <w:rPr>
          <w:rStyle w:val="CharPartText"/>
        </w:rPr>
        <w:t>Amendments to other Acts</w:t>
      </w:r>
      <w:bookmarkEnd w:id="85"/>
      <w:bookmarkEnd w:id="86"/>
      <w:bookmarkEnd w:id="87"/>
    </w:p>
    <w:p>
      <w:pPr>
        <w:pStyle w:val="Heading3"/>
        <w:spacing w:before="180"/>
      </w:pPr>
      <w:bookmarkStart w:id="88" w:name="_Toc286235912"/>
      <w:bookmarkStart w:id="89" w:name="_Toc325636974"/>
      <w:bookmarkStart w:id="90" w:name="_Toc325709117"/>
      <w:r>
        <w:rPr>
          <w:rStyle w:val="CharDivNo"/>
        </w:rPr>
        <w:t>Division 1</w:t>
      </w:r>
      <w:r>
        <w:t> — </w:t>
      </w:r>
      <w:r>
        <w:rPr>
          <w:rStyle w:val="CharDivText"/>
          <w:i/>
          <w:iCs/>
        </w:rPr>
        <w:t>Children’s Court of Western Australia Act 1988</w:t>
      </w:r>
      <w:r>
        <w:rPr>
          <w:rStyle w:val="CharDivText"/>
        </w:rPr>
        <w:t> amended</w:t>
      </w:r>
      <w:bookmarkEnd w:id="88"/>
      <w:bookmarkEnd w:id="89"/>
      <w:bookmarkEnd w:id="90"/>
    </w:p>
    <w:p>
      <w:pPr>
        <w:pStyle w:val="Heading5"/>
        <w:spacing w:before="180"/>
        <w:rPr>
          <w:snapToGrid w:val="0"/>
        </w:rPr>
      </w:pPr>
      <w:bookmarkStart w:id="91" w:name="_Toc325709118"/>
      <w:r>
        <w:rPr>
          <w:rStyle w:val="CharSectno"/>
        </w:rPr>
        <w:t>41</w:t>
      </w:r>
      <w:r>
        <w:rPr>
          <w:snapToGrid w:val="0"/>
        </w:rPr>
        <w:t>.</w:t>
      </w:r>
      <w:r>
        <w:rPr>
          <w:snapToGrid w:val="0"/>
        </w:rPr>
        <w:tab/>
        <w:t>Act amended</w:t>
      </w:r>
      <w:bookmarkEnd w:id="91"/>
    </w:p>
    <w:p>
      <w:pPr>
        <w:pStyle w:val="Subsection"/>
        <w:spacing w:before="120"/>
      </w:pPr>
      <w:r>
        <w:tab/>
      </w:r>
      <w:r>
        <w:tab/>
        <w:t xml:space="preserve">This Division amends the </w:t>
      </w:r>
      <w:r>
        <w:rPr>
          <w:i/>
        </w:rPr>
        <w:t>Children’s Court of Western Australia Act 1988</w:t>
      </w:r>
      <w:r>
        <w:t>.</w:t>
      </w:r>
    </w:p>
    <w:p>
      <w:pPr>
        <w:pStyle w:val="Heading5"/>
      </w:pPr>
      <w:bookmarkStart w:id="92" w:name="_Toc325709119"/>
      <w:r>
        <w:rPr>
          <w:rStyle w:val="CharSectno"/>
        </w:rPr>
        <w:t>42</w:t>
      </w:r>
      <w:r>
        <w:t>.</w:t>
      </w:r>
      <w:r>
        <w:tab/>
        <w:t>Section 3 amended</w:t>
      </w:r>
      <w:bookmarkEnd w:id="92"/>
    </w:p>
    <w:p>
      <w:pPr>
        <w:pStyle w:val="Subsection"/>
        <w:rPr>
          <w:b/>
        </w:rPr>
      </w:pPr>
      <w:r>
        <w:tab/>
      </w:r>
      <w:r>
        <w:tab/>
        <w:t xml:space="preserve">In section 3(1) in the definition of </w:t>
      </w:r>
      <w:r>
        <w:rPr>
          <w:b/>
          <w:i/>
        </w:rPr>
        <w:t>child</w:t>
      </w:r>
      <w:r>
        <w:t>:</w:t>
      </w:r>
    </w:p>
    <w:p>
      <w:pPr>
        <w:pStyle w:val="Indenta"/>
      </w:pPr>
      <w:r>
        <w:tab/>
        <w:t>(a)</w:t>
      </w:r>
      <w:r>
        <w:tab/>
        <w:t>after paragraph (c) insert:</w:t>
      </w:r>
    </w:p>
    <w:p>
      <w:pPr>
        <w:pStyle w:val="BlankOpen"/>
      </w:pPr>
    </w:p>
    <w:p>
      <w:pPr>
        <w:pStyle w:val="zIndenta"/>
      </w:pPr>
      <w:r>
        <w:tab/>
        <w:t>(d)</w:t>
      </w:r>
      <w:r>
        <w:tab/>
        <w:t>a boy or girl dealt with under section 20(3)(b);</w:t>
      </w:r>
    </w:p>
    <w:p>
      <w:pPr>
        <w:pStyle w:val="BlankClose"/>
        <w:rPr>
          <w:rStyle w:val="CharSectno"/>
        </w:rPr>
      </w:pPr>
    </w:p>
    <w:p>
      <w:pPr>
        <w:pStyle w:val="Indenta"/>
      </w:pPr>
      <w:r>
        <w:tab/>
        <w:t>(b)</w:t>
      </w:r>
      <w:r>
        <w:tab/>
        <w:t>after each of paragraphs (a) and (c) insert:</w:t>
      </w:r>
    </w:p>
    <w:p>
      <w:pPr>
        <w:pStyle w:val="BlankOpen"/>
      </w:pPr>
    </w:p>
    <w:p>
      <w:pPr>
        <w:pStyle w:val="zIndenta"/>
      </w:pPr>
      <w:r>
        <w:tab/>
      </w:r>
      <w:r>
        <w:tab/>
        <w:t>and</w:t>
      </w:r>
    </w:p>
    <w:p>
      <w:pPr>
        <w:pStyle w:val="BlankClose"/>
        <w:rPr>
          <w:rStyle w:val="CharSectno"/>
        </w:rPr>
      </w:pPr>
    </w:p>
    <w:p>
      <w:pPr>
        <w:pStyle w:val="Heading5"/>
        <w:spacing w:before="180"/>
      </w:pPr>
      <w:bookmarkStart w:id="93" w:name="_Toc325709120"/>
      <w:r>
        <w:rPr>
          <w:rStyle w:val="CharSectno"/>
        </w:rPr>
        <w:t>43</w:t>
      </w:r>
      <w:r>
        <w:t>.</w:t>
      </w:r>
      <w:r>
        <w:tab/>
        <w:t>Section 20 amended</w:t>
      </w:r>
      <w:bookmarkEnd w:id="93"/>
    </w:p>
    <w:p>
      <w:pPr>
        <w:pStyle w:val="Subsection"/>
        <w:spacing w:before="120"/>
      </w:pPr>
      <w:r>
        <w:tab/>
      </w:r>
      <w:r>
        <w:tab/>
        <w:t>After section 20(2) insert:</w:t>
      </w:r>
    </w:p>
    <w:p>
      <w:pPr>
        <w:pStyle w:val="BlankOpen"/>
      </w:pPr>
    </w:p>
    <w:p>
      <w:pPr>
        <w:pStyle w:val="zSubsection"/>
        <w:spacing w:before="120"/>
      </w:pPr>
      <w:r>
        <w:tab/>
        <w:t>(3)</w:t>
      </w:r>
      <w:r>
        <w:tab/>
        <w:t xml:space="preserve">Subject to this Act, the Court has exclusive jurisdiction to hear PBO proceedings under the </w:t>
      </w:r>
      <w:r>
        <w:rPr>
          <w:i/>
          <w:iCs/>
        </w:rPr>
        <w:t>Prohibited Behaviour Orders Act 2010</w:t>
      </w:r>
      <w:r>
        <w:t xml:space="preserve"> relating to — </w:t>
      </w:r>
    </w:p>
    <w:p>
      <w:pPr>
        <w:pStyle w:val="zIndenta"/>
      </w:pPr>
      <w:r>
        <w:tab/>
        <w:t>(a)</w:t>
      </w:r>
      <w:r>
        <w:tab/>
        <w:t>a person who is under 18 years of age; or</w:t>
      </w:r>
    </w:p>
    <w:p>
      <w:pPr>
        <w:pStyle w:val="zIndenta"/>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pPr>
        <w:pStyle w:val="BlankClose"/>
      </w:pPr>
    </w:p>
    <w:p>
      <w:pPr>
        <w:pStyle w:val="Heading5"/>
        <w:spacing w:before="180"/>
      </w:pPr>
      <w:bookmarkStart w:id="94" w:name="_Toc325709121"/>
      <w:r>
        <w:rPr>
          <w:rStyle w:val="CharSectno"/>
        </w:rPr>
        <w:t>44</w:t>
      </w:r>
      <w:r>
        <w:t>.</w:t>
      </w:r>
      <w:r>
        <w:tab/>
        <w:t>Section 35 amended</w:t>
      </w:r>
      <w:bookmarkEnd w:id="94"/>
    </w:p>
    <w:p>
      <w:pPr>
        <w:pStyle w:val="Subsection"/>
        <w:spacing w:before="120"/>
      </w:pPr>
      <w:r>
        <w:tab/>
        <w:t>(1)</w:t>
      </w:r>
      <w:r>
        <w:tab/>
        <w:t>In section 35(1)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Subsection"/>
        <w:spacing w:before="120"/>
      </w:pPr>
      <w:r>
        <w:tab/>
        <w:t>(2)</w:t>
      </w:r>
      <w:r>
        <w:tab/>
        <w:t>In section 35(3)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5"/>
        <w:spacing w:before="180"/>
      </w:pPr>
      <w:bookmarkStart w:id="95" w:name="_Toc325709122"/>
      <w:r>
        <w:rPr>
          <w:rStyle w:val="CharSectno"/>
        </w:rPr>
        <w:t>45</w:t>
      </w:r>
      <w:r>
        <w:t>.</w:t>
      </w:r>
      <w:r>
        <w:tab/>
        <w:t>Section 36 amended</w:t>
      </w:r>
      <w:bookmarkEnd w:id="95"/>
    </w:p>
    <w:p>
      <w:pPr>
        <w:pStyle w:val="Subsection"/>
        <w:spacing w:before="120"/>
      </w:pPr>
      <w:r>
        <w:tab/>
      </w:r>
      <w:r>
        <w:tab/>
        <w:t>In section 36(1)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3"/>
      </w:pPr>
      <w:bookmarkStart w:id="96" w:name="_Toc286235918"/>
      <w:bookmarkStart w:id="97" w:name="_Toc325636980"/>
      <w:bookmarkStart w:id="98" w:name="_Toc325709123"/>
      <w:r>
        <w:rPr>
          <w:rStyle w:val="CharDivNo"/>
        </w:rPr>
        <w:t>Division 2</w:t>
      </w:r>
      <w:r>
        <w:t> — </w:t>
      </w:r>
      <w:r>
        <w:rPr>
          <w:rStyle w:val="CharDivText"/>
          <w:i/>
          <w:iCs/>
        </w:rPr>
        <w:t>Criminal Investigation Act 2006</w:t>
      </w:r>
      <w:r>
        <w:rPr>
          <w:rStyle w:val="CharDivText"/>
        </w:rPr>
        <w:t xml:space="preserve"> amended</w:t>
      </w:r>
      <w:bookmarkEnd w:id="96"/>
      <w:bookmarkEnd w:id="97"/>
      <w:bookmarkEnd w:id="98"/>
    </w:p>
    <w:p>
      <w:pPr>
        <w:pStyle w:val="Heading5"/>
        <w:rPr>
          <w:snapToGrid w:val="0"/>
        </w:rPr>
      </w:pPr>
      <w:bookmarkStart w:id="99" w:name="_Toc325709124"/>
      <w:r>
        <w:rPr>
          <w:rStyle w:val="CharSectno"/>
        </w:rPr>
        <w:t>46</w:t>
      </w:r>
      <w:r>
        <w:rPr>
          <w:snapToGrid w:val="0"/>
        </w:rPr>
        <w:t>.</w:t>
      </w:r>
      <w:r>
        <w:rPr>
          <w:snapToGrid w:val="0"/>
        </w:rPr>
        <w:tab/>
        <w:t>Act amended</w:t>
      </w:r>
      <w:bookmarkEnd w:id="99"/>
    </w:p>
    <w:p>
      <w:pPr>
        <w:pStyle w:val="Subsection"/>
      </w:pPr>
      <w:r>
        <w:tab/>
      </w:r>
      <w:r>
        <w:tab/>
        <w:t xml:space="preserve">This Division amends the </w:t>
      </w:r>
      <w:r>
        <w:rPr>
          <w:i/>
        </w:rPr>
        <w:t>Criminal Investigation Act 2006</w:t>
      </w:r>
      <w:r>
        <w:t>.</w:t>
      </w:r>
    </w:p>
    <w:p>
      <w:pPr>
        <w:pStyle w:val="Heading5"/>
      </w:pPr>
      <w:bookmarkStart w:id="100" w:name="_Toc325709125"/>
      <w:r>
        <w:rPr>
          <w:rStyle w:val="CharSectno"/>
        </w:rPr>
        <w:t>47</w:t>
      </w:r>
      <w:r>
        <w:t>.</w:t>
      </w:r>
      <w:r>
        <w:tab/>
        <w:t>Section 69A inserted</w:t>
      </w:r>
      <w:bookmarkEnd w:id="100"/>
    </w:p>
    <w:p>
      <w:pPr>
        <w:pStyle w:val="Subsection"/>
      </w:pPr>
      <w:r>
        <w:tab/>
      </w:r>
      <w:r>
        <w:tab/>
        <w:t>After section 68 insert:</w:t>
      </w:r>
    </w:p>
    <w:p>
      <w:pPr>
        <w:pStyle w:val="BlankOpen"/>
      </w:pPr>
    </w:p>
    <w:p>
      <w:pPr>
        <w:pStyle w:val="zHeading5"/>
      </w:pPr>
      <w:bookmarkStart w:id="101" w:name="_Toc325709126"/>
      <w:r>
        <w:t>69A.</w:t>
      </w:r>
      <w:r>
        <w:tab/>
        <w:t>Searching people for things relevant to prohibited behaviour orders</w:t>
      </w:r>
      <w:bookmarkEnd w:id="101"/>
    </w:p>
    <w:p>
      <w:pPr>
        <w:pStyle w:val="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3"/>
      </w:pPr>
      <w:bookmarkStart w:id="102" w:name="_Toc286235922"/>
      <w:bookmarkStart w:id="103" w:name="_Toc325636984"/>
      <w:bookmarkStart w:id="104" w:name="_Toc325709127"/>
      <w:r>
        <w:rPr>
          <w:rStyle w:val="CharDivNo"/>
        </w:rPr>
        <w:t>Division 3</w:t>
      </w:r>
      <w:r>
        <w:t> — </w:t>
      </w:r>
      <w:r>
        <w:rPr>
          <w:rStyle w:val="CharDivText"/>
          <w:i/>
          <w:iCs/>
        </w:rPr>
        <w:t>Criminal Investigation (Identifying People) Act 2002</w:t>
      </w:r>
      <w:r>
        <w:rPr>
          <w:rStyle w:val="CharDivText"/>
        </w:rPr>
        <w:t xml:space="preserve"> amended</w:t>
      </w:r>
      <w:bookmarkEnd w:id="102"/>
      <w:bookmarkEnd w:id="103"/>
      <w:bookmarkEnd w:id="104"/>
    </w:p>
    <w:p>
      <w:pPr>
        <w:pStyle w:val="Heading5"/>
      </w:pPr>
      <w:bookmarkStart w:id="105" w:name="_Toc325709128"/>
      <w:r>
        <w:rPr>
          <w:rStyle w:val="CharSectno"/>
        </w:rPr>
        <w:t>48</w:t>
      </w:r>
      <w:r>
        <w:t>.</w:t>
      </w:r>
      <w:r>
        <w:tab/>
        <w:t>Act amended</w:t>
      </w:r>
      <w:bookmarkEnd w:id="105"/>
    </w:p>
    <w:p>
      <w:pPr>
        <w:pStyle w:val="Subsection"/>
      </w:pPr>
      <w:r>
        <w:tab/>
      </w:r>
      <w:r>
        <w:tab/>
        <w:t xml:space="preserve">This Division amends the </w:t>
      </w:r>
      <w:r>
        <w:rPr>
          <w:i/>
          <w:iCs/>
        </w:rPr>
        <w:t>Criminal Investigation (Identifying People) Act 2002</w:t>
      </w:r>
      <w:r>
        <w:t>.</w:t>
      </w:r>
    </w:p>
    <w:p>
      <w:pPr>
        <w:pStyle w:val="Heading5"/>
      </w:pPr>
      <w:bookmarkStart w:id="106" w:name="_Toc325709129"/>
      <w:r>
        <w:rPr>
          <w:rStyle w:val="CharSectno"/>
        </w:rPr>
        <w:t>49</w:t>
      </w:r>
      <w:r>
        <w:t>.</w:t>
      </w:r>
      <w:r>
        <w:tab/>
        <w:t>Section 73 amended</w:t>
      </w:r>
      <w:bookmarkEnd w:id="106"/>
    </w:p>
    <w:p>
      <w:pPr>
        <w:pStyle w:val="Subsection"/>
      </w:pPr>
      <w:r>
        <w:tab/>
      </w:r>
      <w:r>
        <w:tab/>
        <w:t>After section 73(1)(m) insert:</w:t>
      </w:r>
    </w:p>
    <w:p>
      <w:pPr>
        <w:pStyle w:val="BlankOpen"/>
      </w:pPr>
    </w:p>
    <w:p>
      <w:pPr>
        <w:pStyle w:val="zIndenta"/>
      </w:pPr>
      <w:r>
        <w:tab/>
        <w:t>(na)</w:t>
      </w:r>
      <w:r>
        <w:tab/>
        <w:t xml:space="preserve">for the purposes of the </w:t>
      </w:r>
      <w:r>
        <w:rPr>
          <w:i/>
          <w:iCs/>
        </w:rPr>
        <w:t>Prohibited Behaviour Orders Act 2010</w:t>
      </w:r>
      <w:r>
        <w:t xml:space="preserve"> section 34;</w:t>
      </w:r>
    </w:p>
    <w:p>
      <w:pPr>
        <w:pStyle w:val="BlankClose"/>
      </w:pPr>
    </w:p>
    <w:p>
      <w:pPr>
        <w:pStyle w:val="Heading3"/>
      </w:pPr>
      <w:bookmarkStart w:id="107" w:name="_Toc286235925"/>
      <w:bookmarkStart w:id="108" w:name="_Toc325636987"/>
      <w:bookmarkStart w:id="109" w:name="_Toc325709130"/>
      <w:r>
        <w:rPr>
          <w:rStyle w:val="CharDivNo"/>
        </w:rPr>
        <w:t>Division 4</w:t>
      </w:r>
      <w:r>
        <w:t> — </w:t>
      </w:r>
      <w:r>
        <w:rPr>
          <w:rStyle w:val="CharDivText"/>
          <w:i/>
          <w:iCs/>
        </w:rPr>
        <w:t>Sentencing Act 1995</w:t>
      </w:r>
      <w:r>
        <w:rPr>
          <w:rStyle w:val="CharDivText"/>
        </w:rPr>
        <w:t xml:space="preserve"> amended</w:t>
      </w:r>
      <w:bookmarkEnd w:id="107"/>
      <w:bookmarkEnd w:id="108"/>
      <w:bookmarkEnd w:id="109"/>
    </w:p>
    <w:p>
      <w:pPr>
        <w:pStyle w:val="Heading5"/>
        <w:rPr>
          <w:snapToGrid w:val="0"/>
        </w:rPr>
      </w:pPr>
      <w:bookmarkStart w:id="110" w:name="_Toc325709131"/>
      <w:r>
        <w:rPr>
          <w:rStyle w:val="CharSectno"/>
        </w:rPr>
        <w:t>50</w:t>
      </w:r>
      <w:r>
        <w:rPr>
          <w:snapToGrid w:val="0"/>
        </w:rPr>
        <w:t>.</w:t>
      </w:r>
      <w:r>
        <w:rPr>
          <w:snapToGrid w:val="0"/>
        </w:rPr>
        <w:tab/>
        <w:t>Act amended</w:t>
      </w:r>
      <w:bookmarkEnd w:id="110"/>
    </w:p>
    <w:p>
      <w:pPr>
        <w:pStyle w:val="Subsection"/>
      </w:pPr>
      <w:r>
        <w:tab/>
      </w:r>
      <w:r>
        <w:tab/>
        <w:t xml:space="preserve">This Division amends the </w:t>
      </w:r>
      <w:r>
        <w:rPr>
          <w:i/>
        </w:rPr>
        <w:t>Sentencing Act 1995</w:t>
      </w:r>
      <w:r>
        <w:t>.</w:t>
      </w:r>
    </w:p>
    <w:p>
      <w:pPr>
        <w:pStyle w:val="Heading5"/>
      </w:pPr>
      <w:bookmarkStart w:id="111" w:name="_Toc325709132"/>
      <w:r>
        <w:rPr>
          <w:rStyle w:val="CharSectno"/>
        </w:rPr>
        <w:t>51</w:t>
      </w:r>
      <w:r>
        <w:t>.</w:t>
      </w:r>
      <w:r>
        <w:tab/>
        <w:t>Section 124B inserted</w:t>
      </w:r>
      <w:bookmarkEnd w:id="111"/>
    </w:p>
    <w:p>
      <w:pPr>
        <w:pStyle w:val="Subsection"/>
        <w:keepNext/>
      </w:pPr>
      <w:r>
        <w:tab/>
      </w:r>
      <w:r>
        <w:tab/>
        <w:t>At the end of Part 17 insert:</w:t>
      </w:r>
    </w:p>
    <w:p>
      <w:pPr>
        <w:pStyle w:val="BlankOpen"/>
      </w:pPr>
    </w:p>
    <w:p>
      <w:pPr>
        <w:pStyle w:val="zHeading5"/>
      </w:pPr>
      <w:bookmarkStart w:id="112" w:name="_Toc325709133"/>
      <w:r>
        <w:t>124B.</w:t>
      </w:r>
      <w:r>
        <w:tab/>
        <w:t>Prohibited behaviour orders</w:t>
      </w:r>
      <w:bookmarkEnd w:id="112"/>
    </w:p>
    <w:p>
      <w:pPr>
        <w:pStyle w:val="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113" w:name="_Toc119746908"/>
      <w:bookmarkStart w:id="114" w:name="_Toc264280905"/>
      <w:bookmarkStart w:id="115" w:name="_Toc267996921"/>
      <w:bookmarkStart w:id="116" w:name="_Toc280004386"/>
      <w:bookmarkStart w:id="117" w:name="_Toc280004565"/>
      <w:bookmarkStart w:id="118" w:name="_Toc280084916"/>
      <w:bookmarkStart w:id="119" w:name="_Toc286235929"/>
      <w:bookmarkStart w:id="120" w:name="_Toc325636991"/>
      <w:bookmarkStart w:id="121" w:name="_Toc325709134"/>
      <w:bookmarkStart w:id="122" w:name="_Toc261945611"/>
      <w:bookmarkStart w:id="123" w:name="_Toc263858258"/>
      <w:bookmarkStart w:id="124" w:name="_Toc263864101"/>
      <w:bookmarkStart w:id="125" w:name="_Toc271882686"/>
      <w:bookmarkStart w:id="126" w:name="_Toc278778164"/>
      <w:bookmarkStart w:id="127" w:name="_Toc279145487"/>
      <w:bookmarkStart w:id="128" w:name="_Toc279656091"/>
      <w:bookmarkStart w:id="129" w:name="_Toc279656700"/>
      <w:bookmarkStart w:id="130" w:name="_Toc279663770"/>
      <w:bookmarkStart w:id="131" w:name="_Toc280003390"/>
      <w:r>
        <w:t>Notes</w:t>
      </w:r>
      <w:bookmarkEnd w:id="113"/>
      <w:bookmarkEnd w:id="114"/>
      <w:bookmarkEnd w:id="115"/>
      <w:bookmarkEnd w:id="116"/>
      <w:bookmarkEnd w:id="117"/>
      <w:bookmarkEnd w:id="118"/>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snapToGrid w:val="0"/>
        </w:rPr>
        <w:t>Prohibited Behaviour Orders Act 2010</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132" w:name="_Toc325709135"/>
      <w:r>
        <w:rPr>
          <w:snapToGrid w:val="0"/>
        </w:rPr>
        <w:t>Compilation table</w:t>
      </w:r>
      <w:bookmarkEnd w:id="1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Prohibited Behaviour Orders Act 2010</w:t>
            </w:r>
          </w:p>
        </w:tc>
        <w:tc>
          <w:tcPr>
            <w:tcW w:w="1134" w:type="dxa"/>
          </w:tcPr>
          <w:p>
            <w:pPr>
              <w:pStyle w:val="nTable"/>
              <w:spacing w:after="40"/>
              <w:rPr>
                <w:sz w:val="19"/>
              </w:rPr>
            </w:pPr>
            <w:r>
              <w:rPr>
                <w:sz w:val="19"/>
              </w:rPr>
              <w:t>59 of 2010</w:t>
            </w:r>
          </w:p>
        </w:tc>
        <w:tc>
          <w:tcPr>
            <w:tcW w:w="1134" w:type="dxa"/>
          </w:tcPr>
          <w:p>
            <w:pPr>
              <w:pStyle w:val="nTable"/>
              <w:spacing w:after="40"/>
              <w:rPr>
                <w:sz w:val="19"/>
              </w:rPr>
            </w:pPr>
            <w:r>
              <w:rPr>
                <w:sz w:val="19"/>
              </w:rPr>
              <w:t>8 Dec 2010</w:t>
            </w:r>
          </w:p>
        </w:tc>
        <w:tc>
          <w:tcPr>
            <w:tcW w:w="2552" w:type="dxa"/>
          </w:tcPr>
          <w:p>
            <w:pPr>
              <w:pStyle w:val="nTable"/>
              <w:spacing w:after="40"/>
              <w:rPr>
                <w:sz w:val="19"/>
              </w:rPr>
            </w:pPr>
            <w:r>
              <w:rPr>
                <w:sz w:val="19"/>
              </w:rPr>
              <w:t>s. 1 and 2: 8 Dec 2010 (see s. 2(a))</w:t>
            </w:r>
          </w:p>
          <w:p>
            <w:pPr>
              <w:pStyle w:val="nTable"/>
              <w:spacing w:before="0" w:after="40"/>
              <w:rPr>
                <w:sz w:val="19"/>
              </w:rPr>
            </w:pPr>
            <w:r>
              <w:rPr>
                <w:sz w:val="19"/>
              </w:rPr>
              <w:t xml:space="preserve">Act other than s. 1 and 2: 23 Feb 2011 (see s. 2(b) and </w:t>
            </w:r>
            <w:r>
              <w:rPr>
                <w:i/>
                <w:sz w:val="19"/>
              </w:rPr>
              <w:t>Gazette</w:t>
            </w:r>
            <w:r>
              <w:rPr>
                <w:sz w:val="19"/>
              </w:rPr>
              <w:t xml:space="preserve"> 23 Feb 2011 p. 633)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3" w:name="_Toc7405065"/>
      <w:bookmarkStart w:id="134" w:name="_Toc325615577"/>
      <w:bookmarkStart w:id="135" w:name="_Toc325709136"/>
      <w:r>
        <w:t>Provisions that have not come into operation</w:t>
      </w:r>
      <w:bookmarkEnd w:id="133"/>
      <w:bookmarkEnd w:id="134"/>
      <w:bookmarkEnd w:id="13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43</w:t>
            </w:r>
            <w:r>
              <w:rPr>
                <w:snapToGrid w:val="0"/>
                <w:sz w:val="19"/>
                <w:vertAlign w:val="superscript"/>
                <w:lang w:val="en-US"/>
              </w:rPr>
              <w:t> 2</w:t>
            </w:r>
          </w:p>
        </w:tc>
        <w:tc>
          <w:tcPr>
            <w:tcW w:w="1118" w:type="dxa"/>
          </w:tcPr>
          <w:p>
            <w:pPr>
              <w:pStyle w:val="nTable"/>
              <w:spacing w:after="40"/>
              <w:rPr>
                <w:snapToGrid w:val="0"/>
                <w:sz w:val="19"/>
                <w:lang w:val="en-US"/>
              </w:rPr>
            </w:pPr>
            <w:r>
              <w:rPr>
                <w:snapToGrid w:val="0"/>
                <w:sz w:val="19"/>
                <w:lang w:val="en-US"/>
              </w:rPr>
              <w:t>8 of 2012</w:t>
            </w:r>
          </w:p>
        </w:tc>
        <w:tc>
          <w:tcPr>
            <w:tcW w:w="1134" w:type="dxa"/>
          </w:tcPr>
          <w:p>
            <w:pPr>
              <w:pStyle w:val="nTable"/>
              <w:spacing w:after="40"/>
              <w:rPr>
                <w:snapToGrid w:val="0"/>
                <w:sz w:val="19"/>
                <w:lang w:val="en-US"/>
              </w:rPr>
            </w:pPr>
            <w:r>
              <w:rPr>
                <w:sz w:val="19"/>
              </w:rPr>
              <w:t>21 May 2012</w:t>
            </w:r>
          </w:p>
        </w:tc>
        <w:tc>
          <w:tcPr>
            <w:tcW w:w="2552"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43</w:t>
      </w:r>
      <w:r>
        <w:rPr>
          <w:snapToGrid w:val="0"/>
        </w:rPr>
        <w:t xml:space="preserve"> had not come into operation.  It reads as follows:</w:t>
      </w:r>
    </w:p>
    <w:p>
      <w:pPr>
        <w:pStyle w:val="BlankOpen"/>
        <w:rPr>
          <w:snapToGrid w:val="0"/>
        </w:rPr>
      </w:pPr>
    </w:p>
    <w:p>
      <w:pPr>
        <w:pStyle w:val="nzHeading3"/>
      </w:pPr>
      <w:bookmarkStart w:id="136" w:name="_Toc309642042"/>
      <w:bookmarkStart w:id="137" w:name="_Toc309642345"/>
      <w:bookmarkStart w:id="138" w:name="_Toc309642648"/>
      <w:bookmarkStart w:id="139" w:name="_Toc309644202"/>
      <w:bookmarkStart w:id="140" w:name="_Toc323891164"/>
      <w:bookmarkStart w:id="141" w:name="_Toc323891467"/>
      <w:bookmarkStart w:id="142" w:name="_Toc324163882"/>
      <w:bookmarkStart w:id="143" w:name="_Toc324164185"/>
      <w:bookmarkStart w:id="144" w:name="_Toc324168532"/>
      <w:bookmarkStart w:id="145" w:name="_Toc324168835"/>
      <w:bookmarkStart w:id="146" w:name="_Toc324169263"/>
      <w:bookmarkStart w:id="147" w:name="_Toc324169566"/>
      <w:bookmarkStart w:id="148" w:name="_Toc325379688"/>
      <w:bookmarkStart w:id="149" w:name="_Toc325381336"/>
      <w:bookmarkStart w:id="150" w:name="_Toc325381639"/>
      <w:bookmarkStart w:id="151" w:name="_Toc325381942"/>
      <w:r>
        <w:rPr>
          <w:rStyle w:val="CharDivNo"/>
        </w:rPr>
        <w:t>Division 43</w:t>
      </w:r>
      <w:r>
        <w:t> — </w:t>
      </w:r>
      <w:r>
        <w:rPr>
          <w:rStyle w:val="CharDivText"/>
          <w:i/>
        </w:rPr>
        <w:t>Prohibited Behaviour Orders Act 2010</w:t>
      </w:r>
      <w:r>
        <w:rPr>
          <w:rStyle w:val="CharDivText"/>
        </w:rPr>
        <w:t xml:space="preserve"> amended</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nzHeading5"/>
      </w:pPr>
      <w:bookmarkStart w:id="152" w:name="_Toc325381640"/>
      <w:bookmarkStart w:id="153" w:name="_Toc325381943"/>
      <w:r>
        <w:rPr>
          <w:rStyle w:val="CharSectno"/>
        </w:rPr>
        <w:t>164</w:t>
      </w:r>
      <w:r>
        <w:t>.</w:t>
      </w:r>
      <w:r>
        <w:tab/>
        <w:t>Act amended</w:t>
      </w:r>
      <w:bookmarkEnd w:id="152"/>
      <w:bookmarkEnd w:id="153"/>
    </w:p>
    <w:p>
      <w:pPr>
        <w:pStyle w:val="nzSubsection"/>
      </w:pPr>
      <w:r>
        <w:tab/>
      </w:r>
      <w:r>
        <w:tab/>
        <w:t xml:space="preserve">This Division amends the </w:t>
      </w:r>
      <w:r>
        <w:rPr>
          <w:i/>
        </w:rPr>
        <w:t>Prohibited Behaviour Orders Act 2010</w:t>
      </w:r>
      <w:r>
        <w:t>.</w:t>
      </w:r>
    </w:p>
    <w:p>
      <w:pPr>
        <w:pStyle w:val="nzHeading5"/>
      </w:pPr>
      <w:bookmarkStart w:id="154" w:name="_Toc325381641"/>
      <w:bookmarkStart w:id="155" w:name="_Toc325381944"/>
      <w:r>
        <w:rPr>
          <w:rStyle w:val="CharSectno"/>
        </w:rPr>
        <w:t>165</w:t>
      </w:r>
      <w:r>
        <w:t>.</w:t>
      </w:r>
      <w:r>
        <w:tab/>
        <w:t>Section 10 amended</w:t>
      </w:r>
      <w:bookmarkEnd w:id="154"/>
      <w:bookmarkEnd w:id="155"/>
    </w:p>
    <w:p>
      <w:pPr>
        <w:pStyle w:val="nzSubsection"/>
      </w:pPr>
      <w:r>
        <w:tab/>
      </w:r>
      <w:r>
        <w:tab/>
        <w:t>Delete section 10(7)(b) and insert:</w:t>
      </w:r>
    </w:p>
    <w:p>
      <w:pPr>
        <w:pStyle w:val="BlankOpen"/>
      </w:pPr>
    </w:p>
    <w:p>
      <w:pPr>
        <w:pStyle w:val="nz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BlankClose"/>
      </w:pPr>
    </w:p>
    <w:p>
      <w:pPr>
        <w:pStyle w:val="BlankClose"/>
      </w:pPr>
    </w:p>
    <w:p/>
    <w:bookmarkEnd w:id="122"/>
    <w:bookmarkEnd w:id="123"/>
    <w:bookmarkEnd w:id="124"/>
    <w:bookmarkEnd w:id="125"/>
    <w:bookmarkEnd w:id="126"/>
    <w:bookmarkEnd w:id="127"/>
    <w:bookmarkEnd w:id="128"/>
    <w:bookmarkEnd w:id="129"/>
    <w:bookmarkEnd w:id="130"/>
    <w:bookmarkEnd w:id="131"/>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56" w:name="_Toc325636994"/>
      <w:bookmarkStart w:id="157" w:name="_Toc325709137"/>
      <w:r>
        <w:rPr>
          <w:sz w:val="28"/>
        </w:rPr>
        <w:t>Defined Terms</w:t>
      </w:r>
      <w:bookmarkEnd w:id="156"/>
      <w:bookmarkEnd w:id="1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8" w:name="DefinedTerms"/>
      <w:bookmarkEnd w:id="158"/>
      <w:r>
        <w:t>adult</w:t>
      </w:r>
      <w:r>
        <w:tab/>
        <w:t>3(1)</w:t>
      </w:r>
    </w:p>
    <w:p>
      <w:pPr>
        <w:pStyle w:val="DefinedTerms"/>
      </w:pPr>
      <w:r>
        <w:t>anti</w:t>
      </w:r>
      <w:r>
        <w:noBreakHyphen/>
        <w:t>social behaviour</w:t>
      </w:r>
      <w:r>
        <w:tab/>
        <w:t>3(1)</w:t>
      </w:r>
    </w:p>
    <w:p>
      <w:pPr>
        <w:pStyle w:val="DefinedTerms"/>
      </w:pPr>
      <w:r>
        <w:t>CEO</w:t>
      </w:r>
      <w:r>
        <w:tab/>
        <w:t>34(1)</w:t>
      </w:r>
    </w:p>
    <w:p>
      <w:pPr>
        <w:pStyle w:val="DefinedTerms"/>
      </w:pPr>
      <w:r>
        <w:t>child</w:t>
      </w:r>
      <w:r>
        <w:tab/>
        <w:t>3(1)</w:t>
      </w:r>
    </w:p>
    <w:p>
      <w:pPr>
        <w:pStyle w:val="DefinedTerms"/>
      </w:pPr>
      <w:r>
        <w:t>child welfare law</w:t>
      </w:r>
      <w:r>
        <w:tab/>
        <w:t>18(1)</w:t>
      </w:r>
    </w:p>
    <w:p>
      <w:pPr>
        <w:pStyle w:val="DefinedTerms"/>
      </w:pPr>
      <w:r>
        <w:t>co</w:t>
      </w:r>
      <w:r>
        <w:noBreakHyphen/>
        <w:t>licensee</w:t>
      </w:r>
      <w:r>
        <w:tab/>
        <w:t>32(1)</w:t>
      </w:r>
    </w:p>
    <w:p>
      <w:pPr>
        <w:pStyle w:val="DefinedTerms"/>
      </w:pPr>
      <w:r>
        <w:t>Commissioner of Police</w:t>
      </w:r>
      <w:r>
        <w:tab/>
        <w:t>3(1)</w:t>
      </w:r>
    </w:p>
    <w:p>
      <w:pPr>
        <w:pStyle w:val="DefinedTerms"/>
      </w:pPr>
      <w:r>
        <w:t>community based sentence</w:t>
      </w:r>
      <w:r>
        <w:tab/>
        <w:t>12(1)</w:t>
      </w:r>
    </w:p>
    <w:p>
      <w:pPr>
        <w:pStyle w:val="DefinedTerms"/>
      </w:pPr>
      <w:r>
        <w:t>constrained person</w:t>
      </w:r>
      <w:r>
        <w:tab/>
        <w:t>3(1)</w:t>
      </w:r>
    </w:p>
    <w:p>
      <w:pPr>
        <w:pStyle w:val="DefinedTerms"/>
      </w:pPr>
      <w:r>
        <w:t>conviction</w:t>
      </w:r>
      <w:r>
        <w:tab/>
        <w:t>8(1)</w:t>
      </w:r>
    </w:p>
    <w:p>
      <w:pPr>
        <w:pStyle w:val="DefinedTerms"/>
      </w:pPr>
      <w:r>
        <w:t>Department</w:t>
      </w:r>
      <w:r>
        <w:tab/>
        <w:t>34(1)</w:t>
      </w:r>
    </w:p>
    <w:p>
      <w:pPr>
        <w:pStyle w:val="DefinedTerms"/>
      </w:pPr>
      <w:r>
        <w:t>firearm</w:t>
      </w:r>
      <w:r>
        <w:tab/>
        <w:t>3(1)</w:t>
      </w:r>
    </w:p>
    <w:p>
      <w:pPr>
        <w:pStyle w:val="DefinedTerms"/>
      </w:pPr>
      <w:r>
        <w:t>firearm licence</w:t>
      </w:r>
      <w:r>
        <w:tab/>
        <w:t>3(1)</w:t>
      </w:r>
    </w:p>
    <w:p>
      <w:pPr>
        <w:pStyle w:val="DefinedTerms"/>
      </w:pPr>
      <w:r>
        <w:t>hearing notice</w:t>
      </w:r>
      <w:r>
        <w:tab/>
        <w:t>3(1)</w:t>
      </w:r>
    </w:p>
    <w:p>
      <w:pPr>
        <w:pStyle w:val="DefinedTerms"/>
      </w:pPr>
      <w:r>
        <w:t>legal practitioner</w:t>
      </w:r>
      <w:r>
        <w:tab/>
        <w:t>36(1)</w:t>
      </w:r>
    </w:p>
    <w:p>
      <w:pPr>
        <w:pStyle w:val="DefinedTerms"/>
      </w:pPr>
      <w:r>
        <w:t>party</w:t>
      </w:r>
      <w:r>
        <w:tab/>
        <w:t>3(1)</w:t>
      </w:r>
    </w:p>
    <w:p>
      <w:pPr>
        <w:pStyle w:val="DefinedTerms"/>
      </w:pPr>
      <w:r>
        <w:t>PBO</w:t>
      </w:r>
      <w:r>
        <w:tab/>
        <w:t>3(1)</w:t>
      </w:r>
    </w:p>
    <w:p>
      <w:pPr>
        <w:pStyle w:val="DefinedTerms"/>
      </w:pPr>
      <w:r>
        <w:t>PBO proceedings</w:t>
      </w:r>
      <w:r>
        <w:tab/>
        <w:t>3(1)</w:t>
      </w:r>
    </w:p>
    <w:p>
      <w:pPr>
        <w:pStyle w:val="DefinedTerms"/>
      </w:pPr>
      <w:r>
        <w:t>prescribed</w:t>
      </w:r>
      <w:r>
        <w:tab/>
        <w:t>3(1)</w:t>
      </w:r>
    </w:p>
    <w:p>
      <w:pPr>
        <w:pStyle w:val="DefinedTerms"/>
      </w:pPr>
      <w:r>
        <w:t>prohibited behaviour order</w:t>
      </w:r>
      <w:r>
        <w:tab/>
        <w:t>3(1)</w:t>
      </w:r>
    </w:p>
    <w:p>
      <w:pPr>
        <w:pStyle w:val="DefinedTerms"/>
      </w:pPr>
      <w:r>
        <w:t>prosecutor</w:t>
      </w:r>
      <w:r>
        <w:tab/>
        <w:t>3(1)</w:t>
      </w:r>
    </w:p>
    <w:p>
      <w:pPr>
        <w:pStyle w:val="DefinedTerms"/>
      </w:pPr>
      <w:r>
        <w:t>registrar</w:t>
      </w:r>
      <w:r>
        <w:tab/>
        <w:t>3(1)</w:t>
      </w:r>
    </w:p>
    <w:p>
      <w:pPr>
        <w:pStyle w:val="DefinedTerms"/>
      </w:pPr>
      <w:r>
        <w:t>related prosecution</w:t>
      </w:r>
      <w:r>
        <w:tab/>
        <w:t>3(1)</w:t>
      </w:r>
    </w:p>
    <w:p>
      <w:pPr>
        <w:pStyle w:val="DefinedTerms"/>
      </w:pPr>
      <w:r>
        <w:t>related sentence</w:t>
      </w:r>
      <w:r>
        <w:tab/>
        <w:t>3(1)</w:t>
      </w:r>
    </w:p>
    <w:p>
      <w:pPr>
        <w:pStyle w:val="DefinedTerms"/>
        <w:rPr>
          <w:lang w:val="fr-FR"/>
        </w:rPr>
      </w:pPr>
      <w:r>
        <w:rPr>
          <w:lang w:val="fr-FR"/>
        </w:rPr>
        <w:t>relevant offence</w:t>
      </w:r>
      <w:r>
        <w:rPr>
          <w:lang w:val="fr-FR"/>
        </w:rPr>
        <w:tab/>
        <w:t>3(1)</w:t>
      </w:r>
    </w:p>
    <w:p>
      <w:pPr>
        <w:pStyle w:val="DefinedTerms"/>
        <w:rPr>
          <w:lang w:val="fr-FR"/>
        </w:rPr>
      </w:pPr>
      <w:r>
        <w:rPr>
          <w:lang w:val="fr-FR"/>
        </w:rPr>
        <w:t>responsible person</w:t>
      </w:r>
      <w:r>
        <w:rPr>
          <w:lang w:val="fr-FR"/>
        </w:rPr>
        <w:tab/>
        <w:t>32(1)</w:t>
      </w:r>
    </w:p>
    <w:p>
      <w:pPr>
        <w:pStyle w:val="DefinedTerms"/>
        <w:rPr>
          <w:lang w:val="fr-FR"/>
        </w:rPr>
      </w:pPr>
      <w:r>
        <w:rPr>
          <w:lang w:val="fr-FR"/>
        </w:rPr>
        <w:t>sentence</w:t>
      </w:r>
      <w:r>
        <w:rPr>
          <w:lang w:val="fr-FR"/>
        </w:rPr>
        <w:tab/>
        <w:t>6(1)</w:t>
      </w:r>
    </w:p>
    <w:p>
      <w:pPr>
        <w:pStyle w:val="DefinedTerms"/>
      </w:pPr>
      <w:r>
        <w:t>specified</w:t>
      </w:r>
      <w:r>
        <w:tab/>
        <w:t>10(1), 12(1)</w:t>
      </w:r>
    </w:p>
    <w:p>
      <w:pPr>
        <w:pStyle w:val="DefinedTerms"/>
      </w:pPr>
      <w:r>
        <w:t>wellbeing</w:t>
      </w:r>
      <w:r>
        <w:tab/>
        <w:t>3(1)</w:t>
      </w:r>
    </w:p>
    <w:p>
      <w:pPr>
        <w:pStyle w:val="DefinedTerms"/>
      </w:pPr>
      <w:r>
        <w:t>youth</w:t>
      </w:r>
      <w:r>
        <w:tab/>
        <w:t>3(1)</w:t>
      </w:r>
    </w:p>
    <w:p>
      <w:pPr>
        <w:pStyle w:val="DefinedTerms"/>
      </w:pPr>
      <w:r>
        <w:t>youth</w:t>
      </w:r>
      <w:r>
        <w:noBreakHyphen/>
        <w:t>related PBO proceedings</w:t>
      </w:r>
      <w:r>
        <w:tab/>
        <w:t>16</w:t>
      </w:r>
    </w:p>
    <w:p>
      <w:pPr>
        <w:pStyle w:val="DefinedTerms"/>
        <w:sectPr>
          <w:headerReference w:type="even" r:id="rId29"/>
          <w:headerReference w:type="default" r:id="rId30"/>
          <w:footerReference w:type="even" r:id="rId31"/>
          <w:footerReference w:type="default" r:id="rId32"/>
          <w:headerReference w:type="first" r:id="rId33"/>
          <w:foot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headerReference w:type="default"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iii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Prohibited Behaviour Orders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Prohibited Behaviour Orders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Prohibited Behaviour Orders Act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48</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A80684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052E05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7751</Words>
  <Characters>36667</Characters>
  <Application>Microsoft Office Word</Application>
  <DocSecurity>0</DocSecurity>
  <Lines>1111</Lines>
  <Paragraphs>716</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(Bills)</vt:lpstr>
      <vt:lpstr/>
      <vt:lpstr>Western Australia</vt:lpstr>
      <vt:lpstr>    Part 1 — Preliminary</vt:lpstr>
      <vt:lpstr>    Part 2 — Prohibited behaviour orders</vt:lpstr>
      <vt:lpstr>        Division 1 — Making PBOs, general</vt:lpstr>
      <vt:lpstr>        Division 2 — Making PBOs against youths</vt:lpstr>
      <vt:lpstr>        Division 3 — Varying or cancelling PBOs</vt:lpstr>
      <vt:lpstr>        Division 4 — PBO proceedings</vt:lpstr>
      <vt:lpstr>    Part 3 — Firearms constraints in PBOs</vt:lpstr>
      <vt:lpstr>    Part 4 — General</vt:lpstr>
      <vt:lpstr>    Part 5 — Amendments to other Acts</vt:lpstr>
      <vt:lpstr>        Division 1 — Children’s Court of Western Australia Act 1988 amended</vt:lpstr>
      <vt:lpstr>        Division 2 — Criminal Investigation Act 2006 amended</vt:lpstr>
      <vt:lpstr>        Division 3 — Criminal Investigation (Identifying People) Act 2002 amended</vt:lpstr>
      <vt:lpstr>        Division 4 — Sentencing Act 1995 amended</vt:lpstr>
      <vt:lpstr>    Notes</vt:lpstr>
      <vt:lpstr>    Defined Terms</vt:lpstr>
    </vt:vector>
  </TitlesOfParts>
  <Manager/>
  <Company/>
  <LinksUpToDate>false</LinksUpToDate>
  <CharactersWithSpaces>43702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2010 - 00-c0-01</dc:title>
  <dc:subject/>
  <dc:creator/>
  <cp:keywords/>
  <dc:description/>
  <cp:lastModifiedBy>svcMRProcess</cp:lastModifiedBy>
  <cp:revision>4</cp:revision>
  <cp:lastPrinted>2010-12-09T03:04:00Z</cp:lastPrinted>
  <dcterms:created xsi:type="dcterms:W3CDTF">2018-09-18T15:54:00Z</dcterms:created>
  <dcterms:modified xsi:type="dcterms:W3CDTF">2018-09-18T15:54:00Z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CommencementDate">
    <vt:lpwstr>20120521</vt:lpwstr>
  </property>
  <property fmtid="{D5CDD505-2E9C-101B-9397-08002B2CF9AE}" pid="4" name="AsAtDate">
    <vt:lpwstr>21 May 2012</vt:lpwstr>
  </property>
  <property fmtid="{D5CDD505-2E9C-101B-9397-08002B2CF9AE}" pid="5" name="Suffix">
    <vt:lpwstr>00-c0-01</vt:lpwstr>
  </property>
  <property fmtid="{D5CDD505-2E9C-101B-9397-08002B2CF9AE}" pid="6" name="OwlsUID">
    <vt:i4>146805</vt:i4>
  </property>
  <property fmtid="{D5CDD505-2E9C-101B-9397-08002B2CF9AE}" pid="7" name="DocumentType">
    <vt:lpwstr>Act</vt:lpwstr>
  </property>
</Properties>
</file>