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Safety Council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Road Safety Council Act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_Toc416962648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_Toc416962649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_Toc416962650 \h </w:instrText>
      </w:r>
      <w:r>
        <w:fldChar w:fldCharType="separate"/>
      </w:r>
      <w:r>
        <w:t>1</w:t>
      </w:r>
      <w:r>
        <w:fldChar w:fldCharType="end"/>
      </w:r>
    </w:p>
    <w:p>
      <w:pPr>
        <w:pStyle w:val="TOC8"/>
        <w:rPr>
          <w:rFonts w:asciiTheme="minorHAnsi" w:eastAsiaTheme="minorEastAsia" w:hAnsiTheme="minorHAnsi" w:cstheme="minorBidi"/>
          <w:szCs w:val="22"/>
        </w:rPr>
      </w:pPr>
      <w:r>
        <w:t>4.</w:t>
      </w:r>
      <w:r>
        <w:tab/>
        <w:t>Establishment</w:t>
      </w:r>
      <w:r>
        <w:tab/>
      </w:r>
      <w:r>
        <w:fldChar w:fldCharType="begin"/>
      </w:r>
      <w:r>
        <w:instrText xml:space="preserve"> PAGEREF _Toc416962651 \h </w:instrText>
      </w:r>
      <w:r>
        <w:fldChar w:fldCharType="separate"/>
      </w:r>
      <w:r>
        <w:t>2</w:t>
      </w:r>
      <w:r>
        <w:fldChar w:fldCharType="end"/>
      </w:r>
    </w:p>
    <w:p>
      <w:pPr>
        <w:pStyle w:val="TOC8"/>
        <w:rPr>
          <w:rFonts w:asciiTheme="minorHAnsi" w:eastAsiaTheme="minorEastAsia" w:hAnsiTheme="minorHAnsi" w:cstheme="minorBidi"/>
          <w:szCs w:val="22"/>
        </w:rPr>
      </w:pPr>
      <w:r>
        <w:t>5.</w:t>
      </w:r>
      <w:r>
        <w:tab/>
        <w:t>Functions</w:t>
      </w:r>
      <w:r>
        <w:tab/>
      </w:r>
      <w:r>
        <w:fldChar w:fldCharType="begin"/>
      </w:r>
      <w:r>
        <w:instrText xml:space="preserve"> PAGEREF _Toc416962652 \h </w:instrText>
      </w:r>
      <w:r>
        <w:fldChar w:fldCharType="separate"/>
      </w:r>
      <w:r>
        <w:t>2</w:t>
      </w:r>
      <w:r>
        <w:fldChar w:fldCharType="end"/>
      </w:r>
    </w:p>
    <w:p>
      <w:pPr>
        <w:pStyle w:val="TOC8"/>
        <w:rPr>
          <w:rFonts w:asciiTheme="minorHAnsi" w:eastAsiaTheme="minorEastAsia" w:hAnsiTheme="minorHAnsi" w:cstheme="minorBidi"/>
          <w:szCs w:val="22"/>
        </w:rPr>
      </w:pPr>
      <w:r>
        <w:t>6A.</w:t>
      </w:r>
      <w:r>
        <w:tab/>
        <w:t>Minister may give directions</w:t>
      </w:r>
      <w:r>
        <w:tab/>
      </w:r>
      <w:r>
        <w:fldChar w:fldCharType="begin"/>
      </w:r>
      <w:r>
        <w:instrText xml:space="preserve"> PAGEREF _Toc416962653 \h </w:instrText>
      </w:r>
      <w:r>
        <w:fldChar w:fldCharType="separate"/>
      </w:r>
      <w:r>
        <w:t>3</w:t>
      </w:r>
      <w:r>
        <w:fldChar w:fldCharType="end"/>
      </w:r>
    </w:p>
    <w:p>
      <w:pPr>
        <w:pStyle w:val="TOC8"/>
        <w:rPr>
          <w:rFonts w:asciiTheme="minorHAnsi" w:eastAsiaTheme="minorEastAsia" w:hAnsiTheme="minorHAnsi" w:cstheme="minorBidi"/>
          <w:szCs w:val="22"/>
        </w:rPr>
      </w:pPr>
      <w:r>
        <w:t>6.</w:t>
      </w:r>
      <w:r>
        <w:tab/>
        <w:t>Membership</w:t>
      </w:r>
      <w:r>
        <w:tab/>
      </w:r>
      <w:r>
        <w:fldChar w:fldCharType="begin"/>
      </w:r>
      <w:r>
        <w:instrText xml:space="preserve"> PAGEREF _Toc416962654 \h </w:instrText>
      </w:r>
      <w:r>
        <w:fldChar w:fldCharType="separate"/>
      </w:r>
      <w:r>
        <w:t>3</w:t>
      </w:r>
      <w:r>
        <w:fldChar w:fldCharType="end"/>
      </w:r>
    </w:p>
    <w:p>
      <w:pPr>
        <w:pStyle w:val="TOC8"/>
        <w:rPr>
          <w:rFonts w:asciiTheme="minorHAnsi" w:eastAsiaTheme="minorEastAsia" w:hAnsiTheme="minorHAnsi" w:cstheme="minorBidi"/>
          <w:szCs w:val="22"/>
        </w:rPr>
      </w:pPr>
      <w:r>
        <w:t>7.</w:t>
      </w:r>
      <w:r>
        <w:tab/>
        <w:t>Deputy of member</w:t>
      </w:r>
      <w:r>
        <w:tab/>
      </w:r>
      <w:r>
        <w:fldChar w:fldCharType="begin"/>
      </w:r>
      <w:r>
        <w:instrText xml:space="preserve"> PAGEREF _Toc416962655 \h </w:instrText>
      </w:r>
      <w:r>
        <w:fldChar w:fldCharType="separate"/>
      </w:r>
      <w:r>
        <w:t>5</w:t>
      </w:r>
      <w:r>
        <w:fldChar w:fldCharType="end"/>
      </w:r>
    </w:p>
    <w:p>
      <w:pPr>
        <w:pStyle w:val="TOC8"/>
        <w:rPr>
          <w:rFonts w:asciiTheme="minorHAnsi" w:eastAsiaTheme="minorEastAsia" w:hAnsiTheme="minorHAnsi" w:cstheme="minorBidi"/>
          <w:szCs w:val="22"/>
        </w:rPr>
      </w:pPr>
      <w:r>
        <w:t>8.</w:t>
      </w:r>
      <w:r>
        <w:tab/>
        <w:t>Nomination for appointment</w:t>
      </w:r>
      <w:r>
        <w:tab/>
      </w:r>
      <w:r>
        <w:fldChar w:fldCharType="begin"/>
      </w:r>
      <w:r>
        <w:instrText xml:space="preserve"> PAGEREF _Toc416962656 \h </w:instrText>
      </w:r>
      <w:r>
        <w:fldChar w:fldCharType="separate"/>
      </w:r>
      <w:r>
        <w:t>6</w:t>
      </w:r>
      <w:r>
        <w:fldChar w:fldCharType="end"/>
      </w:r>
    </w:p>
    <w:p>
      <w:pPr>
        <w:pStyle w:val="TOC8"/>
        <w:rPr>
          <w:rFonts w:asciiTheme="minorHAnsi" w:eastAsiaTheme="minorEastAsia" w:hAnsiTheme="minorHAnsi" w:cstheme="minorBidi"/>
          <w:szCs w:val="22"/>
        </w:rPr>
      </w:pPr>
      <w:r>
        <w:t>9.</w:t>
      </w:r>
      <w:r>
        <w:tab/>
        <w:t>Duration of appointment as member or deputy</w:t>
      </w:r>
      <w:r>
        <w:tab/>
      </w:r>
      <w:r>
        <w:fldChar w:fldCharType="begin"/>
      </w:r>
      <w:r>
        <w:instrText xml:space="preserve"> PAGEREF _Toc416962657 \h </w:instrText>
      </w:r>
      <w:r>
        <w:fldChar w:fldCharType="separate"/>
      </w:r>
      <w:r>
        <w:t>6</w:t>
      </w:r>
      <w:r>
        <w:fldChar w:fldCharType="end"/>
      </w:r>
    </w:p>
    <w:p>
      <w:pPr>
        <w:pStyle w:val="TOC8"/>
        <w:rPr>
          <w:rFonts w:asciiTheme="minorHAnsi" w:eastAsiaTheme="minorEastAsia" w:hAnsiTheme="minorHAnsi" w:cstheme="minorBidi"/>
          <w:szCs w:val="22"/>
        </w:rPr>
      </w:pPr>
      <w:r>
        <w:t>10.</w:t>
      </w:r>
      <w:r>
        <w:tab/>
        <w:t>Remuneration and allowances</w:t>
      </w:r>
      <w:r>
        <w:tab/>
      </w:r>
      <w:r>
        <w:fldChar w:fldCharType="begin"/>
      </w:r>
      <w:r>
        <w:instrText xml:space="preserve"> PAGEREF _Toc416962658 \h </w:instrText>
      </w:r>
      <w:r>
        <w:fldChar w:fldCharType="separate"/>
      </w:r>
      <w:r>
        <w:t>7</w:t>
      </w:r>
      <w:r>
        <w:fldChar w:fldCharType="end"/>
      </w:r>
    </w:p>
    <w:p>
      <w:pPr>
        <w:pStyle w:val="TOC8"/>
        <w:rPr>
          <w:rFonts w:asciiTheme="minorHAnsi" w:eastAsiaTheme="minorEastAsia" w:hAnsiTheme="minorHAnsi" w:cstheme="minorBidi"/>
          <w:szCs w:val="22"/>
        </w:rPr>
      </w:pPr>
      <w:r>
        <w:t>11.</w:t>
      </w:r>
      <w:r>
        <w:tab/>
        <w:t>Meetings</w:t>
      </w:r>
      <w:r>
        <w:tab/>
      </w:r>
      <w:r>
        <w:fldChar w:fldCharType="begin"/>
      </w:r>
      <w:r>
        <w:instrText xml:space="preserve"> PAGEREF _Toc416962659 \h </w:instrText>
      </w:r>
      <w:r>
        <w:fldChar w:fldCharType="separate"/>
      </w:r>
      <w:r>
        <w:t>7</w:t>
      </w:r>
      <w:r>
        <w:fldChar w:fldCharType="end"/>
      </w:r>
    </w:p>
    <w:p>
      <w:pPr>
        <w:pStyle w:val="TOC8"/>
        <w:rPr>
          <w:rFonts w:asciiTheme="minorHAnsi" w:eastAsiaTheme="minorEastAsia" w:hAnsiTheme="minorHAnsi" w:cstheme="minorBidi"/>
          <w:szCs w:val="22"/>
        </w:rPr>
      </w:pPr>
      <w:r>
        <w:t>12.</w:t>
      </w:r>
      <w:r>
        <w:tab/>
        <w:t>Road Trauma Trust Account</w:t>
      </w:r>
      <w:r>
        <w:tab/>
      </w:r>
      <w:r>
        <w:fldChar w:fldCharType="begin"/>
      </w:r>
      <w:r>
        <w:instrText xml:space="preserve"> PAGEREF _Toc416962660 \h </w:instrText>
      </w:r>
      <w:r>
        <w:fldChar w:fldCharType="separate"/>
      </w:r>
      <w:r>
        <w:t>8</w:t>
      </w:r>
      <w:r>
        <w:fldChar w:fldCharType="end"/>
      </w:r>
    </w:p>
    <w:p>
      <w:pPr>
        <w:pStyle w:val="TOC8"/>
        <w:rPr>
          <w:rFonts w:asciiTheme="minorHAnsi" w:eastAsiaTheme="minorEastAsia" w:hAnsiTheme="minorHAnsi" w:cstheme="minorBidi"/>
          <w:szCs w:val="22"/>
        </w:rPr>
      </w:pPr>
      <w:r>
        <w:t>13.</w:t>
      </w:r>
      <w:r>
        <w:tab/>
        <w:t>Annual report</w:t>
      </w:r>
      <w:r>
        <w:tab/>
      </w:r>
      <w:r>
        <w:fldChar w:fldCharType="begin"/>
      </w:r>
      <w:r>
        <w:instrText xml:space="preserve"> PAGEREF _Toc416962661 \h </w:instrText>
      </w:r>
      <w:r>
        <w:fldChar w:fldCharType="separate"/>
      </w:r>
      <w:r>
        <w:t>10</w:t>
      </w:r>
      <w:r>
        <w:fldChar w:fldCharType="end"/>
      </w:r>
    </w:p>
    <w:p>
      <w:pPr>
        <w:pStyle w:val="TOC8"/>
        <w:rPr>
          <w:rFonts w:asciiTheme="minorHAnsi" w:eastAsiaTheme="minorEastAsia" w:hAnsiTheme="minorHAnsi" w:cstheme="minorBidi"/>
          <w:szCs w:val="22"/>
        </w:rPr>
      </w:pPr>
      <w:r>
        <w:t>14.</w:t>
      </w:r>
      <w:r>
        <w:tab/>
        <w:t>Protection from liability for wrongdoing</w:t>
      </w:r>
      <w:r>
        <w:tab/>
      </w:r>
      <w:r>
        <w:fldChar w:fldCharType="begin"/>
      </w:r>
      <w:r>
        <w:instrText xml:space="preserve"> PAGEREF _Toc416962662 \h </w:instrText>
      </w:r>
      <w:r>
        <w:fldChar w:fldCharType="separate"/>
      </w:r>
      <w:r>
        <w:t>10</w:t>
      </w:r>
      <w:r>
        <w:fldChar w:fldCharType="end"/>
      </w:r>
    </w:p>
    <w:p>
      <w:pPr>
        <w:pStyle w:val="TOC8"/>
        <w:rPr>
          <w:rFonts w:asciiTheme="minorHAnsi" w:eastAsiaTheme="minorEastAsia" w:hAnsiTheme="minorHAnsi" w:cstheme="minorBidi"/>
          <w:szCs w:val="22"/>
        </w:rPr>
      </w:pPr>
      <w:r>
        <w:t>15.</w:t>
      </w:r>
      <w:r>
        <w:tab/>
        <w:t>Supplementary provision about laying directions before Parliament</w:t>
      </w:r>
      <w:r>
        <w:tab/>
      </w:r>
      <w:r>
        <w:fldChar w:fldCharType="begin"/>
      </w:r>
      <w:r>
        <w:instrText xml:space="preserve"> PAGEREF _Toc416962663 \h </w:instrText>
      </w:r>
      <w:r>
        <w:fldChar w:fldCharType="separate"/>
      </w:r>
      <w:r>
        <w:t>10</w:t>
      </w:r>
      <w:r>
        <w:fldChar w:fldCharType="end"/>
      </w:r>
    </w:p>
    <w:p>
      <w:pPr>
        <w:pStyle w:val="TOC8"/>
        <w:rPr>
          <w:rFonts w:asciiTheme="minorHAnsi" w:eastAsiaTheme="minorEastAsia" w:hAnsiTheme="minorHAnsi" w:cstheme="minorBidi"/>
          <w:szCs w:val="22"/>
        </w:rPr>
      </w:pPr>
      <w:r>
        <w:t>16.</w:t>
      </w:r>
      <w:r>
        <w:tab/>
        <w:t>Transitional provision: credits of prescribed penalties to the Account</w:t>
      </w:r>
      <w:r>
        <w:tab/>
      </w:r>
      <w:r>
        <w:fldChar w:fldCharType="begin"/>
      </w:r>
      <w:r>
        <w:instrText xml:space="preserve"> PAGEREF _Toc416962664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_Toc416962666 \h </w:instrText>
      </w:r>
      <w:r>
        <w:fldChar w:fldCharType="separate"/>
      </w:r>
      <w:r>
        <w:t>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_Toc416962667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2</w:t>
      </w:r>
      <w:r>
        <w:t>.</w:t>
      </w:r>
    </w:p>
    <w:p>
      <w:pPr>
        <w:pStyle w:val="Heading5"/>
        <w:spacing w:before="480"/>
        <w:rPr>
          <w:snapToGrid w:val="0"/>
        </w:rPr>
      </w:pPr>
      <w:bookmarkStart w:id="3" w:name="_Toc377393570"/>
      <w:bookmarkStart w:id="4" w:name="_Toc416962648"/>
      <w:r>
        <w:rPr>
          <w:rStyle w:val="CharSectno"/>
        </w:rPr>
        <w:t>1</w:t>
      </w:r>
      <w:r>
        <w:rPr>
          <w:snapToGrid w:val="0"/>
        </w:rPr>
        <w:t>.</w:t>
      </w:r>
      <w:r>
        <w:rPr>
          <w:snapToGrid w:val="0"/>
        </w:rPr>
        <w:tab/>
        <w:t>Short title</w:t>
      </w:r>
      <w:bookmarkEnd w:id="3"/>
      <w:bookmarkEnd w:id="4"/>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vertAlign w:val="superscript"/>
        </w:rPr>
        <w:t> 1</w:t>
      </w:r>
      <w:r>
        <w:rPr>
          <w:snapToGrid w:val="0"/>
        </w:rPr>
        <w:t>.</w:t>
      </w:r>
    </w:p>
    <w:p>
      <w:pPr>
        <w:pStyle w:val="Heading5"/>
        <w:keepNext w:val="0"/>
        <w:keepLines w:val="0"/>
        <w:rPr>
          <w:snapToGrid w:val="0"/>
        </w:rPr>
      </w:pPr>
      <w:bookmarkStart w:id="5" w:name="_Toc377393571"/>
      <w:bookmarkStart w:id="6" w:name="_Toc416962649"/>
      <w:r>
        <w:rPr>
          <w:rStyle w:val="CharSectno"/>
        </w:rPr>
        <w:t>2</w:t>
      </w:r>
      <w:r>
        <w:rPr>
          <w:snapToGrid w:val="0"/>
        </w:rPr>
        <w:t>.</w:t>
      </w:r>
      <w:r>
        <w:rPr>
          <w:snapToGrid w:val="0"/>
        </w:rPr>
        <w:tab/>
        <w:t>Commencement</w:t>
      </w:r>
      <w:bookmarkEnd w:id="5"/>
      <w:bookmarkEnd w:id="6"/>
    </w:p>
    <w:p>
      <w:pPr>
        <w:pStyle w:val="Subsection"/>
      </w:pPr>
      <w:r>
        <w:tab/>
        <w:t>(1)</w:t>
      </w:r>
      <w:r>
        <w:tab/>
        <w:t>This Act comes into operation on a day fixed by proclamation except as otherwise stated in subsection (2)</w:t>
      </w:r>
      <w:r>
        <w:rPr>
          <w:vertAlign w:val="superscript"/>
        </w:rPr>
        <w:t> 1</w:t>
      </w:r>
      <w:r>
        <w:t>.</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r>
        <w:rPr>
          <w:vertAlign w:val="superscript"/>
        </w:rPr>
        <w:t> 1</w:t>
      </w:r>
      <w:r>
        <w:t>.</w:t>
      </w:r>
    </w:p>
    <w:p>
      <w:pPr>
        <w:pStyle w:val="Heading5"/>
      </w:pPr>
      <w:bookmarkStart w:id="7" w:name="_Toc377393572"/>
      <w:bookmarkStart w:id="8" w:name="_Toc416962650"/>
      <w:r>
        <w:rPr>
          <w:rStyle w:val="CharSectno"/>
        </w:rPr>
        <w:t>3</w:t>
      </w:r>
      <w:r>
        <w:t>.</w:t>
      </w:r>
      <w:r>
        <w:tab/>
        <w:t>Terms used</w:t>
      </w:r>
      <w:bookmarkEnd w:id="7"/>
      <w:bookmarkEnd w:id="8"/>
    </w:p>
    <w:p>
      <w:pPr>
        <w:pStyle w:val="Subsection"/>
      </w:pPr>
      <w:r>
        <w:tab/>
      </w:r>
      <w:r>
        <w:tab/>
        <w:t xml:space="preserve">In this Act, unless the contrary intention appears — </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rPr>
        <w:t>Road Traffic Act 1974</w:t>
      </w:r>
      <w:r>
        <w:t>;</w:t>
      </w:r>
    </w:p>
    <w:p>
      <w:pPr>
        <w:pStyle w:val="Defstart"/>
      </w:pPr>
      <w:r>
        <w:tab/>
      </w:r>
      <w:r>
        <w:rPr>
          <w:rStyle w:val="CharDefText"/>
        </w:rPr>
        <w:t>the Account</w:t>
      </w:r>
      <w:r>
        <w:t xml:space="preserve"> means the account called the “Road Trauma Trust Account” that is referred to in section 12.</w:t>
      </w:r>
    </w:p>
    <w:p>
      <w:pPr>
        <w:pStyle w:val="Footnotesection"/>
      </w:pPr>
      <w:r>
        <w:tab/>
        <w:t>[Section 3 amended by No. 77 of 2006 Sch. 1 cl. 151(1).]</w:t>
      </w:r>
    </w:p>
    <w:p>
      <w:pPr>
        <w:pStyle w:val="Heading5"/>
      </w:pPr>
      <w:bookmarkStart w:id="9" w:name="_Toc377393573"/>
      <w:bookmarkStart w:id="10" w:name="_Toc416962651"/>
      <w:r>
        <w:rPr>
          <w:rStyle w:val="CharSectno"/>
        </w:rPr>
        <w:t>4</w:t>
      </w:r>
      <w:r>
        <w:t>.</w:t>
      </w:r>
      <w:r>
        <w:tab/>
        <w:t>Establishment</w:t>
      </w:r>
      <w:bookmarkEnd w:id="9"/>
      <w:bookmarkEnd w:id="10"/>
    </w:p>
    <w:p>
      <w:pPr>
        <w:pStyle w:val="Subsection"/>
      </w:pPr>
      <w:r>
        <w:tab/>
      </w:r>
      <w:r>
        <w:tab/>
        <w:t>There is to be a body called the Road Safety Council.</w:t>
      </w:r>
    </w:p>
    <w:p>
      <w:pPr>
        <w:pStyle w:val="Heading5"/>
      </w:pPr>
      <w:bookmarkStart w:id="11" w:name="_Toc377393574"/>
      <w:bookmarkStart w:id="12" w:name="_Toc416962652"/>
      <w:r>
        <w:rPr>
          <w:rStyle w:val="CharSectno"/>
        </w:rPr>
        <w:t>5</w:t>
      </w:r>
      <w:r>
        <w:t>.</w:t>
      </w:r>
      <w:r>
        <w:tab/>
        <w:t>Functions</w:t>
      </w:r>
      <w:bookmarkEnd w:id="11"/>
      <w:bookmarkEnd w:id="12"/>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pPr>
      <w:r>
        <w:tab/>
        <w:t>(g)</w:t>
      </w:r>
      <w:r>
        <w:tab/>
        <w:t>to make recommendations to the Minister in compliance with directions given by the Minister under section 6A.</w:t>
      </w:r>
    </w:p>
    <w:p>
      <w:pPr>
        <w:pStyle w:val="Footnotesection"/>
      </w:pPr>
      <w:r>
        <w:tab/>
        <w:t>[Section 5 amended by No. 30 of 2011 s. 4.]</w:t>
      </w:r>
    </w:p>
    <w:p>
      <w:pPr>
        <w:pStyle w:val="Heading5"/>
      </w:pPr>
      <w:bookmarkStart w:id="13" w:name="_Toc377393575"/>
      <w:bookmarkStart w:id="14" w:name="_Toc416962653"/>
      <w:r>
        <w:rPr>
          <w:rStyle w:val="CharSectno"/>
        </w:rPr>
        <w:t>6A</w:t>
      </w:r>
      <w:r>
        <w:t>.</w:t>
      </w:r>
      <w:r>
        <w:tab/>
        <w:t>Minister may give directions</w:t>
      </w:r>
      <w:bookmarkEnd w:id="13"/>
      <w:bookmarkEnd w:id="14"/>
    </w:p>
    <w:p>
      <w:pPr>
        <w:pStyle w:val="Subsection"/>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by No. 30 of 2011 s. 5.]</w:t>
      </w:r>
    </w:p>
    <w:p>
      <w:pPr>
        <w:pStyle w:val="Heading5"/>
      </w:pPr>
      <w:bookmarkStart w:id="15" w:name="_Toc377393576"/>
      <w:bookmarkStart w:id="16" w:name="_Toc416962654"/>
      <w:r>
        <w:rPr>
          <w:rStyle w:val="CharSectno"/>
        </w:rPr>
        <w:t>6</w:t>
      </w:r>
      <w:r>
        <w:t>.</w:t>
      </w:r>
      <w:r>
        <w:tab/>
        <w:t>Membership</w:t>
      </w:r>
      <w:bookmarkEnd w:id="15"/>
      <w:bookmarkEnd w:id="16"/>
    </w:p>
    <w:p>
      <w:pPr>
        <w:pStyle w:val="Subsection"/>
      </w:pPr>
      <w:r>
        <w:tab/>
        <w:t>(1)</w:t>
      </w:r>
      <w:r>
        <w:tab/>
        <w:t xml:space="preserve">The Council is to consist of 12 members appointed by the Minister, being — </w:t>
      </w:r>
    </w:p>
    <w:p>
      <w:pPr>
        <w:pStyle w:val="Indenta"/>
      </w:pPr>
      <w:r>
        <w:tab/>
        <w:t>(a)</w:t>
      </w:r>
      <w:r>
        <w:tab/>
        <w:t>a person to be the chairman of the Council;</w:t>
      </w:r>
    </w:p>
    <w:p>
      <w:pPr>
        <w:pStyle w:val="Indenta"/>
      </w:pPr>
      <w:r>
        <w:tab/>
        <w:t>(b)</w:t>
      </w:r>
      <w:r>
        <w:tab/>
        <w:t>a person to represent users of roads;</w:t>
      </w:r>
    </w:p>
    <w:p>
      <w:pPr>
        <w:pStyle w:val="Indenta"/>
      </w:pPr>
      <w:r>
        <w:tab/>
        <w:t>(c)</w:t>
      </w:r>
      <w:r>
        <w:tab/>
        <w:t>a person to represent local government, nominated by the Western Australian Local Government Association;</w:t>
      </w:r>
    </w:p>
    <w:p>
      <w:pPr>
        <w:pStyle w:val="Indenta"/>
      </w:pPr>
      <w:r>
        <w:tab/>
        <w:t>(d)</w:t>
      </w:r>
      <w:r>
        <w:tab/>
        <w:t>a person employed in the department of the Public Service principally assisting the Minister in the administration of this Act whose duties relate to road safety;</w:t>
      </w:r>
    </w:p>
    <w:p>
      <w:pPr>
        <w:pStyle w:val="Indenta"/>
      </w:pPr>
      <w:r>
        <w:tab/>
        <w:t>(e)</w:t>
      </w:r>
      <w:r>
        <w:tab/>
        <w:t xml:space="preserve">a person nominated under subsection (2) by the Minister administering the provisions of the </w:t>
      </w:r>
      <w:r>
        <w:rPr>
          <w:i/>
        </w:rPr>
        <w:t>Road Traffic Act 1974</w:t>
      </w:r>
      <w:r>
        <w:t xml:space="preserve"> that section 5 of that Act defines as the </w:t>
      </w:r>
      <w:r>
        <w:rPr>
          <w:b/>
          <w:bCs/>
          <w:i/>
          <w:iCs/>
        </w:rPr>
        <w:t>licensing provisions of this Act</w:t>
      </w:r>
      <w:r>
        <w:t>;</w:t>
      </w:r>
    </w:p>
    <w:p>
      <w:pPr>
        <w:pStyle w:val="Indenta"/>
      </w:pPr>
      <w:r>
        <w:tab/>
        <w:t>(f)</w:t>
      </w:r>
      <w:r>
        <w:tab/>
        <w:t xml:space="preserve">a person nominated under subsection (3) by the Minister administering the </w:t>
      </w:r>
      <w:r>
        <w:rPr>
          <w:i/>
        </w:rPr>
        <w:t>Police Act 1892</w:t>
      </w:r>
      <w:r>
        <w:t>;</w:t>
      </w:r>
    </w:p>
    <w:p>
      <w:pPr>
        <w:pStyle w:val="Indenta"/>
      </w:pPr>
      <w:r>
        <w:tab/>
        <w:t>(g)</w:t>
      </w:r>
      <w:r>
        <w:tab/>
        <w:t xml:space="preserve">a person nominated under subsection (4) by the Minister administering the </w:t>
      </w:r>
      <w:r>
        <w:rPr>
          <w:i/>
        </w:rPr>
        <w:t>School Education Act 1999</w:t>
      </w:r>
      <w:r>
        <w:t>;</w:t>
      </w:r>
    </w:p>
    <w:p>
      <w:pPr>
        <w:pStyle w:val="Indenta"/>
      </w:pPr>
      <w:r>
        <w:tab/>
        <w:t>(h)</w:t>
      </w:r>
      <w:r>
        <w:tab/>
        <w:t xml:space="preserve">a person nominated under subsection (4) by the Minister administering the </w:t>
      </w:r>
      <w:r>
        <w:rPr>
          <w:i/>
        </w:rPr>
        <w:t>Health Act 1911</w:t>
      </w:r>
      <w:r>
        <w:t>;</w:t>
      </w:r>
    </w:p>
    <w:p>
      <w:pPr>
        <w:pStyle w:val="Indenta"/>
      </w:pPr>
      <w:r>
        <w:tab/>
        <w:t>(i)</w:t>
      </w:r>
      <w:r>
        <w:tab/>
        <w:t xml:space="preserve">a person nominated under subsection (4) by the Minister administering the </w:t>
      </w:r>
      <w:r>
        <w:rPr>
          <w:i/>
        </w:rPr>
        <w:t>Main Roads Act 1930</w:t>
      </w:r>
      <w:r>
        <w:t>;</w:t>
      </w:r>
    </w:p>
    <w:p>
      <w:pPr>
        <w:pStyle w:val="Indenta"/>
      </w:pPr>
      <w:r>
        <w:tab/>
        <w:t>(j)</w:t>
      </w:r>
      <w:r>
        <w:tab/>
        <w:t xml:space="preserve">a person nominated under subsection (5) by the Minister administering the </w:t>
      </w:r>
      <w:r>
        <w:rPr>
          <w:i/>
        </w:rPr>
        <w:t>Transport Co</w:t>
      </w:r>
      <w:r>
        <w:rPr>
          <w:i/>
        </w:rPr>
        <w:noBreakHyphen/>
        <w:t>ordination Act 1966</w:t>
      </w:r>
      <w:r>
        <w:t>;</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Subsection"/>
      </w:pPr>
      <w:r>
        <w:tab/>
        <w:t>(2)</w:t>
      </w:r>
      <w:r>
        <w:tab/>
        <w:t xml:space="preserve">For the purposes of subsection (1)(e) the person nominated by the relevant Minister must be either the chief executive officer of the department of the Public Service principally assisting in the administration of the provisions of the </w:t>
      </w:r>
      <w:r>
        <w:rPr>
          <w:i/>
        </w:rPr>
        <w:t>Road Traffic Act 1974</w:t>
      </w:r>
      <w:r>
        <w:t xml:space="preserve"> that section 5 of that Act defines as the </w:t>
      </w:r>
      <w:r>
        <w:rPr>
          <w:b/>
          <w:bCs/>
          <w:i/>
          <w:iCs/>
        </w:rPr>
        <w:t>licensing provisions of this Act</w:t>
      </w:r>
      <w:r>
        <w:t xml:space="preserve"> or an officer in that department whose duties relate to driver or vehicle licensing.</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by No. 49 of 2004 s. 13; No. 38 of 2005 s. 15.]</w:t>
      </w:r>
    </w:p>
    <w:p>
      <w:pPr>
        <w:pStyle w:val="Heading5"/>
      </w:pPr>
      <w:bookmarkStart w:id="17" w:name="_Toc377393577"/>
      <w:bookmarkStart w:id="18" w:name="_Toc416962655"/>
      <w:r>
        <w:rPr>
          <w:rStyle w:val="CharSectno"/>
        </w:rPr>
        <w:t>7</w:t>
      </w:r>
      <w:r>
        <w:t>.</w:t>
      </w:r>
      <w:r>
        <w:tab/>
        <w:t>Deputy of member</w:t>
      </w:r>
      <w:bookmarkEnd w:id="17"/>
      <w:bookmarkEnd w:id="18"/>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19" w:name="_Toc377393578"/>
      <w:bookmarkStart w:id="20" w:name="_Toc416962656"/>
      <w:r>
        <w:rPr>
          <w:rStyle w:val="CharSectno"/>
        </w:rPr>
        <w:t>8</w:t>
      </w:r>
      <w:r>
        <w:t>.</w:t>
      </w:r>
      <w:r>
        <w:tab/>
        <w:t>Nomination for appointment</w:t>
      </w:r>
      <w:bookmarkEnd w:id="19"/>
      <w:bookmarkEnd w:id="20"/>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21" w:name="_Toc377393579"/>
      <w:bookmarkStart w:id="22" w:name="_Toc416962657"/>
      <w:r>
        <w:rPr>
          <w:rStyle w:val="CharSectno"/>
        </w:rPr>
        <w:t>9</w:t>
      </w:r>
      <w:r>
        <w:t>.</w:t>
      </w:r>
      <w:r>
        <w:tab/>
        <w:t>Duration of appointment as member or deputy</w:t>
      </w:r>
      <w:bookmarkEnd w:id="21"/>
      <w:bookmarkEnd w:id="22"/>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by No. 18 of 2009 s. 76.]</w:t>
      </w:r>
    </w:p>
    <w:p>
      <w:pPr>
        <w:pStyle w:val="Heading5"/>
      </w:pPr>
      <w:bookmarkStart w:id="23" w:name="_Toc377393580"/>
      <w:bookmarkStart w:id="24" w:name="_Toc416962658"/>
      <w:r>
        <w:rPr>
          <w:rStyle w:val="CharSectno"/>
        </w:rPr>
        <w:t>10</w:t>
      </w:r>
      <w:r>
        <w:t>.</w:t>
      </w:r>
      <w:r>
        <w:tab/>
        <w:t>Remuneration and allowances</w:t>
      </w:r>
      <w:bookmarkEnd w:id="23"/>
      <w:bookmarkEnd w:id="24"/>
    </w:p>
    <w:p>
      <w:pPr>
        <w:pStyle w:val="Subsection"/>
        <w:spacing w:before="120"/>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by No. 39 of 2010 s. 89.]</w:t>
      </w:r>
    </w:p>
    <w:p>
      <w:pPr>
        <w:pStyle w:val="Heading5"/>
        <w:spacing w:before="180"/>
      </w:pPr>
      <w:bookmarkStart w:id="25" w:name="_Toc377393581"/>
      <w:bookmarkStart w:id="26" w:name="_Toc416962659"/>
      <w:r>
        <w:rPr>
          <w:rStyle w:val="CharSectno"/>
        </w:rPr>
        <w:t>11</w:t>
      </w:r>
      <w:r>
        <w:t>.</w:t>
      </w:r>
      <w:r>
        <w:tab/>
        <w:t>Meetings</w:t>
      </w:r>
      <w:bookmarkEnd w:id="25"/>
      <w:bookmarkEnd w:id="26"/>
    </w:p>
    <w:p>
      <w:pPr>
        <w:pStyle w:val="Subsection"/>
        <w:spacing w:before="120"/>
      </w:pPr>
      <w:r>
        <w:tab/>
        <w:t>(1)</w:t>
      </w:r>
      <w:r>
        <w:tab/>
        <w:t>Subject to this section the Council is to determine the procedure for convening and conducting its meetings.</w:t>
      </w:r>
    </w:p>
    <w:p>
      <w:pPr>
        <w:pStyle w:val="Subsection"/>
        <w:spacing w:before="120"/>
      </w:pPr>
      <w:r>
        <w:tab/>
        <w:t>(2)</w:t>
      </w:r>
      <w:r>
        <w:tab/>
        <w:t>The chairman is to preside at Council meetings.</w:t>
      </w:r>
    </w:p>
    <w:p>
      <w:pPr>
        <w:pStyle w:val="Subsection"/>
        <w:spacing w:before="120"/>
      </w:pPr>
      <w:r>
        <w:tab/>
        <w:t>(3)</w:t>
      </w:r>
      <w:r>
        <w:tab/>
        <w:t>In the absence of the chairman, a person elected by the Council members present is to preside.</w:t>
      </w:r>
    </w:p>
    <w:p>
      <w:pPr>
        <w:pStyle w:val="Subsection"/>
        <w:spacing w:before="120"/>
      </w:pPr>
      <w:r>
        <w:tab/>
        <w:t>(4)</w:t>
      </w:r>
      <w:r>
        <w:tab/>
        <w:t>The Council is to keep accurate minutes of its meetings.</w:t>
      </w:r>
    </w:p>
    <w:p>
      <w:pPr>
        <w:pStyle w:val="Heading5"/>
      </w:pPr>
      <w:bookmarkStart w:id="27" w:name="_Toc377393582"/>
      <w:bookmarkStart w:id="28" w:name="_Toc416962660"/>
      <w:r>
        <w:rPr>
          <w:rStyle w:val="CharSectno"/>
        </w:rPr>
        <w:t>12</w:t>
      </w:r>
      <w:r>
        <w:t>.</w:t>
      </w:r>
      <w:r>
        <w:tab/>
        <w:t>Road Trauma Trust Account</w:t>
      </w:r>
      <w:bookmarkEnd w:id="27"/>
      <w:bookmarkEnd w:id="28"/>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spacing w:before="120"/>
      </w:pPr>
      <w:r>
        <w:tab/>
        <w:t>(2)</w:t>
      </w:r>
      <w:r>
        <w:tab/>
        <w:t xml:space="preserve">There is to be credited to the Account — </w:t>
      </w:r>
    </w:p>
    <w:p>
      <w:pPr>
        <w:pStyle w:val="Indenta"/>
      </w:pPr>
      <w:r>
        <w:tab/>
        <w:t>(a)</w:t>
      </w:r>
      <w:r>
        <w:tab/>
        <w:t xml:space="preserve">the following amounts — </w:t>
      </w:r>
    </w:p>
    <w:p>
      <w:pPr>
        <w:pStyle w:val="Indenti"/>
      </w:pPr>
      <w:r>
        <w:tab/>
        <w:t>(i)</w:t>
      </w:r>
      <w:r>
        <w:tab/>
        <w:t>two</w:t>
      </w:r>
      <w:r>
        <w:noBreakHyphen/>
        <w:t>thirds of each prescribed penalty paid during the prescribed period pursuant to a photograph</w:t>
      </w:r>
      <w:r>
        <w:noBreakHyphen/>
        <w:t>based vehicle infringement notice for an offence to which the regulations specify that this paragraph applies;</w:t>
      </w:r>
    </w:p>
    <w:p>
      <w:pPr>
        <w:pStyle w:val="Indenti"/>
      </w:pPr>
      <w:r>
        <w:tab/>
        <w:t>(ii)</w:t>
      </w:r>
      <w:r>
        <w:tab/>
        <w:t>the total amount of each prescribed penalty paid on or after 1 July 2012 pursuant to a photograph</w:t>
      </w:r>
      <w:r>
        <w:noBreakHyphen/>
        <w:t>based vehicle infringement notice for an offence to which the regulations specify that this paragraph applies;</w:t>
      </w:r>
    </w:p>
    <w:p>
      <w:pPr>
        <w:pStyle w:val="Indenta"/>
      </w:pPr>
      <w:r>
        <w:tab/>
      </w:r>
      <w:r>
        <w:tab/>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requires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pPr>
      <w:r>
        <w:tab/>
        <w:t>(3)</w:t>
      </w:r>
      <w:r>
        <w:tab/>
        <w:t xml:space="preserve">In subsection (2)(a) — </w:t>
      </w:r>
    </w:p>
    <w:p>
      <w:pPr>
        <w:pStyle w:val="Defstart"/>
      </w:pPr>
      <w:r>
        <w:tab/>
      </w:r>
      <w:r>
        <w:rPr>
          <w:rStyle w:val="CharDefText"/>
        </w:rPr>
        <w:t>photograph</w:t>
      </w:r>
      <w:r>
        <w:rPr>
          <w:rStyle w:val="CharDefText"/>
        </w:rPr>
        <w:noBreakHyphen/>
        <w:t>based vehicle infringement notice</w:t>
      </w:r>
      <w:r>
        <w:t xml:space="preserve"> means a traffic infringement notice under the </w:t>
      </w:r>
      <w:r>
        <w:rPr>
          <w:i/>
        </w:rPr>
        <w:t>Road Traffic Act 1974</w:t>
      </w:r>
      <w:r>
        <w:t xml:space="preserve"> that — </w:t>
      </w:r>
    </w:p>
    <w:p>
      <w:pPr>
        <w:pStyle w:val="Defpara"/>
      </w:pPr>
      <w:r>
        <w:tab/>
        <w:t>(a)</w:t>
      </w:r>
      <w:r>
        <w:tab/>
        <w:t xml:space="preserve">alleges that an offence against the </w:t>
      </w:r>
      <w:r>
        <w:rPr>
          <w:i/>
        </w:rPr>
        <w:t>Road Traffic Act 1974</w:t>
      </w:r>
      <w:r>
        <w:t xml:space="preserve"> has occurred of which the driving or being in charge of a vehicle is an element; and</w:t>
      </w:r>
    </w:p>
    <w:p>
      <w:pPr>
        <w:pStyle w:val="Defpara"/>
      </w:pPr>
      <w:r>
        <w:tab/>
        <w:t>(b)</w:t>
      </w:r>
      <w:r>
        <w:tab/>
        <w:t xml:space="preserve">is founded on a belief based on evidence that is defined as </w:t>
      </w:r>
      <w:r>
        <w:rPr>
          <w:b/>
          <w:bCs/>
          <w:i/>
          <w:iCs/>
        </w:rPr>
        <w:t>photographic evidence</w:t>
      </w:r>
      <w:r>
        <w:t xml:space="preserve"> in the provisions of the </w:t>
      </w:r>
      <w:r>
        <w:rPr>
          <w:i/>
        </w:rPr>
        <w:t>Road Traffic Act 1974</w:t>
      </w:r>
      <w:r>
        <w:t xml:space="preserve"> about traffic infringement notices,</w:t>
      </w:r>
    </w:p>
    <w:p>
      <w:pPr>
        <w:pStyle w:val="Defstart"/>
        <w:spacing w:before="160"/>
      </w:pPr>
      <w:r>
        <w:tab/>
        <w:t xml:space="preserve">and is addressed to and served on a person in circumstances where — </w:t>
      </w:r>
    </w:p>
    <w:p>
      <w:pPr>
        <w:pStyle w:val="Defpara"/>
      </w:pPr>
      <w:r>
        <w:tab/>
        <w:t>(c)</w:t>
      </w:r>
      <w:r>
        <w:tab/>
        <w:t>the name and address of the driver or person in charge of the vehicle are not known and cannot immediately be ascertained; and</w:t>
      </w:r>
    </w:p>
    <w:p>
      <w:pPr>
        <w:pStyle w:val="Defpara"/>
      </w:pPr>
      <w:r>
        <w:tab/>
        <w:t>(d)</w:t>
      </w:r>
      <w:r>
        <w:tab/>
        <w:t>the identity of the vehicle can be ascertained from the photographic evidence;</w:t>
      </w:r>
    </w:p>
    <w:p>
      <w:pPr>
        <w:pStyle w:val="Defstart"/>
      </w:pPr>
      <w:r>
        <w:tab/>
      </w:r>
      <w:r>
        <w:rPr>
          <w:rStyle w:val="CharDefText"/>
        </w:rPr>
        <w:t>prescribed penalty</w:t>
      </w:r>
      <w:r>
        <w:t xml:space="preserve"> means the penalty prescribed under the </w:t>
      </w:r>
      <w:r>
        <w:rPr>
          <w:i/>
        </w:rPr>
        <w:t>Road Traffic Act 1974</w:t>
      </w:r>
      <w:r>
        <w:t xml:space="preserve"> for an offence if dealt with under section 102;</w:t>
      </w:r>
    </w:p>
    <w:p>
      <w:pPr>
        <w:pStyle w:val="Defstart"/>
      </w:pPr>
      <w:r>
        <w:tab/>
      </w:r>
      <w:r>
        <w:rPr>
          <w:rStyle w:val="CharDefText"/>
        </w:rPr>
        <w:t>prescribed period</w:t>
      </w:r>
      <w:r>
        <w:t xml:space="preserve"> means the period that begins on the later of the following days — </w:t>
      </w:r>
    </w:p>
    <w:p>
      <w:pPr>
        <w:pStyle w:val="Defpara"/>
      </w:pPr>
      <w:r>
        <w:tab/>
        <w:t>(a)</w:t>
      </w:r>
      <w:r>
        <w:tab/>
        <w:t>1 July 2011;</w:t>
      </w:r>
    </w:p>
    <w:p>
      <w:pPr>
        <w:pStyle w:val="Defpara"/>
      </w:pPr>
      <w:r>
        <w:tab/>
        <w:t>(b)</w:t>
      </w:r>
      <w:r>
        <w:tab/>
        <w:t>the day on which the</w:t>
      </w:r>
      <w:r>
        <w:rPr>
          <w:i/>
        </w:rPr>
        <w:t xml:space="preserve"> Road Safety Council Amendment Act 2011 </w:t>
      </w:r>
      <w:r>
        <w:t>section 6 comes into operation,</w:t>
      </w:r>
    </w:p>
    <w:p>
      <w:pPr>
        <w:pStyle w:val="Defstart"/>
      </w:pPr>
      <w:r>
        <w:tab/>
        <w:t>and ends at the end of 30 June 2012.</w:t>
      </w:r>
    </w:p>
    <w:p>
      <w:pPr>
        <w:pStyle w:val="Subsection"/>
        <w:spacing w:before="120"/>
      </w:pPr>
      <w:r>
        <w:tab/>
        <w:t>(4)</w:t>
      </w:r>
      <w:r>
        <w:tab/>
        <w:t xml:space="preserve">In the definition of </w:t>
      </w:r>
      <w:r>
        <w:rPr>
          <w:b/>
          <w:bCs/>
          <w:i/>
          <w:iCs/>
        </w:rPr>
        <w:t>photograph</w:t>
      </w:r>
      <w:r>
        <w:rPr>
          <w:b/>
          <w:bCs/>
          <w:i/>
          <w:iCs/>
        </w:rPr>
        <w:noBreakHyphen/>
        <w:t>based vehicle infringement notice</w:t>
      </w:r>
      <w:r>
        <w:t xml:space="preserve"> in subsection (3) — </w:t>
      </w:r>
    </w:p>
    <w:p>
      <w:pPr>
        <w:pStyle w:val="Defstart"/>
        <w:spacing w:before="160"/>
      </w:pPr>
      <w:r>
        <w:tab/>
      </w:r>
      <w:r>
        <w:rPr>
          <w:rStyle w:val="CharDefText"/>
        </w:rPr>
        <w:t>traffic infringement notice</w:t>
      </w:r>
      <w:r>
        <w:t xml:space="preserve"> includes a notice that, because of the </w:t>
      </w:r>
      <w:r>
        <w:rPr>
          <w:i/>
        </w:rPr>
        <w:t>Road Traffic Act 1974</w:t>
      </w:r>
      <w:r>
        <w:t xml:space="preserve"> section 102D(2), is to be regarded as being a traffic infringement notice.</w:t>
      </w:r>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by No. 77 of 2006 Sch. 1 cl. 151(2)-(4); No. 23 of 2009 s. 29; No. 30 of 2011 s. 6.]</w:t>
      </w:r>
    </w:p>
    <w:p>
      <w:pPr>
        <w:pStyle w:val="Heading5"/>
      </w:pPr>
      <w:bookmarkStart w:id="29" w:name="_Toc377393583"/>
      <w:bookmarkStart w:id="30" w:name="_Toc416962661"/>
      <w:r>
        <w:rPr>
          <w:rStyle w:val="CharSectno"/>
        </w:rPr>
        <w:t>13</w:t>
      </w:r>
      <w:r>
        <w:t>.</w:t>
      </w:r>
      <w:r>
        <w:tab/>
        <w:t>Annual report</w:t>
      </w:r>
      <w:bookmarkEnd w:id="29"/>
      <w:bookmarkEnd w:id="30"/>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31" w:name="_Toc377393584"/>
      <w:bookmarkStart w:id="32" w:name="_Toc416962662"/>
      <w:r>
        <w:rPr>
          <w:rStyle w:val="CharSectno"/>
        </w:rPr>
        <w:t>14</w:t>
      </w:r>
      <w:r>
        <w:t>.</w:t>
      </w:r>
      <w:r>
        <w:tab/>
        <w:t>Protection from liability for wrongdoing</w:t>
      </w:r>
      <w:bookmarkEnd w:id="31"/>
      <w:bookmarkEnd w:id="3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33" w:name="_Toc377393585"/>
      <w:bookmarkStart w:id="34" w:name="_Toc416962663"/>
      <w:r>
        <w:rPr>
          <w:rStyle w:val="CharSectno"/>
        </w:rPr>
        <w:t>15</w:t>
      </w:r>
      <w:r>
        <w:t>.</w:t>
      </w:r>
      <w:r>
        <w:tab/>
        <w:t>Supplementary provision about laying directions before Parliament</w:t>
      </w:r>
      <w:bookmarkEnd w:id="33"/>
      <w:bookmarkEnd w:id="34"/>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by No. 30 of 2011 s. 7.]</w:t>
      </w:r>
    </w:p>
    <w:p>
      <w:pPr>
        <w:pStyle w:val="Heading5"/>
      </w:pPr>
      <w:bookmarkStart w:id="35" w:name="_Toc377393586"/>
      <w:bookmarkStart w:id="36" w:name="_Toc416962664"/>
      <w:r>
        <w:rPr>
          <w:rStyle w:val="CharSectno"/>
        </w:rPr>
        <w:t>16</w:t>
      </w:r>
      <w:r>
        <w:t>.</w:t>
      </w:r>
      <w:r>
        <w:tab/>
        <w:t>Transitional provision: credits of prescribed penalties to the Account</w:t>
      </w:r>
      <w:bookmarkEnd w:id="35"/>
      <w:bookmarkEnd w:id="3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by No. 30 of 2011 s. 7.]</w:t>
      </w:r>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22"/>
          <w:headerReference w:type="default" r:id="rId23"/>
          <w:headerReference w:type="first" r:id="rId24"/>
          <w:pgSz w:w="11907" w:h="16840" w:code="9"/>
          <w:pgMar w:top="2381" w:right="2410" w:bottom="3544" w:left="2410" w:header="720" w:footer="3380" w:gutter="0"/>
          <w:pgNumType w:start="1"/>
          <w:cols w:space="720"/>
          <w:titlePg/>
          <w:docGrid w:linePitch="326"/>
        </w:sectPr>
      </w:pPr>
    </w:p>
    <w:p>
      <w:pPr>
        <w:pStyle w:val="nHeading2"/>
      </w:pPr>
      <w:bookmarkStart w:id="37" w:name="_Toc377393587"/>
      <w:bookmarkStart w:id="38" w:name="_Toc416962644"/>
      <w:bookmarkStart w:id="39" w:name="_Toc416962665"/>
      <w:r>
        <w:t>Notes</w:t>
      </w:r>
      <w:bookmarkEnd w:id="37"/>
      <w:bookmarkEnd w:id="38"/>
      <w:bookmarkEnd w:id="39"/>
    </w:p>
    <w:p>
      <w:pPr>
        <w:pStyle w:val="nSubsection"/>
        <w:rPr>
          <w:snapToGrid w:val="0"/>
        </w:rPr>
      </w:pPr>
      <w:r>
        <w:rPr>
          <w:snapToGrid w:val="0"/>
          <w:vertAlign w:val="superscript"/>
        </w:rPr>
        <w:t>1</w:t>
      </w:r>
      <w:r>
        <w:rPr>
          <w:snapToGrid w:val="0"/>
        </w:rPr>
        <w:tab/>
        <w:t xml:space="preserve">This is a compilation of the </w:t>
      </w:r>
      <w:r>
        <w:rPr>
          <w:i/>
          <w:sz w:val="19"/>
        </w:rPr>
        <w:t xml:space="preserve">Road Safety Council Act 2002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40" w:name="_Toc377393588"/>
      <w:bookmarkStart w:id="41" w:name="_Toc416962666"/>
      <w:r>
        <w:rPr>
          <w:snapToGrid w:val="0"/>
        </w:rPr>
        <w:t>Compilation table</w:t>
      </w:r>
      <w:bookmarkEnd w:id="40"/>
      <w:bookmarkEnd w:id="41"/>
    </w:p>
    <w:tbl>
      <w:tblPr>
        <w:tblW w:w="0" w:type="auto"/>
        <w:tblInd w:w="56" w:type="dxa"/>
        <w:tblLayout w:type="fixed"/>
        <w:tblCellMar>
          <w:left w:w="56" w:type="dxa"/>
          <w:right w:w="56" w:type="dxa"/>
        </w:tblCellMar>
        <w:tblLook w:val="0000" w:firstRow="0" w:lastRow="0" w:firstColumn="0" w:lastColumn="0" w:noHBand="0" w:noVBand="0"/>
      </w:tblPr>
      <w:tblGrid>
        <w:gridCol w:w="2273"/>
        <w:gridCol w:w="1135"/>
        <w:gridCol w:w="1135"/>
        <w:gridCol w:w="2544"/>
        <w:gridCol w:w="8"/>
      </w:tblGrid>
      <w:tr>
        <w:trPr>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73" w:type="dxa"/>
            <w:tcBorders>
              <w:top w:val="single" w:sz="8" w:space="0" w:color="auto"/>
            </w:tcBorders>
          </w:tcPr>
          <w:p>
            <w:pPr>
              <w:pStyle w:val="nTable"/>
              <w:spacing w:after="40"/>
            </w:pPr>
            <w:r>
              <w:rPr>
                <w:i/>
              </w:rPr>
              <w:t>Road Safety Council Act 2002</w:t>
            </w:r>
          </w:p>
        </w:tc>
        <w:tc>
          <w:tcPr>
            <w:tcW w:w="1135" w:type="dxa"/>
            <w:tcBorders>
              <w:top w:val="single" w:sz="8" w:space="0" w:color="auto"/>
            </w:tcBorders>
          </w:tcPr>
          <w:p>
            <w:pPr>
              <w:pStyle w:val="nTable"/>
              <w:spacing w:after="40"/>
            </w:pPr>
            <w:r>
              <w:t>5 of 2002</w:t>
            </w:r>
          </w:p>
        </w:tc>
        <w:tc>
          <w:tcPr>
            <w:tcW w:w="1135" w:type="dxa"/>
            <w:tcBorders>
              <w:top w:val="single" w:sz="8" w:space="0" w:color="auto"/>
            </w:tcBorders>
          </w:tcPr>
          <w:p>
            <w:pPr>
              <w:pStyle w:val="nTable"/>
              <w:spacing w:after="40"/>
            </w:pPr>
            <w:r>
              <w:t>4 Jun 2002</w:t>
            </w:r>
          </w:p>
        </w:tc>
        <w:tc>
          <w:tcPr>
            <w:tcW w:w="2552" w:type="dxa"/>
            <w:gridSpan w:val="2"/>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c>
          <w:tcPr>
            <w:tcW w:w="2273" w:type="dxa"/>
          </w:tcPr>
          <w:p>
            <w:pPr>
              <w:pStyle w:val="nTable"/>
              <w:spacing w:after="40"/>
              <w:rPr>
                <w:i/>
              </w:rPr>
            </w:pPr>
            <w:r>
              <w:rPr>
                <w:i/>
              </w:rPr>
              <w:t xml:space="preserve">Local Government Amendment Act 2004 </w:t>
            </w:r>
            <w:r>
              <w:rPr>
                <w:iCs/>
              </w:rPr>
              <w:t>s. 13</w:t>
            </w:r>
          </w:p>
        </w:tc>
        <w:tc>
          <w:tcPr>
            <w:tcW w:w="1135" w:type="dxa"/>
          </w:tcPr>
          <w:p>
            <w:pPr>
              <w:pStyle w:val="nTable"/>
              <w:spacing w:after="40"/>
            </w:pPr>
            <w:r>
              <w:rPr>
                <w:snapToGrid w:val="0"/>
              </w:rPr>
              <w:t>49 of 2004</w:t>
            </w:r>
          </w:p>
        </w:tc>
        <w:tc>
          <w:tcPr>
            <w:tcW w:w="1135" w:type="dxa"/>
          </w:tcPr>
          <w:p>
            <w:pPr>
              <w:pStyle w:val="nTable"/>
              <w:spacing w:after="40"/>
            </w:pPr>
            <w:r>
              <w:t>12 Nov 2004</w:t>
            </w:r>
          </w:p>
        </w:tc>
        <w:tc>
          <w:tcPr>
            <w:tcW w:w="2552" w:type="dxa"/>
            <w:gridSpan w:val="2"/>
          </w:tcPr>
          <w:p>
            <w:pPr>
              <w:pStyle w:val="nTable"/>
              <w:spacing w:after="40"/>
            </w:pPr>
            <w:r>
              <w:t xml:space="preserve">1 Apr 2005 (see s. 2 and </w:t>
            </w:r>
            <w:r>
              <w:rPr>
                <w:i/>
                <w:iCs/>
              </w:rPr>
              <w:t>Gazette</w:t>
            </w:r>
            <w:r>
              <w:t xml:space="preserve"> 31 Mar 2005 p. 1029)</w:t>
            </w:r>
          </w:p>
        </w:tc>
      </w:tr>
      <w:tr>
        <w:tc>
          <w:tcPr>
            <w:tcW w:w="2273" w:type="dxa"/>
          </w:tcPr>
          <w:p>
            <w:pPr>
              <w:pStyle w:val="nTable"/>
              <w:spacing w:after="40"/>
              <w:rPr>
                <w:i/>
              </w:rPr>
            </w:pPr>
            <w:r>
              <w:rPr>
                <w:i/>
                <w:snapToGrid w:val="0"/>
              </w:rPr>
              <w:t>Planning and Development (Consequential and Transitional Provisions) Act 2005</w:t>
            </w:r>
            <w:r>
              <w:rPr>
                <w:iCs/>
              </w:rPr>
              <w:t xml:space="preserve"> s. 15</w:t>
            </w:r>
          </w:p>
        </w:tc>
        <w:tc>
          <w:tcPr>
            <w:tcW w:w="1135" w:type="dxa"/>
          </w:tcPr>
          <w:p>
            <w:pPr>
              <w:pStyle w:val="nTable"/>
              <w:spacing w:after="40"/>
              <w:rPr>
                <w:snapToGrid w:val="0"/>
              </w:rPr>
            </w:pPr>
            <w:r>
              <w:rPr>
                <w:snapToGrid w:val="0"/>
              </w:rPr>
              <w:t>38 of 2005</w:t>
            </w:r>
          </w:p>
        </w:tc>
        <w:tc>
          <w:tcPr>
            <w:tcW w:w="1135" w:type="dxa"/>
          </w:tcPr>
          <w:p>
            <w:pPr>
              <w:pStyle w:val="nTable"/>
              <w:spacing w:after="40"/>
            </w:pPr>
            <w:r>
              <w:t>12 Dec 2005</w:t>
            </w:r>
          </w:p>
        </w:tc>
        <w:tc>
          <w:tcPr>
            <w:tcW w:w="2552" w:type="dxa"/>
            <w:gridSpan w:val="2"/>
          </w:tcPr>
          <w:p>
            <w:pPr>
              <w:pStyle w:val="nTable"/>
              <w:spacing w:after="40"/>
            </w:pPr>
            <w:r>
              <w:t xml:space="preserve">9 Apr 2006 (see s. 2 and </w:t>
            </w:r>
            <w:r>
              <w:rPr>
                <w:i/>
                <w:iCs/>
              </w:rPr>
              <w:t>Gazette</w:t>
            </w:r>
            <w:r>
              <w:t xml:space="preserve"> 21 Mar 2006 p. 1078)</w:t>
            </w:r>
          </w:p>
        </w:tc>
      </w:tr>
      <w:tr>
        <w:tc>
          <w:tcPr>
            <w:tcW w:w="2273"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5" w:type="dxa"/>
          </w:tcPr>
          <w:p>
            <w:pPr>
              <w:pStyle w:val="nTable"/>
              <w:spacing w:after="40"/>
              <w:rPr>
                <w:snapToGrid w:val="0"/>
              </w:rPr>
            </w:pPr>
            <w:r>
              <w:rPr>
                <w:snapToGrid w:val="0"/>
              </w:rPr>
              <w:t>77 of 2006</w:t>
            </w:r>
          </w:p>
        </w:tc>
        <w:tc>
          <w:tcPr>
            <w:tcW w:w="1135" w:type="dxa"/>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73" w:type="dxa"/>
          </w:tcPr>
          <w:p>
            <w:pPr>
              <w:pStyle w:val="nTable"/>
              <w:spacing w:after="40"/>
              <w:rPr>
                <w:iCs/>
                <w:snapToGrid w:val="0"/>
              </w:rPr>
            </w:pPr>
            <w:r>
              <w:rPr>
                <w:i/>
                <w:snapToGrid w:val="0"/>
              </w:rPr>
              <w:t>Acts Amendment (Bankruptcy) Act 2009</w:t>
            </w:r>
            <w:r>
              <w:rPr>
                <w:iCs/>
                <w:snapToGrid w:val="0"/>
              </w:rPr>
              <w:t xml:space="preserve"> s. 76</w:t>
            </w:r>
          </w:p>
        </w:tc>
        <w:tc>
          <w:tcPr>
            <w:tcW w:w="1135" w:type="dxa"/>
          </w:tcPr>
          <w:p>
            <w:pPr>
              <w:pStyle w:val="nTable"/>
              <w:spacing w:after="40"/>
            </w:pPr>
            <w:r>
              <w:t>18 of 2009</w:t>
            </w:r>
          </w:p>
        </w:tc>
        <w:tc>
          <w:tcPr>
            <w:tcW w:w="1135" w:type="dxa"/>
          </w:tcPr>
          <w:p>
            <w:pPr>
              <w:pStyle w:val="nTable"/>
              <w:spacing w:after="40"/>
            </w:pPr>
            <w:r>
              <w:t>16 Sep 2009</w:t>
            </w:r>
          </w:p>
        </w:tc>
        <w:tc>
          <w:tcPr>
            <w:tcW w:w="2552" w:type="dxa"/>
            <w:gridSpan w:val="2"/>
          </w:tcPr>
          <w:p>
            <w:pPr>
              <w:pStyle w:val="nTable"/>
              <w:spacing w:after="40"/>
            </w:pPr>
            <w:r>
              <w:t>17 Sep 2009 (see s. 2(b))</w:t>
            </w:r>
          </w:p>
        </w:tc>
      </w:tr>
      <w:tr>
        <w:trPr>
          <w:cantSplit/>
        </w:trPr>
        <w:tc>
          <w:tcPr>
            <w:tcW w:w="2273" w:type="dxa"/>
          </w:tcPr>
          <w:p>
            <w:pPr>
              <w:pStyle w:val="nTable"/>
              <w:spacing w:after="40"/>
              <w:rPr>
                <w:i/>
                <w:snapToGrid w:val="0"/>
              </w:rPr>
            </w:pPr>
            <w:r>
              <w:rPr>
                <w:i/>
                <w:iCs/>
                <w:snapToGrid w:val="0"/>
              </w:rPr>
              <w:t>Road Traffic Amendment (Hoons) Act 2009</w:t>
            </w:r>
            <w:r>
              <w:rPr>
                <w:snapToGrid w:val="0"/>
              </w:rPr>
              <w:t xml:space="preserve"> Pt. 3 </w:t>
            </w:r>
          </w:p>
        </w:tc>
        <w:tc>
          <w:tcPr>
            <w:tcW w:w="1135" w:type="dxa"/>
          </w:tcPr>
          <w:p>
            <w:pPr>
              <w:pStyle w:val="nTable"/>
              <w:spacing w:after="40"/>
            </w:pPr>
            <w:r>
              <w:rPr>
                <w:snapToGrid w:val="0"/>
              </w:rPr>
              <w:t>23 of 2009</w:t>
            </w:r>
          </w:p>
        </w:tc>
        <w:tc>
          <w:tcPr>
            <w:tcW w:w="1135" w:type="dxa"/>
          </w:tcPr>
          <w:p>
            <w:pPr>
              <w:pStyle w:val="nTable"/>
              <w:spacing w:after="40"/>
            </w:pPr>
            <w:r>
              <w:rPr>
                <w:snapToGrid w:val="0"/>
              </w:rPr>
              <w:t>6 Oct 2009</w:t>
            </w:r>
          </w:p>
        </w:tc>
        <w:tc>
          <w:tcPr>
            <w:tcW w:w="2552" w:type="dxa"/>
            <w:gridSpan w:val="2"/>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rPr>
          <w:gridAfter w:val="1"/>
          <w:wAfter w:w="8" w:type="dxa"/>
          <w:cantSplit/>
        </w:trPr>
        <w:tc>
          <w:tcPr>
            <w:tcW w:w="7087"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rPr>
          <w:cantSplit/>
        </w:trPr>
        <w:tc>
          <w:tcPr>
            <w:tcW w:w="2273" w:type="dxa"/>
          </w:tcPr>
          <w:p>
            <w:pPr>
              <w:pStyle w:val="nTable"/>
              <w:spacing w:after="40"/>
              <w:rPr>
                <w:iCs/>
                <w:snapToGrid w:val="0"/>
              </w:rPr>
            </w:pPr>
            <w:r>
              <w:rPr>
                <w:i/>
                <w:iCs/>
                <w:snapToGrid w:val="0"/>
              </w:rPr>
              <w:t>Public Sector Reform Act 2010</w:t>
            </w:r>
            <w:r>
              <w:rPr>
                <w:iCs/>
                <w:snapToGrid w:val="0"/>
              </w:rPr>
              <w:t xml:space="preserve"> s. 89</w:t>
            </w:r>
          </w:p>
        </w:tc>
        <w:tc>
          <w:tcPr>
            <w:tcW w:w="1135" w:type="dxa"/>
          </w:tcPr>
          <w:p>
            <w:pPr>
              <w:pStyle w:val="nTable"/>
              <w:spacing w:after="40"/>
            </w:pPr>
            <w:r>
              <w:rPr>
                <w:snapToGrid w:val="0"/>
              </w:rPr>
              <w:t>39 of 2010</w:t>
            </w:r>
          </w:p>
        </w:tc>
        <w:tc>
          <w:tcPr>
            <w:tcW w:w="1135" w:type="dxa"/>
          </w:tcPr>
          <w:p>
            <w:pPr>
              <w:pStyle w:val="nTable"/>
              <w:spacing w:after="40"/>
            </w:pPr>
            <w:r>
              <w:rPr>
                <w:snapToGrid w:val="0"/>
              </w:rPr>
              <w:t>1 Oct 2010</w:t>
            </w:r>
          </w:p>
        </w:tc>
        <w:tc>
          <w:tcPr>
            <w:tcW w:w="2552"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73" w:type="dxa"/>
            <w:tcBorders>
              <w:bottom w:val="single" w:sz="8" w:space="0" w:color="auto"/>
            </w:tcBorders>
          </w:tcPr>
          <w:p>
            <w:pPr>
              <w:pStyle w:val="nTable"/>
              <w:rPr>
                <w:i/>
                <w:iCs/>
                <w:snapToGrid w:val="0"/>
              </w:rPr>
            </w:pPr>
            <w:r>
              <w:rPr>
                <w:i/>
                <w:iCs/>
                <w:snapToGrid w:val="0"/>
              </w:rPr>
              <w:t>Road Safety Council Amendment Act 2011</w:t>
            </w:r>
          </w:p>
        </w:tc>
        <w:tc>
          <w:tcPr>
            <w:tcW w:w="1135" w:type="dxa"/>
            <w:tcBorders>
              <w:bottom w:val="single" w:sz="8" w:space="0" w:color="auto"/>
            </w:tcBorders>
          </w:tcPr>
          <w:p>
            <w:pPr>
              <w:pStyle w:val="nTable"/>
              <w:rPr>
                <w:snapToGrid w:val="0"/>
              </w:rPr>
            </w:pPr>
            <w:r>
              <w:rPr>
                <w:snapToGrid w:val="0"/>
              </w:rPr>
              <w:t>30 of 2011</w:t>
            </w:r>
          </w:p>
        </w:tc>
        <w:tc>
          <w:tcPr>
            <w:tcW w:w="1135" w:type="dxa"/>
            <w:tcBorders>
              <w:bottom w:val="single" w:sz="8" w:space="0" w:color="auto"/>
            </w:tcBorders>
          </w:tcPr>
          <w:p>
            <w:pPr>
              <w:pStyle w:val="nTable"/>
              <w:rPr>
                <w:snapToGrid w:val="0"/>
              </w:rPr>
            </w:pPr>
            <w:r>
              <w:rPr>
                <w:snapToGrid w:val="0"/>
              </w:rPr>
              <w:t>16 Aug 2011</w:t>
            </w:r>
          </w:p>
        </w:tc>
        <w:tc>
          <w:tcPr>
            <w:tcW w:w="2552" w:type="dxa"/>
            <w:gridSpan w:val="2"/>
            <w:tcBorders>
              <w:bottom w:val="single" w:sz="8" w:space="0" w:color="auto"/>
            </w:tcBorders>
          </w:tcPr>
          <w:p>
            <w:pPr>
              <w:pStyle w:val="nTable"/>
            </w:pPr>
            <w:r>
              <w:rPr>
                <w:snapToGrid w:val="0"/>
              </w:rPr>
              <w:t>s. 1 and 2: 16</w:t>
            </w:r>
            <w:r>
              <w:t xml:space="preserve"> Aug 2011 (see s. 2(a)); </w:t>
            </w:r>
            <w:r>
              <w:br/>
              <w:t>Act other than s. 1 and 2: 17 Aug 2011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 w:name="_Toc377393589"/>
      <w:bookmarkStart w:id="43" w:name="_Toc416962667"/>
      <w:r>
        <w:t>Provisions that have not come into operation</w:t>
      </w:r>
      <w:bookmarkEnd w:id="42"/>
      <w:bookmarkEnd w:id="4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 xml:space="preserve">Road Traffic Legislation Amendment Act 2012 </w:t>
            </w:r>
            <w:r>
              <w:rPr>
                <w:snapToGrid w:val="0"/>
              </w:rPr>
              <w:t>Pt. 4 Div. 46</w:t>
            </w:r>
            <w:r>
              <w:rPr>
                <w:snapToGrid w:val="0"/>
                <w:vertAlign w:val="superscript"/>
              </w:rPr>
              <w:t> 3</w:t>
            </w:r>
          </w:p>
        </w:tc>
        <w:tc>
          <w:tcPr>
            <w:tcW w:w="1118"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pPr>
      <w:r>
        <w:rPr>
          <w:vertAlign w:val="superscript"/>
        </w:rPr>
        <w:t>2</w:t>
      </w:r>
      <w:r>
        <w:tab/>
        <w:t xml:space="preserve">The provisions of this Act amending those Acts have been omitted under the </w:t>
      </w:r>
      <w:r>
        <w:rPr>
          <w:i/>
          <w:iCs/>
        </w:rPr>
        <w:t>Reprints Act 1984</w:t>
      </w:r>
      <w:r>
        <w:t xml:space="preserve"> s. 7(4)(e).</w:t>
      </w:r>
    </w:p>
    <w:p>
      <w:pPr>
        <w:pStyle w:val="nSubsection"/>
        <w:keepLines/>
        <w:spacing w:before="12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46 had not come into operation.  It reads as follows:</w:t>
      </w:r>
    </w:p>
    <w:p>
      <w:pPr>
        <w:pStyle w:val="BlankOpen"/>
        <w:rPr>
          <w:snapToGrid w:val="0"/>
        </w:rPr>
      </w:pPr>
    </w:p>
    <w:p>
      <w:pPr>
        <w:pStyle w:val="nzHeading3"/>
      </w:pPr>
      <w:r>
        <w:rPr>
          <w:rStyle w:val="CharDivNo"/>
        </w:rPr>
        <w:t>Division 46</w:t>
      </w:r>
      <w:r>
        <w:t> — </w:t>
      </w:r>
      <w:r>
        <w:rPr>
          <w:rStyle w:val="CharDivText"/>
          <w:i/>
          <w:iCs/>
        </w:rPr>
        <w:t>Road Safety Council Act 2002</w:t>
      </w:r>
      <w:r>
        <w:rPr>
          <w:rStyle w:val="CharDivText"/>
        </w:rPr>
        <w:t xml:space="preserve"> amended</w:t>
      </w:r>
    </w:p>
    <w:p>
      <w:pPr>
        <w:pStyle w:val="nzHeading5"/>
        <w:rPr>
          <w:snapToGrid w:val="0"/>
        </w:rPr>
      </w:pPr>
      <w:r>
        <w:rPr>
          <w:rStyle w:val="CharSectno"/>
        </w:rPr>
        <w:t>170</w:t>
      </w:r>
      <w:r>
        <w:rPr>
          <w:snapToGrid w:val="0"/>
        </w:rPr>
        <w:t>.</w:t>
      </w:r>
      <w:r>
        <w:rPr>
          <w:snapToGrid w:val="0"/>
        </w:rPr>
        <w:tab/>
        <w:t>Act amended</w:t>
      </w:r>
    </w:p>
    <w:p>
      <w:pPr>
        <w:pStyle w:val="nzSubsection"/>
      </w:pPr>
      <w:r>
        <w:tab/>
      </w:r>
      <w:r>
        <w:tab/>
        <w:t xml:space="preserve">This Division amends the </w:t>
      </w:r>
      <w:r>
        <w:rPr>
          <w:i/>
        </w:rPr>
        <w:t>Road Safety Council Act 2002</w:t>
      </w:r>
      <w:r>
        <w:t>.</w:t>
      </w:r>
    </w:p>
    <w:p>
      <w:pPr>
        <w:pStyle w:val="nzHeading5"/>
      </w:pPr>
      <w:r>
        <w:rPr>
          <w:rStyle w:val="CharSectno"/>
        </w:rPr>
        <w:t>171</w:t>
      </w:r>
      <w:r>
        <w:t>.</w:t>
      </w:r>
      <w:r>
        <w:tab/>
        <w:t>Section 3 amended</w:t>
      </w:r>
    </w:p>
    <w:p>
      <w:pPr>
        <w:pStyle w:val="nzSubsection"/>
      </w:pPr>
      <w:r>
        <w:tab/>
      </w:r>
      <w:r>
        <w:tab/>
        <w:t xml:space="preserve">In section 3 in the definition of </w:t>
      </w:r>
      <w:r>
        <w:rPr>
          <w:b/>
          <w:bCs/>
          <w:i/>
          <w:iCs/>
        </w:rPr>
        <w:t>road</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172</w:t>
      </w:r>
      <w:r>
        <w:t>.</w:t>
      </w:r>
      <w:r>
        <w:tab/>
        <w:t>Section 6 amended</w:t>
      </w:r>
    </w:p>
    <w:p>
      <w:pPr>
        <w:pStyle w:val="nzSubsection"/>
      </w:pPr>
      <w:r>
        <w:tab/>
        <w:t>(1)</w:t>
      </w:r>
      <w:r>
        <w:tab/>
        <w:t xml:space="preserve">In section 6(1)(e) delete “provisions of the </w:t>
      </w:r>
      <w:r>
        <w:rPr>
          <w:i/>
          <w:iCs/>
        </w:rPr>
        <w:t>Road Traffic Act 1974</w:t>
      </w:r>
      <w:r>
        <w:t xml:space="preserve"> that section 5 of that Act defines as the </w:t>
      </w:r>
      <w:r>
        <w:rPr>
          <w:b/>
          <w:i/>
        </w:rPr>
        <w:t>licensing provisions of this Act</w:t>
      </w:r>
      <w:r>
        <w:t xml:space="preserve">;” and insert:   </w:t>
      </w:r>
    </w:p>
    <w:p>
      <w:pPr>
        <w:pStyle w:val="BlankOpen"/>
      </w:pPr>
    </w:p>
    <w:p>
      <w:pPr>
        <w:pStyle w:val="nzSubsection"/>
      </w:pPr>
      <w:r>
        <w:tab/>
      </w:r>
      <w:r>
        <w:tab/>
      </w:r>
      <w:r>
        <w:rPr>
          <w:i/>
          <w:iCs/>
        </w:rPr>
        <w:t>Road Traffic (Administration) Act 2008</w:t>
      </w:r>
      <w:r>
        <w:t>;</w:t>
      </w:r>
    </w:p>
    <w:p>
      <w:pPr>
        <w:pStyle w:val="BlankClose"/>
      </w:pPr>
    </w:p>
    <w:p>
      <w:pPr>
        <w:pStyle w:val="nzSubsection"/>
      </w:pPr>
      <w:r>
        <w:tab/>
        <w:t>(2)</w:t>
      </w:r>
      <w:r>
        <w:tab/>
        <w:t xml:space="preserve">In section 6(2) delete “must be either the chief executive officer of the department of the Public Service principally assisting in the administration of the provisions of the </w:t>
      </w:r>
      <w:r>
        <w:rPr>
          <w:i/>
        </w:rPr>
        <w:t>Road Traffic Act 1974</w:t>
      </w:r>
      <w:r>
        <w:t xml:space="preserve"> that section 5 of that Act defines as the </w:t>
      </w:r>
      <w:r>
        <w:rPr>
          <w:b/>
          <w:i/>
        </w:rPr>
        <w:t>licensing provisions of this Act</w:t>
      </w:r>
      <w:r>
        <w:t xml:space="preserve"> or an officer in that department whose duties relate to driver or vehicle licensing.” and insert:</w:t>
      </w:r>
    </w:p>
    <w:p>
      <w:pPr>
        <w:pStyle w:val="BlankOpen"/>
      </w:pPr>
    </w:p>
    <w:p>
      <w:pPr>
        <w:pStyle w:val="nzSubsection"/>
      </w:pPr>
      <w:r>
        <w:tab/>
      </w:r>
      <w:r>
        <w:tab/>
        <w:t xml:space="preserve">must be either — </w:t>
      </w:r>
    </w:p>
    <w:p>
      <w:pPr>
        <w:pStyle w:val="nzIndenta"/>
      </w:pPr>
      <w:r>
        <w:tab/>
        <w:t>(a)</w:t>
      </w:r>
      <w:r>
        <w:tab/>
        <w:t xml:space="preserve">the CEO as defined in the </w:t>
      </w:r>
      <w:r>
        <w:rPr>
          <w:i/>
          <w:iCs/>
        </w:rPr>
        <w:t xml:space="preserve">Road Traffic (Administration) Act 2008 </w:t>
      </w:r>
      <w:r>
        <w:t>section 4; or</w:t>
      </w:r>
    </w:p>
    <w:p>
      <w:pPr>
        <w:pStyle w:val="nzIndenta"/>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nz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BlankClose"/>
      </w:pPr>
    </w:p>
    <w:p>
      <w:pPr>
        <w:pStyle w:val="nzHeading5"/>
      </w:pPr>
      <w:r>
        <w:rPr>
          <w:rStyle w:val="CharSectno"/>
        </w:rPr>
        <w:t>173</w:t>
      </w:r>
      <w:r>
        <w:t>.</w:t>
      </w:r>
      <w:r>
        <w:tab/>
        <w:t>Section 12 amended</w:t>
      </w:r>
    </w:p>
    <w:p>
      <w:pPr>
        <w:pStyle w:val="nzSubsection"/>
      </w:pPr>
      <w:r>
        <w:tab/>
        <w:t>(1)</w:t>
      </w:r>
      <w:r>
        <w:tab/>
        <w:t xml:space="preserve">In section 12(3) in the definition of </w:t>
      </w:r>
      <w:r>
        <w:rPr>
          <w:b/>
          <w:bCs/>
          <w:i/>
          <w:iCs/>
        </w:rPr>
        <w:t>photograph</w:t>
      </w:r>
      <w:r>
        <w:rPr>
          <w:b/>
          <w:bCs/>
          <w:i/>
          <w:iCs/>
        </w:rPr>
        <w:noBreakHyphen/>
        <w:t>based vehicle infringement notice</w:t>
      </w:r>
      <w:r>
        <w:t>:</w:t>
      </w:r>
    </w:p>
    <w:p>
      <w:pPr>
        <w:pStyle w:val="nzIndenta"/>
      </w:pPr>
      <w:r>
        <w:tab/>
        <w:t>(a)</w:t>
      </w:r>
      <w:r>
        <w:tab/>
        <w:t xml:space="preserve">delete “a traffic infringement notice under the </w:t>
      </w:r>
      <w:r>
        <w:rPr>
          <w:i/>
          <w:iCs/>
        </w:rPr>
        <w:t>Road Traffic Act 1974</w:t>
      </w:r>
      <w:r>
        <w:t>” and insert:</w:t>
      </w:r>
    </w:p>
    <w:p>
      <w:pPr>
        <w:pStyle w:val="BlankOpen"/>
      </w:pPr>
    </w:p>
    <w:p>
      <w:pPr>
        <w:pStyle w:val="nzDefstart"/>
      </w:pPr>
      <w:r>
        <w:tab/>
        <w:t xml:space="preserve">an infringement notice as defined in the </w:t>
      </w:r>
      <w:r>
        <w:rPr>
          <w:i/>
          <w:iCs/>
        </w:rPr>
        <w:t xml:space="preserve">Road Traffic (Administration) Act 2008 </w:t>
      </w:r>
      <w:r>
        <w:t>section 4</w:t>
      </w:r>
    </w:p>
    <w:p>
      <w:pPr>
        <w:pStyle w:val="BlankClose"/>
        <w:keepNext/>
      </w:pPr>
    </w:p>
    <w:p>
      <w:pPr>
        <w:pStyle w:val="nzIndenta"/>
      </w:pPr>
      <w:r>
        <w:tab/>
        <w:t>(b)</w:t>
      </w:r>
      <w:r>
        <w:tab/>
        <w:t xml:space="preserve">in paragraph (a) delete “against the </w:t>
      </w:r>
      <w:r>
        <w:rPr>
          <w:i/>
          <w:iCs/>
        </w:rPr>
        <w:t>Road Traffic Act 1974</w:t>
      </w:r>
      <w:r>
        <w:t>” and insert:</w:t>
      </w:r>
    </w:p>
    <w:p>
      <w:pPr>
        <w:pStyle w:val="BlankOpen"/>
      </w:pPr>
    </w:p>
    <w:p>
      <w:pPr>
        <w:pStyle w:val="nzDefpara"/>
      </w:pPr>
      <w:r>
        <w:tab/>
      </w:r>
      <w:r>
        <w:tab/>
        <w:t>under a road law as defined in section 4 of that Act</w:t>
      </w:r>
    </w:p>
    <w:p>
      <w:pPr>
        <w:pStyle w:val="BlankClose"/>
      </w:pPr>
    </w:p>
    <w:p>
      <w:pPr>
        <w:pStyle w:val="nzIndenta"/>
      </w:pPr>
      <w:r>
        <w:tab/>
        <w:t>(c)</w:t>
      </w:r>
      <w:r>
        <w:tab/>
        <w:t xml:space="preserve">in paragraph (b) delete “the provisions of the </w:t>
      </w:r>
      <w:r>
        <w:rPr>
          <w:i/>
          <w:iCs/>
        </w:rPr>
        <w:t>Road Traffic Act 1974</w:t>
      </w:r>
      <w:r>
        <w:t xml:space="preserve"> about traffic infringement notices,” and insert:</w:t>
      </w:r>
    </w:p>
    <w:p>
      <w:pPr>
        <w:pStyle w:val="BlankOpen"/>
      </w:pPr>
    </w:p>
    <w:p>
      <w:pPr>
        <w:pStyle w:val="nzIndenta"/>
      </w:pPr>
      <w:r>
        <w:tab/>
      </w:r>
      <w:r>
        <w:tab/>
        <w:t>section 90 of that Act,</w:t>
      </w:r>
    </w:p>
    <w:p>
      <w:pPr>
        <w:pStyle w:val="BlankClose"/>
      </w:pPr>
    </w:p>
    <w:p>
      <w:pPr>
        <w:pStyle w:val="nzSubsection"/>
      </w:pPr>
      <w:r>
        <w:tab/>
        <w:t>(2)</w:t>
      </w:r>
      <w:r>
        <w:tab/>
        <w:t xml:space="preserve">In section 12(3) in the definition of </w:t>
      </w:r>
      <w:r>
        <w:rPr>
          <w:b/>
          <w:bCs/>
          <w:i/>
          <w:iCs/>
        </w:rPr>
        <w:t>prescribed penalty</w:t>
      </w:r>
      <w:r>
        <w:t xml:space="preserve"> delete “the </w:t>
      </w:r>
      <w:r>
        <w:rPr>
          <w:i/>
          <w:iCs/>
        </w:rPr>
        <w:t>Road Traffic Act 1974</w:t>
      </w:r>
      <w:r>
        <w:t xml:space="preserve"> for an offence if dealt with under section 102;” and insert:</w:t>
      </w:r>
    </w:p>
    <w:p>
      <w:pPr>
        <w:pStyle w:val="BlankOpen"/>
      </w:pPr>
    </w:p>
    <w:p>
      <w:pPr>
        <w:pStyle w:val="nzDefstart"/>
      </w:pPr>
      <w:r>
        <w:tab/>
        <w:t xml:space="preserve">a road law as defined in the </w:t>
      </w:r>
      <w:r>
        <w:rPr>
          <w:i/>
          <w:iCs/>
        </w:rPr>
        <w:t>Road Traffic (Administration) Act 2008</w:t>
      </w:r>
      <w:r>
        <w:t xml:space="preserve"> section 4 for an offence if dealt with under section 79 of that Act;</w:t>
      </w:r>
    </w:p>
    <w:p>
      <w:pPr>
        <w:pStyle w:val="BlankClose"/>
      </w:pPr>
    </w:p>
    <w:p>
      <w:pPr>
        <w:pStyle w:val="nzSubsection"/>
      </w:pPr>
      <w:r>
        <w:tab/>
        <w:t>(3)</w:t>
      </w:r>
      <w:r>
        <w:tab/>
        <w:t xml:space="preserve">In section 12(4) delete the definition of </w:t>
      </w:r>
      <w:r>
        <w:rPr>
          <w:b/>
          <w:bCs/>
          <w:i/>
          <w:iCs/>
        </w:rPr>
        <w:t>traffic infringement notice</w:t>
      </w:r>
      <w:r>
        <w:t xml:space="preserve"> and insert:</w:t>
      </w:r>
    </w:p>
    <w:p>
      <w:pPr>
        <w:pStyle w:val="BlankOpen"/>
      </w:pPr>
    </w:p>
    <w:p>
      <w:pPr>
        <w:pStyle w:val="nzDefstart"/>
      </w:pPr>
      <w:r>
        <w:rPr>
          <w:b/>
        </w:rPr>
        <w:tab/>
      </w:r>
      <w:r>
        <w:rPr>
          <w:rStyle w:val="CharDefText"/>
        </w:rPr>
        <w:t>infringement notice</w:t>
      </w:r>
      <w:r>
        <w:t xml:space="preserve"> includes a notice that, because of the </w:t>
      </w:r>
      <w:r>
        <w:rPr>
          <w:i/>
          <w:iCs/>
        </w:rPr>
        <w:t xml:space="preserve">Road Traffic (Administration) Act 2008 </w:t>
      </w:r>
      <w:r>
        <w:t>section 104(2), is to be regarded as being an infringement notice.</w:t>
      </w:r>
    </w:p>
    <w:p>
      <w:pPr>
        <w:pStyle w:val="BlankClose"/>
      </w:pP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rPr>
          <w:sz w:val="28"/>
        </w:rPr>
      </w:pPr>
      <w:bookmarkStart w:id="45" w:name="_Toc416962668"/>
      <w:r>
        <w:rPr>
          <w:sz w:val="28"/>
        </w:rPr>
        <w:t>Defined terms</w:t>
      </w:r>
      <w:bookmarkEnd w:id="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16(1)</w:t>
      </w:r>
    </w:p>
    <w:p>
      <w:pPr>
        <w:pStyle w:val="DefinedTerms"/>
      </w:pPr>
      <w:r>
        <w:t>Council</w:t>
      </w:r>
      <w:r>
        <w:tab/>
        <w:t>3</w:t>
      </w:r>
    </w:p>
    <w:p>
      <w:pPr>
        <w:pStyle w:val="DefinedTerms"/>
      </w:pPr>
      <w:r>
        <w:t>former section 12(2)(a)</w:t>
      </w:r>
      <w:r>
        <w:tab/>
        <w:t>16(1)</w:t>
      </w:r>
    </w:p>
    <w:p>
      <w:pPr>
        <w:pStyle w:val="DefinedTerms"/>
      </w:pPr>
      <w:r>
        <w:t>officer</w:t>
      </w:r>
      <w:r>
        <w:tab/>
        <w:t>3</w:t>
      </w:r>
    </w:p>
    <w:p>
      <w:pPr>
        <w:pStyle w:val="DefinedTerms"/>
      </w:pPr>
      <w:r>
        <w:t>photograph</w:t>
      </w:r>
      <w:r>
        <w:noBreakHyphen/>
        <w:t>based vehicle infringement notice</w:t>
      </w:r>
      <w:r>
        <w:tab/>
        <w:t>12(3)</w:t>
      </w:r>
    </w:p>
    <w:p>
      <w:pPr>
        <w:pStyle w:val="DefinedTerms"/>
      </w:pPr>
      <w:r>
        <w:t>prescribed penalty</w:t>
      </w:r>
      <w:r>
        <w:tab/>
        <w:t>12(3)</w:t>
      </w:r>
    </w:p>
    <w:p>
      <w:pPr>
        <w:pStyle w:val="DefinedTerms"/>
      </w:pPr>
      <w:r>
        <w:t>prescribed period</w:t>
      </w:r>
      <w:r>
        <w:tab/>
        <w:t>12(3)</w:t>
      </w:r>
    </w:p>
    <w:p>
      <w:pPr>
        <w:pStyle w:val="DefinedTerms"/>
      </w:pPr>
      <w:r>
        <w:t>public officer</w:t>
      </w:r>
      <w:r>
        <w:tab/>
        <w:t>3</w:t>
      </w:r>
    </w:p>
    <w:p>
      <w:pPr>
        <w:pStyle w:val="DefinedTerms"/>
      </w:pPr>
      <w:r>
        <w:t>road</w:t>
      </w:r>
      <w:r>
        <w:tab/>
        <w:t>3</w:t>
      </w:r>
    </w:p>
    <w:p>
      <w:pPr>
        <w:pStyle w:val="DefinedTerms"/>
      </w:pPr>
      <w:r>
        <w:t>the Account</w:t>
      </w:r>
      <w:r>
        <w:tab/>
        <w:t>3</w:t>
      </w:r>
    </w:p>
    <w:p>
      <w:pPr>
        <w:pStyle w:val="DefinedTerms"/>
      </w:pPr>
      <w:r>
        <w:t>traffic infringement notice</w:t>
      </w:r>
      <w:r>
        <w:tab/>
        <w:t>12(4)</w:t>
      </w:r>
    </w:p>
    <w:p>
      <w:pPr>
        <w:rPr>
          <w:sz w:val="20"/>
        </w:rPr>
      </w:pPr>
    </w:p>
    <w:p>
      <w:pPr>
        <w:rPr>
          <w:sz w:val="20"/>
        </w:rPr>
        <w:sectPr>
          <w:headerReference w:type="even" r:id="rId28"/>
          <w:headerReference w:type="default" r:id="rId29"/>
          <w:pgSz w:w="11907" w:h="16840" w:code="9"/>
          <w:pgMar w:top="2381" w:right="2409" w:bottom="3543" w:left="2409" w:header="720" w:footer="3380" w:gutter="0"/>
          <w:cols w:space="720"/>
          <w:noEndnote/>
          <w:docGrid w:linePitch="326"/>
        </w:sectPr>
      </w:pPr>
    </w:p>
    <w:p>
      <w:pPr>
        <w:rPr>
          <w:sz w:val="20"/>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6" w:name="DefinedTerms"/>
    <w:bookmarkEnd w:id="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7" w:name="Coversheet"/>
    <w:bookmarkEnd w:id="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508FB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A0EBA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54751"/>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TableAm">
    <w:name w:val="TableAm"/>
    <w:basedOn w:val="Normal"/>
    <w:pPr>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3993</Words>
  <Characters>19087</Characters>
  <Application>Microsoft Office Word</Application>
  <DocSecurity>0</DocSecurity>
  <Lines>596</Lines>
  <Paragraphs>334</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vt:lpstr>
      <vt:lpstr>Western Australia</vt:lpstr>
      <vt:lpstr>Road Safety Council Act 2002</vt:lpstr>
      <vt:lpstr>    Notes</vt:lpstr>
      <vt:lpstr>    Defined Terms</vt:lpstr>
    </vt:vector>
  </TitlesOfParts>
  <Manager/>
  <Company/>
  <LinksUpToDate>false</LinksUpToDate>
  <CharactersWithSpaces>22746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2002 - 01-f0-04</dc:title>
  <dc:subject/>
  <dc:creator/>
  <cp:keywords/>
  <dc:description/>
  <cp:lastModifiedBy>svcMRProcess</cp:lastModifiedBy>
  <cp:revision>4</cp:revision>
  <cp:lastPrinted>2010-04-14T04:12:00Z</cp:lastPrinted>
  <dcterms:created xsi:type="dcterms:W3CDTF">2015-12-15T07:50:00Z</dcterms:created>
  <dcterms:modified xsi:type="dcterms:W3CDTF">2015-12-15T07:50:00Z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CommencementDate">
    <vt:lpwstr>20120521</vt:lpwstr>
  </property>
  <property fmtid="{D5CDD505-2E9C-101B-9397-08002B2CF9AE}" pid="4" name="DocumentType">
    <vt:lpwstr>Act</vt:lpwstr>
  </property>
  <property fmtid="{D5CDD505-2E9C-101B-9397-08002B2CF9AE}" pid="5" name="OwlsUID">
    <vt:i4>2112</vt:i4>
  </property>
  <property fmtid="{D5CDD505-2E9C-101B-9397-08002B2CF9AE}" pid="6" name="ReprintNo">
    <vt:lpwstr>1</vt:lpwstr>
  </property>
  <property fmtid="{D5CDD505-2E9C-101B-9397-08002B2CF9AE}" pid="7" name="AsAtDate">
    <vt:lpwstr>21 May 2012</vt:lpwstr>
  </property>
  <property fmtid="{D5CDD505-2E9C-101B-9397-08002B2CF9AE}" pid="8" name="Suffix">
    <vt:lpwstr>01-f0-04</vt:lpwstr>
  </property>
</Properties>
</file>